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charts/chart9.xml" ContentType="application/vnd.openxmlformats-officedocument.drawingml.chart+xml"/>
  <Override PartName="/word/header8.xml" ContentType="application/vnd.openxmlformats-officedocument.wordprocessingml.header+xml"/>
  <Override PartName="/word/charts/chart19.xml" ContentType="application/vnd.openxmlformats-officedocument.drawingml.chart+xml"/>
  <Override PartName="/word/charts/chart28.xml" ContentType="application/vnd.openxmlformats-officedocument.drawingml.chart+xml"/>
  <Override PartName="/word/stylesWithEffects.xml" ContentType="application/vnd.ms-word.stylesWithEffects+xml"/>
  <Override PartName="/word/footer3.xml" ContentType="application/vnd.openxmlformats-officedocument.wordprocessingml.footer+xml"/>
  <Override PartName="/word/diagrams/drawing2.xml" ContentType="application/vnd.ms-office.drawingml.diagramDrawing+xml"/>
  <Override PartName="/word/charts/chart7.xml" ContentType="application/vnd.openxmlformats-officedocument.drawingml.chart+xml"/>
  <Override PartName="/word/header6.xml" ContentType="application/vnd.openxmlformats-officedocument.wordprocessingml.header+xml"/>
  <Override PartName="/word/charts/chart17.xml" ContentType="application/vnd.openxmlformats-officedocument.drawingml.chart+xml"/>
  <Override PartName="/word/charts/chart2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Override PartName="/word/diagrams/quickStyle1.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footer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charts/chart8.xml" ContentType="application/vnd.openxmlformats-officedocument.drawingml.chart+xml"/>
  <Override PartName="/word/header9.xml" ContentType="application/vnd.openxmlformats-officedocument.wordprocessingml.header+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charts/chart6.xml" ContentType="application/vnd.openxmlformats-officedocument.drawingml.chart+xml"/>
  <Override PartName="/word/header7.xml" ContentType="application/vnd.openxmlformats-officedocument.wordprocessingml.header+xml"/>
  <Override PartName="/word/charts/chart18.xml" ContentType="application/vnd.openxmlformats-officedocument.drawingml.chart+xml"/>
  <Override PartName="/word/charts/chart27.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6E" w:rsidRDefault="00F6036E" w:rsidP="00F6036E"/>
    <w:p w:rsidR="00F6036E" w:rsidRDefault="00F6036E" w:rsidP="00F6036E"/>
    <w:p w:rsidR="00F6036E" w:rsidRDefault="00F6036E" w:rsidP="00F6036E"/>
    <w:p w:rsidR="00F6036E" w:rsidRDefault="00F6036E" w:rsidP="00F6036E"/>
    <w:p w:rsidR="00F6036E" w:rsidRDefault="00F6036E" w:rsidP="00F6036E"/>
    <w:p w:rsidR="00F6036E" w:rsidRDefault="00F6036E" w:rsidP="00F6036E"/>
    <w:p w:rsidR="00F6036E" w:rsidRDefault="00F6036E" w:rsidP="00F6036E"/>
    <w:p w:rsidR="00F6036E" w:rsidRDefault="00F6036E" w:rsidP="00F6036E"/>
    <w:p w:rsidR="00F6036E" w:rsidRDefault="00F6036E" w:rsidP="00F6036E"/>
    <w:p w:rsidR="00F6036E" w:rsidRDefault="00F6036E" w:rsidP="00F6036E"/>
    <w:p w:rsidR="00F6036E" w:rsidRDefault="00F6036E" w:rsidP="00F6036E"/>
    <w:p w:rsidR="00F6036E" w:rsidRDefault="00F6036E" w:rsidP="00F6036E"/>
    <w:p w:rsidR="00F6036E" w:rsidRDefault="00F6036E" w:rsidP="00F6036E"/>
    <w:p w:rsidR="00F6036E" w:rsidRDefault="00B41499" w:rsidP="00F6036E">
      <w:r w:rsidRPr="00B41499">
        <w:rPr>
          <w:noProof/>
          <w:lang w:val="en-US"/>
        </w:rPr>
        <w:pict>
          <v:rect id="Rectangle 79" o:spid="_x0000_s1026" style="position:absolute;left:0;text-align:left;margin-left:21.75pt;margin-top:423.75pt;width:568.5pt;height:249.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" o:allowincell="f" fillcolor="#7f7f7f [1612]" stroked="f">
            <v:textbox inset="18pt,18pt,1in,18pt">
              <w:txbxContent>
                <w:p w:rsidR="00F01307" w:rsidRDefault="00F01307" w:rsidP="00F6036E">
                  <w:pPr>
                    <w:contextualSpacing/>
                    <w:rPr>
                      <w:rFonts w:cstheme="minorHAnsi"/>
                      <w:color w:val="FFFFFF" w:themeColor="background1"/>
                    </w:rPr>
                  </w:pPr>
                </w:p>
              </w:txbxContent>
            </v:textbox>
            <w10:wrap anchorx="page" anchory="page"/>
            <w10:anchorlock/>
          </v:rect>
        </w:pict>
      </w:r>
    </w:p>
    <w:p w:rsidR="00F6036E" w:rsidRDefault="00F6036E" w:rsidP="00F6036E"/>
    <w:p w:rsidR="00F6036E" w:rsidRDefault="00F6036E" w:rsidP="00F6036E"/>
    <w:p w:rsidR="00F6036E" w:rsidRDefault="00F6036E" w:rsidP="00F6036E"/>
    <w:p w:rsidR="00F6036E" w:rsidRDefault="00F6036E" w:rsidP="00F6036E"/>
    <w:p w:rsidR="00821250" w:rsidRDefault="00821250" w:rsidP="00E00099">
      <w:pPr>
        <w:pStyle w:val="Subtitle"/>
        <w:spacing w:before="720"/>
        <w:ind w:right="-1196"/>
        <w:rPr>
          <w:color w:val="FFFFFF" w:themeColor="background1"/>
          <w:sz w:val="36"/>
          <w:szCs w:val="36"/>
        </w:rPr>
      </w:pPr>
    </w:p>
    <w:p w:rsidR="00821250" w:rsidRDefault="00821250" w:rsidP="00821250"/>
    <w:p w:rsidR="00821250" w:rsidRDefault="00821250" w:rsidP="00821250"/>
    <w:p w:rsidR="00821250" w:rsidRPr="00821250" w:rsidRDefault="00821250" w:rsidP="00821250"/>
    <w:p w:rsidR="00821250" w:rsidRDefault="00821250" w:rsidP="00821250">
      <w:pPr>
        <w:pStyle w:val="Subtitle"/>
        <w:spacing w:before="240" w:after="0"/>
        <w:ind w:right="-1196"/>
        <w:rPr>
          <w:color w:val="FFFFFF" w:themeColor="background1"/>
          <w:sz w:val="36"/>
          <w:szCs w:val="36"/>
        </w:rPr>
      </w:pPr>
    </w:p>
    <w:p w:rsidR="00C31982" w:rsidRDefault="00F6036E" w:rsidP="00821250">
      <w:pPr>
        <w:pStyle w:val="Subtitle"/>
        <w:spacing w:before="240" w:after="0"/>
        <w:ind w:right="-1196"/>
        <w:rPr>
          <w:color w:val="FFFFFF" w:themeColor="background1"/>
          <w:sz w:val="36"/>
          <w:szCs w:val="36"/>
        </w:rPr>
      </w:pPr>
      <w:r w:rsidRPr="00B83873">
        <w:rPr>
          <w:color w:val="FFFFFF" w:themeColor="background1"/>
          <w:sz w:val="36"/>
          <w:szCs w:val="36"/>
        </w:rPr>
        <w:t xml:space="preserve">Prepared for the Department of </w:t>
      </w:r>
      <w:r w:rsidR="00C31982">
        <w:rPr>
          <w:color w:val="FFFFFF" w:themeColor="background1"/>
          <w:sz w:val="36"/>
          <w:szCs w:val="36"/>
        </w:rPr>
        <w:t>the Environment</w:t>
      </w:r>
    </w:p>
    <w:p w:rsidR="00F6036E" w:rsidRDefault="00AA5820" w:rsidP="00821250">
      <w:pPr>
        <w:pStyle w:val="Date"/>
        <w:spacing w:before="240"/>
        <w:ind w:right="-1198"/>
        <w:rPr>
          <w:color w:val="FFFFFF" w:themeColor="background1"/>
          <w:sz w:val="36"/>
          <w:szCs w:val="36"/>
        </w:rPr>
      </w:pPr>
      <w:r>
        <w:rPr>
          <w:color w:val="FFFFFF" w:themeColor="background1"/>
          <w:sz w:val="36"/>
          <w:szCs w:val="36"/>
        </w:rPr>
        <w:t>April</w:t>
      </w:r>
      <w:r w:rsidR="00C31982">
        <w:rPr>
          <w:color w:val="FFFFFF" w:themeColor="background1"/>
          <w:sz w:val="36"/>
          <w:szCs w:val="36"/>
        </w:rPr>
        <w:t xml:space="preserve"> </w:t>
      </w:r>
      <w:r w:rsidR="00F6036E" w:rsidRPr="00B83873">
        <w:rPr>
          <w:color w:val="FFFFFF" w:themeColor="background1"/>
          <w:sz w:val="36"/>
          <w:szCs w:val="36"/>
        </w:rPr>
        <w:t>201</w:t>
      </w:r>
      <w:r w:rsidR="00C31982">
        <w:rPr>
          <w:color w:val="FFFFFF" w:themeColor="background1"/>
          <w:sz w:val="36"/>
          <w:szCs w:val="36"/>
        </w:rPr>
        <w:t>4</w:t>
      </w:r>
    </w:p>
    <w:p w:rsidR="00821250" w:rsidRPr="00821250" w:rsidRDefault="00821250" w:rsidP="00821250"/>
    <w:p w:rsidR="00F6036E" w:rsidRDefault="00F6036E" w:rsidP="00F6036E">
      <w:r>
        <w:t xml:space="preserve"> </w:t>
      </w:r>
    </w:p>
    <w:p w:rsidR="003937A5" w:rsidRDefault="000817D6" w:rsidP="000817D6">
      <w:pPr>
        <w:ind w:right="-1198"/>
        <w:jc w:val="right"/>
        <w:sectPr w:rsidR="003937A5" w:rsidSect="00DD2F90">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r>
        <w:rPr>
          <w:noProof/>
          <w:lang w:val="en-AU" w:eastAsia="en-AU"/>
        </w:rPr>
        <w:drawing>
          <wp:inline distT="0" distB="0" distL="0" distR="0">
            <wp:extent cx="3266220" cy="558800"/>
            <wp:effectExtent l="0" t="0" r="1079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t Group Logo.jpg"/>
                    <pic:cNvPicPr/>
                  </pic:nvPicPr>
                  <pic:blipFill>
                    <a:blip r:embed="rId1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78964" cy="560980"/>
                    </a:xfrm>
                    <a:prstGeom prst="rect">
                      <a:avLst/>
                    </a:prstGeom>
                  </pic:spPr>
                </pic:pic>
              </a:graphicData>
            </a:graphic>
          </wp:inline>
        </w:drawing>
      </w:r>
      <w:r w:rsidR="005E3891" w:rsidRPr="005E3891">
        <w:rPr>
          <w:noProof/>
          <w:lang w:val="en-US"/>
        </w:rPr>
        <w:t xml:space="preserve"> </w:t>
      </w:r>
      <w:r w:rsidR="005E3891">
        <w:rPr>
          <w:noProof/>
          <w:lang w:val="en-AU" w:eastAsia="en-AU"/>
        </w:rPr>
        <w:drawing>
          <wp:anchor distT="0" distB="0" distL="114300" distR="114300" simplePos="0" relativeHeight="251664384" behindDoc="1" locked="1" layoutInCell="0" allowOverlap="1">
            <wp:simplePos x="0" y="0"/>
            <wp:positionH relativeFrom="page">
              <wp:posOffset>198120</wp:posOffset>
            </wp:positionH>
            <wp:positionV relativeFrom="page">
              <wp:posOffset>596900</wp:posOffset>
            </wp:positionV>
            <wp:extent cx="7379970" cy="6631940"/>
            <wp:effectExtent l="0" t="0" r="11430" b="0"/>
            <wp:wrapNone/>
            <wp:docPr id="2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pic:cNvPicPr>
                      <a:picLocks noChangeAspect="1" noChangeArrowheads="1"/>
                    </pic:cNvPicPr>
                  </pic:nvPicPr>
                  <pic:blipFill>
                    <a:blip r:embed="rId1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379970" cy="6631940"/>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5E3891">
        <w:rPr>
          <w:noProof/>
          <w:lang w:val="en-US"/>
        </w:rPr>
        <w:t xml:space="preserve"> </w:t>
      </w:r>
      <w:r w:rsidR="00B41499" w:rsidRPr="00B41499">
        <w:rPr>
          <w:noProof/>
          <w:lang w:val="en-US"/>
        </w:rPr>
        <w:pict>
          <v:rect id="Rectangle 82" o:spid="_x0000_s1027" style="position:absolute;left:0;text-align:left;margin-left:21.75pt;margin-top:198pt;width:568.5pt;height:102.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" o:allowincell="f" fillcolor="black" stroked="f">
            <v:fill opacity="46003f"/>
            <v:textbox style="mso-fit-shape-to-text:t" inset="18pt,,1in">
              <w:txbxContent>
                <w:p w:rsidR="00F01307" w:rsidRPr="001E4DE1" w:rsidRDefault="00F01307" w:rsidP="00F6036E">
                  <w:pPr>
                    <w:pStyle w:val="NoSpacing"/>
                    <w:snapToGrid w:val="0"/>
                    <w:spacing w:before="120" w:after="240"/>
                    <w:rPr>
                      <w:rFonts w:asciiTheme="minorHAnsi" w:eastAsiaTheme="majorEastAsia" w:hAnsiTheme="minorHAnsi" w:cstheme="minorHAnsi"/>
                      <w:color w:val="FFFFFF" w:themeColor="background1"/>
                      <w:sz w:val="44"/>
                      <w:szCs w:val="44"/>
                    </w:rPr>
                  </w:pPr>
                  <w:r w:rsidRPr="001E4DE1">
                    <w:rPr>
                      <w:rFonts w:asciiTheme="minorHAnsi" w:eastAsiaTheme="majorEastAsia" w:hAnsiTheme="minorHAnsi" w:cstheme="minorHAnsi"/>
                      <w:color w:val="FFFFFF" w:themeColor="background1"/>
                      <w:sz w:val="44"/>
                      <w:szCs w:val="44"/>
                    </w:rPr>
                    <w:t>HFC Consumption in Australia in 2013 and an Assessment of the Capacity of Industry to Transition to Nil and Lower GWP alternatives</w:t>
                  </w:r>
                </w:p>
              </w:txbxContent>
            </v:textbox>
            <w10:wrap anchorx="page" anchory="page"/>
            <w10:anchorlock/>
          </v:rect>
        </w:pict>
      </w:r>
      <w:r w:rsidR="00B41499" w:rsidRPr="00B41499">
        <w:rPr>
          <w:noProof/>
          <w:lang w:val="en-US"/>
        </w:rPr>
        <w:pict>
          <v:rect id="Rectangle 73" o:spid="_x0000_s1028" style="position:absolute;left:0;text-align:left;margin-left:21.75pt;margin-top:21.75pt;width:568.8pt;height:2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" o:allowincell="f" fillcolor="#31849b [2408]" stroked="f">
            <v:textbox inset=",7.2pt,,7.2pt"/>
            <w10:wrap anchorx="page" anchory="page"/>
            <w10:anchorlock/>
          </v:rect>
        </w:pict>
      </w:r>
    </w:p>
    <w:p w:rsidR="003937A5" w:rsidRPr="003937A5" w:rsidRDefault="003937A5" w:rsidP="003937A5">
      <w:pPr>
        <w:rPr>
          <w:rFonts w:asciiTheme="majorHAnsi" w:hAnsiTheme="majorHAnsi"/>
          <w:sz w:val="36"/>
          <w:szCs w:val="36"/>
        </w:rPr>
      </w:pPr>
      <w:r w:rsidRPr="003937A5">
        <w:rPr>
          <w:rFonts w:asciiTheme="majorHAnsi" w:hAnsiTheme="majorHAnsi"/>
          <w:sz w:val="36"/>
          <w:szCs w:val="36"/>
        </w:rPr>
        <w:lastRenderedPageBreak/>
        <w:t>Table of Contents</w:t>
      </w:r>
    </w:p>
    <w:p w:rsidR="0023799B" w:rsidRDefault="00B41499">
      <w:pPr>
        <w:pStyle w:val="TOC1"/>
        <w:rPr>
          <w:rFonts w:asciiTheme="minorHAnsi" w:eastAsiaTheme="minorEastAsia" w:hAnsiTheme="minorHAnsi" w:cstheme="minorBidi"/>
          <w:b w:val="0"/>
          <w:color w:val="auto"/>
          <w:lang w:eastAsia="ja-JP"/>
        </w:rPr>
      </w:pPr>
      <w:r w:rsidRPr="00B41499">
        <w:rPr>
          <w:rFonts w:ascii="Verdana" w:hAnsi="Verdana"/>
          <w:b w:val="0"/>
          <w:sz w:val="20"/>
          <w:szCs w:val="20"/>
        </w:rPr>
        <w:fldChar w:fldCharType="begin"/>
      </w:r>
      <w:r w:rsidR="0023799B">
        <w:rPr>
          <w:rFonts w:ascii="Verdana" w:hAnsi="Verdana"/>
          <w:b w:val="0"/>
          <w:sz w:val="20"/>
          <w:szCs w:val="20"/>
        </w:rPr>
        <w:instrText xml:space="preserve"> TOC \o "1-3" </w:instrText>
      </w:r>
      <w:r w:rsidRPr="00B41499">
        <w:rPr>
          <w:rFonts w:ascii="Verdana" w:hAnsi="Verdana"/>
          <w:b w:val="0"/>
          <w:sz w:val="20"/>
          <w:szCs w:val="20"/>
        </w:rPr>
        <w:fldChar w:fldCharType="separate"/>
      </w:r>
      <w:r w:rsidR="0023799B">
        <w:t>Acknowledgements</w:t>
      </w:r>
      <w:r w:rsidR="0023799B">
        <w:tab/>
      </w:r>
      <w:r>
        <w:fldChar w:fldCharType="begin"/>
      </w:r>
      <w:r w:rsidR="0023799B">
        <w:instrText xml:space="preserve"> PAGEREF _Toc257359938 \h </w:instrText>
      </w:r>
      <w:r>
        <w:fldChar w:fldCharType="separate"/>
      </w:r>
      <w:r w:rsidR="008E0DB9">
        <w:t>6</w:t>
      </w:r>
      <w:r>
        <w:fldChar w:fldCharType="end"/>
      </w:r>
    </w:p>
    <w:p w:rsidR="0023799B" w:rsidRDefault="0023799B">
      <w:pPr>
        <w:pStyle w:val="TOC1"/>
        <w:rPr>
          <w:rFonts w:asciiTheme="minorHAnsi" w:eastAsiaTheme="minorEastAsia" w:hAnsiTheme="minorHAnsi" w:cstheme="minorBidi"/>
          <w:b w:val="0"/>
          <w:color w:val="auto"/>
          <w:lang w:eastAsia="ja-JP"/>
        </w:rPr>
      </w:pPr>
      <w:r>
        <w:t>Glossary</w:t>
      </w:r>
      <w:r>
        <w:tab/>
      </w:r>
      <w:r w:rsidR="00B41499">
        <w:fldChar w:fldCharType="begin"/>
      </w:r>
      <w:r>
        <w:instrText xml:space="preserve"> PAGEREF _Toc257359939 \h </w:instrText>
      </w:r>
      <w:r w:rsidR="00B41499">
        <w:fldChar w:fldCharType="separate"/>
      </w:r>
      <w:r w:rsidR="008E0DB9">
        <w:t>7</w:t>
      </w:r>
      <w:r w:rsidR="00B41499">
        <w:fldChar w:fldCharType="end"/>
      </w:r>
    </w:p>
    <w:p w:rsidR="0023799B" w:rsidRDefault="0023799B">
      <w:pPr>
        <w:pStyle w:val="TOC1"/>
        <w:rPr>
          <w:rFonts w:asciiTheme="minorHAnsi" w:eastAsiaTheme="minorEastAsia" w:hAnsiTheme="minorHAnsi" w:cstheme="minorBidi"/>
          <w:b w:val="0"/>
          <w:color w:val="auto"/>
          <w:lang w:eastAsia="ja-JP"/>
        </w:rPr>
      </w:pPr>
      <w:r>
        <w:t>Abbreviations</w:t>
      </w:r>
      <w:r>
        <w:tab/>
      </w:r>
      <w:r w:rsidR="00B41499">
        <w:fldChar w:fldCharType="begin"/>
      </w:r>
      <w:r>
        <w:instrText xml:space="preserve"> PAGEREF _Toc257359940 \h </w:instrText>
      </w:r>
      <w:r w:rsidR="00B41499">
        <w:fldChar w:fldCharType="separate"/>
      </w:r>
      <w:r w:rsidR="008E0DB9">
        <w:t>11</w:t>
      </w:r>
      <w:r w:rsidR="00B41499">
        <w:fldChar w:fldCharType="end"/>
      </w:r>
    </w:p>
    <w:p w:rsidR="0023799B" w:rsidRDefault="0023799B">
      <w:pPr>
        <w:pStyle w:val="TOC1"/>
        <w:rPr>
          <w:rFonts w:asciiTheme="minorHAnsi" w:eastAsiaTheme="minorEastAsia" w:hAnsiTheme="minorHAnsi" w:cstheme="minorBidi"/>
          <w:b w:val="0"/>
          <w:color w:val="auto"/>
          <w:lang w:eastAsia="ja-JP"/>
        </w:rPr>
      </w:pPr>
      <w:r>
        <w:t>1</w:t>
      </w:r>
      <w:r>
        <w:rPr>
          <w:rFonts w:asciiTheme="minorHAnsi" w:eastAsiaTheme="minorEastAsia" w:hAnsiTheme="minorHAnsi" w:cstheme="minorBidi"/>
          <w:b w:val="0"/>
          <w:color w:val="auto"/>
          <w:lang w:eastAsia="ja-JP"/>
        </w:rPr>
        <w:tab/>
      </w:r>
      <w:r>
        <w:t>Executive summary</w:t>
      </w:r>
      <w:r>
        <w:tab/>
      </w:r>
      <w:r w:rsidR="00B41499">
        <w:fldChar w:fldCharType="begin"/>
      </w:r>
      <w:r>
        <w:instrText xml:space="preserve"> PAGEREF _Toc257359941 \h </w:instrText>
      </w:r>
      <w:r w:rsidR="00B41499">
        <w:fldChar w:fldCharType="separate"/>
      </w:r>
      <w:r w:rsidR="008E0DB9">
        <w:t>12</w:t>
      </w:r>
      <w:r w:rsidR="00B41499">
        <w:fldChar w:fldCharType="end"/>
      </w:r>
    </w:p>
    <w:p w:rsidR="0023799B" w:rsidRDefault="0023799B">
      <w:pPr>
        <w:pStyle w:val="TOC1"/>
        <w:rPr>
          <w:rFonts w:asciiTheme="minorHAnsi" w:eastAsiaTheme="minorEastAsia" w:hAnsiTheme="minorHAnsi" w:cstheme="minorBidi"/>
          <w:b w:val="0"/>
          <w:color w:val="auto"/>
          <w:lang w:eastAsia="ja-JP"/>
        </w:rPr>
      </w:pPr>
      <w:r>
        <w:t>2</w:t>
      </w:r>
      <w:r>
        <w:rPr>
          <w:rFonts w:asciiTheme="minorHAnsi" w:eastAsiaTheme="minorEastAsia" w:hAnsiTheme="minorHAnsi" w:cstheme="minorBidi"/>
          <w:b w:val="0"/>
          <w:color w:val="auto"/>
          <w:lang w:eastAsia="ja-JP"/>
        </w:rPr>
        <w:tab/>
      </w:r>
      <w:r>
        <w:t>Introduction</w:t>
      </w:r>
      <w:r>
        <w:tab/>
      </w:r>
      <w:r w:rsidR="00B41499">
        <w:fldChar w:fldCharType="begin"/>
      </w:r>
      <w:r>
        <w:instrText xml:space="preserve"> PAGEREF _Toc257359942 \h </w:instrText>
      </w:r>
      <w:r w:rsidR="00B41499">
        <w:fldChar w:fldCharType="separate"/>
      </w:r>
      <w:r w:rsidR="008E0DB9">
        <w:t>14</w:t>
      </w:r>
      <w:r w:rsidR="00B41499">
        <w:fldChar w:fldCharType="end"/>
      </w:r>
    </w:p>
    <w:p w:rsidR="0023799B" w:rsidRDefault="0023799B">
      <w:pPr>
        <w:pStyle w:val="TOC2"/>
        <w:rPr>
          <w:rFonts w:asciiTheme="minorHAnsi" w:eastAsiaTheme="minorEastAsia" w:hAnsiTheme="minorHAnsi" w:cstheme="minorBidi"/>
          <w:noProof/>
          <w:sz w:val="24"/>
          <w:szCs w:val="24"/>
          <w:lang w:eastAsia="ja-JP"/>
        </w:rPr>
      </w:pPr>
      <w:r w:rsidRPr="00153596">
        <w:rPr>
          <w:noProof/>
        </w:rPr>
        <w:t>2.1</w:t>
      </w:r>
      <w:r>
        <w:rPr>
          <w:rFonts w:asciiTheme="minorHAnsi" w:eastAsiaTheme="minorEastAsia" w:hAnsiTheme="minorHAnsi" w:cstheme="minorBidi"/>
          <w:noProof/>
          <w:sz w:val="24"/>
          <w:szCs w:val="24"/>
          <w:lang w:eastAsia="ja-JP"/>
        </w:rPr>
        <w:tab/>
      </w:r>
      <w:r>
        <w:rPr>
          <w:noProof/>
        </w:rPr>
        <w:t>Development of HFCs</w:t>
      </w:r>
      <w:r>
        <w:rPr>
          <w:noProof/>
        </w:rPr>
        <w:tab/>
      </w:r>
      <w:r w:rsidR="00B41499">
        <w:rPr>
          <w:noProof/>
        </w:rPr>
        <w:fldChar w:fldCharType="begin"/>
      </w:r>
      <w:r>
        <w:rPr>
          <w:noProof/>
        </w:rPr>
        <w:instrText xml:space="preserve"> PAGEREF _Toc257359943 \h </w:instrText>
      </w:r>
      <w:r w:rsidR="00B41499">
        <w:rPr>
          <w:noProof/>
        </w:rPr>
      </w:r>
      <w:r w:rsidR="00B41499">
        <w:rPr>
          <w:noProof/>
        </w:rPr>
        <w:fldChar w:fldCharType="separate"/>
      </w:r>
      <w:r w:rsidR="008E0DB9">
        <w:rPr>
          <w:noProof/>
        </w:rPr>
        <w:t>15</w:t>
      </w:r>
      <w:r w:rsidR="00B41499">
        <w:rPr>
          <w:noProof/>
        </w:rPr>
        <w:fldChar w:fldCharType="end"/>
      </w:r>
    </w:p>
    <w:p w:rsidR="0023799B" w:rsidRDefault="0023799B">
      <w:pPr>
        <w:pStyle w:val="TOC2"/>
        <w:rPr>
          <w:rFonts w:asciiTheme="minorHAnsi" w:eastAsiaTheme="minorEastAsia" w:hAnsiTheme="minorHAnsi" w:cstheme="minorBidi"/>
          <w:noProof/>
          <w:sz w:val="24"/>
          <w:szCs w:val="24"/>
          <w:lang w:eastAsia="ja-JP"/>
        </w:rPr>
      </w:pPr>
      <w:r w:rsidRPr="00153596">
        <w:rPr>
          <w:noProof/>
        </w:rPr>
        <w:t>2.2</w:t>
      </w:r>
      <w:r>
        <w:rPr>
          <w:rFonts w:asciiTheme="minorHAnsi" w:eastAsiaTheme="minorEastAsia" w:hAnsiTheme="minorHAnsi" w:cstheme="minorBidi"/>
          <w:noProof/>
          <w:sz w:val="24"/>
          <w:szCs w:val="24"/>
          <w:lang w:eastAsia="ja-JP"/>
        </w:rPr>
        <w:tab/>
      </w:r>
      <w:r>
        <w:rPr>
          <w:noProof/>
        </w:rPr>
        <w:t>The NAA Proposal</w:t>
      </w:r>
      <w:r>
        <w:rPr>
          <w:noProof/>
        </w:rPr>
        <w:tab/>
      </w:r>
      <w:r w:rsidR="00B41499">
        <w:rPr>
          <w:noProof/>
        </w:rPr>
        <w:fldChar w:fldCharType="begin"/>
      </w:r>
      <w:r>
        <w:rPr>
          <w:noProof/>
        </w:rPr>
        <w:instrText xml:space="preserve"> PAGEREF _Toc257359944 \h </w:instrText>
      </w:r>
      <w:r w:rsidR="00B41499">
        <w:rPr>
          <w:noProof/>
        </w:rPr>
      </w:r>
      <w:r w:rsidR="00B41499">
        <w:rPr>
          <w:noProof/>
        </w:rPr>
        <w:fldChar w:fldCharType="separate"/>
      </w:r>
      <w:r w:rsidR="008E0DB9">
        <w:rPr>
          <w:noProof/>
        </w:rPr>
        <w:t>17</w:t>
      </w:r>
      <w:r w:rsidR="00B41499">
        <w:rPr>
          <w:noProof/>
        </w:rPr>
        <w:fldChar w:fldCharType="end"/>
      </w:r>
    </w:p>
    <w:p w:rsidR="0023799B" w:rsidRDefault="0023799B">
      <w:pPr>
        <w:pStyle w:val="TOC2"/>
        <w:rPr>
          <w:rFonts w:asciiTheme="minorHAnsi" w:eastAsiaTheme="minorEastAsia" w:hAnsiTheme="minorHAnsi" w:cstheme="minorBidi"/>
          <w:noProof/>
          <w:sz w:val="24"/>
          <w:szCs w:val="24"/>
          <w:lang w:eastAsia="ja-JP"/>
        </w:rPr>
      </w:pPr>
      <w:r w:rsidRPr="00153596">
        <w:rPr>
          <w:noProof/>
        </w:rPr>
        <w:t>2.3</w:t>
      </w:r>
      <w:r>
        <w:rPr>
          <w:rFonts w:asciiTheme="minorHAnsi" w:eastAsiaTheme="minorEastAsia" w:hAnsiTheme="minorHAnsi" w:cstheme="minorBidi"/>
          <w:noProof/>
          <w:sz w:val="24"/>
          <w:szCs w:val="24"/>
          <w:lang w:eastAsia="ja-JP"/>
        </w:rPr>
        <w:tab/>
      </w:r>
      <w:r>
        <w:rPr>
          <w:noProof/>
        </w:rPr>
        <w:t>Australia and the NAA Proposal</w:t>
      </w:r>
      <w:r>
        <w:rPr>
          <w:noProof/>
        </w:rPr>
        <w:tab/>
      </w:r>
      <w:r w:rsidR="00B41499">
        <w:rPr>
          <w:noProof/>
        </w:rPr>
        <w:fldChar w:fldCharType="begin"/>
      </w:r>
      <w:r>
        <w:rPr>
          <w:noProof/>
        </w:rPr>
        <w:instrText xml:space="preserve"> PAGEREF _Toc257359945 \h </w:instrText>
      </w:r>
      <w:r w:rsidR="00B41499">
        <w:rPr>
          <w:noProof/>
        </w:rPr>
      </w:r>
      <w:r w:rsidR="00B41499">
        <w:rPr>
          <w:noProof/>
        </w:rPr>
        <w:fldChar w:fldCharType="separate"/>
      </w:r>
      <w:r w:rsidR="008E0DB9">
        <w:rPr>
          <w:noProof/>
        </w:rPr>
        <w:t>19</w:t>
      </w:r>
      <w:r w:rsidR="00B41499">
        <w:rPr>
          <w:noProof/>
        </w:rPr>
        <w:fldChar w:fldCharType="end"/>
      </w:r>
    </w:p>
    <w:p w:rsidR="0023799B" w:rsidRDefault="0023799B">
      <w:pPr>
        <w:pStyle w:val="TOC1"/>
        <w:rPr>
          <w:rFonts w:asciiTheme="minorHAnsi" w:eastAsiaTheme="minorEastAsia" w:hAnsiTheme="minorHAnsi" w:cstheme="minorBidi"/>
          <w:b w:val="0"/>
          <w:color w:val="auto"/>
          <w:lang w:eastAsia="ja-JP"/>
        </w:rPr>
      </w:pPr>
      <w:r>
        <w:t>3</w:t>
      </w:r>
      <w:r>
        <w:rPr>
          <w:rFonts w:asciiTheme="minorHAnsi" w:eastAsiaTheme="minorEastAsia" w:hAnsiTheme="minorHAnsi" w:cstheme="minorBidi"/>
          <w:b w:val="0"/>
          <w:color w:val="auto"/>
          <w:lang w:eastAsia="ja-JP"/>
        </w:rPr>
        <w:tab/>
      </w:r>
      <w:r>
        <w:t>Technical summary</w:t>
      </w:r>
      <w:r>
        <w:tab/>
      </w:r>
      <w:r w:rsidR="00B41499">
        <w:fldChar w:fldCharType="begin"/>
      </w:r>
      <w:r>
        <w:instrText xml:space="preserve"> PAGEREF _Toc257359946 \h </w:instrText>
      </w:r>
      <w:r w:rsidR="00B41499">
        <w:fldChar w:fldCharType="separate"/>
      </w:r>
      <w:r w:rsidR="008E0DB9">
        <w:t>27</w:t>
      </w:r>
      <w:r w:rsidR="00B41499">
        <w:fldChar w:fldCharType="end"/>
      </w:r>
    </w:p>
    <w:p w:rsidR="0023799B" w:rsidRDefault="0023799B">
      <w:pPr>
        <w:pStyle w:val="TOC2"/>
        <w:rPr>
          <w:rFonts w:asciiTheme="minorHAnsi" w:eastAsiaTheme="minorEastAsia" w:hAnsiTheme="minorHAnsi" w:cstheme="minorBidi"/>
          <w:noProof/>
          <w:sz w:val="24"/>
          <w:szCs w:val="24"/>
          <w:lang w:eastAsia="ja-JP"/>
        </w:rPr>
      </w:pPr>
      <w:r w:rsidRPr="00153596">
        <w:rPr>
          <w:noProof/>
        </w:rPr>
        <w:t>3.1</w:t>
      </w:r>
      <w:r>
        <w:rPr>
          <w:rFonts w:asciiTheme="minorHAnsi" w:eastAsiaTheme="minorEastAsia" w:hAnsiTheme="minorHAnsi" w:cstheme="minorBidi"/>
          <w:noProof/>
          <w:sz w:val="24"/>
          <w:szCs w:val="24"/>
          <w:lang w:eastAsia="ja-JP"/>
        </w:rPr>
        <w:tab/>
      </w:r>
      <w:r w:rsidRPr="00153596">
        <w:rPr>
          <w:noProof/>
        </w:rPr>
        <w:t>Current and future potential for nil and lower GWP options</w:t>
      </w:r>
      <w:r>
        <w:rPr>
          <w:noProof/>
        </w:rPr>
        <w:tab/>
      </w:r>
      <w:r w:rsidR="00B41499">
        <w:rPr>
          <w:noProof/>
        </w:rPr>
        <w:fldChar w:fldCharType="begin"/>
      </w:r>
      <w:r>
        <w:rPr>
          <w:noProof/>
        </w:rPr>
        <w:instrText xml:space="preserve"> PAGEREF _Toc257359947 \h </w:instrText>
      </w:r>
      <w:r w:rsidR="00B41499">
        <w:rPr>
          <w:noProof/>
        </w:rPr>
      </w:r>
      <w:r w:rsidR="00B41499">
        <w:rPr>
          <w:noProof/>
        </w:rPr>
        <w:fldChar w:fldCharType="separate"/>
      </w:r>
      <w:r w:rsidR="008E0DB9">
        <w:rPr>
          <w:noProof/>
        </w:rPr>
        <w:t>28</w:t>
      </w:r>
      <w:r w:rsidR="00B41499">
        <w:rPr>
          <w:noProof/>
        </w:rPr>
        <w:fldChar w:fldCharType="end"/>
      </w:r>
    </w:p>
    <w:p w:rsidR="0023799B" w:rsidRDefault="0023799B">
      <w:pPr>
        <w:pStyle w:val="TOC2"/>
        <w:rPr>
          <w:rFonts w:asciiTheme="minorHAnsi" w:eastAsiaTheme="minorEastAsia" w:hAnsiTheme="minorHAnsi" w:cstheme="minorBidi"/>
          <w:noProof/>
          <w:sz w:val="24"/>
          <w:szCs w:val="24"/>
          <w:lang w:eastAsia="ja-JP"/>
        </w:rPr>
      </w:pPr>
      <w:r w:rsidRPr="00153596">
        <w:rPr>
          <w:noProof/>
        </w:rPr>
        <w:t>3.2</w:t>
      </w:r>
      <w:r>
        <w:rPr>
          <w:rFonts w:asciiTheme="minorHAnsi" w:eastAsiaTheme="minorEastAsia" w:hAnsiTheme="minorHAnsi" w:cstheme="minorBidi"/>
          <w:noProof/>
          <w:sz w:val="24"/>
          <w:szCs w:val="24"/>
          <w:lang w:eastAsia="ja-JP"/>
        </w:rPr>
        <w:tab/>
      </w:r>
      <w:r w:rsidRPr="00153596">
        <w:rPr>
          <w:noProof/>
        </w:rPr>
        <w:t>Summary of commercially available nil and lower GWP options, and associated challenges</w:t>
      </w:r>
      <w:r>
        <w:rPr>
          <w:noProof/>
        </w:rPr>
        <w:tab/>
      </w:r>
      <w:r w:rsidR="00B41499">
        <w:rPr>
          <w:noProof/>
        </w:rPr>
        <w:fldChar w:fldCharType="begin"/>
      </w:r>
      <w:r>
        <w:rPr>
          <w:noProof/>
        </w:rPr>
        <w:instrText xml:space="preserve"> PAGEREF _Toc257359948 \h </w:instrText>
      </w:r>
      <w:r w:rsidR="00B41499">
        <w:rPr>
          <w:noProof/>
        </w:rPr>
      </w:r>
      <w:r w:rsidR="00B41499">
        <w:rPr>
          <w:noProof/>
        </w:rPr>
        <w:fldChar w:fldCharType="separate"/>
      </w:r>
      <w:r w:rsidR="008E0DB9">
        <w:rPr>
          <w:noProof/>
        </w:rPr>
        <w:t>30</w:t>
      </w:r>
      <w:r w:rsidR="00B41499">
        <w:rPr>
          <w:noProof/>
        </w:rPr>
        <w:fldChar w:fldCharType="end"/>
      </w:r>
    </w:p>
    <w:p w:rsidR="0023799B" w:rsidRDefault="0023799B">
      <w:pPr>
        <w:pStyle w:val="TOC2"/>
        <w:rPr>
          <w:rFonts w:asciiTheme="minorHAnsi" w:eastAsiaTheme="minorEastAsia" w:hAnsiTheme="minorHAnsi" w:cstheme="minorBidi"/>
          <w:noProof/>
          <w:sz w:val="24"/>
          <w:szCs w:val="24"/>
          <w:lang w:eastAsia="ja-JP"/>
        </w:rPr>
      </w:pPr>
      <w:r w:rsidRPr="00153596">
        <w:rPr>
          <w:noProof/>
        </w:rPr>
        <w:t>3.3</w:t>
      </w:r>
      <w:r>
        <w:rPr>
          <w:rFonts w:asciiTheme="minorHAnsi" w:eastAsiaTheme="minorEastAsia" w:hAnsiTheme="minorHAnsi" w:cstheme="minorBidi"/>
          <w:noProof/>
          <w:sz w:val="24"/>
          <w:szCs w:val="24"/>
          <w:lang w:eastAsia="ja-JP"/>
        </w:rPr>
        <w:tab/>
      </w:r>
      <w:r>
        <w:rPr>
          <w:noProof/>
        </w:rPr>
        <w:t>Rapidly emerging nil or lower GWP alternatives</w:t>
      </w:r>
      <w:r>
        <w:rPr>
          <w:noProof/>
        </w:rPr>
        <w:tab/>
      </w:r>
      <w:r w:rsidR="00B41499">
        <w:rPr>
          <w:noProof/>
        </w:rPr>
        <w:fldChar w:fldCharType="begin"/>
      </w:r>
      <w:r>
        <w:rPr>
          <w:noProof/>
        </w:rPr>
        <w:instrText xml:space="preserve"> PAGEREF _Toc257359949 \h </w:instrText>
      </w:r>
      <w:r w:rsidR="00B41499">
        <w:rPr>
          <w:noProof/>
        </w:rPr>
      </w:r>
      <w:r w:rsidR="00B41499">
        <w:rPr>
          <w:noProof/>
        </w:rPr>
        <w:fldChar w:fldCharType="separate"/>
      </w:r>
      <w:r w:rsidR="008E0DB9">
        <w:rPr>
          <w:noProof/>
        </w:rPr>
        <w:t>33</w:t>
      </w:r>
      <w:r w:rsidR="00B41499">
        <w:rPr>
          <w:noProof/>
        </w:rPr>
        <w:fldChar w:fldCharType="end"/>
      </w:r>
    </w:p>
    <w:p w:rsidR="0023799B" w:rsidRDefault="0023799B">
      <w:pPr>
        <w:pStyle w:val="TOC2"/>
        <w:rPr>
          <w:rFonts w:asciiTheme="minorHAnsi" w:eastAsiaTheme="minorEastAsia" w:hAnsiTheme="minorHAnsi" w:cstheme="minorBidi"/>
          <w:noProof/>
          <w:sz w:val="24"/>
          <w:szCs w:val="24"/>
          <w:lang w:eastAsia="ja-JP"/>
        </w:rPr>
      </w:pPr>
      <w:r w:rsidRPr="00153596">
        <w:rPr>
          <w:noProof/>
        </w:rPr>
        <w:t>3.4</w:t>
      </w:r>
      <w:r>
        <w:rPr>
          <w:rFonts w:asciiTheme="minorHAnsi" w:eastAsiaTheme="minorEastAsia" w:hAnsiTheme="minorHAnsi" w:cstheme="minorBidi"/>
          <w:noProof/>
          <w:sz w:val="24"/>
          <w:szCs w:val="24"/>
          <w:lang w:eastAsia="ja-JP"/>
        </w:rPr>
        <w:tab/>
      </w:r>
      <w:r>
        <w:rPr>
          <w:noProof/>
        </w:rPr>
        <w:t>Fourth generation synthetic substances and blends under development</w:t>
      </w:r>
      <w:r>
        <w:rPr>
          <w:noProof/>
        </w:rPr>
        <w:tab/>
      </w:r>
      <w:r w:rsidR="00B41499">
        <w:rPr>
          <w:noProof/>
        </w:rPr>
        <w:fldChar w:fldCharType="begin"/>
      </w:r>
      <w:r>
        <w:rPr>
          <w:noProof/>
        </w:rPr>
        <w:instrText xml:space="preserve"> PAGEREF _Toc257359950 \h </w:instrText>
      </w:r>
      <w:r w:rsidR="00B41499">
        <w:rPr>
          <w:noProof/>
        </w:rPr>
      </w:r>
      <w:r w:rsidR="00B41499">
        <w:rPr>
          <w:noProof/>
        </w:rPr>
        <w:fldChar w:fldCharType="separate"/>
      </w:r>
      <w:r w:rsidR="008E0DB9">
        <w:rPr>
          <w:noProof/>
        </w:rPr>
        <w:t>36</w:t>
      </w:r>
      <w:r w:rsidR="00B41499">
        <w:rPr>
          <w:noProof/>
        </w:rPr>
        <w:fldChar w:fldCharType="end"/>
      </w:r>
    </w:p>
    <w:p w:rsidR="0023799B" w:rsidRDefault="0023799B">
      <w:pPr>
        <w:pStyle w:val="TOC2"/>
        <w:rPr>
          <w:rFonts w:asciiTheme="minorHAnsi" w:eastAsiaTheme="minorEastAsia" w:hAnsiTheme="minorHAnsi" w:cstheme="minorBidi"/>
          <w:noProof/>
          <w:sz w:val="24"/>
          <w:szCs w:val="24"/>
          <w:lang w:eastAsia="ja-JP"/>
        </w:rPr>
      </w:pPr>
      <w:r w:rsidRPr="00153596">
        <w:rPr>
          <w:noProof/>
        </w:rPr>
        <w:t>3.5</w:t>
      </w:r>
      <w:r>
        <w:rPr>
          <w:rFonts w:asciiTheme="minorHAnsi" w:eastAsiaTheme="minorEastAsia" w:hAnsiTheme="minorHAnsi" w:cstheme="minorBidi"/>
          <w:noProof/>
          <w:sz w:val="24"/>
          <w:szCs w:val="24"/>
          <w:lang w:eastAsia="ja-JP"/>
        </w:rPr>
        <w:tab/>
      </w:r>
      <w:r w:rsidRPr="00153596">
        <w:rPr>
          <w:noProof/>
        </w:rPr>
        <w:t>Summary of emerging HFO blends on the near horizon</w:t>
      </w:r>
      <w:r>
        <w:rPr>
          <w:noProof/>
        </w:rPr>
        <w:tab/>
      </w:r>
      <w:r w:rsidR="00B41499">
        <w:rPr>
          <w:noProof/>
        </w:rPr>
        <w:fldChar w:fldCharType="begin"/>
      </w:r>
      <w:r>
        <w:rPr>
          <w:noProof/>
        </w:rPr>
        <w:instrText xml:space="preserve"> PAGEREF _Toc257359951 \h </w:instrText>
      </w:r>
      <w:r w:rsidR="00B41499">
        <w:rPr>
          <w:noProof/>
        </w:rPr>
      </w:r>
      <w:r w:rsidR="00B41499">
        <w:rPr>
          <w:noProof/>
        </w:rPr>
        <w:fldChar w:fldCharType="separate"/>
      </w:r>
      <w:r w:rsidR="008E0DB9">
        <w:rPr>
          <w:noProof/>
        </w:rPr>
        <w:t>39</w:t>
      </w:r>
      <w:r w:rsidR="00B41499">
        <w:rPr>
          <w:noProof/>
        </w:rPr>
        <w:fldChar w:fldCharType="end"/>
      </w:r>
    </w:p>
    <w:p w:rsidR="0023799B" w:rsidRDefault="0023799B">
      <w:pPr>
        <w:pStyle w:val="TOC2"/>
        <w:rPr>
          <w:rFonts w:asciiTheme="minorHAnsi" w:eastAsiaTheme="minorEastAsia" w:hAnsiTheme="minorHAnsi" w:cstheme="minorBidi"/>
          <w:noProof/>
          <w:sz w:val="24"/>
          <w:szCs w:val="24"/>
          <w:lang w:eastAsia="ja-JP"/>
        </w:rPr>
      </w:pPr>
      <w:r w:rsidRPr="00153596">
        <w:rPr>
          <w:noProof/>
        </w:rPr>
        <w:t>3.6</w:t>
      </w:r>
      <w:r>
        <w:rPr>
          <w:rFonts w:asciiTheme="minorHAnsi" w:eastAsiaTheme="minorEastAsia" w:hAnsiTheme="minorHAnsi" w:cstheme="minorBidi"/>
          <w:noProof/>
          <w:sz w:val="24"/>
          <w:szCs w:val="24"/>
          <w:lang w:eastAsia="ja-JP"/>
        </w:rPr>
        <w:tab/>
      </w:r>
      <w:r w:rsidRPr="00153596">
        <w:rPr>
          <w:noProof/>
        </w:rPr>
        <w:t>Transition map to nil or lower GWP options for main equipment classes and technologies</w:t>
      </w:r>
      <w:r>
        <w:rPr>
          <w:noProof/>
        </w:rPr>
        <w:tab/>
      </w:r>
      <w:r w:rsidR="00B41499">
        <w:rPr>
          <w:noProof/>
        </w:rPr>
        <w:fldChar w:fldCharType="begin"/>
      </w:r>
      <w:r>
        <w:rPr>
          <w:noProof/>
        </w:rPr>
        <w:instrText xml:space="preserve"> PAGEREF _Toc257359952 \h </w:instrText>
      </w:r>
      <w:r w:rsidR="00B41499">
        <w:rPr>
          <w:noProof/>
        </w:rPr>
      </w:r>
      <w:r w:rsidR="00B41499">
        <w:rPr>
          <w:noProof/>
        </w:rPr>
        <w:fldChar w:fldCharType="separate"/>
      </w:r>
      <w:r w:rsidR="008E0DB9">
        <w:rPr>
          <w:noProof/>
        </w:rPr>
        <w:t>43</w:t>
      </w:r>
      <w:r w:rsidR="00B41499">
        <w:rPr>
          <w:noProof/>
        </w:rPr>
        <w:fldChar w:fldCharType="end"/>
      </w:r>
    </w:p>
    <w:p w:rsidR="0023799B" w:rsidRDefault="0023799B">
      <w:pPr>
        <w:pStyle w:val="TOC1"/>
        <w:rPr>
          <w:rFonts w:asciiTheme="minorHAnsi" w:eastAsiaTheme="minorEastAsia" w:hAnsiTheme="minorHAnsi" w:cstheme="minorBidi"/>
          <w:b w:val="0"/>
          <w:color w:val="auto"/>
          <w:lang w:eastAsia="ja-JP"/>
        </w:rPr>
      </w:pPr>
      <w:r>
        <w:t>4</w:t>
      </w:r>
      <w:r>
        <w:rPr>
          <w:rFonts w:asciiTheme="minorHAnsi" w:eastAsiaTheme="minorEastAsia" w:hAnsiTheme="minorHAnsi" w:cstheme="minorBidi"/>
          <w:b w:val="0"/>
          <w:color w:val="auto"/>
          <w:lang w:eastAsia="ja-JP"/>
        </w:rPr>
        <w:tab/>
      </w:r>
      <w:r>
        <w:t>Refrigerant bank and consumption</w:t>
      </w:r>
      <w:r>
        <w:tab/>
      </w:r>
      <w:r w:rsidR="00B41499">
        <w:fldChar w:fldCharType="begin"/>
      </w:r>
      <w:r>
        <w:instrText xml:space="preserve"> PAGEREF _Toc257359953 \h </w:instrText>
      </w:r>
      <w:r w:rsidR="00B41499">
        <w:fldChar w:fldCharType="separate"/>
      </w:r>
      <w:r w:rsidR="008E0DB9">
        <w:t>50</w:t>
      </w:r>
      <w:r w:rsidR="00B41499">
        <w:fldChar w:fldCharType="end"/>
      </w:r>
    </w:p>
    <w:p w:rsidR="0023799B" w:rsidRDefault="0023799B">
      <w:pPr>
        <w:pStyle w:val="TOC2"/>
        <w:rPr>
          <w:rFonts w:asciiTheme="minorHAnsi" w:eastAsiaTheme="minorEastAsia" w:hAnsiTheme="minorHAnsi" w:cstheme="minorBidi"/>
          <w:noProof/>
          <w:sz w:val="24"/>
          <w:szCs w:val="24"/>
          <w:lang w:eastAsia="ja-JP"/>
        </w:rPr>
      </w:pPr>
      <w:r w:rsidRPr="00153596">
        <w:rPr>
          <w:noProof/>
        </w:rPr>
        <w:t>4.1</w:t>
      </w:r>
      <w:r>
        <w:rPr>
          <w:rFonts w:asciiTheme="minorHAnsi" w:eastAsiaTheme="minorEastAsia" w:hAnsiTheme="minorHAnsi" w:cstheme="minorBidi"/>
          <w:noProof/>
          <w:sz w:val="24"/>
          <w:szCs w:val="24"/>
          <w:lang w:eastAsia="ja-JP"/>
        </w:rPr>
        <w:tab/>
      </w:r>
      <w:r w:rsidRPr="00153596">
        <w:rPr>
          <w:noProof/>
        </w:rPr>
        <w:t>Dissection by major sector</w:t>
      </w:r>
      <w:r>
        <w:rPr>
          <w:noProof/>
        </w:rPr>
        <w:tab/>
      </w:r>
      <w:r w:rsidR="00B41499">
        <w:rPr>
          <w:noProof/>
        </w:rPr>
        <w:fldChar w:fldCharType="begin"/>
      </w:r>
      <w:r>
        <w:rPr>
          <w:noProof/>
        </w:rPr>
        <w:instrText xml:space="preserve"> PAGEREF _Toc257359954 \h </w:instrText>
      </w:r>
      <w:r w:rsidR="00B41499">
        <w:rPr>
          <w:noProof/>
        </w:rPr>
      </w:r>
      <w:r w:rsidR="00B41499">
        <w:rPr>
          <w:noProof/>
        </w:rPr>
        <w:fldChar w:fldCharType="separate"/>
      </w:r>
      <w:r w:rsidR="008E0DB9">
        <w:rPr>
          <w:noProof/>
        </w:rPr>
        <w:t>50</w:t>
      </w:r>
      <w:r w:rsidR="00B41499">
        <w:rPr>
          <w:noProof/>
        </w:rPr>
        <w:fldChar w:fldCharType="end"/>
      </w:r>
    </w:p>
    <w:p w:rsidR="0023799B" w:rsidRDefault="0023799B">
      <w:pPr>
        <w:pStyle w:val="TOC2"/>
        <w:rPr>
          <w:rFonts w:asciiTheme="minorHAnsi" w:eastAsiaTheme="minorEastAsia" w:hAnsiTheme="minorHAnsi" w:cstheme="minorBidi"/>
          <w:noProof/>
          <w:sz w:val="24"/>
          <w:szCs w:val="24"/>
          <w:lang w:eastAsia="ja-JP"/>
        </w:rPr>
      </w:pPr>
      <w:r w:rsidRPr="00153596">
        <w:rPr>
          <w:noProof/>
        </w:rPr>
        <w:t>4.2</w:t>
      </w:r>
      <w:r>
        <w:rPr>
          <w:rFonts w:asciiTheme="minorHAnsi" w:eastAsiaTheme="minorEastAsia" w:hAnsiTheme="minorHAnsi" w:cstheme="minorBidi"/>
          <w:noProof/>
          <w:sz w:val="24"/>
          <w:szCs w:val="24"/>
          <w:lang w:eastAsia="ja-JP"/>
        </w:rPr>
        <w:tab/>
      </w:r>
      <w:r w:rsidRPr="00153596">
        <w:rPr>
          <w:noProof/>
        </w:rPr>
        <w:t>Dissection by common gas types</w:t>
      </w:r>
      <w:r>
        <w:rPr>
          <w:noProof/>
        </w:rPr>
        <w:tab/>
      </w:r>
      <w:r w:rsidR="00B41499">
        <w:rPr>
          <w:noProof/>
        </w:rPr>
        <w:fldChar w:fldCharType="begin"/>
      </w:r>
      <w:r>
        <w:rPr>
          <w:noProof/>
        </w:rPr>
        <w:instrText xml:space="preserve"> PAGEREF _Toc257359955 \h </w:instrText>
      </w:r>
      <w:r w:rsidR="00B41499">
        <w:rPr>
          <w:noProof/>
        </w:rPr>
      </w:r>
      <w:r w:rsidR="00B41499">
        <w:rPr>
          <w:noProof/>
        </w:rPr>
        <w:fldChar w:fldCharType="separate"/>
      </w:r>
      <w:r w:rsidR="008E0DB9">
        <w:rPr>
          <w:noProof/>
        </w:rPr>
        <w:t>52</w:t>
      </w:r>
      <w:r w:rsidR="00B41499">
        <w:rPr>
          <w:noProof/>
        </w:rPr>
        <w:fldChar w:fldCharType="end"/>
      </w:r>
    </w:p>
    <w:p w:rsidR="0023799B" w:rsidRDefault="0023799B">
      <w:pPr>
        <w:pStyle w:val="TOC1"/>
        <w:rPr>
          <w:rFonts w:asciiTheme="minorHAnsi" w:eastAsiaTheme="minorEastAsia" w:hAnsiTheme="minorHAnsi" w:cstheme="minorBidi"/>
          <w:b w:val="0"/>
          <w:color w:val="auto"/>
          <w:lang w:eastAsia="ja-JP"/>
        </w:rPr>
      </w:pPr>
      <w:r>
        <w:t>5</w:t>
      </w:r>
      <w:r>
        <w:rPr>
          <w:rFonts w:asciiTheme="minorHAnsi" w:eastAsiaTheme="minorEastAsia" w:hAnsiTheme="minorHAnsi" w:cstheme="minorBidi"/>
          <w:b w:val="0"/>
          <w:color w:val="auto"/>
          <w:lang w:eastAsia="ja-JP"/>
        </w:rPr>
        <w:tab/>
      </w:r>
      <w:r>
        <w:t>HFC Bulk imports</w:t>
      </w:r>
      <w:r>
        <w:tab/>
      </w:r>
      <w:r w:rsidR="00B41499">
        <w:fldChar w:fldCharType="begin"/>
      </w:r>
      <w:r>
        <w:instrText xml:space="preserve"> PAGEREF _Toc257359956 \h </w:instrText>
      </w:r>
      <w:r w:rsidR="00B41499">
        <w:fldChar w:fldCharType="separate"/>
      </w:r>
      <w:r w:rsidR="008E0DB9">
        <w:t>55</w:t>
      </w:r>
      <w:r w:rsidR="00B41499">
        <w:fldChar w:fldCharType="end"/>
      </w:r>
    </w:p>
    <w:p w:rsidR="0023799B" w:rsidRDefault="0023799B">
      <w:pPr>
        <w:pStyle w:val="TOC1"/>
        <w:rPr>
          <w:rFonts w:asciiTheme="minorHAnsi" w:eastAsiaTheme="minorEastAsia" w:hAnsiTheme="minorHAnsi" w:cstheme="minorBidi"/>
          <w:b w:val="0"/>
          <w:color w:val="auto"/>
          <w:lang w:eastAsia="ja-JP"/>
        </w:rPr>
      </w:pPr>
      <w:r>
        <w:t>6</w:t>
      </w:r>
      <w:r>
        <w:rPr>
          <w:rFonts w:asciiTheme="minorHAnsi" w:eastAsiaTheme="minorEastAsia" w:hAnsiTheme="minorHAnsi" w:cstheme="minorBidi"/>
          <w:b w:val="0"/>
          <w:color w:val="auto"/>
          <w:lang w:eastAsia="ja-JP"/>
        </w:rPr>
        <w:tab/>
      </w:r>
      <w:r>
        <w:t>Domestic refrigeration</w:t>
      </w:r>
      <w:r>
        <w:tab/>
      </w:r>
      <w:r w:rsidR="00B41499">
        <w:fldChar w:fldCharType="begin"/>
      </w:r>
      <w:r>
        <w:instrText xml:space="preserve"> PAGEREF _Toc257359957 \h </w:instrText>
      </w:r>
      <w:r w:rsidR="00B41499">
        <w:fldChar w:fldCharType="separate"/>
      </w:r>
      <w:r w:rsidR="008E0DB9">
        <w:t>58</w:t>
      </w:r>
      <w:r w:rsidR="00B41499">
        <w:fldChar w:fldCharType="end"/>
      </w:r>
    </w:p>
    <w:p w:rsidR="0023799B" w:rsidRDefault="0023799B">
      <w:pPr>
        <w:pStyle w:val="TOC1"/>
        <w:rPr>
          <w:rFonts w:asciiTheme="minorHAnsi" w:eastAsiaTheme="minorEastAsia" w:hAnsiTheme="minorHAnsi" w:cstheme="minorBidi"/>
          <w:b w:val="0"/>
          <w:color w:val="auto"/>
          <w:lang w:eastAsia="ja-JP"/>
        </w:rPr>
      </w:pPr>
      <w:r>
        <w:t>7</w:t>
      </w:r>
      <w:r>
        <w:rPr>
          <w:rFonts w:asciiTheme="minorHAnsi" w:eastAsiaTheme="minorEastAsia" w:hAnsiTheme="minorHAnsi" w:cstheme="minorBidi"/>
          <w:b w:val="0"/>
          <w:color w:val="auto"/>
          <w:lang w:eastAsia="ja-JP"/>
        </w:rPr>
        <w:tab/>
      </w:r>
      <w:r>
        <w:t>Refrigerated cold food chain</w:t>
      </w:r>
      <w:r>
        <w:tab/>
      </w:r>
      <w:r w:rsidR="00B41499">
        <w:fldChar w:fldCharType="begin"/>
      </w:r>
      <w:r>
        <w:instrText xml:space="preserve"> PAGEREF _Toc257359958 \h </w:instrText>
      </w:r>
      <w:r w:rsidR="00B41499">
        <w:fldChar w:fldCharType="separate"/>
      </w:r>
      <w:r w:rsidR="008E0DB9">
        <w:t>64</w:t>
      </w:r>
      <w:r w:rsidR="00B41499">
        <w:fldChar w:fldCharType="end"/>
      </w:r>
    </w:p>
    <w:p w:rsidR="0023799B" w:rsidRDefault="0023799B">
      <w:pPr>
        <w:pStyle w:val="TOC1"/>
        <w:rPr>
          <w:rFonts w:asciiTheme="minorHAnsi" w:eastAsiaTheme="minorEastAsia" w:hAnsiTheme="minorHAnsi" w:cstheme="minorBidi"/>
          <w:b w:val="0"/>
          <w:color w:val="auto"/>
          <w:lang w:eastAsia="ja-JP"/>
        </w:rPr>
      </w:pPr>
      <w:r>
        <w:t>8</w:t>
      </w:r>
      <w:r>
        <w:rPr>
          <w:rFonts w:asciiTheme="minorHAnsi" w:eastAsiaTheme="minorEastAsia" w:hAnsiTheme="minorHAnsi" w:cstheme="minorBidi"/>
          <w:b w:val="0"/>
          <w:color w:val="auto"/>
          <w:lang w:eastAsia="ja-JP"/>
        </w:rPr>
        <w:tab/>
      </w:r>
      <w:r>
        <w:t>Stationary air conditioning</w:t>
      </w:r>
      <w:r>
        <w:tab/>
      </w:r>
      <w:r w:rsidR="00B41499">
        <w:fldChar w:fldCharType="begin"/>
      </w:r>
      <w:r>
        <w:instrText xml:space="preserve"> PAGEREF _Toc257359959 \h </w:instrText>
      </w:r>
      <w:r w:rsidR="00B41499">
        <w:fldChar w:fldCharType="separate"/>
      </w:r>
      <w:r w:rsidR="008E0DB9">
        <w:t>78</w:t>
      </w:r>
      <w:r w:rsidR="00B41499">
        <w:fldChar w:fldCharType="end"/>
      </w:r>
    </w:p>
    <w:p w:rsidR="0023799B" w:rsidRDefault="0023799B">
      <w:pPr>
        <w:pStyle w:val="TOC1"/>
        <w:rPr>
          <w:rFonts w:asciiTheme="minorHAnsi" w:eastAsiaTheme="minorEastAsia" w:hAnsiTheme="minorHAnsi" w:cstheme="minorBidi"/>
          <w:b w:val="0"/>
          <w:color w:val="auto"/>
          <w:lang w:eastAsia="ja-JP"/>
        </w:rPr>
      </w:pPr>
      <w:r>
        <w:t>9</w:t>
      </w:r>
      <w:r>
        <w:rPr>
          <w:rFonts w:asciiTheme="minorHAnsi" w:eastAsiaTheme="minorEastAsia" w:hAnsiTheme="minorHAnsi" w:cstheme="minorBidi"/>
          <w:b w:val="0"/>
          <w:color w:val="auto"/>
          <w:lang w:eastAsia="ja-JP"/>
        </w:rPr>
        <w:tab/>
      </w:r>
      <w:r>
        <w:t>Mobile air conditioning</w:t>
      </w:r>
      <w:r>
        <w:tab/>
      </w:r>
      <w:r w:rsidR="00B41499">
        <w:fldChar w:fldCharType="begin"/>
      </w:r>
      <w:r>
        <w:instrText xml:space="preserve"> PAGEREF _Toc257359960 \h </w:instrText>
      </w:r>
      <w:r w:rsidR="00B41499">
        <w:fldChar w:fldCharType="separate"/>
      </w:r>
      <w:r w:rsidR="008E0DB9">
        <w:t>91</w:t>
      </w:r>
      <w:r w:rsidR="00B41499">
        <w:fldChar w:fldCharType="end"/>
      </w:r>
    </w:p>
    <w:p w:rsidR="0023799B" w:rsidRDefault="0023799B">
      <w:pPr>
        <w:pStyle w:val="TOC1"/>
        <w:tabs>
          <w:tab w:val="left" w:pos="483"/>
        </w:tabs>
        <w:rPr>
          <w:rFonts w:asciiTheme="minorHAnsi" w:eastAsiaTheme="minorEastAsia" w:hAnsiTheme="minorHAnsi" w:cstheme="minorBidi"/>
          <w:b w:val="0"/>
          <w:color w:val="auto"/>
          <w:lang w:eastAsia="ja-JP"/>
        </w:rPr>
      </w:pPr>
      <w:r>
        <w:t>10</w:t>
      </w:r>
      <w:r>
        <w:rPr>
          <w:rFonts w:asciiTheme="minorHAnsi" w:eastAsiaTheme="minorEastAsia" w:hAnsiTheme="minorHAnsi" w:cstheme="minorBidi"/>
          <w:b w:val="0"/>
          <w:color w:val="auto"/>
          <w:lang w:eastAsia="ja-JP"/>
        </w:rPr>
        <w:tab/>
      </w:r>
      <w:r>
        <w:t>Foam</w:t>
      </w:r>
      <w:r>
        <w:tab/>
      </w:r>
      <w:r w:rsidR="00B41499">
        <w:fldChar w:fldCharType="begin"/>
      </w:r>
      <w:r>
        <w:instrText xml:space="preserve"> PAGEREF _Toc257359961 \h </w:instrText>
      </w:r>
      <w:r w:rsidR="00B41499">
        <w:fldChar w:fldCharType="separate"/>
      </w:r>
      <w:r w:rsidR="008E0DB9">
        <w:t>100</w:t>
      </w:r>
      <w:r w:rsidR="00B41499">
        <w:fldChar w:fldCharType="end"/>
      </w:r>
    </w:p>
    <w:p w:rsidR="0023799B" w:rsidRDefault="0023799B">
      <w:pPr>
        <w:pStyle w:val="TOC1"/>
        <w:tabs>
          <w:tab w:val="left" w:pos="483"/>
        </w:tabs>
        <w:rPr>
          <w:rFonts w:asciiTheme="minorHAnsi" w:eastAsiaTheme="minorEastAsia" w:hAnsiTheme="minorHAnsi" w:cstheme="minorBidi"/>
          <w:b w:val="0"/>
          <w:color w:val="auto"/>
          <w:lang w:eastAsia="ja-JP"/>
        </w:rPr>
      </w:pPr>
      <w:r>
        <w:t>11</w:t>
      </w:r>
      <w:r>
        <w:rPr>
          <w:rFonts w:asciiTheme="minorHAnsi" w:eastAsiaTheme="minorEastAsia" w:hAnsiTheme="minorHAnsi" w:cstheme="minorBidi"/>
          <w:b w:val="0"/>
          <w:color w:val="auto"/>
          <w:lang w:eastAsia="ja-JP"/>
        </w:rPr>
        <w:tab/>
      </w:r>
      <w:r>
        <w:t>Fire protection</w:t>
      </w:r>
      <w:r>
        <w:tab/>
      </w:r>
      <w:r w:rsidR="00B41499">
        <w:fldChar w:fldCharType="begin"/>
      </w:r>
      <w:r>
        <w:instrText xml:space="preserve"> PAGEREF _Toc257359962 \h </w:instrText>
      </w:r>
      <w:r w:rsidR="00B41499">
        <w:fldChar w:fldCharType="separate"/>
      </w:r>
      <w:r w:rsidR="008E0DB9">
        <w:t>102</w:t>
      </w:r>
      <w:r w:rsidR="00B41499">
        <w:fldChar w:fldCharType="end"/>
      </w:r>
    </w:p>
    <w:p w:rsidR="0023799B" w:rsidRDefault="0023799B">
      <w:pPr>
        <w:pStyle w:val="TOC1"/>
        <w:tabs>
          <w:tab w:val="left" w:pos="483"/>
        </w:tabs>
        <w:rPr>
          <w:rFonts w:asciiTheme="minorHAnsi" w:eastAsiaTheme="minorEastAsia" w:hAnsiTheme="minorHAnsi" w:cstheme="minorBidi"/>
          <w:b w:val="0"/>
          <w:color w:val="auto"/>
          <w:lang w:eastAsia="ja-JP"/>
        </w:rPr>
      </w:pPr>
      <w:r>
        <w:t>12</w:t>
      </w:r>
      <w:r>
        <w:rPr>
          <w:rFonts w:asciiTheme="minorHAnsi" w:eastAsiaTheme="minorEastAsia" w:hAnsiTheme="minorHAnsi" w:cstheme="minorBidi"/>
          <w:b w:val="0"/>
          <w:color w:val="auto"/>
          <w:lang w:eastAsia="ja-JP"/>
        </w:rPr>
        <w:tab/>
      </w:r>
      <w:r>
        <w:t>Aerosols (including medical)</w:t>
      </w:r>
      <w:r>
        <w:tab/>
      </w:r>
      <w:r w:rsidR="00B41499">
        <w:fldChar w:fldCharType="begin"/>
      </w:r>
      <w:r>
        <w:instrText xml:space="preserve"> PAGEREF _Toc257359963 \h </w:instrText>
      </w:r>
      <w:r w:rsidR="00B41499">
        <w:fldChar w:fldCharType="separate"/>
      </w:r>
      <w:r w:rsidR="008E0DB9">
        <w:t>104</w:t>
      </w:r>
      <w:r w:rsidR="00B41499">
        <w:fldChar w:fldCharType="end"/>
      </w:r>
    </w:p>
    <w:p w:rsidR="0023799B" w:rsidRDefault="0023799B">
      <w:pPr>
        <w:pStyle w:val="TOC1"/>
        <w:tabs>
          <w:tab w:val="left" w:pos="483"/>
        </w:tabs>
        <w:rPr>
          <w:rFonts w:asciiTheme="minorHAnsi" w:eastAsiaTheme="minorEastAsia" w:hAnsiTheme="minorHAnsi" w:cstheme="minorBidi"/>
          <w:b w:val="0"/>
          <w:color w:val="auto"/>
          <w:lang w:eastAsia="ja-JP"/>
        </w:rPr>
      </w:pPr>
      <w:r>
        <w:t>13</w:t>
      </w:r>
      <w:r>
        <w:rPr>
          <w:rFonts w:asciiTheme="minorHAnsi" w:eastAsiaTheme="minorEastAsia" w:hAnsiTheme="minorHAnsi" w:cstheme="minorBidi"/>
          <w:b w:val="0"/>
          <w:color w:val="auto"/>
          <w:lang w:eastAsia="ja-JP"/>
        </w:rPr>
        <w:tab/>
      </w:r>
      <w:r>
        <w:t>Training for transition</w:t>
      </w:r>
      <w:r>
        <w:tab/>
      </w:r>
      <w:r w:rsidR="00B41499">
        <w:fldChar w:fldCharType="begin"/>
      </w:r>
      <w:r>
        <w:instrText xml:space="preserve"> PAGEREF _Toc257359964 \h </w:instrText>
      </w:r>
      <w:r w:rsidR="00B41499">
        <w:fldChar w:fldCharType="separate"/>
      </w:r>
      <w:r w:rsidR="008E0DB9">
        <w:t>106</w:t>
      </w:r>
      <w:r w:rsidR="00B41499">
        <w:fldChar w:fldCharType="end"/>
      </w:r>
    </w:p>
    <w:p w:rsidR="0023799B" w:rsidRDefault="0023799B">
      <w:pPr>
        <w:pStyle w:val="TOC1"/>
        <w:tabs>
          <w:tab w:val="left" w:pos="483"/>
        </w:tabs>
        <w:rPr>
          <w:rFonts w:asciiTheme="minorHAnsi" w:eastAsiaTheme="minorEastAsia" w:hAnsiTheme="minorHAnsi" w:cstheme="minorBidi"/>
          <w:b w:val="0"/>
          <w:color w:val="auto"/>
          <w:lang w:eastAsia="ja-JP"/>
        </w:rPr>
      </w:pPr>
      <w:r>
        <w:t>14</w:t>
      </w:r>
      <w:r>
        <w:rPr>
          <w:rFonts w:asciiTheme="minorHAnsi" w:eastAsiaTheme="minorEastAsia" w:hAnsiTheme="minorHAnsi" w:cstheme="minorBidi"/>
          <w:b w:val="0"/>
          <w:color w:val="auto"/>
          <w:lang w:eastAsia="ja-JP"/>
        </w:rPr>
        <w:tab/>
      </w:r>
      <w:r>
        <w:t>Technical standards and Codes of Practice</w:t>
      </w:r>
      <w:r>
        <w:tab/>
      </w:r>
      <w:r w:rsidR="00B41499">
        <w:fldChar w:fldCharType="begin"/>
      </w:r>
      <w:r>
        <w:instrText xml:space="preserve"> PAGEREF _Toc257359965 \h </w:instrText>
      </w:r>
      <w:r w:rsidR="00B41499">
        <w:fldChar w:fldCharType="separate"/>
      </w:r>
      <w:r w:rsidR="008E0DB9">
        <w:t>108</w:t>
      </w:r>
      <w:r w:rsidR="00B41499">
        <w:fldChar w:fldCharType="end"/>
      </w:r>
    </w:p>
    <w:p w:rsidR="0023799B" w:rsidRDefault="0023799B">
      <w:pPr>
        <w:pStyle w:val="TOC1"/>
        <w:tabs>
          <w:tab w:val="left" w:pos="483"/>
        </w:tabs>
        <w:rPr>
          <w:rFonts w:asciiTheme="minorHAnsi" w:eastAsiaTheme="minorEastAsia" w:hAnsiTheme="minorHAnsi" w:cstheme="minorBidi"/>
          <w:b w:val="0"/>
          <w:color w:val="auto"/>
          <w:lang w:eastAsia="ja-JP"/>
        </w:rPr>
      </w:pPr>
      <w:r>
        <w:t>15</w:t>
      </w:r>
      <w:r>
        <w:rPr>
          <w:rFonts w:asciiTheme="minorHAnsi" w:eastAsiaTheme="minorEastAsia" w:hAnsiTheme="minorHAnsi" w:cstheme="minorBidi"/>
          <w:b w:val="0"/>
          <w:color w:val="auto"/>
          <w:lang w:eastAsia="ja-JP"/>
        </w:rPr>
        <w:tab/>
      </w:r>
      <w:r>
        <w:t>Potential perverse outcomes of transitioning to low GWP alternatives</w:t>
      </w:r>
      <w:r>
        <w:tab/>
      </w:r>
      <w:r w:rsidR="00B41499">
        <w:fldChar w:fldCharType="begin"/>
      </w:r>
      <w:r>
        <w:instrText xml:space="preserve"> PAGEREF _Toc257359966 \h </w:instrText>
      </w:r>
      <w:r w:rsidR="00B41499">
        <w:fldChar w:fldCharType="separate"/>
      </w:r>
      <w:r w:rsidR="008E0DB9">
        <w:t>109</w:t>
      </w:r>
      <w:r w:rsidR="00B41499">
        <w:fldChar w:fldCharType="end"/>
      </w:r>
    </w:p>
    <w:p w:rsidR="0023799B" w:rsidRDefault="0023799B">
      <w:pPr>
        <w:pStyle w:val="TOC1"/>
        <w:tabs>
          <w:tab w:val="left" w:pos="483"/>
        </w:tabs>
        <w:rPr>
          <w:rFonts w:asciiTheme="minorHAnsi" w:eastAsiaTheme="minorEastAsia" w:hAnsiTheme="minorHAnsi" w:cstheme="minorBidi"/>
          <w:b w:val="0"/>
          <w:color w:val="auto"/>
          <w:lang w:eastAsia="ja-JP"/>
        </w:rPr>
      </w:pPr>
      <w:r>
        <w:t>16</w:t>
      </w:r>
      <w:r>
        <w:rPr>
          <w:rFonts w:asciiTheme="minorHAnsi" w:eastAsiaTheme="minorEastAsia" w:hAnsiTheme="minorHAnsi" w:cstheme="minorBidi"/>
          <w:b w:val="0"/>
          <w:color w:val="auto"/>
          <w:lang w:eastAsia="ja-JP"/>
        </w:rPr>
        <w:tab/>
      </w:r>
      <w:r>
        <w:t>Costs to transition to low and no GWP alternatives</w:t>
      </w:r>
      <w:r>
        <w:tab/>
      </w:r>
      <w:r w:rsidR="00B41499">
        <w:fldChar w:fldCharType="begin"/>
      </w:r>
      <w:r>
        <w:instrText xml:space="preserve"> PAGEREF _Toc257359967 \h </w:instrText>
      </w:r>
      <w:r w:rsidR="00B41499">
        <w:fldChar w:fldCharType="separate"/>
      </w:r>
      <w:r w:rsidR="008E0DB9">
        <w:t>110</w:t>
      </w:r>
      <w:r w:rsidR="00B41499">
        <w:fldChar w:fldCharType="end"/>
      </w:r>
    </w:p>
    <w:p w:rsidR="0023799B" w:rsidRDefault="0023799B">
      <w:pPr>
        <w:pStyle w:val="TOC1"/>
        <w:tabs>
          <w:tab w:val="left" w:pos="483"/>
        </w:tabs>
        <w:rPr>
          <w:rFonts w:asciiTheme="minorHAnsi" w:eastAsiaTheme="minorEastAsia" w:hAnsiTheme="minorHAnsi" w:cstheme="minorBidi"/>
          <w:b w:val="0"/>
          <w:color w:val="auto"/>
          <w:lang w:eastAsia="ja-JP"/>
        </w:rPr>
      </w:pPr>
      <w:r>
        <w:t>17</w:t>
      </w:r>
      <w:r>
        <w:rPr>
          <w:rFonts w:asciiTheme="minorHAnsi" w:eastAsiaTheme="minorEastAsia" w:hAnsiTheme="minorHAnsi" w:cstheme="minorBidi"/>
          <w:b w:val="0"/>
          <w:color w:val="auto"/>
          <w:lang w:eastAsia="ja-JP"/>
        </w:rPr>
        <w:tab/>
      </w:r>
      <w:r>
        <w:t>Conclusions</w:t>
      </w:r>
      <w:r>
        <w:tab/>
      </w:r>
      <w:r w:rsidR="00B41499">
        <w:fldChar w:fldCharType="begin"/>
      </w:r>
      <w:r>
        <w:instrText xml:space="preserve"> PAGEREF _Toc257359968 \h </w:instrText>
      </w:r>
      <w:r w:rsidR="00B41499">
        <w:fldChar w:fldCharType="separate"/>
      </w:r>
      <w:r w:rsidR="008E0DB9">
        <w:t>112</w:t>
      </w:r>
      <w:r w:rsidR="00B41499">
        <w:fldChar w:fldCharType="end"/>
      </w:r>
    </w:p>
    <w:p w:rsidR="00CF358B" w:rsidRDefault="00B41499" w:rsidP="003937A5">
      <w:pPr>
        <w:rPr>
          <w:rFonts w:ascii="Verdana" w:eastAsia="Times New Roman" w:hAnsi="Verdana" w:cs="Times New Roman"/>
          <w:noProof/>
          <w:color w:val="31849B" w:themeColor="accent5" w:themeShade="BF"/>
          <w:sz w:val="20"/>
          <w:szCs w:val="20"/>
          <w:lang w:val="en-US"/>
        </w:rPr>
      </w:pPr>
      <w:r>
        <w:rPr>
          <w:rFonts w:ascii="Verdana" w:eastAsia="Times New Roman" w:hAnsi="Verdana" w:cs="Times New Roman"/>
          <w:b/>
          <w:noProof/>
          <w:color w:val="31849B" w:themeColor="accent5" w:themeShade="BF"/>
          <w:sz w:val="20"/>
          <w:szCs w:val="20"/>
          <w:lang w:val="en-US"/>
        </w:rPr>
        <w:fldChar w:fldCharType="end"/>
      </w:r>
    </w:p>
    <w:p w:rsidR="00612055" w:rsidRDefault="00612055">
      <w:pPr>
        <w:spacing w:before="0"/>
        <w:jc w:val="left"/>
        <w:rPr>
          <w:rFonts w:asciiTheme="majorHAnsi" w:hAnsiTheme="majorHAnsi"/>
          <w:sz w:val="36"/>
          <w:szCs w:val="36"/>
        </w:rPr>
      </w:pPr>
      <w:r>
        <w:rPr>
          <w:rFonts w:asciiTheme="majorHAnsi" w:hAnsiTheme="majorHAnsi"/>
          <w:sz w:val="36"/>
          <w:szCs w:val="36"/>
        </w:rPr>
        <w:br w:type="page"/>
      </w:r>
    </w:p>
    <w:p w:rsidR="003937A5" w:rsidRPr="00BE3B27" w:rsidRDefault="003937A5" w:rsidP="003937A5">
      <w:pPr>
        <w:rPr>
          <w:rFonts w:asciiTheme="majorHAnsi" w:hAnsiTheme="majorHAnsi"/>
          <w:sz w:val="36"/>
          <w:szCs w:val="36"/>
        </w:rPr>
      </w:pPr>
      <w:r w:rsidRPr="00BE3B27">
        <w:rPr>
          <w:rFonts w:asciiTheme="majorHAnsi" w:hAnsiTheme="majorHAnsi"/>
          <w:sz w:val="36"/>
          <w:szCs w:val="36"/>
        </w:rPr>
        <w:lastRenderedPageBreak/>
        <w:t>Appendices</w:t>
      </w:r>
    </w:p>
    <w:p w:rsidR="00FE41C2" w:rsidRDefault="00482A8A" w:rsidP="003937A5">
      <w:pPr>
        <w:rPr>
          <w:rFonts w:ascii="Calibri" w:hAnsi="Calibri"/>
          <w:b/>
          <w:noProof/>
          <w:color w:val="31849B" w:themeColor="accent5" w:themeShade="BF"/>
        </w:rPr>
      </w:pPr>
      <w:r w:rsidRPr="00482A8A">
        <w:rPr>
          <w:rFonts w:ascii="Calibri" w:hAnsi="Calibri"/>
          <w:b/>
          <w:noProof/>
          <w:color w:val="31849B" w:themeColor="accent5" w:themeShade="BF"/>
        </w:rPr>
        <w:t xml:space="preserve">Appendix A: </w:t>
      </w:r>
      <w:r w:rsidR="00FE41C2">
        <w:rPr>
          <w:rFonts w:ascii="Calibri" w:hAnsi="Calibri"/>
          <w:b/>
          <w:noProof/>
          <w:color w:val="31849B" w:themeColor="accent5" w:themeShade="BF"/>
        </w:rPr>
        <w:t>The NAA Proposal</w:t>
      </w:r>
    </w:p>
    <w:p w:rsidR="00650391" w:rsidRDefault="00FE41C2" w:rsidP="00ED5919">
      <w:pPr>
        <w:rPr>
          <w:rFonts w:ascii="Calibri" w:hAnsi="Calibri"/>
          <w:b/>
          <w:noProof/>
          <w:color w:val="31849B" w:themeColor="accent5" w:themeShade="BF"/>
        </w:rPr>
      </w:pPr>
      <w:r>
        <w:rPr>
          <w:rFonts w:ascii="Calibri" w:hAnsi="Calibri"/>
          <w:b/>
          <w:noProof/>
          <w:color w:val="31849B" w:themeColor="accent5" w:themeShade="BF"/>
        </w:rPr>
        <w:t xml:space="preserve">A1: </w:t>
      </w:r>
      <w:r w:rsidR="00650391">
        <w:rPr>
          <w:rFonts w:ascii="Calibri" w:hAnsi="Calibri"/>
          <w:b/>
          <w:noProof/>
          <w:color w:val="31849B" w:themeColor="accent5" w:themeShade="BF"/>
        </w:rPr>
        <w:t>Summary of NAA proposal baseline calculations</w:t>
      </w:r>
    </w:p>
    <w:p w:rsidR="00FE41C2" w:rsidRDefault="00FE41C2" w:rsidP="00ED5919">
      <w:pPr>
        <w:rPr>
          <w:rFonts w:ascii="Calibri" w:hAnsi="Calibri"/>
          <w:b/>
          <w:noProof/>
          <w:color w:val="31849B" w:themeColor="accent5" w:themeShade="BF"/>
        </w:rPr>
      </w:pPr>
      <w:r>
        <w:rPr>
          <w:rFonts w:ascii="Calibri" w:hAnsi="Calibri"/>
          <w:b/>
          <w:noProof/>
          <w:color w:val="31849B" w:themeColor="accent5" w:themeShade="BF"/>
        </w:rPr>
        <w:t>A2: Comparision of key elements of the 2013 HFC Amendment Proposals</w:t>
      </w:r>
    </w:p>
    <w:p w:rsidR="00482A8A" w:rsidRDefault="00650391" w:rsidP="003937A5">
      <w:pPr>
        <w:rPr>
          <w:rFonts w:ascii="Calibri" w:hAnsi="Calibri"/>
          <w:b/>
          <w:noProof/>
          <w:color w:val="31849B" w:themeColor="accent5" w:themeShade="BF"/>
        </w:rPr>
      </w:pPr>
      <w:r w:rsidRPr="00482A8A">
        <w:rPr>
          <w:rFonts w:ascii="Calibri" w:hAnsi="Calibri"/>
          <w:b/>
          <w:noProof/>
          <w:color w:val="31849B" w:themeColor="accent5" w:themeShade="BF"/>
        </w:rPr>
        <w:t xml:space="preserve">Appendix </w:t>
      </w:r>
      <w:r w:rsidR="00FE41C2">
        <w:rPr>
          <w:rFonts w:ascii="Calibri" w:hAnsi="Calibri"/>
          <w:b/>
          <w:noProof/>
          <w:color w:val="31849B" w:themeColor="accent5" w:themeShade="BF"/>
        </w:rPr>
        <w:t>B</w:t>
      </w:r>
      <w:r w:rsidRPr="00482A8A">
        <w:rPr>
          <w:rFonts w:ascii="Calibri" w:hAnsi="Calibri"/>
          <w:b/>
          <w:noProof/>
          <w:color w:val="31849B" w:themeColor="accent5" w:themeShade="BF"/>
        </w:rPr>
        <w:t xml:space="preserve">: </w:t>
      </w:r>
      <w:r w:rsidR="00482A8A" w:rsidRPr="00482A8A">
        <w:rPr>
          <w:rFonts w:ascii="Calibri" w:hAnsi="Calibri"/>
          <w:b/>
          <w:noProof/>
          <w:color w:val="31849B" w:themeColor="accent5" w:themeShade="BF"/>
        </w:rPr>
        <w:t>Methodology</w:t>
      </w:r>
    </w:p>
    <w:p w:rsidR="00CD5A5F" w:rsidRPr="00B83873" w:rsidRDefault="00482A8A" w:rsidP="00E72ADE">
      <w:pPr>
        <w:rPr>
          <w:rFonts w:ascii="Calibri" w:hAnsi="Calibri"/>
          <w:b/>
          <w:noProof/>
          <w:color w:val="31849B" w:themeColor="accent5" w:themeShade="BF"/>
        </w:rPr>
      </w:pPr>
      <w:r w:rsidRPr="00482A8A">
        <w:rPr>
          <w:rFonts w:ascii="Calibri" w:hAnsi="Calibri"/>
          <w:b/>
          <w:noProof/>
          <w:color w:val="31849B" w:themeColor="accent5" w:themeShade="BF"/>
        </w:rPr>
        <w:t xml:space="preserve">Appendix </w:t>
      </w:r>
      <w:r w:rsidR="000609F9">
        <w:rPr>
          <w:rFonts w:ascii="Calibri" w:hAnsi="Calibri"/>
          <w:b/>
          <w:noProof/>
          <w:color w:val="31849B" w:themeColor="accent5" w:themeShade="BF"/>
        </w:rPr>
        <w:t>C</w:t>
      </w:r>
      <w:r w:rsidRPr="00482A8A">
        <w:rPr>
          <w:rFonts w:ascii="Calibri" w:hAnsi="Calibri"/>
          <w:b/>
          <w:noProof/>
          <w:color w:val="31849B" w:themeColor="accent5" w:themeShade="BF"/>
        </w:rPr>
        <w:t>: Technical resources and assumptions</w:t>
      </w:r>
    </w:p>
    <w:p w:rsidR="00941E84" w:rsidRDefault="00941E84">
      <w:pPr>
        <w:spacing w:before="0"/>
        <w:jc w:val="left"/>
        <w:rPr>
          <w:rFonts w:asciiTheme="majorHAnsi" w:hAnsiTheme="majorHAnsi"/>
          <w:sz w:val="36"/>
          <w:szCs w:val="36"/>
        </w:rPr>
      </w:pPr>
    </w:p>
    <w:p w:rsidR="003937A5" w:rsidRPr="003937A5" w:rsidRDefault="003937A5" w:rsidP="00941E84">
      <w:pPr>
        <w:rPr>
          <w:rFonts w:asciiTheme="majorHAnsi" w:hAnsiTheme="majorHAnsi"/>
          <w:sz w:val="36"/>
          <w:szCs w:val="36"/>
        </w:rPr>
      </w:pPr>
      <w:r w:rsidRPr="003937A5">
        <w:rPr>
          <w:rFonts w:asciiTheme="majorHAnsi" w:hAnsiTheme="majorHAnsi"/>
          <w:sz w:val="36"/>
          <w:szCs w:val="36"/>
        </w:rPr>
        <w:t>List of Figures</w:t>
      </w:r>
    </w:p>
    <w:p w:rsidR="0023799B" w:rsidRDefault="00B41499">
      <w:pPr>
        <w:pStyle w:val="TableofFigures"/>
        <w:tabs>
          <w:tab w:val="right" w:leader="dot" w:pos="9962"/>
        </w:tabs>
        <w:rPr>
          <w:rFonts w:asciiTheme="minorHAnsi" w:eastAsiaTheme="minorEastAsia" w:hAnsiTheme="minorHAnsi" w:cstheme="minorBidi"/>
          <w:noProof/>
          <w:sz w:val="24"/>
          <w:lang w:eastAsia="ja-JP"/>
        </w:rPr>
      </w:pPr>
      <w:r>
        <w:rPr>
          <w:noProof/>
          <w:szCs w:val="20"/>
        </w:rPr>
        <w:fldChar w:fldCharType="begin"/>
      </w:r>
      <w:r w:rsidR="0023799B">
        <w:rPr>
          <w:noProof/>
          <w:szCs w:val="20"/>
        </w:rPr>
        <w:instrText xml:space="preserve"> TOC \c "Figure" </w:instrText>
      </w:r>
      <w:r>
        <w:rPr>
          <w:noProof/>
          <w:szCs w:val="20"/>
        </w:rPr>
        <w:fldChar w:fldCharType="separate"/>
      </w:r>
      <w:r w:rsidR="0023799B" w:rsidRPr="00DA5280">
        <w:rPr>
          <w:i/>
          <w:noProof/>
        </w:rPr>
        <w:t>Figure 1: Refrigerant types and international industrial gas management regimes.</w:t>
      </w:r>
      <w:r w:rsidR="0023799B">
        <w:rPr>
          <w:noProof/>
        </w:rPr>
        <w:tab/>
      </w:r>
      <w:r>
        <w:rPr>
          <w:noProof/>
        </w:rPr>
        <w:fldChar w:fldCharType="begin"/>
      </w:r>
      <w:r w:rsidR="0023799B">
        <w:rPr>
          <w:noProof/>
        </w:rPr>
        <w:instrText xml:space="preserve"> PAGEREF _Toc257359969 \h </w:instrText>
      </w:r>
      <w:r>
        <w:rPr>
          <w:noProof/>
        </w:rPr>
      </w:r>
      <w:r>
        <w:rPr>
          <w:noProof/>
        </w:rPr>
        <w:fldChar w:fldCharType="separate"/>
      </w:r>
      <w:r w:rsidR="008E0DB9">
        <w:rPr>
          <w:noProof/>
        </w:rPr>
        <w:t>16</w:t>
      </w:r>
      <w:r>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2: HFC reduction steps for Non-Article 5 Count</w:t>
      </w:r>
      <w:r w:rsidR="005C0226">
        <w:rPr>
          <w:i/>
          <w:noProof/>
        </w:rPr>
        <w:t>r</w:t>
      </w:r>
      <w:r w:rsidRPr="00DA5280">
        <w:rPr>
          <w:i/>
          <w:noProof/>
        </w:rPr>
        <w:t>ies (incl. Australia).</w:t>
      </w:r>
      <w:r>
        <w:rPr>
          <w:noProof/>
        </w:rPr>
        <w:tab/>
      </w:r>
      <w:r w:rsidR="00B41499">
        <w:rPr>
          <w:noProof/>
        </w:rPr>
        <w:fldChar w:fldCharType="begin"/>
      </w:r>
      <w:r>
        <w:rPr>
          <w:noProof/>
        </w:rPr>
        <w:instrText xml:space="preserve"> PAGEREF _Toc257359970 \h </w:instrText>
      </w:r>
      <w:r w:rsidR="00B41499">
        <w:rPr>
          <w:noProof/>
        </w:rPr>
      </w:r>
      <w:r w:rsidR="00B41499">
        <w:rPr>
          <w:noProof/>
        </w:rPr>
        <w:fldChar w:fldCharType="separate"/>
      </w:r>
      <w:r w:rsidR="008E0DB9">
        <w:rPr>
          <w:noProof/>
        </w:rPr>
        <w:t>19</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3: Cumulative emission reduction in % cut for Non-Article 5 Count</w:t>
      </w:r>
      <w:r w:rsidR="005C0226">
        <w:rPr>
          <w:i/>
          <w:noProof/>
        </w:rPr>
        <w:t>r</w:t>
      </w:r>
      <w:r w:rsidRPr="00DA5280">
        <w:rPr>
          <w:i/>
          <w:noProof/>
        </w:rPr>
        <w:t>ies (incl. Australia).</w:t>
      </w:r>
      <w:r>
        <w:rPr>
          <w:noProof/>
        </w:rPr>
        <w:tab/>
      </w:r>
      <w:r w:rsidR="00B41499">
        <w:rPr>
          <w:noProof/>
        </w:rPr>
        <w:fldChar w:fldCharType="begin"/>
      </w:r>
      <w:r>
        <w:rPr>
          <w:noProof/>
        </w:rPr>
        <w:instrText xml:space="preserve"> PAGEREF _Toc257359971 \h </w:instrText>
      </w:r>
      <w:r w:rsidR="00B41499">
        <w:rPr>
          <w:noProof/>
        </w:rPr>
      </w:r>
      <w:r w:rsidR="00B41499">
        <w:rPr>
          <w:noProof/>
        </w:rPr>
        <w:fldChar w:fldCharType="separate"/>
      </w:r>
      <w:r w:rsidR="008E0DB9">
        <w:rPr>
          <w:noProof/>
        </w:rPr>
        <w:t>19</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4: Australia and the NAA Proposal by sub-sector application in Mt CO</w:t>
      </w:r>
      <w:r w:rsidRPr="00DA5280">
        <w:rPr>
          <w:i/>
          <w:noProof/>
          <w:vertAlign w:val="subscript"/>
        </w:rPr>
        <w:t>2</w:t>
      </w:r>
      <w:r w:rsidRPr="00DA5280">
        <w:rPr>
          <w:i/>
          <w:noProof/>
        </w:rPr>
        <w:t>-e based on AR4.</w:t>
      </w:r>
      <w:r>
        <w:rPr>
          <w:noProof/>
        </w:rPr>
        <w:tab/>
      </w:r>
      <w:r w:rsidR="00B41499">
        <w:rPr>
          <w:noProof/>
        </w:rPr>
        <w:fldChar w:fldCharType="begin"/>
      </w:r>
      <w:r>
        <w:rPr>
          <w:noProof/>
        </w:rPr>
        <w:instrText xml:space="preserve"> PAGEREF _Toc257359972 \h </w:instrText>
      </w:r>
      <w:r w:rsidR="00B41499">
        <w:rPr>
          <w:noProof/>
        </w:rPr>
      </w:r>
      <w:r w:rsidR="00B41499">
        <w:rPr>
          <w:noProof/>
        </w:rPr>
        <w:fldChar w:fldCharType="separate"/>
      </w:r>
      <w:r w:rsidR="008E0DB9">
        <w:rPr>
          <w:noProof/>
        </w:rPr>
        <w:t>23</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5: Australia and the NAA Proposal by gas species in Mt CO</w:t>
      </w:r>
      <w:r w:rsidRPr="00DA5280">
        <w:rPr>
          <w:i/>
          <w:noProof/>
          <w:vertAlign w:val="subscript"/>
        </w:rPr>
        <w:t>2</w:t>
      </w:r>
      <w:r w:rsidRPr="00DA5280">
        <w:rPr>
          <w:i/>
          <w:noProof/>
        </w:rPr>
        <w:t>-e based on AR4.</w:t>
      </w:r>
      <w:r>
        <w:rPr>
          <w:noProof/>
        </w:rPr>
        <w:tab/>
      </w:r>
      <w:r w:rsidR="00B41499">
        <w:rPr>
          <w:noProof/>
        </w:rPr>
        <w:fldChar w:fldCharType="begin"/>
      </w:r>
      <w:r>
        <w:rPr>
          <w:noProof/>
        </w:rPr>
        <w:instrText xml:space="preserve"> PAGEREF _Toc257359973 \h </w:instrText>
      </w:r>
      <w:r w:rsidR="00B41499">
        <w:rPr>
          <w:noProof/>
        </w:rPr>
      </w:r>
      <w:r w:rsidR="00B41499">
        <w:rPr>
          <w:noProof/>
        </w:rPr>
        <w:fldChar w:fldCharType="separate"/>
      </w:r>
      <w:r w:rsidR="008E0DB9">
        <w:rPr>
          <w:noProof/>
        </w:rPr>
        <w:t>23</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6: Refrigerant bank transition from 2013 to 2025 by gas species in tonnes based on model assumptions.</w:t>
      </w:r>
      <w:r>
        <w:rPr>
          <w:noProof/>
        </w:rPr>
        <w:tab/>
      </w:r>
      <w:r w:rsidR="00B41499">
        <w:rPr>
          <w:noProof/>
        </w:rPr>
        <w:fldChar w:fldCharType="begin"/>
      </w:r>
      <w:r>
        <w:rPr>
          <w:noProof/>
        </w:rPr>
        <w:instrText xml:space="preserve"> PAGEREF _Toc257359974 \h </w:instrText>
      </w:r>
      <w:r w:rsidR="00B41499">
        <w:rPr>
          <w:noProof/>
        </w:rPr>
      </w:r>
      <w:r w:rsidR="00B41499">
        <w:rPr>
          <w:noProof/>
        </w:rPr>
        <w:fldChar w:fldCharType="separate"/>
      </w:r>
      <w:r w:rsidR="008E0DB9">
        <w:rPr>
          <w:noProof/>
        </w:rPr>
        <w:t>24</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7: Refrigerant bank transition from 2013 to 2025 by gas species in Mt CO</w:t>
      </w:r>
      <w:r w:rsidRPr="00DA5280">
        <w:rPr>
          <w:i/>
          <w:noProof/>
          <w:vertAlign w:val="subscript"/>
        </w:rPr>
        <w:t>2</w:t>
      </w:r>
      <w:r w:rsidRPr="00DA5280">
        <w:rPr>
          <w:i/>
          <w:noProof/>
        </w:rPr>
        <w:t>-e (AR4) based on model assumptions.</w:t>
      </w:r>
      <w:r>
        <w:rPr>
          <w:noProof/>
        </w:rPr>
        <w:tab/>
      </w:r>
      <w:r w:rsidR="00B41499">
        <w:rPr>
          <w:noProof/>
        </w:rPr>
        <w:fldChar w:fldCharType="begin"/>
      </w:r>
      <w:r>
        <w:rPr>
          <w:noProof/>
        </w:rPr>
        <w:instrText xml:space="preserve"> PAGEREF _Toc257359975 \h </w:instrText>
      </w:r>
      <w:r w:rsidR="00B41499">
        <w:rPr>
          <w:noProof/>
        </w:rPr>
      </w:r>
      <w:r w:rsidR="00B41499">
        <w:rPr>
          <w:noProof/>
        </w:rPr>
        <w:fldChar w:fldCharType="separate"/>
      </w:r>
      <w:r w:rsidR="008E0DB9">
        <w:rPr>
          <w:noProof/>
        </w:rPr>
        <w:t>24</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8: Projected refrigerant consumption from 2013 to 2025 by gas species in tonnes based on model assumptions.</w:t>
      </w:r>
      <w:r>
        <w:rPr>
          <w:noProof/>
        </w:rPr>
        <w:tab/>
      </w:r>
      <w:r w:rsidR="00B41499">
        <w:rPr>
          <w:noProof/>
        </w:rPr>
        <w:fldChar w:fldCharType="begin"/>
      </w:r>
      <w:r>
        <w:rPr>
          <w:noProof/>
        </w:rPr>
        <w:instrText xml:space="preserve"> PAGEREF _Toc257359976 \h </w:instrText>
      </w:r>
      <w:r w:rsidR="00B41499">
        <w:rPr>
          <w:noProof/>
        </w:rPr>
      </w:r>
      <w:r w:rsidR="00B41499">
        <w:rPr>
          <w:noProof/>
        </w:rPr>
        <w:fldChar w:fldCharType="separate"/>
      </w:r>
      <w:r w:rsidR="008E0DB9">
        <w:rPr>
          <w:noProof/>
        </w:rPr>
        <w:t>25</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9: 2013 service consumption by major sector based on bottom-up analysis of equipment, % share by tonnes.</w:t>
      </w:r>
      <w:r>
        <w:rPr>
          <w:noProof/>
        </w:rPr>
        <w:tab/>
      </w:r>
      <w:r w:rsidR="00B41499">
        <w:rPr>
          <w:noProof/>
        </w:rPr>
        <w:fldChar w:fldCharType="begin"/>
      </w:r>
      <w:r>
        <w:rPr>
          <w:noProof/>
        </w:rPr>
        <w:instrText xml:space="preserve"> PAGEREF _Toc257359977 \h </w:instrText>
      </w:r>
      <w:r w:rsidR="00B41499">
        <w:rPr>
          <w:noProof/>
        </w:rPr>
      </w:r>
      <w:r w:rsidR="00B41499">
        <w:rPr>
          <w:noProof/>
        </w:rPr>
        <w:fldChar w:fldCharType="separate"/>
      </w:r>
      <w:r w:rsidR="008E0DB9">
        <w:rPr>
          <w:noProof/>
        </w:rPr>
        <w:t>51</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10: 2013 bank by major sector based on bottom-up analysis of equipment, % share by tonnes.</w:t>
      </w:r>
      <w:r>
        <w:rPr>
          <w:noProof/>
        </w:rPr>
        <w:tab/>
      </w:r>
      <w:r w:rsidR="00B41499">
        <w:rPr>
          <w:noProof/>
        </w:rPr>
        <w:fldChar w:fldCharType="begin"/>
      </w:r>
      <w:r>
        <w:rPr>
          <w:noProof/>
        </w:rPr>
        <w:instrText xml:space="preserve"> PAGEREF _Toc257359978 \h </w:instrText>
      </w:r>
      <w:r w:rsidR="00B41499">
        <w:rPr>
          <w:noProof/>
        </w:rPr>
      </w:r>
      <w:r w:rsidR="00B41499">
        <w:rPr>
          <w:noProof/>
        </w:rPr>
        <w:fldChar w:fldCharType="separate"/>
      </w:r>
      <w:r w:rsidR="008E0DB9">
        <w:rPr>
          <w:noProof/>
        </w:rPr>
        <w:t>51</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11: 2013 consumption by substance based on bottom-up analysis of applications in tonnes and %.</w:t>
      </w:r>
      <w:r>
        <w:rPr>
          <w:noProof/>
        </w:rPr>
        <w:tab/>
      </w:r>
      <w:r w:rsidR="00B41499">
        <w:rPr>
          <w:noProof/>
        </w:rPr>
        <w:fldChar w:fldCharType="begin"/>
      </w:r>
      <w:r>
        <w:rPr>
          <w:noProof/>
        </w:rPr>
        <w:instrText xml:space="preserve"> PAGEREF _Toc257359979 \h </w:instrText>
      </w:r>
      <w:r w:rsidR="00B41499">
        <w:rPr>
          <w:noProof/>
        </w:rPr>
      </w:r>
      <w:r w:rsidR="00B41499">
        <w:rPr>
          <w:noProof/>
        </w:rPr>
        <w:fldChar w:fldCharType="separate"/>
      </w:r>
      <w:r w:rsidR="008E0DB9">
        <w:rPr>
          <w:noProof/>
        </w:rPr>
        <w:t>54</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12: 2013 bank by refrigerant type based on bottom-up analysis of equipment, % share by tonnes.</w:t>
      </w:r>
      <w:r>
        <w:rPr>
          <w:noProof/>
        </w:rPr>
        <w:tab/>
      </w:r>
      <w:r w:rsidR="00B41499">
        <w:rPr>
          <w:noProof/>
        </w:rPr>
        <w:fldChar w:fldCharType="begin"/>
      </w:r>
      <w:r>
        <w:rPr>
          <w:noProof/>
        </w:rPr>
        <w:instrText xml:space="preserve"> PAGEREF _Toc257359980 \h </w:instrText>
      </w:r>
      <w:r w:rsidR="00B41499">
        <w:rPr>
          <w:noProof/>
        </w:rPr>
      </w:r>
      <w:r w:rsidR="00B41499">
        <w:rPr>
          <w:noProof/>
        </w:rPr>
        <w:fldChar w:fldCharType="separate"/>
      </w:r>
      <w:r w:rsidR="008E0DB9">
        <w:rPr>
          <w:noProof/>
        </w:rPr>
        <w:t>54</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13: Actual 2013 HFC bulk gas imports by type, % by tonnes.</w:t>
      </w:r>
      <w:r>
        <w:rPr>
          <w:noProof/>
        </w:rPr>
        <w:tab/>
      </w:r>
      <w:r w:rsidR="00B41499">
        <w:rPr>
          <w:noProof/>
        </w:rPr>
        <w:fldChar w:fldCharType="begin"/>
      </w:r>
      <w:r>
        <w:rPr>
          <w:noProof/>
        </w:rPr>
        <w:instrText xml:space="preserve"> PAGEREF _Toc257359981 \h </w:instrText>
      </w:r>
      <w:r w:rsidR="00B41499">
        <w:rPr>
          <w:noProof/>
        </w:rPr>
      </w:r>
      <w:r w:rsidR="00B41499">
        <w:rPr>
          <w:noProof/>
        </w:rPr>
        <w:fldChar w:fldCharType="separate"/>
      </w:r>
      <w:r w:rsidR="008E0DB9">
        <w:rPr>
          <w:noProof/>
        </w:rPr>
        <w:t>56</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14: Six year trend of HFC bulk imports as reported in major SGG categories in kt CO</w:t>
      </w:r>
      <w:r w:rsidRPr="00DA5280">
        <w:rPr>
          <w:i/>
          <w:noProof/>
          <w:vertAlign w:val="subscript"/>
        </w:rPr>
        <w:t>2</w:t>
      </w:r>
      <w:r w:rsidRPr="00DA5280">
        <w:rPr>
          <w:i/>
          <w:noProof/>
        </w:rPr>
        <w:t>-e.</w:t>
      </w:r>
      <w:r>
        <w:rPr>
          <w:noProof/>
        </w:rPr>
        <w:tab/>
      </w:r>
      <w:r w:rsidR="00B41499">
        <w:rPr>
          <w:noProof/>
        </w:rPr>
        <w:fldChar w:fldCharType="begin"/>
      </w:r>
      <w:r>
        <w:rPr>
          <w:noProof/>
        </w:rPr>
        <w:instrText xml:space="preserve"> PAGEREF _Toc257359982 \h </w:instrText>
      </w:r>
      <w:r w:rsidR="00B41499">
        <w:rPr>
          <w:noProof/>
        </w:rPr>
      </w:r>
      <w:r w:rsidR="00B41499">
        <w:rPr>
          <w:noProof/>
        </w:rPr>
        <w:fldChar w:fldCharType="separate"/>
      </w:r>
      <w:r w:rsidR="008E0DB9">
        <w:rPr>
          <w:noProof/>
        </w:rPr>
        <w:t>57</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15: Domestic refrigeration refrigerant bank and HFC consumption in 2013 in tonnes.</w:t>
      </w:r>
      <w:r>
        <w:rPr>
          <w:noProof/>
        </w:rPr>
        <w:tab/>
      </w:r>
      <w:r w:rsidR="00B41499">
        <w:rPr>
          <w:noProof/>
        </w:rPr>
        <w:fldChar w:fldCharType="begin"/>
      </w:r>
      <w:r>
        <w:rPr>
          <w:noProof/>
        </w:rPr>
        <w:instrText xml:space="preserve"> PAGEREF _Toc257359983 \h </w:instrText>
      </w:r>
      <w:r w:rsidR="00B41499">
        <w:rPr>
          <w:noProof/>
        </w:rPr>
      </w:r>
      <w:r w:rsidR="00B41499">
        <w:rPr>
          <w:noProof/>
        </w:rPr>
        <w:fldChar w:fldCharType="separate"/>
      </w:r>
      <w:r w:rsidR="008E0DB9">
        <w:rPr>
          <w:noProof/>
        </w:rPr>
        <w:t>58</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16: Domestic refrigeration - predicted bank in tonnes by refrigerant type from 2013 to 2025.</w:t>
      </w:r>
      <w:r>
        <w:rPr>
          <w:noProof/>
        </w:rPr>
        <w:tab/>
      </w:r>
      <w:r w:rsidR="00B41499">
        <w:rPr>
          <w:noProof/>
        </w:rPr>
        <w:fldChar w:fldCharType="begin"/>
      </w:r>
      <w:r>
        <w:rPr>
          <w:noProof/>
        </w:rPr>
        <w:instrText xml:space="preserve"> PAGEREF _Toc257359984 \h </w:instrText>
      </w:r>
      <w:r w:rsidR="00B41499">
        <w:rPr>
          <w:noProof/>
        </w:rPr>
      </w:r>
      <w:r w:rsidR="00B41499">
        <w:rPr>
          <w:noProof/>
        </w:rPr>
        <w:fldChar w:fldCharType="separate"/>
      </w:r>
      <w:r w:rsidR="008E0DB9">
        <w:rPr>
          <w:noProof/>
        </w:rPr>
        <w:t>61</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17: Domestic refrigeration - predicted consumption in tonnes by refrigerant type from 2013 to 2025.</w:t>
      </w:r>
      <w:r>
        <w:rPr>
          <w:noProof/>
        </w:rPr>
        <w:tab/>
      </w:r>
      <w:r w:rsidR="00B41499">
        <w:rPr>
          <w:noProof/>
        </w:rPr>
        <w:fldChar w:fldCharType="begin"/>
      </w:r>
      <w:r>
        <w:rPr>
          <w:noProof/>
        </w:rPr>
        <w:instrText xml:space="preserve"> PAGEREF _Toc257359985 \h </w:instrText>
      </w:r>
      <w:r w:rsidR="00B41499">
        <w:rPr>
          <w:noProof/>
        </w:rPr>
      </w:r>
      <w:r w:rsidR="00B41499">
        <w:rPr>
          <w:noProof/>
        </w:rPr>
        <w:fldChar w:fldCharType="separate"/>
      </w:r>
      <w:r w:rsidR="008E0DB9">
        <w:rPr>
          <w:noProof/>
        </w:rPr>
        <w:t>61</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18: Refrigerated cold food chain refrigerant bank and consumption in 2013 in tonnes.</w:t>
      </w:r>
      <w:r>
        <w:rPr>
          <w:noProof/>
        </w:rPr>
        <w:tab/>
      </w:r>
      <w:r w:rsidR="00B41499">
        <w:rPr>
          <w:noProof/>
        </w:rPr>
        <w:fldChar w:fldCharType="begin"/>
      </w:r>
      <w:r>
        <w:rPr>
          <w:noProof/>
        </w:rPr>
        <w:instrText xml:space="preserve"> PAGEREF _Toc257359986 \h </w:instrText>
      </w:r>
      <w:r w:rsidR="00B41499">
        <w:rPr>
          <w:noProof/>
        </w:rPr>
      </w:r>
      <w:r w:rsidR="00B41499">
        <w:rPr>
          <w:noProof/>
        </w:rPr>
        <w:fldChar w:fldCharType="separate"/>
      </w:r>
      <w:r w:rsidR="008E0DB9">
        <w:rPr>
          <w:noProof/>
        </w:rPr>
        <w:t>64</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19: Small RCFC - predicted bank in tonnes by refrigerant type from 2013 to 2025.</w:t>
      </w:r>
      <w:r>
        <w:rPr>
          <w:noProof/>
        </w:rPr>
        <w:tab/>
      </w:r>
      <w:r w:rsidR="00B41499">
        <w:rPr>
          <w:noProof/>
        </w:rPr>
        <w:fldChar w:fldCharType="begin"/>
      </w:r>
      <w:r>
        <w:rPr>
          <w:noProof/>
        </w:rPr>
        <w:instrText xml:space="preserve"> PAGEREF _Toc257359987 \h </w:instrText>
      </w:r>
      <w:r w:rsidR="00B41499">
        <w:rPr>
          <w:noProof/>
        </w:rPr>
      </w:r>
      <w:r w:rsidR="00B41499">
        <w:rPr>
          <w:noProof/>
        </w:rPr>
        <w:fldChar w:fldCharType="separate"/>
      </w:r>
      <w:r w:rsidR="008E0DB9">
        <w:rPr>
          <w:noProof/>
        </w:rPr>
        <w:t>74</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20: Small RCFC - predicted consumption in tonnes by refrigerant type from 2013 to 2025.</w:t>
      </w:r>
      <w:r>
        <w:rPr>
          <w:noProof/>
        </w:rPr>
        <w:tab/>
      </w:r>
      <w:r w:rsidR="00B41499">
        <w:rPr>
          <w:noProof/>
        </w:rPr>
        <w:fldChar w:fldCharType="begin"/>
      </w:r>
      <w:r>
        <w:rPr>
          <w:noProof/>
        </w:rPr>
        <w:instrText xml:space="preserve"> PAGEREF _Toc257359988 \h </w:instrText>
      </w:r>
      <w:r w:rsidR="00B41499">
        <w:rPr>
          <w:noProof/>
        </w:rPr>
      </w:r>
      <w:r w:rsidR="00B41499">
        <w:rPr>
          <w:noProof/>
        </w:rPr>
        <w:fldChar w:fldCharType="separate"/>
      </w:r>
      <w:r w:rsidR="008E0DB9">
        <w:rPr>
          <w:noProof/>
        </w:rPr>
        <w:t>74</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21: Medium RCFC - predicted bank in tonnes by refrigerant type from 2013 to 2025.</w:t>
      </w:r>
      <w:r>
        <w:rPr>
          <w:noProof/>
        </w:rPr>
        <w:tab/>
      </w:r>
      <w:r w:rsidR="00B41499">
        <w:rPr>
          <w:noProof/>
        </w:rPr>
        <w:fldChar w:fldCharType="begin"/>
      </w:r>
      <w:r>
        <w:rPr>
          <w:noProof/>
        </w:rPr>
        <w:instrText xml:space="preserve"> PAGEREF _Toc257359989 \h </w:instrText>
      </w:r>
      <w:r w:rsidR="00B41499">
        <w:rPr>
          <w:noProof/>
        </w:rPr>
      </w:r>
      <w:r w:rsidR="00B41499">
        <w:rPr>
          <w:noProof/>
        </w:rPr>
        <w:fldChar w:fldCharType="separate"/>
      </w:r>
      <w:r w:rsidR="008E0DB9">
        <w:rPr>
          <w:noProof/>
        </w:rPr>
        <w:t>75</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22: Medium RCFC - predicted consumption in tonnes by refrigerant type from 2013 to 2025.</w:t>
      </w:r>
      <w:r>
        <w:rPr>
          <w:noProof/>
        </w:rPr>
        <w:tab/>
      </w:r>
      <w:r w:rsidR="00B41499">
        <w:rPr>
          <w:noProof/>
        </w:rPr>
        <w:fldChar w:fldCharType="begin"/>
      </w:r>
      <w:r>
        <w:rPr>
          <w:noProof/>
        </w:rPr>
        <w:instrText xml:space="preserve"> PAGEREF _Toc257359990 \h </w:instrText>
      </w:r>
      <w:r w:rsidR="00B41499">
        <w:rPr>
          <w:noProof/>
        </w:rPr>
      </w:r>
      <w:r w:rsidR="00B41499">
        <w:rPr>
          <w:noProof/>
        </w:rPr>
        <w:fldChar w:fldCharType="separate"/>
      </w:r>
      <w:r w:rsidR="008E0DB9">
        <w:rPr>
          <w:noProof/>
        </w:rPr>
        <w:t>75</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23: Large RCFC - predicted bank in tonnes by refrigerant type from 2013 to 2025.</w:t>
      </w:r>
      <w:r>
        <w:rPr>
          <w:noProof/>
        </w:rPr>
        <w:tab/>
      </w:r>
      <w:r w:rsidR="00B41499">
        <w:rPr>
          <w:noProof/>
        </w:rPr>
        <w:fldChar w:fldCharType="begin"/>
      </w:r>
      <w:r>
        <w:rPr>
          <w:noProof/>
        </w:rPr>
        <w:instrText xml:space="preserve"> PAGEREF _Toc257359991 \h </w:instrText>
      </w:r>
      <w:r w:rsidR="00B41499">
        <w:rPr>
          <w:noProof/>
        </w:rPr>
      </w:r>
      <w:r w:rsidR="00B41499">
        <w:rPr>
          <w:noProof/>
        </w:rPr>
        <w:fldChar w:fldCharType="separate"/>
      </w:r>
      <w:r w:rsidR="008E0DB9">
        <w:rPr>
          <w:noProof/>
        </w:rPr>
        <w:t>76</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24: Large RCFC - predicted consumption in tonnes by refrigerant type from 2013 to 2025.</w:t>
      </w:r>
      <w:r>
        <w:rPr>
          <w:noProof/>
        </w:rPr>
        <w:tab/>
      </w:r>
      <w:r w:rsidR="00B41499">
        <w:rPr>
          <w:noProof/>
        </w:rPr>
        <w:fldChar w:fldCharType="begin"/>
      </w:r>
      <w:r>
        <w:rPr>
          <w:noProof/>
        </w:rPr>
        <w:instrText xml:space="preserve"> PAGEREF _Toc257359992 \h </w:instrText>
      </w:r>
      <w:r w:rsidR="00B41499">
        <w:rPr>
          <w:noProof/>
        </w:rPr>
      </w:r>
      <w:r w:rsidR="00B41499">
        <w:rPr>
          <w:noProof/>
        </w:rPr>
        <w:fldChar w:fldCharType="separate"/>
      </w:r>
      <w:r w:rsidR="008E0DB9">
        <w:rPr>
          <w:noProof/>
        </w:rPr>
        <w:t>76</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25: Stationary air conditioning refrigerant bank and consumption in 2013 in tonnes.</w:t>
      </w:r>
      <w:r>
        <w:rPr>
          <w:noProof/>
        </w:rPr>
        <w:tab/>
      </w:r>
      <w:r w:rsidR="00B41499">
        <w:rPr>
          <w:noProof/>
        </w:rPr>
        <w:fldChar w:fldCharType="begin"/>
      </w:r>
      <w:r>
        <w:rPr>
          <w:noProof/>
        </w:rPr>
        <w:instrText xml:space="preserve"> PAGEREF _Toc257359993 \h </w:instrText>
      </w:r>
      <w:r w:rsidR="00B41499">
        <w:rPr>
          <w:noProof/>
        </w:rPr>
      </w:r>
      <w:r w:rsidR="00B41499">
        <w:rPr>
          <w:noProof/>
        </w:rPr>
        <w:fldChar w:fldCharType="separate"/>
      </w:r>
      <w:r w:rsidR="008E0DB9">
        <w:rPr>
          <w:noProof/>
        </w:rPr>
        <w:t>78</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26: Small AC - predicted bank in tonnes by refrigerant type from 2013 to 2025.</w:t>
      </w:r>
      <w:r>
        <w:rPr>
          <w:noProof/>
        </w:rPr>
        <w:tab/>
      </w:r>
      <w:r w:rsidR="00B41499">
        <w:rPr>
          <w:noProof/>
        </w:rPr>
        <w:fldChar w:fldCharType="begin"/>
      </w:r>
      <w:r>
        <w:rPr>
          <w:noProof/>
        </w:rPr>
        <w:instrText xml:space="preserve"> PAGEREF _Toc257359994 \h </w:instrText>
      </w:r>
      <w:r w:rsidR="00B41499">
        <w:rPr>
          <w:noProof/>
        </w:rPr>
      </w:r>
      <w:r w:rsidR="00B41499">
        <w:rPr>
          <w:noProof/>
        </w:rPr>
        <w:fldChar w:fldCharType="separate"/>
      </w:r>
      <w:r w:rsidR="008E0DB9">
        <w:rPr>
          <w:noProof/>
        </w:rPr>
        <w:t>87</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27: Small AC - predicted consumption in tonnes by refrigerant type from 2013 to 2025.</w:t>
      </w:r>
      <w:r>
        <w:rPr>
          <w:noProof/>
        </w:rPr>
        <w:tab/>
      </w:r>
      <w:r w:rsidR="00B41499">
        <w:rPr>
          <w:noProof/>
        </w:rPr>
        <w:fldChar w:fldCharType="begin"/>
      </w:r>
      <w:r>
        <w:rPr>
          <w:noProof/>
        </w:rPr>
        <w:instrText xml:space="preserve"> PAGEREF _Toc257359995 \h </w:instrText>
      </w:r>
      <w:r w:rsidR="00B41499">
        <w:rPr>
          <w:noProof/>
        </w:rPr>
      </w:r>
      <w:r w:rsidR="00B41499">
        <w:rPr>
          <w:noProof/>
        </w:rPr>
        <w:fldChar w:fldCharType="separate"/>
      </w:r>
      <w:r w:rsidR="008E0DB9">
        <w:rPr>
          <w:noProof/>
        </w:rPr>
        <w:t>87</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28: Medium AC - predicted bank in tonnes by refrigerant type from 2013 to 2025.</w:t>
      </w:r>
      <w:r>
        <w:rPr>
          <w:noProof/>
        </w:rPr>
        <w:tab/>
      </w:r>
      <w:r w:rsidR="00B41499">
        <w:rPr>
          <w:noProof/>
        </w:rPr>
        <w:fldChar w:fldCharType="begin"/>
      </w:r>
      <w:r>
        <w:rPr>
          <w:noProof/>
        </w:rPr>
        <w:instrText xml:space="preserve"> PAGEREF _Toc257359996 \h </w:instrText>
      </w:r>
      <w:r w:rsidR="00B41499">
        <w:rPr>
          <w:noProof/>
        </w:rPr>
      </w:r>
      <w:r w:rsidR="00B41499">
        <w:rPr>
          <w:noProof/>
        </w:rPr>
        <w:fldChar w:fldCharType="separate"/>
      </w:r>
      <w:r w:rsidR="008E0DB9">
        <w:rPr>
          <w:noProof/>
        </w:rPr>
        <w:t>88</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29: Medium AC - predicted consumption in tonnes by refrigerant type from 2013 to 2025.</w:t>
      </w:r>
      <w:r>
        <w:rPr>
          <w:noProof/>
        </w:rPr>
        <w:tab/>
      </w:r>
      <w:r w:rsidR="00B41499">
        <w:rPr>
          <w:noProof/>
        </w:rPr>
        <w:fldChar w:fldCharType="begin"/>
      </w:r>
      <w:r>
        <w:rPr>
          <w:noProof/>
        </w:rPr>
        <w:instrText xml:space="preserve"> PAGEREF _Toc257359997 \h </w:instrText>
      </w:r>
      <w:r w:rsidR="00B41499">
        <w:rPr>
          <w:noProof/>
        </w:rPr>
      </w:r>
      <w:r w:rsidR="00B41499">
        <w:rPr>
          <w:noProof/>
        </w:rPr>
        <w:fldChar w:fldCharType="separate"/>
      </w:r>
      <w:r w:rsidR="008E0DB9">
        <w:rPr>
          <w:noProof/>
        </w:rPr>
        <w:t>88</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30: Large AC - predicted bank in tonnes by refrigerant type from 2013 to 2025.</w:t>
      </w:r>
      <w:r>
        <w:rPr>
          <w:noProof/>
        </w:rPr>
        <w:tab/>
      </w:r>
      <w:r w:rsidR="00B41499">
        <w:rPr>
          <w:noProof/>
        </w:rPr>
        <w:fldChar w:fldCharType="begin"/>
      </w:r>
      <w:r>
        <w:rPr>
          <w:noProof/>
        </w:rPr>
        <w:instrText xml:space="preserve"> PAGEREF _Toc257359998 \h </w:instrText>
      </w:r>
      <w:r w:rsidR="00B41499">
        <w:rPr>
          <w:noProof/>
        </w:rPr>
      </w:r>
      <w:r w:rsidR="00B41499">
        <w:rPr>
          <w:noProof/>
        </w:rPr>
        <w:fldChar w:fldCharType="separate"/>
      </w:r>
      <w:r w:rsidR="008E0DB9">
        <w:rPr>
          <w:noProof/>
        </w:rPr>
        <w:t>89</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31: Large AC - predicted consumption in tonnes by refrigerant type from 2013 to 2025.</w:t>
      </w:r>
      <w:r>
        <w:rPr>
          <w:noProof/>
        </w:rPr>
        <w:tab/>
      </w:r>
      <w:r w:rsidR="00B41499">
        <w:rPr>
          <w:noProof/>
        </w:rPr>
        <w:fldChar w:fldCharType="begin"/>
      </w:r>
      <w:r>
        <w:rPr>
          <w:noProof/>
        </w:rPr>
        <w:instrText xml:space="preserve"> PAGEREF _Toc257359999 \h </w:instrText>
      </w:r>
      <w:r w:rsidR="00B41499">
        <w:rPr>
          <w:noProof/>
        </w:rPr>
      </w:r>
      <w:r w:rsidR="00B41499">
        <w:rPr>
          <w:noProof/>
        </w:rPr>
        <w:fldChar w:fldCharType="separate"/>
      </w:r>
      <w:r w:rsidR="008E0DB9">
        <w:rPr>
          <w:noProof/>
        </w:rPr>
        <w:t>89</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32: Mobile air conditioning refrigerant bank and consumption in 2013 in tonnes.</w:t>
      </w:r>
      <w:r>
        <w:rPr>
          <w:noProof/>
        </w:rPr>
        <w:tab/>
      </w:r>
      <w:r w:rsidR="00B41499">
        <w:rPr>
          <w:noProof/>
        </w:rPr>
        <w:fldChar w:fldCharType="begin"/>
      </w:r>
      <w:r>
        <w:rPr>
          <w:noProof/>
        </w:rPr>
        <w:instrText xml:space="preserve"> PAGEREF _Toc257360000 \h </w:instrText>
      </w:r>
      <w:r w:rsidR="00B41499">
        <w:rPr>
          <w:noProof/>
        </w:rPr>
      </w:r>
      <w:r w:rsidR="00B41499">
        <w:rPr>
          <w:noProof/>
        </w:rPr>
        <w:fldChar w:fldCharType="separate"/>
      </w:r>
      <w:r w:rsidR="008E0DB9">
        <w:rPr>
          <w:noProof/>
        </w:rPr>
        <w:t>91</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33: Registered vehicles - predicted bank in tonnes by refrigerant type from 2013 to 2025.</w:t>
      </w:r>
      <w:r>
        <w:rPr>
          <w:noProof/>
        </w:rPr>
        <w:tab/>
      </w:r>
      <w:r w:rsidR="00B41499">
        <w:rPr>
          <w:noProof/>
        </w:rPr>
        <w:fldChar w:fldCharType="begin"/>
      </w:r>
      <w:r>
        <w:rPr>
          <w:noProof/>
        </w:rPr>
        <w:instrText xml:space="preserve"> PAGEREF _Toc257360001 \h </w:instrText>
      </w:r>
      <w:r w:rsidR="00B41499">
        <w:rPr>
          <w:noProof/>
        </w:rPr>
      </w:r>
      <w:r w:rsidR="00B41499">
        <w:rPr>
          <w:noProof/>
        </w:rPr>
        <w:fldChar w:fldCharType="separate"/>
      </w:r>
      <w:r w:rsidR="008E0DB9">
        <w:rPr>
          <w:noProof/>
        </w:rPr>
        <w:t>97</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34: Registered vehicles - predicted consumption in tonnes by refrigerant type from 2013 to 2025.</w:t>
      </w:r>
      <w:r>
        <w:rPr>
          <w:noProof/>
        </w:rPr>
        <w:tab/>
      </w:r>
      <w:r w:rsidR="00B41499">
        <w:rPr>
          <w:noProof/>
        </w:rPr>
        <w:fldChar w:fldCharType="begin"/>
      </w:r>
      <w:r>
        <w:rPr>
          <w:noProof/>
        </w:rPr>
        <w:instrText xml:space="preserve"> PAGEREF _Toc257360002 \h </w:instrText>
      </w:r>
      <w:r w:rsidR="00B41499">
        <w:rPr>
          <w:noProof/>
        </w:rPr>
      </w:r>
      <w:r w:rsidR="00B41499">
        <w:rPr>
          <w:noProof/>
        </w:rPr>
        <w:fldChar w:fldCharType="separate"/>
      </w:r>
      <w:r w:rsidR="008E0DB9">
        <w:rPr>
          <w:noProof/>
        </w:rPr>
        <w:t>97</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35: Off-road vehicles - predicted bank in tonnes by refrigerant type from 2013 to 2025.</w:t>
      </w:r>
      <w:r>
        <w:rPr>
          <w:noProof/>
        </w:rPr>
        <w:tab/>
      </w:r>
      <w:r w:rsidR="00B41499">
        <w:rPr>
          <w:noProof/>
        </w:rPr>
        <w:fldChar w:fldCharType="begin"/>
      </w:r>
      <w:r>
        <w:rPr>
          <w:noProof/>
        </w:rPr>
        <w:instrText xml:space="preserve"> PAGEREF _Toc257360003 \h </w:instrText>
      </w:r>
      <w:r w:rsidR="00B41499">
        <w:rPr>
          <w:noProof/>
        </w:rPr>
      </w:r>
      <w:r w:rsidR="00B41499">
        <w:rPr>
          <w:noProof/>
        </w:rPr>
        <w:fldChar w:fldCharType="separate"/>
      </w:r>
      <w:r w:rsidR="008E0DB9">
        <w:rPr>
          <w:noProof/>
        </w:rPr>
        <w:t>98</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DA5280">
        <w:rPr>
          <w:i/>
          <w:noProof/>
        </w:rPr>
        <w:t>Figure 36: Off-road vehicles - predicted consumption in tonnes by refrigerant type from 2013 to 2025.</w:t>
      </w:r>
      <w:r>
        <w:rPr>
          <w:noProof/>
        </w:rPr>
        <w:tab/>
      </w:r>
      <w:r w:rsidR="00B41499">
        <w:rPr>
          <w:noProof/>
        </w:rPr>
        <w:fldChar w:fldCharType="begin"/>
      </w:r>
      <w:r>
        <w:rPr>
          <w:noProof/>
        </w:rPr>
        <w:instrText xml:space="preserve"> PAGEREF _Toc257360004 \h </w:instrText>
      </w:r>
      <w:r w:rsidR="00B41499">
        <w:rPr>
          <w:noProof/>
        </w:rPr>
      </w:r>
      <w:r w:rsidR="00B41499">
        <w:rPr>
          <w:noProof/>
        </w:rPr>
        <w:fldChar w:fldCharType="separate"/>
      </w:r>
      <w:r w:rsidR="008E0DB9">
        <w:rPr>
          <w:noProof/>
        </w:rPr>
        <w:t>98</w:t>
      </w:r>
      <w:r w:rsidR="00B41499">
        <w:rPr>
          <w:noProof/>
        </w:rPr>
        <w:fldChar w:fldCharType="end"/>
      </w:r>
    </w:p>
    <w:p w:rsidR="00941E84" w:rsidRDefault="00B41499" w:rsidP="00870F76">
      <w:pPr>
        <w:tabs>
          <w:tab w:val="left" w:pos="7513"/>
        </w:tabs>
        <w:rPr>
          <w:rFonts w:asciiTheme="majorHAnsi" w:eastAsia="Times New Roman" w:hAnsiTheme="majorHAnsi" w:cs="Times New Roman"/>
          <w:noProof/>
          <w:sz w:val="20"/>
          <w:szCs w:val="20"/>
          <w:lang w:val="en-US"/>
        </w:rPr>
      </w:pPr>
      <w:r>
        <w:rPr>
          <w:rFonts w:asciiTheme="majorHAnsi" w:eastAsia="Times New Roman" w:hAnsiTheme="majorHAnsi" w:cs="Times New Roman"/>
          <w:noProof/>
          <w:sz w:val="20"/>
          <w:szCs w:val="20"/>
          <w:lang w:val="en-US"/>
        </w:rPr>
        <w:fldChar w:fldCharType="end"/>
      </w:r>
    </w:p>
    <w:p w:rsidR="00941E84" w:rsidRDefault="00941E84">
      <w:pPr>
        <w:spacing w:before="0"/>
        <w:jc w:val="left"/>
        <w:rPr>
          <w:rFonts w:asciiTheme="majorHAnsi" w:eastAsia="Times New Roman" w:hAnsiTheme="majorHAnsi" w:cs="Times New Roman"/>
          <w:noProof/>
          <w:sz w:val="20"/>
          <w:szCs w:val="20"/>
          <w:lang w:val="en-US"/>
        </w:rPr>
      </w:pPr>
      <w:r>
        <w:rPr>
          <w:rFonts w:asciiTheme="majorHAnsi" w:eastAsia="Times New Roman" w:hAnsiTheme="majorHAnsi" w:cs="Times New Roman"/>
          <w:noProof/>
          <w:sz w:val="20"/>
          <w:szCs w:val="20"/>
          <w:lang w:val="en-US"/>
        </w:rPr>
        <w:br w:type="page"/>
      </w:r>
    </w:p>
    <w:p w:rsidR="00941E84" w:rsidRPr="003937A5" w:rsidRDefault="00941E84" w:rsidP="00941E84">
      <w:pPr>
        <w:spacing w:after="120"/>
        <w:rPr>
          <w:rFonts w:asciiTheme="majorHAnsi" w:hAnsiTheme="majorHAnsi"/>
          <w:sz w:val="36"/>
          <w:szCs w:val="36"/>
        </w:rPr>
      </w:pPr>
      <w:r w:rsidRPr="003937A5">
        <w:rPr>
          <w:rFonts w:asciiTheme="majorHAnsi" w:hAnsiTheme="majorHAnsi"/>
          <w:sz w:val="36"/>
          <w:szCs w:val="36"/>
        </w:rPr>
        <w:t>List of Tables</w:t>
      </w:r>
    </w:p>
    <w:p w:rsidR="0023799B" w:rsidRDefault="00B41499">
      <w:pPr>
        <w:pStyle w:val="TableofFigures"/>
        <w:tabs>
          <w:tab w:val="right" w:leader="dot" w:pos="9962"/>
        </w:tabs>
        <w:rPr>
          <w:rFonts w:asciiTheme="minorHAnsi" w:eastAsiaTheme="minorEastAsia" w:hAnsiTheme="minorHAnsi" w:cstheme="minorBidi"/>
          <w:noProof/>
          <w:sz w:val="24"/>
          <w:lang w:eastAsia="ja-JP"/>
        </w:rPr>
      </w:pPr>
      <w:r>
        <w:rPr>
          <w:szCs w:val="20"/>
        </w:rPr>
        <w:fldChar w:fldCharType="begin"/>
      </w:r>
      <w:r w:rsidR="0023799B">
        <w:rPr>
          <w:szCs w:val="20"/>
        </w:rPr>
        <w:instrText xml:space="preserve"> TOC \c "Table" </w:instrText>
      </w:r>
      <w:r>
        <w:rPr>
          <w:szCs w:val="20"/>
        </w:rPr>
        <w:fldChar w:fldCharType="separate"/>
      </w:r>
      <w:r w:rsidR="0023799B" w:rsidRPr="00E73BEE">
        <w:rPr>
          <w:i/>
          <w:noProof/>
        </w:rPr>
        <w:t>Table 1: Estimates of 2013 gas consumption in Australia.</w:t>
      </w:r>
      <w:r w:rsidR="0023799B">
        <w:rPr>
          <w:noProof/>
        </w:rPr>
        <w:tab/>
      </w:r>
      <w:r>
        <w:rPr>
          <w:noProof/>
        </w:rPr>
        <w:fldChar w:fldCharType="begin"/>
      </w:r>
      <w:r w:rsidR="0023799B">
        <w:rPr>
          <w:noProof/>
        </w:rPr>
        <w:instrText xml:space="preserve"> PAGEREF _Toc257360005 \h </w:instrText>
      </w:r>
      <w:r>
        <w:rPr>
          <w:noProof/>
        </w:rPr>
      </w:r>
      <w:r>
        <w:rPr>
          <w:noProof/>
        </w:rPr>
        <w:fldChar w:fldCharType="separate"/>
      </w:r>
      <w:r w:rsidR="008E0DB9">
        <w:rPr>
          <w:noProof/>
        </w:rPr>
        <w:t>20</w:t>
      </w:r>
      <w:r>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E73BEE">
        <w:rPr>
          <w:i/>
          <w:noProof/>
        </w:rPr>
        <w:t>Table 2: Supplies of natural refrigerants in 2013 in tonnes and dissection by application.</w:t>
      </w:r>
      <w:r>
        <w:rPr>
          <w:noProof/>
        </w:rPr>
        <w:tab/>
      </w:r>
      <w:r w:rsidR="00B41499">
        <w:rPr>
          <w:noProof/>
        </w:rPr>
        <w:fldChar w:fldCharType="begin"/>
      </w:r>
      <w:r>
        <w:rPr>
          <w:noProof/>
        </w:rPr>
        <w:instrText xml:space="preserve"> PAGEREF _Toc257360006 \h </w:instrText>
      </w:r>
      <w:r w:rsidR="00B41499">
        <w:rPr>
          <w:noProof/>
        </w:rPr>
      </w:r>
      <w:r w:rsidR="00B41499">
        <w:rPr>
          <w:noProof/>
        </w:rPr>
        <w:fldChar w:fldCharType="separate"/>
      </w:r>
      <w:r w:rsidR="008E0DB9">
        <w:rPr>
          <w:noProof/>
        </w:rPr>
        <w:t>33</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E73BEE">
        <w:rPr>
          <w:i/>
          <w:noProof/>
        </w:rPr>
        <w:t>Table 3: Refrigerants under examination by AHRI Low GWP Alternative Refrigerants Evaluation Program.</w:t>
      </w:r>
      <w:r>
        <w:rPr>
          <w:noProof/>
        </w:rPr>
        <w:tab/>
      </w:r>
      <w:r w:rsidR="00B41499">
        <w:rPr>
          <w:noProof/>
        </w:rPr>
        <w:fldChar w:fldCharType="begin"/>
      </w:r>
      <w:r>
        <w:rPr>
          <w:noProof/>
        </w:rPr>
        <w:instrText xml:space="preserve"> PAGEREF _Toc257360007 \h </w:instrText>
      </w:r>
      <w:r w:rsidR="00B41499">
        <w:rPr>
          <w:noProof/>
        </w:rPr>
      </w:r>
      <w:r w:rsidR="00B41499">
        <w:rPr>
          <w:noProof/>
        </w:rPr>
        <w:fldChar w:fldCharType="separate"/>
      </w:r>
      <w:r w:rsidR="008E0DB9">
        <w:rPr>
          <w:noProof/>
        </w:rPr>
        <w:t>37</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E73BEE">
        <w:rPr>
          <w:i/>
          <w:noProof/>
        </w:rPr>
        <w:t>Table 4: Estimates of 2013 gas consumption and refrigerant bank by major sector in tonnes.</w:t>
      </w:r>
      <w:r>
        <w:rPr>
          <w:noProof/>
        </w:rPr>
        <w:tab/>
      </w:r>
      <w:r w:rsidR="00B41499">
        <w:rPr>
          <w:noProof/>
        </w:rPr>
        <w:fldChar w:fldCharType="begin"/>
      </w:r>
      <w:r>
        <w:rPr>
          <w:noProof/>
        </w:rPr>
        <w:instrText xml:space="preserve"> PAGEREF _Toc257360008 \h </w:instrText>
      </w:r>
      <w:r w:rsidR="00B41499">
        <w:rPr>
          <w:noProof/>
        </w:rPr>
      </w:r>
      <w:r w:rsidR="00B41499">
        <w:rPr>
          <w:noProof/>
        </w:rPr>
        <w:fldChar w:fldCharType="separate"/>
      </w:r>
      <w:r w:rsidR="008E0DB9">
        <w:rPr>
          <w:noProof/>
        </w:rPr>
        <w:t>52</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E73BEE">
        <w:rPr>
          <w:rFonts w:ascii="Times New Roman" w:hAnsi="Times New Roman"/>
          <w:i/>
          <w:noProof/>
        </w:rPr>
        <w:t>Table 5: Predicted transition scenario for domestic refrigeration sector.</w:t>
      </w:r>
      <w:r>
        <w:rPr>
          <w:noProof/>
        </w:rPr>
        <w:tab/>
      </w:r>
      <w:r w:rsidR="00B41499">
        <w:rPr>
          <w:noProof/>
        </w:rPr>
        <w:fldChar w:fldCharType="begin"/>
      </w:r>
      <w:r>
        <w:rPr>
          <w:noProof/>
        </w:rPr>
        <w:instrText xml:space="preserve"> PAGEREF _Toc257360009 \h </w:instrText>
      </w:r>
      <w:r w:rsidR="00B41499">
        <w:rPr>
          <w:noProof/>
        </w:rPr>
      </w:r>
      <w:r w:rsidR="00B41499">
        <w:rPr>
          <w:noProof/>
        </w:rPr>
        <w:fldChar w:fldCharType="separate"/>
      </w:r>
      <w:r w:rsidR="008E0DB9">
        <w:rPr>
          <w:noProof/>
        </w:rPr>
        <w:t>62</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E73BEE">
        <w:rPr>
          <w:rFonts w:ascii="Times New Roman" w:hAnsi="Times New Roman"/>
          <w:i/>
          <w:noProof/>
        </w:rPr>
        <w:t>Table 6: Predicted transition scenario for refrigerated cold food chain sector.</w:t>
      </w:r>
      <w:r>
        <w:rPr>
          <w:noProof/>
        </w:rPr>
        <w:tab/>
      </w:r>
      <w:r w:rsidR="00B41499">
        <w:rPr>
          <w:noProof/>
        </w:rPr>
        <w:fldChar w:fldCharType="begin"/>
      </w:r>
      <w:r>
        <w:rPr>
          <w:noProof/>
        </w:rPr>
        <w:instrText xml:space="preserve"> PAGEREF _Toc257360010 \h </w:instrText>
      </w:r>
      <w:r w:rsidR="00B41499">
        <w:rPr>
          <w:noProof/>
        </w:rPr>
      </w:r>
      <w:r w:rsidR="00B41499">
        <w:rPr>
          <w:noProof/>
        </w:rPr>
        <w:fldChar w:fldCharType="separate"/>
      </w:r>
      <w:r w:rsidR="008E0DB9">
        <w:rPr>
          <w:noProof/>
        </w:rPr>
        <w:t>77</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E73BEE">
        <w:rPr>
          <w:rFonts w:ascii="Times New Roman" w:hAnsi="Times New Roman"/>
          <w:i/>
          <w:noProof/>
        </w:rPr>
        <w:t>Table 7: Predicted transition scenario for stationary air conditioning sector.</w:t>
      </w:r>
      <w:r>
        <w:rPr>
          <w:noProof/>
        </w:rPr>
        <w:tab/>
      </w:r>
      <w:r w:rsidR="00B41499">
        <w:rPr>
          <w:noProof/>
        </w:rPr>
        <w:fldChar w:fldCharType="begin"/>
      </w:r>
      <w:r>
        <w:rPr>
          <w:noProof/>
        </w:rPr>
        <w:instrText xml:space="preserve"> PAGEREF _Toc257360011 \h </w:instrText>
      </w:r>
      <w:r w:rsidR="00B41499">
        <w:rPr>
          <w:noProof/>
        </w:rPr>
      </w:r>
      <w:r w:rsidR="00B41499">
        <w:rPr>
          <w:noProof/>
        </w:rPr>
        <w:fldChar w:fldCharType="separate"/>
      </w:r>
      <w:r w:rsidR="008E0DB9">
        <w:rPr>
          <w:noProof/>
        </w:rPr>
        <w:t>90</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E73BEE">
        <w:rPr>
          <w:i/>
          <w:noProof/>
        </w:rPr>
        <w:t>Table 8: Predicted transition scenario for mobile air conditioning sector.</w:t>
      </w:r>
      <w:r>
        <w:rPr>
          <w:noProof/>
        </w:rPr>
        <w:tab/>
      </w:r>
      <w:r w:rsidR="00B41499">
        <w:rPr>
          <w:noProof/>
        </w:rPr>
        <w:fldChar w:fldCharType="begin"/>
      </w:r>
      <w:r>
        <w:rPr>
          <w:noProof/>
        </w:rPr>
        <w:instrText xml:space="preserve"> PAGEREF _Toc257360012 \h </w:instrText>
      </w:r>
      <w:r w:rsidR="00B41499">
        <w:rPr>
          <w:noProof/>
        </w:rPr>
      </w:r>
      <w:r w:rsidR="00B41499">
        <w:rPr>
          <w:noProof/>
        </w:rPr>
        <w:fldChar w:fldCharType="separate"/>
      </w:r>
      <w:r w:rsidR="008E0DB9">
        <w:rPr>
          <w:noProof/>
        </w:rPr>
        <w:t>99</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E73BEE">
        <w:rPr>
          <w:i/>
          <w:noProof/>
        </w:rPr>
        <w:t>Table 9: GWP factors of main refrigerant gas species</w:t>
      </w:r>
      <w:r>
        <w:rPr>
          <w:noProof/>
        </w:rPr>
        <w:tab/>
      </w:r>
      <w:r w:rsidR="00B41499">
        <w:rPr>
          <w:noProof/>
        </w:rPr>
        <w:fldChar w:fldCharType="begin"/>
      </w:r>
      <w:r>
        <w:rPr>
          <w:noProof/>
        </w:rPr>
        <w:instrText xml:space="preserve"> PAGEREF _Toc257360013 \h </w:instrText>
      </w:r>
      <w:r w:rsidR="00B41499">
        <w:rPr>
          <w:noProof/>
        </w:rPr>
      </w:r>
      <w:r w:rsidR="00B41499">
        <w:rPr>
          <w:noProof/>
        </w:rPr>
        <w:fldChar w:fldCharType="separate"/>
      </w:r>
      <w:r w:rsidR="008E0DB9">
        <w:rPr>
          <w:noProof/>
        </w:rPr>
        <w:t>123</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E73BEE">
        <w:rPr>
          <w:i/>
          <w:noProof/>
        </w:rPr>
        <w:t>Table 10: ASHRAE Refrigerant designation and refrigerant mass composition of common blends used in Australia</w:t>
      </w:r>
      <w:r>
        <w:rPr>
          <w:noProof/>
        </w:rPr>
        <w:tab/>
      </w:r>
      <w:r w:rsidR="00B41499">
        <w:rPr>
          <w:noProof/>
        </w:rPr>
        <w:fldChar w:fldCharType="begin"/>
      </w:r>
      <w:r>
        <w:rPr>
          <w:noProof/>
        </w:rPr>
        <w:instrText xml:space="preserve"> PAGEREF _Toc257360014 \h </w:instrText>
      </w:r>
      <w:r w:rsidR="00B41499">
        <w:rPr>
          <w:noProof/>
        </w:rPr>
      </w:r>
      <w:r w:rsidR="00B41499">
        <w:rPr>
          <w:noProof/>
        </w:rPr>
        <w:fldChar w:fldCharType="separate"/>
      </w:r>
      <w:r w:rsidR="008E0DB9">
        <w:rPr>
          <w:noProof/>
        </w:rPr>
        <w:t>125</w:t>
      </w:r>
      <w:r w:rsidR="00B41499">
        <w:rPr>
          <w:noProof/>
        </w:rPr>
        <w:fldChar w:fldCharType="end"/>
      </w:r>
    </w:p>
    <w:p w:rsidR="0023799B" w:rsidRDefault="0023799B">
      <w:pPr>
        <w:pStyle w:val="TableofFigures"/>
        <w:tabs>
          <w:tab w:val="right" w:leader="dot" w:pos="9962"/>
        </w:tabs>
        <w:rPr>
          <w:rFonts w:asciiTheme="minorHAnsi" w:eastAsiaTheme="minorEastAsia" w:hAnsiTheme="minorHAnsi" w:cstheme="minorBidi"/>
          <w:noProof/>
          <w:sz w:val="24"/>
          <w:lang w:eastAsia="ja-JP"/>
        </w:rPr>
      </w:pPr>
      <w:r w:rsidRPr="00E73BEE">
        <w:rPr>
          <w:i/>
          <w:noProof/>
        </w:rPr>
        <w:t>Table 11: Technical characteristics for product categories (average charge, leak rates, lifespan, end-of-life percentage)</w:t>
      </w:r>
      <w:r>
        <w:rPr>
          <w:noProof/>
        </w:rPr>
        <w:tab/>
      </w:r>
      <w:r w:rsidR="00B41499">
        <w:rPr>
          <w:noProof/>
        </w:rPr>
        <w:fldChar w:fldCharType="begin"/>
      </w:r>
      <w:r>
        <w:rPr>
          <w:noProof/>
        </w:rPr>
        <w:instrText xml:space="preserve"> PAGEREF _Toc257360015 \h </w:instrText>
      </w:r>
      <w:r w:rsidR="00B41499">
        <w:rPr>
          <w:noProof/>
        </w:rPr>
      </w:r>
      <w:r w:rsidR="00B41499">
        <w:rPr>
          <w:noProof/>
        </w:rPr>
        <w:fldChar w:fldCharType="separate"/>
      </w:r>
      <w:r w:rsidR="008E0DB9">
        <w:rPr>
          <w:noProof/>
        </w:rPr>
        <w:t>126</w:t>
      </w:r>
      <w:r w:rsidR="00B41499">
        <w:rPr>
          <w:noProof/>
        </w:rPr>
        <w:fldChar w:fldCharType="end"/>
      </w:r>
    </w:p>
    <w:p w:rsidR="003937A5" w:rsidRPr="003937A5" w:rsidRDefault="00B41499" w:rsidP="00941E84">
      <w:pPr>
        <w:tabs>
          <w:tab w:val="left" w:pos="7513"/>
        </w:tabs>
        <w:rPr>
          <w:rFonts w:asciiTheme="majorHAnsi" w:hAnsiTheme="majorHAnsi"/>
          <w:sz w:val="20"/>
          <w:szCs w:val="20"/>
        </w:rPr>
      </w:pPr>
      <w:r>
        <w:rPr>
          <w:rFonts w:asciiTheme="majorHAnsi" w:eastAsia="Times New Roman" w:hAnsiTheme="majorHAnsi" w:cs="Times New Roman"/>
          <w:sz w:val="20"/>
          <w:szCs w:val="20"/>
          <w:lang w:val="en-US"/>
        </w:rPr>
        <w:fldChar w:fldCharType="end"/>
      </w:r>
      <w:bookmarkStart w:id="0" w:name="_GoBack"/>
      <w:bookmarkEnd w:id="0"/>
      <w:r w:rsidR="003937A5" w:rsidRPr="000006BF">
        <w:rPr>
          <w:rFonts w:ascii="Verdana" w:hAnsi="Verdana"/>
          <w:color w:val="548DD4"/>
          <w:szCs w:val="20"/>
        </w:rPr>
        <w:br w:type="page"/>
      </w:r>
      <w:r w:rsidR="003937A5" w:rsidRPr="003937A5">
        <w:rPr>
          <w:rFonts w:asciiTheme="majorHAnsi" w:hAnsiTheme="majorHAnsi"/>
          <w:sz w:val="20"/>
          <w:szCs w:val="20"/>
        </w:rPr>
        <w:t xml:space="preserve">This paper has been prepared for the Australian Government, Department of </w:t>
      </w:r>
      <w:r w:rsidR="00BA3DC3">
        <w:rPr>
          <w:rFonts w:asciiTheme="majorHAnsi" w:hAnsiTheme="majorHAnsi"/>
          <w:sz w:val="20"/>
          <w:szCs w:val="20"/>
        </w:rPr>
        <w:t>the</w:t>
      </w:r>
      <w:r w:rsidR="003937A5" w:rsidRPr="003937A5">
        <w:rPr>
          <w:rFonts w:asciiTheme="majorHAnsi" w:hAnsiTheme="majorHAnsi"/>
          <w:sz w:val="20"/>
          <w:szCs w:val="20"/>
        </w:rPr>
        <w:t xml:space="preserve"> Environment, (</w:t>
      </w:r>
      <w:r w:rsidR="00BA3DC3">
        <w:rPr>
          <w:rFonts w:asciiTheme="majorHAnsi" w:hAnsiTheme="majorHAnsi"/>
          <w:sz w:val="20"/>
          <w:szCs w:val="20"/>
        </w:rPr>
        <w:t>DoE</w:t>
      </w:r>
      <w:r w:rsidR="003937A5" w:rsidRPr="003937A5">
        <w:rPr>
          <w:rFonts w:asciiTheme="majorHAnsi" w:hAnsiTheme="majorHAnsi"/>
          <w:sz w:val="20"/>
          <w:szCs w:val="20"/>
        </w:rPr>
        <w:t xml:space="preserve">) Environment Quality Division, Ozone </w:t>
      </w:r>
      <w:r w:rsidR="00BA3DC3">
        <w:rPr>
          <w:rFonts w:asciiTheme="majorHAnsi" w:hAnsiTheme="majorHAnsi"/>
          <w:sz w:val="20"/>
          <w:szCs w:val="20"/>
        </w:rPr>
        <w:t xml:space="preserve">Protection </w:t>
      </w:r>
      <w:r w:rsidR="003937A5" w:rsidRPr="003937A5">
        <w:rPr>
          <w:rFonts w:asciiTheme="majorHAnsi" w:hAnsiTheme="majorHAnsi"/>
          <w:sz w:val="20"/>
          <w:szCs w:val="20"/>
        </w:rPr>
        <w:t xml:space="preserve">and Synthetic </w:t>
      </w:r>
      <w:r w:rsidR="00BA3DC3">
        <w:rPr>
          <w:rFonts w:asciiTheme="majorHAnsi" w:hAnsiTheme="majorHAnsi"/>
          <w:sz w:val="20"/>
          <w:szCs w:val="20"/>
        </w:rPr>
        <w:t>Greenhouse Policy</w:t>
      </w:r>
      <w:r w:rsidR="003937A5" w:rsidRPr="003937A5">
        <w:rPr>
          <w:rFonts w:asciiTheme="majorHAnsi" w:hAnsiTheme="majorHAnsi"/>
          <w:sz w:val="20"/>
          <w:szCs w:val="20"/>
        </w:rPr>
        <w:t xml:space="preserve"> Team.</w:t>
      </w:r>
    </w:p>
    <w:p w:rsidR="003937A5" w:rsidRPr="003937A5" w:rsidRDefault="003937A5" w:rsidP="007B0C64">
      <w:pPr>
        <w:rPr>
          <w:rFonts w:asciiTheme="majorHAnsi" w:hAnsiTheme="majorHAnsi"/>
          <w:sz w:val="20"/>
          <w:szCs w:val="20"/>
        </w:rPr>
      </w:pPr>
      <w:r w:rsidRPr="003937A5">
        <w:rPr>
          <w:rFonts w:asciiTheme="majorHAnsi" w:hAnsiTheme="majorHAnsi"/>
          <w:sz w:val="20"/>
          <w:szCs w:val="20"/>
        </w:rPr>
        <w:t xml:space="preserve">Prepared by Peter Brodribb of the Expert Group (A.C.N. </w:t>
      </w:r>
      <w:r w:rsidR="00206CD4">
        <w:rPr>
          <w:rFonts w:asciiTheme="majorHAnsi" w:hAnsiTheme="majorHAnsi"/>
          <w:sz w:val="20"/>
          <w:szCs w:val="20"/>
        </w:rPr>
        <w:t>122 581 159) and</w:t>
      </w:r>
      <w:r w:rsidRPr="003937A5">
        <w:rPr>
          <w:rFonts w:asciiTheme="majorHAnsi" w:hAnsiTheme="majorHAnsi"/>
          <w:sz w:val="20"/>
          <w:szCs w:val="20"/>
        </w:rPr>
        <w:t xml:space="preserve"> Michael McCann of Thinkwell Australia Pty Ltd (A.C.N. 113 454 112)</w:t>
      </w:r>
      <w:r w:rsidR="00DE56EC">
        <w:rPr>
          <w:rFonts w:asciiTheme="majorHAnsi" w:hAnsiTheme="majorHAnsi"/>
          <w:sz w:val="20"/>
          <w:szCs w:val="20"/>
        </w:rPr>
        <w:t xml:space="preserve"> with input from </w:t>
      </w:r>
      <w:r w:rsidR="008D20C9">
        <w:rPr>
          <w:rFonts w:asciiTheme="majorHAnsi" w:hAnsiTheme="majorHAnsi"/>
          <w:sz w:val="20"/>
          <w:szCs w:val="20"/>
        </w:rPr>
        <w:t xml:space="preserve">ISECO Engineering Services and </w:t>
      </w:r>
      <w:r w:rsidR="00DE56EC">
        <w:rPr>
          <w:rFonts w:asciiTheme="majorHAnsi" w:hAnsiTheme="majorHAnsi"/>
          <w:sz w:val="20"/>
          <w:szCs w:val="20"/>
        </w:rPr>
        <w:t>EcoPerspectives.</w:t>
      </w:r>
    </w:p>
    <w:p w:rsidR="007B0C64" w:rsidRDefault="007B0C64" w:rsidP="007B0C64">
      <w:pPr>
        <w:rPr>
          <w:rFonts w:asciiTheme="majorHAnsi" w:hAnsiTheme="majorHAnsi"/>
          <w:sz w:val="20"/>
          <w:szCs w:val="20"/>
        </w:rPr>
      </w:pPr>
      <w:r>
        <w:rPr>
          <w:rFonts w:asciiTheme="majorHAnsi" w:hAnsiTheme="majorHAnsi"/>
          <w:sz w:val="20"/>
          <w:szCs w:val="20"/>
        </w:rPr>
        <w:t>Level 1, 181 Bay Street, Brighton, Victoria 3186</w:t>
      </w:r>
    </w:p>
    <w:p w:rsidR="007B0C64" w:rsidRPr="003937A5" w:rsidRDefault="007B0C64" w:rsidP="007B0C64">
      <w:pPr>
        <w:rPr>
          <w:rFonts w:asciiTheme="majorHAnsi" w:hAnsiTheme="majorHAnsi"/>
          <w:sz w:val="20"/>
          <w:szCs w:val="20"/>
        </w:rPr>
      </w:pPr>
      <w:r w:rsidRPr="003937A5">
        <w:rPr>
          <w:rFonts w:asciiTheme="majorHAnsi" w:hAnsiTheme="majorHAnsi"/>
          <w:sz w:val="20"/>
          <w:szCs w:val="20"/>
        </w:rPr>
        <w:t xml:space="preserve">Ph: +61 3 9592 9111 </w:t>
      </w:r>
    </w:p>
    <w:p w:rsidR="003937A5" w:rsidRPr="003937A5" w:rsidRDefault="003937A5" w:rsidP="007B0C64">
      <w:pPr>
        <w:rPr>
          <w:rFonts w:asciiTheme="majorHAnsi" w:hAnsiTheme="majorHAnsi"/>
          <w:sz w:val="20"/>
          <w:szCs w:val="20"/>
        </w:rPr>
      </w:pPr>
      <w:r w:rsidRPr="003937A5">
        <w:rPr>
          <w:rFonts w:asciiTheme="majorHAnsi" w:hAnsiTheme="majorHAnsi"/>
          <w:sz w:val="20"/>
          <w:szCs w:val="20"/>
        </w:rPr>
        <w:t xml:space="preserve">Email: inquiries@expertgroup.com.au </w:t>
      </w:r>
    </w:p>
    <w:p w:rsidR="003937A5" w:rsidRPr="003937A5" w:rsidRDefault="003937A5" w:rsidP="007B0C64">
      <w:pPr>
        <w:rPr>
          <w:rFonts w:asciiTheme="majorHAnsi" w:hAnsiTheme="majorHAnsi"/>
          <w:sz w:val="20"/>
          <w:szCs w:val="20"/>
        </w:rPr>
      </w:pPr>
      <w:r w:rsidRPr="003937A5">
        <w:rPr>
          <w:rFonts w:asciiTheme="majorHAnsi" w:hAnsiTheme="majorHAnsi"/>
          <w:sz w:val="20"/>
          <w:szCs w:val="20"/>
        </w:rPr>
        <w:t>Web address: www.expertgroup.com.au</w:t>
      </w:r>
    </w:p>
    <w:p w:rsidR="003937A5" w:rsidRPr="003937A5" w:rsidRDefault="003937A5" w:rsidP="003937A5">
      <w:pPr>
        <w:rPr>
          <w:rFonts w:asciiTheme="majorHAnsi" w:hAnsiTheme="majorHAnsi"/>
          <w:sz w:val="20"/>
          <w:szCs w:val="20"/>
        </w:rPr>
      </w:pPr>
    </w:p>
    <w:p w:rsidR="003937A5" w:rsidRPr="003937A5" w:rsidRDefault="003937A5" w:rsidP="003937A5">
      <w:pPr>
        <w:rPr>
          <w:rFonts w:asciiTheme="majorHAnsi" w:hAnsiTheme="majorHAnsi"/>
          <w:b/>
          <w:sz w:val="20"/>
          <w:szCs w:val="20"/>
        </w:rPr>
      </w:pPr>
      <w:r w:rsidRPr="003937A5">
        <w:rPr>
          <w:rFonts w:asciiTheme="majorHAnsi" w:hAnsiTheme="majorHAnsi"/>
          <w:b/>
          <w:sz w:val="20"/>
          <w:szCs w:val="20"/>
        </w:rPr>
        <w:t>Disclaimer</w:t>
      </w:r>
    </w:p>
    <w:p w:rsidR="0028249E" w:rsidRPr="0028249E" w:rsidRDefault="0028249E" w:rsidP="0028249E">
      <w:pPr>
        <w:jc w:val="left"/>
        <w:rPr>
          <w:rFonts w:asciiTheme="majorHAnsi" w:hAnsiTheme="majorHAnsi"/>
          <w:color w:val="000000"/>
          <w:sz w:val="20"/>
          <w:szCs w:val="20"/>
        </w:rPr>
      </w:pPr>
      <w:r w:rsidRPr="0028249E">
        <w:rPr>
          <w:rFonts w:asciiTheme="majorHAnsi" w:hAnsiTheme="majorHAnsi"/>
          <w:color w:val="000000"/>
          <w:sz w:val="20"/>
          <w:szCs w:val="20"/>
        </w:rPr>
        <w:t xml:space="preserve">The views and opinions expressed in this publication are those of the authors and do not necessarily reflect those of the Australian Government or the Minister for the Environment. </w:t>
      </w:r>
      <w:r w:rsidRPr="0028249E">
        <w:rPr>
          <w:rFonts w:asciiTheme="majorHAnsi" w:hAnsiTheme="majorHAnsi"/>
          <w:color w:val="000000"/>
          <w:sz w:val="20"/>
          <w:szCs w:val="20"/>
        </w:rPr>
        <w:br/>
      </w:r>
      <w:r w:rsidRPr="0028249E">
        <w:rPr>
          <w:rFonts w:asciiTheme="majorHAnsi" w:hAnsiTheme="majorHAnsi"/>
          <w:color w:val="000000"/>
          <w:sz w:val="20"/>
          <w:szCs w:val="20"/>
        </w:rPr>
        <w:b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3937A5" w:rsidRPr="0028249E" w:rsidRDefault="003937A5" w:rsidP="003937A5">
      <w:pPr>
        <w:rPr>
          <w:rFonts w:asciiTheme="majorHAnsi" w:hAnsiTheme="majorHAnsi"/>
          <w:sz w:val="20"/>
          <w:szCs w:val="20"/>
        </w:rPr>
      </w:pPr>
      <w:r w:rsidRPr="0028249E">
        <w:rPr>
          <w:rFonts w:asciiTheme="majorHAnsi" w:hAnsiTheme="majorHAnsi"/>
          <w:sz w:val="20"/>
          <w:szCs w:val="20"/>
        </w:rPr>
        <w:t xml:space="preserve">The Expert Group and </w:t>
      </w:r>
      <w:r w:rsidR="00DE56EC" w:rsidRPr="0028249E">
        <w:rPr>
          <w:rFonts w:asciiTheme="majorHAnsi" w:hAnsiTheme="majorHAnsi"/>
          <w:sz w:val="20"/>
          <w:szCs w:val="20"/>
        </w:rPr>
        <w:t xml:space="preserve">associated parties </w:t>
      </w:r>
      <w:r w:rsidRPr="0028249E">
        <w:rPr>
          <w:rFonts w:asciiTheme="majorHAnsi" w:hAnsiTheme="majorHAnsi"/>
          <w:sz w:val="20"/>
          <w:szCs w:val="20"/>
        </w:rPr>
        <w:t>have made their best endeavours to ensure the accuracy and reliability of the data used herein, however makes no warranties as to the accuracy of data herein nor accepts any liability for any action taken or decision made based on the contents of this report.</w:t>
      </w:r>
    </w:p>
    <w:p w:rsidR="003937A5" w:rsidRPr="0028249E" w:rsidRDefault="003937A5" w:rsidP="003937A5">
      <w:pPr>
        <w:rPr>
          <w:rFonts w:asciiTheme="majorHAnsi" w:hAnsiTheme="majorHAnsi"/>
          <w:sz w:val="20"/>
          <w:szCs w:val="20"/>
        </w:rPr>
      </w:pPr>
      <w:r w:rsidRPr="0028249E">
        <w:rPr>
          <w:rFonts w:asciiTheme="majorHAnsi" w:hAnsiTheme="majorHAnsi"/>
          <w:sz w:val="20"/>
          <w:szCs w:val="20"/>
        </w:rPr>
        <w:t xml:space="preserve">For bibliographic purposes this report may be cited as: </w:t>
      </w:r>
      <w:r w:rsidR="00C31982" w:rsidRPr="0028249E">
        <w:rPr>
          <w:rFonts w:asciiTheme="majorHAnsi" w:hAnsiTheme="majorHAnsi"/>
          <w:sz w:val="20"/>
          <w:szCs w:val="20"/>
        </w:rPr>
        <w:t>A study into HFC consumption in Australia,</w:t>
      </w:r>
      <w:r w:rsidR="007B0C64" w:rsidRPr="0028249E">
        <w:rPr>
          <w:rFonts w:asciiTheme="majorHAnsi" w:hAnsiTheme="majorHAnsi"/>
          <w:sz w:val="20"/>
          <w:szCs w:val="20"/>
        </w:rPr>
        <w:t xml:space="preserve"> </w:t>
      </w:r>
      <w:r w:rsidRPr="0028249E">
        <w:rPr>
          <w:rFonts w:asciiTheme="majorHAnsi" w:hAnsiTheme="majorHAnsi"/>
          <w:sz w:val="20"/>
          <w:szCs w:val="20"/>
        </w:rPr>
        <w:t>Peter Brodribb and Michael McCann 201</w:t>
      </w:r>
      <w:r w:rsidR="00C31982" w:rsidRPr="0028249E">
        <w:rPr>
          <w:rFonts w:asciiTheme="majorHAnsi" w:hAnsiTheme="majorHAnsi"/>
          <w:sz w:val="20"/>
          <w:szCs w:val="20"/>
        </w:rPr>
        <w:t>4</w:t>
      </w:r>
      <w:r w:rsidRPr="0028249E">
        <w:rPr>
          <w:rFonts w:asciiTheme="majorHAnsi" w:hAnsiTheme="majorHAnsi"/>
          <w:sz w:val="20"/>
          <w:szCs w:val="20"/>
        </w:rPr>
        <w:t>, Canberra.</w:t>
      </w:r>
    </w:p>
    <w:p w:rsidR="00074953" w:rsidRDefault="00074953" w:rsidP="00D93F9C">
      <w:pPr>
        <w:rPr>
          <w:rFonts w:asciiTheme="majorHAnsi" w:hAnsiTheme="majorHAnsi"/>
          <w:color w:val="000000" w:themeColor="text1"/>
          <w:sz w:val="20"/>
          <w:szCs w:val="20"/>
        </w:rPr>
      </w:pPr>
    </w:p>
    <w:p w:rsidR="00D93F9C" w:rsidRPr="00D93F9C" w:rsidRDefault="00D93F9C" w:rsidP="00D93F9C">
      <w:pPr>
        <w:rPr>
          <w:rFonts w:asciiTheme="majorHAnsi" w:hAnsiTheme="majorHAnsi"/>
          <w:color w:val="000000" w:themeColor="text1"/>
          <w:sz w:val="20"/>
          <w:szCs w:val="20"/>
        </w:rPr>
      </w:pPr>
      <w:r w:rsidRPr="00D93F9C">
        <w:rPr>
          <w:rFonts w:asciiTheme="majorHAnsi" w:hAnsiTheme="majorHAnsi"/>
          <w:color w:val="000000" w:themeColor="text1"/>
          <w:sz w:val="20"/>
          <w:szCs w:val="20"/>
        </w:rPr>
        <w:t>© Commonwealth of Australia 201</w:t>
      </w:r>
      <w:r w:rsidR="00C31982">
        <w:rPr>
          <w:rFonts w:asciiTheme="majorHAnsi" w:hAnsiTheme="majorHAnsi"/>
          <w:color w:val="000000" w:themeColor="text1"/>
          <w:sz w:val="20"/>
          <w:szCs w:val="20"/>
        </w:rPr>
        <w:t>4</w:t>
      </w:r>
    </w:p>
    <w:p w:rsidR="00D93F9C" w:rsidRPr="008635DC" w:rsidRDefault="00D93F9C" w:rsidP="00D93F9C">
      <w:pPr>
        <w:rPr>
          <w:rFonts w:asciiTheme="majorHAnsi" w:hAnsiTheme="majorHAnsi"/>
          <w:color w:val="000000" w:themeColor="text1"/>
          <w:sz w:val="20"/>
          <w:szCs w:val="20"/>
        </w:rPr>
      </w:pPr>
      <w:r w:rsidRPr="00D93F9C">
        <w:rPr>
          <w:rFonts w:asciiTheme="majorHAnsi" w:hAnsiTheme="majorHAnsi"/>
          <w:color w:val="000000" w:themeColor="text1"/>
          <w:sz w:val="20"/>
          <w:szCs w:val="20"/>
        </w:rPr>
        <w:t xml:space="preserve">This work is copyright. You may download, display, print and reproduce this material in unaltered form only (retaining this notice) for your personal, non-commercial use or use within your organisation. Apart from any use as permitted under the Copyright Act 1968, all other rights are reserved. Requests and enquiries concerning reproduction and rights should be addressed to Department of </w:t>
      </w:r>
      <w:r w:rsidR="00BA3DC3">
        <w:rPr>
          <w:rFonts w:asciiTheme="majorHAnsi" w:hAnsiTheme="majorHAnsi"/>
          <w:color w:val="000000" w:themeColor="text1"/>
          <w:sz w:val="20"/>
          <w:szCs w:val="20"/>
        </w:rPr>
        <w:t>the</w:t>
      </w:r>
      <w:r w:rsidRPr="00D93F9C">
        <w:rPr>
          <w:rFonts w:asciiTheme="majorHAnsi" w:hAnsiTheme="majorHAnsi"/>
          <w:color w:val="000000" w:themeColor="text1"/>
          <w:sz w:val="20"/>
          <w:szCs w:val="20"/>
        </w:rPr>
        <w:t xml:space="preserve"> Environment, Public Affairs, GPO Box 787 Canberra ACT 2601 or email </w:t>
      </w:r>
      <w:hyperlink r:id="rId16" w:history="1">
        <w:r w:rsidRPr="00D93F9C">
          <w:rPr>
            <w:rStyle w:val="Hyperlink"/>
            <w:rFonts w:ascii="Verdana" w:hAnsi="Verdana"/>
            <w:sz w:val="17"/>
            <w:szCs w:val="17"/>
          </w:rPr>
          <w:t>public.affairs@environment.gov.au</w:t>
        </w:r>
      </w:hyperlink>
      <w:r w:rsidRPr="00D93F9C">
        <w:rPr>
          <w:rFonts w:ascii="Verdana" w:hAnsi="Verdana"/>
          <w:color w:val="000000"/>
          <w:sz w:val="17"/>
          <w:szCs w:val="17"/>
        </w:rPr>
        <w:t>.</w:t>
      </w:r>
    </w:p>
    <w:p w:rsidR="00D93F9C" w:rsidRPr="003937A5" w:rsidRDefault="00D93F9C" w:rsidP="003937A5">
      <w:pPr>
        <w:spacing w:before="0"/>
        <w:rPr>
          <w:rFonts w:asciiTheme="majorHAnsi" w:hAnsiTheme="majorHAnsi"/>
          <w:sz w:val="20"/>
          <w:szCs w:val="20"/>
        </w:rPr>
      </w:pPr>
    </w:p>
    <w:p w:rsidR="00CC6F76" w:rsidRDefault="00CC6F76">
      <w:pPr>
        <w:spacing w:before="0"/>
        <w:jc w:val="left"/>
      </w:pPr>
    </w:p>
    <w:p w:rsidR="00CC6F76" w:rsidRDefault="00CC6F76">
      <w:pPr>
        <w:spacing w:before="0"/>
        <w:jc w:val="left"/>
      </w:pPr>
      <w:r>
        <w:br w:type="page"/>
      </w:r>
    </w:p>
    <w:p w:rsidR="00CC6F76" w:rsidRPr="00974916" w:rsidRDefault="00CC6F76" w:rsidP="00CC6F76">
      <w:pPr>
        <w:pStyle w:val="Heading1"/>
        <w:numPr>
          <w:ilvl w:val="0"/>
          <w:numId w:val="0"/>
        </w:numPr>
        <w:ind w:left="432" w:hanging="432"/>
      </w:pPr>
      <w:bookmarkStart w:id="1" w:name="_Toc257359938"/>
      <w:r>
        <w:t>Acknowledgements</w:t>
      </w:r>
      <w:bookmarkEnd w:id="1"/>
    </w:p>
    <w:p w:rsidR="00D560FE" w:rsidRPr="00B9449A" w:rsidRDefault="00CC6F76" w:rsidP="00CC6F76">
      <w:pPr>
        <w:spacing w:before="0"/>
      </w:pPr>
      <w:r w:rsidRPr="00B9449A">
        <w:t xml:space="preserve">The authors would like to thank the following industry associations and </w:t>
      </w:r>
      <w:r w:rsidR="00045B67" w:rsidRPr="00B9449A">
        <w:t xml:space="preserve">the individuals in the </w:t>
      </w:r>
      <w:r w:rsidRPr="00B9449A">
        <w:t>companies who have provided invaluable information, expert advice</w:t>
      </w:r>
      <w:r w:rsidR="00B9449A" w:rsidRPr="00B9449A">
        <w:t xml:space="preserve">, </w:t>
      </w:r>
      <w:r w:rsidRPr="00B9449A">
        <w:t xml:space="preserve">and participated in in-confidence surveys </w:t>
      </w:r>
      <w:r w:rsidRPr="00B9449A">
        <w:rPr>
          <w:rFonts w:hint="eastAsia"/>
        </w:rPr>
        <w:t>during the co</w:t>
      </w:r>
      <w:r w:rsidR="00B9449A" w:rsidRPr="00B9449A">
        <w:rPr>
          <w:rFonts w:hint="eastAsia"/>
        </w:rPr>
        <w:t xml:space="preserve">urse of preparing this study and the industry </w:t>
      </w:r>
      <w:r w:rsidR="00B9449A" w:rsidRPr="00B9449A">
        <w:t>consultation</w:t>
      </w:r>
      <w:r w:rsidR="00B9449A" w:rsidRPr="00B9449A">
        <w:rPr>
          <w:rFonts w:hint="eastAsia"/>
        </w:rPr>
        <w:t xml:space="preserve"> workshops.</w:t>
      </w:r>
    </w:p>
    <w:p w:rsidR="00CC6F76" w:rsidRPr="00B9449A" w:rsidRDefault="00CC6F76">
      <w:pPr>
        <w:spacing w:before="0"/>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tblGrid>
      <w:tr w:rsidR="00AF3F53" w:rsidRPr="00B9449A" w:rsidTr="00AF3F53">
        <w:tc>
          <w:tcPr>
            <w:tcW w:w="9747" w:type="dxa"/>
          </w:tcPr>
          <w:p w:rsidR="00AF3F53" w:rsidRPr="00B9449A" w:rsidRDefault="00AF3F53" w:rsidP="00AF3F53">
            <w:pPr>
              <w:spacing w:before="60" w:after="60"/>
              <w:jc w:val="left"/>
              <w:rPr>
                <w:b/>
              </w:rPr>
            </w:pPr>
            <w:r w:rsidRPr="00B9449A">
              <w:rPr>
                <w:b/>
              </w:rPr>
              <w:t>Industry associations</w:t>
            </w:r>
          </w:p>
        </w:tc>
      </w:tr>
      <w:tr w:rsidR="00AF3F53" w:rsidRPr="00B9449A" w:rsidTr="00AF3F53">
        <w:tc>
          <w:tcPr>
            <w:tcW w:w="9747" w:type="dxa"/>
          </w:tcPr>
          <w:p w:rsidR="00AF3F53" w:rsidRPr="00B9449A" w:rsidRDefault="00AF3F53" w:rsidP="00AF3F53">
            <w:pPr>
              <w:spacing w:before="60" w:after="60"/>
              <w:jc w:val="left"/>
            </w:pPr>
            <w:r w:rsidRPr="00B9449A">
              <w:t xml:space="preserve">Australian Institute of Refrigeration Air Conditioning and Heating </w:t>
            </w:r>
          </w:p>
        </w:tc>
      </w:tr>
      <w:tr w:rsidR="00AF3F53" w:rsidRPr="00B9449A" w:rsidTr="00AF3F53">
        <w:tc>
          <w:tcPr>
            <w:tcW w:w="9747" w:type="dxa"/>
          </w:tcPr>
          <w:p w:rsidR="00AF3F53" w:rsidRPr="00B9449A" w:rsidRDefault="00AF3F53" w:rsidP="00AF3F53">
            <w:pPr>
              <w:spacing w:before="60" w:after="60"/>
              <w:jc w:val="left"/>
            </w:pPr>
            <w:r w:rsidRPr="00B9449A">
              <w:t>Air Conditioning &amp; Refrigeration Equipment Manufacturers Association of Australia</w:t>
            </w:r>
          </w:p>
        </w:tc>
      </w:tr>
      <w:tr w:rsidR="00AF3F53" w:rsidRPr="00B9449A" w:rsidTr="00AF3F53">
        <w:tc>
          <w:tcPr>
            <w:tcW w:w="9747" w:type="dxa"/>
          </w:tcPr>
          <w:p w:rsidR="00AF3F53" w:rsidRPr="00B9449A" w:rsidRDefault="00AF3F53" w:rsidP="00AF3F53">
            <w:pPr>
              <w:spacing w:before="60" w:after="60"/>
              <w:jc w:val="left"/>
            </w:pPr>
            <w:r w:rsidRPr="00B9449A">
              <w:t>Air Conditioning and Mechanical Contractors' Association of Australia</w:t>
            </w:r>
          </w:p>
        </w:tc>
      </w:tr>
      <w:tr w:rsidR="00AF3F53" w:rsidRPr="00B9449A" w:rsidTr="00AF3F53">
        <w:tc>
          <w:tcPr>
            <w:tcW w:w="9747" w:type="dxa"/>
          </w:tcPr>
          <w:p w:rsidR="00AF3F53" w:rsidRPr="00B9449A" w:rsidRDefault="00AF3F53" w:rsidP="00AF3F53">
            <w:pPr>
              <w:spacing w:before="60" w:after="60"/>
              <w:jc w:val="left"/>
            </w:pPr>
            <w:r w:rsidRPr="00B9449A">
              <w:t>Australian Refrigeration Association</w:t>
            </w:r>
          </w:p>
        </w:tc>
      </w:tr>
      <w:tr w:rsidR="00AF3F53" w:rsidRPr="00B9449A" w:rsidTr="00AF3F53">
        <w:tc>
          <w:tcPr>
            <w:tcW w:w="9747" w:type="dxa"/>
          </w:tcPr>
          <w:p w:rsidR="00AF3F53" w:rsidRPr="00B9449A" w:rsidRDefault="00AF3F53" w:rsidP="00AF3F53">
            <w:pPr>
              <w:spacing w:before="60" w:after="60"/>
              <w:jc w:val="left"/>
            </w:pPr>
            <w:r w:rsidRPr="00B9449A">
              <w:t xml:space="preserve">Australian Refrigeration Council </w:t>
            </w:r>
          </w:p>
        </w:tc>
      </w:tr>
      <w:tr w:rsidR="00AF3F53" w:rsidRPr="00B9449A" w:rsidTr="00AF3F53">
        <w:tc>
          <w:tcPr>
            <w:tcW w:w="9747" w:type="dxa"/>
          </w:tcPr>
          <w:p w:rsidR="00AF3F53" w:rsidRPr="00B9449A" w:rsidRDefault="00AF3F53" w:rsidP="00AF3F53">
            <w:pPr>
              <w:spacing w:before="60" w:after="60"/>
              <w:jc w:val="left"/>
            </w:pPr>
            <w:r w:rsidRPr="00B9449A">
              <w:t xml:space="preserve">Refrigeration and Air Conditioning Contractors Association </w:t>
            </w:r>
          </w:p>
        </w:tc>
      </w:tr>
      <w:tr w:rsidR="00AF3F53" w:rsidTr="00AF3F53">
        <w:tc>
          <w:tcPr>
            <w:tcW w:w="9747" w:type="dxa"/>
          </w:tcPr>
          <w:p w:rsidR="00AF3F53" w:rsidRPr="00BE4A02" w:rsidRDefault="00AF3F53" w:rsidP="00AF3F53">
            <w:pPr>
              <w:spacing w:before="60" w:after="60"/>
              <w:jc w:val="left"/>
            </w:pPr>
            <w:r w:rsidRPr="00B9449A">
              <w:t>Refrigerants Australia</w:t>
            </w:r>
            <w:r w:rsidRPr="00BE4A02">
              <w:t xml:space="preserve"> </w:t>
            </w:r>
          </w:p>
        </w:tc>
      </w:tr>
      <w:tr w:rsidR="00AF3F53" w:rsidTr="00AF3F53">
        <w:tc>
          <w:tcPr>
            <w:tcW w:w="9747" w:type="dxa"/>
          </w:tcPr>
          <w:p w:rsidR="00AF3F53" w:rsidRDefault="00AF3F53" w:rsidP="00AF3F53">
            <w:pPr>
              <w:spacing w:before="60" w:after="60"/>
              <w:jc w:val="left"/>
            </w:pPr>
          </w:p>
        </w:tc>
      </w:tr>
      <w:tr w:rsidR="00AF3F53" w:rsidTr="00AF3F53">
        <w:tc>
          <w:tcPr>
            <w:tcW w:w="9747" w:type="dxa"/>
          </w:tcPr>
          <w:p w:rsidR="00AF3F53" w:rsidRDefault="00AF3F53" w:rsidP="00AF3F53">
            <w:pPr>
              <w:spacing w:before="60" w:after="60"/>
              <w:jc w:val="left"/>
            </w:pPr>
            <w:r w:rsidRPr="00AF3F53">
              <w:rPr>
                <w:b/>
              </w:rPr>
              <w:t>Companies</w:t>
            </w:r>
          </w:p>
        </w:tc>
      </w:tr>
      <w:tr w:rsidR="00AF3F53" w:rsidTr="00AF3F53">
        <w:tc>
          <w:tcPr>
            <w:tcW w:w="9747" w:type="dxa"/>
          </w:tcPr>
          <w:p w:rsidR="00AF3F53" w:rsidRPr="007A5A65" w:rsidRDefault="00AF3F53" w:rsidP="00AF3F53">
            <w:pPr>
              <w:spacing w:before="60" w:after="60"/>
              <w:jc w:val="left"/>
            </w:pPr>
            <w:r w:rsidRPr="007A5A65">
              <w:t>A-Gas Australia</w:t>
            </w:r>
          </w:p>
        </w:tc>
      </w:tr>
      <w:tr w:rsidR="00AF3F53" w:rsidTr="00AF3F53">
        <w:tc>
          <w:tcPr>
            <w:tcW w:w="9747" w:type="dxa"/>
          </w:tcPr>
          <w:p w:rsidR="00AF3F53" w:rsidRPr="007A5A65" w:rsidRDefault="007A5A65" w:rsidP="00AF3F53">
            <w:pPr>
              <w:spacing w:before="60" w:after="60"/>
              <w:jc w:val="left"/>
            </w:pPr>
            <w:r w:rsidRPr="007A5A65">
              <w:t>Ashdown-Ingram</w:t>
            </w:r>
          </w:p>
        </w:tc>
      </w:tr>
      <w:tr w:rsidR="00AF3F53" w:rsidTr="00AF3F53">
        <w:tc>
          <w:tcPr>
            <w:tcW w:w="9747" w:type="dxa"/>
          </w:tcPr>
          <w:p w:rsidR="00AF3F53" w:rsidRPr="007A5A65" w:rsidRDefault="007A5A65" w:rsidP="00AF3F53">
            <w:pPr>
              <w:spacing w:before="60" w:after="60"/>
              <w:jc w:val="left"/>
            </w:pPr>
            <w:r w:rsidRPr="007A5A65">
              <w:t>BOC Limited</w:t>
            </w:r>
          </w:p>
        </w:tc>
      </w:tr>
      <w:tr w:rsidR="00AF3F53" w:rsidTr="00AF3F53">
        <w:tc>
          <w:tcPr>
            <w:tcW w:w="9747" w:type="dxa"/>
          </w:tcPr>
          <w:p w:rsidR="00AF3F53" w:rsidRPr="000817D6" w:rsidRDefault="007A5A65" w:rsidP="007A5A65">
            <w:pPr>
              <w:spacing w:before="60" w:after="60"/>
              <w:jc w:val="left"/>
              <w:rPr>
                <w:highlight w:val="yellow"/>
              </w:rPr>
            </w:pPr>
            <w:r w:rsidRPr="00B346EF">
              <w:t>Burson Auto Parts</w:t>
            </w:r>
          </w:p>
        </w:tc>
      </w:tr>
      <w:tr w:rsidR="007A5A65" w:rsidTr="00AF3F53">
        <w:tc>
          <w:tcPr>
            <w:tcW w:w="9747" w:type="dxa"/>
          </w:tcPr>
          <w:p w:rsidR="007A5A65" w:rsidRPr="007A5A65" w:rsidRDefault="007A5A65" w:rsidP="00AF3F53">
            <w:pPr>
              <w:spacing w:before="60" w:after="60"/>
              <w:jc w:val="left"/>
            </w:pPr>
            <w:r w:rsidRPr="007A5A65">
              <w:t>Electrolux Home Products</w:t>
            </w:r>
          </w:p>
        </w:tc>
      </w:tr>
      <w:tr w:rsidR="007A5A65" w:rsidTr="00AF3F53">
        <w:tc>
          <w:tcPr>
            <w:tcW w:w="9747" w:type="dxa"/>
          </w:tcPr>
          <w:p w:rsidR="007A5A65" w:rsidRPr="007A5A65" w:rsidRDefault="007A5A65" w:rsidP="00AF3F53">
            <w:pPr>
              <w:spacing w:before="60" w:after="60"/>
              <w:jc w:val="left"/>
            </w:pPr>
            <w:r w:rsidRPr="007A5A65">
              <w:t>Engas Australasia</w:t>
            </w:r>
          </w:p>
        </w:tc>
      </w:tr>
      <w:tr w:rsidR="007A5A65" w:rsidTr="00AF3F53">
        <w:tc>
          <w:tcPr>
            <w:tcW w:w="9747" w:type="dxa"/>
          </w:tcPr>
          <w:p w:rsidR="007A5A65" w:rsidRPr="000817D6" w:rsidRDefault="007A5A65" w:rsidP="00AF3F53">
            <w:pPr>
              <w:spacing w:before="60" w:after="60"/>
              <w:jc w:val="left"/>
              <w:rPr>
                <w:highlight w:val="yellow"/>
              </w:rPr>
            </w:pPr>
            <w:r w:rsidRPr="00BE4A02">
              <w:t>Fire Protection Technologies</w:t>
            </w:r>
          </w:p>
        </w:tc>
      </w:tr>
      <w:tr w:rsidR="007A5A65" w:rsidTr="00AF3F53">
        <w:tc>
          <w:tcPr>
            <w:tcW w:w="9747" w:type="dxa"/>
          </w:tcPr>
          <w:p w:rsidR="007A5A65" w:rsidRPr="007A5A65" w:rsidRDefault="007A5A65" w:rsidP="00AF3F53">
            <w:pPr>
              <w:spacing w:before="60" w:after="60"/>
              <w:jc w:val="left"/>
            </w:pPr>
            <w:r w:rsidRPr="007A5A65">
              <w:t>GreenFreeze</w:t>
            </w:r>
          </w:p>
        </w:tc>
      </w:tr>
      <w:tr w:rsidR="007A5A65" w:rsidTr="00AF3F53">
        <w:tc>
          <w:tcPr>
            <w:tcW w:w="9747" w:type="dxa"/>
          </w:tcPr>
          <w:p w:rsidR="004B0DFA" w:rsidRPr="007A5A65" w:rsidRDefault="004B0DFA" w:rsidP="004B0DFA">
            <w:pPr>
              <w:spacing w:before="60" w:after="60"/>
              <w:jc w:val="left"/>
            </w:pPr>
            <w:r>
              <w:t>Highgate Car Air</w:t>
            </w:r>
          </w:p>
        </w:tc>
      </w:tr>
      <w:tr w:rsidR="004B0DFA" w:rsidTr="00AF3F53">
        <w:tc>
          <w:tcPr>
            <w:tcW w:w="9747" w:type="dxa"/>
          </w:tcPr>
          <w:p w:rsidR="004B0DFA" w:rsidRDefault="004B0DFA" w:rsidP="004B0DFA">
            <w:pPr>
              <w:spacing w:before="60" w:after="60"/>
              <w:jc w:val="left"/>
            </w:pPr>
            <w:r w:rsidRPr="007A5A65">
              <w:t>Hychill Australia</w:t>
            </w:r>
          </w:p>
          <w:p w:rsidR="004B0DFA" w:rsidRPr="007A5A65" w:rsidRDefault="004B0DFA" w:rsidP="001149C1">
            <w:pPr>
              <w:spacing w:before="60" w:after="60"/>
              <w:jc w:val="left"/>
            </w:pPr>
            <w:r w:rsidRPr="004B0DFA">
              <w:t>JAS Oceania</w:t>
            </w:r>
          </w:p>
        </w:tc>
      </w:tr>
      <w:tr w:rsidR="004B0DFA" w:rsidTr="00AF3F53">
        <w:tc>
          <w:tcPr>
            <w:tcW w:w="9747" w:type="dxa"/>
          </w:tcPr>
          <w:p w:rsidR="004B0DFA" w:rsidRPr="007A5A65" w:rsidRDefault="004B0DFA" w:rsidP="004B0DFA">
            <w:pPr>
              <w:spacing w:before="60" w:after="60"/>
              <w:jc w:val="left"/>
            </w:pPr>
            <w:r w:rsidRPr="007A5A65">
              <w:t>Orica Chemicals; Orica Australia</w:t>
            </w:r>
          </w:p>
        </w:tc>
      </w:tr>
      <w:tr w:rsidR="004B0DFA" w:rsidTr="00AF3F53">
        <w:tc>
          <w:tcPr>
            <w:tcW w:w="9747" w:type="dxa"/>
          </w:tcPr>
          <w:p w:rsidR="004B0DFA" w:rsidRPr="007A5A65" w:rsidRDefault="004B0DFA" w:rsidP="00AF3F53">
            <w:pPr>
              <w:spacing w:before="60" w:after="60"/>
              <w:jc w:val="left"/>
            </w:pPr>
            <w:r w:rsidRPr="007A5A65">
              <w:t>Oz-Chill</w:t>
            </w:r>
          </w:p>
        </w:tc>
      </w:tr>
      <w:tr w:rsidR="007A5A65" w:rsidTr="00AF3F53">
        <w:tc>
          <w:tcPr>
            <w:tcW w:w="9747" w:type="dxa"/>
          </w:tcPr>
          <w:p w:rsidR="007A5A65" w:rsidRPr="007A5A65" w:rsidRDefault="007A5A65" w:rsidP="00AF3F53">
            <w:pPr>
              <w:spacing w:before="60" w:after="60"/>
              <w:jc w:val="left"/>
            </w:pPr>
            <w:r w:rsidRPr="007A5A65">
              <w:t>Tyco Fire Australia</w:t>
            </w:r>
          </w:p>
        </w:tc>
      </w:tr>
      <w:tr w:rsidR="007A5A65" w:rsidTr="00AF3F53">
        <w:tc>
          <w:tcPr>
            <w:tcW w:w="9747" w:type="dxa"/>
          </w:tcPr>
          <w:p w:rsidR="007A5A65" w:rsidRPr="007A5A65" w:rsidRDefault="007A5A65" w:rsidP="007A5A65">
            <w:pPr>
              <w:spacing w:before="60" w:after="60"/>
              <w:jc w:val="left"/>
            </w:pPr>
            <w:r w:rsidRPr="007A5A65">
              <w:t>UTC Building &amp; Industrial Systems</w:t>
            </w:r>
          </w:p>
        </w:tc>
      </w:tr>
    </w:tbl>
    <w:p w:rsidR="00BE4A02" w:rsidRPr="00FF0991" w:rsidRDefault="00BE4A02" w:rsidP="00F129EC">
      <w:pPr>
        <w:pStyle w:val="Heading1"/>
        <w:numPr>
          <w:ilvl w:val="0"/>
          <w:numId w:val="0"/>
        </w:numPr>
        <w:ind w:left="432" w:hanging="432"/>
        <w:rPr>
          <w:rFonts w:ascii="Times New Roman" w:hAnsi="Times New Roman"/>
          <w:sz w:val="22"/>
          <w:szCs w:val="22"/>
        </w:rPr>
      </w:pPr>
    </w:p>
    <w:p w:rsidR="00BE4A02" w:rsidRDefault="00BE4A02" w:rsidP="00BE4A02">
      <w:pPr>
        <w:rPr>
          <w:rFonts w:ascii="Calibri" w:eastAsia="Times New Roman" w:hAnsi="Calibri" w:cs="Times New Roman"/>
          <w:kern w:val="32"/>
          <w:sz w:val="32"/>
          <w:szCs w:val="32"/>
          <w:lang w:val="en-US"/>
        </w:rPr>
      </w:pPr>
      <w:r>
        <w:br w:type="page"/>
      </w:r>
    </w:p>
    <w:p w:rsidR="00F129EC" w:rsidRPr="00974916" w:rsidRDefault="00F129EC" w:rsidP="00F129EC">
      <w:pPr>
        <w:pStyle w:val="Heading1"/>
        <w:numPr>
          <w:ilvl w:val="0"/>
          <w:numId w:val="0"/>
        </w:numPr>
        <w:ind w:left="432" w:hanging="432"/>
      </w:pPr>
      <w:bookmarkStart w:id="2" w:name="_Toc257359939"/>
      <w:r>
        <w:t>Glossary</w:t>
      </w:r>
      <w:bookmarkEnd w:id="2"/>
    </w:p>
    <w:tbl>
      <w:tblPr>
        <w:tblW w:w="0" w:type="auto"/>
        <w:tblLook w:val="00A0"/>
      </w:tblPr>
      <w:tblGrid>
        <w:gridCol w:w="2230"/>
        <w:gridCol w:w="7483"/>
      </w:tblGrid>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Ammonia Refrigerant</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Anhydrous Ammonia (R717) has excellent thermodynamic properties, making it effective as a refrigerant, and is widely used in industrial and process refrigeration applications because of its high energy efficiency and relatively low cost. Ammonia is used less frequently in commercial refrigeration applications, such as in supermarket and food retail, freezer cases and refrigerated displays due to its toxicity, and the proximity of the general public.</w:t>
            </w:r>
          </w:p>
        </w:tc>
      </w:tr>
      <w:tr w:rsidR="00F129EC" w:rsidRPr="008C4425" w:rsidTr="00F129EC">
        <w:trPr>
          <w:trHeight w:val="342"/>
        </w:trPr>
        <w:tc>
          <w:tcPr>
            <w:tcW w:w="2230" w:type="dxa"/>
          </w:tcPr>
          <w:p w:rsidR="00F129EC" w:rsidRDefault="00F129EC" w:rsidP="00F129EC">
            <w:pPr>
              <w:pStyle w:val="BodyText"/>
              <w:spacing w:before="60" w:after="60"/>
              <w:jc w:val="left"/>
              <w:rPr>
                <w:rFonts w:asciiTheme="majorHAnsi" w:hAnsiTheme="majorHAnsi"/>
                <w:sz w:val="18"/>
                <w:szCs w:val="22"/>
              </w:rPr>
            </w:pPr>
            <w:r>
              <w:rPr>
                <w:rFonts w:asciiTheme="majorHAnsi" w:hAnsiTheme="majorHAnsi"/>
                <w:sz w:val="18"/>
                <w:szCs w:val="22"/>
              </w:rPr>
              <w:t>Article 5 Countries</w:t>
            </w:r>
          </w:p>
        </w:tc>
        <w:tc>
          <w:tcPr>
            <w:tcW w:w="7483" w:type="dxa"/>
          </w:tcPr>
          <w:p w:rsidR="00F129EC" w:rsidRDefault="00F129EC" w:rsidP="00105702">
            <w:pPr>
              <w:pStyle w:val="BodyText"/>
              <w:spacing w:before="60" w:after="60"/>
              <w:rPr>
                <w:rFonts w:asciiTheme="majorHAnsi" w:hAnsiTheme="majorHAnsi"/>
                <w:sz w:val="18"/>
                <w:szCs w:val="22"/>
              </w:rPr>
            </w:pPr>
            <w:r w:rsidRPr="001132D8">
              <w:rPr>
                <w:rFonts w:asciiTheme="majorHAnsi" w:hAnsiTheme="majorHAnsi"/>
                <w:sz w:val="18"/>
                <w:szCs w:val="22"/>
              </w:rPr>
              <w:t xml:space="preserve">Article 5 countries </w:t>
            </w:r>
            <w:r>
              <w:rPr>
                <w:rFonts w:asciiTheme="majorHAnsi" w:hAnsiTheme="majorHAnsi"/>
                <w:sz w:val="18"/>
                <w:szCs w:val="22"/>
              </w:rPr>
              <w:t xml:space="preserve">are developing countries (e.g. African nations; </w:t>
            </w:r>
            <w:r w:rsidRPr="001132D8">
              <w:rPr>
                <w:rFonts w:asciiTheme="majorHAnsi" w:hAnsiTheme="majorHAnsi"/>
                <w:sz w:val="18"/>
                <w:szCs w:val="22"/>
              </w:rPr>
              <w:t>China, India</w:t>
            </w:r>
            <w:r>
              <w:rPr>
                <w:rFonts w:asciiTheme="majorHAnsi" w:hAnsiTheme="majorHAnsi"/>
                <w:sz w:val="18"/>
                <w:szCs w:val="22"/>
              </w:rPr>
              <w:t xml:space="preserve"> and Thailand; and South American and most Middle Eastern countries) </w:t>
            </w:r>
            <w:r w:rsidRPr="001132D8">
              <w:rPr>
                <w:rFonts w:asciiTheme="majorHAnsi" w:hAnsiTheme="majorHAnsi"/>
                <w:sz w:val="18"/>
                <w:szCs w:val="22"/>
              </w:rPr>
              <w:t xml:space="preserve">and non-Article 5 countries </w:t>
            </w:r>
            <w:r>
              <w:rPr>
                <w:rFonts w:asciiTheme="majorHAnsi" w:hAnsiTheme="majorHAnsi"/>
                <w:sz w:val="18"/>
                <w:szCs w:val="22"/>
              </w:rPr>
              <w:t xml:space="preserve">are </w:t>
            </w:r>
            <w:r w:rsidR="00105702">
              <w:rPr>
                <w:rFonts w:asciiTheme="majorHAnsi" w:hAnsiTheme="majorHAnsi"/>
                <w:sz w:val="18"/>
                <w:szCs w:val="22"/>
              </w:rPr>
              <w:t xml:space="preserve">developed </w:t>
            </w:r>
            <w:r>
              <w:rPr>
                <w:rFonts w:asciiTheme="majorHAnsi" w:hAnsiTheme="majorHAnsi"/>
                <w:sz w:val="18"/>
                <w:szCs w:val="22"/>
              </w:rPr>
              <w:t xml:space="preserve">countries </w:t>
            </w:r>
            <w:r w:rsidRPr="001132D8">
              <w:rPr>
                <w:rFonts w:asciiTheme="majorHAnsi" w:hAnsiTheme="majorHAnsi"/>
                <w:sz w:val="18"/>
                <w:szCs w:val="22"/>
              </w:rPr>
              <w:t>(</w:t>
            </w:r>
            <w:r>
              <w:rPr>
                <w:rFonts w:asciiTheme="majorHAnsi" w:hAnsiTheme="majorHAnsi"/>
                <w:sz w:val="18"/>
                <w:szCs w:val="22"/>
              </w:rPr>
              <w:t xml:space="preserve">e.g. </w:t>
            </w:r>
            <w:r w:rsidRPr="001132D8">
              <w:rPr>
                <w:rFonts w:asciiTheme="majorHAnsi" w:hAnsiTheme="majorHAnsi"/>
                <w:sz w:val="18"/>
                <w:szCs w:val="22"/>
              </w:rPr>
              <w:t>Australia</w:t>
            </w:r>
            <w:r>
              <w:rPr>
                <w:rFonts w:asciiTheme="majorHAnsi" w:hAnsiTheme="majorHAnsi"/>
                <w:sz w:val="18"/>
                <w:szCs w:val="22"/>
              </w:rPr>
              <w:t>;</w:t>
            </w:r>
            <w:r w:rsidRPr="001132D8">
              <w:rPr>
                <w:rFonts w:asciiTheme="majorHAnsi" w:hAnsiTheme="majorHAnsi"/>
                <w:sz w:val="18"/>
                <w:szCs w:val="22"/>
              </w:rPr>
              <w:t xml:space="preserve"> </w:t>
            </w:r>
            <w:r>
              <w:rPr>
                <w:rFonts w:asciiTheme="majorHAnsi" w:hAnsiTheme="majorHAnsi"/>
                <w:sz w:val="18"/>
                <w:szCs w:val="22"/>
              </w:rPr>
              <w:t xml:space="preserve">European Union members such as </w:t>
            </w:r>
            <w:r w:rsidRPr="001132D8">
              <w:rPr>
                <w:rFonts w:asciiTheme="majorHAnsi" w:hAnsiTheme="majorHAnsi"/>
                <w:sz w:val="18"/>
                <w:szCs w:val="22"/>
              </w:rPr>
              <w:t>Germany</w:t>
            </w:r>
            <w:r>
              <w:rPr>
                <w:rFonts w:asciiTheme="majorHAnsi" w:hAnsiTheme="majorHAnsi"/>
                <w:sz w:val="18"/>
                <w:szCs w:val="22"/>
              </w:rPr>
              <w:t xml:space="preserve">, Denmark and United Kingdom; </w:t>
            </w:r>
            <w:r w:rsidRPr="001132D8">
              <w:rPr>
                <w:rFonts w:asciiTheme="majorHAnsi" w:hAnsiTheme="majorHAnsi"/>
                <w:sz w:val="18"/>
                <w:szCs w:val="22"/>
              </w:rPr>
              <w:t>Japan</w:t>
            </w:r>
            <w:r>
              <w:rPr>
                <w:rFonts w:asciiTheme="majorHAnsi" w:hAnsiTheme="majorHAnsi"/>
                <w:sz w:val="18"/>
                <w:szCs w:val="22"/>
              </w:rPr>
              <w:t>; Canada and the United States).</w:t>
            </w:r>
          </w:p>
        </w:tc>
      </w:tr>
      <w:tr w:rsidR="00F129EC" w:rsidRPr="008C4425" w:rsidTr="00F129EC">
        <w:trPr>
          <w:trHeight w:val="342"/>
        </w:trPr>
        <w:tc>
          <w:tcPr>
            <w:tcW w:w="2230" w:type="dxa"/>
          </w:tcPr>
          <w:p w:rsidR="00F129EC" w:rsidRPr="00E837D8" w:rsidRDefault="00F129EC" w:rsidP="00F129EC">
            <w:pPr>
              <w:pStyle w:val="BodyText"/>
              <w:spacing w:before="60" w:after="60"/>
              <w:jc w:val="left"/>
              <w:rPr>
                <w:rFonts w:asciiTheme="majorHAnsi" w:hAnsiTheme="majorHAnsi"/>
                <w:sz w:val="18"/>
                <w:szCs w:val="22"/>
              </w:rPr>
            </w:pPr>
            <w:r>
              <w:rPr>
                <w:rFonts w:asciiTheme="majorHAnsi" w:hAnsiTheme="majorHAnsi"/>
                <w:sz w:val="18"/>
                <w:szCs w:val="22"/>
              </w:rPr>
              <w:t>Azeotrope</w:t>
            </w:r>
          </w:p>
        </w:tc>
        <w:tc>
          <w:tcPr>
            <w:tcW w:w="7483" w:type="dxa"/>
          </w:tcPr>
          <w:p w:rsidR="00F129EC" w:rsidRPr="00E837D8" w:rsidRDefault="00F129EC" w:rsidP="00F129EC">
            <w:pPr>
              <w:pStyle w:val="BodyText"/>
              <w:spacing w:before="60" w:after="60"/>
              <w:rPr>
                <w:rFonts w:asciiTheme="majorHAnsi" w:hAnsiTheme="majorHAnsi"/>
                <w:sz w:val="18"/>
                <w:szCs w:val="22"/>
              </w:rPr>
            </w:pPr>
            <w:r>
              <w:rPr>
                <w:rFonts w:asciiTheme="majorHAnsi" w:hAnsiTheme="majorHAnsi"/>
                <w:sz w:val="18"/>
                <w:szCs w:val="22"/>
              </w:rPr>
              <w:t>See r</w:t>
            </w:r>
            <w:r w:rsidRPr="00A709D3">
              <w:rPr>
                <w:rFonts w:asciiTheme="majorHAnsi" w:hAnsiTheme="majorHAnsi"/>
                <w:sz w:val="18"/>
                <w:szCs w:val="22"/>
              </w:rPr>
              <w:t>efrigerant glide</w:t>
            </w:r>
            <w:r>
              <w:rPr>
                <w:rFonts w:asciiTheme="majorHAnsi" w:hAnsiTheme="majorHAnsi"/>
                <w:sz w:val="18"/>
                <w:szCs w:val="22"/>
              </w:rPr>
              <w:t>.</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E837D8">
              <w:rPr>
                <w:rFonts w:asciiTheme="majorHAnsi" w:hAnsiTheme="majorHAnsi"/>
                <w:sz w:val="18"/>
                <w:szCs w:val="22"/>
              </w:rPr>
              <w:t>Bottom-up model</w:t>
            </w:r>
          </w:p>
        </w:tc>
        <w:tc>
          <w:tcPr>
            <w:tcW w:w="7483" w:type="dxa"/>
          </w:tcPr>
          <w:p w:rsidR="00F129EC" w:rsidRPr="008C4425" w:rsidRDefault="00F129EC" w:rsidP="00105702">
            <w:pPr>
              <w:pStyle w:val="BodyText"/>
              <w:spacing w:before="60" w:after="60"/>
              <w:rPr>
                <w:rFonts w:asciiTheme="majorHAnsi" w:hAnsiTheme="majorHAnsi"/>
                <w:sz w:val="18"/>
                <w:szCs w:val="22"/>
              </w:rPr>
            </w:pPr>
            <w:r w:rsidRPr="00E837D8">
              <w:rPr>
                <w:rFonts w:asciiTheme="majorHAnsi" w:hAnsiTheme="majorHAnsi"/>
                <w:sz w:val="18"/>
                <w:szCs w:val="22"/>
              </w:rPr>
              <w:t xml:space="preserve">A method of estimation whereby the individual </w:t>
            </w:r>
            <w:r>
              <w:rPr>
                <w:rFonts w:asciiTheme="majorHAnsi" w:hAnsiTheme="majorHAnsi"/>
                <w:sz w:val="18"/>
                <w:szCs w:val="22"/>
              </w:rPr>
              <w:t xml:space="preserve">appliances, equipment and product categories </w:t>
            </w:r>
            <w:r w:rsidRPr="00E837D8">
              <w:rPr>
                <w:rFonts w:asciiTheme="majorHAnsi" w:hAnsiTheme="majorHAnsi"/>
                <w:sz w:val="18"/>
                <w:szCs w:val="22"/>
              </w:rPr>
              <w:t xml:space="preserve">that make up </w:t>
            </w:r>
            <w:r>
              <w:rPr>
                <w:rFonts w:asciiTheme="majorHAnsi" w:hAnsiTheme="majorHAnsi"/>
                <w:sz w:val="18"/>
                <w:szCs w:val="22"/>
              </w:rPr>
              <w:t xml:space="preserve">the equipment bank </w:t>
            </w:r>
            <w:r w:rsidRPr="00E837D8">
              <w:rPr>
                <w:rFonts w:asciiTheme="majorHAnsi" w:hAnsiTheme="majorHAnsi"/>
                <w:sz w:val="18"/>
                <w:szCs w:val="22"/>
              </w:rPr>
              <w:t xml:space="preserve">are estimated separately.  The individual results are then aggregated to produce an estimate </w:t>
            </w:r>
            <w:r>
              <w:rPr>
                <w:rFonts w:asciiTheme="majorHAnsi" w:hAnsiTheme="majorHAnsi"/>
                <w:sz w:val="18"/>
                <w:szCs w:val="22"/>
              </w:rPr>
              <w:t>of the refrigerant bank by refrigerant species</w:t>
            </w:r>
            <w:r w:rsidRPr="00E837D8">
              <w:rPr>
                <w:rFonts w:asciiTheme="majorHAnsi" w:hAnsiTheme="majorHAnsi"/>
                <w:sz w:val="18"/>
                <w:szCs w:val="22"/>
              </w:rPr>
              <w:t xml:space="preserve">.  In the context of this study, </w:t>
            </w:r>
            <w:r>
              <w:rPr>
                <w:rFonts w:asciiTheme="majorHAnsi" w:hAnsiTheme="majorHAnsi"/>
                <w:sz w:val="18"/>
                <w:szCs w:val="22"/>
              </w:rPr>
              <w:t xml:space="preserve">consumption </w:t>
            </w:r>
            <w:r w:rsidRPr="00E837D8">
              <w:rPr>
                <w:rFonts w:asciiTheme="majorHAnsi" w:hAnsiTheme="majorHAnsi"/>
                <w:sz w:val="18"/>
                <w:szCs w:val="22"/>
              </w:rPr>
              <w:t xml:space="preserve">estimates </w:t>
            </w:r>
            <w:r>
              <w:rPr>
                <w:rFonts w:asciiTheme="majorHAnsi" w:hAnsiTheme="majorHAnsi"/>
                <w:sz w:val="18"/>
                <w:szCs w:val="22"/>
              </w:rPr>
              <w:t>(i.e. leakage plus local manufacture plus exports) is reconciled with the top down data (i.e. bulk imports), except in 2012 where stockpiling occurred and adjustments were made to account for changes in industry behavior.</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Cascade refrigeration system</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A cascade system is made up of two separate but connected refrigeration systems, each of which has a primary refrigerant. The separate refrigerant circuits work in concert to reach the desired temperature. Cascade systems in operation today in Australia are R404A/R744 (CO</w:t>
            </w:r>
            <w:r w:rsidRPr="008C4425">
              <w:rPr>
                <w:rFonts w:asciiTheme="majorHAnsi" w:hAnsiTheme="majorHAnsi"/>
                <w:sz w:val="18"/>
                <w:szCs w:val="22"/>
                <w:vertAlign w:val="subscript"/>
              </w:rPr>
              <w:t>2</w:t>
            </w:r>
            <w:r w:rsidRPr="008C4425">
              <w:rPr>
                <w:rFonts w:asciiTheme="majorHAnsi" w:hAnsiTheme="majorHAnsi"/>
                <w:sz w:val="18"/>
                <w:szCs w:val="22"/>
              </w:rPr>
              <w:t>); R134a/R744 and R717 (ammonia)/R744. A cascade refrigeration system is also sometimes referred to simply as an ‘advanced refrigeration system’.</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CHF1</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Cold Hard Facts 1, the original refrigeration and air conditioning (RAC) study undertaken by the authors in 2007 based on 2006 data.</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CHF2</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Cold Hard Facts 2, an updated study of the RAC industry in Australia with an expanded brief to encompass new application/equipment classes, new and emerging refrigerants, and report on the refrigerant bank.</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Chlorofluorocarbons (CFCs)</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Molecules containing carbon, fluorine, and chlorine. CFCs are the major ozone depleting substance phased out by the Montreal Protocol on Substances that Deplete the Ozone Layer. Many CFCs are potent greenhouse gases.</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Coefficient of performance (COP)</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 xml:space="preserve">The ratio of the heat </w:t>
            </w:r>
            <w:r w:rsidRPr="00870F76">
              <w:rPr>
                <w:rFonts w:asciiTheme="majorHAnsi" w:hAnsiTheme="majorHAnsi"/>
                <w:sz w:val="18"/>
                <w:szCs w:val="22"/>
                <w:lang w:val="en-GB"/>
              </w:rPr>
              <w:t>extraction</w:t>
            </w:r>
            <w:r w:rsidRPr="008C4425">
              <w:rPr>
                <w:rFonts w:asciiTheme="majorHAnsi" w:hAnsiTheme="majorHAnsi"/>
                <w:sz w:val="18"/>
                <w:szCs w:val="22"/>
              </w:rPr>
              <w:t xml:space="preserve"> rate divided by the power consumed by the refrigeration compressor(s) and necessary ancillaries. The COP is dimensionless and is used to express the system efficiency.</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Compressor</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A device in the air conditioning or refrigeration circuit which compresses refrigerant vapour, and circulates that refrigerant through to its phases of condensation and evaporation, in order to produce the refrigeration effect. The compressor is available in many forms such as piston, scroll, or screw.</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Compressor rack</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The machine assembly which accommodates the main high pressure components of a refrigeration circuit in a single structure, allowing off site connection to associated pipe work and vessels.</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Condensing unit</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Condensing units exhibit refrigerating capacities ranging typically from 1 kWr to 20 kWr, they are composed of one (or two) compressor(s), one condenser, and one receiver assembled into a ‘condensing unit’.</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t>CO</w:t>
            </w:r>
            <w:r w:rsidRPr="008C4425">
              <w:rPr>
                <w:rFonts w:asciiTheme="majorHAnsi" w:hAnsiTheme="majorHAnsi"/>
                <w:sz w:val="18"/>
                <w:szCs w:val="22"/>
                <w:vertAlign w:val="subscript"/>
                <w:lang w:val="en-AU"/>
              </w:rPr>
              <w:t>2</w:t>
            </w:r>
            <w:r w:rsidRPr="008C4425">
              <w:rPr>
                <w:rFonts w:asciiTheme="majorHAnsi" w:hAnsiTheme="majorHAnsi"/>
                <w:sz w:val="18"/>
                <w:szCs w:val="22"/>
                <w:lang w:val="en-AU"/>
              </w:rPr>
              <w:t xml:space="preserve"> refrigerant</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lang w:val="en-AU"/>
              </w:rPr>
              <w:t>A widely used industrial refrigerant with high thermodynamic properties is suitable for process refrigeration applications, and automotive air conditioning use. In the past its high operating pressures have limited its use in small to medium commercial refrigeration applications. Technical innovation such as micro cascade systems and commercial availability of components such as compressors and other in line accessories is assisting its transition into smaller scale applications.</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t>CO</w:t>
            </w:r>
            <w:r w:rsidRPr="008C4425">
              <w:rPr>
                <w:rFonts w:asciiTheme="majorHAnsi" w:hAnsiTheme="majorHAnsi"/>
                <w:sz w:val="18"/>
                <w:szCs w:val="22"/>
                <w:vertAlign w:val="subscript"/>
                <w:lang w:val="en-AU"/>
              </w:rPr>
              <w:t>2</w:t>
            </w:r>
            <w:r w:rsidRPr="008C4425">
              <w:rPr>
                <w:rFonts w:asciiTheme="majorHAnsi" w:hAnsiTheme="majorHAnsi"/>
                <w:sz w:val="18"/>
                <w:szCs w:val="22"/>
                <w:lang w:val="en-AU"/>
              </w:rPr>
              <w:t>-e</w:t>
            </w:r>
          </w:p>
        </w:tc>
        <w:tc>
          <w:tcPr>
            <w:tcW w:w="7483" w:type="dxa"/>
          </w:tcPr>
          <w:p w:rsidR="00F129EC" w:rsidRPr="008C4425" w:rsidRDefault="003440C8" w:rsidP="003440C8">
            <w:pPr>
              <w:pStyle w:val="BodyText"/>
              <w:spacing w:before="60" w:after="60"/>
              <w:rPr>
                <w:rFonts w:asciiTheme="majorHAnsi" w:hAnsiTheme="majorHAnsi"/>
                <w:sz w:val="18"/>
                <w:szCs w:val="22"/>
              </w:rPr>
            </w:pPr>
            <w:r w:rsidRPr="008C4425">
              <w:rPr>
                <w:rFonts w:asciiTheme="majorHAnsi" w:hAnsiTheme="majorHAnsi"/>
                <w:sz w:val="18"/>
                <w:szCs w:val="22"/>
                <w:lang w:val="en-AU"/>
              </w:rPr>
              <w:t xml:space="preserve">Carbon dioxide equivalent </w:t>
            </w:r>
            <w:r>
              <w:rPr>
                <w:rFonts w:asciiTheme="majorHAnsi" w:hAnsiTheme="majorHAnsi"/>
                <w:sz w:val="18"/>
                <w:szCs w:val="22"/>
                <w:lang w:val="en-AU"/>
              </w:rPr>
              <w:t>is a</w:t>
            </w:r>
            <w:r w:rsidRPr="003440C8">
              <w:rPr>
                <w:rFonts w:asciiTheme="majorHAnsi" w:hAnsiTheme="majorHAnsi"/>
                <w:sz w:val="18"/>
                <w:szCs w:val="22"/>
                <w:lang w:val="en-AU"/>
              </w:rPr>
              <w:t xml:space="preserve"> measure that quantifies different greenhouse gases in terms of the amount of carbon dioxide that would deliver the same global warming.</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lang w:val="en-AU"/>
              </w:rPr>
            </w:pPr>
            <w:r w:rsidRPr="00C52907">
              <w:rPr>
                <w:rFonts w:asciiTheme="majorHAnsi" w:hAnsiTheme="majorHAnsi"/>
                <w:sz w:val="18"/>
                <w:szCs w:val="22"/>
                <w:lang w:val="en-AU"/>
              </w:rPr>
              <w:t>Cumulative distribution function</w:t>
            </w:r>
          </w:p>
        </w:tc>
        <w:tc>
          <w:tcPr>
            <w:tcW w:w="7483" w:type="dxa"/>
          </w:tcPr>
          <w:p w:rsidR="00F129EC" w:rsidRPr="008C4425" w:rsidRDefault="00F129EC" w:rsidP="00F129EC">
            <w:pPr>
              <w:pStyle w:val="BodyText"/>
              <w:spacing w:before="60" w:after="60"/>
              <w:rPr>
                <w:rFonts w:asciiTheme="majorHAnsi" w:hAnsiTheme="majorHAnsi"/>
                <w:sz w:val="18"/>
                <w:szCs w:val="22"/>
                <w:lang w:val="en-AU"/>
              </w:rPr>
            </w:pPr>
            <w:r w:rsidRPr="00C52907">
              <w:rPr>
                <w:rFonts w:asciiTheme="majorHAnsi" w:hAnsiTheme="majorHAnsi"/>
                <w:sz w:val="18"/>
                <w:szCs w:val="22"/>
                <w:lang w:val="en-AU"/>
              </w:rPr>
              <w:t>Cumulative distribution function of the normal distribution with mean (μ) and standard deviation (σ) evaluated at a point in time (year x)</w:t>
            </w:r>
            <w:r w:rsidR="009C5D4F">
              <w:rPr>
                <w:rFonts w:asciiTheme="majorHAnsi" w:hAnsiTheme="majorHAnsi"/>
                <w:sz w:val="18"/>
                <w:szCs w:val="22"/>
                <w:lang w:val="en-AU"/>
              </w:rPr>
              <w:t>.</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t>Direct emissions</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lang w:val="en-AU"/>
              </w:rPr>
              <w:t>Global warming effect arising from emissions of refrigerant, or any other ‘greenhouse gas’, from the equipment over its lifetime.</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t>Energy Efficiency Ratio (EER)</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rPr>
              <w:t>The ratio of the cooling output (kWr) divided by the total electric energy input. The EER is dimensionless and is used to express the air conditioning system cooling efficiency.</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t>Energy consumption per year</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lang w:val="en-AU"/>
              </w:rPr>
              <w:t>Energy consumption of the appliance, equipment or system per annum in kWh per year, or GWh per year for an application or equipment sector.</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t>End-of-Life (EOL)</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lang w:val="en-AU"/>
              </w:rPr>
              <w:t>Domestic, commercial or industrial device reaching the end of its useful lifespan.  End- of-life (EOL) emissions are direct emissions from ozone depleting substance (ODS) and synthetic greenhouse gases (SGG) refrigerants not recovered for destruction or reclamation.</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Equivalent Carbon Price (ECP)</w:t>
            </w:r>
          </w:p>
        </w:tc>
        <w:tc>
          <w:tcPr>
            <w:tcW w:w="7483" w:type="dxa"/>
          </w:tcPr>
          <w:p w:rsidR="00F129EC" w:rsidRPr="008C4425" w:rsidRDefault="00F129EC" w:rsidP="00DD620A">
            <w:pPr>
              <w:pStyle w:val="BodyText"/>
              <w:spacing w:before="60" w:after="60"/>
              <w:rPr>
                <w:rFonts w:asciiTheme="majorHAnsi" w:hAnsiTheme="majorHAnsi"/>
                <w:sz w:val="18"/>
                <w:szCs w:val="22"/>
              </w:rPr>
            </w:pPr>
            <w:r w:rsidRPr="008C4425">
              <w:rPr>
                <w:rFonts w:asciiTheme="majorHAnsi" w:hAnsiTheme="majorHAnsi"/>
                <w:sz w:val="18"/>
                <w:szCs w:val="22"/>
                <w:lang w:val="en-AU"/>
              </w:rPr>
              <w:t xml:space="preserve">Under the Australian Government's Clean Energy Future Plan, synthetic greenhouse gases listed under the Kyoto Protocol have an equivalent carbon price applied through the Ozone Protection and Synthetic Greenhouse Gas Management legislation. Gases covered will include hydrofluorocarbons, perfluorocarbons (excluding gases produced from aluminium smelting) and sulfur hexafluoride, </w:t>
            </w:r>
            <w:r w:rsidR="00DD620A">
              <w:rPr>
                <w:rFonts w:asciiTheme="majorHAnsi" w:hAnsiTheme="majorHAnsi"/>
                <w:sz w:val="18"/>
                <w:szCs w:val="22"/>
                <w:lang w:val="en-AU"/>
              </w:rPr>
              <w:t>whether in bulk form or contained in equipment</w:t>
            </w:r>
            <w:r w:rsidRPr="008C4425">
              <w:rPr>
                <w:rFonts w:asciiTheme="majorHAnsi" w:hAnsiTheme="majorHAnsi"/>
                <w:sz w:val="18"/>
                <w:szCs w:val="22"/>
                <w:lang w:val="en-AU"/>
              </w:rPr>
              <w:t>.</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t>E3</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lang w:val="en-AU"/>
              </w:rPr>
              <w:t xml:space="preserve">Equipment Energy Efficiency Committee of the Council of Australian Governments (COAG) operating under the Ministerial Committee on Energy and administered by the Equipment and Appliance Energy Efficiency Team in the Department of Industry, Innovation, Climate Change, Science, Research and Tertiary Education. </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Gas</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A general term used throughout this report, referring to ozone depleting substances, synthetic greenhouse gases and natural refrigerants. The term can refer to refrigerants when the substance is used as a working fluid in equipment or used in other applications.</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Gas Species</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A gas species is defined as a refrigerant category based on its chemical family. For example CFCs, HCFCs and HFCs are all synthetic gases and are defined as different gas species. Similarly Hydrocarbon refrigerant is another gas species, and HC-600a, HC-290 and HC-436 (a blend of HC-600a and HC-290) refrigerants are all part of this family. Other gas species include anhydrous ammonia and Carbon Dioxide.</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Global Warming Potential (GWP)</w:t>
            </w:r>
          </w:p>
          <w:p w:rsidR="00F129EC" w:rsidRPr="008C4425" w:rsidRDefault="00F129EC" w:rsidP="00F129EC">
            <w:pPr>
              <w:pStyle w:val="BodyText"/>
              <w:spacing w:before="60" w:after="60"/>
              <w:jc w:val="left"/>
              <w:rPr>
                <w:rFonts w:asciiTheme="majorHAnsi" w:hAnsiTheme="majorHAnsi"/>
                <w:sz w:val="18"/>
                <w:szCs w:val="22"/>
              </w:rPr>
            </w:pP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A relative index that enables comparison of the climate effect of various greenhouse gases (and other climate changing agents). Carbon dioxide, the greenhouse gas that causes the greatest radiative forcing because of its abundance is used as the reference gas. GWP is also defined as an index based on the radiative forcing of a pulsed injection of a unit mass of a given well mixed greenhouse gas in the present-day atmosphere, integrated over a chosen time horizon, relative to the radiative forcing of carbon dioxide over the same time horizon. The GWPs represent the combined effect of the differing atmospheric lifetimes (i.e. how long these gases remain in the atmosphere) and their relative effectiveness in absorbing outgoing thermal infrared radiation. The Kyoto Protocol is based on GWPs from pulse emissions over a 100-year time frame.</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Greenhouse Gases (GHG)</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rPr>
              <w:t>The Kyoto Protocol covers emissions of the six main greenhouse gases, namely Carbon dioxide (CO</w:t>
            </w:r>
            <w:r w:rsidRPr="008C4425">
              <w:rPr>
                <w:rFonts w:asciiTheme="majorHAnsi" w:hAnsiTheme="majorHAnsi"/>
                <w:sz w:val="18"/>
                <w:vertAlign w:val="subscript"/>
              </w:rPr>
              <w:t>2</w:t>
            </w:r>
            <w:r w:rsidRPr="008C4425">
              <w:rPr>
                <w:rFonts w:asciiTheme="majorHAnsi" w:hAnsiTheme="majorHAnsi"/>
                <w:sz w:val="18"/>
              </w:rPr>
              <w:t>); Methane (CH</w:t>
            </w:r>
            <w:r w:rsidRPr="008C4425">
              <w:rPr>
                <w:rFonts w:asciiTheme="majorHAnsi" w:hAnsiTheme="majorHAnsi"/>
                <w:sz w:val="18"/>
                <w:vertAlign w:val="subscript"/>
              </w:rPr>
              <w:t>4</w:t>
            </w:r>
            <w:r w:rsidRPr="008C4425">
              <w:rPr>
                <w:rFonts w:asciiTheme="majorHAnsi" w:hAnsiTheme="majorHAnsi"/>
                <w:sz w:val="18"/>
              </w:rPr>
              <w:t>); Nitrous oxide (N</w:t>
            </w:r>
            <w:r w:rsidRPr="008C4425">
              <w:rPr>
                <w:rFonts w:asciiTheme="majorHAnsi" w:hAnsiTheme="majorHAnsi"/>
                <w:sz w:val="18"/>
                <w:vertAlign w:val="subscript"/>
              </w:rPr>
              <w:t>2</w:t>
            </w:r>
            <w:r w:rsidRPr="008C4425">
              <w:rPr>
                <w:rFonts w:asciiTheme="majorHAnsi" w:hAnsiTheme="majorHAnsi"/>
                <w:sz w:val="18"/>
              </w:rPr>
              <w:t>O); Hydrofluorocarbons (HFCs); Perfluorocarbons (PFCs); and Sul</w:t>
            </w:r>
            <w:r>
              <w:rPr>
                <w:rFonts w:asciiTheme="majorHAnsi" w:hAnsiTheme="majorHAnsi"/>
                <w:sz w:val="18"/>
              </w:rPr>
              <w:t>f</w:t>
            </w:r>
            <w:r w:rsidRPr="008C4425">
              <w:rPr>
                <w:rFonts w:asciiTheme="majorHAnsi" w:hAnsiTheme="majorHAnsi"/>
                <w:sz w:val="18"/>
              </w:rPr>
              <w:t>ur hexafluoride (SF</w:t>
            </w:r>
            <w:r w:rsidRPr="008C4425">
              <w:rPr>
                <w:rFonts w:asciiTheme="majorHAnsi" w:hAnsiTheme="majorHAnsi"/>
                <w:sz w:val="18"/>
                <w:vertAlign w:val="subscript"/>
              </w:rPr>
              <w:t>6</w:t>
            </w:r>
            <w:r w:rsidRPr="008C4425">
              <w:rPr>
                <w:rFonts w:asciiTheme="majorHAnsi" w:hAnsiTheme="majorHAnsi"/>
                <w:sz w:val="18"/>
              </w:rPr>
              <w:t>). The scope of this study covers the equivalent in carbon dioxide due to indirect emissions from electricity generation, and direct emissions from HFCs.</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GWh</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rPr>
              <w:t>Gigawatt hours is a unit of measurement for electricity use (1 watt hour x 10</w:t>
            </w:r>
            <w:r w:rsidRPr="008C4425">
              <w:rPr>
                <w:rFonts w:asciiTheme="majorHAnsi" w:hAnsiTheme="majorHAnsi"/>
                <w:sz w:val="18"/>
                <w:vertAlign w:val="superscript"/>
              </w:rPr>
              <w:t>9</w:t>
            </w:r>
            <w:r w:rsidRPr="008C4425">
              <w:rPr>
                <w:rFonts w:asciiTheme="majorHAnsi" w:hAnsiTheme="majorHAnsi"/>
                <w:sz w:val="18"/>
              </w:rPr>
              <w:t>).</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Hydrocarbons (HCs)</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rPr>
              <w:t>The term hydrocarbon refers to the main types and blends in use in Australia including HC-600a, HC-290 and HC-436 (a blend of HC-600a and HC-290). HC-600a is the preferred hydrocarbon refrigerant in domestic refrigeration applications as it is suited to both refrigerator and freezer applications. HC-290 is the preferred hydrocarbon option for non-domestic stationary applications as its performance characteristics are more suited to medium temperature applications (i.e. greater than zero degrees Celsius). HC-436 is a hydrocarbon blend that is commonly used in mobile air conditioning retrofit applications.</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Hydrochlorofluorocarbons (HCFCs)</w:t>
            </w:r>
          </w:p>
        </w:tc>
        <w:tc>
          <w:tcPr>
            <w:tcW w:w="7483" w:type="dxa"/>
          </w:tcPr>
          <w:p w:rsidR="00F129EC" w:rsidRPr="008C4425" w:rsidRDefault="00F129EC" w:rsidP="00DD620A">
            <w:pPr>
              <w:pStyle w:val="BodyText"/>
              <w:spacing w:before="60" w:after="60"/>
              <w:rPr>
                <w:rFonts w:asciiTheme="majorHAnsi" w:hAnsiTheme="majorHAnsi"/>
                <w:sz w:val="18"/>
                <w:szCs w:val="22"/>
              </w:rPr>
            </w:pPr>
            <w:r w:rsidRPr="008C4425">
              <w:rPr>
                <w:rFonts w:asciiTheme="majorHAnsi" w:hAnsiTheme="majorHAnsi"/>
                <w:sz w:val="18"/>
                <w:szCs w:val="22"/>
              </w:rPr>
              <w:t xml:space="preserve">Chemicals that contains hydrogen, fluorine, chlorine, and carbon. They deplete the ozone layer, </w:t>
            </w:r>
            <w:r w:rsidR="00DD620A">
              <w:rPr>
                <w:rFonts w:asciiTheme="majorHAnsi" w:hAnsiTheme="majorHAnsi"/>
                <w:sz w:val="18"/>
                <w:szCs w:val="22"/>
              </w:rPr>
              <w:t>but</w:t>
            </w:r>
            <w:r w:rsidR="00DD620A" w:rsidRPr="008C4425">
              <w:rPr>
                <w:rFonts w:asciiTheme="majorHAnsi" w:hAnsiTheme="majorHAnsi"/>
                <w:sz w:val="18"/>
                <w:szCs w:val="22"/>
              </w:rPr>
              <w:t xml:space="preserve"> </w:t>
            </w:r>
            <w:r w:rsidRPr="008C4425">
              <w:rPr>
                <w:rFonts w:asciiTheme="majorHAnsi" w:hAnsiTheme="majorHAnsi"/>
                <w:sz w:val="18"/>
                <w:szCs w:val="22"/>
              </w:rPr>
              <w:t>have less potency compared to CFCs. Many HCFCs are potent greenhouse gases. HCFC-22 is the most common refrigerant in the Australian refrigerant bank.</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Hydrofluorocarbons (HFCs)</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Chemicals that contain hydrogen, fluorine, and carbon. They do not deplete the ozone layer and have been used as substitutes for CFCs and HCFCs. Many HFCs are potent greenhouse gases.</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Hydrofluoro</w:t>
            </w:r>
            <w:r w:rsidR="00D47C7A">
              <w:rPr>
                <w:rFonts w:asciiTheme="majorHAnsi" w:hAnsiTheme="majorHAnsi"/>
                <w:sz w:val="18"/>
                <w:szCs w:val="22"/>
              </w:rPr>
              <w:t>-</w:t>
            </w:r>
            <w:r w:rsidRPr="008C4425">
              <w:rPr>
                <w:rFonts w:asciiTheme="majorHAnsi" w:hAnsiTheme="majorHAnsi"/>
                <w:sz w:val="18"/>
                <w:szCs w:val="22"/>
              </w:rPr>
              <w:t>olefins (HFOs), and HFO blends</w:t>
            </w:r>
          </w:p>
        </w:tc>
        <w:tc>
          <w:tcPr>
            <w:tcW w:w="7483" w:type="dxa"/>
          </w:tcPr>
          <w:p w:rsidR="00F129EC" w:rsidRPr="008C4425" w:rsidRDefault="00F129EC" w:rsidP="001E4DE1">
            <w:pPr>
              <w:pStyle w:val="BodyText"/>
              <w:spacing w:before="60" w:after="60"/>
              <w:rPr>
                <w:rFonts w:asciiTheme="majorHAnsi" w:hAnsiTheme="majorHAnsi"/>
                <w:sz w:val="18"/>
                <w:szCs w:val="22"/>
              </w:rPr>
            </w:pPr>
            <w:r>
              <w:rPr>
                <w:rFonts w:asciiTheme="majorHAnsi" w:hAnsiTheme="majorHAnsi"/>
                <w:sz w:val="18"/>
                <w:szCs w:val="22"/>
              </w:rPr>
              <w:t xml:space="preserve">Chemicals known as </w:t>
            </w:r>
            <w:r w:rsidRPr="008C4425">
              <w:rPr>
                <w:rFonts w:asciiTheme="majorHAnsi" w:hAnsiTheme="majorHAnsi"/>
                <w:sz w:val="18"/>
                <w:szCs w:val="22"/>
              </w:rPr>
              <w:t>hydrofluoro</w:t>
            </w:r>
            <w:r w:rsidR="00D47C7A">
              <w:rPr>
                <w:rFonts w:asciiTheme="majorHAnsi" w:hAnsiTheme="majorHAnsi"/>
                <w:sz w:val="18"/>
                <w:szCs w:val="22"/>
              </w:rPr>
              <w:t>-</w:t>
            </w:r>
            <w:r w:rsidRPr="008C4425">
              <w:rPr>
                <w:rFonts w:asciiTheme="majorHAnsi" w:hAnsiTheme="majorHAnsi"/>
                <w:sz w:val="18"/>
                <w:szCs w:val="22"/>
              </w:rPr>
              <w:t xml:space="preserve">olefins </w:t>
            </w:r>
            <w:r w:rsidRPr="001E4DE1">
              <w:rPr>
                <w:rFonts w:asciiTheme="majorHAnsi" w:hAnsiTheme="majorHAnsi"/>
                <w:sz w:val="18"/>
                <w:szCs w:val="22"/>
              </w:rPr>
              <w:t>that contain hydrogen, fluorine, and carbon</w:t>
            </w:r>
            <w:r w:rsidR="001E4DE1" w:rsidRPr="001E4DE1">
              <w:rPr>
                <w:rFonts w:asciiTheme="majorHAnsi" w:hAnsiTheme="majorHAnsi"/>
                <w:sz w:val="18"/>
                <w:szCs w:val="22"/>
              </w:rPr>
              <w:t>, and</w:t>
            </w:r>
            <w:r w:rsidR="001E4DE1">
              <w:rPr>
                <w:rFonts w:asciiTheme="majorHAnsi" w:hAnsiTheme="majorHAnsi"/>
                <w:sz w:val="18"/>
                <w:szCs w:val="22"/>
              </w:rPr>
              <w:t xml:space="preserve"> are described as unsaturated HFCs. They do not deplete the ozone layer and have </w:t>
            </w:r>
            <w:r>
              <w:rPr>
                <w:rFonts w:asciiTheme="majorHAnsi" w:hAnsiTheme="majorHAnsi"/>
                <w:sz w:val="18"/>
                <w:szCs w:val="22"/>
              </w:rPr>
              <w:t xml:space="preserve">very </w:t>
            </w:r>
            <w:r w:rsidRPr="008C4425">
              <w:rPr>
                <w:rFonts w:asciiTheme="majorHAnsi" w:hAnsiTheme="majorHAnsi"/>
                <w:sz w:val="18"/>
                <w:szCs w:val="22"/>
              </w:rPr>
              <w:t>low GWP values</w:t>
            </w:r>
            <w:r w:rsidR="001E4DE1">
              <w:rPr>
                <w:rFonts w:asciiTheme="majorHAnsi" w:hAnsiTheme="majorHAnsi"/>
                <w:sz w:val="18"/>
                <w:szCs w:val="22"/>
              </w:rPr>
              <w:t xml:space="preserve">. For example </w:t>
            </w:r>
            <w:r w:rsidRPr="008C4425">
              <w:rPr>
                <w:rFonts w:asciiTheme="majorHAnsi" w:hAnsiTheme="majorHAnsi"/>
                <w:sz w:val="18"/>
                <w:szCs w:val="22"/>
              </w:rPr>
              <w:t xml:space="preserve">HFO-1234yf, with a GWP of 4 </w:t>
            </w:r>
            <w:r>
              <w:rPr>
                <w:rFonts w:asciiTheme="majorHAnsi" w:hAnsiTheme="majorHAnsi"/>
                <w:sz w:val="18"/>
                <w:szCs w:val="22"/>
              </w:rPr>
              <w:t xml:space="preserve">and HFO-1234ze with a GWP of 6. Refer </w:t>
            </w:r>
            <w:r w:rsidRPr="001E4DE1">
              <w:rPr>
                <w:rFonts w:asciiTheme="majorHAnsi" w:hAnsiTheme="majorHAnsi"/>
                <w:i/>
                <w:sz w:val="18"/>
                <w:szCs w:val="22"/>
              </w:rPr>
              <w:t xml:space="preserve">Section </w:t>
            </w:r>
            <w:r w:rsidR="001E4DE1" w:rsidRPr="0023014D">
              <w:rPr>
                <w:rFonts w:asciiTheme="majorHAnsi" w:hAnsiTheme="majorHAnsi"/>
                <w:i/>
                <w:sz w:val="18"/>
                <w:szCs w:val="22"/>
              </w:rPr>
              <w:t>3.4</w:t>
            </w:r>
            <w:r>
              <w:rPr>
                <w:rFonts w:asciiTheme="majorHAnsi" w:hAnsiTheme="majorHAnsi"/>
                <w:sz w:val="18"/>
                <w:szCs w:val="22"/>
              </w:rPr>
              <w:t xml:space="preserve"> for further details.</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HVAC&amp;R</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Heating, Ventilating, Air Conditioning and Refrigeration</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t>Indirect emissions</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lang w:val="en-AU"/>
              </w:rPr>
              <w:t>Global warming effect of the CO</w:t>
            </w:r>
            <w:r w:rsidRPr="008C4425">
              <w:rPr>
                <w:rFonts w:asciiTheme="majorHAnsi" w:hAnsiTheme="majorHAnsi"/>
                <w:sz w:val="18"/>
                <w:szCs w:val="22"/>
                <w:vertAlign w:val="subscript"/>
                <w:lang w:val="en-AU"/>
              </w:rPr>
              <w:t>2</w:t>
            </w:r>
            <w:r w:rsidRPr="008C4425">
              <w:rPr>
                <w:rFonts w:asciiTheme="majorHAnsi" w:hAnsiTheme="majorHAnsi"/>
                <w:sz w:val="18"/>
                <w:szCs w:val="22"/>
                <w:lang w:val="en-AU"/>
              </w:rPr>
              <w:t xml:space="preserve"> emitted as the result of the generation of the electrical energy required to operate electrical equipment, sometimes also referred to as ‘energy related emissions.’</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lang w:val="en-AU"/>
              </w:rPr>
            </w:pPr>
            <w:r w:rsidRPr="008C4425">
              <w:rPr>
                <w:rFonts w:asciiTheme="majorHAnsi" w:hAnsiTheme="majorHAnsi"/>
                <w:sz w:val="18"/>
                <w:szCs w:val="22"/>
              </w:rPr>
              <w:t>Indirect emission factor</w:t>
            </w:r>
          </w:p>
        </w:tc>
        <w:tc>
          <w:tcPr>
            <w:tcW w:w="7483" w:type="dxa"/>
          </w:tcPr>
          <w:p w:rsidR="00F129EC" w:rsidRPr="008C4425" w:rsidRDefault="00F129EC" w:rsidP="00F129EC">
            <w:pPr>
              <w:pStyle w:val="BodyText"/>
              <w:spacing w:before="60" w:after="60"/>
              <w:rPr>
                <w:rFonts w:asciiTheme="majorHAnsi" w:hAnsiTheme="majorHAnsi"/>
                <w:sz w:val="18"/>
                <w:szCs w:val="22"/>
                <w:lang w:val="en-AU"/>
              </w:rPr>
            </w:pPr>
            <w:r w:rsidRPr="008C4425">
              <w:rPr>
                <w:rFonts w:asciiTheme="majorHAnsi" w:hAnsiTheme="majorHAnsi"/>
                <w:sz w:val="18"/>
                <w:szCs w:val="22"/>
              </w:rPr>
              <w:t>The indirect or CO</w:t>
            </w:r>
            <w:r w:rsidRPr="008C4425">
              <w:rPr>
                <w:rFonts w:asciiTheme="majorHAnsi" w:hAnsiTheme="majorHAnsi"/>
                <w:sz w:val="18"/>
                <w:szCs w:val="22"/>
                <w:vertAlign w:val="subscript"/>
              </w:rPr>
              <w:t>2</w:t>
            </w:r>
            <w:r w:rsidRPr="008C4425">
              <w:rPr>
                <w:rFonts w:asciiTheme="majorHAnsi" w:hAnsiTheme="majorHAnsi"/>
                <w:sz w:val="18"/>
                <w:szCs w:val="22"/>
              </w:rPr>
              <w:t xml:space="preserve"> emission factor is the mass of CO</w:t>
            </w:r>
            <w:r w:rsidRPr="008C4425">
              <w:rPr>
                <w:rFonts w:asciiTheme="majorHAnsi" w:hAnsiTheme="majorHAnsi"/>
                <w:sz w:val="18"/>
                <w:szCs w:val="22"/>
                <w:vertAlign w:val="subscript"/>
              </w:rPr>
              <w:t>2</w:t>
            </w:r>
            <w:r w:rsidRPr="008C4425">
              <w:rPr>
                <w:rFonts w:asciiTheme="majorHAnsi" w:hAnsiTheme="majorHAnsi"/>
                <w:sz w:val="18"/>
                <w:szCs w:val="22"/>
              </w:rPr>
              <w:t xml:space="preserve"> emitted by the power generator per kWh of electrical power supplied to the refrigeration installation taking in efficiency losses in generation and distribution.</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kWr</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Refers to kilowatts of refrigeration capacity where as kW relates to kilowatts of electrical power.</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KWh</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 xml:space="preserve">Kilowatt hour </w:t>
            </w:r>
            <w:r w:rsidRPr="008C4425">
              <w:rPr>
                <w:rFonts w:asciiTheme="majorHAnsi" w:hAnsiTheme="majorHAnsi"/>
                <w:sz w:val="18"/>
              </w:rPr>
              <w:t>(1 watt hour x 10</w:t>
            </w:r>
            <w:r w:rsidRPr="008C4425">
              <w:rPr>
                <w:rFonts w:asciiTheme="majorHAnsi" w:hAnsiTheme="majorHAnsi"/>
                <w:sz w:val="18"/>
                <w:vertAlign w:val="superscript"/>
              </w:rPr>
              <w:t>3</w:t>
            </w:r>
            <w:r w:rsidRPr="008C4425">
              <w:rPr>
                <w:rFonts w:asciiTheme="majorHAnsi" w:hAnsiTheme="majorHAnsi"/>
                <w:sz w:val="18"/>
              </w:rPr>
              <w:t>).</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Kyoto Protocol</w:t>
            </w:r>
          </w:p>
        </w:tc>
        <w:tc>
          <w:tcPr>
            <w:tcW w:w="7483" w:type="dxa"/>
          </w:tcPr>
          <w:p w:rsidR="00F129EC" w:rsidRPr="008C4425" w:rsidRDefault="00F129EC" w:rsidP="00DD620A">
            <w:pPr>
              <w:pStyle w:val="BodyText"/>
              <w:spacing w:before="60" w:after="60"/>
              <w:rPr>
                <w:rFonts w:asciiTheme="majorHAnsi" w:hAnsiTheme="majorHAnsi"/>
                <w:sz w:val="18"/>
                <w:szCs w:val="22"/>
              </w:rPr>
            </w:pPr>
            <w:r w:rsidRPr="00215A98">
              <w:rPr>
                <w:rFonts w:asciiTheme="majorHAnsi" w:hAnsiTheme="majorHAnsi"/>
                <w:sz w:val="18"/>
                <w:szCs w:val="22"/>
              </w:rPr>
              <w:t>The Kyoto Protocol sets binding emissions limits for the six greenhouse gases listed in the Protocol.</w:t>
            </w:r>
            <w:r>
              <w:rPr>
                <w:rFonts w:asciiTheme="majorHAnsi" w:hAnsiTheme="majorHAnsi"/>
                <w:sz w:val="18"/>
                <w:szCs w:val="22"/>
              </w:rPr>
              <w:t xml:space="preserve"> </w:t>
            </w:r>
            <w:r w:rsidRPr="008C4425">
              <w:rPr>
                <w:rFonts w:asciiTheme="majorHAnsi" w:hAnsiTheme="majorHAnsi"/>
                <w:sz w:val="18"/>
                <w:szCs w:val="22"/>
              </w:rPr>
              <w:t>The Australian Government is committed to reducing emissions of the six main greenhouse gases, which includes the synthetic greenhouse gases (SGGs) listed under the Kyoto Protocol, including hydrofluorocarbons (HFCs), perfluorocarbons (PFCs) and sulfur hexafluoride (SF</w:t>
            </w:r>
            <w:r w:rsidRPr="008C4425">
              <w:rPr>
                <w:rFonts w:asciiTheme="majorHAnsi" w:hAnsiTheme="majorHAnsi"/>
                <w:sz w:val="18"/>
                <w:szCs w:val="22"/>
                <w:vertAlign w:val="subscript"/>
              </w:rPr>
              <w:t>6</w:t>
            </w:r>
            <w:r w:rsidRPr="008C4425">
              <w:rPr>
                <w:rFonts w:asciiTheme="majorHAnsi" w:hAnsiTheme="majorHAnsi"/>
                <w:sz w:val="18"/>
                <w:szCs w:val="22"/>
              </w:rPr>
              <w:t xml:space="preserve">). </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Lifespan</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Lifespan is the expected useful life of the equipment in years.</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Low GWP substances or refrigerants</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This term can and is used to refer to both the commonly referred ‘natural’ refrigerants, HFC substances with a GWP lower than those commonly used today and the near to commercial HFOs being scaled up by the major synthetic greenhouse gas manufacturers that are sometimes referred to as low GWP HFCs.</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Low temperature refrigeration</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Temperatures below 0</w:t>
            </w:r>
            <w:r w:rsidRPr="008C4425">
              <w:rPr>
                <w:rFonts w:asciiTheme="majorHAnsi" w:hAnsiTheme="majorHAnsi"/>
                <w:sz w:val="18"/>
                <w:szCs w:val="22"/>
                <w:vertAlign w:val="superscript"/>
              </w:rPr>
              <w:t>o</w:t>
            </w:r>
            <w:r w:rsidRPr="008C4425">
              <w:rPr>
                <w:rFonts w:asciiTheme="majorHAnsi" w:hAnsiTheme="majorHAnsi"/>
                <w:sz w:val="18"/>
                <w:szCs w:val="22"/>
              </w:rPr>
              <w:t>C that the general public would often think of as the point of ‘freezing’.</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4D4482">
              <w:rPr>
                <w:rFonts w:asciiTheme="majorHAnsi" w:hAnsiTheme="majorHAnsi"/>
                <w:sz w:val="18"/>
                <w:szCs w:val="22"/>
              </w:rPr>
              <w:t>Minimum energy performance standards (MEPS)</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4D4482">
              <w:rPr>
                <w:rFonts w:asciiTheme="majorHAnsi" w:hAnsiTheme="majorHAnsi"/>
                <w:sz w:val="18"/>
                <w:szCs w:val="22"/>
              </w:rPr>
              <w:t xml:space="preserve">Regulatory requirements for appliances or equipment manufactured or imported to Australia to ensure a set level of energy efficiency performance is met or exceeded.  </w:t>
            </w:r>
            <w:r>
              <w:rPr>
                <w:rFonts w:asciiTheme="majorHAnsi" w:hAnsiTheme="majorHAnsi"/>
                <w:sz w:val="18"/>
                <w:szCs w:val="22"/>
              </w:rPr>
              <w:t xml:space="preserve">In the RAC industry </w:t>
            </w:r>
            <w:r w:rsidRPr="004D4482">
              <w:rPr>
                <w:rFonts w:asciiTheme="majorHAnsi" w:hAnsiTheme="majorHAnsi"/>
                <w:sz w:val="18"/>
                <w:szCs w:val="22"/>
              </w:rPr>
              <w:t xml:space="preserve">MEPS typically cover appliances such as </w:t>
            </w:r>
            <w:r>
              <w:rPr>
                <w:rFonts w:asciiTheme="majorHAnsi" w:hAnsiTheme="majorHAnsi"/>
                <w:sz w:val="18"/>
                <w:szCs w:val="22"/>
              </w:rPr>
              <w:t xml:space="preserve">domestic </w:t>
            </w:r>
            <w:r w:rsidRPr="004D4482">
              <w:rPr>
                <w:rFonts w:asciiTheme="majorHAnsi" w:hAnsiTheme="majorHAnsi"/>
                <w:sz w:val="18"/>
                <w:szCs w:val="22"/>
              </w:rPr>
              <w:t xml:space="preserve">refrigerators, </w:t>
            </w:r>
            <w:r>
              <w:rPr>
                <w:rFonts w:asciiTheme="majorHAnsi" w:hAnsiTheme="majorHAnsi"/>
                <w:sz w:val="18"/>
                <w:szCs w:val="22"/>
              </w:rPr>
              <w:t>some refrigerated display cases, and a wide range of a</w:t>
            </w:r>
            <w:r w:rsidRPr="004D4482">
              <w:rPr>
                <w:rFonts w:asciiTheme="majorHAnsi" w:hAnsiTheme="majorHAnsi"/>
                <w:sz w:val="18"/>
                <w:szCs w:val="22"/>
              </w:rPr>
              <w:t xml:space="preserve">ir conditioners </w:t>
            </w:r>
            <w:r>
              <w:rPr>
                <w:rFonts w:asciiTheme="majorHAnsi" w:hAnsiTheme="majorHAnsi"/>
                <w:sz w:val="18"/>
                <w:szCs w:val="22"/>
              </w:rPr>
              <w:t>(excluding portable, chillers below 350kWr, etc.)</w:t>
            </w:r>
            <w:r w:rsidRPr="004D4482">
              <w:rPr>
                <w:rFonts w:asciiTheme="majorHAnsi" w:hAnsiTheme="majorHAnsi"/>
                <w:sz w:val="18"/>
                <w:szCs w:val="22"/>
              </w:rPr>
              <w:t>.</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Montreal Protocol</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 xml:space="preserve">The Montreal Protocol </w:t>
            </w:r>
            <w:r w:rsidRPr="00215A98">
              <w:rPr>
                <w:rFonts w:asciiTheme="majorHAnsi" w:hAnsiTheme="majorHAnsi"/>
                <w:sz w:val="18"/>
                <w:szCs w:val="22"/>
              </w:rPr>
              <w:t xml:space="preserve">on Substances that Deplete the Ozone Layer </w:t>
            </w:r>
            <w:r w:rsidRPr="008C4425">
              <w:rPr>
                <w:rFonts w:asciiTheme="majorHAnsi" w:hAnsiTheme="majorHAnsi"/>
                <w:sz w:val="18"/>
                <w:szCs w:val="22"/>
              </w:rPr>
              <w:t>sets binding progressive phase out obligations for developed and developing countries for all the major ozone depleting substances, including CFCs, halons and less damaging transitional chemicals such as HCFCs.</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Natural refrigerants</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Hydrocarbons (R600a, R290 and R436), ammonia (R717) and carbon dioxide (R744) are commonly referred to as natural refrigerants. The term ‘natural’ implies the origin of the fluids as they occur in nature as a result of geological and/or biological processes, unlike fluorinated substances that are synthesised chemicals. However it has to be noted that all ‘natural’ refrigerants are refined and compressed by bulk gas manufacturers via some process and transported like other commercial gases so also have an ‘energy investment’ in their creation, storage and transport.</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Operating hours per year</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The number of hours the appliance, equipment or system operates at full input load or maximum capacity.</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Ozone depleting substances (ODS)</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Chemicals that deplete the ozone layer (e.g. HCFCs).</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PJ</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lang w:val="en-AU"/>
              </w:rPr>
              <w:t>Petajoule  (1 Joule x 10</w:t>
            </w:r>
            <w:r w:rsidRPr="008C4425">
              <w:rPr>
                <w:rFonts w:asciiTheme="majorHAnsi" w:hAnsiTheme="majorHAnsi"/>
                <w:sz w:val="18"/>
                <w:szCs w:val="22"/>
                <w:vertAlign w:val="superscript"/>
                <w:lang w:val="en-AU"/>
              </w:rPr>
              <w:t>15</w:t>
            </w:r>
            <w:r w:rsidRPr="008C4425">
              <w:rPr>
                <w:rFonts w:asciiTheme="majorHAnsi" w:hAnsiTheme="majorHAnsi"/>
                <w:sz w:val="18"/>
                <w:szCs w:val="22"/>
                <w:lang w:val="en-AU"/>
              </w:rPr>
              <w:t>).</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Pre-charged equipment (PCE)</w:t>
            </w:r>
          </w:p>
        </w:tc>
        <w:tc>
          <w:tcPr>
            <w:tcW w:w="7483" w:type="dxa"/>
          </w:tcPr>
          <w:p w:rsidR="00F129EC" w:rsidRPr="008C4425" w:rsidRDefault="00F129EC" w:rsidP="00EC6925">
            <w:pPr>
              <w:pStyle w:val="BodyText"/>
              <w:spacing w:before="60" w:after="60"/>
              <w:rPr>
                <w:rFonts w:asciiTheme="majorHAnsi" w:hAnsiTheme="majorHAnsi"/>
                <w:sz w:val="18"/>
                <w:szCs w:val="22"/>
              </w:rPr>
            </w:pPr>
            <w:r w:rsidRPr="008C4425">
              <w:rPr>
                <w:rFonts w:asciiTheme="majorHAnsi" w:hAnsiTheme="majorHAnsi"/>
                <w:sz w:val="18"/>
                <w:szCs w:val="22"/>
                <w:lang w:val="en-AU"/>
              </w:rPr>
              <w:t xml:space="preserve">Pre-charged equipment is defined as air conditioning equipment or refrigeration equipment (including equipment fitted to a motor vehicle) that </w:t>
            </w:r>
            <w:r w:rsidR="00EC6925">
              <w:rPr>
                <w:rFonts w:asciiTheme="majorHAnsi" w:hAnsiTheme="majorHAnsi"/>
                <w:sz w:val="18"/>
                <w:szCs w:val="22"/>
                <w:lang w:val="en-AU"/>
              </w:rPr>
              <w:t xml:space="preserve">is imported </w:t>
            </w:r>
            <w:r w:rsidRPr="008C4425">
              <w:rPr>
                <w:rFonts w:asciiTheme="majorHAnsi" w:hAnsiTheme="majorHAnsi"/>
                <w:sz w:val="18"/>
                <w:szCs w:val="22"/>
                <w:lang w:val="en-AU"/>
              </w:rPr>
              <w:t>contain</w:t>
            </w:r>
            <w:r w:rsidR="00EC6925">
              <w:rPr>
                <w:rFonts w:asciiTheme="majorHAnsi" w:hAnsiTheme="majorHAnsi"/>
                <w:sz w:val="18"/>
                <w:szCs w:val="22"/>
                <w:lang w:val="en-AU"/>
              </w:rPr>
              <w:t>ing</w:t>
            </w:r>
            <w:r w:rsidRPr="008C4425">
              <w:rPr>
                <w:rFonts w:asciiTheme="majorHAnsi" w:hAnsiTheme="majorHAnsi"/>
                <w:sz w:val="18"/>
                <w:szCs w:val="22"/>
                <w:lang w:val="en-AU"/>
              </w:rPr>
              <w:t xml:space="preserve"> a hydroflu</w:t>
            </w:r>
            <w:r>
              <w:rPr>
                <w:rFonts w:asciiTheme="majorHAnsi" w:hAnsiTheme="majorHAnsi"/>
                <w:sz w:val="18"/>
                <w:szCs w:val="22"/>
                <w:lang w:val="en-AU"/>
              </w:rPr>
              <w:t>o</w:t>
            </w:r>
            <w:r w:rsidRPr="008C4425">
              <w:rPr>
                <w:rFonts w:asciiTheme="majorHAnsi" w:hAnsiTheme="majorHAnsi"/>
                <w:sz w:val="18"/>
                <w:szCs w:val="22"/>
                <w:lang w:val="en-AU"/>
              </w:rPr>
              <w:t>rocarbon (HFC) or hydrochloroflu</w:t>
            </w:r>
            <w:r>
              <w:rPr>
                <w:rFonts w:asciiTheme="majorHAnsi" w:hAnsiTheme="majorHAnsi"/>
                <w:sz w:val="18"/>
                <w:szCs w:val="22"/>
                <w:lang w:val="en-AU"/>
              </w:rPr>
              <w:t>o</w:t>
            </w:r>
            <w:r w:rsidRPr="008C4425">
              <w:rPr>
                <w:rFonts w:asciiTheme="majorHAnsi" w:hAnsiTheme="majorHAnsi"/>
                <w:sz w:val="18"/>
                <w:szCs w:val="22"/>
                <w:lang w:val="en-AU"/>
              </w:rPr>
              <w:t xml:space="preserve">rocarbon </w:t>
            </w:r>
            <w:r>
              <w:rPr>
                <w:rFonts w:asciiTheme="majorHAnsi" w:hAnsiTheme="majorHAnsi"/>
                <w:sz w:val="18"/>
                <w:szCs w:val="22"/>
                <w:lang w:val="en-AU"/>
              </w:rPr>
              <w:t>(</w:t>
            </w:r>
            <w:r w:rsidRPr="008C4425">
              <w:rPr>
                <w:rFonts w:asciiTheme="majorHAnsi" w:hAnsiTheme="majorHAnsi"/>
                <w:sz w:val="18"/>
                <w:szCs w:val="22"/>
                <w:lang w:val="en-AU"/>
              </w:rPr>
              <w:t>HCFC</w:t>
            </w:r>
            <w:r>
              <w:rPr>
                <w:rFonts w:asciiTheme="majorHAnsi" w:hAnsiTheme="majorHAnsi"/>
                <w:sz w:val="18"/>
                <w:szCs w:val="22"/>
                <w:lang w:val="en-AU"/>
              </w:rPr>
              <w:t>)</w:t>
            </w:r>
            <w:r w:rsidR="00EC6925">
              <w:rPr>
                <w:rFonts w:asciiTheme="majorHAnsi" w:hAnsiTheme="majorHAnsi"/>
                <w:sz w:val="18"/>
                <w:szCs w:val="22"/>
                <w:lang w:val="en-AU"/>
              </w:rPr>
              <w:t xml:space="preserve"> refrigerant charge</w:t>
            </w:r>
            <w:r w:rsidRPr="008C4425">
              <w:rPr>
                <w:rFonts w:asciiTheme="majorHAnsi" w:hAnsiTheme="majorHAnsi"/>
                <w:sz w:val="18"/>
                <w:szCs w:val="22"/>
                <w:lang w:val="en-AU"/>
              </w:rPr>
              <w:t>.</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RAC</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lang w:val="en-AU"/>
              </w:rPr>
              <w:t>Refrigeration and air conditioning.</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t>Recovery efficiency</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lang w:val="en-AU"/>
              </w:rPr>
              <w:t>Proportion of refrigerant charge that is recovered from a system when it is decommissioned at the end of its useful working life. The Recovery/recycling factor has a value from 0 to 1.</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t>Refrigerant</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lang w:val="en-AU"/>
              </w:rPr>
              <w:t>Working fluid in the vapour compression refrigeration cycle.</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Refrigerant bank</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The ‘bank’ of refrigerant gases is the aggregate of all compounds and substances employed as working fluids in the estimated 44 million mechanical devices using the vapour compression cycle in Australia.</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t>Refrigerant charge</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lang w:val="en-AU"/>
              </w:rPr>
              <w:t>The original refrigerant charge of refrigerant used as the working fluid for heat transfer inside a piece of equipment.</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lang w:val="en-AU"/>
              </w:rPr>
            </w:pPr>
            <w:r>
              <w:rPr>
                <w:rFonts w:asciiTheme="majorHAnsi" w:hAnsiTheme="majorHAnsi"/>
                <w:sz w:val="18"/>
                <w:szCs w:val="22"/>
                <w:lang w:val="en-AU"/>
              </w:rPr>
              <w:t>Refrigerant glide</w:t>
            </w:r>
          </w:p>
        </w:tc>
        <w:tc>
          <w:tcPr>
            <w:tcW w:w="7483" w:type="dxa"/>
          </w:tcPr>
          <w:p w:rsidR="00F129EC" w:rsidRPr="00090C58" w:rsidRDefault="00F129EC" w:rsidP="00F129EC">
            <w:pPr>
              <w:pStyle w:val="BodyText"/>
              <w:spacing w:before="60" w:after="60"/>
              <w:rPr>
                <w:rFonts w:asciiTheme="majorHAnsi" w:hAnsiTheme="majorHAnsi"/>
                <w:sz w:val="18"/>
                <w:szCs w:val="22"/>
                <w:lang w:val="en-AU"/>
              </w:rPr>
            </w:pPr>
            <w:r w:rsidRPr="00090C58">
              <w:rPr>
                <w:rFonts w:asciiTheme="majorHAnsi" w:hAnsiTheme="majorHAnsi"/>
                <w:sz w:val="18"/>
                <w:szCs w:val="22"/>
                <w:lang w:val="en-AU"/>
              </w:rPr>
              <w:t>The difference between the saturated vapour temperature (or dew point is the temperature at which all of the refrigerant has been condensed to liquid) and the saturated liquid temperature (temperature at which a liquid refrigerant first begins to boil in the evaporator) is referred to as the temperature glide of the refrigerant.</w:t>
            </w:r>
          </w:p>
          <w:p w:rsidR="00F129EC" w:rsidRPr="008C4425" w:rsidRDefault="00F129EC" w:rsidP="00F129EC">
            <w:pPr>
              <w:pStyle w:val="BodyText"/>
              <w:spacing w:before="60" w:after="60"/>
              <w:rPr>
                <w:rFonts w:asciiTheme="majorHAnsi" w:hAnsiTheme="majorHAnsi"/>
                <w:sz w:val="18"/>
                <w:szCs w:val="22"/>
                <w:lang w:val="en-AU"/>
              </w:rPr>
            </w:pPr>
            <w:r w:rsidRPr="00090C58">
              <w:rPr>
                <w:rFonts w:asciiTheme="majorHAnsi" w:hAnsiTheme="majorHAnsi"/>
                <w:sz w:val="18"/>
                <w:szCs w:val="22"/>
                <w:lang w:val="en-AU"/>
              </w:rPr>
              <w:t>At a given pressure, single component refrigerants such as HFC-134a have zero glide</w:t>
            </w:r>
            <w:r>
              <w:rPr>
                <w:rFonts w:asciiTheme="majorHAnsi" w:hAnsiTheme="majorHAnsi"/>
                <w:sz w:val="18"/>
                <w:szCs w:val="22"/>
                <w:lang w:val="en-AU"/>
              </w:rPr>
              <w:t xml:space="preserve"> and are therefore azeotropes</w:t>
            </w:r>
            <w:r w:rsidRPr="00090C58">
              <w:rPr>
                <w:rFonts w:asciiTheme="majorHAnsi" w:hAnsiTheme="majorHAnsi"/>
                <w:sz w:val="18"/>
                <w:szCs w:val="22"/>
                <w:lang w:val="en-AU"/>
              </w:rPr>
              <w:t xml:space="preserve">. Refrigerant mixtures (blends) behave somewhat differently and have measurable temperature glide when they evaporate (boil) and condense at a constant pressure. </w:t>
            </w:r>
            <w:r>
              <w:rPr>
                <w:rFonts w:asciiTheme="majorHAnsi" w:hAnsiTheme="majorHAnsi"/>
                <w:sz w:val="18"/>
                <w:szCs w:val="22"/>
                <w:lang w:val="en-AU"/>
              </w:rPr>
              <w:t>HFC-507A is an azeotropic blend whereas HFC-404A is a near azeotrope</w:t>
            </w:r>
            <w:r w:rsidRPr="00090C58">
              <w:rPr>
                <w:rFonts w:asciiTheme="majorHAnsi" w:hAnsiTheme="majorHAnsi"/>
                <w:sz w:val="18"/>
                <w:szCs w:val="22"/>
                <w:lang w:val="en-AU"/>
              </w:rPr>
              <w:t>.</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t>Refrigerant leak rate</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lang w:val="en-AU"/>
              </w:rPr>
              <w:t>The annual leak rate is defined as the sum of gradual leakage during normal operation, catastrophic losses amortised over the life of the equipment and losses during service and maintenance expressed as a percentage of the initial charge per annum.</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t>Refrigerant recovery</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lang w:val="en-AU"/>
              </w:rPr>
              <w:t>Removal of refrigerant from a system and its storage in an external container.</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Pr>
                <w:rFonts w:asciiTheme="majorHAnsi" w:hAnsiTheme="majorHAnsi"/>
                <w:sz w:val="18"/>
                <w:szCs w:val="22"/>
              </w:rPr>
              <w:t>Refrigerated cold food chain</w:t>
            </w:r>
            <w:r w:rsidRPr="008C4425">
              <w:rPr>
                <w:rFonts w:asciiTheme="majorHAnsi" w:hAnsiTheme="majorHAnsi"/>
                <w:sz w:val="18"/>
                <w:szCs w:val="22"/>
              </w:rPr>
              <w:t xml:space="preserve"> (RCFC)</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The refrigerated cold food chain is part of the food value chain, which involves transport, storage, primary and secondary processors, distribution and retailing of chilled and frozen foods from farm gate to consumer. However, in this report domestic refrigeration and freezers are treated as a separate segment.</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Remote condensing unit</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lang w:val="en-AU"/>
              </w:rPr>
              <w:t>Condensing unit located remotely from the evaporator, typically outdoors (see condensing unit).</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Remote RDC</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Refrigerated display cabinet (RDC) with its refrigerating machinery sited remote from the cabinet structure.</w:t>
            </w:r>
          </w:p>
        </w:tc>
      </w:tr>
      <w:tr w:rsidR="00F129EC" w:rsidRPr="008C4425" w:rsidTr="00F129EC">
        <w:trPr>
          <w:trHeight w:val="342"/>
        </w:trPr>
        <w:tc>
          <w:tcPr>
            <w:tcW w:w="2230" w:type="dxa"/>
          </w:tcPr>
          <w:p w:rsidR="00F129EC" w:rsidRPr="008C4425" w:rsidRDefault="00F129EC" w:rsidP="007A4A68">
            <w:pPr>
              <w:pStyle w:val="BodyText"/>
              <w:spacing w:before="60" w:after="60"/>
              <w:jc w:val="left"/>
              <w:rPr>
                <w:rFonts w:asciiTheme="majorHAnsi" w:hAnsiTheme="majorHAnsi"/>
                <w:sz w:val="18"/>
                <w:szCs w:val="22"/>
              </w:rPr>
            </w:pPr>
            <w:r w:rsidRPr="008C4425">
              <w:rPr>
                <w:rFonts w:asciiTheme="majorHAnsi" w:hAnsiTheme="majorHAnsi"/>
                <w:sz w:val="18"/>
                <w:szCs w:val="22"/>
              </w:rPr>
              <w:t>Self</w:t>
            </w:r>
            <w:r w:rsidRPr="008C4425">
              <w:rPr>
                <w:rFonts w:asciiTheme="majorHAnsi" w:hAnsiTheme="majorHAnsi"/>
                <w:b/>
                <w:bCs/>
                <w:sz w:val="18"/>
                <w:szCs w:val="22"/>
              </w:rPr>
              <w:t>‐</w:t>
            </w:r>
            <w:r w:rsidRPr="008C4425">
              <w:rPr>
                <w:rFonts w:asciiTheme="majorHAnsi" w:hAnsiTheme="majorHAnsi"/>
                <w:sz w:val="18"/>
                <w:szCs w:val="22"/>
              </w:rPr>
              <w:t>contained RDC</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Refrigerated display cabinet with its refrigerating machinery sited remotely from the cabinet structure.</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Second Assessment Report (AR2)</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 xml:space="preserve">Second Assessment Report of the United Nations Framework Convention on Climate Change, released in 1996. Australia’s legally binding emission obligations under the Kyoto Protocol are calculated based on AR2 and therefore Australian legislation, including the </w:t>
            </w:r>
            <w:r w:rsidRPr="008C4425">
              <w:rPr>
                <w:rFonts w:asciiTheme="majorHAnsi" w:hAnsiTheme="majorHAnsi"/>
                <w:i/>
                <w:sz w:val="18"/>
                <w:szCs w:val="22"/>
              </w:rPr>
              <w:t>Ozone Protection and Synthetic Greenhouse Gas Management Act</w:t>
            </w:r>
            <w:r w:rsidRPr="008C4425">
              <w:rPr>
                <w:rFonts w:asciiTheme="majorHAnsi" w:hAnsiTheme="majorHAnsi"/>
                <w:sz w:val="18"/>
                <w:szCs w:val="22"/>
              </w:rPr>
              <w:t>, also cite GWPs from AR2.</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Synthetic greenhouse gases (SGGs)</w:t>
            </w:r>
          </w:p>
        </w:tc>
        <w:tc>
          <w:tcPr>
            <w:tcW w:w="7483" w:type="dxa"/>
          </w:tcPr>
          <w:p w:rsidR="00F129EC" w:rsidRPr="008C4425" w:rsidRDefault="00F129EC" w:rsidP="006D0FF1">
            <w:pPr>
              <w:pStyle w:val="BodyText"/>
              <w:spacing w:before="60" w:after="60"/>
              <w:rPr>
                <w:rFonts w:asciiTheme="majorHAnsi" w:hAnsiTheme="majorHAnsi"/>
                <w:sz w:val="18"/>
                <w:szCs w:val="22"/>
              </w:rPr>
            </w:pPr>
            <w:r w:rsidRPr="008C4425">
              <w:rPr>
                <w:rFonts w:asciiTheme="majorHAnsi" w:hAnsiTheme="majorHAnsi"/>
                <w:sz w:val="18"/>
                <w:szCs w:val="22"/>
              </w:rPr>
              <w:t>SGGs listed under the Kyoto Protocol, include hydrofluorocarbons (HFCs), perfluorocarbons (PFCs) and sulfur hexafluoride (SF</w:t>
            </w:r>
            <w:r w:rsidRPr="008C4425">
              <w:rPr>
                <w:rFonts w:asciiTheme="majorHAnsi" w:hAnsiTheme="majorHAnsi"/>
                <w:sz w:val="18"/>
                <w:szCs w:val="22"/>
                <w:vertAlign w:val="subscript"/>
              </w:rPr>
              <w:t>6</w:t>
            </w:r>
            <w:r w:rsidRPr="008C4425">
              <w:rPr>
                <w:rFonts w:asciiTheme="majorHAnsi" w:hAnsiTheme="majorHAnsi"/>
                <w:sz w:val="18"/>
                <w:szCs w:val="22"/>
              </w:rPr>
              <w:t xml:space="preserve">). </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Synthetic substances or synthetic refrigerants</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HCFCs, HFCs and HFOs are commonly referred to as synthetic substances or synthetic refrigerants.</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Technology segment</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 xml:space="preserve">A term used by the authors to refer to a defined set of technologies within the heating, ventilation, air conditioning and refrigeration (HVAC&amp;R) industry sector. A segment of the broad family of technologies employed in the HVAC&amp;R sector is defined by the application (i.e. mobile or stationary, commercial or residential) and then bounded by a range of size of the charge of working gas, although for the purpose of </w:t>
            </w:r>
            <w:r w:rsidR="009B4376" w:rsidRPr="008C4425">
              <w:rPr>
                <w:rFonts w:asciiTheme="majorHAnsi" w:hAnsiTheme="majorHAnsi"/>
                <w:sz w:val="18"/>
                <w:szCs w:val="22"/>
              </w:rPr>
              <w:t>modeling</w:t>
            </w:r>
            <w:r w:rsidRPr="008C4425">
              <w:rPr>
                <w:rFonts w:asciiTheme="majorHAnsi" w:hAnsiTheme="majorHAnsi"/>
                <w:sz w:val="18"/>
                <w:szCs w:val="22"/>
              </w:rPr>
              <w:t>, an average charge size for each segment has been calculated.</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Truck refrigeration unit (TRU)</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 xml:space="preserve">TRUs are refrigeration systems powered by dedicated diesel internal combustion engines designed to refrigerate fresh and frozen perishable products (mostly food but also </w:t>
            </w:r>
            <w:r w:rsidRPr="008C4425">
              <w:rPr>
                <w:rFonts w:asciiTheme="majorHAnsi" w:hAnsiTheme="majorHAnsi"/>
                <w:sz w:val="18"/>
                <w:szCs w:val="22"/>
                <w:lang w:val="en-AU"/>
              </w:rPr>
              <w:t>pharmaceuticals and other materials)</w:t>
            </w:r>
            <w:r w:rsidRPr="008C4425">
              <w:rPr>
                <w:rFonts w:asciiTheme="majorHAnsi" w:hAnsiTheme="majorHAnsi"/>
                <w:sz w:val="18"/>
                <w:szCs w:val="22"/>
              </w:rPr>
              <w:t xml:space="preserve"> that are transported on semi-trailers, rigid trucks and rail cars. Fresh is typically classed as 2</w:t>
            </w:r>
            <w:r w:rsidRPr="008C4425">
              <w:rPr>
                <w:rFonts w:asciiTheme="majorHAnsi" w:hAnsiTheme="majorHAnsi"/>
                <w:sz w:val="18"/>
                <w:szCs w:val="18"/>
                <w:vertAlign w:val="superscript"/>
              </w:rPr>
              <w:t>o</w:t>
            </w:r>
            <w:r w:rsidRPr="008C4425">
              <w:rPr>
                <w:rFonts w:asciiTheme="majorHAnsi" w:hAnsiTheme="majorHAnsi"/>
                <w:sz w:val="18"/>
                <w:szCs w:val="22"/>
              </w:rPr>
              <w:t>C and frozen -20</w:t>
            </w:r>
            <w:r w:rsidRPr="008C4425">
              <w:rPr>
                <w:rFonts w:asciiTheme="majorHAnsi" w:hAnsiTheme="majorHAnsi"/>
                <w:sz w:val="18"/>
                <w:szCs w:val="18"/>
                <w:vertAlign w:val="superscript"/>
              </w:rPr>
              <w:t>o</w:t>
            </w:r>
            <w:r w:rsidRPr="008C4425">
              <w:rPr>
                <w:rFonts w:asciiTheme="majorHAnsi" w:hAnsiTheme="majorHAnsi"/>
                <w:sz w:val="18"/>
                <w:szCs w:val="22"/>
              </w:rPr>
              <w:t>C.</w:t>
            </w:r>
          </w:p>
        </w:tc>
      </w:tr>
      <w:tr w:rsidR="00F129EC" w:rsidRPr="008C4425" w:rsidTr="00F129EC">
        <w:trPr>
          <w:trHeight w:val="342"/>
        </w:trPr>
        <w:tc>
          <w:tcPr>
            <w:tcW w:w="2230" w:type="dxa"/>
          </w:tcPr>
          <w:p w:rsidR="00F129EC" w:rsidRPr="008C4425" w:rsidRDefault="00F129EC" w:rsidP="00F129EC">
            <w:pPr>
              <w:pStyle w:val="BodyText"/>
              <w:spacing w:before="60" w:after="60"/>
              <w:jc w:val="left"/>
              <w:rPr>
                <w:rFonts w:asciiTheme="majorHAnsi" w:hAnsiTheme="majorHAnsi"/>
                <w:sz w:val="18"/>
                <w:szCs w:val="22"/>
              </w:rPr>
            </w:pPr>
            <w:r w:rsidRPr="008C4425">
              <w:rPr>
                <w:rFonts w:asciiTheme="majorHAnsi" w:hAnsiTheme="majorHAnsi"/>
                <w:sz w:val="18"/>
                <w:szCs w:val="22"/>
              </w:rPr>
              <w:t>Walk</w:t>
            </w:r>
            <w:r w:rsidRPr="008C4425">
              <w:rPr>
                <w:rFonts w:asciiTheme="majorHAnsi" w:hAnsiTheme="majorHAnsi"/>
                <w:b/>
                <w:bCs/>
                <w:sz w:val="18"/>
                <w:szCs w:val="22"/>
              </w:rPr>
              <w:t>‐</w:t>
            </w:r>
            <w:r w:rsidRPr="008C4425">
              <w:rPr>
                <w:rFonts w:asciiTheme="majorHAnsi" w:hAnsiTheme="majorHAnsi"/>
                <w:sz w:val="18"/>
                <w:szCs w:val="22"/>
              </w:rPr>
              <w:t>in cool</w:t>
            </w:r>
            <w:r w:rsidR="007A4A68">
              <w:rPr>
                <w:rFonts w:asciiTheme="majorHAnsi" w:hAnsiTheme="majorHAnsi"/>
                <w:sz w:val="18"/>
                <w:szCs w:val="22"/>
              </w:rPr>
              <w:t xml:space="preserve"> </w:t>
            </w:r>
            <w:r w:rsidRPr="008C4425">
              <w:rPr>
                <w:rFonts w:asciiTheme="majorHAnsi" w:hAnsiTheme="majorHAnsi"/>
                <w:sz w:val="18"/>
                <w:szCs w:val="22"/>
              </w:rPr>
              <w:t xml:space="preserve">room </w:t>
            </w:r>
          </w:p>
        </w:tc>
        <w:tc>
          <w:tcPr>
            <w:tcW w:w="7483" w:type="dxa"/>
          </w:tcPr>
          <w:p w:rsidR="00F129EC" w:rsidRPr="008C4425" w:rsidRDefault="00F129EC" w:rsidP="00F129EC">
            <w:pPr>
              <w:pStyle w:val="BodyText"/>
              <w:spacing w:before="60" w:after="60"/>
              <w:rPr>
                <w:rFonts w:asciiTheme="majorHAnsi" w:hAnsiTheme="majorHAnsi"/>
                <w:sz w:val="18"/>
                <w:szCs w:val="22"/>
              </w:rPr>
            </w:pPr>
            <w:r w:rsidRPr="008C4425">
              <w:rPr>
                <w:rFonts w:asciiTheme="majorHAnsi" w:hAnsiTheme="majorHAnsi"/>
                <w:sz w:val="18"/>
                <w:szCs w:val="22"/>
              </w:rPr>
              <w:t>A walk</w:t>
            </w:r>
            <w:r w:rsidRPr="008C4425">
              <w:rPr>
                <w:rFonts w:asciiTheme="majorHAnsi" w:hAnsiTheme="majorHAnsi"/>
                <w:b/>
                <w:bCs/>
                <w:sz w:val="18"/>
                <w:szCs w:val="22"/>
              </w:rPr>
              <w:t>‐</w:t>
            </w:r>
            <w:r w:rsidRPr="008C4425">
              <w:rPr>
                <w:rFonts w:asciiTheme="majorHAnsi" w:hAnsiTheme="majorHAnsi"/>
                <w:sz w:val="18"/>
                <w:szCs w:val="22"/>
              </w:rPr>
              <w:t>in cool</w:t>
            </w:r>
            <w:r w:rsidR="007A4A68">
              <w:rPr>
                <w:rFonts w:asciiTheme="majorHAnsi" w:hAnsiTheme="majorHAnsi"/>
                <w:sz w:val="18"/>
                <w:szCs w:val="22"/>
              </w:rPr>
              <w:t xml:space="preserve"> </w:t>
            </w:r>
            <w:r w:rsidRPr="008C4425">
              <w:rPr>
                <w:rFonts w:asciiTheme="majorHAnsi" w:hAnsiTheme="majorHAnsi"/>
                <w:sz w:val="18"/>
                <w:szCs w:val="22"/>
              </w:rPr>
              <w:t>room is a structure formed by an insulated enclosure of walls and ceiling, having a door through which personnel can pass and close behind them. The floor space occupied by this structure may or may not be insulated, depending on the operating temperature level.</w:t>
            </w:r>
          </w:p>
        </w:tc>
      </w:tr>
    </w:tbl>
    <w:p w:rsidR="00CC6F76" w:rsidRDefault="00CC6F76">
      <w:pPr>
        <w:spacing w:before="0"/>
        <w:jc w:val="left"/>
      </w:pPr>
    </w:p>
    <w:p w:rsidR="00CC2CA6" w:rsidRPr="00974916" w:rsidRDefault="00CC2CA6" w:rsidP="00CC2CA6">
      <w:pPr>
        <w:pStyle w:val="Heading1"/>
        <w:numPr>
          <w:ilvl w:val="0"/>
          <w:numId w:val="0"/>
        </w:numPr>
        <w:ind w:left="432" w:hanging="432"/>
      </w:pPr>
      <w:bookmarkStart w:id="3" w:name="_Toc257359940"/>
      <w:r>
        <w:t>Abbreviations</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6"/>
        <w:gridCol w:w="7489"/>
      </w:tblGrid>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1857B2">
              <w:rPr>
                <w:rFonts w:asciiTheme="majorHAnsi" w:hAnsiTheme="majorHAnsi"/>
                <w:sz w:val="18"/>
                <w:szCs w:val="18"/>
              </w:rPr>
              <w:t>AC</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1857B2">
              <w:rPr>
                <w:rFonts w:asciiTheme="majorHAnsi" w:hAnsiTheme="majorHAnsi"/>
                <w:sz w:val="18"/>
                <w:szCs w:val="18"/>
              </w:rPr>
              <w:t>Air conditioning</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1857B2">
              <w:rPr>
                <w:rFonts w:asciiTheme="majorHAnsi" w:hAnsiTheme="majorHAnsi"/>
                <w:sz w:val="18"/>
                <w:szCs w:val="18"/>
              </w:rPr>
              <w:t>AR2</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1857B2">
              <w:rPr>
                <w:rFonts w:asciiTheme="majorHAnsi" w:hAnsiTheme="majorHAnsi"/>
                <w:sz w:val="18"/>
                <w:szCs w:val="18"/>
              </w:rPr>
              <w:t>Second Assessment Report</w:t>
            </w:r>
            <w:r>
              <w:rPr>
                <w:rFonts w:asciiTheme="majorHAnsi" w:hAnsiTheme="majorHAnsi"/>
                <w:sz w:val="18"/>
                <w:szCs w:val="18"/>
              </w:rPr>
              <w:t>, similarly A4 is Forth Assessment Report</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1857B2">
              <w:rPr>
                <w:rFonts w:asciiTheme="majorHAnsi" w:hAnsiTheme="majorHAnsi"/>
                <w:sz w:val="18"/>
                <w:szCs w:val="18"/>
              </w:rPr>
              <w:t xml:space="preserve">ABS </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1857B2">
              <w:rPr>
                <w:rFonts w:asciiTheme="majorHAnsi" w:hAnsiTheme="majorHAnsi"/>
                <w:sz w:val="18"/>
                <w:szCs w:val="18"/>
              </w:rPr>
              <w:t>Australian Bureau of Statistics</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1857B2">
              <w:rPr>
                <w:rFonts w:asciiTheme="majorHAnsi" w:hAnsiTheme="majorHAnsi"/>
                <w:sz w:val="18"/>
                <w:szCs w:val="18"/>
              </w:rPr>
              <w:t>BCA</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1857B2">
              <w:rPr>
                <w:rFonts w:asciiTheme="majorHAnsi" w:hAnsiTheme="majorHAnsi"/>
                <w:sz w:val="18"/>
                <w:szCs w:val="18"/>
              </w:rPr>
              <w:t>Building Code of Australia</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1857B2">
              <w:rPr>
                <w:rFonts w:asciiTheme="majorHAnsi" w:hAnsiTheme="majorHAnsi"/>
                <w:sz w:val="18"/>
                <w:szCs w:val="18"/>
              </w:rPr>
              <w:t>CHF</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1857B2">
              <w:rPr>
                <w:rFonts w:asciiTheme="majorHAnsi" w:hAnsiTheme="majorHAnsi"/>
                <w:sz w:val="18"/>
                <w:szCs w:val="18"/>
              </w:rPr>
              <w:t>Cold Hard Facts</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C10940">
              <w:rPr>
                <w:rFonts w:asciiTheme="majorHAnsi" w:hAnsiTheme="majorHAnsi"/>
                <w:sz w:val="18"/>
                <w:szCs w:val="18"/>
              </w:rPr>
              <w:t>CO</w:t>
            </w:r>
            <w:r w:rsidR="00977C4A" w:rsidRPr="002E6AC8">
              <w:rPr>
                <w:rFonts w:asciiTheme="majorHAnsi" w:hAnsiTheme="majorHAnsi"/>
                <w:sz w:val="18"/>
                <w:szCs w:val="18"/>
              </w:rPr>
              <w:t>2</w:t>
            </w:r>
            <w:r w:rsidR="00C10940">
              <w:rPr>
                <w:rFonts w:asciiTheme="majorHAnsi" w:hAnsiTheme="majorHAnsi"/>
                <w:sz w:val="18"/>
                <w:szCs w:val="18"/>
              </w:rPr>
              <w:t>-</w:t>
            </w:r>
            <w:r w:rsidRPr="00C10940">
              <w:rPr>
                <w:rFonts w:asciiTheme="majorHAnsi" w:hAnsiTheme="majorHAnsi"/>
                <w:sz w:val="18"/>
                <w:szCs w:val="18"/>
              </w:rPr>
              <w:t>e</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1857B2">
              <w:rPr>
                <w:rFonts w:asciiTheme="majorHAnsi" w:hAnsiTheme="majorHAnsi"/>
                <w:sz w:val="18"/>
                <w:szCs w:val="18"/>
              </w:rPr>
              <w:t>Carbon dioxide equivalent</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1857B2">
              <w:rPr>
                <w:rFonts w:asciiTheme="majorHAnsi" w:hAnsiTheme="majorHAnsi"/>
                <w:sz w:val="18"/>
                <w:szCs w:val="18"/>
              </w:rPr>
              <w:t>DCCEE</w:t>
            </w:r>
          </w:p>
        </w:tc>
        <w:tc>
          <w:tcPr>
            <w:tcW w:w="7489" w:type="dxa"/>
          </w:tcPr>
          <w:p w:rsidR="00CC2CA6" w:rsidRPr="001857B2" w:rsidRDefault="00CC2CA6" w:rsidP="009F442D">
            <w:pPr>
              <w:pStyle w:val="BodyText"/>
              <w:spacing w:before="60" w:after="60"/>
              <w:rPr>
                <w:rFonts w:asciiTheme="majorHAnsi" w:hAnsiTheme="majorHAnsi"/>
                <w:sz w:val="18"/>
                <w:szCs w:val="18"/>
              </w:rPr>
            </w:pPr>
            <w:r w:rsidRPr="001857B2">
              <w:rPr>
                <w:rFonts w:asciiTheme="majorHAnsi" w:hAnsiTheme="majorHAnsi"/>
                <w:sz w:val="18"/>
                <w:szCs w:val="18"/>
              </w:rPr>
              <w:t>Department of Climate Change and Energy Efficiency</w:t>
            </w:r>
            <w:r>
              <w:rPr>
                <w:rFonts w:asciiTheme="majorHAnsi" w:hAnsiTheme="majorHAnsi"/>
                <w:sz w:val="18"/>
                <w:szCs w:val="18"/>
              </w:rPr>
              <w:t xml:space="preserve">, now </w:t>
            </w:r>
            <w:r w:rsidRPr="00BA3C42">
              <w:rPr>
                <w:rFonts w:asciiTheme="majorHAnsi" w:hAnsiTheme="majorHAnsi"/>
                <w:sz w:val="18"/>
                <w:szCs w:val="18"/>
              </w:rPr>
              <w:t xml:space="preserve">Department of </w:t>
            </w:r>
            <w:r w:rsidR="009F442D">
              <w:rPr>
                <w:rFonts w:asciiTheme="majorHAnsi" w:hAnsiTheme="majorHAnsi"/>
                <w:sz w:val="18"/>
                <w:szCs w:val="18"/>
              </w:rPr>
              <w:t xml:space="preserve">Industry, </w:t>
            </w:r>
            <w:r w:rsidR="009F442D" w:rsidRPr="009F442D">
              <w:rPr>
                <w:rFonts w:asciiTheme="majorHAnsi" w:hAnsiTheme="majorHAnsi"/>
                <w:sz w:val="18"/>
                <w:szCs w:val="18"/>
              </w:rPr>
              <w:t xml:space="preserve">Appliance Energy Efficiency Team </w:t>
            </w:r>
            <w:r>
              <w:rPr>
                <w:rFonts w:asciiTheme="majorHAnsi" w:hAnsiTheme="majorHAnsi"/>
                <w:sz w:val="18"/>
                <w:szCs w:val="18"/>
              </w:rPr>
              <w:t>(D</w:t>
            </w:r>
            <w:r w:rsidR="009F442D">
              <w:rPr>
                <w:rFonts w:asciiTheme="majorHAnsi" w:hAnsiTheme="majorHAnsi"/>
                <w:sz w:val="18"/>
                <w:szCs w:val="18"/>
              </w:rPr>
              <w:t>oI</w:t>
            </w:r>
            <w:r>
              <w:rPr>
                <w:rFonts w:asciiTheme="majorHAnsi" w:hAnsiTheme="majorHAnsi"/>
                <w:sz w:val="18"/>
                <w:szCs w:val="18"/>
              </w:rPr>
              <w:t>)</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Pr>
                <w:rFonts w:asciiTheme="majorHAnsi" w:hAnsiTheme="majorHAnsi"/>
                <w:sz w:val="18"/>
                <w:szCs w:val="18"/>
              </w:rPr>
              <w:t>DEWHA</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1857B2">
              <w:rPr>
                <w:rFonts w:asciiTheme="majorHAnsi" w:hAnsiTheme="majorHAnsi"/>
                <w:sz w:val="18"/>
                <w:szCs w:val="18"/>
              </w:rPr>
              <w:t xml:space="preserve">Department of Environment, Water, Heritage and the Arts </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Pr>
                <w:rFonts w:asciiTheme="majorHAnsi" w:hAnsiTheme="majorHAnsi"/>
                <w:sz w:val="18"/>
                <w:szCs w:val="18"/>
              </w:rPr>
              <w:t>DSEWPaC</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BA3C42">
              <w:rPr>
                <w:rFonts w:asciiTheme="majorHAnsi" w:hAnsiTheme="majorHAnsi"/>
                <w:sz w:val="18"/>
                <w:szCs w:val="18"/>
              </w:rPr>
              <w:t>Department of Sustainability, Environment, Water, Population and Communities</w:t>
            </w:r>
            <w:r>
              <w:rPr>
                <w:rFonts w:asciiTheme="majorHAnsi" w:hAnsiTheme="majorHAnsi"/>
                <w:sz w:val="18"/>
                <w:szCs w:val="18"/>
              </w:rPr>
              <w:t xml:space="preserve">, now </w:t>
            </w:r>
            <w:r w:rsidRPr="00BA3C42">
              <w:rPr>
                <w:rFonts w:asciiTheme="majorHAnsi" w:hAnsiTheme="majorHAnsi"/>
                <w:sz w:val="18"/>
                <w:szCs w:val="18"/>
              </w:rPr>
              <w:t xml:space="preserve">Department of </w:t>
            </w:r>
            <w:r>
              <w:rPr>
                <w:rFonts w:asciiTheme="majorHAnsi" w:hAnsiTheme="majorHAnsi"/>
                <w:sz w:val="18"/>
                <w:szCs w:val="18"/>
              </w:rPr>
              <w:t>the Environment</w:t>
            </w:r>
          </w:p>
        </w:tc>
      </w:tr>
      <w:tr w:rsidR="00D86A99" w:rsidRPr="001857B2" w:rsidTr="00CC2CA6">
        <w:trPr>
          <w:trHeight w:val="342"/>
        </w:trPr>
        <w:tc>
          <w:tcPr>
            <w:tcW w:w="2116" w:type="dxa"/>
          </w:tcPr>
          <w:p w:rsidR="00D86A99" w:rsidRPr="001857B2" w:rsidRDefault="00D86A99" w:rsidP="002C56EC">
            <w:pPr>
              <w:pStyle w:val="BodyText"/>
              <w:spacing w:before="60" w:after="60"/>
              <w:jc w:val="left"/>
              <w:rPr>
                <w:rFonts w:asciiTheme="majorHAnsi" w:hAnsiTheme="majorHAnsi"/>
                <w:sz w:val="18"/>
                <w:szCs w:val="18"/>
              </w:rPr>
            </w:pPr>
            <w:r>
              <w:rPr>
                <w:rFonts w:asciiTheme="majorHAnsi" w:hAnsiTheme="majorHAnsi"/>
                <w:sz w:val="18"/>
                <w:szCs w:val="18"/>
              </w:rPr>
              <w:t>DoE</w:t>
            </w:r>
          </w:p>
        </w:tc>
        <w:tc>
          <w:tcPr>
            <w:tcW w:w="7489" w:type="dxa"/>
          </w:tcPr>
          <w:p w:rsidR="00D86A99" w:rsidRPr="001857B2" w:rsidRDefault="00D86A99" w:rsidP="00CC2CA6">
            <w:pPr>
              <w:pStyle w:val="BodyText"/>
              <w:spacing w:before="60" w:after="60"/>
              <w:rPr>
                <w:rFonts w:asciiTheme="majorHAnsi" w:hAnsiTheme="majorHAnsi"/>
                <w:sz w:val="18"/>
                <w:szCs w:val="18"/>
              </w:rPr>
            </w:pPr>
            <w:r w:rsidRPr="00BA3C42">
              <w:rPr>
                <w:rFonts w:asciiTheme="majorHAnsi" w:hAnsiTheme="majorHAnsi"/>
                <w:sz w:val="18"/>
                <w:szCs w:val="18"/>
              </w:rPr>
              <w:t xml:space="preserve">Department of </w:t>
            </w:r>
            <w:r>
              <w:rPr>
                <w:rFonts w:asciiTheme="majorHAnsi" w:hAnsiTheme="majorHAnsi"/>
                <w:sz w:val="18"/>
                <w:szCs w:val="18"/>
              </w:rPr>
              <w:t>the Environment</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1857B2">
              <w:rPr>
                <w:rFonts w:asciiTheme="majorHAnsi" w:hAnsiTheme="majorHAnsi"/>
                <w:sz w:val="18"/>
                <w:szCs w:val="18"/>
              </w:rPr>
              <w:t>EOL</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1857B2">
              <w:rPr>
                <w:rFonts w:asciiTheme="majorHAnsi" w:hAnsiTheme="majorHAnsi"/>
                <w:sz w:val="18"/>
                <w:szCs w:val="18"/>
              </w:rPr>
              <w:t>End-of-life</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1857B2">
              <w:rPr>
                <w:rFonts w:asciiTheme="majorHAnsi" w:hAnsiTheme="majorHAnsi"/>
                <w:sz w:val="18"/>
                <w:szCs w:val="18"/>
              </w:rPr>
              <w:t>GHG</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1857B2">
              <w:rPr>
                <w:rFonts w:asciiTheme="majorHAnsi" w:hAnsiTheme="majorHAnsi"/>
                <w:sz w:val="18"/>
                <w:szCs w:val="18"/>
              </w:rPr>
              <w:t>Greenhouse Gas</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1857B2">
              <w:rPr>
                <w:rFonts w:asciiTheme="majorHAnsi" w:hAnsiTheme="majorHAnsi"/>
                <w:sz w:val="18"/>
                <w:szCs w:val="18"/>
              </w:rPr>
              <w:t>GWh</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1857B2">
              <w:rPr>
                <w:rFonts w:asciiTheme="majorHAnsi" w:hAnsiTheme="majorHAnsi"/>
                <w:sz w:val="18"/>
                <w:szCs w:val="18"/>
              </w:rPr>
              <w:t>Gigawatt hour</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1857B2">
              <w:rPr>
                <w:rFonts w:asciiTheme="majorHAnsi" w:hAnsiTheme="majorHAnsi"/>
                <w:sz w:val="18"/>
                <w:szCs w:val="18"/>
              </w:rPr>
              <w:t>HVAC&amp;R</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1857B2">
              <w:rPr>
                <w:rFonts w:asciiTheme="majorHAnsi" w:hAnsiTheme="majorHAnsi"/>
                <w:sz w:val="18"/>
                <w:szCs w:val="18"/>
              </w:rPr>
              <w:t>Heating, ventilation, air conditioning, and refrigeration</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1857B2">
              <w:rPr>
                <w:rFonts w:asciiTheme="majorHAnsi" w:hAnsiTheme="majorHAnsi"/>
                <w:sz w:val="18"/>
                <w:szCs w:val="18"/>
              </w:rPr>
              <w:t>IEA</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1857B2">
              <w:rPr>
                <w:rFonts w:asciiTheme="majorHAnsi" w:hAnsiTheme="majorHAnsi"/>
                <w:sz w:val="18"/>
                <w:szCs w:val="18"/>
              </w:rPr>
              <w:t>International Energy Agency</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Pr>
                <w:rFonts w:asciiTheme="majorHAnsi" w:hAnsiTheme="majorHAnsi"/>
                <w:sz w:val="18"/>
                <w:szCs w:val="18"/>
              </w:rPr>
              <w:t>IPCC</w:t>
            </w:r>
          </w:p>
        </w:tc>
        <w:tc>
          <w:tcPr>
            <w:tcW w:w="7489" w:type="dxa"/>
          </w:tcPr>
          <w:p w:rsidR="00CC2CA6" w:rsidRPr="001857B2" w:rsidRDefault="00CC2CA6" w:rsidP="00CC2CA6">
            <w:pPr>
              <w:pStyle w:val="BodyText"/>
              <w:spacing w:before="60" w:after="60"/>
              <w:rPr>
                <w:rFonts w:asciiTheme="majorHAnsi" w:hAnsiTheme="majorHAnsi"/>
                <w:sz w:val="18"/>
                <w:szCs w:val="18"/>
              </w:rPr>
            </w:pPr>
            <w:r>
              <w:rPr>
                <w:rFonts w:asciiTheme="majorHAnsi" w:hAnsiTheme="majorHAnsi"/>
                <w:sz w:val="18"/>
                <w:szCs w:val="18"/>
              </w:rPr>
              <w:t>Intergovernmental Panel on Climate Change</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1857B2">
              <w:rPr>
                <w:rFonts w:asciiTheme="majorHAnsi" w:hAnsiTheme="majorHAnsi"/>
                <w:sz w:val="18"/>
                <w:szCs w:val="18"/>
              </w:rPr>
              <w:t>kWh</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1857B2">
              <w:rPr>
                <w:rFonts w:asciiTheme="majorHAnsi" w:hAnsiTheme="majorHAnsi"/>
                <w:sz w:val="18"/>
                <w:szCs w:val="18"/>
              </w:rPr>
              <w:t>Kilowatt hour</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Pr>
                <w:rFonts w:asciiTheme="majorHAnsi" w:hAnsiTheme="majorHAnsi"/>
                <w:sz w:val="18"/>
                <w:szCs w:val="18"/>
              </w:rPr>
              <w:t>kt</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1857B2">
              <w:rPr>
                <w:rFonts w:asciiTheme="majorHAnsi" w:hAnsiTheme="majorHAnsi"/>
                <w:sz w:val="18"/>
                <w:szCs w:val="18"/>
              </w:rPr>
              <w:t>Kilo</w:t>
            </w:r>
            <w:r w:rsidR="009F442D">
              <w:rPr>
                <w:rFonts w:asciiTheme="majorHAnsi" w:hAnsiTheme="majorHAnsi"/>
                <w:sz w:val="18"/>
                <w:szCs w:val="18"/>
              </w:rPr>
              <w:t xml:space="preserve"> </w:t>
            </w:r>
            <w:r w:rsidRPr="001857B2">
              <w:rPr>
                <w:rFonts w:asciiTheme="majorHAnsi" w:hAnsiTheme="majorHAnsi"/>
                <w:sz w:val="18"/>
                <w:szCs w:val="18"/>
              </w:rPr>
              <w:t>tonnes, or thousand tonnes</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1857B2">
              <w:rPr>
                <w:rFonts w:asciiTheme="majorHAnsi" w:hAnsiTheme="majorHAnsi"/>
                <w:sz w:val="18"/>
                <w:szCs w:val="18"/>
              </w:rPr>
              <w:t>LPG</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1857B2">
              <w:rPr>
                <w:rFonts w:asciiTheme="majorHAnsi" w:hAnsiTheme="majorHAnsi"/>
                <w:sz w:val="18"/>
                <w:szCs w:val="18"/>
              </w:rPr>
              <w:t>Liquefied petroleum gas</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1857B2">
              <w:rPr>
                <w:rFonts w:asciiTheme="majorHAnsi" w:hAnsiTheme="majorHAnsi"/>
                <w:sz w:val="18"/>
                <w:szCs w:val="18"/>
              </w:rPr>
              <w:t>L</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1857B2">
              <w:rPr>
                <w:rFonts w:asciiTheme="majorHAnsi" w:hAnsiTheme="majorHAnsi"/>
                <w:sz w:val="18"/>
                <w:szCs w:val="18"/>
              </w:rPr>
              <w:t>Litre</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1857B2">
              <w:rPr>
                <w:rFonts w:asciiTheme="majorHAnsi" w:hAnsiTheme="majorHAnsi"/>
                <w:sz w:val="18"/>
                <w:szCs w:val="18"/>
              </w:rPr>
              <w:t>MEPS</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1857B2">
              <w:rPr>
                <w:rFonts w:asciiTheme="majorHAnsi" w:hAnsiTheme="majorHAnsi"/>
                <w:sz w:val="18"/>
                <w:szCs w:val="18"/>
              </w:rPr>
              <w:t>Minimum energy performance standards</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1857B2">
              <w:rPr>
                <w:rFonts w:asciiTheme="majorHAnsi" w:hAnsiTheme="majorHAnsi"/>
                <w:sz w:val="18"/>
                <w:szCs w:val="18"/>
              </w:rPr>
              <w:t>MAC</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1857B2">
              <w:rPr>
                <w:rFonts w:asciiTheme="majorHAnsi" w:hAnsiTheme="majorHAnsi"/>
                <w:sz w:val="18"/>
                <w:szCs w:val="18"/>
              </w:rPr>
              <w:t>Mobile air conditioning</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1857B2">
              <w:rPr>
                <w:rFonts w:asciiTheme="majorHAnsi" w:hAnsiTheme="majorHAnsi"/>
                <w:sz w:val="18"/>
                <w:szCs w:val="18"/>
              </w:rPr>
              <w:t>MJ</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1857B2">
              <w:rPr>
                <w:rFonts w:asciiTheme="majorHAnsi" w:hAnsiTheme="majorHAnsi"/>
                <w:sz w:val="18"/>
                <w:szCs w:val="18"/>
              </w:rPr>
              <w:t>Megajoule</w:t>
            </w:r>
          </w:p>
        </w:tc>
      </w:tr>
      <w:tr w:rsidR="00CC2CA6" w:rsidRPr="008C2553"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Pr>
                <w:rFonts w:asciiTheme="majorHAnsi" w:hAnsiTheme="majorHAnsi"/>
                <w:sz w:val="18"/>
                <w:szCs w:val="18"/>
              </w:rPr>
              <w:t>Mt</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1857B2">
              <w:rPr>
                <w:rFonts w:asciiTheme="majorHAnsi" w:hAnsiTheme="majorHAnsi"/>
                <w:sz w:val="18"/>
                <w:szCs w:val="18"/>
              </w:rPr>
              <w:t>Mega</w:t>
            </w:r>
            <w:r w:rsidR="009F442D">
              <w:rPr>
                <w:rFonts w:asciiTheme="majorHAnsi" w:hAnsiTheme="majorHAnsi"/>
                <w:sz w:val="18"/>
                <w:szCs w:val="18"/>
              </w:rPr>
              <w:t xml:space="preserve"> </w:t>
            </w:r>
            <w:r w:rsidRPr="001857B2">
              <w:rPr>
                <w:rFonts w:asciiTheme="majorHAnsi" w:hAnsiTheme="majorHAnsi"/>
                <w:sz w:val="18"/>
                <w:szCs w:val="18"/>
              </w:rPr>
              <w:t>tonne, or million tonnes</w:t>
            </w:r>
          </w:p>
        </w:tc>
      </w:tr>
      <w:tr w:rsidR="00CC2CA6" w:rsidRPr="008C2553"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8C2553">
              <w:rPr>
                <w:rFonts w:asciiTheme="majorHAnsi" w:hAnsiTheme="majorHAnsi"/>
                <w:sz w:val="18"/>
                <w:szCs w:val="18"/>
              </w:rPr>
              <w:t>OPSGGMA</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8C2553">
              <w:rPr>
                <w:rFonts w:asciiTheme="majorHAnsi" w:hAnsiTheme="majorHAnsi"/>
                <w:sz w:val="18"/>
                <w:szCs w:val="18"/>
              </w:rPr>
              <w:t>Ozone Protection and Synthetic Greenhouse Gas Management Act 19</w:t>
            </w:r>
            <w:r>
              <w:rPr>
                <w:rFonts w:asciiTheme="majorHAnsi" w:hAnsiTheme="majorHAnsi"/>
                <w:sz w:val="18"/>
                <w:szCs w:val="18"/>
              </w:rPr>
              <w:t>89</w:t>
            </w:r>
            <w:r w:rsidRPr="008C2553">
              <w:rPr>
                <w:rFonts w:asciiTheme="majorHAnsi" w:hAnsiTheme="majorHAnsi"/>
                <w:sz w:val="18"/>
                <w:szCs w:val="18"/>
              </w:rPr>
              <w:t>, including amendments.</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1857B2">
              <w:rPr>
                <w:rFonts w:asciiTheme="majorHAnsi" w:hAnsiTheme="majorHAnsi"/>
                <w:sz w:val="18"/>
                <w:szCs w:val="18"/>
              </w:rPr>
              <w:t>ODS</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1857B2">
              <w:rPr>
                <w:rFonts w:asciiTheme="majorHAnsi" w:hAnsiTheme="majorHAnsi"/>
                <w:sz w:val="18"/>
                <w:szCs w:val="18"/>
              </w:rPr>
              <w:t>Ozone depleting substances</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Pr>
                <w:rFonts w:asciiTheme="majorHAnsi" w:hAnsiTheme="majorHAnsi"/>
                <w:sz w:val="18"/>
                <w:szCs w:val="18"/>
              </w:rPr>
              <w:t>OEM</w:t>
            </w:r>
          </w:p>
        </w:tc>
        <w:tc>
          <w:tcPr>
            <w:tcW w:w="7489" w:type="dxa"/>
          </w:tcPr>
          <w:p w:rsidR="00CC2CA6" w:rsidRPr="001857B2" w:rsidRDefault="00CC2CA6" w:rsidP="00CC2CA6">
            <w:pPr>
              <w:pStyle w:val="BodyText"/>
              <w:spacing w:before="60" w:after="60"/>
              <w:rPr>
                <w:rFonts w:asciiTheme="majorHAnsi" w:hAnsiTheme="majorHAnsi"/>
                <w:sz w:val="18"/>
                <w:szCs w:val="18"/>
              </w:rPr>
            </w:pPr>
            <w:r>
              <w:rPr>
                <w:rFonts w:asciiTheme="majorHAnsi" w:hAnsiTheme="majorHAnsi"/>
                <w:sz w:val="18"/>
                <w:szCs w:val="18"/>
              </w:rPr>
              <w:t>Original Equipment Manufacturer</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1857B2">
              <w:rPr>
                <w:rFonts w:asciiTheme="majorHAnsi" w:hAnsiTheme="majorHAnsi"/>
                <w:sz w:val="18"/>
                <w:szCs w:val="18"/>
              </w:rPr>
              <w:t>PJ</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1857B2">
              <w:rPr>
                <w:rFonts w:asciiTheme="majorHAnsi" w:hAnsiTheme="majorHAnsi"/>
                <w:sz w:val="18"/>
                <w:szCs w:val="18"/>
              </w:rPr>
              <w:t>Petajoule</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1857B2">
              <w:rPr>
                <w:rFonts w:asciiTheme="majorHAnsi" w:hAnsiTheme="majorHAnsi"/>
                <w:sz w:val="18"/>
                <w:szCs w:val="18"/>
              </w:rPr>
              <w:t>RAC</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1857B2">
              <w:rPr>
                <w:rFonts w:asciiTheme="majorHAnsi" w:hAnsiTheme="majorHAnsi"/>
                <w:sz w:val="18"/>
                <w:szCs w:val="18"/>
              </w:rPr>
              <w:t>Refrigeration and air conditioning</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1857B2">
              <w:rPr>
                <w:rFonts w:asciiTheme="majorHAnsi" w:hAnsiTheme="majorHAnsi"/>
                <w:sz w:val="18"/>
                <w:szCs w:val="18"/>
              </w:rPr>
              <w:t>RCFC</w:t>
            </w:r>
          </w:p>
        </w:tc>
        <w:tc>
          <w:tcPr>
            <w:tcW w:w="7489" w:type="dxa"/>
          </w:tcPr>
          <w:p w:rsidR="00CC2CA6" w:rsidRPr="001857B2" w:rsidRDefault="00CC2CA6" w:rsidP="00CC2CA6">
            <w:pPr>
              <w:pStyle w:val="BodyText"/>
              <w:spacing w:before="60" w:after="60"/>
              <w:rPr>
                <w:rFonts w:asciiTheme="majorHAnsi" w:hAnsiTheme="majorHAnsi"/>
                <w:sz w:val="18"/>
                <w:szCs w:val="18"/>
              </w:rPr>
            </w:pPr>
            <w:r>
              <w:rPr>
                <w:rFonts w:asciiTheme="majorHAnsi" w:hAnsiTheme="majorHAnsi"/>
                <w:sz w:val="18"/>
                <w:szCs w:val="18"/>
              </w:rPr>
              <w:t>Refrigerated cold food chain</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1857B2">
              <w:rPr>
                <w:rFonts w:asciiTheme="majorHAnsi" w:hAnsiTheme="majorHAnsi"/>
                <w:sz w:val="18"/>
                <w:szCs w:val="18"/>
              </w:rPr>
              <w:t>SGG</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1857B2">
              <w:rPr>
                <w:rFonts w:asciiTheme="majorHAnsi" w:hAnsiTheme="majorHAnsi"/>
                <w:sz w:val="18"/>
                <w:szCs w:val="18"/>
              </w:rPr>
              <w:t>Synthetic greenhouse gas</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1857B2">
              <w:rPr>
                <w:rFonts w:asciiTheme="majorHAnsi" w:hAnsiTheme="majorHAnsi"/>
                <w:sz w:val="18"/>
                <w:szCs w:val="18"/>
              </w:rPr>
              <w:t>TAFE</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1857B2">
              <w:rPr>
                <w:rFonts w:asciiTheme="majorHAnsi" w:hAnsiTheme="majorHAnsi"/>
                <w:sz w:val="18"/>
                <w:szCs w:val="18"/>
              </w:rPr>
              <w:t>Technical and Further Education</w:t>
            </w:r>
          </w:p>
        </w:tc>
      </w:tr>
      <w:tr w:rsidR="00CC2CA6" w:rsidRPr="001857B2" w:rsidTr="00CC2CA6">
        <w:trPr>
          <w:trHeight w:val="342"/>
        </w:trPr>
        <w:tc>
          <w:tcPr>
            <w:tcW w:w="2116" w:type="dxa"/>
          </w:tcPr>
          <w:p w:rsidR="00CC2CA6" w:rsidRPr="001857B2" w:rsidRDefault="00D86A99" w:rsidP="00CC2CA6">
            <w:pPr>
              <w:pStyle w:val="BodyText"/>
              <w:spacing w:before="60" w:after="60"/>
              <w:jc w:val="left"/>
              <w:rPr>
                <w:rFonts w:asciiTheme="majorHAnsi" w:hAnsiTheme="majorHAnsi"/>
                <w:sz w:val="18"/>
                <w:szCs w:val="18"/>
              </w:rPr>
            </w:pPr>
            <w:r>
              <w:rPr>
                <w:rFonts w:asciiTheme="majorHAnsi" w:hAnsiTheme="majorHAnsi"/>
                <w:sz w:val="18"/>
                <w:szCs w:val="18"/>
              </w:rPr>
              <w:t>Tonne</w:t>
            </w:r>
          </w:p>
        </w:tc>
        <w:tc>
          <w:tcPr>
            <w:tcW w:w="7489" w:type="dxa"/>
          </w:tcPr>
          <w:p w:rsidR="00CC2CA6" w:rsidRPr="001857B2" w:rsidRDefault="00CC2CA6" w:rsidP="00CC2CA6">
            <w:pPr>
              <w:pStyle w:val="BodyText"/>
              <w:spacing w:before="60" w:after="60"/>
              <w:rPr>
                <w:rFonts w:asciiTheme="majorHAnsi" w:hAnsiTheme="majorHAnsi"/>
                <w:sz w:val="18"/>
                <w:szCs w:val="18"/>
              </w:rPr>
            </w:pPr>
            <w:r>
              <w:rPr>
                <w:rFonts w:asciiTheme="majorHAnsi" w:hAnsiTheme="majorHAnsi"/>
                <w:sz w:val="18"/>
                <w:szCs w:val="18"/>
              </w:rPr>
              <w:t>Metric t</w:t>
            </w:r>
            <w:r w:rsidRPr="001857B2">
              <w:rPr>
                <w:rFonts w:asciiTheme="majorHAnsi" w:hAnsiTheme="majorHAnsi"/>
                <w:sz w:val="18"/>
                <w:szCs w:val="18"/>
              </w:rPr>
              <w:t>onne</w:t>
            </w:r>
          </w:p>
        </w:tc>
      </w:tr>
      <w:tr w:rsidR="00CC2CA6" w:rsidRPr="001857B2" w:rsidTr="00CC2CA6">
        <w:trPr>
          <w:trHeight w:val="342"/>
        </w:trPr>
        <w:tc>
          <w:tcPr>
            <w:tcW w:w="2116" w:type="dxa"/>
          </w:tcPr>
          <w:p w:rsidR="00CC2CA6" w:rsidRPr="001857B2" w:rsidRDefault="00CC2CA6" w:rsidP="00CC2CA6">
            <w:pPr>
              <w:pStyle w:val="BodyText"/>
              <w:spacing w:before="60" w:after="60"/>
              <w:jc w:val="left"/>
              <w:rPr>
                <w:rFonts w:asciiTheme="majorHAnsi" w:hAnsiTheme="majorHAnsi"/>
                <w:sz w:val="18"/>
                <w:szCs w:val="18"/>
              </w:rPr>
            </w:pPr>
            <w:r w:rsidRPr="008814D5">
              <w:rPr>
                <w:rFonts w:asciiTheme="majorHAnsi" w:hAnsiTheme="majorHAnsi"/>
                <w:sz w:val="18"/>
                <w:szCs w:val="18"/>
              </w:rPr>
              <w:t>UNFCCC</w:t>
            </w:r>
          </w:p>
        </w:tc>
        <w:tc>
          <w:tcPr>
            <w:tcW w:w="7489" w:type="dxa"/>
          </w:tcPr>
          <w:p w:rsidR="00CC2CA6" w:rsidRPr="001857B2" w:rsidRDefault="00CC2CA6" w:rsidP="00CC2CA6">
            <w:pPr>
              <w:pStyle w:val="BodyText"/>
              <w:spacing w:before="60" w:after="60"/>
              <w:rPr>
                <w:rFonts w:asciiTheme="majorHAnsi" w:hAnsiTheme="majorHAnsi"/>
                <w:sz w:val="18"/>
                <w:szCs w:val="18"/>
              </w:rPr>
            </w:pPr>
            <w:r w:rsidRPr="008814D5">
              <w:rPr>
                <w:rFonts w:asciiTheme="majorHAnsi" w:hAnsiTheme="majorHAnsi"/>
                <w:sz w:val="18"/>
                <w:szCs w:val="18"/>
              </w:rPr>
              <w:t xml:space="preserve">United Nations Framework Convention on Climate Change </w:t>
            </w:r>
          </w:p>
        </w:tc>
      </w:tr>
    </w:tbl>
    <w:p w:rsidR="003937A5" w:rsidRPr="006B5B2D" w:rsidRDefault="00AF3794" w:rsidP="00053AC7">
      <w:pPr>
        <w:pStyle w:val="Heading1"/>
        <w:ind w:left="432"/>
      </w:pPr>
      <w:bookmarkStart w:id="4" w:name="_Toc257359941"/>
      <w:r>
        <w:t xml:space="preserve">Executive </w:t>
      </w:r>
      <w:r w:rsidR="001B0EF1">
        <w:t>s</w:t>
      </w:r>
      <w:r>
        <w:t>ummary</w:t>
      </w:r>
      <w:bookmarkEnd w:id="4"/>
    </w:p>
    <w:p w:rsidR="00AE774A" w:rsidRDefault="00AE774A" w:rsidP="00AE774A">
      <w:pPr>
        <w:rPr>
          <w:szCs w:val="22"/>
        </w:rPr>
      </w:pPr>
      <w:r>
        <w:rPr>
          <w:szCs w:val="22"/>
        </w:rPr>
        <w:t xml:space="preserve">National governments, international bodies and the </w:t>
      </w:r>
      <w:r w:rsidR="00A56C99">
        <w:rPr>
          <w:szCs w:val="22"/>
        </w:rPr>
        <w:t xml:space="preserve">suppliers of hydrofluorocarbons (HFCs), alternative substances and </w:t>
      </w:r>
      <w:r w:rsidR="00A20240">
        <w:rPr>
          <w:szCs w:val="22"/>
        </w:rPr>
        <w:t xml:space="preserve">related </w:t>
      </w:r>
      <w:r w:rsidR="00A56C99">
        <w:rPr>
          <w:szCs w:val="22"/>
        </w:rPr>
        <w:t xml:space="preserve">equipment are </w:t>
      </w:r>
      <w:r>
        <w:rPr>
          <w:szCs w:val="22"/>
        </w:rPr>
        <w:t>for various reasons, involved in negotiating and preparing for a fourth wave of evolutionary change in the essential technology of refrigeration – the refrigerant gases used as the thermal media for heat transfer, and in a range of other medical, industrial and manufacturing applications.</w:t>
      </w:r>
    </w:p>
    <w:p w:rsidR="00AE774A" w:rsidRDefault="00AE774A" w:rsidP="00AE774A">
      <w:pPr>
        <w:rPr>
          <w:szCs w:val="22"/>
        </w:rPr>
      </w:pPr>
      <w:r>
        <w:rPr>
          <w:szCs w:val="22"/>
        </w:rPr>
        <w:t>Due to their high global warming potential proposals for a phase down of HFCs, the third generation of inert and non-toxic synthetic refrigerants, have been put to the Parties to the Montreal Protocol. One recent and comprehensively drafted proposal, the North American Amendment (NAA), has been used as a model by the Australian Government’s Department of</w:t>
      </w:r>
      <w:r w:rsidR="00BF7474">
        <w:rPr>
          <w:szCs w:val="22"/>
        </w:rPr>
        <w:t xml:space="preserve"> the</w:t>
      </w:r>
      <w:r>
        <w:rPr>
          <w:szCs w:val="22"/>
        </w:rPr>
        <w:t xml:space="preserve"> Environment </w:t>
      </w:r>
      <w:r w:rsidR="00C10940">
        <w:rPr>
          <w:szCs w:val="22"/>
        </w:rPr>
        <w:t xml:space="preserve">(DoE) </w:t>
      </w:r>
      <w:r>
        <w:rPr>
          <w:szCs w:val="22"/>
        </w:rPr>
        <w:t>to test the Australian industry’s capacity to adapt to a phase down of HFCs.</w:t>
      </w:r>
    </w:p>
    <w:p w:rsidR="00AE774A" w:rsidRDefault="00AE774A" w:rsidP="00AE774A">
      <w:pPr>
        <w:rPr>
          <w:szCs w:val="22"/>
        </w:rPr>
      </w:pPr>
      <w:r>
        <w:rPr>
          <w:szCs w:val="22"/>
        </w:rPr>
        <w:t>This report provides projections of Australian demand for HFCs across all the major applications to 2025, and compares that with the hypothetical HFC consumption cap that the NAA proposal would impose on Australia. The model from which the projections are derived is built on a stock model of all refrigeration and air conditioning equipment in the economy that has been updated annually since 2007. For a number of reasons Australian data in this industry is particularly good.</w:t>
      </w:r>
    </w:p>
    <w:p w:rsidR="00AE774A" w:rsidRDefault="00AE774A" w:rsidP="00AE774A">
      <w:pPr>
        <w:rPr>
          <w:szCs w:val="22"/>
        </w:rPr>
      </w:pPr>
      <w:r w:rsidRPr="00A20240">
        <w:rPr>
          <w:szCs w:val="22"/>
        </w:rPr>
        <w:t>The NAA, as it applies to Australia, proposes a HFC consumption baseline, calculated in terms of CO</w:t>
      </w:r>
      <w:r w:rsidRPr="00A20240">
        <w:rPr>
          <w:szCs w:val="22"/>
          <w:vertAlign w:val="subscript"/>
        </w:rPr>
        <w:t>2</w:t>
      </w:r>
      <w:r w:rsidR="00977C4A" w:rsidRPr="00F51E53">
        <w:rPr>
          <w:szCs w:val="22"/>
        </w:rPr>
        <w:t>-</w:t>
      </w:r>
      <w:r w:rsidRPr="00A20240">
        <w:rPr>
          <w:szCs w:val="22"/>
        </w:rPr>
        <w:t>e</w:t>
      </w:r>
      <w:r w:rsidR="00EB1E1B" w:rsidRPr="00A20240">
        <w:rPr>
          <w:szCs w:val="22"/>
        </w:rPr>
        <w:t xml:space="preserve"> using </w:t>
      </w:r>
      <w:r w:rsidR="00A20240" w:rsidRPr="00A20240">
        <w:rPr>
          <w:szCs w:val="22"/>
        </w:rPr>
        <w:t xml:space="preserve">the </w:t>
      </w:r>
      <w:r w:rsidR="00EB1E1B" w:rsidRPr="00A20240">
        <w:rPr>
          <w:szCs w:val="22"/>
        </w:rPr>
        <w:t>Intergovernmental Panel on Climate Change (IPCC) Fo</w:t>
      </w:r>
      <w:r w:rsidR="000B3E52">
        <w:rPr>
          <w:szCs w:val="22"/>
        </w:rPr>
        <w:t>u</w:t>
      </w:r>
      <w:r w:rsidR="00EB1E1B" w:rsidRPr="00A20240">
        <w:rPr>
          <w:szCs w:val="22"/>
        </w:rPr>
        <w:t>rth Assessment Report (AR4) GWP values</w:t>
      </w:r>
      <w:r w:rsidRPr="00A20240">
        <w:rPr>
          <w:szCs w:val="22"/>
        </w:rPr>
        <w:t>, against which future reductions in HFC use would be measured based on average consumption in the years 2008</w:t>
      </w:r>
      <w:r w:rsidR="00EB1E1B" w:rsidRPr="00A20240">
        <w:rPr>
          <w:szCs w:val="22"/>
        </w:rPr>
        <w:t xml:space="preserve">, 2009 and </w:t>
      </w:r>
      <w:r w:rsidRPr="00A20240">
        <w:rPr>
          <w:szCs w:val="22"/>
        </w:rPr>
        <w:t>2010</w:t>
      </w:r>
      <w:r w:rsidR="00EB1E1B" w:rsidRPr="00A20240">
        <w:rPr>
          <w:szCs w:val="22"/>
        </w:rPr>
        <w:t xml:space="preserve">. </w:t>
      </w:r>
      <w:r w:rsidRPr="00A20240">
        <w:rPr>
          <w:szCs w:val="22"/>
        </w:rPr>
        <w:t xml:space="preserve">Using the NAA scheme Australia’s baseline would start at </w:t>
      </w:r>
      <w:r w:rsidR="00913426">
        <w:rPr>
          <w:szCs w:val="22"/>
        </w:rPr>
        <w:t>almost</w:t>
      </w:r>
      <w:r w:rsidRPr="00A20240">
        <w:rPr>
          <w:szCs w:val="22"/>
        </w:rPr>
        <w:t xml:space="preserve"> 10 MT </w:t>
      </w:r>
      <w:r w:rsidRPr="00C10940">
        <w:rPr>
          <w:szCs w:val="22"/>
        </w:rPr>
        <w:t>CO</w:t>
      </w:r>
      <w:r w:rsidR="00977C4A" w:rsidRPr="001C7B87">
        <w:rPr>
          <w:szCs w:val="22"/>
          <w:vertAlign w:val="subscript"/>
        </w:rPr>
        <w:t>2</w:t>
      </w:r>
      <w:r w:rsidR="00C10940">
        <w:rPr>
          <w:szCs w:val="22"/>
        </w:rPr>
        <w:t>-</w:t>
      </w:r>
      <w:r w:rsidRPr="00C10940">
        <w:rPr>
          <w:szCs w:val="22"/>
        </w:rPr>
        <w:t>e</w:t>
      </w:r>
      <w:r w:rsidRPr="00A20240">
        <w:rPr>
          <w:szCs w:val="22"/>
        </w:rPr>
        <w:t xml:space="preserve"> p</w:t>
      </w:r>
      <w:r w:rsidR="00EB1E1B" w:rsidRPr="00A20240">
        <w:rPr>
          <w:szCs w:val="22"/>
        </w:rPr>
        <w:t>er annum.</w:t>
      </w:r>
    </w:p>
    <w:p w:rsidR="00AE774A" w:rsidRDefault="00AE774A" w:rsidP="00AE774A">
      <w:pPr>
        <w:rPr>
          <w:szCs w:val="22"/>
        </w:rPr>
      </w:pPr>
      <w:r>
        <w:rPr>
          <w:szCs w:val="22"/>
        </w:rPr>
        <w:t xml:space="preserve">Due to a mix of commercial and policy influences, it is estimated that if the NAA proposal had commenced in 2013, actual Australian consumption would have been lower than the baseline value at around 8.8 MT </w:t>
      </w:r>
      <w:r w:rsidRPr="00C10940">
        <w:rPr>
          <w:szCs w:val="22"/>
        </w:rPr>
        <w:t>CO</w:t>
      </w:r>
      <w:r w:rsidR="00977C4A" w:rsidRPr="001C7B87">
        <w:rPr>
          <w:szCs w:val="22"/>
          <w:vertAlign w:val="subscript"/>
        </w:rPr>
        <w:t>2</w:t>
      </w:r>
      <w:r w:rsidR="00C10940">
        <w:rPr>
          <w:szCs w:val="22"/>
        </w:rPr>
        <w:t>-</w:t>
      </w:r>
      <w:r w:rsidR="00EB1E1B" w:rsidRPr="00C10940">
        <w:rPr>
          <w:szCs w:val="22"/>
        </w:rPr>
        <w:t>e</w:t>
      </w:r>
      <w:r w:rsidR="00EB1E1B">
        <w:rPr>
          <w:szCs w:val="22"/>
        </w:rPr>
        <w:t xml:space="preserve"> per annum</w:t>
      </w:r>
      <w:r>
        <w:rPr>
          <w:szCs w:val="22"/>
        </w:rPr>
        <w:t>.</w:t>
      </w:r>
    </w:p>
    <w:p w:rsidR="00AE774A" w:rsidRDefault="00AE774A" w:rsidP="00AE774A">
      <w:pPr>
        <w:rPr>
          <w:szCs w:val="22"/>
        </w:rPr>
      </w:pPr>
      <w:r>
        <w:rPr>
          <w:szCs w:val="22"/>
        </w:rPr>
        <w:t>A number of significant technological trends already underway, as a result of international developments, such as the EU requirements for all new vehicle air</w:t>
      </w:r>
      <w:r w:rsidR="00612E95">
        <w:rPr>
          <w:szCs w:val="22"/>
        </w:rPr>
        <w:t xml:space="preserve"> </w:t>
      </w:r>
      <w:r>
        <w:rPr>
          <w:szCs w:val="22"/>
        </w:rPr>
        <w:t>conditioning to employ a refrigerant gas with a GWP &lt;150 by 2017, mean that a number of lower GWP alternatives are already being introduced to the market that should steadily reduce the CO</w:t>
      </w:r>
      <w:r w:rsidRPr="00A04381">
        <w:rPr>
          <w:szCs w:val="22"/>
          <w:vertAlign w:val="subscript"/>
        </w:rPr>
        <w:t>2</w:t>
      </w:r>
      <w:r>
        <w:rPr>
          <w:szCs w:val="22"/>
        </w:rPr>
        <w:t xml:space="preserve"> equivalent value of Australia’s annual HFC consumption</w:t>
      </w:r>
      <w:r w:rsidR="000B3E52">
        <w:rPr>
          <w:szCs w:val="22"/>
        </w:rPr>
        <w:t xml:space="preserve"> over time. The uptake of new technology can be encouraged or accelerated with a mix of incentives</w:t>
      </w:r>
      <w:r>
        <w:rPr>
          <w:szCs w:val="22"/>
        </w:rPr>
        <w:t>.</w:t>
      </w:r>
    </w:p>
    <w:p w:rsidR="00AE774A" w:rsidRDefault="00AE774A" w:rsidP="00AE774A">
      <w:pPr>
        <w:rPr>
          <w:szCs w:val="22"/>
        </w:rPr>
      </w:pPr>
      <w:r>
        <w:rPr>
          <w:szCs w:val="22"/>
        </w:rPr>
        <w:t>However in the face of an agreement to phase down reliance on high GWP HFCs, it is apparent that for the majority of present day uses of high GWP HFCs, viable low</w:t>
      </w:r>
      <w:r w:rsidR="00A20240">
        <w:rPr>
          <w:szCs w:val="22"/>
        </w:rPr>
        <w:t>er</w:t>
      </w:r>
      <w:r>
        <w:rPr>
          <w:szCs w:val="22"/>
        </w:rPr>
        <w:t xml:space="preserve"> and zero GWP natural and synthetic refrigerants, are either available now, or being readied for commercial release on the near horizon, within one to three years. </w:t>
      </w:r>
    </w:p>
    <w:p w:rsidR="00AE774A" w:rsidRDefault="00AE774A" w:rsidP="00AE774A">
      <w:pPr>
        <w:rPr>
          <w:szCs w:val="22"/>
        </w:rPr>
      </w:pPr>
      <w:r>
        <w:rPr>
          <w:szCs w:val="22"/>
        </w:rPr>
        <w:t>This is the case for the majority of refrigeration and air conditioning applications in the market and for smaller consumers of the chemicals, such as fire suppression systems, foam blowing, aerosols and other medical and industrial uses.</w:t>
      </w:r>
    </w:p>
    <w:p w:rsidR="00AE774A" w:rsidRDefault="00AE774A" w:rsidP="00AE774A">
      <w:pPr>
        <w:rPr>
          <w:szCs w:val="22"/>
        </w:rPr>
      </w:pPr>
      <w:r>
        <w:rPr>
          <w:szCs w:val="22"/>
        </w:rPr>
        <w:t xml:space="preserve">There are a very few demanding applications, such as in small fishing vessels that are typical of the Australian fishing fleet, where no obvious and immediate options are available, and technical work is needed to be able to deliver the services required with lower GWP gases. </w:t>
      </w:r>
    </w:p>
    <w:p w:rsidR="00AE774A" w:rsidRDefault="00AE774A" w:rsidP="00AE774A">
      <w:pPr>
        <w:rPr>
          <w:szCs w:val="22"/>
        </w:rPr>
      </w:pPr>
      <w:r>
        <w:rPr>
          <w:szCs w:val="22"/>
        </w:rPr>
        <w:t xml:space="preserve">Despite the assessed technical capacity to meet the requirements of a HFC phase down, there are industry standards, human resource and economic issues that also need attending to if Australia is to achieve a smooth transition of its </w:t>
      </w:r>
      <w:r w:rsidR="00C20DA7">
        <w:rPr>
          <w:szCs w:val="22"/>
        </w:rPr>
        <w:t xml:space="preserve">refrigerating and air conditioning </w:t>
      </w:r>
      <w:r>
        <w:rPr>
          <w:szCs w:val="22"/>
        </w:rPr>
        <w:t>industry through this next historical phase of change.</w:t>
      </w:r>
    </w:p>
    <w:p w:rsidR="00AE774A" w:rsidRDefault="00AE774A" w:rsidP="00AE774A">
      <w:pPr>
        <w:rPr>
          <w:szCs w:val="22"/>
        </w:rPr>
      </w:pPr>
      <w:r>
        <w:rPr>
          <w:szCs w:val="22"/>
        </w:rPr>
        <w:t>Possibly the most important consideration for the industry in planning for transition is the impact of the diversification, and the multiplication of refrigerant gases that is expected. This diversification includes, importantly, the introduction of mildly-flammable, and flammable gas charges across a wide range of applications, and potentially the introduction of many novel blends of a new generation of low</w:t>
      </w:r>
      <w:r w:rsidR="00C20DA7">
        <w:rPr>
          <w:szCs w:val="22"/>
        </w:rPr>
        <w:t>er</w:t>
      </w:r>
      <w:r>
        <w:rPr>
          <w:szCs w:val="22"/>
        </w:rPr>
        <w:t xml:space="preserve"> GWP HFCs. More than 50 new blends are reportedly being tested now. </w:t>
      </w:r>
    </w:p>
    <w:p w:rsidR="00AE774A" w:rsidRDefault="00AE774A" w:rsidP="00AE774A">
      <w:pPr>
        <w:rPr>
          <w:szCs w:val="22"/>
        </w:rPr>
      </w:pPr>
      <w:r>
        <w:rPr>
          <w:szCs w:val="22"/>
        </w:rPr>
        <w:t xml:space="preserve">This significant investment in new refrigerants, and the recent commercial release of lower GWP options for a number of applications, provides many pathways for migration of services and demand to lower GWP gases. Sector by sector analysis is provided in the body of the report identifying what are thought to be the most likely outcomes for the main application areas by 2025. </w:t>
      </w:r>
    </w:p>
    <w:p w:rsidR="00AE774A" w:rsidRDefault="00AE774A" w:rsidP="00AE774A">
      <w:pPr>
        <w:rPr>
          <w:szCs w:val="22"/>
        </w:rPr>
      </w:pPr>
      <w:r>
        <w:rPr>
          <w:szCs w:val="22"/>
        </w:rPr>
        <w:t>However, overall, the conclusions of this study are that there are no insurmountable obstacles for the Australian industry should it have to meet the requirements of an international HFC phase down, based on the NAA proposal</w:t>
      </w:r>
      <w:r w:rsidR="00C72A0D">
        <w:rPr>
          <w:szCs w:val="22"/>
        </w:rPr>
        <w:t xml:space="preserve"> and should appropriate national incentives to take up new technologies be provided</w:t>
      </w:r>
      <w:r>
        <w:rPr>
          <w:szCs w:val="22"/>
        </w:rPr>
        <w:t xml:space="preserve">. </w:t>
      </w:r>
    </w:p>
    <w:p w:rsidR="00F37CA8" w:rsidRDefault="00F37CA8" w:rsidP="000817D6">
      <w:pPr>
        <w:rPr>
          <w:szCs w:val="22"/>
        </w:rPr>
      </w:pPr>
    </w:p>
    <w:p w:rsidR="00F358A1" w:rsidRDefault="00F358A1" w:rsidP="000817D6">
      <w:pPr>
        <w:rPr>
          <w:szCs w:val="22"/>
        </w:rPr>
      </w:pPr>
    </w:p>
    <w:p w:rsidR="003937A5" w:rsidRPr="004E5B78" w:rsidRDefault="003937A5" w:rsidP="00ED5919">
      <w:pPr>
        <w:pStyle w:val="Heading1"/>
        <w:spacing w:before="0"/>
        <w:ind w:left="431" w:hanging="431"/>
      </w:pPr>
      <w:r w:rsidRPr="00AF3794">
        <w:rPr>
          <w:rFonts w:eastAsiaTheme="minorEastAsia"/>
          <w:lang w:val="en-GB"/>
        </w:rPr>
        <w:br w:type="page"/>
      </w:r>
      <w:bookmarkStart w:id="5" w:name="_Toc257359942"/>
      <w:r w:rsidR="00AF3794">
        <w:t>Introduction</w:t>
      </w:r>
      <w:bookmarkEnd w:id="5"/>
    </w:p>
    <w:p w:rsidR="00172CC7" w:rsidRPr="00DA35AA" w:rsidRDefault="00172CC7" w:rsidP="00DA35AA">
      <w:pPr>
        <w:rPr>
          <w:rFonts w:cs="Times New Roman"/>
        </w:rPr>
      </w:pPr>
      <w:r w:rsidRPr="00DA35AA">
        <w:rPr>
          <w:rFonts w:cs="Times New Roman"/>
        </w:rPr>
        <w:t xml:space="preserve">It appears </w:t>
      </w:r>
      <w:r w:rsidR="004735E1" w:rsidRPr="00DA35AA">
        <w:rPr>
          <w:rFonts w:cs="Times New Roman"/>
        </w:rPr>
        <w:t xml:space="preserve">likely </w:t>
      </w:r>
      <w:r w:rsidRPr="00DA35AA">
        <w:rPr>
          <w:rFonts w:cs="Times New Roman"/>
        </w:rPr>
        <w:t>that a global agreement will be achi</w:t>
      </w:r>
      <w:r w:rsidR="00C846B3" w:rsidRPr="00DA35AA">
        <w:rPr>
          <w:rFonts w:cs="Times New Roman"/>
        </w:rPr>
        <w:t>eved at some time in the</w:t>
      </w:r>
      <w:r w:rsidRPr="00DA35AA">
        <w:rPr>
          <w:rFonts w:cs="Times New Roman"/>
        </w:rPr>
        <w:t xml:space="preserve"> next few years to phase </w:t>
      </w:r>
      <w:r w:rsidR="00BC7FF8" w:rsidRPr="00DA35AA">
        <w:rPr>
          <w:rFonts w:cs="Times New Roman"/>
        </w:rPr>
        <w:t xml:space="preserve">down </w:t>
      </w:r>
      <w:r w:rsidRPr="00DA35AA">
        <w:rPr>
          <w:rFonts w:cs="Times New Roman"/>
        </w:rPr>
        <w:t>the use of hydrofluorocarbons (HFCs). It is</w:t>
      </w:r>
      <w:r w:rsidR="004735E1" w:rsidRPr="00DA35AA">
        <w:rPr>
          <w:rFonts w:cs="Times New Roman"/>
        </w:rPr>
        <w:t xml:space="preserve"> a</w:t>
      </w:r>
      <w:r w:rsidR="00157886" w:rsidRPr="00DA35AA">
        <w:rPr>
          <w:rFonts w:cs="Times New Roman"/>
        </w:rPr>
        <w:t>ls</w:t>
      </w:r>
      <w:r w:rsidR="004735E1" w:rsidRPr="00DA35AA">
        <w:rPr>
          <w:rFonts w:cs="Times New Roman"/>
        </w:rPr>
        <w:t xml:space="preserve">o </w:t>
      </w:r>
      <w:r w:rsidRPr="00DA35AA">
        <w:rPr>
          <w:rFonts w:cs="Times New Roman"/>
        </w:rPr>
        <w:t>likely that the Montreal Protocol will be the international mechanism employed for this task.</w:t>
      </w:r>
    </w:p>
    <w:p w:rsidR="005065CE" w:rsidRPr="00DA35AA" w:rsidRDefault="00172CC7" w:rsidP="00DA35AA">
      <w:pPr>
        <w:rPr>
          <w:rFonts w:cs="Times New Roman"/>
        </w:rPr>
      </w:pPr>
      <w:r w:rsidRPr="00DA35AA">
        <w:rPr>
          <w:rFonts w:cs="Times New Roman"/>
        </w:rPr>
        <w:t>HFCs</w:t>
      </w:r>
      <w:r w:rsidR="005065CE" w:rsidRPr="00DA35AA">
        <w:rPr>
          <w:rFonts w:cs="Times New Roman"/>
        </w:rPr>
        <w:t xml:space="preserve"> are a group of synthetic greenhouse gases (SGGs).  The global warming potential (GWP) of HFC gases varies from very low (GWP </w:t>
      </w:r>
      <w:r w:rsidR="00AB7B77" w:rsidRPr="00DA35AA">
        <w:rPr>
          <w:rFonts w:cs="Times New Roman"/>
        </w:rPr>
        <w:t xml:space="preserve">of </w:t>
      </w:r>
      <w:r w:rsidR="005065CE" w:rsidRPr="00DA35AA">
        <w:rPr>
          <w:rFonts w:cs="Times New Roman"/>
        </w:rPr>
        <w:t>1</w:t>
      </w:r>
      <w:r w:rsidR="003F4567" w:rsidRPr="00DA35AA">
        <w:rPr>
          <w:rFonts w:cs="Times New Roman"/>
        </w:rPr>
        <w:t xml:space="preserve"> to </w:t>
      </w:r>
      <w:r w:rsidR="005065CE" w:rsidRPr="00DA35AA">
        <w:rPr>
          <w:rFonts w:cs="Times New Roman"/>
        </w:rPr>
        <w:t xml:space="preserve">6 in the case of the newer generation of unsaturated HFCs, referred to </w:t>
      </w:r>
      <w:r w:rsidR="00AB7B77" w:rsidRPr="00DA35AA">
        <w:rPr>
          <w:rFonts w:cs="Times New Roman"/>
        </w:rPr>
        <w:t xml:space="preserve">in this report </w:t>
      </w:r>
      <w:r w:rsidR="005065CE" w:rsidRPr="00DA35AA">
        <w:rPr>
          <w:rFonts w:cs="Times New Roman"/>
        </w:rPr>
        <w:t>as HFOs) to very high (GWP </w:t>
      </w:r>
      <w:r w:rsidR="00AB7B77" w:rsidRPr="00DA35AA">
        <w:rPr>
          <w:rFonts w:cs="Times New Roman"/>
        </w:rPr>
        <w:t xml:space="preserve">of </w:t>
      </w:r>
      <w:r w:rsidR="005065CE" w:rsidRPr="00DA35AA">
        <w:rPr>
          <w:rFonts w:cs="Times New Roman"/>
        </w:rPr>
        <w:t>14,760).  HFCs are used primarily as refrigerant gases in refrigeration and air conditioning equipment (RAC), replacing chlorofluorocarbons (CFCs) and hydrochlorofluorocarbons (HCFCs).  HFCs can also replace CFCs and HCFCs in the production of foams and can be used in aerosols, as fire extinguishing agents, solvents and medical aerosol applications.  CFCs and HCFCs have been phased out, or are subject to phase</w:t>
      </w:r>
      <w:r w:rsidR="00BC7FF8" w:rsidRPr="00DA35AA">
        <w:rPr>
          <w:rFonts w:cs="Times New Roman"/>
        </w:rPr>
        <w:t xml:space="preserve"> </w:t>
      </w:r>
      <w:r w:rsidR="005065CE" w:rsidRPr="00DA35AA">
        <w:rPr>
          <w:rFonts w:cs="Times New Roman"/>
        </w:rPr>
        <w:t>out timetables under the Montreal Protocol on Substances that Deplete the Ozone Layer (the Montreal Protocol).</w:t>
      </w:r>
    </w:p>
    <w:p w:rsidR="005065CE" w:rsidRPr="00DA35AA" w:rsidRDefault="005065CE" w:rsidP="00DA35AA">
      <w:pPr>
        <w:rPr>
          <w:rFonts w:cs="Times New Roman"/>
        </w:rPr>
      </w:pPr>
      <w:r w:rsidRPr="00DA35AA">
        <w:rPr>
          <w:rFonts w:cs="Times New Roman"/>
        </w:rPr>
        <w:t xml:space="preserve">Australia is party to the Montreal Protocol and implements its obligations through the </w:t>
      </w:r>
      <w:r w:rsidRPr="00DA35AA">
        <w:rPr>
          <w:rFonts w:cs="Times New Roman"/>
          <w:i/>
        </w:rPr>
        <w:t xml:space="preserve">Ozone Protection and Synthetic Greenhouse Gas Management Act 1989 </w:t>
      </w:r>
      <w:r w:rsidRPr="00DA35AA">
        <w:rPr>
          <w:rFonts w:cs="Times New Roman"/>
        </w:rPr>
        <w:t xml:space="preserve">(the Act). The Act not only regulates the management of ozone depleting substances (ODS) in Australia, but also regulates the import, export, manufacture, use and disposal of SGGs in Australia, which were developed as replacements for ODS.  </w:t>
      </w:r>
    </w:p>
    <w:p w:rsidR="005065CE" w:rsidRPr="00DA35AA" w:rsidRDefault="009B6B84" w:rsidP="00DA35AA">
      <w:pPr>
        <w:rPr>
          <w:rFonts w:cs="Times New Roman"/>
        </w:rPr>
      </w:pPr>
      <w:r w:rsidRPr="00DA35AA">
        <w:rPr>
          <w:rFonts w:cs="Times New Roman"/>
        </w:rPr>
        <w:t xml:space="preserve">Internationally, annual SGGs emissions are reported to the </w:t>
      </w:r>
      <w:r w:rsidR="00241A9B">
        <w:rPr>
          <w:rFonts w:cs="Times New Roman"/>
        </w:rPr>
        <w:t>United Nations</w:t>
      </w:r>
      <w:r w:rsidR="00241A9B" w:rsidRPr="00DA35AA">
        <w:rPr>
          <w:rFonts w:cs="Times New Roman"/>
        </w:rPr>
        <w:t xml:space="preserve"> </w:t>
      </w:r>
      <w:r w:rsidRPr="00DA35AA">
        <w:rPr>
          <w:rFonts w:cs="Times New Roman"/>
        </w:rPr>
        <w:t>Framework Convention on Climate Change (UNFCCC) and its Kyoto Protocol. The Government has committed to reduce Australia’s emissions to 5% below 2000 levels by 2020.</w:t>
      </w:r>
    </w:p>
    <w:p w:rsidR="005065CE" w:rsidRPr="00DA35AA" w:rsidRDefault="005065CE" w:rsidP="00DA35AA">
      <w:pPr>
        <w:rPr>
          <w:rFonts w:cs="Times New Roman"/>
        </w:rPr>
      </w:pPr>
      <w:r w:rsidRPr="00DA35AA">
        <w:rPr>
          <w:rFonts w:cs="Times New Roman"/>
        </w:rPr>
        <w:t>Under the Act a licence is required to manufacture and import bulk HFCs and to import HFCs contained in equipment.  This facilitates collection of import data to calculate Australian emissions.  End use controls are in place for HFCs in the refrigeration and air conditioning and fire protection sectors to reduce emissions. Australia currently has no import limits for HFCs.</w:t>
      </w:r>
    </w:p>
    <w:p w:rsidR="00172CC7" w:rsidRPr="00DA35AA" w:rsidRDefault="005065CE" w:rsidP="00DA35AA">
      <w:pPr>
        <w:rPr>
          <w:rFonts w:cs="Times New Roman"/>
        </w:rPr>
      </w:pPr>
      <w:r w:rsidRPr="00DA35AA">
        <w:rPr>
          <w:rFonts w:cs="Times New Roman"/>
        </w:rPr>
        <w:t>For the last five years, proposals have been made by North America (USA, Canada and Mexico) and the Federated States of Micronesia to regulate a phase</w:t>
      </w:r>
      <w:r w:rsidR="00BC7FF8" w:rsidRPr="00DA35AA">
        <w:rPr>
          <w:rFonts w:cs="Times New Roman"/>
        </w:rPr>
        <w:t xml:space="preserve"> </w:t>
      </w:r>
      <w:r w:rsidRPr="00DA35AA">
        <w:rPr>
          <w:rFonts w:cs="Times New Roman"/>
        </w:rPr>
        <w:t>down of HFCs under the Montreal Protocol. A phase</w:t>
      </w:r>
      <w:r w:rsidR="00BC7FF8" w:rsidRPr="00DA35AA">
        <w:rPr>
          <w:rFonts w:cs="Times New Roman"/>
        </w:rPr>
        <w:t xml:space="preserve"> </w:t>
      </w:r>
      <w:r w:rsidRPr="00DA35AA">
        <w:rPr>
          <w:rFonts w:cs="Times New Roman"/>
        </w:rPr>
        <w:t xml:space="preserve">down under the Montreal Protocol </w:t>
      </w:r>
      <w:r w:rsidR="00157886" w:rsidRPr="00DA35AA">
        <w:rPr>
          <w:rFonts w:cs="Times New Roman"/>
        </w:rPr>
        <w:t xml:space="preserve">would </w:t>
      </w:r>
      <w:r w:rsidRPr="00DA35AA">
        <w:rPr>
          <w:rFonts w:cs="Times New Roman"/>
        </w:rPr>
        <w:t xml:space="preserve">avoid </w:t>
      </w:r>
      <w:r w:rsidR="00172CC7" w:rsidRPr="00DA35AA">
        <w:rPr>
          <w:rFonts w:cs="Times New Roman"/>
        </w:rPr>
        <w:t xml:space="preserve">the widespread adoption </w:t>
      </w:r>
      <w:r w:rsidRPr="00DA35AA">
        <w:rPr>
          <w:rFonts w:cs="Times New Roman"/>
        </w:rPr>
        <w:t>of HFCs by developing countries</w:t>
      </w:r>
      <w:r w:rsidR="00172CC7" w:rsidRPr="00DA35AA">
        <w:rPr>
          <w:rFonts w:cs="Times New Roman"/>
        </w:rPr>
        <w:t>, and thereby avoid the risk of</w:t>
      </w:r>
      <w:r w:rsidRPr="00DA35AA">
        <w:rPr>
          <w:rFonts w:cs="Times New Roman"/>
        </w:rPr>
        <w:t xml:space="preserve"> emissions of more than 90 </w:t>
      </w:r>
      <w:r w:rsidR="001E6BB5" w:rsidRPr="00DA35AA">
        <w:rPr>
          <w:rFonts w:cs="Times New Roman"/>
        </w:rPr>
        <w:t>G</w:t>
      </w:r>
      <w:r w:rsidRPr="00DA35AA">
        <w:rPr>
          <w:rFonts w:cs="Times New Roman"/>
        </w:rPr>
        <w:t>iga tonnes CO</w:t>
      </w:r>
      <w:r w:rsidR="00977C4A" w:rsidRPr="00F51E53">
        <w:rPr>
          <w:rFonts w:cs="Times New Roman"/>
          <w:vertAlign w:val="subscript"/>
        </w:rPr>
        <w:t>2</w:t>
      </w:r>
      <w:r w:rsidR="00C10940">
        <w:rPr>
          <w:rFonts w:cs="Times New Roman"/>
        </w:rPr>
        <w:t>-</w:t>
      </w:r>
      <w:r w:rsidRPr="00DA35AA">
        <w:rPr>
          <w:rFonts w:cs="Times New Roman"/>
        </w:rPr>
        <w:t>e by 2050 – equivalent to two years of total global greenhouse gas emissions</w:t>
      </w:r>
      <w:r w:rsidR="00C841D5" w:rsidRPr="00DA35AA">
        <w:rPr>
          <w:rFonts w:cs="Times New Roman"/>
        </w:rPr>
        <w:t xml:space="preserve"> (</w:t>
      </w:r>
      <w:r w:rsidR="00F9200C" w:rsidRPr="00DA35AA">
        <w:rPr>
          <w:rFonts w:cs="Times New Roman"/>
        </w:rPr>
        <w:t>US EPA 2013</w:t>
      </w:r>
      <w:r w:rsidR="00C841D5" w:rsidRPr="00DA35AA">
        <w:rPr>
          <w:rFonts w:cs="Times New Roman"/>
        </w:rPr>
        <w:t>)</w:t>
      </w:r>
      <w:r w:rsidRPr="00DA35AA">
        <w:rPr>
          <w:rFonts w:cs="Times New Roman"/>
        </w:rPr>
        <w:t xml:space="preserve">. </w:t>
      </w:r>
    </w:p>
    <w:p w:rsidR="005065CE" w:rsidRDefault="008F2CD7" w:rsidP="008F2CD7">
      <w:pPr>
        <w:rPr>
          <w:rFonts w:cs="Times New Roman"/>
          <w:szCs w:val="22"/>
        </w:rPr>
      </w:pPr>
      <w:r w:rsidRPr="0039607F">
        <w:rPr>
          <w:rFonts w:cs="Times New Roman"/>
          <w:szCs w:val="22"/>
        </w:rPr>
        <w:t xml:space="preserve">This report examines the capacity of the Australian industry to meet the requirements of one proposal that is being actively considered for such a phase </w:t>
      </w:r>
      <w:r w:rsidR="00A27686">
        <w:rPr>
          <w:rFonts w:cs="Times New Roman"/>
          <w:szCs w:val="22"/>
        </w:rPr>
        <w:t>down</w:t>
      </w:r>
      <w:r w:rsidRPr="0039607F">
        <w:rPr>
          <w:rFonts w:cs="Times New Roman"/>
          <w:szCs w:val="22"/>
        </w:rPr>
        <w:t>, the North American Amen</w:t>
      </w:r>
      <w:r>
        <w:rPr>
          <w:rFonts w:cs="Times New Roman"/>
          <w:szCs w:val="22"/>
        </w:rPr>
        <w:t>dment (NAA) proposal</w:t>
      </w:r>
      <w:r w:rsidRPr="0039607F">
        <w:rPr>
          <w:rFonts w:cs="Times New Roman"/>
          <w:szCs w:val="22"/>
        </w:rPr>
        <w:t xml:space="preserve">.  </w:t>
      </w:r>
      <w:r w:rsidR="00A27686">
        <w:rPr>
          <w:rFonts w:cs="Times New Roman"/>
          <w:szCs w:val="22"/>
        </w:rPr>
        <w:t>The latest</w:t>
      </w:r>
      <w:r w:rsidRPr="0039607F">
        <w:rPr>
          <w:rFonts w:cs="Times New Roman"/>
          <w:szCs w:val="22"/>
        </w:rPr>
        <w:t xml:space="preserve"> version of the NAA </w:t>
      </w:r>
      <w:r>
        <w:rPr>
          <w:rFonts w:cs="Times New Roman"/>
          <w:szCs w:val="22"/>
        </w:rPr>
        <w:t xml:space="preserve">proposal </w:t>
      </w:r>
      <w:r w:rsidRPr="0039607F">
        <w:rPr>
          <w:rFonts w:cs="Times New Roman"/>
          <w:szCs w:val="22"/>
        </w:rPr>
        <w:t xml:space="preserve">was </w:t>
      </w:r>
      <w:r w:rsidR="003E32D8">
        <w:rPr>
          <w:rFonts w:cs="Times New Roman"/>
          <w:szCs w:val="22"/>
        </w:rPr>
        <w:t>considered by</w:t>
      </w:r>
      <w:r w:rsidRPr="0039607F">
        <w:rPr>
          <w:rFonts w:cs="Times New Roman"/>
          <w:szCs w:val="22"/>
        </w:rPr>
        <w:t xml:space="preserve"> the 25th Meeting of the Parties of the Montreal Protocol in October 2013</w:t>
      </w:r>
      <w:r w:rsidR="00172CC7">
        <w:rPr>
          <w:rFonts w:cs="Times New Roman"/>
          <w:szCs w:val="22"/>
        </w:rPr>
        <w:t>. This provides a good test case against which to assess Australia’s ability to meet any future HFC phase</w:t>
      </w:r>
      <w:r w:rsidR="00BC7FF8">
        <w:rPr>
          <w:rFonts w:cs="Times New Roman"/>
          <w:szCs w:val="22"/>
        </w:rPr>
        <w:t xml:space="preserve"> </w:t>
      </w:r>
      <w:r w:rsidR="00172CC7">
        <w:rPr>
          <w:rFonts w:cs="Times New Roman"/>
          <w:szCs w:val="22"/>
        </w:rPr>
        <w:t>down program</w:t>
      </w:r>
      <w:r w:rsidRPr="0039607F">
        <w:rPr>
          <w:rFonts w:cs="Times New Roman"/>
          <w:szCs w:val="22"/>
        </w:rPr>
        <w:t>.</w:t>
      </w:r>
    </w:p>
    <w:p w:rsidR="005A5BC7" w:rsidRDefault="00172CC7" w:rsidP="00172CC7">
      <w:pPr>
        <w:rPr>
          <w:szCs w:val="22"/>
        </w:rPr>
      </w:pPr>
      <w:r w:rsidRPr="00EA6CCB">
        <w:rPr>
          <w:szCs w:val="22"/>
        </w:rPr>
        <w:t>Key d</w:t>
      </w:r>
      <w:r>
        <w:rPr>
          <w:szCs w:val="22"/>
        </w:rPr>
        <w:t>etails of both the NAA proposal, and the Federated States of Micronesia</w:t>
      </w:r>
      <w:r w:rsidRPr="00EA6CCB">
        <w:rPr>
          <w:szCs w:val="22"/>
        </w:rPr>
        <w:t xml:space="preserve"> </w:t>
      </w:r>
      <w:r w:rsidR="003E32D8">
        <w:rPr>
          <w:szCs w:val="22"/>
        </w:rPr>
        <w:t xml:space="preserve">proposal </w:t>
      </w:r>
      <w:r w:rsidRPr="00EA6CCB">
        <w:rPr>
          <w:szCs w:val="22"/>
        </w:rPr>
        <w:t xml:space="preserve">are provided in </w:t>
      </w:r>
      <w:r w:rsidR="00FE41C2" w:rsidRPr="002E6AC8">
        <w:rPr>
          <w:i/>
          <w:szCs w:val="22"/>
        </w:rPr>
        <w:t>Appendix A</w:t>
      </w:r>
      <w:r w:rsidRPr="00EA6CCB">
        <w:rPr>
          <w:szCs w:val="22"/>
        </w:rPr>
        <w:t xml:space="preserve">. </w:t>
      </w:r>
    </w:p>
    <w:p w:rsidR="00027A98" w:rsidRPr="0041629F" w:rsidRDefault="00027A98" w:rsidP="00027A98">
      <w:pPr>
        <w:spacing w:before="240"/>
        <w:rPr>
          <w:rFonts w:cs="Times New Roman"/>
          <w:b/>
          <w:szCs w:val="22"/>
        </w:rPr>
      </w:pPr>
      <w:r w:rsidRPr="0041629F">
        <w:rPr>
          <w:rFonts w:cs="Times New Roman"/>
          <w:b/>
          <w:szCs w:val="22"/>
        </w:rPr>
        <w:t>Notes on Global Warming Potential (GWP)</w:t>
      </w:r>
      <w:r>
        <w:rPr>
          <w:rFonts w:cs="Times New Roman"/>
          <w:b/>
          <w:szCs w:val="22"/>
        </w:rPr>
        <w:t xml:space="preserve"> of Refrigerant Gases</w:t>
      </w:r>
    </w:p>
    <w:p w:rsidR="00027A98" w:rsidRPr="0039607F" w:rsidRDefault="00027A98" w:rsidP="00027A98">
      <w:pPr>
        <w:rPr>
          <w:rFonts w:cs="Times New Roman"/>
          <w:szCs w:val="22"/>
        </w:rPr>
      </w:pPr>
      <w:r w:rsidRPr="0039607F">
        <w:rPr>
          <w:rFonts w:cs="Times New Roman"/>
          <w:szCs w:val="22"/>
        </w:rPr>
        <w:t xml:space="preserve">This report often refers to the global warming potential (GWP) value of the various gases that are the subject of this study. </w:t>
      </w:r>
    </w:p>
    <w:p w:rsidR="00027A98" w:rsidRPr="0039607F" w:rsidRDefault="00027A98" w:rsidP="00027A98">
      <w:pPr>
        <w:rPr>
          <w:rFonts w:cs="Times New Roman"/>
          <w:szCs w:val="22"/>
        </w:rPr>
      </w:pPr>
      <w:r w:rsidRPr="0039607F">
        <w:rPr>
          <w:rFonts w:cs="Times New Roman"/>
          <w:szCs w:val="22"/>
        </w:rPr>
        <w:t>Australia’s legally binding emission obligations under the Kyoto Protocol are calculated based on the GWP value</w:t>
      </w:r>
      <w:r w:rsidR="004735E1">
        <w:rPr>
          <w:rFonts w:cs="Times New Roman"/>
          <w:szCs w:val="22"/>
        </w:rPr>
        <w:t>s</w:t>
      </w:r>
      <w:r w:rsidRPr="0039607F">
        <w:rPr>
          <w:rFonts w:cs="Times New Roman"/>
          <w:szCs w:val="22"/>
        </w:rPr>
        <w:t xml:space="preserve"> published in the Second Assessment Report (AR2) of the International Panel on Climate Change</w:t>
      </w:r>
      <w:r w:rsidR="00542C7C">
        <w:rPr>
          <w:rFonts w:cs="Times New Roman"/>
          <w:szCs w:val="22"/>
        </w:rPr>
        <w:t xml:space="preserve"> (IPCC)</w:t>
      </w:r>
      <w:r w:rsidRPr="0039607F">
        <w:rPr>
          <w:rFonts w:cs="Times New Roman"/>
          <w:szCs w:val="22"/>
        </w:rPr>
        <w:t xml:space="preserve"> released in 1996. Therefore Australian legislation, including the Ozone Protection and Synthetic Greenhouse Gas Management Act (OPSGGMA), also cite</w:t>
      </w:r>
      <w:r w:rsidR="004735E1">
        <w:rPr>
          <w:rFonts w:cs="Times New Roman"/>
          <w:szCs w:val="22"/>
        </w:rPr>
        <w:t>s</w:t>
      </w:r>
      <w:r w:rsidRPr="0039607F">
        <w:rPr>
          <w:rFonts w:cs="Times New Roman"/>
          <w:szCs w:val="22"/>
        </w:rPr>
        <w:t xml:space="preserve"> GWPs from AR2. </w:t>
      </w:r>
    </w:p>
    <w:p w:rsidR="00027A98" w:rsidRPr="0039607F" w:rsidRDefault="00027A98" w:rsidP="00027A98">
      <w:pPr>
        <w:rPr>
          <w:rFonts w:cs="Times New Roman"/>
          <w:szCs w:val="22"/>
        </w:rPr>
      </w:pPr>
      <w:r>
        <w:rPr>
          <w:rFonts w:cs="Times New Roman"/>
          <w:szCs w:val="22"/>
        </w:rPr>
        <w:t>However revised</w:t>
      </w:r>
      <w:r w:rsidRPr="0039607F">
        <w:rPr>
          <w:rFonts w:cs="Times New Roman"/>
          <w:szCs w:val="22"/>
        </w:rPr>
        <w:t xml:space="preserve"> GWP values were reported in the Fourth Assessment Report (AR4) in 2007</w:t>
      </w:r>
      <w:r>
        <w:rPr>
          <w:rFonts w:cs="Times New Roman"/>
          <w:szCs w:val="22"/>
        </w:rPr>
        <w:t xml:space="preserve">. </w:t>
      </w:r>
      <w:r w:rsidR="0076206D">
        <w:rPr>
          <w:rFonts w:cs="Times New Roman"/>
          <w:szCs w:val="22"/>
        </w:rPr>
        <w:t>The 2</w:t>
      </w:r>
      <w:r w:rsidR="000E577B" w:rsidRPr="000E577B">
        <w:rPr>
          <w:rFonts w:cs="Times New Roman"/>
          <w:szCs w:val="22"/>
          <w:vertAlign w:val="superscript"/>
        </w:rPr>
        <w:t>nd</w:t>
      </w:r>
      <w:r w:rsidR="0076206D">
        <w:rPr>
          <w:rFonts w:cs="Times New Roman"/>
          <w:szCs w:val="22"/>
        </w:rPr>
        <w:t xml:space="preserve"> Kyoto Protocol commitment period</w:t>
      </w:r>
      <w:r w:rsidR="00BC7FF8">
        <w:rPr>
          <w:rFonts w:cs="Times New Roman"/>
          <w:szCs w:val="22"/>
        </w:rPr>
        <w:t xml:space="preserve"> is based on AR4 values and Australia will take on these values from 2015.</w:t>
      </w:r>
      <w:r w:rsidR="0076206D">
        <w:rPr>
          <w:rFonts w:cs="Times New Roman"/>
          <w:szCs w:val="22"/>
        </w:rPr>
        <w:t xml:space="preserve"> </w:t>
      </w:r>
      <w:r w:rsidRPr="0039607F">
        <w:rPr>
          <w:rFonts w:cs="Times New Roman"/>
          <w:szCs w:val="22"/>
        </w:rPr>
        <w:t>As the NAA proposal is based on AR4 values, to reduce any confusion that using unfamiliar GWP values may cause, this analysis reports both AR2 and AR4 GWP values</w:t>
      </w:r>
      <w:r>
        <w:rPr>
          <w:rFonts w:cs="Times New Roman"/>
          <w:szCs w:val="22"/>
        </w:rPr>
        <w:t xml:space="preserve"> in the following or similar manner: HFC</w:t>
      </w:r>
      <w:r w:rsidR="00B47CF0">
        <w:rPr>
          <w:rFonts w:cs="Times New Roman"/>
          <w:szCs w:val="22"/>
        </w:rPr>
        <w:t>-</w:t>
      </w:r>
      <w:r>
        <w:rPr>
          <w:rFonts w:cs="Times New Roman"/>
          <w:szCs w:val="22"/>
        </w:rPr>
        <w:t xml:space="preserve">134a (GWP </w:t>
      </w:r>
      <w:r w:rsidR="00B47CF0">
        <w:rPr>
          <w:rFonts w:cs="Times New Roman"/>
          <w:szCs w:val="22"/>
        </w:rPr>
        <w:t xml:space="preserve">of </w:t>
      </w:r>
      <w:r>
        <w:rPr>
          <w:rFonts w:cs="Times New Roman"/>
          <w:szCs w:val="22"/>
        </w:rPr>
        <w:t xml:space="preserve">1300/1430 - </w:t>
      </w:r>
      <w:r w:rsidRPr="0039607F">
        <w:rPr>
          <w:rFonts w:cs="Times New Roman"/>
          <w:szCs w:val="22"/>
        </w:rPr>
        <w:t>AR2/AR4</w:t>
      </w:r>
      <w:r>
        <w:rPr>
          <w:rFonts w:cs="Times New Roman"/>
          <w:szCs w:val="22"/>
        </w:rPr>
        <w:t>)</w:t>
      </w:r>
      <w:r w:rsidRPr="0039607F">
        <w:rPr>
          <w:rFonts w:cs="Times New Roman"/>
          <w:szCs w:val="22"/>
        </w:rPr>
        <w:t>.</w:t>
      </w:r>
    </w:p>
    <w:p w:rsidR="00027A98" w:rsidRDefault="00027A98" w:rsidP="00027A98">
      <w:pPr>
        <w:rPr>
          <w:rFonts w:cs="Times New Roman"/>
          <w:szCs w:val="22"/>
        </w:rPr>
      </w:pPr>
      <w:r w:rsidRPr="0039607F">
        <w:rPr>
          <w:rFonts w:cs="Times New Roman"/>
          <w:szCs w:val="22"/>
        </w:rPr>
        <w:t xml:space="preserve">Where gases that were not included in the AR2 assessment are referred to, the AR4 value is used, and that is noted in a superscript after </w:t>
      </w:r>
      <w:r>
        <w:rPr>
          <w:rFonts w:cs="Times New Roman"/>
          <w:szCs w:val="22"/>
        </w:rPr>
        <w:t xml:space="preserve">GWP </w:t>
      </w:r>
      <w:r w:rsidRPr="0039607F">
        <w:rPr>
          <w:rFonts w:cs="Times New Roman"/>
          <w:szCs w:val="22"/>
        </w:rPr>
        <w:t>(e.g. GWP</w:t>
      </w:r>
      <w:r w:rsidRPr="00466120">
        <w:rPr>
          <w:rFonts w:cs="Times New Roman"/>
          <w:szCs w:val="22"/>
          <w:vertAlign w:val="superscript"/>
        </w:rPr>
        <w:t>AR4</w:t>
      </w:r>
      <w:r w:rsidRPr="0039607F">
        <w:rPr>
          <w:rFonts w:cs="Times New Roman"/>
          <w:szCs w:val="22"/>
        </w:rPr>
        <w:t xml:space="preserve"> of HFC-245fa is 1030). A new class of substances that feature prominently in this report</w:t>
      </w:r>
      <w:r>
        <w:rPr>
          <w:rFonts w:cs="Times New Roman"/>
          <w:szCs w:val="22"/>
        </w:rPr>
        <w:t xml:space="preserve"> are </w:t>
      </w:r>
      <w:r w:rsidRPr="0039607F">
        <w:rPr>
          <w:rFonts w:cs="Times New Roman"/>
          <w:szCs w:val="22"/>
        </w:rPr>
        <w:t xml:space="preserve">the very low GWP </w:t>
      </w:r>
      <w:r>
        <w:rPr>
          <w:rFonts w:cs="Times New Roman"/>
          <w:szCs w:val="22"/>
        </w:rPr>
        <w:t xml:space="preserve">unsaturated HFCs </w:t>
      </w:r>
      <w:r w:rsidRPr="00B25209">
        <w:rPr>
          <w:rFonts w:cs="Times New Roman"/>
          <w:szCs w:val="22"/>
        </w:rPr>
        <w:t>known as hydrofluoro-olefins (HFOs</w:t>
      </w:r>
      <w:r>
        <w:rPr>
          <w:rFonts w:cs="Times New Roman"/>
          <w:szCs w:val="22"/>
        </w:rPr>
        <w:t xml:space="preserve">) that </w:t>
      </w:r>
      <w:r w:rsidRPr="0039607F">
        <w:rPr>
          <w:rFonts w:cs="Times New Roman"/>
          <w:szCs w:val="22"/>
        </w:rPr>
        <w:t>were not available at the time of publication of AR4. As such the GWPs attributed to HFOs and HFO blends that are discussed herein are based on industry data</w:t>
      </w:r>
      <w:r w:rsidR="00C841D5">
        <w:rPr>
          <w:rFonts w:cs="Times New Roman"/>
          <w:szCs w:val="22"/>
        </w:rPr>
        <w:t xml:space="preserve">. The </w:t>
      </w:r>
      <w:r>
        <w:rPr>
          <w:rFonts w:cs="Times New Roman"/>
          <w:szCs w:val="22"/>
        </w:rPr>
        <w:t>fifth assessment report</w:t>
      </w:r>
      <w:r w:rsidR="00C841D5">
        <w:rPr>
          <w:rFonts w:cs="Times New Roman"/>
          <w:szCs w:val="22"/>
        </w:rPr>
        <w:t xml:space="preserve"> is still in draft, and has not been used in this report</w:t>
      </w:r>
      <w:r>
        <w:rPr>
          <w:rFonts w:cs="Times New Roman"/>
          <w:szCs w:val="22"/>
        </w:rPr>
        <w:t>.</w:t>
      </w:r>
    </w:p>
    <w:p w:rsidR="005065CE" w:rsidRPr="0039607F" w:rsidRDefault="005065CE" w:rsidP="008F2CD7">
      <w:pPr>
        <w:rPr>
          <w:rFonts w:cs="Times New Roman"/>
          <w:szCs w:val="22"/>
        </w:rPr>
      </w:pPr>
    </w:p>
    <w:p w:rsidR="008F2CD7" w:rsidRPr="00462F73" w:rsidRDefault="00436A8E" w:rsidP="008F2CD7">
      <w:pPr>
        <w:pStyle w:val="Heading2"/>
        <w:ind w:left="576"/>
      </w:pPr>
      <w:bookmarkStart w:id="6" w:name="_Toc257359943"/>
      <w:r>
        <w:t>Development of HFCs</w:t>
      </w:r>
      <w:bookmarkEnd w:id="6"/>
    </w:p>
    <w:p w:rsidR="008F2CD7" w:rsidRDefault="008F2CD7" w:rsidP="008F2CD7">
      <w:pPr>
        <w:rPr>
          <w:rFonts w:cs="Times New Roman"/>
          <w:szCs w:val="22"/>
        </w:rPr>
      </w:pPr>
      <w:r w:rsidRPr="0082378A">
        <w:rPr>
          <w:rFonts w:cs="Times New Roman"/>
          <w:szCs w:val="22"/>
        </w:rPr>
        <w:t xml:space="preserve">Following ratification of the Montreal Protocol in 1989, and the commencement of the </w:t>
      </w:r>
      <w:r>
        <w:rPr>
          <w:rFonts w:cs="Times New Roman"/>
          <w:szCs w:val="22"/>
        </w:rPr>
        <w:t xml:space="preserve">phase out of </w:t>
      </w:r>
      <w:r w:rsidRPr="0082378A">
        <w:rPr>
          <w:rFonts w:cs="Times New Roman"/>
          <w:szCs w:val="22"/>
        </w:rPr>
        <w:t>HCFC</w:t>
      </w:r>
      <w:r w:rsidR="003E32D8">
        <w:rPr>
          <w:rFonts w:cs="Times New Roman"/>
          <w:szCs w:val="22"/>
        </w:rPr>
        <w:t>s</w:t>
      </w:r>
      <w:r w:rsidRPr="0082378A">
        <w:rPr>
          <w:rFonts w:cs="Times New Roman"/>
          <w:szCs w:val="22"/>
        </w:rPr>
        <w:t xml:space="preserve">, several different types of HFCs were developed, and HFC blends were created to supply gases with different properties, ensuring that there was a HFC suitable for the majority of refrigeration and air conditioning </w:t>
      </w:r>
      <w:r>
        <w:rPr>
          <w:rFonts w:cs="Times New Roman"/>
          <w:szCs w:val="22"/>
        </w:rPr>
        <w:t xml:space="preserve">(RAC) </w:t>
      </w:r>
      <w:r w:rsidRPr="0082378A">
        <w:rPr>
          <w:rFonts w:cs="Times New Roman"/>
          <w:szCs w:val="22"/>
        </w:rPr>
        <w:t xml:space="preserve">applications. </w:t>
      </w:r>
    </w:p>
    <w:p w:rsidR="00436A8E" w:rsidRPr="0082378A" w:rsidRDefault="00436A8E" w:rsidP="00436A8E">
      <w:pPr>
        <w:rPr>
          <w:rFonts w:cs="Times New Roman"/>
          <w:szCs w:val="22"/>
        </w:rPr>
      </w:pPr>
      <w:r>
        <w:rPr>
          <w:rFonts w:cs="Times New Roman"/>
          <w:szCs w:val="22"/>
        </w:rPr>
        <w:t>As a result, s</w:t>
      </w:r>
      <w:r w:rsidRPr="0082378A">
        <w:rPr>
          <w:rFonts w:cs="Times New Roman"/>
          <w:szCs w:val="22"/>
        </w:rPr>
        <w:t>ince the early 1990s HFCs have taken over many, but not all, of the largest air conditioning and refrigeration applications</w:t>
      </w:r>
      <w:r>
        <w:rPr>
          <w:rFonts w:cs="Times New Roman"/>
          <w:szCs w:val="22"/>
        </w:rPr>
        <w:t>,</w:t>
      </w:r>
      <w:r w:rsidRPr="0082378A">
        <w:rPr>
          <w:rFonts w:cs="Times New Roman"/>
          <w:szCs w:val="22"/>
        </w:rPr>
        <w:t xml:space="preserve"> and technology segments of the market.</w:t>
      </w:r>
    </w:p>
    <w:p w:rsidR="00141C4A" w:rsidRDefault="00141C4A" w:rsidP="00141C4A">
      <w:pPr>
        <w:rPr>
          <w:rFonts w:cs="Times New Roman"/>
          <w:szCs w:val="22"/>
        </w:rPr>
      </w:pPr>
      <w:r w:rsidRPr="0039607F">
        <w:rPr>
          <w:rFonts w:cs="Times New Roman"/>
          <w:szCs w:val="22"/>
        </w:rPr>
        <w:t>HFCs have no effect on the ozone layer, however like HCFCs, they are potent greenhouse gases with the most common</w:t>
      </w:r>
      <w:r>
        <w:rPr>
          <w:rFonts w:cs="Times New Roman"/>
          <w:szCs w:val="22"/>
        </w:rPr>
        <w:t>,</w:t>
      </w:r>
      <w:r w:rsidRPr="0039607F">
        <w:rPr>
          <w:rFonts w:cs="Times New Roman"/>
          <w:szCs w:val="22"/>
        </w:rPr>
        <w:t xml:space="preserve"> HFC-134a</w:t>
      </w:r>
      <w:r>
        <w:rPr>
          <w:rFonts w:cs="Times New Roman"/>
          <w:szCs w:val="22"/>
        </w:rPr>
        <w:t>,</w:t>
      </w:r>
      <w:r w:rsidRPr="0039607F">
        <w:rPr>
          <w:rFonts w:cs="Times New Roman"/>
          <w:szCs w:val="22"/>
        </w:rPr>
        <w:t xml:space="preserve"> having a global warming potential of 1300/1430 (AR2/AR4). With the increased international focus on achieving greenhouse gas </w:t>
      </w:r>
      <w:r w:rsidR="00BC7FF8">
        <w:rPr>
          <w:rFonts w:cs="Times New Roman"/>
          <w:szCs w:val="22"/>
        </w:rPr>
        <w:t xml:space="preserve">emission </w:t>
      </w:r>
      <w:r w:rsidRPr="0039607F">
        <w:rPr>
          <w:rFonts w:cs="Times New Roman"/>
          <w:szCs w:val="22"/>
        </w:rPr>
        <w:t xml:space="preserve">reduction targets, the international community is now actively discussing </w:t>
      </w:r>
      <w:r>
        <w:rPr>
          <w:rFonts w:cs="Times New Roman"/>
          <w:szCs w:val="22"/>
        </w:rPr>
        <w:t>action on</w:t>
      </w:r>
      <w:r w:rsidRPr="0039607F">
        <w:rPr>
          <w:rFonts w:cs="Times New Roman"/>
          <w:szCs w:val="22"/>
        </w:rPr>
        <w:t xml:space="preserve"> HFCs as well.</w:t>
      </w:r>
    </w:p>
    <w:p w:rsidR="00436A8E" w:rsidRDefault="005D64D8" w:rsidP="00436A8E">
      <w:r>
        <w:rPr>
          <w:rFonts w:eastAsia="Times New Roman" w:cs="Times New Roman"/>
          <w:color w:val="222222"/>
          <w:szCs w:val="22"/>
          <w:lang w:eastAsia="en-AU"/>
        </w:rPr>
        <w:t>The g</w:t>
      </w:r>
      <w:r w:rsidR="00141C4A">
        <w:rPr>
          <w:rFonts w:eastAsia="Times New Roman" w:cs="Times New Roman"/>
          <w:color w:val="222222"/>
          <w:szCs w:val="22"/>
          <w:lang w:eastAsia="en-AU"/>
        </w:rPr>
        <w:t xml:space="preserve">lobal industry that manufactures and supplies HFCs have been developing lower GWP options </w:t>
      </w:r>
      <w:r>
        <w:rPr>
          <w:rFonts w:eastAsia="Times New Roman" w:cs="Times New Roman"/>
          <w:color w:val="222222"/>
          <w:szCs w:val="22"/>
          <w:lang w:eastAsia="en-AU"/>
        </w:rPr>
        <w:t xml:space="preserve">for </w:t>
      </w:r>
      <w:r w:rsidR="00141C4A">
        <w:rPr>
          <w:rFonts w:eastAsia="Times New Roman" w:cs="Times New Roman"/>
          <w:color w:val="222222"/>
          <w:szCs w:val="22"/>
          <w:lang w:eastAsia="en-AU"/>
        </w:rPr>
        <w:t>many applications. For instance several o</w:t>
      </w:r>
      <w:r w:rsidR="00436A8E">
        <w:rPr>
          <w:rFonts w:eastAsia="Times New Roman" w:cs="Times New Roman"/>
          <w:color w:val="222222"/>
          <w:szCs w:val="22"/>
          <w:lang w:eastAsia="en-AU"/>
        </w:rPr>
        <w:t>ptions to replace one of the main higher GWP HFCs are being offer</w:t>
      </w:r>
      <w:r>
        <w:rPr>
          <w:rFonts w:eastAsia="Times New Roman" w:cs="Times New Roman"/>
          <w:color w:val="222222"/>
          <w:szCs w:val="22"/>
          <w:lang w:eastAsia="en-AU"/>
        </w:rPr>
        <w:t>ed</w:t>
      </w:r>
      <w:r w:rsidR="00436A8E">
        <w:rPr>
          <w:rFonts w:eastAsia="Times New Roman" w:cs="Times New Roman"/>
          <w:color w:val="222222"/>
          <w:szCs w:val="22"/>
          <w:lang w:eastAsia="en-AU"/>
        </w:rPr>
        <w:t>. Substitutes for HFC-404A</w:t>
      </w:r>
      <w:r>
        <w:rPr>
          <w:rFonts w:eastAsia="Times New Roman" w:cs="Times New Roman"/>
          <w:color w:val="222222"/>
          <w:szCs w:val="22"/>
          <w:lang w:eastAsia="en-AU"/>
        </w:rPr>
        <w:t xml:space="preserve"> (GWP </w:t>
      </w:r>
      <w:r w:rsidR="00B606F4">
        <w:rPr>
          <w:rFonts w:eastAsia="Times New Roman" w:cs="Times New Roman"/>
          <w:color w:val="222222"/>
          <w:szCs w:val="22"/>
          <w:lang w:eastAsia="en-AU"/>
        </w:rPr>
        <w:t xml:space="preserve">of </w:t>
      </w:r>
      <w:r w:rsidR="000A34F7">
        <w:rPr>
          <w:rFonts w:eastAsia="Times New Roman" w:cs="Times New Roman"/>
          <w:color w:val="222222"/>
          <w:szCs w:val="22"/>
          <w:lang w:eastAsia="en-AU"/>
        </w:rPr>
        <w:t>3260/3</w:t>
      </w:r>
      <w:r>
        <w:rPr>
          <w:rFonts w:eastAsia="Times New Roman" w:cs="Times New Roman"/>
          <w:color w:val="222222"/>
          <w:szCs w:val="22"/>
          <w:lang w:eastAsia="en-AU"/>
        </w:rPr>
        <w:t>92</w:t>
      </w:r>
      <w:r w:rsidR="000A34F7">
        <w:rPr>
          <w:rFonts w:eastAsia="Times New Roman" w:cs="Times New Roman"/>
          <w:color w:val="222222"/>
          <w:szCs w:val="22"/>
          <w:lang w:eastAsia="en-AU"/>
        </w:rPr>
        <w:t>2</w:t>
      </w:r>
      <w:r w:rsidR="00B606F4">
        <w:rPr>
          <w:rFonts w:eastAsia="Times New Roman" w:cs="Times New Roman"/>
          <w:color w:val="222222"/>
          <w:szCs w:val="22"/>
          <w:lang w:eastAsia="en-AU"/>
        </w:rPr>
        <w:t>)</w:t>
      </w:r>
      <w:r w:rsidR="00436A8E" w:rsidRPr="00BE02BA">
        <w:rPr>
          <w:rFonts w:eastAsia="Times New Roman" w:cs="Times New Roman"/>
          <w:color w:val="222222"/>
          <w:szCs w:val="22"/>
          <w:lang w:eastAsia="en-AU"/>
        </w:rPr>
        <w:t xml:space="preserve"> </w:t>
      </w:r>
      <w:r w:rsidR="00B47CF0">
        <w:rPr>
          <w:rFonts w:eastAsia="Times New Roman" w:cs="Times New Roman"/>
          <w:color w:val="222222"/>
          <w:szCs w:val="22"/>
          <w:lang w:eastAsia="en-AU"/>
        </w:rPr>
        <w:t xml:space="preserve">include </w:t>
      </w:r>
      <w:r w:rsidR="00436A8E" w:rsidRPr="00BE02BA">
        <w:rPr>
          <w:rFonts w:eastAsia="Times New Roman" w:cs="Times New Roman"/>
          <w:color w:val="222222"/>
          <w:szCs w:val="22"/>
          <w:lang w:eastAsia="en-AU"/>
        </w:rPr>
        <w:t>HFC-407F</w:t>
      </w:r>
      <w:r w:rsidR="008839E1">
        <w:rPr>
          <w:rFonts w:eastAsia="Times New Roman" w:cs="Times New Roman"/>
          <w:color w:val="222222"/>
          <w:szCs w:val="22"/>
          <w:lang w:eastAsia="en-AU"/>
        </w:rPr>
        <w:t xml:space="preserve"> (GWP of </w:t>
      </w:r>
      <w:r w:rsidR="00B47CF0" w:rsidRPr="00B47CF0">
        <w:rPr>
          <w:rFonts w:eastAsia="Times New Roman" w:cs="Times New Roman"/>
          <w:color w:val="222222"/>
          <w:szCs w:val="22"/>
          <w:lang w:eastAsia="en-AU"/>
        </w:rPr>
        <w:t>1824/2107</w:t>
      </w:r>
      <w:r w:rsidR="00B47CF0">
        <w:rPr>
          <w:rFonts w:eastAsia="Times New Roman" w:cs="Times New Roman"/>
          <w:color w:val="222222"/>
          <w:szCs w:val="22"/>
          <w:lang w:eastAsia="en-AU"/>
        </w:rPr>
        <w:t>) and HFC-407A</w:t>
      </w:r>
      <w:r w:rsidR="00436A8E" w:rsidRPr="00BE02BA">
        <w:rPr>
          <w:rFonts w:eastAsia="Times New Roman" w:cs="Times New Roman"/>
          <w:color w:val="222222"/>
          <w:szCs w:val="22"/>
          <w:lang w:eastAsia="en-AU"/>
        </w:rPr>
        <w:t xml:space="preserve">. These are interim solutions (still third generation HFCs but in novel blends) with different characteristics and </w:t>
      </w:r>
      <w:r>
        <w:rPr>
          <w:rFonts w:eastAsia="Times New Roman" w:cs="Times New Roman"/>
          <w:color w:val="222222"/>
          <w:szCs w:val="22"/>
          <w:lang w:eastAsia="en-AU"/>
        </w:rPr>
        <w:t xml:space="preserve">lower </w:t>
      </w:r>
      <w:r w:rsidR="00436A8E" w:rsidRPr="00BE02BA">
        <w:rPr>
          <w:rFonts w:eastAsia="Times New Roman" w:cs="Times New Roman"/>
          <w:color w:val="222222"/>
          <w:szCs w:val="22"/>
          <w:lang w:eastAsia="en-AU"/>
        </w:rPr>
        <w:t xml:space="preserve">GWP values. </w:t>
      </w:r>
    </w:p>
    <w:p w:rsidR="005D64D8" w:rsidRDefault="005D64D8" w:rsidP="008F2CD7">
      <w:pPr>
        <w:rPr>
          <w:rFonts w:cs="Times New Roman"/>
          <w:szCs w:val="22"/>
        </w:rPr>
      </w:pPr>
      <w:r>
        <w:rPr>
          <w:rFonts w:cs="Times New Roman"/>
          <w:szCs w:val="22"/>
        </w:rPr>
        <w:t xml:space="preserve">HFC-32 (GWP </w:t>
      </w:r>
      <w:r w:rsidR="00B47CF0">
        <w:rPr>
          <w:rFonts w:cs="Times New Roman"/>
          <w:szCs w:val="22"/>
        </w:rPr>
        <w:t xml:space="preserve">of </w:t>
      </w:r>
      <w:r>
        <w:rPr>
          <w:rFonts w:cs="Times New Roman"/>
          <w:szCs w:val="22"/>
        </w:rPr>
        <w:t>650/675) is another refrigerant that is now being used in new air conditioning equipment that would have otherwise most likely employed</w:t>
      </w:r>
      <w:r w:rsidR="00B13393">
        <w:rPr>
          <w:rFonts w:cs="Times New Roman"/>
          <w:szCs w:val="22"/>
        </w:rPr>
        <w:t xml:space="preserve"> the much higher GWP</w:t>
      </w:r>
      <w:r>
        <w:rPr>
          <w:rFonts w:cs="Times New Roman"/>
          <w:szCs w:val="22"/>
        </w:rPr>
        <w:t xml:space="preserve"> HFC</w:t>
      </w:r>
      <w:r w:rsidR="00781E0A">
        <w:rPr>
          <w:rFonts w:cs="Times New Roman"/>
          <w:szCs w:val="22"/>
        </w:rPr>
        <w:t>-</w:t>
      </w:r>
      <w:r>
        <w:rPr>
          <w:rFonts w:cs="Times New Roman"/>
          <w:szCs w:val="22"/>
        </w:rPr>
        <w:t>4</w:t>
      </w:r>
      <w:r w:rsidR="00B13393">
        <w:rPr>
          <w:rFonts w:cs="Times New Roman"/>
          <w:szCs w:val="22"/>
        </w:rPr>
        <w:t>10</w:t>
      </w:r>
      <w:r>
        <w:rPr>
          <w:rFonts w:cs="Times New Roman"/>
          <w:szCs w:val="22"/>
        </w:rPr>
        <w:t>A</w:t>
      </w:r>
      <w:r w:rsidR="00B13393">
        <w:rPr>
          <w:rFonts w:cs="Times New Roman"/>
          <w:szCs w:val="22"/>
        </w:rPr>
        <w:t xml:space="preserve"> (GWP </w:t>
      </w:r>
      <w:r w:rsidR="00B47CF0">
        <w:rPr>
          <w:rFonts w:cs="Times New Roman"/>
          <w:szCs w:val="22"/>
        </w:rPr>
        <w:t xml:space="preserve">of </w:t>
      </w:r>
      <w:r w:rsidR="00B13393">
        <w:rPr>
          <w:rFonts w:cs="Times New Roman"/>
          <w:szCs w:val="22"/>
        </w:rPr>
        <w:t>1725/2088)</w:t>
      </w:r>
      <w:r>
        <w:rPr>
          <w:rFonts w:cs="Times New Roman"/>
          <w:szCs w:val="22"/>
        </w:rPr>
        <w:t xml:space="preserve">. </w:t>
      </w:r>
    </w:p>
    <w:p w:rsidR="00436A8E" w:rsidRPr="0082378A" w:rsidRDefault="00436A8E" w:rsidP="008F2CD7">
      <w:pPr>
        <w:rPr>
          <w:rFonts w:cs="Times New Roman"/>
          <w:szCs w:val="22"/>
        </w:rPr>
      </w:pPr>
      <w:r>
        <w:rPr>
          <w:rFonts w:cs="Times New Roman"/>
          <w:szCs w:val="22"/>
        </w:rPr>
        <w:t xml:space="preserve">In recent years a new generation of </w:t>
      </w:r>
      <w:r w:rsidR="00027A98">
        <w:rPr>
          <w:rFonts w:cs="Times New Roman"/>
          <w:szCs w:val="22"/>
        </w:rPr>
        <w:t xml:space="preserve">unsaturated </w:t>
      </w:r>
      <w:r>
        <w:rPr>
          <w:rFonts w:cs="Times New Roman"/>
          <w:szCs w:val="22"/>
        </w:rPr>
        <w:t>HFCs</w:t>
      </w:r>
      <w:r w:rsidR="00027A98">
        <w:rPr>
          <w:rFonts w:cs="Times New Roman"/>
          <w:szCs w:val="22"/>
        </w:rPr>
        <w:t xml:space="preserve">, known as HFOs, </w:t>
      </w:r>
      <w:r>
        <w:rPr>
          <w:rFonts w:cs="Times New Roman"/>
          <w:szCs w:val="22"/>
        </w:rPr>
        <w:t>have been developed and tested with very low GWPs. The first such substance to be introduced to the market, HFO1234yf, has a GWP of just 4 and is likely to be widely adopted for use in vehicle air conditioning systems.</w:t>
      </w:r>
    </w:p>
    <w:p w:rsidR="008F2CD7" w:rsidRDefault="008F2CD7" w:rsidP="008F2CD7">
      <w:pPr>
        <w:rPr>
          <w:rFonts w:cs="Times New Roman"/>
          <w:szCs w:val="22"/>
        </w:rPr>
      </w:pPr>
      <w:r w:rsidRPr="005070C1">
        <w:rPr>
          <w:rFonts w:cs="Times New Roman"/>
          <w:i/>
          <w:szCs w:val="22"/>
        </w:rPr>
        <w:t xml:space="preserve">Figure </w:t>
      </w:r>
      <w:r w:rsidR="005070C1" w:rsidRPr="005070C1">
        <w:rPr>
          <w:rFonts w:cs="Times New Roman"/>
          <w:i/>
          <w:szCs w:val="22"/>
        </w:rPr>
        <w:t>1</w:t>
      </w:r>
      <w:r w:rsidRPr="005070C1">
        <w:rPr>
          <w:rFonts w:cs="Times New Roman"/>
          <w:szCs w:val="22"/>
        </w:rPr>
        <w:t xml:space="preserve"> </w:t>
      </w:r>
      <w:r w:rsidR="005070C1" w:rsidRPr="005070C1">
        <w:rPr>
          <w:rFonts w:cs="Times New Roman"/>
          <w:szCs w:val="22"/>
        </w:rPr>
        <w:t>i</w:t>
      </w:r>
      <w:r w:rsidRPr="005070C1">
        <w:rPr>
          <w:rFonts w:cs="Times New Roman"/>
          <w:szCs w:val="22"/>
        </w:rPr>
        <w:t>llustrates</w:t>
      </w:r>
      <w:r w:rsidRPr="0082378A">
        <w:rPr>
          <w:rFonts w:cs="Times New Roman"/>
          <w:szCs w:val="22"/>
        </w:rPr>
        <w:t xml:space="preserve"> the evolution of refrigerant species and how they are </w:t>
      </w:r>
      <w:r w:rsidR="00436A8E">
        <w:rPr>
          <w:rFonts w:cs="Times New Roman"/>
          <w:szCs w:val="22"/>
        </w:rPr>
        <w:t xml:space="preserve">presently </w:t>
      </w:r>
      <w:r w:rsidRPr="0082378A">
        <w:rPr>
          <w:rFonts w:cs="Times New Roman"/>
          <w:szCs w:val="22"/>
        </w:rPr>
        <w:t>managed under international environmental protocols.</w:t>
      </w:r>
    </w:p>
    <w:p w:rsidR="005070C1" w:rsidRDefault="005070C1" w:rsidP="008F2CD7">
      <w:pPr>
        <w:rPr>
          <w:rFonts w:cs="Times New Roman"/>
          <w:szCs w:val="22"/>
        </w:rPr>
      </w:pPr>
    </w:p>
    <w:p w:rsidR="005070C1" w:rsidRPr="0082378A" w:rsidRDefault="005070C1" w:rsidP="008F2CD7">
      <w:pPr>
        <w:rPr>
          <w:rFonts w:cs="Times New Roman"/>
          <w:szCs w:val="22"/>
        </w:rPr>
      </w:pPr>
    </w:p>
    <w:p w:rsidR="008F2CD7" w:rsidRDefault="008F2CD7" w:rsidP="008F2CD7"/>
    <w:p w:rsidR="00ED5919" w:rsidRDefault="00ED5919" w:rsidP="008F2CD7"/>
    <w:p w:rsidR="00ED5919" w:rsidRDefault="00ED5919" w:rsidP="008F2CD7"/>
    <w:p w:rsidR="00ED5919" w:rsidRDefault="00ED5919" w:rsidP="008F2CD7"/>
    <w:p w:rsidR="00ED5919" w:rsidRDefault="00ED5919" w:rsidP="008F2CD7"/>
    <w:p w:rsidR="00A33C16" w:rsidRDefault="00A33C16" w:rsidP="008F2CD7"/>
    <w:p w:rsidR="00ED5919" w:rsidRDefault="00ED5919" w:rsidP="008F2CD7"/>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09"/>
        <w:gridCol w:w="2410"/>
        <w:gridCol w:w="2410"/>
        <w:gridCol w:w="2836"/>
      </w:tblGrid>
      <w:tr w:rsidR="008F2CD7" w:rsidRPr="00923150" w:rsidTr="000770E1">
        <w:tc>
          <w:tcPr>
            <w:tcW w:w="10065" w:type="dxa"/>
            <w:gridSpan w:val="4"/>
            <w:tcBorders>
              <w:bottom w:val="single" w:sz="4" w:space="0" w:color="000000"/>
            </w:tcBorders>
            <w:shd w:val="clear" w:color="auto" w:fill="0C0C0C"/>
            <w:vAlign w:val="center"/>
          </w:tcPr>
          <w:p w:rsidR="008F2CD7" w:rsidRPr="00923150" w:rsidRDefault="008F2CD7" w:rsidP="008F2CD7">
            <w:pPr>
              <w:spacing w:after="120"/>
              <w:jc w:val="center"/>
              <w:rPr>
                <w:b/>
              </w:rPr>
            </w:pPr>
            <w:r>
              <w:br w:type="page"/>
            </w:r>
            <w:r>
              <w:rPr>
                <w:b/>
              </w:rPr>
              <w:t>Refrigerant types and progression of synthetic refrigerants</w:t>
            </w:r>
          </w:p>
        </w:tc>
      </w:tr>
      <w:tr w:rsidR="008F2CD7" w:rsidRPr="008A4DA9" w:rsidTr="000770E1">
        <w:tc>
          <w:tcPr>
            <w:tcW w:w="10065" w:type="dxa"/>
            <w:gridSpan w:val="4"/>
            <w:shd w:val="clear" w:color="auto" w:fill="CCFFFF"/>
            <w:vAlign w:val="center"/>
          </w:tcPr>
          <w:p w:rsidR="008F2CD7" w:rsidRPr="008A4DA9" w:rsidRDefault="008F2CD7" w:rsidP="009F442D">
            <w:pPr>
              <w:spacing w:after="120"/>
              <w:jc w:val="center"/>
              <w:rPr>
                <w:b/>
                <w:szCs w:val="22"/>
              </w:rPr>
            </w:pPr>
            <w:r w:rsidRPr="008A4DA9">
              <w:rPr>
                <w:b/>
                <w:szCs w:val="22"/>
              </w:rPr>
              <w:t>Natural refrigerants</w:t>
            </w:r>
          </w:p>
        </w:tc>
      </w:tr>
      <w:tr w:rsidR="008F2CD7" w:rsidRPr="00BD20BC" w:rsidTr="000770E1">
        <w:tc>
          <w:tcPr>
            <w:tcW w:w="10065" w:type="dxa"/>
            <w:gridSpan w:val="4"/>
            <w:vAlign w:val="center"/>
          </w:tcPr>
          <w:p w:rsidR="008F2CD7" w:rsidRPr="00BD20BC" w:rsidRDefault="008F2CD7" w:rsidP="008F2CD7">
            <w:pPr>
              <w:jc w:val="center"/>
              <w:rPr>
                <w:sz w:val="16"/>
                <w:szCs w:val="16"/>
              </w:rPr>
            </w:pPr>
            <w:r w:rsidRPr="008C06A0">
              <w:rPr>
                <w:noProof/>
                <w:sz w:val="16"/>
                <w:szCs w:val="16"/>
                <w:lang w:val="en-AU" w:eastAsia="en-AU"/>
              </w:rPr>
              <w:drawing>
                <wp:inline distT="0" distB="0" distL="0" distR="0">
                  <wp:extent cx="5336603" cy="945699"/>
                  <wp:effectExtent l="0" t="0" r="0" b="44901"/>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r>
      <w:tr w:rsidR="008F2CD7" w:rsidRPr="008A4DA9" w:rsidTr="000770E1">
        <w:tc>
          <w:tcPr>
            <w:tcW w:w="10065" w:type="dxa"/>
            <w:gridSpan w:val="4"/>
            <w:shd w:val="clear" w:color="auto" w:fill="CCFFFF"/>
            <w:vAlign w:val="center"/>
          </w:tcPr>
          <w:p w:rsidR="008F2CD7" w:rsidRPr="008A4DA9" w:rsidRDefault="008F2CD7" w:rsidP="008F2CD7">
            <w:pPr>
              <w:spacing w:after="120"/>
              <w:jc w:val="center"/>
              <w:rPr>
                <w:b/>
                <w:szCs w:val="22"/>
              </w:rPr>
            </w:pPr>
            <w:r w:rsidRPr="008A4DA9">
              <w:rPr>
                <w:b/>
                <w:szCs w:val="22"/>
              </w:rPr>
              <w:t>Synthetic refrigerants</w:t>
            </w:r>
          </w:p>
        </w:tc>
      </w:tr>
      <w:tr w:rsidR="008F2CD7" w:rsidRPr="008B7409" w:rsidTr="000770E1">
        <w:tc>
          <w:tcPr>
            <w:tcW w:w="4819" w:type="dxa"/>
            <w:gridSpan w:val="2"/>
            <w:vAlign w:val="center"/>
          </w:tcPr>
          <w:p w:rsidR="008F2CD7" w:rsidRPr="008B7409" w:rsidRDefault="008F2CD7" w:rsidP="008F2CD7">
            <w:pPr>
              <w:spacing w:after="120"/>
              <w:jc w:val="center"/>
              <w:rPr>
                <w:b/>
                <w:sz w:val="20"/>
                <w:szCs w:val="20"/>
              </w:rPr>
            </w:pPr>
            <w:r w:rsidRPr="008B7409">
              <w:rPr>
                <w:b/>
                <w:sz w:val="20"/>
                <w:szCs w:val="20"/>
              </w:rPr>
              <w:t>Montreal Protocol (</w:t>
            </w:r>
            <w:r>
              <w:rPr>
                <w:b/>
                <w:sz w:val="20"/>
                <w:szCs w:val="20"/>
              </w:rPr>
              <w:t xml:space="preserve">in response to </w:t>
            </w:r>
            <w:r w:rsidRPr="008B7409">
              <w:rPr>
                <w:b/>
                <w:sz w:val="20"/>
                <w:szCs w:val="20"/>
              </w:rPr>
              <w:t>ODP)</w:t>
            </w:r>
          </w:p>
        </w:tc>
        <w:tc>
          <w:tcPr>
            <w:tcW w:w="5246" w:type="dxa"/>
            <w:gridSpan w:val="2"/>
            <w:vAlign w:val="center"/>
          </w:tcPr>
          <w:p w:rsidR="008F2CD7" w:rsidRPr="008B7409" w:rsidRDefault="008F2CD7" w:rsidP="008F2CD7">
            <w:pPr>
              <w:spacing w:after="120"/>
              <w:jc w:val="center"/>
              <w:rPr>
                <w:b/>
                <w:sz w:val="20"/>
                <w:szCs w:val="20"/>
              </w:rPr>
            </w:pPr>
            <w:r w:rsidRPr="008B7409">
              <w:rPr>
                <w:b/>
                <w:sz w:val="20"/>
                <w:szCs w:val="20"/>
              </w:rPr>
              <w:t>Kyoto Protocol (</w:t>
            </w:r>
            <w:r>
              <w:rPr>
                <w:b/>
                <w:sz w:val="20"/>
                <w:szCs w:val="20"/>
              </w:rPr>
              <w:t xml:space="preserve">in response to </w:t>
            </w:r>
            <w:r w:rsidRPr="008B7409">
              <w:rPr>
                <w:b/>
                <w:sz w:val="20"/>
                <w:szCs w:val="20"/>
              </w:rPr>
              <w:t>GWP)</w:t>
            </w:r>
          </w:p>
        </w:tc>
      </w:tr>
      <w:tr w:rsidR="008F2CD7" w:rsidRPr="00BD20BC" w:rsidTr="000770E1">
        <w:tc>
          <w:tcPr>
            <w:tcW w:w="10065" w:type="dxa"/>
            <w:gridSpan w:val="4"/>
            <w:vAlign w:val="center"/>
          </w:tcPr>
          <w:p w:rsidR="008F2CD7" w:rsidRPr="00BD20BC" w:rsidRDefault="008F2CD7" w:rsidP="008F2CD7">
            <w:pPr>
              <w:jc w:val="center"/>
              <w:rPr>
                <w:sz w:val="16"/>
                <w:szCs w:val="16"/>
              </w:rPr>
            </w:pPr>
            <w:r w:rsidRPr="00707D8D">
              <w:rPr>
                <w:noProof/>
                <w:sz w:val="16"/>
                <w:szCs w:val="16"/>
                <w:lang w:val="en-AU" w:eastAsia="en-AU"/>
              </w:rPr>
              <w:drawing>
                <wp:inline distT="0" distB="0" distL="0" distR="0">
                  <wp:extent cx="5977890" cy="406400"/>
                  <wp:effectExtent l="57150" t="0" r="41910" b="3175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tc>
      </w:tr>
      <w:tr w:rsidR="008F2CD7" w:rsidRPr="00BD20BC" w:rsidTr="000770E1">
        <w:tc>
          <w:tcPr>
            <w:tcW w:w="2409" w:type="dxa"/>
            <w:vMerge w:val="restart"/>
          </w:tcPr>
          <w:p w:rsidR="008F2CD7" w:rsidRPr="00B96D2D" w:rsidRDefault="008F2CD7" w:rsidP="008F2CD7">
            <w:pPr>
              <w:jc w:val="center"/>
              <w:rPr>
                <w:b/>
                <w:sz w:val="20"/>
                <w:szCs w:val="20"/>
              </w:rPr>
            </w:pPr>
            <w:r w:rsidRPr="00B96D2D">
              <w:rPr>
                <w:b/>
                <w:sz w:val="20"/>
                <w:szCs w:val="20"/>
              </w:rPr>
              <w:t>1st Generation</w:t>
            </w:r>
          </w:p>
          <w:p w:rsidR="008F2CD7" w:rsidRDefault="008F2CD7" w:rsidP="008F2CD7">
            <w:pPr>
              <w:jc w:val="center"/>
              <w:rPr>
                <w:sz w:val="20"/>
                <w:szCs w:val="20"/>
              </w:rPr>
            </w:pPr>
            <w:r>
              <w:rPr>
                <w:sz w:val="20"/>
                <w:szCs w:val="20"/>
              </w:rPr>
              <w:t>CFC-12</w:t>
            </w:r>
          </w:p>
          <w:p w:rsidR="008F2CD7" w:rsidRDefault="008F2CD7" w:rsidP="008F2CD7">
            <w:pPr>
              <w:jc w:val="center"/>
              <w:rPr>
                <w:sz w:val="20"/>
                <w:szCs w:val="20"/>
              </w:rPr>
            </w:pPr>
            <w:r>
              <w:rPr>
                <w:sz w:val="20"/>
                <w:szCs w:val="20"/>
              </w:rPr>
              <w:t>GWP</w:t>
            </w:r>
            <w:r w:rsidRPr="002E088B">
              <w:rPr>
                <w:sz w:val="20"/>
                <w:szCs w:val="20"/>
                <w:vertAlign w:val="superscript"/>
              </w:rPr>
              <w:t>AR2/AR4</w:t>
            </w:r>
            <w:r>
              <w:rPr>
                <w:sz w:val="20"/>
                <w:szCs w:val="20"/>
              </w:rPr>
              <w:t xml:space="preserve"> = 8100/10900</w:t>
            </w:r>
          </w:p>
          <w:p w:rsidR="008F2CD7" w:rsidRPr="00B96D2D" w:rsidRDefault="008F2CD7" w:rsidP="008F2CD7">
            <w:pPr>
              <w:jc w:val="center"/>
              <w:rPr>
                <w:b/>
                <w:sz w:val="20"/>
                <w:szCs w:val="20"/>
              </w:rPr>
            </w:pPr>
            <w:r>
              <w:rPr>
                <w:sz w:val="20"/>
                <w:szCs w:val="20"/>
              </w:rPr>
              <w:t>ODP = 1</w:t>
            </w:r>
          </w:p>
        </w:tc>
        <w:tc>
          <w:tcPr>
            <w:tcW w:w="2410" w:type="dxa"/>
            <w:vMerge w:val="restart"/>
          </w:tcPr>
          <w:p w:rsidR="008F2CD7" w:rsidRPr="00B96D2D" w:rsidRDefault="008F2CD7" w:rsidP="008F2CD7">
            <w:pPr>
              <w:jc w:val="center"/>
              <w:rPr>
                <w:b/>
                <w:sz w:val="20"/>
                <w:szCs w:val="20"/>
              </w:rPr>
            </w:pPr>
            <w:r w:rsidRPr="00B96D2D">
              <w:rPr>
                <w:b/>
                <w:sz w:val="20"/>
                <w:szCs w:val="20"/>
              </w:rPr>
              <w:t>2nd Generation</w:t>
            </w:r>
          </w:p>
          <w:p w:rsidR="008F2CD7" w:rsidRDefault="008F2CD7" w:rsidP="008F2CD7">
            <w:pPr>
              <w:jc w:val="center"/>
              <w:rPr>
                <w:sz w:val="20"/>
                <w:szCs w:val="20"/>
              </w:rPr>
            </w:pPr>
            <w:r>
              <w:rPr>
                <w:sz w:val="20"/>
                <w:szCs w:val="20"/>
              </w:rPr>
              <w:t>HCFC-22</w:t>
            </w:r>
          </w:p>
          <w:p w:rsidR="008F2CD7" w:rsidRDefault="008F2CD7" w:rsidP="008F2CD7">
            <w:pPr>
              <w:jc w:val="center"/>
              <w:rPr>
                <w:sz w:val="20"/>
                <w:szCs w:val="20"/>
              </w:rPr>
            </w:pPr>
            <w:r>
              <w:rPr>
                <w:sz w:val="20"/>
                <w:szCs w:val="20"/>
              </w:rPr>
              <w:t>GWP</w:t>
            </w:r>
            <w:r w:rsidRPr="002E088B">
              <w:rPr>
                <w:sz w:val="20"/>
                <w:szCs w:val="20"/>
                <w:vertAlign w:val="superscript"/>
              </w:rPr>
              <w:t>AR2/AR4</w:t>
            </w:r>
            <w:r>
              <w:rPr>
                <w:sz w:val="20"/>
                <w:szCs w:val="20"/>
              </w:rPr>
              <w:t xml:space="preserve"> = 1500/1810</w:t>
            </w:r>
          </w:p>
          <w:p w:rsidR="008F2CD7" w:rsidRPr="00B96D2D" w:rsidRDefault="008F2CD7" w:rsidP="008F2CD7">
            <w:pPr>
              <w:jc w:val="center"/>
              <w:rPr>
                <w:b/>
                <w:sz w:val="20"/>
                <w:szCs w:val="20"/>
              </w:rPr>
            </w:pPr>
            <w:r>
              <w:rPr>
                <w:sz w:val="20"/>
                <w:szCs w:val="20"/>
              </w:rPr>
              <w:t>ODP = 0.055</w:t>
            </w:r>
          </w:p>
        </w:tc>
        <w:tc>
          <w:tcPr>
            <w:tcW w:w="2410" w:type="dxa"/>
          </w:tcPr>
          <w:p w:rsidR="008F2CD7" w:rsidRPr="00B96D2D" w:rsidRDefault="008F2CD7" w:rsidP="008F2CD7">
            <w:pPr>
              <w:spacing w:after="120"/>
              <w:jc w:val="center"/>
              <w:rPr>
                <w:b/>
                <w:sz w:val="20"/>
                <w:szCs w:val="20"/>
              </w:rPr>
            </w:pPr>
            <w:r w:rsidRPr="00B96D2D">
              <w:rPr>
                <w:b/>
                <w:sz w:val="20"/>
                <w:szCs w:val="20"/>
              </w:rPr>
              <w:t>3rd Generation</w:t>
            </w:r>
          </w:p>
          <w:p w:rsidR="008F2CD7" w:rsidRDefault="008F2CD7" w:rsidP="008F2CD7">
            <w:pPr>
              <w:spacing w:after="120"/>
              <w:jc w:val="center"/>
              <w:rPr>
                <w:sz w:val="20"/>
                <w:szCs w:val="20"/>
              </w:rPr>
            </w:pPr>
            <w:r>
              <w:rPr>
                <w:sz w:val="20"/>
                <w:szCs w:val="20"/>
              </w:rPr>
              <w:t>HFC-134a</w:t>
            </w:r>
          </w:p>
          <w:p w:rsidR="008F2CD7" w:rsidRDefault="008F2CD7" w:rsidP="008F2CD7">
            <w:pPr>
              <w:spacing w:after="120"/>
              <w:jc w:val="center"/>
              <w:rPr>
                <w:sz w:val="20"/>
                <w:szCs w:val="20"/>
              </w:rPr>
            </w:pPr>
            <w:r>
              <w:rPr>
                <w:sz w:val="20"/>
                <w:szCs w:val="20"/>
              </w:rPr>
              <w:t>HFC-410A</w:t>
            </w:r>
          </w:p>
          <w:p w:rsidR="008F2CD7" w:rsidRDefault="008F2CD7" w:rsidP="008F2CD7">
            <w:pPr>
              <w:spacing w:after="120"/>
              <w:jc w:val="center"/>
              <w:rPr>
                <w:sz w:val="20"/>
                <w:szCs w:val="20"/>
              </w:rPr>
            </w:pPr>
            <w:r>
              <w:rPr>
                <w:sz w:val="20"/>
                <w:szCs w:val="20"/>
              </w:rPr>
              <w:t>HFC-404A</w:t>
            </w:r>
          </w:p>
          <w:p w:rsidR="008F2CD7" w:rsidRDefault="008F2CD7" w:rsidP="008F2CD7">
            <w:pPr>
              <w:spacing w:after="120"/>
              <w:jc w:val="center"/>
              <w:rPr>
                <w:sz w:val="20"/>
                <w:szCs w:val="20"/>
              </w:rPr>
            </w:pPr>
            <w:r>
              <w:rPr>
                <w:sz w:val="20"/>
                <w:szCs w:val="20"/>
              </w:rPr>
              <w:t>ODP = 0</w:t>
            </w:r>
          </w:p>
          <w:p w:rsidR="008F2CD7" w:rsidRDefault="008F2CD7" w:rsidP="008F2CD7">
            <w:pPr>
              <w:spacing w:after="120"/>
              <w:jc w:val="center"/>
              <w:rPr>
                <w:sz w:val="20"/>
                <w:szCs w:val="20"/>
              </w:rPr>
            </w:pPr>
            <w:r>
              <w:rPr>
                <w:sz w:val="20"/>
                <w:szCs w:val="20"/>
              </w:rPr>
              <w:t>GWP</w:t>
            </w:r>
            <w:r w:rsidRPr="00696691">
              <w:rPr>
                <w:sz w:val="20"/>
                <w:szCs w:val="20"/>
                <w:vertAlign w:val="superscript"/>
              </w:rPr>
              <w:t>AR2</w:t>
            </w:r>
            <w:r>
              <w:rPr>
                <w:sz w:val="20"/>
                <w:szCs w:val="20"/>
              </w:rPr>
              <w:t xml:space="preserve"> </w:t>
            </w:r>
            <w:r>
              <w:rPr>
                <w:rFonts w:cs="Times New Roman"/>
                <w:sz w:val="20"/>
                <w:szCs w:val="20"/>
              </w:rPr>
              <w:t>≥</w:t>
            </w:r>
            <w:r>
              <w:rPr>
                <w:sz w:val="20"/>
                <w:szCs w:val="20"/>
              </w:rPr>
              <w:t xml:space="preserve"> 1300 to 3260</w:t>
            </w:r>
          </w:p>
          <w:p w:rsidR="008F2CD7" w:rsidRDefault="008F2CD7" w:rsidP="008F2CD7">
            <w:pPr>
              <w:spacing w:after="120"/>
              <w:jc w:val="center"/>
              <w:rPr>
                <w:sz w:val="20"/>
                <w:szCs w:val="20"/>
              </w:rPr>
            </w:pPr>
            <w:r>
              <w:rPr>
                <w:sz w:val="20"/>
                <w:szCs w:val="20"/>
              </w:rPr>
              <w:t>GWP</w:t>
            </w:r>
            <w:r w:rsidRPr="00696691">
              <w:rPr>
                <w:sz w:val="20"/>
                <w:szCs w:val="20"/>
                <w:vertAlign w:val="superscript"/>
              </w:rPr>
              <w:t>AR</w:t>
            </w:r>
            <w:r>
              <w:rPr>
                <w:sz w:val="20"/>
                <w:szCs w:val="20"/>
                <w:vertAlign w:val="superscript"/>
              </w:rPr>
              <w:t>4</w:t>
            </w:r>
            <w:r>
              <w:rPr>
                <w:sz w:val="20"/>
                <w:szCs w:val="20"/>
              </w:rPr>
              <w:t xml:space="preserve"> </w:t>
            </w:r>
            <w:r>
              <w:rPr>
                <w:rFonts w:cs="Times New Roman"/>
                <w:sz w:val="20"/>
                <w:szCs w:val="20"/>
              </w:rPr>
              <w:t>≥</w:t>
            </w:r>
            <w:r w:rsidR="000A34F7">
              <w:rPr>
                <w:sz w:val="20"/>
                <w:szCs w:val="20"/>
              </w:rPr>
              <w:t xml:space="preserve"> 1430 to 3922</w:t>
            </w:r>
          </w:p>
          <w:p w:rsidR="002350DC" w:rsidRDefault="002350DC" w:rsidP="008F2CD7">
            <w:pPr>
              <w:spacing w:after="120"/>
              <w:jc w:val="center"/>
              <w:rPr>
                <w:sz w:val="20"/>
                <w:szCs w:val="20"/>
              </w:rPr>
            </w:pPr>
            <w:r>
              <w:rPr>
                <w:sz w:val="20"/>
                <w:szCs w:val="20"/>
              </w:rPr>
              <w:t xml:space="preserve">HFC-32 </w:t>
            </w:r>
          </w:p>
          <w:p w:rsidR="008F2CD7" w:rsidRPr="00B96D2D" w:rsidRDefault="002350DC" w:rsidP="002350DC">
            <w:pPr>
              <w:spacing w:after="120"/>
              <w:jc w:val="center"/>
              <w:rPr>
                <w:b/>
                <w:sz w:val="20"/>
                <w:szCs w:val="20"/>
              </w:rPr>
            </w:pPr>
            <w:r>
              <w:rPr>
                <w:sz w:val="20"/>
                <w:szCs w:val="20"/>
              </w:rPr>
              <w:t>GWP</w:t>
            </w:r>
            <w:r w:rsidRPr="002350DC">
              <w:rPr>
                <w:sz w:val="20"/>
                <w:szCs w:val="20"/>
                <w:vertAlign w:val="superscript"/>
              </w:rPr>
              <w:t>AR2/AR4</w:t>
            </w:r>
            <w:r>
              <w:rPr>
                <w:sz w:val="20"/>
                <w:szCs w:val="20"/>
              </w:rPr>
              <w:t xml:space="preserve"> = 650/675</w:t>
            </w:r>
            <w:r w:rsidR="008F2CD7">
              <w:rPr>
                <w:sz w:val="20"/>
                <w:szCs w:val="20"/>
              </w:rPr>
              <w:t xml:space="preserve"> </w:t>
            </w:r>
          </w:p>
        </w:tc>
        <w:tc>
          <w:tcPr>
            <w:tcW w:w="2836" w:type="dxa"/>
          </w:tcPr>
          <w:p w:rsidR="008F2CD7" w:rsidRPr="00B96D2D" w:rsidRDefault="008F2CD7" w:rsidP="008F2CD7">
            <w:pPr>
              <w:spacing w:after="120"/>
              <w:jc w:val="center"/>
              <w:rPr>
                <w:b/>
                <w:sz w:val="20"/>
                <w:szCs w:val="20"/>
              </w:rPr>
            </w:pPr>
            <w:r w:rsidRPr="00B96D2D">
              <w:rPr>
                <w:b/>
                <w:sz w:val="20"/>
                <w:szCs w:val="20"/>
              </w:rPr>
              <w:t>4th Generation</w:t>
            </w:r>
          </w:p>
          <w:p w:rsidR="008F2CD7" w:rsidRDefault="008F2CD7" w:rsidP="008F2CD7">
            <w:pPr>
              <w:spacing w:after="120"/>
              <w:jc w:val="center"/>
              <w:rPr>
                <w:sz w:val="20"/>
                <w:szCs w:val="20"/>
              </w:rPr>
            </w:pPr>
            <w:r>
              <w:rPr>
                <w:sz w:val="20"/>
                <w:szCs w:val="20"/>
              </w:rPr>
              <w:t>HFO-1234yf</w:t>
            </w:r>
          </w:p>
          <w:p w:rsidR="008F2CD7" w:rsidRDefault="008F2CD7" w:rsidP="008F2CD7">
            <w:pPr>
              <w:spacing w:after="120"/>
              <w:jc w:val="center"/>
              <w:rPr>
                <w:sz w:val="20"/>
                <w:szCs w:val="20"/>
              </w:rPr>
            </w:pPr>
            <w:r>
              <w:rPr>
                <w:sz w:val="20"/>
                <w:szCs w:val="20"/>
              </w:rPr>
              <w:t>HFO-1234ze</w:t>
            </w:r>
          </w:p>
          <w:p w:rsidR="008F2CD7" w:rsidRDefault="008F2CD7" w:rsidP="008F2CD7">
            <w:pPr>
              <w:spacing w:after="120"/>
              <w:jc w:val="center"/>
              <w:rPr>
                <w:sz w:val="20"/>
                <w:szCs w:val="20"/>
              </w:rPr>
            </w:pPr>
            <w:r>
              <w:rPr>
                <w:sz w:val="20"/>
                <w:szCs w:val="20"/>
              </w:rPr>
              <w:t>ODP = 0</w:t>
            </w:r>
          </w:p>
          <w:p w:rsidR="008F2CD7" w:rsidRDefault="008F2CD7" w:rsidP="008F2CD7">
            <w:pPr>
              <w:spacing w:after="120"/>
              <w:jc w:val="center"/>
              <w:rPr>
                <w:sz w:val="20"/>
                <w:szCs w:val="20"/>
              </w:rPr>
            </w:pPr>
            <w:r>
              <w:rPr>
                <w:sz w:val="20"/>
                <w:szCs w:val="20"/>
              </w:rPr>
              <w:t xml:space="preserve">GWP </w:t>
            </w:r>
            <w:r>
              <w:rPr>
                <w:rFonts w:cs="Times New Roman"/>
                <w:sz w:val="20"/>
                <w:szCs w:val="20"/>
              </w:rPr>
              <w:t>≤</w:t>
            </w:r>
            <w:r>
              <w:rPr>
                <w:sz w:val="20"/>
                <w:szCs w:val="20"/>
              </w:rPr>
              <w:t xml:space="preserve"> 10</w:t>
            </w:r>
          </w:p>
          <w:p w:rsidR="008F2CD7" w:rsidRPr="00B96D2D" w:rsidRDefault="008F2CD7" w:rsidP="008F2CD7">
            <w:pPr>
              <w:spacing w:after="120"/>
              <w:jc w:val="center"/>
              <w:rPr>
                <w:b/>
                <w:sz w:val="20"/>
                <w:szCs w:val="20"/>
              </w:rPr>
            </w:pPr>
          </w:p>
        </w:tc>
      </w:tr>
      <w:tr w:rsidR="008F2CD7" w:rsidRPr="00B96D2D" w:rsidTr="000770E1">
        <w:tc>
          <w:tcPr>
            <w:tcW w:w="2409" w:type="dxa"/>
            <w:vMerge/>
          </w:tcPr>
          <w:p w:rsidR="008F2CD7" w:rsidRPr="00BD20BC" w:rsidRDefault="008F2CD7" w:rsidP="008F2CD7">
            <w:pPr>
              <w:jc w:val="center"/>
              <w:rPr>
                <w:sz w:val="16"/>
                <w:szCs w:val="16"/>
              </w:rPr>
            </w:pPr>
          </w:p>
        </w:tc>
        <w:tc>
          <w:tcPr>
            <w:tcW w:w="2410" w:type="dxa"/>
            <w:vMerge/>
          </w:tcPr>
          <w:p w:rsidR="008F2CD7" w:rsidRPr="00BD20BC" w:rsidRDefault="008F2CD7" w:rsidP="008F2CD7">
            <w:pPr>
              <w:jc w:val="center"/>
              <w:rPr>
                <w:sz w:val="16"/>
                <w:szCs w:val="16"/>
              </w:rPr>
            </w:pPr>
          </w:p>
        </w:tc>
        <w:tc>
          <w:tcPr>
            <w:tcW w:w="5246" w:type="dxa"/>
            <w:gridSpan w:val="2"/>
          </w:tcPr>
          <w:p w:rsidR="008F2CD7" w:rsidRDefault="008F2CD7" w:rsidP="008F2CD7">
            <w:pPr>
              <w:spacing w:after="120"/>
              <w:jc w:val="center"/>
              <w:rPr>
                <w:sz w:val="20"/>
                <w:szCs w:val="20"/>
              </w:rPr>
            </w:pPr>
            <w:r w:rsidRPr="00B96D2D">
              <w:rPr>
                <w:b/>
                <w:sz w:val="20"/>
                <w:szCs w:val="20"/>
              </w:rPr>
              <w:t>3.5 Generation</w:t>
            </w:r>
            <w:r>
              <w:rPr>
                <w:sz w:val="20"/>
                <w:szCs w:val="20"/>
              </w:rPr>
              <w:t xml:space="preserve"> </w:t>
            </w:r>
          </w:p>
          <w:p w:rsidR="008F2CD7" w:rsidRDefault="00B53C5B" w:rsidP="008F2CD7">
            <w:pPr>
              <w:spacing w:after="120"/>
              <w:jc w:val="center"/>
              <w:rPr>
                <w:sz w:val="20"/>
                <w:szCs w:val="20"/>
              </w:rPr>
            </w:pPr>
            <w:r>
              <w:rPr>
                <w:sz w:val="20"/>
                <w:szCs w:val="20"/>
              </w:rPr>
              <w:t xml:space="preserve">Retrofit </w:t>
            </w:r>
            <w:r w:rsidR="008F2CD7">
              <w:rPr>
                <w:sz w:val="20"/>
                <w:szCs w:val="20"/>
              </w:rPr>
              <w:t xml:space="preserve">HFC blends </w:t>
            </w:r>
          </w:p>
          <w:p w:rsidR="008F2CD7" w:rsidRDefault="008F2CD7" w:rsidP="008F2CD7">
            <w:pPr>
              <w:spacing w:after="120"/>
              <w:jc w:val="center"/>
              <w:rPr>
                <w:sz w:val="20"/>
                <w:szCs w:val="20"/>
              </w:rPr>
            </w:pPr>
            <w:r>
              <w:rPr>
                <w:sz w:val="20"/>
                <w:szCs w:val="20"/>
              </w:rPr>
              <w:t>HFC-407F (GWP</w:t>
            </w:r>
            <w:r w:rsidRPr="002E088B">
              <w:rPr>
                <w:sz w:val="20"/>
                <w:szCs w:val="20"/>
                <w:vertAlign w:val="superscript"/>
              </w:rPr>
              <w:t>AR2/AR4</w:t>
            </w:r>
            <w:r>
              <w:rPr>
                <w:sz w:val="20"/>
                <w:szCs w:val="20"/>
              </w:rPr>
              <w:t xml:space="preserve"> of 1824/2107)</w:t>
            </w:r>
          </w:p>
          <w:p w:rsidR="00B53C5B" w:rsidRPr="00B96D2D" w:rsidRDefault="00B53C5B" w:rsidP="00DF6FF3">
            <w:pPr>
              <w:spacing w:after="120"/>
              <w:jc w:val="center"/>
              <w:rPr>
                <w:sz w:val="20"/>
                <w:szCs w:val="20"/>
              </w:rPr>
            </w:pPr>
            <w:r>
              <w:rPr>
                <w:sz w:val="20"/>
                <w:szCs w:val="20"/>
              </w:rPr>
              <w:t>HFO-Blends</w:t>
            </w:r>
            <w:r w:rsidR="002350DC">
              <w:rPr>
                <w:sz w:val="20"/>
                <w:szCs w:val="20"/>
              </w:rPr>
              <w:t xml:space="preserve"> under examination </w:t>
            </w:r>
            <w:r>
              <w:rPr>
                <w:sz w:val="20"/>
                <w:szCs w:val="20"/>
              </w:rPr>
              <w:t>(</w:t>
            </w:r>
            <w:r w:rsidRPr="00DF6FF3">
              <w:rPr>
                <w:sz w:val="20"/>
                <w:szCs w:val="20"/>
              </w:rPr>
              <w:t xml:space="preserve">Refer </w:t>
            </w:r>
            <w:r w:rsidRPr="00DF6FF3">
              <w:rPr>
                <w:i/>
                <w:sz w:val="20"/>
                <w:szCs w:val="20"/>
              </w:rPr>
              <w:t xml:space="preserve">Table </w:t>
            </w:r>
            <w:r w:rsidR="00DF6FF3" w:rsidRPr="00DF6FF3">
              <w:rPr>
                <w:i/>
                <w:sz w:val="20"/>
                <w:szCs w:val="20"/>
              </w:rPr>
              <w:t>3</w:t>
            </w:r>
            <w:r w:rsidRPr="00DF6FF3">
              <w:rPr>
                <w:sz w:val="20"/>
                <w:szCs w:val="20"/>
              </w:rPr>
              <w:t>)</w:t>
            </w:r>
          </w:p>
        </w:tc>
      </w:tr>
      <w:tr w:rsidR="008F2CD7" w:rsidRPr="003B1752" w:rsidTr="000770E1">
        <w:tc>
          <w:tcPr>
            <w:tcW w:w="10065" w:type="dxa"/>
            <w:gridSpan w:val="4"/>
            <w:vAlign w:val="center"/>
          </w:tcPr>
          <w:p w:rsidR="008F2CD7" w:rsidRPr="006379E3" w:rsidRDefault="005715DE" w:rsidP="005715DE">
            <w:pPr>
              <w:spacing w:before="60" w:after="60"/>
              <w:rPr>
                <w:i/>
                <w:szCs w:val="22"/>
              </w:rPr>
            </w:pPr>
            <w:bookmarkStart w:id="7" w:name="_Toc257359969"/>
            <w:r w:rsidRPr="007F343E">
              <w:rPr>
                <w:rFonts w:cs="Times New Roman"/>
                <w:i/>
                <w:sz w:val="20"/>
              </w:rPr>
              <w:t xml:space="preserve">Figure </w:t>
            </w:r>
            <w:r w:rsidR="00B41499" w:rsidRPr="007F343E">
              <w:rPr>
                <w:rFonts w:cs="Times New Roman"/>
                <w:i/>
                <w:sz w:val="20"/>
              </w:rPr>
              <w:fldChar w:fldCharType="begin"/>
            </w:r>
            <w:r w:rsidRPr="007F343E">
              <w:rPr>
                <w:rFonts w:cs="Times New Roman"/>
                <w:i/>
                <w:sz w:val="20"/>
              </w:rPr>
              <w:instrText xml:space="preserve"> SEQ Figure \* ARABIC </w:instrText>
            </w:r>
            <w:r w:rsidR="00B41499" w:rsidRPr="007F343E">
              <w:rPr>
                <w:rFonts w:cs="Times New Roman"/>
                <w:i/>
                <w:sz w:val="20"/>
              </w:rPr>
              <w:fldChar w:fldCharType="separate"/>
            </w:r>
            <w:r w:rsidR="008E0DB9">
              <w:rPr>
                <w:rFonts w:cs="Times New Roman"/>
                <w:i/>
                <w:noProof/>
                <w:sz w:val="20"/>
              </w:rPr>
              <w:t>1</w:t>
            </w:r>
            <w:r w:rsidR="00B41499" w:rsidRPr="007F343E">
              <w:rPr>
                <w:rFonts w:cs="Times New Roman"/>
                <w:i/>
                <w:sz w:val="20"/>
              </w:rPr>
              <w:fldChar w:fldCharType="end"/>
            </w:r>
            <w:r w:rsidRPr="00613398">
              <w:rPr>
                <w:rFonts w:cs="Times New Roman"/>
                <w:i/>
                <w:sz w:val="20"/>
              </w:rPr>
              <w:t xml:space="preserve">: </w:t>
            </w:r>
            <w:r w:rsidR="008F2CD7" w:rsidRPr="006379E3">
              <w:rPr>
                <w:i/>
                <w:noProof/>
                <w:szCs w:val="22"/>
                <w:lang w:val="en-US"/>
              </w:rPr>
              <w:t xml:space="preserve">Refrigerant types </w:t>
            </w:r>
            <w:r w:rsidR="008F2CD7">
              <w:rPr>
                <w:i/>
                <w:noProof/>
                <w:szCs w:val="22"/>
                <w:lang w:val="en-US"/>
              </w:rPr>
              <w:t xml:space="preserve">and </w:t>
            </w:r>
            <w:r w:rsidR="008F2CD7" w:rsidRPr="006379E3">
              <w:rPr>
                <w:i/>
                <w:noProof/>
                <w:szCs w:val="22"/>
                <w:lang w:val="en-US"/>
              </w:rPr>
              <w:t>international industrial gas management regimes.</w:t>
            </w:r>
            <w:bookmarkEnd w:id="7"/>
          </w:p>
        </w:tc>
      </w:tr>
    </w:tbl>
    <w:p w:rsidR="00B17DCE" w:rsidRDefault="00B17DCE" w:rsidP="008839E1"/>
    <w:p w:rsidR="008005E5" w:rsidRDefault="004D4D52" w:rsidP="008005E5">
      <w:pPr>
        <w:pStyle w:val="FootnoteText"/>
        <w:spacing w:before="120"/>
        <w:rPr>
          <w:rFonts w:ascii="Times New Roman" w:hAnsi="Times New Roman"/>
          <w:i w:val="0"/>
          <w:sz w:val="22"/>
        </w:rPr>
      </w:pPr>
      <w:r>
        <w:rPr>
          <w:rFonts w:ascii="Times New Roman" w:hAnsi="Times New Roman"/>
          <w:i w:val="0"/>
          <w:sz w:val="22"/>
        </w:rPr>
        <w:t xml:space="preserve">While the natural refrigerants are not subject to controls under the framework of international treaties referred to in </w:t>
      </w:r>
      <w:r w:rsidRPr="009F442D">
        <w:rPr>
          <w:rFonts w:ascii="Times New Roman" w:hAnsi="Times New Roman"/>
          <w:sz w:val="22"/>
        </w:rPr>
        <w:t xml:space="preserve">Figure </w:t>
      </w:r>
      <w:r w:rsidR="00625793">
        <w:rPr>
          <w:rFonts w:ascii="Times New Roman" w:hAnsi="Times New Roman"/>
          <w:sz w:val="22"/>
        </w:rPr>
        <w:t>1</w:t>
      </w:r>
      <w:r>
        <w:rPr>
          <w:rFonts w:ascii="Times New Roman" w:hAnsi="Times New Roman"/>
          <w:i w:val="0"/>
          <w:sz w:val="22"/>
        </w:rPr>
        <w:t xml:space="preserve"> above, in Australia there are a range of regulations, codes and standards that apply to the handling of these gases because they present some degree of risk to human health either due to toxicity or flammability</w:t>
      </w:r>
      <w:r w:rsidR="00157886">
        <w:rPr>
          <w:rFonts w:ascii="Times New Roman" w:hAnsi="Times New Roman"/>
          <w:i w:val="0"/>
          <w:sz w:val="22"/>
        </w:rPr>
        <w:t>, at both the State and Federal level</w:t>
      </w:r>
      <w:r>
        <w:rPr>
          <w:rFonts w:ascii="Times New Roman" w:hAnsi="Times New Roman"/>
          <w:i w:val="0"/>
          <w:sz w:val="22"/>
        </w:rPr>
        <w:t>.</w:t>
      </w:r>
      <w:r w:rsidR="008005E5">
        <w:rPr>
          <w:rFonts w:ascii="Times New Roman" w:hAnsi="Times New Roman"/>
          <w:i w:val="0"/>
          <w:sz w:val="22"/>
        </w:rPr>
        <w:t xml:space="preserve"> </w:t>
      </w:r>
      <w:r w:rsidR="008005E5" w:rsidRPr="009F442D">
        <w:rPr>
          <w:rFonts w:ascii="Times New Roman" w:hAnsi="Times New Roman"/>
          <w:i w:val="0"/>
          <w:sz w:val="22"/>
        </w:rPr>
        <w:t>The term ‘natural’</w:t>
      </w:r>
      <w:r w:rsidR="008005E5">
        <w:rPr>
          <w:rFonts w:ascii="Times New Roman" w:hAnsi="Times New Roman"/>
          <w:i w:val="0"/>
          <w:sz w:val="22"/>
        </w:rPr>
        <w:t xml:space="preserve"> refrigerant may</w:t>
      </w:r>
      <w:r w:rsidR="008005E5" w:rsidRPr="004D4D52">
        <w:rPr>
          <w:rFonts w:ascii="Times New Roman" w:hAnsi="Times New Roman"/>
          <w:i w:val="0"/>
          <w:sz w:val="22"/>
        </w:rPr>
        <w:t xml:space="preserve"> impl</w:t>
      </w:r>
      <w:r w:rsidR="008005E5">
        <w:rPr>
          <w:rFonts w:ascii="Times New Roman" w:hAnsi="Times New Roman"/>
          <w:i w:val="0"/>
          <w:sz w:val="22"/>
        </w:rPr>
        <w:t xml:space="preserve">y that the fluids </w:t>
      </w:r>
      <w:r w:rsidR="008005E5" w:rsidRPr="009F442D">
        <w:rPr>
          <w:rFonts w:ascii="Times New Roman" w:hAnsi="Times New Roman"/>
          <w:i w:val="0"/>
          <w:sz w:val="22"/>
        </w:rPr>
        <w:t xml:space="preserve">occur in nature as a result of geological and/or biological processes, unlike fluorinated refrigerants that are synthesized chemicals. However it has to be noted </w:t>
      </w:r>
      <w:r w:rsidR="008005E5" w:rsidRPr="004D4D52">
        <w:rPr>
          <w:rFonts w:ascii="Times New Roman" w:hAnsi="Times New Roman"/>
          <w:i w:val="0"/>
          <w:sz w:val="22"/>
        </w:rPr>
        <w:t>that all ‘natural’ refrigerants</w:t>
      </w:r>
      <w:r w:rsidR="008005E5">
        <w:rPr>
          <w:rFonts w:ascii="Times New Roman" w:hAnsi="Times New Roman"/>
          <w:i w:val="0"/>
          <w:sz w:val="22"/>
        </w:rPr>
        <w:t xml:space="preserve">, while being found in nature in various forms and from various sources, as refrigerants, </w:t>
      </w:r>
      <w:r w:rsidR="008005E5" w:rsidRPr="009F442D">
        <w:rPr>
          <w:rFonts w:ascii="Times New Roman" w:hAnsi="Times New Roman"/>
          <w:i w:val="0"/>
          <w:sz w:val="22"/>
        </w:rPr>
        <w:t>are refined and compressed by bulk gas manufacturers</w:t>
      </w:r>
      <w:r w:rsidR="008005E5">
        <w:rPr>
          <w:rFonts w:ascii="Times New Roman" w:hAnsi="Times New Roman"/>
          <w:i w:val="0"/>
          <w:sz w:val="22"/>
        </w:rPr>
        <w:t>,</w:t>
      </w:r>
      <w:r w:rsidR="008005E5" w:rsidRPr="009F442D">
        <w:rPr>
          <w:rFonts w:ascii="Times New Roman" w:hAnsi="Times New Roman"/>
          <w:i w:val="0"/>
          <w:sz w:val="22"/>
        </w:rPr>
        <w:t xml:space="preserve"> and transported like other commercial gases</w:t>
      </w:r>
      <w:r w:rsidR="008005E5">
        <w:rPr>
          <w:rFonts w:ascii="Times New Roman" w:hAnsi="Times New Roman"/>
          <w:i w:val="0"/>
          <w:sz w:val="22"/>
        </w:rPr>
        <w:t>. As such natural refrigerants</w:t>
      </w:r>
      <w:r w:rsidR="008005E5" w:rsidRPr="009F442D">
        <w:rPr>
          <w:rFonts w:ascii="Times New Roman" w:hAnsi="Times New Roman"/>
          <w:i w:val="0"/>
          <w:sz w:val="22"/>
        </w:rPr>
        <w:t xml:space="preserve"> also have an ‘energy investment’ in their creation, storage and transport.</w:t>
      </w:r>
      <w:r w:rsidR="008005E5">
        <w:rPr>
          <w:rFonts w:ascii="Times New Roman" w:hAnsi="Times New Roman"/>
          <w:i w:val="0"/>
          <w:sz w:val="22"/>
        </w:rPr>
        <w:t xml:space="preserve"> </w:t>
      </w:r>
    </w:p>
    <w:p w:rsidR="004D4D52" w:rsidRPr="009F442D" w:rsidRDefault="004D4D52" w:rsidP="009F442D">
      <w:pPr>
        <w:pStyle w:val="FootnoteText"/>
        <w:spacing w:before="120"/>
        <w:rPr>
          <w:rFonts w:ascii="Times New Roman" w:hAnsi="Times New Roman"/>
          <w:i w:val="0"/>
          <w:sz w:val="22"/>
        </w:rPr>
      </w:pPr>
    </w:p>
    <w:p w:rsidR="008839E1" w:rsidRDefault="004D4D52" w:rsidP="008839E1">
      <w:r>
        <w:t xml:space="preserve">These natural refrigerants were first employed prior to the development of any synthetic refrigerants and it was those same properties of toxicity and flammability that drove the search for refrigerants that did not pose any of those risks. </w:t>
      </w:r>
      <w:r w:rsidR="008839E1">
        <w:t>I</w:t>
      </w:r>
      <w:r w:rsidR="008839E1" w:rsidRPr="00AE32DA">
        <w:t xml:space="preserve">n the </w:t>
      </w:r>
      <w:r w:rsidR="008839E1">
        <w:t xml:space="preserve">first and second generations of </w:t>
      </w:r>
      <w:r w:rsidR="00B17DCE">
        <w:t xml:space="preserve">synthetic </w:t>
      </w:r>
      <w:r w:rsidR="008839E1">
        <w:t>refrigerants the</w:t>
      </w:r>
      <w:r w:rsidR="008839E1" w:rsidRPr="00AE32DA">
        <w:t xml:space="preserve"> primary focus was simply on finding a refrigerant that would provide effective cooling</w:t>
      </w:r>
      <w:r>
        <w:t xml:space="preserve"> while being non-flammable and non-toxic</w:t>
      </w:r>
      <w:r w:rsidR="008839E1" w:rsidRPr="00AE32DA">
        <w:t>.</w:t>
      </w:r>
      <w:r w:rsidR="008839E1">
        <w:t xml:space="preserve"> In the 1970s </w:t>
      </w:r>
      <w:r>
        <w:t xml:space="preserve">however </w:t>
      </w:r>
      <w:r w:rsidR="008839E1">
        <w:t>scientists discovered that CFCs</w:t>
      </w:r>
      <w:r>
        <w:t>,</w:t>
      </w:r>
      <w:r w:rsidR="008839E1">
        <w:t xml:space="preserve"> and to a lesser extent HCFCs were </w:t>
      </w:r>
      <w:r>
        <w:t xml:space="preserve">causing </w:t>
      </w:r>
      <w:r w:rsidR="008839E1">
        <w:t xml:space="preserve">depletion of the ozone layer, which lead to the Montreal Protocol </w:t>
      </w:r>
      <w:r>
        <w:t xml:space="preserve">and </w:t>
      </w:r>
      <w:r w:rsidR="008839E1">
        <w:t xml:space="preserve">to </w:t>
      </w:r>
      <w:r>
        <w:t xml:space="preserve">a </w:t>
      </w:r>
      <w:r w:rsidR="008839E1">
        <w:t xml:space="preserve">phase </w:t>
      </w:r>
      <w:r w:rsidR="00BC7FF8">
        <w:t xml:space="preserve">out </w:t>
      </w:r>
      <w:r>
        <w:t xml:space="preserve">of </w:t>
      </w:r>
      <w:r w:rsidR="008839E1">
        <w:t xml:space="preserve">CFCs and HCFCs, and commercialisation </w:t>
      </w:r>
      <w:r>
        <w:t xml:space="preserve">of </w:t>
      </w:r>
      <w:r w:rsidR="008839E1">
        <w:t xml:space="preserve">HFCs. </w:t>
      </w:r>
      <w:r>
        <w:t xml:space="preserve">While HFCs are now the subject of scrutiny due to </w:t>
      </w:r>
      <w:r w:rsidR="00821BA8">
        <w:t xml:space="preserve">their </w:t>
      </w:r>
      <w:r>
        <w:t>global warming effect, a lot more is demanded of refrigerants today, and a lot more options are available. T</w:t>
      </w:r>
      <w:r w:rsidR="008839E1">
        <w:t>oday, the range of considerations when selecting the right refrigerant for an application is far more complex</w:t>
      </w:r>
      <w:r w:rsidR="00B47CF0">
        <w:t xml:space="preserve">. They </w:t>
      </w:r>
      <w:r w:rsidR="00B17DCE">
        <w:t>include</w:t>
      </w:r>
      <w:r w:rsidR="008839E1">
        <w:t>:</w:t>
      </w:r>
    </w:p>
    <w:p w:rsidR="004D4D52" w:rsidRPr="009F442D" w:rsidRDefault="004D4D52" w:rsidP="00E97935">
      <w:pPr>
        <w:pStyle w:val="ListParagraph"/>
        <w:numPr>
          <w:ilvl w:val="0"/>
          <w:numId w:val="28"/>
        </w:numPr>
        <w:spacing w:before="120" w:after="0" w:line="240" w:lineRule="auto"/>
        <w:ind w:left="357" w:hanging="357"/>
        <w:contextualSpacing w:val="0"/>
        <w:jc w:val="both"/>
        <w:rPr>
          <w:rFonts w:ascii="Times New Roman" w:hAnsi="Times New Roman"/>
        </w:rPr>
      </w:pPr>
      <w:r w:rsidRPr="0020782C">
        <w:rPr>
          <w:rFonts w:ascii="Times New Roman" w:hAnsi="Times New Roman"/>
          <w:b/>
        </w:rPr>
        <w:t>Safety risks</w:t>
      </w:r>
      <w:r w:rsidRPr="00E841E6">
        <w:rPr>
          <w:rFonts w:ascii="Times New Roman" w:hAnsi="Times New Roman"/>
        </w:rPr>
        <w:t xml:space="preserve"> and </w:t>
      </w:r>
      <w:r>
        <w:rPr>
          <w:rFonts w:ascii="Times New Roman" w:hAnsi="Times New Roman"/>
        </w:rPr>
        <w:t>probabilities</w:t>
      </w:r>
      <w:r w:rsidRPr="00E841E6">
        <w:rPr>
          <w:rFonts w:ascii="Times New Roman" w:hAnsi="Times New Roman"/>
        </w:rPr>
        <w:t xml:space="preserve"> due to flammability and toxicity </w:t>
      </w:r>
      <w:r>
        <w:rPr>
          <w:rFonts w:ascii="Times New Roman" w:hAnsi="Times New Roman"/>
        </w:rPr>
        <w:t>of substances (</w:t>
      </w:r>
      <w:r w:rsidRPr="00E841E6">
        <w:rPr>
          <w:rFonts w:ascii="Times New Roman" w:hAnsi="Times New Roman"/>
        </w:rPr>
        <w:t>classifications defined by tech</w:t>
      </w:r>
      <w:r>
        <w:rPr>
          <w:rFonts w:ascii="Times New Roman" w:hAnsi="Times New Roman"/>
        </w:rPr>
        <w:t>nical standards and regulations) and the circumstances of the refrigerating application</w:t>
      </w:r>
      <w:r w:rsidR="00465969">
        <w:rPr>
          <w:rFonts w:ascii="Times New Roman" w:hAnsi="Times New Roman"/>
        </w:rPr>
        <w:t>;</w:t>
      </w:r>
      <w:r w:rsidRPr="00246D4F">
        <w:rPr>
          <w:rFonts w:ascii="Times New Roman" w:hAnsi="Times New Roman"/>
          <w:b/>
        </w:rPr>
        <w:t xml:space="preserve"> </w:t>
      </w:r>
    </w:p>
    <w:p w:rsidR="008839E1" w:rsidRPr="00E841E6" w:rsidRDefault="008839E1" w:rsidP="00E97935">
      <w:pPr>
        <w:pStyle w:val="ListParagraph"/>
        <w:numPr>
          <w:ilvl w:val="0"/>
          <w:numId w:val="28"/>
        </w:numPr>
        <w:spacing w:before="120" w:after="0" w:line="240" w:lineRule="auto"/>
        <w:ind w:left="357" w:hanging="357"/>
        <w:contextualSpacing w:val="0"/>
        <w:jc w:val="both"/>
        <w:rPr>
          <w:rFonts w:ascii="Times New Roman" w:hAnsi="Times New Roman"/>
        </w:rPr>
      </w:pPr>
      <w:r w:rsidRPr="00246D4F">
        <w:rPr>
          <w:rFonts w:ascii="Times New Roman" w:hAnsi="Times New Roman"/>
          <w:b/>
        </w:rPr>
        <w:t>Thermodynamic properties</w:t>
      </w:r>
      <w:r w:rsidRPr="00E841E6">
        <w:rPr>
          <w:rFonts w:ascii="Times New Roman" w:hAnsi="Times New Roman"/>
        </w:rPr>
        <w:t xml:space="preserve"> of the refrigerant (i.e. co-efficient of performance, capacity, glide, pressure and tempera</w:t>
      </w:r>
      <w:r w:rsidR="00465969">
        <w:rPr>
          <w:rFonts w:ascii="Times New Roman" w:hAnsi="Times New Roman"/>
        </w:rPr>
        <w:t>ture operating envelopes, etc.);</w:t>
      </w:r>
      <w:r w:rsidR="004D4D52">
        <w:rPr>
          <w:rFonts w:ascii="Times New Roman" w:hAnsi="Times New Roman"/>
        </w:rPr>
        <w:t xml:space="preserve"> and</w:t>
      </w:r>
      <w:r w:rsidR="008005E5">
        <w:rPr>
          <w:rFonts w:ascii="Times New Roman" w:hAnsi="Times New Roman"/>
        </w:rPr>
        <w:t>,</w:t>
      </w:r>
    </w:p>
    <w:p w:rsidR="008839E1" w:rsidRPr="00465969" w:rsidRDefault="008839E1" w:rsidP="00E97935">
      <w:pPr>
        <w:pStyle w:val="ListParagraph"/>
        <w:numPr>
          <w:ilvl w:val="0"/>
          <w:numId w:val="28"/>
        </w:numPr>
        <w:spacing w:before="120" w:after="0" w:line="240" w:lineRule="auto"/>
        <w:ind w:left="357" w:hanging="357"/>
        <w:contextualSpacing w:val="0"/>
        <w:jc w:val="both"/>
        <w:rPr>
          <w:rFonts w:ascii="Times New Roman" w:hAnsi="Times New Roman"/>
        </w:rPr>
      </w:pPr>
      <w:r w:rsidRPr="00465969">
        <w:rPr>
          <w:rFonts w:ascii="Times New Roman" w:hAnsi="Times New Roman"/>
          <w:b/>
        </w:rPr>
        <w:t>Life cycle carbon emissions</w:t>
      </w:r>
      <w:r w:rsidRPr="00465969">
        <w:rPr>
          <w:rFonts w:ascii="Times New Roman" w:hAnsi="Times New Roman"/>
        </w:rPr>
        <w:t xml:space="preserve"> (i.e. direct, indirect and end of life), which encompasses refrigerant GWP, equipment efficiencies or co-efficient of performance and total system energy consumption.</w:t>
      </w:r>
    </w:p>
    <w:p w:rsidR="008839E1" w:rsidRPr="00DD26A2" w:rsidRDefault="008839E1" w:rsidP="008F2CD7">
      <w:pPr>
        <w:rPr>
          <w:rFonts w:cs="Times New Roman"/>
          <w:szCs w:val="22"/>
        </w:rPr>
      </w:pPr>
    </w:p>
    <w:p w:rsidR="00C846B3" w:rsidRPr="00462F73" w:rsidRDefault="00C846B3" w:rsidP="00C846B3">
      <w:pPr>
        <w:pStyle w:val="Heading2"/>
        <w:ind w:left="576"/>
      </w:pPr>
      <w:bookmarkStart w:id="8" w:name="_Toc257359944"/>
      <w:r w:rsidRPr="00462F73">
        <w:t>The NAA Proposal</w:t>
      </w:r>
      <w:bookmarkEnd w:id="8"/>
    </w:p>
    <w:p w:rsidR="00D14CF4" w:rsidRPr="0039607F" w:rsidRDefault="00D14CF4" w:rsidP="00D14CF4">
      <w:pPr>
        <w:rPr>
          <w:rFonts w:cs="Times New Roman"/>
          <w:szCs w:val="22"/>
        </w:rPr>
      </w:pPr>
      <w:r w:rsidRPr="0039607F">
        <w:rPr>
          <w:rFonts w:cs="Times New Roman"/>
          <w:szCs w:val="22"/>
        </w:rPr>
        <w:t xml:space="preserve">While the Parties to the Montreal Protocol are </w:t>
      </w:r>
      <w:r>
        <w:rPr>
          <w:rFonts w:cs="Times New Roman"/>
          <w:szCs w:val="22"/>
        </w:rPr>
        <w:t>likely</w:t>
      </w:r>
      <w:r w:rsidRPr="0039607F">
        <w:rPr>
          <w:rFonts w:cs="Times New Roman"/>
          <w:szCs w:val="22"/>
        </w:rPr>
        <w:t xml:space="preserve"> to see new versions of the NAA proposal submitted to it for consideration in 2014, the essential framework that has already been articulated in existing </w:t>
      </w:r>
      <w:r w:rsidR="003E32D8">
        <w:rPr>
          <w:rFonts w:cs="Times New Roman"/>
          <w:szCs w:val="22"/>
        </w:rPr>
        <w:t>versions</w:t>
      </w:r>
      <w:r w:rsidR="003E32D8" w:rsidRPr="0039607F">
        <w:rPr>
          <w:rFonts w:cs="Times New Roman"/>
          <w:szCs w:val="22"/>
        </w:rPr>
        <w:t xml:space="preserve"> </w:t>
      </w:r>
      <w:r w:rsidRPr="0039607F">
        <w:rPr>
          <w:rFonts w:cs="Times New Roman"/>
          <w:szCs w:val="22"/>
        </w:rPr>
        <w:t>of the NAA are likely to comprise the central features of future proposals.</w:t>
      </w:r>
    </w:p>
    <w:p w:rsidR="008F2CD7" w:rsidRPr="00C27776" w:rsidRDefault="008F2CD7" w:rsidP="008F2CD7">
      <w:pPr>
        <w:rPr>
          <w:rFonts w:cs="Times New Roman"/>
          <w:szCs w:val="22"/>
        </w:rPr>
      </w:pPr>
      <w:r w:rsidRPr="0039607F">
        <w:rPr>
          <w:rFonts w:cs="Times New Roman"/>
          <w:szCs w:val="22"/>
        </w:rPr>
        <w:t xml:space="preserve">The </w:t>
      </w:r>
      <w:r w:rsidR="00DD26A2">
        <w:rPr>
          <w:rFonts w:cs="Times New Roman"/>
          <w:szCs w:val="22"/>
        </w:rPr>
        <w:t xml:space="preserve">intent of the </w:t>
      </w:r>
      <w:r w:rsidRPr="0039607F">
        <w:rPr>
          <w:rFonts w:cs="Times New Roman"/>
          <w:szCs w:val="22"/>
        </w:rPr>
        <w:t>NAA proposal</w:t>
      </w:r>
      <w:r w:rsidR="00DD26A2">
        <w:rPr>
          <w:rFonts w:cs="Times New Roman"/>
          <w:szCs w:val="22"/>
        </w:rPr>
        <w:t xml:space="preserve"> </w:t>
      </w:r>
      <w:r w:rsidRPr="0039607F">
        <w:rPr>
          <w:rFonts w:cs="Times New Roman"/>
          <w:szCs w:val="22"/>
        </w:rPr>
        <w:t>has been lent some considerable international momentum with</w:t>
      </w:r>
      <w:r w:rsidR="00A1779A">
        <w:rPr>
          <w:rFonts w:cs="Times New Roman"/>
          <w:szCs w:val="22"/>
        </w:rPr>
        <w:t xml:space="preserve"> </w:t>
      </w:r>
      <w:r w:rsidR="00EB6A32">
        <w:rPr>
          <w:rFonts w:cs="Times New Roman"/>
          <w:szCs w:val="22"/>
        </w:rPr>
        <w:t xml:space="preserve">the </w:t>
      </w:r>
      <w:r w:rsidR="00A1779A">
        <w:rPr>
          <w:rFonts w:cs="Times New Roman"/>
          <w:szCs w:val="22"/>
        </w:rPr>
        <w:t>recent</w:t>
      </w:r>
      <w:r w:rsidRPr="0039607F">
        <w:rPr>
          <w:rFonts w:cs="Times New Roman"/>
          <w:szCs w:val="22"/>
        </w:rPr>
        <w:t xml:space="preserve"> announcement of a</w:t>
      </w:r>
      <w:r w:rsidR="00DD26A2">
        <w:rPr>
          <w:rFonts w:cs="Times New Roman"/>
          <w:szCs w:val="22"/>
        </w:rPr>
        <w:t xml:space="preserve"> </w:t>
      </w:r>
      <w:r w:rsidRPr="0039607F">
        <w:rPr>
          <w:rFonts w:cs="Times New Roman"/>
          <w:szCs w:val="22"/>
        </w:rPr>
        <w:t>bilateral agreement, reached between President Barrack Obama of the USA and President Xi Jinping of the Peoples Republic of China</w:t>
      </w:r>
      <w:r w:rsidR="00DD26A2">
        <w:rPr>
          <w:rFonts w:cs="Times New Roman"/>
          <w:szCs w:val="22"/>
        </w:rPr>
        <w:t>.</w:t>
      </w:r>
      <w:r w:rsidR="00027A98">
        <w:rPr>
          <w:rFonts w:cs="Times New Roman"/>
          <w:szCs w:val="22"/>
        </w:rPr>
        <w:t xml:space="preserve"> </w:t>
      </w:r>
      <w:r w:rsidR="00DD26A2">
        <w:rPr>
          <w:rFonts w:cs="Times New Roman"/>
          <w:szCs w:val="22"/>
        </w:rPr>
        <w:t>I</w:t>
      </w:r>
      <w:r w:rsidRPr="0039607F">
        <w:rPr>
          <w:rFonts w:cs="Times New Roman"/>
          <w:szCs w:val="22"/>
        </w:rPr>
        <w:t xml:space="preserve">n June 2013, </w:t>
      </w:r>
      <w:r w:rsidR="00DD26A2">
        <w:rPr>
          <w:rFonts w:cs="Times New Roman"/>
          <w:szCs w:val="22"/>
        </w:rPr>
        <w:t xml:space="preserve">following a meeting of the two Presidents, </w:t>
      </w:r>
      <w:r w:rsidR="00A1779A">
        <w:rPr>
          <w:rFonts w:cs="Times New Roman"/>
          <w:szCs w:val="22"/>
        </w:rPr>
        <w:t>i</w:t>
      </w:r>
      <w:r w:rsidR="00DD26A2">
        <w:rPr>
          <w:rFonts w:cs="Times New Roman"/>
          <w:szCs w:val="22"/>
        </w:rPr>
        <w:t xml:space="preserve">t was announced that </w:t>
      </w:r>
      <w:r w:rsidRPr="0039607F">
        <w:rPr>
          <w:rFonts w:cs="Times New Roman"/>
          <w:szCs w:val="22"/>
        </w:rPr>
        <w:t xml:space="preserve">the two countries would </w:t>
      </w:r>
      <w:r w:rsidRPr="003F61A2">
        <w:rPr>
          <w:rFonts w:cs="Times New Roman"/>
          <w:i/>
          <w:szCs w:val="22"/>
        </w:rPr>
        <w:t>“work together and with other countries to use the expertise and institutions of the Montreal Protocol to phase down the consumption and production of HFCs, among other forms of multilateral cooperation.”</w:t>
      </w:r>
      <w:r w:rsidR="00C27776">
        <w:rPr>
          <w:rFonts w:cs="Times New Roman"/>
          <w:i/>
          <w:szCs w:val="22"/>
        </w:rPr>
        <w:t xml:space="preserve">  </w:t>
      </w:r>
      <w:r w:rsidR="00C27776" w:rsidRPr="00C27776">
        <w:rPr>
          <w:rFonts w:cs="Times New Roman"/>
          <w:szCs w:val="22"/>
        </w:rPr>
        <w:t xml:space="preserve">In addition, </w:t>
      </w:r>
      <w:r w:rsidR="00C27776">
        <w:rPr>
          <w:rFonts w:cs="Times New Roman"/>
          <w:szCs w:val="22"/>
        </w:rPr>
        <w:t>in September 2013, the G20 Leaders statement supported a phase-down of HFCs using the mechanisms of the Montreal Protocol.</w:t>
      </w:r>
    </w:p>
    <w:p w:rsidR="00C27776" w:rsidRDefault="00396FA8" w:rsidP="008F2CD7">
      <w:pPr>
        <w:rPr>
          <w:rFonts w:cs="Times New Roman"/>
          <w:szCs w:val="22"/>
        </w:rPr>
      </w:pPr>
      <w:r>
        <w:rPr>
          <w:rFonts w:cs="Times New Roman"/>
          <w:szCs w:val="22"/>
        </w:rPr>
        <w:t xml:space="preserve">New </w:t>
      </w:r>
      <w:r w:rsidR="008F2CD7" w:rsidRPr="0039607F">
        <w:rPr>
          <w:rFonts w:cs="Times New Roman"/>
          <w:szCs w:val="22"/>
        </w:rPr>
        <w:t>plans to reduce the use of HFCs in the E</w:t>
      </w:r>
      <w:r w:rsidR="00EB6A32">
        <w:rPr>
          <w:rFonts w:cs="Times New Roman"/>
          <w:szCs w:val="22"/>
        </w:rPr>
        <w:t xml:space="preserve">uropean </w:t>
      </w:r>
      <w:r w:rsidR="008F2CD7" w:rsidRPr="0039607F">
        <w:rPr>
          <w:rFonts w:cs="Times New Roman"/>
          <w:szCs w:val="22"/>
        </w:rPr>
        <w:t>U</w:t>
      </w:r>
      <w:r w:rsidR="00EB6A32">
        <w:rPr>
          <w:rFonts w:cs="Times New Roman"/>
          <w:szCs w:val="22"/>
        </w:rPr>
        <w:t>nion</w:t>
      </w:r>
      <w:r>
        <w:rPr>
          <w:rFonts w:cs="Times New Roman"/>
          <w:szCs w:val="22"/>
        </w:rPr>
        <w:t xml:space="preserve"> have also been proposed</w:t>
      </w:r>
      <w:r w:rsidR="008F2CD7" w:rsidRPr="0039607F">
        <w:rPr>
          <w:rFonts w:cs="Times New Roman"/>
          <w:szCs w:val="22"/>
        </w:rPr>
        <w:t xml:space="preserve">. There are already requirements for European auto manufacturers to move to lower or zero GWP alternatives gases in mobile </w:t>
      </w:r>
      <w:r w:rsidR="00695864">
        <w:rPr>
          <w:rFonts w:cs="Times New Roman"/>
          <w:szCs w:val="22"/>
        </w:rPr>
        <w:t xml:space="preserve">air conditioning </w:t>
      </w:r>
      <w:r w:rsidR="00574E1E">
        <w:rPr>
          <w:rFonts w:cs="Times New Roman"/>
          <w:szCs w:val="22"/>
        </w:rPr>
        <w:t>systems</w:t>
      </w:r>
      <w:r w:rsidR="008F2CD7" w:rsidRPr="0039607F">
        <w:rPr>
          <w:rFonts w:cs="Times New Roman"/>
          <w:szCs w:val="22"/>
        </w:rPr>
        <w:t xml:space="preserve">, however new regulations </w:t>
      </w:r>
      <w:r>
        <w:rPr>
          <w:rFonts w:cs="Times New Roman"/>
          <w:szCs w:val="22"/>
        </w:rPr>
        <w:t xml:space="preserve">have been proposed </w:t>
      </w:r>
      <w:r w:rsidR="008F2CD7" w:rsidRPr="0039607F">
        <w:rPr>
          <w:rFonts w:cs="Times New Roman"/>
          <w:szCs w:val="22"/>
        </w:rPr>
        <w:t xml:space="preserve">reducing HFC use across all applications by </w:t>
      </w:r>
      <w:r>
        <w:rPr>
          <w:rFonts w:cs="Times New Roman"/>
          <w:szCs w:val="22"/>
        </w:rPr>
        <w:t>79</w:t>
      </w:r>
      <w:r w:rsidR="008F2CD7" w:rsidRPr="0039607F">
        <w:rPr>
          <w:rFonts w:cs="Times New Roman"/>
          <w:szCs w:val="22"/>
        </w:rPr>
        <w:t>% in Europe by 2030.</w:t>
      </w:r>
      <w:r w:rsidR="00695864">
        <w:rPr>
          <w:rFonts w:cs="Times New Roman"/>
          <w:szCs w:val="22"/>
        </w:rPr>
        <w:t xml:space="preserve"> </w:t>
      </w:r>
    </w:p>
    <w:p w:rsidR="008F2CD7" w:rsidRPr="0039607F" w:rsidRDefault="00695864" w:rsidP="008F2CD7">
      <w:pPr>
        <w:rPr>
          <w:rFonts w:cs="Times New Roman"/>
          <w:szCs w:val="22"/>
        </w:rPr>
      </w:pPr>
      <w:r>
        <w:rPr>
          <w:rFonts w:cs="Times New Roman"/>
          <w:szCs w:val="22"/>
        </w:rPr>
        <w:t>These developments on their own have the potential to drive significant change in the Australian market, irrespective of the outcomes of the NAA proposal.</w:t>
      </w:r>
    </w:p>
    <w:p w:rsidR="008F2CD7" w:rsidRPr="0039607F" w:rsidRDefault="008F2CD7" w:rsidP="008F2CD7">
      <w:pPr>
        <w:rPr>
          <w:rFonts w:cs="Times New Roman"/>
          <w:szCs w:val="22"/>
        </w:rPr>
      </w:pPr>
      <w:r w:rsidRPr="0039607F">
        <w:rPr>
          <w:rFonts w:cs="Times New Roman"/>
          <w:szCs w:val="22"/>
        </w:rPr>
        <w:t>These policy developments are driven in part by new scientific findings on the potential future role of HFCs in atmospheric forcing.  HFCs currently comprise less than 2% of global anthropogenic greenhouse gas emissions.</w:t>
      </w:r>
      <w:r w:rsidR="00C27776">
        <w:rPr>
          <w:rFonts w:cs="Times New Roman"/>
          <w:szCs w:val="22"/>
        </w:rPr>
        <w:t xml:space="preserve"> </w:t>
      </w:r>
      <w:r w:rsidRPr="0039607F">
        <w:rPr>
          <w:rFonts w:cs="Times New Roman"/>
          <w:szCs w:val="22"/>
        </w:rPr>
        <w:t xml:space="preserve">However, as </w:t>
      </w:r>
      <w:r w:rsidR="00D14CF4">
        <w:rPr>
          <w:rFonts w:cs="Times New Roman"/>
          <w:szCs w:val="22"/>
        </w:rPr>
        <w:t xml:space="preserve">the standard of living and disposable incomes in many </w:t>
      </w:r>
      <w:r w:rsidRPr="0039607F">
        <w:rPr>
          <w:rFonts w:cs="Times New Roman"/>
          <w:szCs w:val="22"/>
        </w:rPr>
        <w:t>developing countries</w:t>
      </w:r>
      <w:r w:rsidR="00027A98">
        <w:rPr>
          <w:rFonts w:cs="Times New Roman"/>
          <w:szCs w:val="22"/>
        </w:rPr>
        <w:t xml:space="preserve"> improves, and as they</w:t>
      </w:r>
      <w:r w:rsidRPr="0039607F">
        <w:rPr>
          <w:rFonts w:cs="Times New Roman"/>
          <w:szCs w:val="22"/>
        </w:rPr>
        <w:t xml:space="preserve"> prepare to eliminate HCFCs</w:t>
      </w:r>
      <w:r w:rsidR="00027A98">
        <w:rPr>
          <w:rFonts w:cs="Times New Roman"/>
          <w:szCs w:val="22"/>
        </w:rPr>
        <w:t xml:space="preserve"> under their Montreal Protocol obligations</w:t>
      </w:r>
      <w:r w:rsidRPr="0039607F">
        <w:rPr>
          <w:rFonts w:cs="Times New Roman"/>
          <w:szCs w:val="22"/>
        </w:rPr>
        <w:t>, the demand for HFCs is growing</w:t>
      </w:r>
      <w:r w:rsidR="00027A98">
        <w:rPr>
          <w:rFonts w:cs="Times New Roman"/>
          <w:szCs w:val="22"/>
        </w:rPr>
        <w:t xml:space="preserve"> in line</w:t>
      </w:r>
      <w:r w:rsidRPr="0039607F">
        <w:rPr>
          <w:rFonts w:cs="Times New Roman"/>
          <w:szCs w:val="22"/>
        </w:rPr>
        <w:t xml:space="preserve"> with increasing demand for refrigeration, air conditioning, and vehicles equipped with air conditioning</w:t>
      </w:r>
      <w:r w:rsidR="00D14CF4">
        <w:rPr>
          <w:rFonts w:cs="Times New Roman"/>
          <w:szCs w:val="22"/>
        </w:rPr>
        <w:t xml:space="preserve"> This global trend</w:t>
      </w:r>
      <w:r w:rsidRPr="0039607F">
        <w:rPr>
          <w:rFonts w:cs="Times New Roman"/>
          <w:szCs w:val="22"/>
        </w:rPr>
        <w:t xml:space="preserve"> has the potential to drive HFC use and emissions to </w:t>
      </w:r>
      <w:r w:rsidR="00114144">
        <w:rPr>
          <w:rFonts w:cs="Times New Roman"/>
          <w:szCs w:val="22"/>
        </w:rPr>
        <w:t>much</w:t>
      </w:r>
      <w:r w:rsidR="00114144" w:rsidRPr="0039607F">
        <w:rPr>
          <w:rFonts w:cs="Times New Roman"/>
          <w:szCs w:val="22"/>
        </w:rPr>
        <w:t xml:space="preserve"> </w:t>
      </w:r>
      <w:r w:rsidRPr="0039607F">
        <w:rPr>
          <w:rFonts w:cs="Times New Roman"/>
          <w:szCs w:val="22"/>
        </w:rPr>
        <w:t>high</w:t>
      </w:r>
      <w:r w:rsidR="00114144">
        <w:rPr>
          <w:rFonts w:cs="Times New Roman"/>
          <w:szCs w:val="22"/>
        </w:rPr>
        <w:t>er</w:t>
      </w:r>
      <w:r w:rsidRPr="0039607F">
        <w:rPr>
          <w:rFonts w:cs="Times New Roman"/>
          <w:szCs w:val="22"/>
        </w:rPr>
        <w:t xml:space="preserve"> levels. According to </w:t>
      </w:r>
      <w:r w:rsidR="00114144">
        <w:rPr>
          <w:rFonts w:cs="Times New Roman"/>
          <w:szCs w:val="22"/>
        </w:rPr>
        <w:t>an</w:t>
      </w:r>
      <w:r w:rsidRPr="0039607F">
        <w:rPr>
          <w:rFonts w:cs="Times New Roman"/>
          <w:szCs w:val="22"/>
        </w:rPr>
        <w:t xml:space="preserve"> article in the US Proceedings of the National Academy of Science</w:t>
      </w:r>
      <w:r w:rsidR="00114144">
        <w:rPr>
          <w:rFonts w:cs="Times New Roman"/>
          <w:szCs w:val="22"/>
        </w:rPr>
        <w:t xml:space="preserve"> in 2009</w:t>
      </w:r>
      <w:r w:rsidRPr="0039607F">
        <w:rPr>
          <w:rFonts w:cs="Times New Roman"/>
          <w:szCs w:val="22"/>
        </w:rPr>
        <w:t>, HFC emissions could grow to between 28</w:t>
      </w:r>
      <w:r w:rsidR="00EB6A32">
        <w:rPr>
          <w:rFonts w:cs="Times New Roman"/>
          <w:szCs w:val="22"/>
        </w:rPr>
        <w:t xml:space="preserve"> to </w:t>
      </w:r>
      <w:r w:rsidRPr="0039607F">
        <w:rPr>
          <w:rFonts w:cs="Times New Roman"/>
          <w:szCs w:val="22"/>
        </w:rPr>
        <w:t xml:space="preserve">45% of anthropogenic </w:t>
      </w:r>
      <w:r w:rsidRPr="00C10940">
        <w:rPr>
          <w:rFonts w:cs="Times New Roman"/>
          <w:szCs w:val="22"/>
        </w:rPr>
        <w:t>CO</w:t>
      </w:r>
      <w:r w:rsidR="00977C4A" w:rsidRPr="001C7B87">
        <w:rPr>
          <w:rFonts w:cs="Times New Roman"/>
          <w:szCs w:val="22"/>
          <w:vertAlign w:val="subscript"/>
        </w:rPr>
        <w:t>2</w:t>
      </w:r>
      <w:r w:rsidR="00C10940">
        <w:rPr>
          <w:rFonts w:cs="Times New Roman"/>
          <w:szCs w:val="22"/>
        </w:rPr>
        <w:t>-</w:t>
      </w:r>
      <w:r w:rsidR="00114144" w:rsidRPr="00C10940">
        <w:rPr>
          <w:rFonts w:cs="Times New Roman"/>
          <w:szCs w:val="22"/>
        </w:rPr>
        <w:t>e</w:t>
      </w:r>
      <w:r w:rsidRPr="0039607F">
        <w:rPr>
          <w:rFonts w:cs="Times New Roman"/>
          <w:szCs w:val="22"/>
        </w:rPr>
        <w:t xml:space="preserve"> emissions by 2050 if current rates of consumption are maintained</w:t>
      </w:r>
      <w:r w:rsidR="00EB6A32">
        <w:rPr>
          <w:rFonts w:cs="Times New Roman"/>
          <w:szCs w:val="22"/>
        </w:rPr>
        <w:t xml:space="preserve"> (PNAS 2009)</w:t>
      </w:r>
      <w:r w:rsidRPr="0039607F">
        <w:rPr>
          <w:rFonts w:cs="Times New Roman"/>
          <w:szCs w:val="22"/>
        </w:rPr>
        <w:t xml:space="preserve">. </w:t>
      </w:r>
    </w:p>
    <w:p w:rsidR="008F2CD7" w:rsidRPr="0039607F" w:rsidRDefault="008F2CD7" w:rsidP="008F2CD7">
      <w:pPr>
        <w:rPr>
          <w:rFonts w:cs="Times New Roman"/>
          <w:szCs w:val="22"/>
        </w:rPr>
      </w:pPr>
      <w:r w:rsidRPr="0039607F">
        <w:rPr>
          <w:rFonts w:cs="Times New Roman"/>
          <w:szCs w:val="22"/>
        </w:rPr>
        <w:t xml:space="preserve">All of these developments point to growing international </w:t>
      </w:r>
      <w:r w:rsidR="00114144">
        <w:rPr>
          <w:rFonts w:cs="Times New Roman"/>
          <w:szCs w:val="22"/>
        </w:rPr>
        <w:t>momentum</w:t>
      </w:r>
      <w:r w:rsidR="00114144" w:rsidRPr="0039607F">
        <w:rPr>
          <w:rFonts w:cs="Times New Roman"/>
          <w:szCs w:val="22"/>
        </w:rPr>
        <w:t xml:space="preserve"> </w:t>
      </w:r>
      <w:r w:rsidRPr="0039607F">
        <w:rPr>
          <w:rFonts w:cs="Times New Roman"/>
          <w:szCs w:val="22"/>
        </w:rPr>
        <w:t>to</w:t>
      </w:r>
      <w:r w:rsidR="00114144">
        <w:rPr>
          <w:rFonts w:cs="Times New Roman"/>
          <w:szCs w:val="22"/>
        </w:rPr>
        <w:t xml:space="preserve"> </w:t>
      </w:r>
      <w:r w:rsidRPr="0039607F">
        <w:rPr>
          <w:rFonts w:cs="Times New Roman"/>
          <w:szCs w:val="22"/>
        </w:rPr>
        <w:t xml:space="preserve">phase </w:t>
      </w:r>
      <w:r w:rsidR="00114144">
        <w:rPr>
          <w:rFonts w:cs="Times New Roman"/>
          <w:szCs w:val="22"/>
        </w:rPr>
        <w:t>down</w:t>
      </w:r>
      <w:r w:rsidR="00114144" w:rsidRPr="0039607F">
        <w:rPr>
          <w:rFonts w:cs="Times New Roman"/>
          <w:szCs w:val="22"/>
        </w:rPr>
        <w:t xml:space="preserve"> </w:t>
      </w:r>
      <w:r w:rsidRPr="0039607F">
        <w:rPr>
          <w:rFonts w:cs="Times New Roman"/>
          <w:szCs w:val="22"/>
        </w:rPr>
        <w:t xml:space="preserve">high GWP HFCs </w:t>
      </w:r>
      <w:r w:rsidR="00114144">
        <w:rPr>
          <w:rFonts w:cs="Times New Roman"/>
          <w:szCs w:val="22"/>
        </w:rPr>
        <w:t xml:space="preserve">as </w:t>
      </w:r>
      <w:r w:rsidR="00D14CF4">
        <w:rPr>
          <w:rFonts w:cs="Times New Roman"/>
          <w:szCs w:val="22"/>
        </w:rPr>
        <w:t>part of the global effort to limit climate change</w:t>
      </w:r>
      <w:r w:rsidRPr="0039607F">
        <w:rPr>
          <w:rFonts w:cs="Times New Roman"/>
          <w:szCs w:val="22"/>
        </w:rPr>
        <w:t>.</w:t>
      </w:r>
      <w:r w:rsidR="00A1779A">
        <w:rPr>
          <w:rFonts w:cs="Times New Roman"/>
          <w:szCs w:val="22"/>
        </w:rPr>
        <w:t xml:space="preserve"> </w:t>
      </w:r>
    </w:p>
    <w:p w:rsidR="008F2CD7" w:rsidRPr="0039607F" w:rsidRDefault="008F2CD7" w:rsidP="008F2CD7">
      <w:pPr>
        <w:rPr>
          <w:rFonts w:cs="Times New Roman"/>
          <w:szCs w:val="22"/>
        </w:rPr>
      </w:pPr>
      <w:r w:rsidRPr="0039607F">
        <w:rPr>
          <w:rFonts w:cs="Times New Roman"/>
          <w:szCs w:val="22"/>
        </w:rPr>
        <w:t xml:space="preserve">The cumulative global benefits of the NAA proposal as estimated by the US Government are substantial. The US Government has estimated that the phase </w:t>
      </w:r>
      <w:r w:rsidR="00BC7FF8">
        <w:rPr>
          <w:rFonts w:cs="Times New Roman"/>
          <w:szCs w:val="22"/>
        </w:rPr>
        <w:t>down</w:t>
      </w:r>
      <w:r w:rsidR="00BC7FF8" w:rsidRPr="0039607F">
        <w:rPr>
          <w:rFonts w:cs="Times New Roman"/>
          <w:szCs w:val="22"/>
        </w:rPr>
        <w:t xml:space="preserve"> </w:t>
      </w:r>
      <w:r w:rsidRPr="0039607F">
        <w:rPr>
          <w:rFonts w:cs="Times New Roman"/>
          <w:szCs w:val="22"/>
        </w:rPr>
        <w:t xml:space="preserve">of HFCs on the timeline proposed by the </w:t>
      </w:r>
      <w:r w:rsidR="00114144">
        <w:rPr>
          <w:rFonts w:cs="Times New Roman"/>
          <w:szCs w:val="22"/>
        </w:rPr>
        <w:t xml:space="preserve">2013 </w:t>
      </w:r>
      <w:r w:rsidRPr="0039607F">
        <w:rPr>
          <w:rFonts w:cs="Times New Roman"/>
          <w:szCs w:val="22"/>
        </w:rPr>
        <w:t xml:space="preserve">NAA </w:t>
      </w:r>
      <w:r w:rsidR="00114144">
        <w:rPr>
          <w:rFonts w:cs="Times New Roman"/>
          <w:szCs w:val="22"/>
        </w:rPr>
        <w:t xml:space="preserve">proposal </w:t>
      </w:r>
      <w:r w:rsidRPr="0039607F">
        <w:rPr>
          <w:rFonts w:cs="Times New Roman"/>
          <w:szCs w:val="22"/>
        </w:rPr>
        <w:t xml:space="preserve">would avoid emissions equivalent to 1,900 </w:t>
      </w:r>
      <w:r w:rsidR="00751D16">
        <w:rPr>
          <w:rFonts w:cs="Times New Roman"/>
          <w:szCs w:val="22"/>
        </w:rPr>
        <w:t xml:space="preserve">Mega tonnes of </w:t>
      </w:r>
      <w:r w:rsidRPr="0039607F">
        <w:rPr>
          <w:rFonts w:cs="Times New Roman"/>
          <w:szCs w:val="22"/>
        </w:rPr>
        <w:t>CO</w:t>
      </w:r>
      <w:r w:rsidRPr="001E6BB5">
        <w:rPr>
          <w:rFonts w:cs="Times New Roman"/>
          <w:szCs w:val="22"/>
          <w:vertAlign w:val="subscript"/>
        </w:rPr>
        <w:t>2</w:t>
      </w:r>
      <w:r w:rsidRPr="0039607F">
        <w:rPr>
          <w:rFonts w:cs="Times New Roman"/>
          <w:szCs w:val="22"/>
        </w:rPr>
        <w:t xml:space="preserve"> (M</w:t>
      </w:r>
      <w:r w:rsidR="00751D16">
        <w:rPr>
          <w:rFonts w:cs="Times New Roman"/>
          <w:szCs w:val="22"/>
        </w:rPr>
        <w:t xml:space="preserve">t </w:t>
      </w:r>
      <w:r w:rsidRPr="00C10940">
        <w:rPr>
          <w:rFonts w:cs="Times New Roman"/>
          <w:szCs w:val="22"/>
        </w:rPr>
        <w:t>CO</w:t>
      </w:r>
      <w:r w:rsidR="009705D0" w:rsidRPr="006B4DC1">
        <w:rPr>
          <w:rFonts w:cs="Times New Roman"/>
          <w:szCs w:val="22"/>
          <w:vertAlign w:val="subscript"/>
        </w:rPr>
        <w:t>2</w:t>
      </w:r>
      <w:r w:rsidR="00C10940">
        <w:rPr>
          <w:rFonts w:cs="Times New Roman"/>
          <w:szCs w:val="22"/>
        </w:rPr>
        <w:t>-</w:t>
      </w:r>
      <w:r w:rsidRPr="00C10940">
        <w:rPr>
          <w:rFonts w:cs="Times New Roman"/>
          <w:szCs w:val="22"/>
        </w:rPr>
        <w:t>e</w:t>
      </w:r>
      <w:r w:rsidRPr="0039607F">
        <w:rPr>
          <w:rFonts w:cs="Times New Roman"/>
          <w:szCs w:val="22"/>
        </w:rPr>
        <w:t>) to the end of 2020, and would avoid cumulative emissions of some 84,100 M</w:t>
      </w:r>
      <w:r w:rsidR="00751D16">
        <w:rPr>
          <w:rFonts w:cs="Times New Roman"/>
          <w:szCs w:val="22"/>
        </w:rPr>
        <w:t>t</w:t>
      </w:r>
      <w:r w:rsidR="00295E1A">
        <w:rPr>
          <w:rFonts w:cs="Times New Roman"/>
          <w:szCs w:val="22"/>
        </w:rPr>
        <w:t xml:space="preserve"> </w:t>
      </w:r>
      <w:r w:rsidRPr="00C10940">
        <w:rPr>
          <w:rFonts w:cs="Times New Roman"/>
          <w:szCs w:val="22"/>
        </w:rPr>
        <w:t>CO</w:t>
      </w:r>
      <w:r w:rsidRPr="00C10940">
        <w:rPr>
          <w:rFonts w:cs="Times New Roman"/>
          <w:szCs w:val="22"/>
          <w:vertAlign w:val="subscript"/>
        </w:rPr>
        <w:t>2</w:t>
      </w:r>
      <w:r w:rsidR="00C10940">
        <w:rPr>
          <w:rFonts w:cs="Times New Roman"/>
          <w:szCs w:val="22"/>
        </w:rPr>
        <w:t>-</w:t>
      </w:r>
      <w:r w:rsidRPr="00C10940">
        <w:rPr>
          <w:rFonts w:cs="Times New Roman"/>
          <w:szCs w:val="22"/>
        </w:rPr>
        <w:t>e</w:t>
      </w:r>
      <w:r w:rsidRPr="0039607F">
        <w:rPr>
          <w:rFonts w:cs="Times New Roman"/>
          <w:szCs w:val="22"/>
        </w:rPr>
        <w:t xml:space="preserve"> by the end of 2050.</w:t>
      </w:r>
    </w:p>
    <w:p w:rsidR="008F2CD7" w:rsidRPr="0039607F" w:rsidRDefault="008F2CD7" w:rsidP="008F2CD7">
      <w:pPr>
        <w:rPr>
          <w:rFonts w:cs="Times New Roman"/>
          <w:szCs w:val="22"/>
        </w:rPr>
      </w:pPr>
      <w:r w:rsidRPr="0039607F">
        <w:rPr>
          <w:rFonts w:cs="Times New Roman"/>
          <w:szCs w:val="22"/>
        </w:rPr>
        <w:t>Cumulative benefits achieved by controlling HFC-23 emissions as a by</w:t>
      </w:r>
      <w:r w:rsidR="00415F3C">
        <w:rPr>
          <w:rFonts w:cs="Times New Roman"/>
          <w:szCs w:val="22"/>
        </w:rPr>
        <w:t>-</w:t>
      </w:r>
      <w:r w:rsidRPr="0039607F">
        <w:rPr>
          <w:rFonts w:cs="Times New Roman"/>
          <w:szCs w:val="22"/>
        </w:rPr>
        <w:t xml:space="preserve">product of the production of </w:t>
      </w:r>
      <w:r w:rsidR="00655B22">
        <w:rPr>
          <w:rFonts w:cs="Times New Roman"/>
          <w:szCs w:val="22"/>
        </w:rPr>
        <w:t>HCFC-22</w:t>
      </w:r>
      <w:r w:rsidRPr="0039607F">
        <w:rPr>
          <w:rFonts w:cs="Times New Roman"/>
          <w:szCs w:val="22"/>
        </w:rPr>
        <w:t xml:space="preserve"> is estimated by the US Government to avoid an additional 11,300 </w:t>
      </w:r>
      <w:r w:rsidR="00751D16">
        <w:rPr>
          <w:rFonts w:cs="Times New Roman"/>
          <w:szCs w:val="22"/>
        </w:rPr>
        <w:t>Mt</w:t>
      </w:r>
      <w:r w:rsidR="006F3323">
        <w:rPr>
          <w:rFonts w:cs="Times New Roman"/>
          <w:szCs w:val="22"/>
        </w:rPr>
        <w:t xml:space="preserve"> </w:t>
      </w:r>
      <w:r w:rsidRPr="00C10940">
        <w:rPr>
          <w:rFonts w:cs="Times New Roman"/>
          <w:szCs w:val="22"/>
        </w:rPr>
        <w:t>CO</w:t>
      </w:r>
      <w:r w:rsidRPr="00C10940">
        <w:rPr>
          <w:rFonts w:cs="Times New Roman"/>
          <w:szCs w:val="22"/>
          <w:vertAlign w:val="subscript"/>
        </w:rPr>
        <w:t>2</w:t>
      </w:r>
      <w:r w:rsidR="00C10940">
        <w:rPr>
          <w:rFonts w:cs="Times New Roman"/>
          <w:szCs w:val="22"/>
        </w:rPr>
        <w:t>-</w:t>
      </w:r>
      <w:r w:rsidRPr="00C10940">
        <w:rPr>
          <w:rFonts w:cs="Times New Roman"/>
          <w:szCs w:val="22"/>
        </w:rPr>
        <w:t>e</w:t>
      </w:r>
      <w:r w:rsidRPr="0039607F">
        <w:rPr>
          <w:rFonts w:cs="Times New Roman"/>
          <w:szCs w:val="22"/>
        </w:rPr>
        <w:t xml:space="preserve"> by the end of 2050.</w:t>
      </w:r>
    </w:p>
    <w:p w:rsidR="008F2CD7" w:rsidRDefault="008F2CD7" w:rsidP="008F2CD7">
      <w:pPr>
        <w:rPr>
          <w:rFonts w:cs="Times New Roman"/>
          <w:szCs w:val="22"/>
        </w:rPr>
      </w:pPr>
      <w:r w:rsidRPr="0039607F">
        <w:rPr>
          <w:rFonts w:cs="Times New Roman"/>
          <w:szCs w:val="22"/>
        </w:rPr>
        <w:t xml:space="preserve">These estimated emissions avoided, of more than 90 </w:t>
      </w:r>
      <w:r>
        <w:rPr>
          <w:rFonts w:cs="Times New Roman"/>
          <w:szCs w:val="22"/>
        </w:rPr>
        <w:t>G</w:t>
      </w:r>
      <w:r w:rsidRPr="0039607F">
        <w:rPr>
          <w:rFonts w:cs="Times New Roman"/>
          <w:szCs w:val="22"/>
        </w:rPr>
        <w:t>ig</w:t>
      </w:r>
      <w:r>
        <w:rPr>
          <w:rFonts w:cs="Times New Roman"/>
          <w:szCs w:val="22"/>
        </w:rPr>
        <w:t xml:space="preserve">a </w:t>
      </w:r>
      <w:r w:rsidRPr="0039607F">
        <w:rPr>
          <w:rFonts w:cs="Times New Roman"/>
          <w:szCs w:val="22"/>
        </w:rPr>
        <w:t>ton</w:t>
      </w:r>
      <w:r>
        <w:rPr>
          <w:rFonts w:cs="Times New Roman"/>
          <w:szCs w:val="22"/>
        </w:rPr>
        <w:t>ne</w:t>
      </w:r>
      <w:r w:rsidRPr="0039607F">
        <w:rPr>
          <w:rFonts w:cs="Times New Roman"/>
          <w:szCs w:val="22"/>
        </w:rPr>
        <w:t xml:space="preserve">s of </w:t>
      </w:r>
      <w:r w:rsidRPr="00C10940">
        <w:rPr>
          <w:rFonts w:cs="Times New Roman"/>
          <w:szCs w:val="22"/>
        </w:rPr>
        <w:t>CO</w:t>
      </w:r>
      <w:r w:rsidRPr="00C10940">
        <w:rPr>
          <w:rFonts w:cs="Times New Roman"/>
          <w:szCs w:val="22"/>
          <w:vertAlign w:val="subscript"/>
        </w:rPr>
        <w:t>2</w:t>
      </w:r>
      <w:r w:rsidR="00C10940">
        <w:rPr>
          <w:rFonts w:cs="Times New Roman"/>
          <w:szCs w:val="22"/>
        </w:rPr>
        <w:t>-</w:t>
      </w:r>
      <w:r w:rsidRPr="00C10940">
        <w:rPr>
          <w:rFonts w:cs="Times New Roman"/>
          <w:szCs w:val="22"/>
        </w:rPr>
        <w:t>e</w:t>
      </w:r>
      <w:r w:rsidRPr="0039607F">
        <w:rPr>
          <w:rFonts w:cs="Times New Roman"/>
          <w:szCs w:val="22"/>
        </w:rPr>
        <w:t xml:space="preserve"> by 2050, are the equivalent of two full years of total global greenhouse emissions now. As such the potential contribution of this industry to achieving the aspirations of </w:t>
      </w:r>
      <w:r w:rsidR="00850CFE">
        <w:rPr>
          <w:rFonts w:cs="Times New Roman"/>
          <w:szCs w:val="22"/>
        </w:rPr>
        <w:t>the global community</w:t>
      </w:r>
      <w:r w:rsidRPr="0039607F">
        <w:rPr>
          <w:rFonts w:cs="Times New Roman"/>
          <w:szCs w:val="22"/>
        </w:rPr>
        <w:t xml:space="preserve"> are substantial.</w:t>
      </w:r>
    </w:p>
    <w:p w:rsidR="008F2CD7" w:rsidRPr="0039607F" w:rsidRDefault="008F2CD7" w:rsidP="008F2CD7">
      <w:pPr>
        <w:rPr>
          <w:rFonts w:cs="Times New Roman"/>
          <w:szCs w:val="22"/>
        </w:rPr>
      </w:pPr>
      <w:r w:rsidRPr="0039607F">
        <w:rPr>
          <w:rFonts w:cs="Times New Roman"/>
          <w:szCs w:val="22"/>
        </w:rPr>
        <w:t>The key elements of the</w:t>
      </w:r>
      <w:r w:rsidR="00BE2BC7">
        <w:rPr>
          <w:rFonts w:cs="Times New Roman"/>
          <w:szCs w:val="22"/>
        </w:rPr>
        <w:t xml:space="preserve"> NAA </w:t>
      </w:r>
      <w:r w:rsidRPr="0039607F">
        <w:rPr>
          <w:rFonts w:cs="Times New Roman"/>
          <w:szCs w:val="22"/>
        </w:rPr>
        <w:t>proposal include:</w:t>
      </w:r>
    </w:p>
    <w:p w:rsidR="008F2CD7" w:rsidRPr="0041629F" w:rsidRDefault="008F2CD7" w:rsidP="00E97935">
      <w:pPr>
        <w:pStyle w:val="ListParagraph"/>
        <w:numPr>
          <w:ilvl w:val="0"/>
          <w:numId w:val="15"/>
        </w:numPr>
        <w:spacing w:before="120" w:after="0" w:line="240" w:lineRule="auto"/>
        <w:contextualSpacing w:val="0"/>
        <w:jc w:val="both"/>
        <w:rPr>
          <w:rFonts w:ascii="Times New Roman" w:hAnsi="Times New Roman"/>
        </w:rPr>
      </w:pPr>
      <w:r w:rsidRPr="0041629F">
        <w:rPr>
          <w:rFonts w:ascii="Times New Roman" w:hAnsi="Times New Roman"/>
        </w:rPr>
        <w:t>The listing of 19 HFCs as a new Annex F to the Montreal Protocol</w:t>
      </w:r>
      <w:r w:rsidR="00850CFE">
        <w:rPr>
          <w:rFonts w:ascii="Times New Roman" w:hAnsi="Times New Roman"/>
        </w:rPr>
        <w:t xml:space="preserve"> (excluding HFOs)</w:t>
      </w:r>
      <w:r w:rsidRPr="0041629F">
        <w:rPr>
          <w:rFonts w:ascii="Times New Roman" w:hAnsi="Times New Roman"/>
        </w:rPr>
        <w:t>;</w:t>
      </w:r>
    </w:p>
    <w:p w:rsidR="008F2CD7" w:rsidRPr="0041629F" w:rsidRDefault="008F2CD7" w:rsidP="00E97935">
      <w:pPr>
        <w:pStyle w:val="ListParagraph"/>
        <w:numPr>
          <w:ilvl w:val="0"/>
          <w:numId w:val="15"/>
        </w:numPr>
        <w:spacing w:before="120" w:after="0" w:line="240" w:lineRule="auto"/>
        <w:contextualSpacing w:val="0"/>
        <w:jc w:val="both"/>
        <w:rPr>
          <w:rFonts w:ascii="Times New Roman" w:hAnsi="Times New Roman"/>
        </w:rPr>
      </w:pPr>
      <w:r w:rsidRPr="0041629F">
        <w:rPr>
          <w:rFonts w:ascii="Times New Roman" w:hAnsi="Times New Roman"/>
        </w:rPr>
        <w:t>Recognition that there may not be alternatives for all HFC applications today, and therefore proposes a gradual phase down with a plateau</w:t>
      </w:r>
      <w:r w:rsidR="00BC7FF8">
        <w:rPr>
          <w:rFonts w:ascii="Times New Roman" w:hAnsi="Times New Roman"/>
        </w:rPr>
        <w:t xml:space="preserve"> of 15%</w:t>
      </w:r>
      <w:r w:rsidRPr="0041629F">
        <w:rPr>
          <w:rFonts w:ascii="Times New Roman" w:hAnsi="Times New Roman"/>
        </w:rPr>
        <w:t>, as opposed to a phase</w:t>
      </w:r>
      <w:r w:rsidR="00BC7FF8">
        <w:rPr>
          <w:rFonts w:ascii="Times New Roman" w:hAnsi="Times New Roman"/>
        </w:rPr>
        <w:t xml:space="preserve"> </w:t>
      </w:r>
      <w:r w:rsidRPr="0041629F">
        <w:rPr>
          <w:rFonts w:ascii="Times New Roman" w:hAnsi="Times New Roman"/>
        </w:rPr>
        <w:t>out;</w:t>
      </w:r>
    </w:p>
    <w:p w:rsidR="008F2CD7" w:rsidRPr="0041629F" w:rsidRDefault="00850CFE" w:rsidP="00E97935">
      <w:pPr>
        <w:pStyle w:val="ListParagraph"/>
        <w:numPr>
          <w:ilvl w:val="0"/>
          <w:numId w:val="15"/>
        </w:numPr>
        <w:spacing w:before="120" w:after="0" w:line="240" w:lineRule="auto"/>
        <w:contextualSpacing w:val="0"/>
        <w:jc w:val="both"/>
        <w:rPr>
          <w:rFonts w:ascii="Times New Roman" w:hAnsi="Times New Roman"/>
        </w:rPr>
      </w:pPr>
      <w:r>
        <w:rPr>
          <w:rFonts w:ascii="Times New Roman" w:hAnsi="Times New Roman"/>
        </w:rPr>
        <w:t>Consumption and production reduction steps</w:t>
      </w:r>
      <w:r w:rsidRPr="0041629F">
        <w:rPr>
          <w:rFonts w:ascii="Times New Roman" w:hAnsi="Times New Roman"/>
        </w:rPr>
        <w:t xml:space="preserve"> </w:t>
      </w:r>
      <w:r w:rsidR="008F2CD7" w:rsidRPr="0041629F">
        <w:rPr>
          <w:rFonts w:ascii="Times New Roman" w:hAnsi="Times New Roman"/>
        </w:rPr>
        <w:t xml:space="preserve">for </w:t>
      </w:r>
      <w:r>
        <w:rPr>
          <w:rFonts w:ascii="Times New Roman" w:hAnsi="Times New Roman"/>
        </w:rPr>
        <w:t xml:space="preserve">both Article 5 and </w:t>
      </w:r>
      <w:r w:rsidR="008F2CD7" w:rsidRPr="0041629F">
        <w:rPr>
          <w:rFonts w:ascii="Times New Roman" w:hAnsi="Times New Roman"/>
        </w:rPr>
        <w:t>non-Article 5 countries</w:t>
      </w:r>
      <w:r>
        <w:rPr>
          <w:rFonts w:ascii="Times New Roman" w:hAnsi="Times New Roman"/>
        </w:rPr>
        <w:t xml:space="preserve"> </w:t>
      </w:r>
      <w:r w:rsidR="008F2CD7" w:rsidRPr="0041629F">
        <w:rPr>
          <w:rFonts w:ascii="Times New Roman" w:hAnsi="Times New Roman"/>
        </w:rPr>
        <w:t>based on GWP weighted basis;</w:t>
      </w:r>
    </w:p>
    <w:p w:rsidR="008F2CD7" w:rsidRPr="0041629F" w:rsidRDefault="008F2CD7" w:rsidP="00E97935">
      <w:pPr>
        <w:pStyle w:val="ListParagraph"/>
        <w:numPr>
          <w:ilvl w:val="0"/>
          <w:numId w:val="15"/>
        </w:numPr>
        <w:spacing w:before="120" w:after="0" w:line="240" w:lineRule="auto"/>
        <w:contextualSpacing w:val="0"/>
        <w:jc w:val="both"/>
        <w:rPr>
          <w:rFonts w:ascii="Times New Roman" w:hAnsi="Times New Roman"/>
        </w:rPr>
      </w:pPr>
      <w:r w:rsidRPr="0041629F">
        <w:rPr>
          <w:rFonts w:ascii="Times New Roman" w:hAnsi="Times New Roman"/>
        </w:rPr>
        <w:t>A proposal that the baseline for Article 5 countries is calculated based on 90% of the average HCFC consumption and production over the period 2008</w:t>
      </w:r>
      <w:r w:rsidR="00655B22">
        <w:rPr>
          <w:rFonts w:ascii="Times New Roman" w:hAnsi="Times New Roman"/>
        </w:rPr>
        <w:t xml:space="preserve">, 2009 and </w:t>
      </w:r>
      <w:r w:rsidRPr="0041629F">
        <w:rPr>
          <w:rFonts w:ascii="Times New Roman" w:hAnsi="Times New Roman"/>
        </w:rPr>
        <w:t xml:space="preserve">2010, </w:t>
      </w:r>
      <w:r w:rsidR="00C27776">
        <w:rPr>
          <w:rFonts w:ascii="Times New Roman" w:hAnsi="Times New Roman"/>
        </w:rPr>
        <w:t xml:space="preserve">which </w:t>
      </w:r>
      <w:r w:rsidRPr="0041629F">
        <w:rPr>
          <w:rFonts w:ascii="Times New Roman" w:hAnsi="Times New Roman"/>
        </w:rPr>
        <w:t>recogni</w:t>
      </w:r>
      <w:r w:rsidR="00AC06EA">
        <w:rPr>
          <w:rFonts w:ascii="Times New Roman" w:hAnsi="Times New Roman"/>
        </w:rPr>
        <w:t>s</w:t>
      </w:r>
      <w:r w:rsidR="00C27776">
        <w:rPr>
          <w:rFonts w:ascii="Times New Roman" w:hAnsi="Times New Roman"/>
        </w:rPr>
        <w:t>es</w:t>
      </w:r>
      <w:r w:rsidRPr="0041629F">
        <w:rPr>
          <w:rFonts w:ascii="Times New Roman" w:hAnsi="Times New Roman"/>
        </w:rPr>
        <w:t xml:space="preserve"> current HFC data limitations in </w:t>
      </w:r>
      <w:r w:rsidR="00C27776">
        <w:rPr>
          <w:rFonts w:ascii="Times New Roman" w:hAnsi="Times New Roman"/>
        </w:rPr>
        <w:t>these</w:t>
      </w:r>
      <w:r w:rsidR="00C27776" w:rsidRPr="0041629F">
        <w:rPr>
          <w:rFonts w:ascii="Times New Roman" w:hAnsi="Times New Roman"/>
        </w:rPr>
        <w:t xml:space="preserve"> </w:t>
      </w:r>
      <w:r w:rsidRPr="0041629F">
        <w:rPr>
          <w:rFonts w:ascii="Times New Roman" w:hAnsi="Times New Roman"/>
        </w:rPr>
        <w:t>countries;</w:t>
      </w:r>
    </w:p>
    <w:p w:rsidR="008F2CD7" w:rsidRPr="0041629F" w:rsidRDefault="008F2CD7" w:rsidP="00E97935">
      <w:pPr>
        <w:pStyle w:val="ListParagraph"/>
        <w:numPr>
          <w:ilvl w:val="0"/>
          <w:numId w:val="15"/>
        </w:numPr>
        <w:spacing w:before="120" w:after="0" w:line="240" w:lineRule="auto"/>
        <w:contextualSpacing w:val="0"/>
        <w:jc w:val="both"/>
        <w:rPr>
          <w:rFonts w:ascii="Times New Roman" w:hAnsi="Times New Roman"/>
        </w:rPr>
      </w:pPr>
      <w:r w:rsidRPr="0041629F">
        <w:rPr>
          <w:rFonts w:ascii="Times New Roman" w:hAnsi="Times New Roman"/>
        </w:rPr>
        <w:t xml:space="preserve">A proposal that </w:t>
      </w:r>
      <w:r w:rsidR="00C27776" w:rsidRPr="0041629F">
        <w:rPr>
          <w:rFonts w:ascii="Times New Roman" w:hAnsi="Times New Roman"/>
        </w:rPr>
        <w:t xml:space="preserve">the baseline </w:t>
      </w:r>
      <w:r w:rsidRPr="0041629F">
        <w:rPr>
          <w:rFonts w:ascii="Times New Roman" w:hAnsi="Times New Roman"/>
        </w:rPr>
        <w:t xml:space="preserve">for non-Article 5 countries is </w:t>
      </w:r>
      <w:r w:rsidR="00C27776">
        <w:rPr>
          <w:rFonts w:ascii="Times New Roman" w:hAnsi="Times New Roman"/>
        </w:rPr>
        <w:t>calculated</w:t>
      </w:r>
      <w:r w:rsidR="00C27776" w:rsidRPr="0041629F">
        <w:rPr>
          <w:rFonts w:ascii="Times New Roman" w:hAnsi="Times New Roman"/>
        </w:rPr>
        <w:t xml:space="preserve"> </w:t>
      </w:r>
      <w:r w:rsidRPr="0041629F">
        <w:rPr>
          <w:rFonts w:ascii="Times New Roman" w:hAnsi="Times New Roman"/>
        </w:rPr>
        <w:t>from a combination of HFC consumption and production, plus 85% of HCFC consumption and production, averaged over the years 2008</w:t>
      </w:r>
      <w:r w:rsidR="00655B22">
        <w:rPr>
          <w:rFonts w:ascii="Times New Roman" w:hAnsi="Times New Roman"/>
        </w:rPr>
        <w:t xml:space="preserve"> to </w:t>
      </w:r>
      <w:r w:rsidRPr="0041629F">
        <w:rPr>
          <w:rFonts w:ascii="Times New Roman" w:hAnsi="Times New Roman"/>
        </w:rPr>
        <w:t>2010.</w:t>
      </w:r>
    </w:p>
    <w:p w:rsidR="008F2CD7" w:rsidRPr="0041629F" w:rsidRDefault="008F2CD7" w:rsidP="00E97935">
      <w:pPr>
        <w:pStyle w:val="ListParagraph"/>
        <w:numPr>
          <w:ilvl w:val="0"/>
          <w:numId w:val="15"/>
        </w:numPr>
        <w:spacing w:before="120" w:after="0" w:line="240" w:lineRule="auto"/>
        <w:contextualSpacing w:val="0"/>
        <w:jc w:val="both"/>
        <w:rPr>
          <w:rFonts w:ascii="Times New Roman" w:hAnsi="Times New Roman"/>
        </w:rPr>
      </w:pPr>
      <w:r w:rsidRPr="0041629F">
        <w:rPr>
          <w:rFonts w:ascii="Times New Roman" w:hAnsi="Times New Roman"/>
        </w:rPr>
        <w:t>A requirement for licen</w:t>
      </w:r>
      <w:r w:rsidR="004164EB">
        <w:rPr>
          <w:rFonts w:ascii="Times New Roman" w:hAnsi="Times New Roman"/>
        </w:rPr>
        <w:t>s</w:t>
      </w:r>
      <w:r w:rsidRPr="0041629F">
        <w:rPr>
          <w:rFonts w:ascii="Times New Roman" w:hAnsi="Times New Roman"/>
        </w:rPr>
        <w:t>ing of HFC imports and exports and bans imports and exports to non-Parties.</w:t>
      </w:r>
    </w:p>
    <w:p w:rsidR="008F2CD7" w:rsidRPr="0041629F" w:rsidRDefault="008F2CD7" w:rsidP="00E97935">
      <w:pPr>
        <w:pStyle w:val="ListParagraph"/>
        <w:numPr>
          <w:ilvl w:val="0"/>
          <w:numId w:val="15"/>
        </w:numPr>
        <w:spacing w:before="120" w:after="0" w:line="240" w:lineRule="auto"/>
        <w:contextualSpacing w:val="0"/>
        <w:jc w:val="both"/>
        <w:rPr>
          <w:rFonts w:ascii="Times New Roman" w:hAnsi="Times New Roman"/>
        </w:rPr>
      </w:pPr>
      <w:r w:rsidRPr="0041629F">
        <w:rPr>
          <w:rFonts w:ascii="Times New Roman" w:hAnsi="Times New Roman"/>
        </w:rPr>
        <w:t>A requirement for reporting on HFC production, consumption, and by</w:t>
      </w:r>
      <w:r>
        <w:rPr>
          <w:rFonts w:ascii="Times New Roman" w:hAnsi="Times New Roman"/>
        </w:rPr>
        <w:t>-</w:t>
      </w:r>
      <w:r w:rsidRPr="0041629F">
        <w:rPr>
          <w:rFonts w:ascii="Times New Roman" w:hAnsi="Times New Roman"/>
        </w:rPr>
        <w:t>product emissions</w:t>
      </w:r>
      <w:r w:rsidR="004164EB">
        <w:rPr>
          <w:rFonts w:ascii="Times New Roman" w:hAnsi="Times New Roman"/>
        </w:rPr>
        <w:t xml:space="preserve"> from HFC manufacture</w:t>
      </w:r>
      <w:r w:rsidRPr="0041629F">
        <w:rPr>
          <w:rFonts w:ascii="Times New Roman" w:hAnsi="Times New Roman"/>
        </w:rPr>
        <w:t>; and,</w:t>
      </w:r>
    </w:p>
    <w:p w:rsidR="008F2CD7" w:rsidRPr="0041629F" w:rsidRDefault="008F2CD7" w:rsidP="00E97935">
      <w:pPr>
        <w:pStyle w:val="ListParagraph"/>
        <w:numPr>
          <w:ilvl w:val="0"/>
          <w:numId w:val="15"/>
        </w:numPr>
        <w:spacing w:before="120" w:after="0" w:line="240" w:lineRule="auto"/>
        <w:contextualSpacing w:val="0"/>
        <w:jc w:val="both"/>
        <w:rPr>
          <w:rFonts w:ascii="Times New Roman" w:hAnsi="Times New Roman"/>
        </w:rPr>
      </w:pPr>
      <w:r w:rsidRPr="0041629F">
        <w:rPr>
          <w:rFonts w:ascii="Times New Roman" w:hAnsi="Times New Roman"/>
        </w:rPr>
        <w:t>It makes the phase</w:t>
      </w:r>
      <w:r w:rsidR="00D10E2C">
        <w:rPr>
          <w:rFonts w:ascii="Times New Roman" w:hAnsi="Times New Roman"/>
        </w:rPr>
        <w:t xml:space="preserve"> </w:t>
      </w:r>
      <w:r w:rsidRPr="0041629F">
        <w:rPr>
          <w:rFonts w:ascii="Times New Roman" w:hAnsi="Times New Roman"/>
        </w:rPr>
        <w:t>down of HFC production and consumption as well as the reduction of HFC-23 by</w:t>
      </w:r>
      <w:r>
        <w:rPr>
          <w:rFonts w:ascii="Times New Roman" w:hAnsi="Times New Roman"/>
        </w:rPr>
        <w:t>-</w:t>
      </w:r>
      <w:r w:rsidRPr="0041629F">
        <w:rPr>
          <w:rFonts w:ascii="Times New Roman" w:hAnsi="Times New Roman"/>
        </w:rPr>
        <w:t xml:space="preserve">product emissions </w:t>
      </w:r>
      <w:r w:rsidR="004164EB">
        <w:rPr>
          <w:rFonts w:ascii="Times New Roman" w:hAnsi="Times New Roman"/>
        </w:rPr>
        <w:t xml:space="preserve">in developing countries </w:t>
      </w:r>
      <w:r w:rsidRPr="0041629F">
        <w:rPr>
          <w:rFonts w:ascii="Times New Roman" w:hAnsi="Times New Roman"/>
        </w:rPr>
        <w:t>eligible for funding under the Montreal Protocol’s Multilateral Fund.</w:t>
      </w:r>
    </w:p>
    <w:p w:rsidR="008F2CD7" w:rsidRPr="0039607F" w:rsidRDefault="00417CEE" w:rsidP="008F2CD7">
      <w:pPr>
        <w:rPr>
          <w:rFonts w:cs="Times New Roman"/>
          <w:szCs w:val="22"/>
        </w:rPr>
      </w:pPr>
      <w:r>
        <w:rPr>
          <w:rFonts w:cs="Times New Roman"/>
          <w:szCs w:val="22"/>
        </w:rPr>
        <w:t>More information on the operation</w:t>
      </w:r>
      <w:r w:rsidR="00BE2BC7">
        <w:rPr>
          <w:rFonts w:cs="Times New Roman"/>
          <w:szCs w:val="22"/>
        </w:rPr>
        <w:t>,</w:t>
      </w:r>
      <w:r>
        <w:rPr>
          <w:rFonts w:cs="Times New Roman"/>
          <w:szCs w:val="22"/>
        </w:rPr>
        <w:t xml:space="preserve"> roles and functions of the various elements of the Montreal Protocol can be found at </w:t>
      </w:r>
      <w:hyperlink r:id="rId27" w:history="1">
        <w:r w:rsidRPr="000B5EEE">
          <w:rPr>
            <w:rStyle w:val="Hyperlink"/>
            <w:rFonts w:cs="Times New Roman"/>
            <w:szCs w:val="22"/>
          </w:rPr>
          <w:t>http://www.environment.gov.au/topics/environment-protection/ozone/montreal-protocol</w:t>
        </w:r>
      </w:hyperlink>
      <w:r>
        <w:rPr>
          <w:rFonts w:cs="Times New Roman"/>
          <w:szCs w:val="22"/>
        </w:rPr>
        <w:t>.</w:t>
      </w:r>
    </w:p>
    <w:p w:rsidR="008F2CD7" w:rsidRDefault="008F2CD7" w:rsidP="008F2CD7">
      <w:pPr>
        <w:rPr>
          <w:rFonts w:cs="Times New Roman"/>
          <w:szCs w:val="22"/>
        </w:rPr>
      </w:pPr>
      <w:r w:rsidRPr="0039607F">
        <w:rPr>
          <w:rFonts w:cs="Times New Roman"/>
          <w:szCs w:val="22"/>
        </w:rPr>
        <w:t xml:space="preserve">The </w:t>
      </w:r>
      <w:r w:rsidR="00C27776">
        <w:rPr>
          <w:rFonts w:cs="Times New Roman"/>
          <w:szCs w:val="22"/>
        </w:rPr>
        <w:t xml:space="preserve">NAA </w:t>
      </w:r>
      <w:r w:rsidRPr="0039607F">
        <w:rPr>
          <w:rFonts w:cs="Times New Roman"/>
          <w:szCs w:val="22"/>
        </w:rPr>
        <w:t xml:space="preserve">proposal recognizes that HFCs are alternatives in some existing HCFC applications, so baseline levels are set to accommodate some level of continuing transition from HCFCs to HFCs. </w:t>
      </w:r>
    </w:p>
    <w:p w:rsidR="00AF06BE" w:rsidRPr="0039607F" w:rsidRDefault="00AF06BE" w:rsidP="00AF06BE">
      <w:pPr>
        <w:rPr>
          <w:rFonts w:cs="Times New Roman"/>
          <w:szCs w:val="22"/>
        </w:rPr>
      </w:pPr>
      <w:r>
        <w:rPr>
          <w:rFonts w:cs="Times New Roman"/>
          <w:szCs w:val="22"/>
        </w:rPr>
        <w:t xml:space="preserve">Because there is no production of HFCs in Australia, the NAA Proposal only applies to consumption of bulk gases </w:t>
      </w:r>
      <w:r w:rsidR="00C27776">
        <w:rPr>
          <w:rFonts w:cs="Times New Roman"/>
          <w:szCs w:val="22"/>
        </w:rPr>
        <w:t xml:space="preserve">imported </w:t>
      </w:r>
      <w:r>
        <w:rPr>
          <w:rFonts w:cs="Times New Roman"/>
          <w:szCs w:val="22"/>
        </w:rPr>
        <w:t>in</w:t>
      </w:r>
      <w:r w:rsidR="00C27776">
        <w:rPr>
          <w:rFonts w:cs="Times New Roman"/>
          <w:szCs w:val="22"/>
        </w:rPr>
        <w:t>to</w:t>
      </w:r>
      <w:r>
        <w:rPr>
          <w:rFonts w:cs="Times New Roman"/>
          <w:szCs w:val="22"/>
        </w:rPr>
        <w:t xml:space="preserve"> Australia. Gas imported into Australia in pre-charged equipment does not need to be accounted for under the proposal as that gas will be accounted for in the manufacturin</w:t>
      </w:r>
      <w:r w:rsidR="00844E17">
        <w:rPr>
          <w:rFonts w:cs="Times New Roman"/>
          <w:szCs w:val="22"/>
        </w:rPr>
        <w:t>g country’</w:t>
      </w:r>
      <w:r>
        <w:rPr>
          <w:rFonts w:cs="Times New Roman"/>
          <w:szCs w:val="22"/>
        </w:rPr>
        <w:t>s inventory.</w:t>
      </w:r>
    </w:p>
    <w:p w:rsidR="008F2CD7" w:rsidRDefault="008F2CD7" w:rsidP="008F2CD7">
      <w:pPr>
        <w:rPr>
          <w:rFonts w:cs="Times New Roman"/>
          <w:szCs w:val="22"/>
        </w:rPr>
      </w:pPr>
      <w:r w:rsidRPr="0039607F">
        <w:rPr>
          <w:rFonts w:cs="Times New Roman"/>
          <w:szCs w:val="22"/>
        </w:rPr>
        <w:t xml:space="preserve">A simple schematic illustrating the NAA proposed phase down metrics and timeline is included below at </w:t>
      </w:r>
      <w:r w:rsidRPr="001144EE">
        <w:rPr>
          <w:rFonts w:cs="Times New Roman"/>
          <w:i/>
          <w:szCs w:val="22"/>
        </w:rPr>
        <w:t>Figure</w:t>
      </w:r>
      <w:r>
        <w:rPr>
          <w:rFonts w:cs="Times New Roman"/>
          <w:i/>
          <w:szCs w:val="22"/>
        </w:rPr>
        <w:t xml:space="preserve">s </w:t>
      </w:r>
      <w:r w:rsidR="008005E5">
        <w:rPr>
          <w:rFonts w:cs="Times New Roman"/>
          <w:i/>
          <w:szCs w:val="22"/>
        </w:rPr>
        <w:t>2</w:t>
      </w:r>
      <w:r>
        <w:rPr>
          <w:rFonts w:cs="Times New Roman"/>
          <w:i/>
          <w:szCs w:val="22"/>
        </w:rPr>
        <w:t xml:space="preserve"> </w:t>
      </w:r>
      <w:r w:rsidRPr="00655B22">
        <w:rPr>
          <w:rFonts w:cs="Times New Roman"/>
          <w:szCs w:val="22"/>
        </w:rPr>
        <w:t>and</w:t>
      </w:r>
      <w:r>
        <w:rPr>
          <w:rFonts w:cs="Times New Roman"/>
          <w:i/>
          <w:szCs w:val="22"/>
        </w:rPr>
        <w:t xml:space="preserve"> </w:t>
      </w:r>
      <w:r w:rsidR="008005E5">
        <w:rPr>
          <w:rFonts w:cs="Times New Roman"/>
          <w:i/>
          <w:szCs w:val="22"/>
        </w:rPr>
        <w:t>3</w:t>
      </w:r>
      <w:r w:rsidRPr="0039607F">
        <w:rPr>
          <w:rFonts w:cs="Times New Roman"/>
          <w:szCs w:val="22"/>
        </w:rPr>
        <w:t>.</w:t>
      </w:r>
    </w:p>
    <w:p w:rsidR="008F2CD7" w:rsidRDefault="008F2CD7" w:rsidP="008F2CD7">
      <w:pPr>
        <w:rPr>
          <w:rFonts w:cs="Times New Roman"/>
          <w:szCs w:val="22"/>
        </w:rPr>
      </w:pPr>
    </w:p>
    <w:p w:rsidR="008F2CD7" w:rsidRDefault="008F2CD7" w:rsidP="008F2CD7">
      <w:pPr>
        <w:rPr>
          <w:rFonts w:cs="Times New Roman"/>
          <w:szCs w:val="22"/>
        </w:rPr>
      </w:pPr>
    </w:p>
    <w:p w:rsidR="00DF6FF3" w:rsidRDefault="00DF6FF3" w:rsidP="008F2CD7">
      <w:pPr>
        <w:rPr>
          <w:rFonts w:cs="Times New Roman"/>
          <w:szCs w:val="22"/>
        </w:rPr>
      </w:pPr>
    </w:p>
    <w:p w:rsidR="00DF6FF3" w:rsidRDefault="00DF6FF3" w:rsidP="008F2CD7">
      <w:pPr>
        <w:rPr>
          <w:rFonts w:cs="Times New Roman"/>
          <w:szCs w:val="22"/>
        </w:rPr>
      </w:pPr>
    </w:p>
    <w:p w:rsidR="00DF6FF3" w:rsidRDefault="00DF6FF3" w:rsidP="008F2CD7">
      <w:pPr>
        <w:rPr>
          <w:rFonts w:cs="Times New Roman"/>
          <w:szCs w:val="22"/>
        </w:rPr>
      </w:pPr>
    </w:p>
    <w:p w:rsidR="005715DE" w:rsidRDefault="005715DE" w:rsidP="008F2CD7">
      <w:pPr>
        <w:rPr>
          <w:rFonts w:cs="Times New Roman"/>
          <w:szCs w:val="22"/>
        </w:rPr>
      </w:pPr>
    </w:p>
    <w:p w:rsidR="00ED5919" w:rsidRDefault="00ED5919" w:rsidP="008F2CD7">
      <w:pPr>
        <w:rPr>
          <w:rFonts w:cs="Times New Roman"/>
          <w:szCs w:val="22"/>
        </w:rPr>
      </w:pPr>
    </w:p>
    <w:p w:rsidR="005715DE" w:rsidRDefault="005715DE" w:rsidP="008F2CD7">
      <w:pPr>
        <w:rPr>
          <w:rFonts w:cs="Times New Roman"/>
          <w:szCs w:val="22"/>
        </w:rPr>
      </w:pPr>
    </w:p>
    <w:p w:rsidR="00A33C16" w:rsidRDefault="00A33C16" w:rsidP="008F2CD7">
      <w:pPr>
        <w:rPr>
          <w:rFonts w:cs="Times New Roman"/>
          <w:szCs w:val="22"/>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65"/>
      </w:tblGrid>
      <w:tr w:rsidR="008F2CD7" w:rsidRPr="00613398" w:rsidTr="009C2781">
        <w:tc>
          <w:tcPr>
            <w:tcW w:w="10065" w:type="dxa"/>
            <w:vAlign w:val="center"/>
          </w:tcPr>
          <w:p w:rsidR="008F2CD7" w:rsidRPr="00613398" w:rsidRDefault="008F2CD7" w:rsidP="008F2CD7">
            <w:pPr>
              <w:spacing w:after="120"/>
              <w:jc w:val="center"/>
              <w:rPr>
                <w:rFonts w:cs="Times New Roman"/>
                <w:b/>
              </w:rPr>
            </w:pPr>
            <w:r w:rsidRPr="00613398">
              <w:rPr>
                <w:rFonts w:cs="Times New Roman"/>
                <w:b/>
              </w:rPr>
              <w:br w:type="page"/>
            </w:r>
            <w:r>
              <w:rPr>
                <w:rFonts w:cs="Times New Roman"/>
                <w:b/>
              </w:rPr>
              <w:t>North American Amendment Proposal</w:t>
            </w:r>
            <w:r w:rsidRPr="00613398">
              <w:rPr>
                <w:rFonts w:cs="Times New Roman"/>
                <w:b/>
              </w:rPr>
              <w:t xml:space="preserve"> </w:t>
            </w:r>
          </w:p>
        </w:tc>
      </w:tr>
      <w:tr w:rsidR="008F2CD7" w:rsidRPr="00923150" w:rsidTr="009C2781">
        <w:tc>
          <w:tcPr>
            <w:tcW w:w="10065" w:type="dxa"/>
            <w:vAlign w:val="center"/>
          </w:tcPr>
          <w:p w:rsidR="008F2CD7" w:rsidRDefault="008F2CD7" w:rsidP="008F2CD7">
            <w:pPr>
              <w:spacing w:before="0"/>
              <w:jc w:val="center"/>
              <w:rPr>
                <w:sz w:val="16"/>
                <w:szCs w:val="16"/>
              </w:rPr>
            </w:pPr>
          </w:p>
          <w:p w:rsidR="008F2CD7" w:rsidRDefault="008F2CD7" w:rsidP="008F2CD7">
            <w:pPr>
              <w:spacing w:before="0"/>
              <w:jc w:val="center"/>
              <w:rPr>
                <w:sz w:val="16"/>
                <w:szCs w:val="16"/>
              </w:rPr>
            </w:pPr>
            <w:r>
              <w:rPr>
                <w:noProof/>
                <w:lang w:val="en-AU" w:eastAsia="en-AU"/>
              </w:rPr>
              <w:drawing>
                <wp:inline distT="0" distB="0" distL="0" distR="0">
                  <wp:extent cx="6206490" cy="2504440"/>
                  <wp:effectExtent l="0" t="0" r="0" b="1016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F2CD7" w:rsidRDefault="008F2CD7" w:rsidP="008F2CD7">
            <w:pPr>
              <w:spacing w:before="0"/>
              <w:jc w:val="center"/>
              <w:rPr>
                <w:sz w:val="16"/>
                <w:szCs w:val="16"/>
              </w:rPr>
            </w:pPr>
          </w:p>
        </w:tc>
      </w:tr>
      <w:tr w:rsidR="008F2CD7" w:rsidRPr="003F61A2" w:rsidTr="009C2781">
        <w:tc>
          <w:tcPr>
            <w:tcW w:w="10065" w:type="dxa"/>
            <w:vAlign w:val="center"/>
          </w:tcPr>
          <w:p w:rsidR="008F2CD7" w:rsidRPr="003F61A2" w:rsidRDefault="00F4221A" w:rsidP="009C2781">
            <w:pPr>
              <w:spacing w:before="60" w:after="60"/>
              <w:rPr>
                <w:rFonts w:cs="Times New Roman"/>
                <w:i/>
                <w:sz w:val="20"/>
              </w:rPr>
            </w:pPr>
            <w:bookmarkStart w:id="9" w:name="_Toc257359970"/>
            <w:r w:rsidRPr="007F343E">
              <w:rPr>
                <w:rFonts w:cs="Times New Roman"/>
                <w:i/>
                <w:sz w:val="20"/>
              </w:rPr>
              <w:t xml:space="preserve">Figure </w:t>
            </w:r>
            <w:r w:rsidR="00B41499" w:rsidRPr="007F343E">
              <w:rPr>
                <w:rFonts w:cs="Times New Roman"/>
                <w:i/>
                <w:sz w:val="20"/>
              </w:rPr>
              <w:fldChar w:fldCharType="begin"/>
            </w:r>
            <w:r w:rsidR="008005E5" w:rsidRPr="007F343E">
              <w:rPr>
                <w:rFonts w:cs="Times New Roman"/>
                <w:i/>
                <w:sz w:val="20"/>
              </w:rPr>
              <w:instrText xml:space="preserve"> SEQ Figure \* ARABIC </w:instrText>
            </w:r>
            <w:r w:rsidR="00B41499" w:rsidRPr="007F343E">
              <w:rPr>
                <w:rFonts w:cs="Times New Roman"/>
                <w:i/>
                <w:sz w:val="20"/>
              </w:rPr>
              <w:fldChar w:fldCharType="separate"/>
            </w:r>
            <w:r w:rsidR="008E0DB9">
              <w:rPr>
                <w:rFonts w:cs="Times New Roman"/>
                <w:i/>
                <w:noProof/>
                <w:sz w:val="20"/>
              </w:rPr>
              <w:t>2</w:t>
            </w:r>
            <w:r w:rsidR="00B41499" w:rsidRPr="007F343E">
              <w:rPr>
                <w:rFonts w:cs="Times New Roman"/>
                <w:i/>
                <w:sz w:val="20"/>
              </w:rPr>
              <w:fldChar w:fldCharType="end"/>
            </w:r>
            <w:r w:rsidR="008F2CD7" w:rsidRPr="00613398">
              <w:rPr>
                <w:rFonts w:cs="Times New Roman"/>
                <w:i/>
                <w:sz w:val="20"/>
              </w:rPr>
              <w:t xml:space="preserve">: </w:t>
            </w:r>
            <w:r w:rsidR="008F2CD7" w:rsidRPr="003F61A2">
              <w:rPr>
                <w:rFonts w:cs="Times New Roman"/>
                <w:i/>
                <w:sz w:val="20"/>
              </w:rPr>
              <w:t>HFC reduction steps for Non-Article 5 Count</w:t>
            </w:r>
            <w:r w:rsidR="0098760B">
              <w:rPr>
                <w:rFonts w:cs="Times New Roman"/>
                <w:i/>
                <w:sz w:val="20"/>
              </w:rPr>
              <w:t>r</w:t>
            </w:r>
            <w:r w:rsidR="008F2CD7" w:rsidRPr="003F61A2">
              <w:rPr>
                <w:rFonts w:cs="Times New Roman"/>
                <w:i/>
                <w:sz w:val="20"/>
              </w:rPr>
              <w:t>ies (incl</w:t>
            </w:r>
            <w:r w:rsidR="008F2CD7">
              <w:rPr>
                <w:rFonts w:cs="Times New Roman"/>
                <w:i/>
                <w:sz w:val="20"/>
              </w:rPr>
              <w:t>.</w:t>
            </w:r>
            <w:r w:rsidR="008F2CD7" w:rsidRPr="003F61A2">
              <w:rPr>
                <w:rFonts w:cs="Times New Roman"/>
                <w:i/>
                <w:sz w:val="20"/>
              </w:rPr>
              <w:t xml:space="preserve"> Australia)</w:t>
            </w:r>
            <w:r w:rsidR="008F2CD7" w:rsidRPr="00613398">
              <w:rPr>
                <w:rFonts w:cs="Times New Roman"/>
                <w:i/>
                <w:sz w:val="20"/>
              </w:rPr>
              <w:t>.</w:t>
            </w:r>
            <w:bookmarkEnd w:id="9"/>
          </w:p>
        </w:tc>
      </w:tr>
      <w:tr w:rsidR="008F2CD7" w:rsidTr="009C2781">
        <w:tc>
          <w:tcPr>
            <w:tcW w:w="10065" w:type="dxa"/>
            <w:vAlign w:val="center"/>
          </w:tcPr>
          <w:p w:rsidR="008F2CD7" w:rsidRDefault="008F2CD7" w:rsidP="008F2CD7">
            <w:pPr>
              <w:spacing w:before="0"/>
              <w:jc w:val="center"/>
              <w:rPr>
                <w:sz w:val="16"/>
                <w:szCs w:val="16"/>
              </w:rPr>
            </w:pPr>
          </w:p>
          <w:p w:rsidR="008F2CD7" w:rsidRDefault="008F2CD7" w:rsidP="008F2CD7">
            <w:pPr>
              <w:spacing w:before="0"/>
              <w:jc w:val="center"/>
              <w:rPr>
                <w:sz w:val="16"/>
                <w:szCs w:val="16"/>
              </w:rPr>
            </w:pPr>
            <w:r>
              <w:rPr>
                <w:noProof/>
                <w:lang w:val="en-AU" w:eastAsia="en-AU"/>
              </w:rPr>
              <w:drawing>
                <wp:inline distT="0" distB="0" distL="0" distR="0">
                  <wp:extent cx="6216650" cy="2443480"/>
                  <wp:effectExtent l="0" t="0" r="635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F2CD7" w:rsidRDefault="008F2CD7" w:rsidP="008F2CD7">
            <w:pPr>
              <w:spacing w:before="0"/>
              <w:jc w:val="center"/>
              <w:rPr>
                <w:sz w:val="16"/>
                <w:szCs w:val="16"/>
              </w:rPr>
            </w:pPr>
          </w:p>
        </w:tc>
      </w:tr>
      <w:tr w:rsidR="008F2CD7" w:rsidRPr="00923150" w:rsidTr="009C2781">
        <w:tc>
          <w:tcPr>
            <w:tcW w:w="10065" w:type="dxa"/>
            <w:vAlign w:val="center"/>
          </w:tcPr>
          <w:p w:rsidR="008F2CD7" w:rsidRPr="00613398" w:rsidRDefault="00F4221A" w:rsidP="009C2781">
            <w:pPr>
              <w:spacing w:before="60" w:after="60"/>
            </w:pPr>
            <w:bookmarkStart w:id="10" w:name="_Toc257359971"/>
            <w:r w:rsidRPr="007F343E">
              <w:rPr>
                <w:rFonts w:cs="Times New Roman"/>
                <w:i/>
                <w:sz w:val="20"/>
              </w:rPr>
              <w:t xml:space="preserve">Figure </w:t>
            </w:r>
            <w:r w:rsidR="00B41499" w:rsidRPr="007F343E">
              <w:rPr>
                <w:rFonts w:cs="Times New Roman"/>
                <w:i/>
                <w:sz w:val="20"/>
              </w:rPr>
              <w:fldChar w:fldCharType="begin"/>
            </w:r>
            <w:r w:rsidR="008005E5" w:rsidRPr="007F343E">
              <w:rPr>
                <w:rFonts w:cs="Times New Roman"/>
                <w:i/>
                <w:sz w:val="20"/>
              </w:rPr>
              <w:instrText xml:space="preserve"> SEQ Figure \* ARABIC </w:instrText>
            </w:r>
            <w:r w:rsidR="00B41499" w:rsidRPr="007F343E">
              <w:rPr>
                <w:rFonts w:cs="Times New Roman"/>
                <w:i/>
                <w:sz w:val="20"/>
              </w:rPr>
              <w:fldChar w:fldCharType="separate"/>
            </w:r>
            <w:r w:rsidR="008E0DB9">
              <w:rPr>
                <w:rFonts w:cs="Times New Roman"/>
                <w:i/>
                <w:noProof/>
                <w:sz w:val="20"/>
              </w:rPr>
              <w:t>3</w:t>
            </w:r>
            <w:r w:rsidR="00B41499" w:rsidRPr="007F343E">
              <w:rPr>
                <w:rFonts w:cs="Times New Roman"/>
                <w:i/>
                <w:sz w:val="20"/>
              </w:rPr>
              <w:fldChar w:fldCharType="end"/>
            </w:r>
            <w:r w:rsidR="008F2CD7" w:rsidRPr="00613398">
              <w:rPr>
                <w:rFonts w:cs="Times New Roman"/>
                <w:i/>
                <w:sz w:val="20"/>
              </w:rPr>
              <w:t xml:space="preserve">: </w:t>
            </w:r>
            <w:r w:rsidR="008F2CD7" w:rsidRPr="003F61A2">
              <w:rPr>
                <w:rFonts w:cs="Times New Roman"/>
                <w:i/>
                <w:sz w:val="20"/>
              </w:rPr>
              <w:t>Cumulative emission reduction in % cut for Non-Article 5 Count</w:t>
            </w:r>
            <w:r w:rsidR="0098760B">
              <w:rPr>
                <w:rFonts w:cs="Times New Roman"/>
                <w:i/>
                <w:sz w:val="20"/>
              </w:rPr>
              <w:t>r</w:t>
            </w:r>
            <w:r w:rsidR="008F2CD7" w:rsidRPr="003F61A2">
              <w:rPr>
                <w:rFonts w:cs="Times New Roman"/>
                <w:i/>
                <w:sz w:val="20"/>
              </w:rPr>
              <w:t>ies (incl</w:t>
            </w:r>
            <w:r w:rsidR="008F2CD7">
              <w:rPr>
                <w:rFonts w:cs="Times New Roman"/>
                <w:i/>
                <w:sz w:val="20"/>
              </w:rPr>
              <w:t xml:space="preserve">. </w:t>
            </w:r>
            <w:r w:rsidR="008F2CD7" w:rsidRPr="003F61A2">
              <w:rPr>
                <w:rFonts w:cs="Times New Roman"/>
                <w:i/>
                <w:sz w:val="20"/>
              </w:rPr>
              <w:t>Australia)</w:t>
            </w:r>
            <w:r w:rsidR="008F2CD7" w:rsidRPr="00613398">
              <w:rPr>
                <w:rFonts w:cs="Times New Roman"/>
                <w:i/>
                <w:sz w:val="20"/>
              </w:rPr>
              <w:t>.</w:t>
            </w:r>
            <w:bookmarkEnd w:id="10"/>
          </w:p>
        </w:tc>
      </w:tr>
    </w:tbl>
    <w:p w:rsidR="008F2CD7" w:rsidRPr="0039607F" w:rsidRDefault="008F2CD7" w:rsidP="008F2CD7">
      <w:pPr>
        <w:rPr>
          <w:rFonts w:cs="Times New Roman"/>
          <w:szCs w:val="22"/>
        </w:rPr>
      </w:pPr>
    </w:p>
    <w:p w:rsidR="008F2CD7" w:rsidRPr="001144EE" w:rsidRDefault="008F2CD7" w:rsidP="008F2CD7">
      <w:pPr>
        <w:pStyle w:val="Heading2"/>
        <w:ind w:left="576"/>
      </w:pPr>
      <w:bookmarkStart w:id="11" w:name="_Toc257359945"/>
      <w:r w:rsidRPr="001144EE">
        <w:t>Australia and the NAA Proposal</w:t>
      </w:r>
      <w:bookmarkEnd w:id="11"/>
    </w:p>
    <w:p w:rsidR="008F2CD7" w:rsidRPr="00F96930" w:rsidRDefault="00212886" w:rsidP="008F2CD7">
      <w:pPr>
        <w:rPr>
          <w:rFonts w:cs="Times New Roman"/>
        </w:rPr>
      </w:pPr>
      <w:r w:rsidRPr="00574E1E">
        <w:rPr>
          <w:rFonts w:cs="Times New Roman"/>
          <w:b/>
        </w:rPr>
        <w:t>Calculating the Baseline</w:t>
      </w:r>
      <w:r>
        <w:rPr>
          <w:rFonts w:cs="Times New Roman"/>
        </w:rPr>
        <w:t xml:space="preserve"> - </w:t>
      </w:r>
      <w:r w:rsidR="008F2CD7" w:rsidRPr="00F96930">
        <w:rPr>
          <w:rFonts w:cs="Times New Roman"/>
        </w:rPr>
        <w:t xml:space="preserve">The </w:t>
      </w:r>
      <w:r w:rsidR="00DA11E1">
        <w:rPr>
          <w:rFonts w:cs="Times New Roman"/>
        </w:rPr>
        <w:t xml:space="preserve">2013 </w:t>
      </w:r>
      <w:r w:rsidR="00BE2BC7">
        <w:rPr>
          <w:rFonts w:cs="Times New Roman"/>
        </w:rPr>
        <w:t>NAA</w:t>
      </w:r>
      <w:r w:rsidR="008F2CD7" w:rsidRPr="00F96930">
        <w:rPr>
          <w:rFonts w:cs="Times New Roman"/>
        </w:rPr>
        <w:t xml:space="preserve"> proposal requires establishment of </w:t>
      </w:r>
      <w:r w:rsidR="00A1779A">
        <w:rPr>
          <w:rFonts w:cs="Times New Roman"/>
        </w:rPr>
        <w:t xml:space="preserve">country </w:t>
      </w:r>
      <w:r w:rsidR="008F2CD7" w:rsidRPr="00F96930">
        <w:rPr>
          <w:rFonts w:cs="Times New Roman"/>
        </w:rPr>
        <w:t>baselines for</w:t>
      </w:r>
      <w:r w:rsidR="00AF06BE">
        <w:rPr>
          <w:rFonts w:cs="Times New Roman"/>
        </w:rPr>
        <w:t xml:space="preserve"> </w:t>
      </w:r>
      <w:r w:rsidR="00A1779A">
        <w:rPr>
          <w:rFonts w:cs="Times New Roman"/>
        </w:rPr>
        <w:t xml:space="preserve">each </w:t>
      </w:r>
      <w:r w:rsidR="008F2CD7" w:rsidRPr="00F96930">
        <w:rPr>
          <w:rFonts w:cs="Times New Roman"/>
        </w:rPr>
        <w:t>member countr</w:t>
      </w:r>
      <w:r w:rsidR="00A1779A">
        <w:rPr>
          <w:rFonts w:cs="Times New Roman"/>
        </w:rPr>
        <w:t>y</w:t>
      </w:r>
      <w:r w:rsidR="008F2CD7" w:rsidRPr="00F96930">
        <w:rPr>
          <w:rFonts w:cs="Times New Roman"/>
        </w:rPr>
        <w:t xml:space="preserve">, and then proposes </w:t>
      </w:r>
      <w:r w:rsidR="00D43367">
        <w:rPr>
          <w:rFonts w:cs="Times New Roman"/>
        </w:rPr>
        <w:t xml:space="preserve">a consistent percentage </w:t>
      </w:r>
      <w:r w:rsidR="008F2CD7" w:rsidRPr="00F96930">
        <w:rPr>
          <w:rFonts w:cs="Times New Roman"/>
        </w:rPr>
        <w:t>reduction</w:t>
      </w:r>
      <w:r w:rsidR="00D43367">
        <w:rPr>
          <w:rFonts w:cs="Times New Roman"/>
        </w:rPr>
        <w:t xml:space="preserve"> for all</w:t>
      </w:r>
      <w:r w:rsidR="008F2CD7" w:rsidRPr="00F96930">
        <w:rPr>
          <w:rFonts w:cs="Times New Roman"/>
        </w:rPr>
        <w:t xml:space="preserve"> countr</w:t>
      </w:r>
      <w:r w:rsidR="00D43367">
        <w:rPr>
          <w:rFonts w:cs="Times New Roman"/>
        </w:rPr>
        <w:t>ies</w:t>
      </w:r>
      <w:r w:rsidR="008F2CD7" w:rsidRPr="00F96930">
        <w:rPr>
          <w:rFonts w:cs="Times New Roman"/>
        </w:rPr>
        <w:t xml:space="preserve"> relative to th</w:t>
      </w:r>
      <w:r w:rsidR="00A1779A">
        <w:rPr>
          <w:rFonts w:cs="Times New Roman"/>
        </w:rPr>
        <w:t>eir</w:t>
      </w:r>
      <w:r w:rsidR="008F2CD7" w:rsidRPr="00F96930">
        <w:rPr>
          <w:rFonts w:cs="Times New Roman"/>
        </w:rPr>
        <w:t xml:space="preserve"> </w:t>
      </w:r>
      <w:r w:rsidR="00417CEE">
        <w:rPr>
          <w:rFonts w:cs="Times New Roman"/>
        </w:rPr>
        <w:t xml:space="preserve">individual </w:t>
      </w:r>
      <w:r w:rsidR="008F2CD7" w:rsidRPr="00F96930">
        <w:rPr>
          <w:rFonts w:cs="Times New Roman"/>
        </w:rPr>
        <w:t>baseline.</w:t>
      </w:r>
    </w:p>
    <w:p w:rsidR="00A1779A" w:rsidRDefault="008F2CD7" w:rsidP="008F2CD7">
      <w:pPr>
        <w:rPr>
          <w:rFonts w:cs="Times New Roman"/>
        </w:rPr>
      </w:pPr>
      <w:r w:rsidRPr="00F96930">
        <w:rPr>
          <w:rFonts w:cs="Times New Roman"/>
        </w:rPr>
        <w:t xml:space="preserve">The </w:t>
      </w:r>
      <w:r w:rsidR="00A1779A">
        <w:rPr>
          <w:rFonts w:cs="Times New Roman"/>
        </w:rPr>
        <w:t xml:space="preserve">country </w:t>
      </w:r>
      <w:r w:rsidRPr="00F96930">
        <w:rPr>
          <w:rFonts w:cs="Times New Roman"/>
        </w:rPr>
        <w:t xml:space="preserve">baselines are calculated </w:t>
      </w:r>
      <w:r w:rsidR="00AF06BE">
        <w:rPr>
          <w:rFonts w:cs="Times New Roman"/>
        </w:rPr>
        <w:t>on</w:t>
      </w:r>
      <w:r w:rsidRPr="00F96930">
        <w:rPr>
          <w:rFonts w:cs="Times New Roman"/>
        </w:rPr>
        <w:t xml:space="preserve"> average production and consumption </w:t>
      </w:r>
      <w:r w:rsidR="00A1779A">
        <w:rPr>
          <w:rFonts w:cs="Times New Roman"/>
        </w:rPr>
        <w:t xml:space="preserve">of HFCs </w:t>
      </w:r>
      <w:r w:rsidRPr="00F96930">
        <w:rPr>
          <w:rFonts w:cs="Times New Roman"/>
        </w:rPr>
        <w:t>in the period 2008</w:t>
      </w:r>
      <w:r w:rsidR="00574E1E">
        <w:rPr>
          <w:rFonts w:cs="Times New Roman"/>
        </w:rPr>
        <w:t xml:space="preserve"> to </w:t>
      </w:r>
      <w:r w:rsidRPr="00F96930">
        <w:rPr>
          <w:rFonts w:cs="Times New Roman"/>
        </w:rPr>
        <w:t>2010</w:t>
      </w:r>
      <w:r w:rsidR="00A1779A">
        <w:rPr>
          <w:rFonts w:cs="Times New Roman"/>
        </w:rPr>
        <w:t xml:space="preserve">, </w:t>
      </w:r>
      <w:r w:rsidR="00AF06BE">
        <w:rPr>
          <w:rFonts w:cs="Times New Roman"/>
        </w:rPr>
        <w:t>plus</w:t>
      </w:r>
      <w:r w:rsidR="00A1779A">
        <w:rPr>
          <w:rFonts w:cs="Times New Roman"/>
        </w:rPr>
        <w:t xml:space="preserve"> 85% of the average production and consumption of HCFCs in those same years in each country. </w:t>
      </w:r>
      <w:r w:rsidR="00417CEE">
        <w:rPr>
          <w:rFonts w:cs="Times New Roman"/>
        </w:rPr>
        <w:t>As there is no production of</w:t>
      </w:r>
      <w:r w:rsidR="00A1779A">
        <w:rPr>
          <w:rFonts w:cs="Times New Roman"/>
        </w:rPr>
        <w:t xml:space="preserve"> HCFCs or HFCs in Australia, the Australian baseline will be calculated on consumption only</w:t>
      </w:r>
      <w:r w:rsidRPr="00F96930">
        <w:rPr>
          <w:rFonts w:cs="Times New Roman"/>
        </w:rPr>
        <w:t>.</w:t>
      </w:r>
      <w:r w:rsidR="00A1779A">
        <w:rPr>
          <w:rFonts w:cs="Times New Roman"/>
        </w:rPr>
        <w:t xml:space="preserve"> Consumption is defined in the NAA as bulk gas imports</w:t>
      </w:r>
      <w:r w:rsidR="00844E17">
        <w:rPr>
          <w:rFonts w:cs="Times New Roman"/>
        </w:rPr>
        <w:t xml:space="preserve"> only</w:t>
      </w:r>
      <w:r w:rsidR="00A1779A">
        <w:rPr>
          <w:rFonts w:cs="Times New Roman"/>
        </w:rPr>
        <w:t>.</w:t>
      </w:r>
      <w:r>
        <w:rPr>
          <w:rFonts w:cs="Times New Roman"/>
        </w:rPr>
        <w:t xml:space="preserve"> </w:t>
      </w:r>
    </w:p>
    <w:p w:rsidR="008F2CD7" w:rsidRPr="00F96930" w:rsidRDefault="008F2CD7" w:rsidP="008F2CD7">
      <w:pPr>
        <w:rPr>
          <w:rFonts w:cs="Times New Roman"/>
        </w:rPr>
      </w:pPr>
      <w:r w:rsidRPr="00F96930">
        <w:rPr>
          <w:rFonts w:cs="Times New Roman"/>
        </w:rPr>
        <w:t xml:space="preserve">Country baselines, and subsequent targets for reduction against the baseline, are expressed in terms of </w:t>
      </w:r>
      <w:r w:rsidRPr="00C10940">
        <w:rPr>
          <w:rFonts w:cs="Times New Roman"/>
        </w:rPr>
        <w:t>CO</w:t>
      </w:r>
      <w:r w:rsidRPr="00C10940">
        <w:rPr>
          <w:rFonts w:cs="Times New Roman"/>
          <w:vertAlign w:val="subscript"/>
        </w:rPr>
        <w:t>2</w:t>
      </w:r>
      <w:r w:rsidR="00C10940">
        <w:rPr>
          <w:rFonts w:cs="Times New Roman"/>
        </w:rPr>
        <w:t>-</w:t>
      </w:r>
      <w:r w:rsidRPr="00C10940">
        <w:rPr>
          <w:rFonts w:cs="Times New Roman"/>
        </w:rPr>
        <w:t>e</w:t>
      </w:r>
      <w:r w:rsidRPr="00F96930">
        <w:rPr>
          <w:rFonts w:cs="Times New Roman"/>
        </w:rPr>
        <w:t>, creating a common denominator for aggregation of both HCFC</w:t>
      </w:r>
      <w:r w:rsidR="00C17FD0">
        <w:rPr>
          <w:rFonts w:cs="Times New Roman"/>
        </w:rPr>
        <w:t>s</w:t>
      </w:r>
      <w:r w:rsidRPr="00F96930">
        <w:rPr>
          <w:rFonts w:cs="Times New Roman"/>
        </w:rPr>
        <w:t xml:space="preserve"> and HFC</w:t>
      </w:r>
      <w:r w:rsidR="00C17FD0">
        <w:rPr>
          <w:rFonts w:cs="Times New Roman"/>
        </w:rPr>
        <w:t>s</w:t>
      </w:r>
      <w:r w:rsidRPr="00F96930">
        <w:rPr>
          <w:rFonts w:cs="Times New Roman"/>
        </w:rPr>
        <w:t>.</w:t>
      </w:r>
    </w:p>
    <w:p w:rsidR="00417CEE" w:rsidRPr="00F96930" w:rsidRDefault="00417CEE" w:rsidP="00417CEE">
      <w:pPr>
        <w:rPr>
          <w:rFonts w:cs="Times New Roman"/>
        </w:rPr>
      </w:pPr>
      <w:r>
        <w:rPr>
          <w:rFonts w:cs="Times New Roman"/>
        </w:rPr>
        <w:t>Because of the re</w:t>
      </w:r>
      <w:r w:rsidR="00212886">
        <w:rPr>
          <w:rFonts w:cs="Times New Roman"/>
        </w:rPr>
        <w:t>porting</w:t>
      </w:r>
      <w:r>
        <w:rPr>
          <w:rFonts w:cs="Times New Roman"/>
        </w:rPr>
        <w:t xml:space="preserve"> protocols adhered to by Australian</w:t>
      </w:r>
      <w:r w:rsidR="00212886">
        <w:rPr>
          <w:rFonts w:cs="Times New Roman"/>
        </w:rPr>
        <w:t xml:space="preserve"> importers of HCFCs and HFCs, the data required to calculate an NAA baseline for Australia is very reliable.</w:t>
      </w:r>
    </w:p>
    <w:p w:rsidR="00D14CF4" w:rsidRDefault="00C511DE" w:rsidP="008F2CD7">
      <w:pPr>
        <w:rPr>
          <w:rFonts w:cs="Times New Roman"/>
        </w:rPr>
      </w:pPr>
      <w:r w:rsidRPr="00EA6CCB">
        <w:rPr>
          <w:szCs w:val="22"/>
        </w:rPr>
        <w:t xml:space="preserve">Based on the </w:t>
      </w:r>
      <w:r>
        <w:rPr>
          <w:szCs w:val="22"/>
        </w:rPr>
        <w:t>NAA</w:t>
      </w:r>
      <w:r w:rsidRPr="00EA6CCB">
        <w:rPr>
          <w:szCs w:val="22"/>
        </w:rPr>
        <w:t xml:space="preserve"> proposal the Australian baseline was calculated to be </w:t>
      </w:r>
      <w:r>
        <w:rPr>
          <w:szCs w:val="22"/>
        </w:rPr>
        <w:t xml:space="preserve">about </w:t>
      </w:r>
      <w:r w:rsidRPr="00EA6CCB">
        <w:rPr>
          <w:szCs w:val="22"/>
        </w:rPr>
        <w:t>9,</w:t>
      </w:r>
      <w:r>
        <w:rPr>
          <w:szCs w:val="22"/>
        </w:rPr>
        <w:t>950 kilo tonnes CO</w:t>
      </w:r>
      <w:r>
        <w:rPr>
          <w:szCs w:val="22"/>
          <w:vertAlign w:val="subscript"/>
        </w:rPr>
        <w:t>2</w:t>
      </w:r>
      <w:r w:rsidR="00977C4A" w:rsidRPr="002E6AC8">
        <w:rPr>
          <w:szCs w:val="22"/>
        </w:rPr>
        <w:t>-</w:t>
      </w:r>
      <w:r>
        <w:rPr>
          <w:szCs w:val="22"/>
        </w:rPr>
        <w:t>e (AR4)</w:t>
      </w:r>
      <w:r w:rsidR="00212886">
        <w:rPr>
          <w:szCs w:val="22"/>
        </w:rPr>
        <w:t>.</w:t>
      </w:r>
      <w:r>
        <w:rPr>
          <w:szCs w:val="22"/>
        </w:rPr>
        <w:t xml:space="preserve"> </w:t>
      </w:r>
      <w:r w:rsidR="007713AA">
        <w:rPr>
          <w:szCs w:val="22"/>
        </w:rPr>
        <w:t xml:space="preserve">Refer to </w:t>
      </w:r>
      <w:r w:rsidR="007713AA" w:rsidRPr="00471445">
        <w:rPr>
          <w:i/>
          <w:szCs w:val="22"/>
        </w:rPr>
        <w:t xml:space="preserve">Appendix </w:t>
      </w:r>
      <w:r w:rsidR="00DF6FF3">
        <w:rPr>
          <w:i/>
          <w:szCs w:val="22"/>
        </w:rPr>
        <w:t>A1</w:t>
      </w:r>
      <w:r w:rsidR="007713AA">
        <w:rPr>
          <w:szCs w:val="22"/>
        </w:rPr>
        <w:t xml:space="preserve"> for a summary of the calculations.</w:t>
      </w:r>
    </w:p>
    <w:p w:rsidR="00574E1E" w:rsidRDefault="00212886" w:rsidP="008F2CD7">
      <w:pPr>
        <w:rPr>
          <w:rFonts w:cs="Times New Roman"/>
        </w:rPr>
      </w:pPr>
      <w:r w:rsidRPr="00574E1E">
        <w:rPr>
          <w:rFonts w:cs="Times New Roman"/>
          <w:b/>
        </w:rPr>
        <w:t>Australia’s 2013 Consumption</w:t>
      </w:r>
      <w:r>
        <w:rPr>
          <w:rFonts w:cs="Times New Roman"/>
        </w:rPr>
        <w:t xml:space="preserve"> - </w:t>
      </w:r>
      <w:r w:rsidR="008F2CD7" w:rsidRPr="00F96930">
        <w:rPr>
          <w:rFonts w:cs="Times New Roman"/>
        </w:rPr>
        <w:t xml:space="preserve">For a number of reasons, both commercial and to do with the government policy settings, since the end of the baseline period, Australian </w:t>
      </w:r>
      <w:r w:rsidR="00C511DE">
        <w:rPr>
          <w:rFonts w:cs="Times New Roman"/>
        </w:rPr>
        <w:t xml:space="preserve">consumption of </w:t>
      </w:r>
      <w:r w:rsidR="008F2CD7" w:rsidRPr="00F96930">
        <w:rPr>
          <w:rFonts w:cs="Times New Roman"/>
        </w:rPr>
        <w:t>bulk gas imports</w:t>
      </w:r>
      <w:r w:rsidR="008F2CD7">
        <w:rPr>
          <w:rFonts w:cs="Times New Roman"/>
        </w:rPr>
        <w:t xml:space="preserve"> </w:t>
      </w:r>
      <w:r w:rsidR="00C17FD0">
        <w:rPr>
          <w:rFonts w:cs="Times New Roman"/>
        </w:rPr>
        <w:t xml:space="preserve">are estimated to </w:t>
      </w:r>
      <w:r w:rsidR="008F2CD7">
        <w:rPr>
          <w:rFonts w:cs="Times New Roman"/>
        </w:rPr>
        <w:t xml:space="preserve">have been significantly lower than the baseline in </w:t>
      </w:r>
      <w:r w:rsidR="008F2CD7" w:rsidRPr="00C10940">
        <w:rPr>
          <w:rFonts w:cs="Times New Roman"/>
        </w:rPr>
        <w:t>CO</w:t>
      </w:r>
      <w:r w:rsidR="008F2CD7" w:rsidRPr="00C10940">
        <w:rPr>
          <w:rFonts w:cs="Times New Roman"/>
          <w:vertAlign w:val="subscript"/>
        </w:rPr>
        <w:t>2</w:t>
      </w:r>
      <w:r w:rsidR="00C10940">
        <w:rPr>
          <w:rFonts w:cs="Times New Roman"/>
        </w:rPr>
        <w:t>-</w:t>
      </w:r>
      <w:r w:rsidR="008F2CD7" w:rsidRPr="00C10940">
        <w:rPr>
          <w:rFonts w:cs="Times New Roman"/>
        </w:rPr>
        <w:t>e</w:t>
      </w:r>
      <w:r w:rsidR="008F2CD7">
        <w:rPr>
          <w:rFonts w:cs="Times New Roman"/>
        </w:rPr>
        <w:t xml:space="preserve"> terms. In 2013 it is estimated that Australia’s bulk HCFC and HFC </w:t>
      </w:r>
      <w:r w:rsidR="00C511DE">
        <w:rPr>
          <w:rFonts w:cs="Times New Roman"/>
        </w:rPr>
        <w:t xml:space="preserve">consumption </w:t>
      </w:r>
      <w:r w:rsidR="008F2CD7">
        <w:rPr>
          <w:rFonts w:cs="Times New Roman"/>
        </w:rPr>
        <w:t>w</w:t>
      </w:r>
      <w:r w:rsidR="00C511DE">
        <w:rPr>
          <w:rFonts w:cs="Times New Roman"/>
        </w:rPr>
        <w:t>as</w:t>
      </w:r>
      <w:r w:rsidR="008F2CD7">
        <w:rPr>
          <w:rFonts w:cs="Times New Roman"/>
        </w:rPr>
        <w:t xml:space="preserve"> equivalent to approximately 8.</w:t>
      </w:r>
      <w:r w:rsidR="00540740">
        <w:rPr>
          <w:rFonts w:cs="Times New Roman"/>
        </w:rPr>
        <w:t>8</w:t>
      </w:r>
      <w:r w:rsidR="008F2CD7">
        <w:rPr>
          <w:rFonts w:cs="Times New Roman"/>
        </w:rPr>
        <w:t xml:space="preserve"> Mt</w:t>
      </w:r>
      <w:r w:rsidR="002A2444">
        <w:rPr>
          <w:rFonts w:cs="Times New Roman"/>
        </w:rPr>
        <w:t xml:space="preserve"> </w:t>
      </w:r>
      <w:r w:rsidR="008F2CD7" w:rsidRPr="00F96930">
        <w:rPr>
          <w:rFonts w:cs="Times New Roman"/>
        </w:rPr>
        <w:t>CO</w:t>
      </w:r>
      <w:r w:rsidR="008F2CD7" w:rsidRPr="00F96930">
        <w:rPr>
          <w:rFonts w:cs="Times New Roman"/>
          <w:vertAlign w:val="subscript"/>
        </w:rPr>
        <w:t>2</w:t>
      </w:r>
      <w:r w:rsidR="008F2CD7">
        <w:rPr>
          <w:rFonts w:cs="Times New Roman"/>
        </w:rPr>
        <w:t xml:space="preserve">. </w:t>
      </w:r>
      <w:r w:rsidR="00295E1A">
        <w:rPr>
          <w:rFonts w:cs="Times New Roman"/>
        </w:rPr>
        <w:t>This is calculated on the basis of</w:t>
      </w:r>
      <w:r>
        <w:rPr>
          <w:rFonts w:cs="Times New Roman"/>
        </w:rPr>
        <w:t xml:space="preserve"> an estimate</w:t>
      </w:r>
      <w:r w:rsidR="00295E1A">
        <w:rPr>
          <w:rFonts w:cs="Times New Roman"/>
        </w:rPr>
        <w:t>d</w:t>
      </w:r>
      <w:r w:rsidRPr="008A41AC">
        <w:rPr>
          <w:rFonts w:cs="Times New Roman"/>
        </w:rPr>
        <w:t xml:space="preserve"> </w:t>
      </w:r>
      <w:r w:rsidR="009D0F1D" w:rsidRPr="008A41AC">
        <w:rPr>
          <w:rFonts w:cs="Times New Roman"/>
        </w:rPr>
        <w:t>3,</w:t>
      </w:r>
      <w:r w:rsidR="008A41AC" w:rsidRPr="008A41AC">
        <w:rPr>
          <w:rFonts w:cs="Times New Roman"/>
        </w:rPr>
        <w:t>990</w:t>
      </w:r>
      <w:r w:rsidRPr="008A41AC">
        <w:rPr>
          <w:rFonts w:cs="Times New Roman"/>
        </w:rPr>
        <w:t xml:space="preserve"> tonnes of </w:t>
      </w:r>
      <w:r w:rsidR="00C17FD0">
        <w:rPr>
          <w:rFonts w:cs="Times New Roman"/>
        </w:rPr>
        <w:t xml:space="preserve">virgin </w:t>
      </w:r>
      <w:r w:rsidRPr="008A41AC">
        <w:rPr>
          <w:rFonts w:cs="Times New Roman"/>
        </w:rPr>
        <w:t>bulk gases</w:t>
      </w:r>
      <w:r>
        <w:rPr>
          <w:rFonts w:cs="Times New Roman"/>
        </w:rPr>
        <w:t xml:space="preserve"> of all sorts being consumed in Australia </w:t>
      </w:r>
      <w:r w:rsidR="00295E1A">
        <w:rPr>
          <w:rFonts w:cs="Times New Roman"/>
        </w:rPr>
        <w:t xml:space="preserve">in that year, </w:t>
      </w:r>
      <w:r>
        <w:rPr>
          <w:rFonts w:cs="Times New Roman"/>
        </w:rPr>
        <w:t xml:space="preserve">as set out in </w:t>
      </w:r>
      <w:r w:rsidRPr="007713AA">
        <w:rPr>
          <w:rFonts w:cs="Times New Roman"/>
          <w:i/>
        </w:rPr>
        <w:t xml:space="preserve">Table </w:t>
      </w:r>
      <w:r w:rsidR="007713AA">
        <w:rPr>
          <w:rFonts w:cs="Times New Roman"/>
          <w:i/>
        </w:rPr>
        <w:t>1</w:t>
      </w:r>
      <w:r w:rsidR="009867A1" w:rsidRPr="007713AA">
        <w:rPr>
          <w:rFonts w:cs="Times New Roman"/>
          <w:i/>
        </w:rPr>
        <w:t xml:space="preserve"> </w:t>
      </w:r>
      <w:r w:rsidR="009867A1" w:rsidRPr="007713AA">
        <w:rPr>
          <w:rFonts w:cs="Times New Roman"/>
        </w:rPr>
        <w:t>below</w:t>
      </w:r>
      <w:r w:rsidRPr="007713AA">
        <w:rPr>
          <w:rFonts w:cs="Times New Roman"/>
        </w:rPr>
        <w:t>.</w:t>
      </w:r>
    </w:p>
    <w:p w:rsidR="00212886" w:rsidRDefault="00212886" w:rsidP="008F2CD7">
      <w:pPr>
        <w:rPr>
          <w:rFonts w:cs="Times New Roman"/>
        </w:rPr>
      </w:pPr>
      <w:r>
        <w:rPr>
          <w:rFonts w:cs="Times New Roman"/>
        </w:rPr>
        <w:t xml:space="preserve"> </w:t>
      </w:r>
    </w:p>
    <w:p w:rsidR="00212886" w:rsidRPr="00471445" w:rsidRDefault="00471445" w:rsidP="00212886">
      <w:pPr>
        <w:rPr>
          <w:i/>
          <w:szCs w:val="22"/>
        </w:rPr>
      </w:pPr>
      <w:bookmarkStart w:id="12" w:name="_Toc257360005"/>
      <w:r w:rsidRPr="00471445">
        <w:rPr>
          <w:i/>
          <w:szCs w:val="22"/>
        </w:rPr>
        <w:t xml:space="preserve">Table </w:t>
      </w:r>
      <w:r w:rsidR="00B41499" w:rsidRPr="00471445">
        <w:rPr>
          <w:i/>
          <w:szCs w:val="22"/>
        </w:rPr>
        <w:fldChar w:fldCharType="begin"/>
      </w:r>
      <w:r w:rsidRPr="00471445">
        <w:rPr>
          <w:i/>
          <w:szCs w:val="22"/>
        </w:rPr>
        <w:instrText xml:space="preserve"> SEQ Table \* ARABIC </w:instrText>
      </w:r>
      <w:r w:rsidR="00B41499" w:rsidRPr="00471445">
        <w:rPr>
          <w:i/>
          <w:szCs w:val="22"/>
        </w:rPr>
        <w:fldChar w:fldCharType="separate"/>
      </w:r>
      <w:r w:rsidR="008E0DB9">
        <w:rPr>
          <w:i/>
          <w:noProof/>
          <w:szCs w:val="22"/>
        </w:rPr>
        <w:t>1</w:t>
      </w:r>
      <w:r w:rsidR="00B41499" w:rsidRPr="00471445">
        <w:rPr>
          <w:i/>
          <w:szCs w:val="22"/>
        </w:rPr>
        <w:fldChar w:fldCharType="end"/>
      </w:r>
      <w:r w:rsidR="007713AA" w:rsidRPr="00471445">
        <w:rPr>
          <w:i/>
          <w:szCs w:val="22"/>
        </w:rPr>
        <w:t>:</w:t>
      </w:r>
      <w:r w:rsidRPr="00471445">
        <w:rPr>
          <w:i/>
          <w:szCs w:val="22"/>
        </w:rPr>
        <w:t xml:space="preserve"> </w:t>
      </w:r>
      <w:r w:rsidR="00212886" w:rsidRPr="00471445">
        <w:rPr>
          <w:i/>
          <w:szCs w:val="22"/>
        </w:rPr>
        <w:t>Estimates of 2013 gas consumption in Australia</w:t>
      </w:r>
      <w:r w:rsidR="00D02806">
        <w:rPr>
          <w:i/>
          <w:szCs w:val="22"/>
        </w:rPr>
        <w:t>.</w:t>
      </w:r>
      <w:bookmarkEnd w:id="12"/>
    </w:p>
    <w:tbl>
      <w:tblPr>
        <w:tblW w:w="51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4"/>
        <w:gridCol w:w="2409"/>
      </w:tblGrid>
      <w:tr w:rsidR="00212886" w:rsidRPr="004B7E6C" w:rsidTr="00471445">
        <w:trPr>
          <w:trHeight w:val="535"/>
        </w:trPr>
        <w:tc>
          <w:tcPr>
            <w:tcW w:w="2694" w:type="dxa"/>
            <w:tcBorders>
              <w:top w:val="single" w:sz="8" w:space="0" w:color="auto"/>
              <w:left w:val="single" w:sz="8" w:space="0" w:color="auto"/>
              <w:bottom w:val="single" w:sz="8" w:space="0" w:color="auto"/>
              <w:right w:val="single" w:sz="8" w:space="0" w:color="FFFFFF"/>
            </w:tcBorders>
            <w:shd w:val="clear" w:color="auto" w:fill="000000"/>
            <w:vAlign w:val="center"/>
          </w:tcPr>
          <w:p w:rsidR="00212886" w:rsidRPr="004B7E6C" w:rsidRDefault="00212886" w:rsidP="00C841D5">
            <w:pPr>
              <w:spacing w:before="60" w:after="60"/>
              <w:ind w:left="284"/>
              <w:rPr>
                <w:sz w:val="20"/>
                <w:szCs w:val="20"/>
              </w:rPr>
            </w:pPr>
            <w:r w:rsidRPr="004B7E6C">
              <w:rPr>
                <w:sz w:val="20"/>
                <w:szCs w:val="20"/>
              </w:rPr>
              <w:t>Gas type</w:t>
            </w:r>
          </w:p>
        </w:tc>
        <w:tc>
          <w:tcPr>
            <w:tcW w:w="2409" w:type="dxa"/>
            <w:tcBorders>
              <w:top w:val="single" w:sz="8" w:space="0" w:color="auto"/>
              <w:left w:val="single" w:sz="8" w:space="0" w:color="FFFFFF"/>
              <w:bottom w:val="single" w:sz="8" w:space="0" w:color="auto"/>
              <w:right w:val="single" w:sz="8" w:space="0" w:color="auto"/>
            </w:tcBorders>
            <w:shd w:val="clear" w:color="auto" w:fill="000000"/>
            <w:vAlign w:val="center"/>
          </w:tcPr>
          <w:p w:rsidR="00212886" w:rsidRPr="004B7E6C" w:rsidRDefault="00212886" w:rsidP="00C841D5">
            <w:pPr>
              <w:spacing w:before="60" w:after="60"/>
              <w:jc w:val="center"/>
              <w:rPr>
                <w:sz w:val="20"/>
                <w:szCs w:val="20"/>
              </w:rPr>
            </w:pPr>
            <w:r w:rsidRPr="004B7E6C">
              <w:rPr>
                <w:sz w:val="20"/>
                <w:szCs w:val="20"/>
              </w:rPr>
              <w:t xml:space="preserve">2013 consumption </w:t>
            </w:r>
          </w:p>
          <w:p w:rsidR="00212886" w:rsidRPr="004B7E6C" w:rsidRDefault="00212886" w:rsidP="00C841D5">
            <w:pPr>
              <w:spacing w:before="60" w:after="60"/>
              <w:jc w:val="center"/>
              <w:rPr>
                <w:sz w:val="20"/>
                <w:szCs w:val="20"/>
              </w:rPr>
            </w:pPr>
            <w:r w:rsidRPr="004B7E6C">
              <w:rPr>
                <w:sz w:val="20"/>
                <w:szCs w:val="20"/>
              </w:rPr>
              <w:t>Market estimate</w:t>
            </w:r>
          </w:p>
          <w:p w:rsidR="00212886" w:rsidRPr="004B7E6C" w:rsidRDefault="00212886" w:rsidP="00C841D5">
            <w:pPr>
              <w:spacing w:before="60" w:after="60"/>
              <w:jc w:val="center"/>
              <w:rPr>
                <w:sz w:val="20"/>
                <w:szCs w:val="20"/>
              </w:rPr>
            </w:pPr>
            <w:r w:rsidRPr="004B7E6C">
              <w:rPr>
                <w:sz w:val="20"/>
                <w:szCs w:val="20"/>
              </w:rPr>
              <w:t>(tonnes)</w:t>
            </w:r>
          </w:p>
        </w:tc>
      </w:tr>
      <w:tr w:rsidR="00212886" w:rsidRPr="004B7E6C" w:rsidTr="00471445">
        <w:trPr>
          <w:trHeight w:val="357"/>
        </w:trPr>
        <w:tc>
          <w:tcPr>
            <w:tcW w:w="2694" w:type="dxa"/>
            <w:tcBorders>
              <w:top w:val="single" w:sz="8" w:space="0" w:color="auto"/>
            </w:tcBorders>
            <w:vAlign w:val="center"/>
          </w:tcPr>
          <w:p w:rsidR="00212886" w:rsidRPr="004B7E6C" w:rsidRDefault="00212886" w:rsidP="00C841D5">
            <w:pPr>
              <w:spacing w:before="60" w:after="60"/>
              <w:ind w:left="284"/>
              <w:rPr>
                <w:sz w:val="20"/>
                <w:szCs w:val="20"/>
              </w:rPr>
            </w:pPr>
            <w:r w:rsidRPr="004B7E6C">
              <w:rPr>
                <w:sz w:val="20"/>
                <w:szCs w:val="20"/>
              </w:rPr>
              <w:t>HCFC-22</w:t>
            </w:r>
          </w:p>
        </w:tc>
        <w:tc>
          <w:tcPr>
            <w:tcW w:w="2409" w:type="dxa"/>
            <w:tcBorders>
              <w:top w:val="single" w:sz="8" w:space="0" w:color="auto"/>
            </w:tcBorders>
            <w:vAlign w:val="center"/>
          </w:tcPr>
          <w:p w:rsidR="00212886" w:rsidRPr="004B7E6C" w:rsidRDefault="004B3E2F" w:rsidP="00C841D5">
            <w:pPr>
              <w:spacing w:before="60" w:after="60"/>
              <w:jc w:val="center"/>
              <w:rPr>
                <w:sz w:val="20"/>
                <w:szCs w:val="20"/>
              </w:rPr>
            </w:pPr>
            <w:r>
              <w:rPr>
                <w:sz w:val="20"/>
                <w:szCs w:val="20"/>
              </w:rPr>
              <w:t>565</w:t>
            </w:r>
          </w:p>
        </w:tc>
      </w:tr>
      <w:tr w:rsidR="00212886" w:rsidRPr="004B7E6C" w:rsidTr="00471445">
        <w:trPr>
          <w:trHeight w:val="357"/>
        </w:trPr>
        <w:tc>
          <w:tcPr>
            <w:tcW w:w="2694" w:type="dxa"/>
            <w:vAlign w:val="center"/>
          </w:tcPr>
          <w:p w:rsidR="00212886" w:rsidRPr="004B7E6C" w:rsidRDefault="00212886" w:rsidP="00C841D5">
            <w:pPr>
              <w:spacing w:before="60" w:after="60"/>
              <w:ind w:left="284"/>
              <w:rPr>
                <w:sz w:val="20"/>
                <w:szCs w:val="20"/>
              </w:rPr>
            </w:pPr>
            <w:r w:rsidRPr="004B7E6C">
              <w:rPr>
                <w:sz w:val="20"/>
                <w:szCs w:val="20"/>
              </w:rPr>
              <w:t>HCFC-22 re</w:t>
            </w:r>
            <w:r w:rsidR="00471445">
              <w:rPr>
                <w:sz w:val="20"/>
                <w:szCs w:val="20"/>
              </w:rPr>
              <w:t>-</w:t>
            </w:r>
            <w:r w:rsidRPr="004B7E6C">
              <w:rPr>
                <w:sz w:val="20"/>
                <w:szCs w:val="20"/>
              </w:rPr>
              <w:t>use</w:t>
            </w:r>
          </w:p>
        </w:tc>
        <w:tc>
          <w:tcPr>
            <w:tcW w:w="2409" w:type="dxa"/>
            <w:vAlign w:val="center"/>
          </w:tcPr>
          <w:p w:rsidR="00212886" w:rsidRPr="004B7E6C" w:rsidRDefault="00212886" w:rsidP="008A41AC">
            <w:pPr>
              <w:spacing w:before="60" w:after="60"/>
              <w:jc w:val="center"/>
              <w:rPr>
                <w:sz w:val="20"/>
                <w:szCs w:val="20"/>
              </w:rPr>
            </w:pPr>
            <w:r w:rsidRPr="004B7E6C">
              <w:rPr>
                <w:sz w:val="20"/>
                <w:szCs w:val="20"/>
              </w:rPr>
              <w:t>200</w:t>
            </w:r>
          </w:p>
        </w:tc>
      </w:tr>
      <w:tr w:rsidR="00212886" w:rsidRPr="004B7E6C" w:rsidTr="00471445">
        <w:trPr>
          <w:trHeight w:val="357"/>
        </w:trPr>
        <w:tc>
          <w:tcPr>
            <w:tcW w:w="2694" w:type="dxa"/>
            <w:vAlign w:val="center"/>
          </w:tcPr>
          <w:p w:rsidR="00212886" w:rsidRPr="004B7E6C" w:rsidRDefault="00212886" w:rsidP="00C841D5">
            <w:pPr>
              <w:spacing w:before="60" w:after="60"/>
              <w:ind w:left="284"/>
              <w:rPr>
                <w:sz w:val="20"/>
                <w:szCs w:val="20"/>
              </w:rPr>
            </w:pPr>
            <w:r w:rsidRPr="004B7E6C">
              <w:rPr>
                <w:sz w:val="20"/>
                <w:szCs w:val="20"/>
              </w:rPr>
              <w:t>HCFC-123</w:t>
            </w:r>
          </w:p>
        </w:tc>
        <w:tc>
          <w:tcPr>
            <w:tcW w:w="2409" w:type="dxa"/>
            <w:vAlign w:val="center"/>
          </w:tcPr>
          <w:p w:rsidR="00212886" w:rsidRPr="004B7E6C" w:rsidRDefault="00212886" w:rsidP="00C841D5">
            <w:pPr>
              <w:spacing w:before="60" w:after="60"/>
              <w:jc w:val="center"/>
              <w:rPr>
                <w:sz w:val="20"/>
                <w:szCs w:val="20"/>
              </w:rPr>
            </w:pPr>
            <w:r w:rsidRPr="004B7E6C">
              <w:rPr>
                <w:sz w:val="20"/>
                <w:szCs w:val="20"/>
              </w:rPr>
              <w:t>20</w:t>
            </w:r>
          </w:p>
        </w:tc>
      </w:tr>
      <w:tr w:rsidR="00212886" w:rsidRPr="004B7E6C" w:rsidTr="00471445">
        <w:trPr>
          <w:trHeight w:val="357"/>
        </w:trPr>
        <w:tc>
          <w:tcPr>
            <w:tcW w:w="2694" w:type="dxa"/>
            <w:vAlign w:val="center"/>
          </w:tcPr>
          <w:p w:rsidR="00212886" w:rsidRPr="004B7E6C" w:rsidRDefault="00212886" w:rsidP="00C841D5">
            <w:pPr>
              <w:spacing w:before="60" w:after="60"/>
              <w:ind w:left="284"/>
              <w:rPr>
                <w:sz w:val="20"/>
                <w:szCs w:val="20"/>
              </w:rPr>
            </w:pPr>
            <w:r w:rsidRPr="004B7E6C">
              <w:rPr>
                <w:sz w:val="20"/>
                <w:szCs w:val="20"/>
              </w:rPr>
              <w:t>HFC-134a</w:t>
            </w:r>
          </w:p>
        </w:tc>
        <w:tc>
          <w:tcPr>
            <w:tcW w:w="2409" w:type="dxa"/>
            <w:vAlign w:val="center"/>
          </w:tcPr>
          <w:p w:rsidR="00212886" w:rsidRPr="004B7E6C" w:rsidRDefault="00212886" w:rsidP="008A41AC">
            <w:pPr>
              <w:spacing w:before="60" w:after="60"/>
              <w:jc w:val="center"/>
              <w:rPr>
                <w:sz w:val="20"/>
                <w:szCs w:val="20"/>
              </w:rPr>
            </w:pPr>
            <w:r w:rsidRPr="004B7E6C">
              <w:rPr>
                <w:sz w:val="20"/>
                <w:szCs w:val="20"/>
              </w:rPr>
              <w:t>1,</w:t>
            </w:r>
            <w:r w:rsidR="008A41AC">
              <w:rPr>
                <w:sz w:val="20"/>
                <w:szCs w:val="20"/>
              </w:rPr>
              <w:t>700</w:t>
            </w:r>
          </w:p>
        </w:tc>
      </w:tr>
      <w:tr w:rsidR="00212886" w:rsidRPr="004B7E6C" w:rsidTr="00471445">
        <w:trPr>
          <w:trHeight w:val="357"/>
        </w:trPr>
        <w:tc>
          <w:tcPr>
            <w:tcW w:w="2694" w:type="dxa"/>
            <w:vAlign w:val="center"/>
          </w:tcPr>
          <w:p w:rsidR="00212886" w:rsidRPr="004B7E6C" w:rsidRDefault="00212886" w:rsidP="00C841D5">
            <w:pPr>
              <w:spacing w:before="60" w:after="60"/>
              <w:ind w:left="284"/>
              <w:rPr>
                <w:sz w:val="20"/>
                <w:szCs w:val="20"/>
              </w:rPr>
            </w:pPr>
            <w:r w:rsidRPr="004B7E6C">
              <w:rPr>
                <w:sz w:val="20"/>
                <w:szCs w:val="20"/>
              </w:rPr>
              <w:t>HFC-404A</w:t>
            </w:r>
          </w:p>
        </w:tc>
        <w:tc>
          <w:tcPr>
            <w:tcW w:w="2409" w:type="dxa"/>
            <w:vAlign w:val="center"/>
          </w:tcPr>
          <w:p w:rsidR="00212886" w:rsidRPr="004B7E6C" w:rsidRDefault="00212886" w:rsidP="008A41AC">
            <w:pPr>
              <w:spacing w:before="60" w:after="60"/>
              <w:jc w:val="center"/>
              <w:rPr>
                <w:sz w:val="20"/>
                <w:szCs w:val="20"/>
              </w:rPr>
            </w:pPr>
            <w:r w:rsidRPr="004B7E6C">
              <w:rPr>
                <w:sz w:val="20"/>
                <w:szCs w:val="20"/>
              </w:rPr>
              <w:t>6</w:t>
            </w:r>
            <w:r w:rsidR="008A41AC">
              <w:rPr>
                <w:sz w:val="20"/>
                <w:szCs w:val="20"/>
              </w:rPr>
              <w:t>4</w:t>
            </w:r>
            <w:r w:rsidRPr="004B7E6C">
              <w:rPr>
                <w:sz w:val="20"/>
                <w:szCs w:val="20"/>
              </w:rPr>
              <w:t>0</w:t>
            </w:r>
          </w:p>
        </w:tc>
      </w:tr>
      <w:tr w:rsidR="00212886" w:rsidRPr="004B7E6C" w:rsidTr="00471445">
        <w:trPr>
          <w:trHeight w:val="357"/>
        </w:trPr>
        <w:tc>
          <w:tcPr>
            <w:tcW w:w="2694" w:type="dxa"/>
            <w:vAlign w:val="center"/>
          </w:tcPr>
          <w:p w:rsidR="00212886" w:rsidRPr="004B7E6C" w:rsidRDefault="00212886" w:rsidP="0078102A">
            <w:pPr>
              <w:spacing w:before="60" w:after="60"/>
              <w:ind w:left="284"/>
              <w:rPr>
                <w:sz w:val="20"/>
                <w:szCs w:val="20"/>
              </w:rPr>
            </w:pPr>
            <w:r w:rsidRPr="004B7E6C">
              <w:rPr>
                <w:sz w:val="20"/>
                <w:szCs w:val="20"/>
              </w:rPr>
              <w:t>HFC-40</w:t>
            </w:r>
            <w:r w:rsidR="0078102A">
              <w:rPr>
                <w:sz w:val="20"/>
                <w:szCs w:val="20"/>
              </w:rPr>
              <w:t>7</w:t>
            </w:r>
            <w:r w:rsidRPr="004B7E6C">
              <w:rPr>
                <w:sz w:val="20"/>
                <w:szCs w:val="20"/>
              </w:rPr>
              <w:t>F</w:t>
            </w:r>
          </w:p>
        </w:tc>
        <w:tc>
          <w:tcPr>
            <w:tcW w:w="2409" w:type="dxa"/>
            <w:vAlign w:val="center"/>
          </w:tcPr>
          <w:p w:rsidR="00212886" w:rsidRPr="004B7E6C" w:rsidRDefault="008A41AC" w:rsidP="008A41AC">
            <w:pPr>
              <w:spacing w:before="60" w:after="60"/>
              <w:jc w:val="center"/>
              <w:rPr>
                <w:sz w:val="20"/>
                <w:szCs w:val="20"/>
              </w:rPr>
            </w:pPr>
            <w:r>
              <w:rPr>
                <w:sz w:val="20"/>
                <w:szCs w:val="20"/>
              </w:rPr>
              <w:t>4</w:t>
            </w:r>
            <w:r w:rsidR="00212886" w:rsidRPr="004B7E6C">
              <w:rPr>
                <w:sz w:val="20"/>
                <w:szCs w:val="20"/>
              </w:rPr>
              <w:t>0</w:t>
            </w:r>
          </w:p>
        </w:tc>
      </w:tr>
      <w:tr w:rsidR="00212886" w:rsidRPr="004B7E6C" w:rsidTr="00471445">
        <w:trPr>
          <w:trHeight w:val="357"/>
        </w:trPr>
        <w:tc>
          <w:tcPr>
            <w:tcW w:w="2694" w:type="dxa"/>
            <w:vAlign w:val="center"/>
          </w:tcPr>
          <w:p w:rsidR="00212886" w:rsidRPr="004B7E6C" w:rsidRDefault="00212886" w:rsidP="00C841D5">
            <w:pPr>
              <w:spacing w:before="60" w:after="60"/>
              <w:ind w:left="284"/>
              <w:rPr>
                <w:sz w:val="20"/>
                <w:szCs w:val="20"/>
              </w:rPr>
            </w:pPr>
            <w:r w:rsidRPr="004B7E6C">
              <w:rPr>
                <w:sz w:val="20"/>
                <w:szCs w:val="20"/>
              </w:rPr>
              <w:t>HFC-407C</w:t>
            </w:r>
          </w:p>
        </w:tc>
        <w:tc>
          <w:tcPr>
            <w:tcW w:w="2409" w:type="dxa"/>
            <w:vAlign w:val="center"/>
          </w:tcPr>
          <w:p w:rsidR="00212886" w:rsidRPr="004B7E6C" w:rsidRDefault="00212886" w:rsidP="00C841D5">
            <w:pPr>
              <w:spacing w:before="60" w:after="60"/>
              <w:jc w:val="center"/>
              <w:rPr>
                <w:sz w:val="20"/>
                <w:szCs w:val="20"/>
              </w:rPr>
            </w:pPr>
            <w:r w:rsidRPr="004B7E6C">
              <w:rPr>
                <w:sz w:val="20"/>
                <w:szCs w:val="20"/>
              </w:rPr>
              <w:t>150</w:t>
            </w:r>
          </w:p>
        </w:tc>
      </w:tr>
      <w:tr w:rsidR="00212886" w:rsidRPr="004B7E6C" w:rsidTr="00471445">
        <w:trPr>
          <w:trHeight w:val="357"/>
        </w:trPr>
        <w:tc>
          <w:tcPr>
            <w:tcW w:w="2694" w:type="dxa"/>
            <w:vAlign w:val="center"/>
          </w:tcPr>
          <w:p w:rsidR="00212886" w:rsidRPr="004B7E6C" w:rsidRDefault="00212886" w:rsidP="00C841D5">
            <w:pPr>
              <w:spacing w:before="60" w:after="60"/>
              <w:ind w:left="284"/>
              <w:rPr>
                <w:sz w:val="20"/>
                <w:szCs w:val="20"/>
              </w:rPr>
            </w:pPr>
            <w:r w:rsidRPr="004B7E6C">
              <w:rPr>
                <w:sz w:val="20"/>
                <w:szCs w:val="20"/>
              </w:rPr>
              <w:t>HFC-410A</w:t>
            </w:r>
          </w:p>
        </w:tc>
        <w:tc>
          <w:tcPr>
            <w:tcW w:w="2409" w:type="dxa"/>
            <w:vAlign w:val="center"/>
          </w:tcPr>
          <w:p w:rsidR="00212886" w:rsidRPr="004B7E6C" w:rsidRDefault="008A41AC" w:rsidP="00C841D5">
            <w:pPr>
              <w:spacing w:before="60" w:after="60"/>
              <w:jc w:val="center"/>
              <w:rPr>
                <w:sz w:val="20"/>
                <w:szCs w:val="20"/>
              </w:rPr>
            </w:pPr>
            <w:r>
              <w:rPr>
                <w:sz w:val="20"/>
                <w:szCs w:val="20"/>
              </w:rPr>
              <w:t>575</w:t>
            </w:r>
          </w:p>
        </w:tc>
      </w:tr>
      <w:tr w:rsidR="004B3E2F" w:rsidRPr="004B7E6C" w:rsidTr="00471445">
        <w:trPr>
          <w:trHeight w:val="357"/>
        </w:trPr>
        <w:tc>
          <w:tcPr>
            <w:tcW w:w="2694" w:type="dxa"/>
            <w:vAlign w:val="center"/>
          </w:tcPr>
          <w:p w:rsidR="004B3E2F" w:rsidRPr="004B7E6C" w:rsidRDefault="004B3E2F" w:rsidP="00C841D5">
            <w:pPr>
              <w:spacing w:before="60" w:after="60"/>
              <w:ind w:left="284"/>
              <w:rPr>
                <w:sz w:val="20"/>
                <w:szCs w:val="20"/>
              </w:rPr>
            </w:pPr>
            <w:r w:rsidRPr="004B7E6C">
              <w:rPr>
                <w:sz w:val="20"/>
                <w:szCs w:val="20"/>
              </w:rPr>
              <w:t>HFC-Mix</w:t>
            </w:r>
          </w:p>
        </w:tc>
        <w:tc>
          <w:tcPr>
            <w:tcW w:w="2409" w:type="dxa"/>
            <w:vAlign w:val="center"/>
          </w:tcPr>
          <w:p w:rsidR="004B3E2F" w:rsidRDefault="004B3E2F" w:rsidP="00C841D5">
            <w:pPr>
              <w:spacing w:before="60" w:after="60"/>
              <w:jc w:val="center"/>
              <w:rPr>
                <w:sz w:val="20"/>
                <w:szCs w:val="20"/>
              </w:rPr>
            </w:pPr>
            <w:r>
              <w:rPr>
                <w:sz w:val="20"/>
                <w:szCs w:val="20"/>
              </w:rPr>
              <w:t>300</w:t>
            </w:r>
          </w:p>
        </w:tc>
      </w:tr>
      <w:tr w:rsidR="009867A1" w:rsidRPr="004B7E6C" w:rsidTr="00471445">
        <w:trPr>
          <w:trHeight w:val="357"/>
        </w:trPr>
        <w:tc>
          <w:tcPr>
            <w:tcW w:w="2694" w:type="dxa"/>
            <w:vAlign w:val="center"/>
          </w:tcPr>
          <w:p w:rsidR="009867A1" w:rsidRPr="004B7E6C" w:rsidRDefault="009867A1" w:rsidP="00C841D5">
            <w:pPr>
              <w:spacing w:before="60" w:after="60"/>
              <w:ind w:left="284"/>
              <w:rPr>
                <w:sz w:val="20"/>
                <w:szCs w:val="20"/>
              </w:rPr>
            </w:pPr>
            <w:r>
              <w:rPr>
                <w:sz w:val="20"/>
                <w:szCs w:val="20"/>
              </w:rPr>
              <w:t>TOTAL</w:t>
            </w:r>
            <w:r w:rsidR="005070C1">
              <w:rPr>
                <w:sz w:val="20"/>
                <w:szCs w:val="20"/>
              </w:rPr>
              <w:t xml:space="preserve"> (incl. re</w:t>
            </w:r>
            <w:r w:rsidR="00471445">
              <w:rPr>
                <w:sz w:val="20"/>
                <w:szCs w:val="20"/>
              </w:rPr>
              <w:t>-</w:t>
            </w:r>
            <w:r w:rsidR="005070C1">
              <w:rPr>
                <w:sz w:val="20"/>
                <w:szCs w:val="20"/>
              </w:rPr>
              <w:t>use)</w:t>
            </w:r>
          </w:p>
        </w:tc>
        <w:tc>
          <w:tcPr>
            <w:tcW w:w="2409" w:type="dxa"/>
            <w:vAlign w:val="center"/>
          </w:tcPr>
          <w:p w:rsidR="009867A1" w:rsidRDefault="009867A1" w:rsidP="00C841D5">
            <w:pPr>
              <w:spacing w:before="60" w:after="60"/>
              <w:jc w:val="center"/>
              <w:rPr>
                <w:sz w:val="20"/>
                <w:szCs w:val="20"/>
              </w:rPr>
            </w:pPr>
            <w:r>
              <w:rPr>
                <w:sz w:val="20"/>
                <w:szCs w:val="20"/>
              </w:rPr>
              <w:t>4,190</w:t>
            </w:r>
          </w:p>
        </w:tc>
      </w:tr>
    </w:tbl>
    <w:p w:rsidR="002473B9" w:rsidRDefault="002473B9" w:rsidP="008F2CD7">
      <w:pPr>
        <w:rPr>
          <w:rFonts w:cs="Times New Roman"/>
        </w:rPr>
      </w:pPr>
    </w:p>
    <w:p w:rsidR="00DD6E45" w:rsidRDefault="009B4376" w:rsidP="008F2CD7">
      <w:r>
        <w:rPr>
          <w:rFonts w:cs="Times New Roman"/>
        </w:rPr>
        <w:t>T</w:t>
      </w:r>
      <w:r w:rsidR="00C17FD0">
        <w:rPr>
          <w:rFonts w:cs="Times New Roman"/>
        </w:rPr>
        <w:t xml:space="preserve">otal estimated consumption for </w:t>
      </w:r>
      <w:r>
        <w:rPr>
          <w:rFonts w:cs="Times New Roman"/>
        </w:rPr>
        <w:t xml:space="preserve">2013 </w:t>
      </w:r>
      <w:r w:rsidR="00C17FD0">
        <w:rPr>
          <w:rFonts w:cs="Times New Roman"/>
        </w:rPr>
        <w:t xml:space="preserve">includes </w:t>
      </w:r>
      <w:r w:rsidRPr="004B3E2F">
        <w:t xml:space="preserve">200 tonnes of </w:t>
      </w:r>
      <w:r w:rsidR="009867A1">
        <w:t xml:space="preserve">HCFC </w:t>
      </w:r>
      <w:r w:rsidRPr="004B3E2F">
        <w:t xml:space="preserve">re-use for a total of </w:t>
      </w:r>
      <w:r w:rsidR="008A41AC" w:rsidRPr="004B3E2F">
        <w:t>4,190</w:t>
      </w:r>
      <w:r w:rsidRPr="004B3E2F">
        <w:t xml:space="preserve"> tonnes</w:t>
      </w:r>
      <w:r w:rsidR="003A4C9F">
        <w:t xml:space="preserve"> consumed in the period</w:t>
      </w:r>
      <w:r>
        <w:t xml:space="preserve">. </w:t>
      </w:r>
      <w:r w:rsidR="00DD6E45">
        <w:t xml:space="preserve">This </w:t>
      </w:r>
      <w:r w:rsidR="00AC06EA">
        <w:t xml:space="preserve">is </w:t>
      </w:r>
      <w:r w:rsidR="00DD6E45">
        <w:t>compar</w:t>
      </w:r>
      <w:r w:rsidR="00AC06EA">
        <w:t>able</w:t>
      </w:r>
      <w:r w:rsidR="00DD6E45">
        <w:t xml:space="preserve"> to an estimate by the same authors in January 2013 </w:t>
      </w:r>
      <w:r w:rsidR="003A4C9F">
        <w:t xml:space="preserve">of </w:t>
      </w:r>
      <w:r w:rsidR="00DD6E45">
        <w:t>a total</w:t>
      </w:r>
      <w:r w:rsidR="0086335C">
        <w:t xml:space="preserve"> consumption</w:t>
      </w:r>
      <w:r w:rsidR="00DD6E45">
        <w:t xml:space="preserve"> of 4,250 tonnes in the 2012 calendar year, and the historical average up to 2011 of around 4,500 tonnes</w:t>
      </w:r>
      <w:r w:rsidR="003A4C9F">
        <w:t xml:space="preserve"> p</w:t>
      </w:r>
      <w:r w:rsidR="00471445">
        <w:t xml:space="preserve">er </w:t>
      </w:r>
      <w:r w:rsidR="003A4C9F">
        <w:t>a</w:t>
      </w:r>
      <w:r w:rsidR="00471445">
        <w:t>nnum</w:t>
      </w:r>
      <w:r w:rsidR="00DD6E45">
        <w:t>.</w:t>
      </w:r>
    </w:p>
    <w:p w:rsidR="00DD6E45" w:rsidRDefault="00DD6E45" w:rsidP="008F2CD7">
      <w:pPr>
        <w:rPr>
          <w:rFonts w:cs="Times New Roman"/>
        </w:rPr>
      </w:pPr>
      <w:r>
        <w:rPr>
          <w:rFonts w:cs="Times New Roman"/>
        </w:rPr>
        <w:t>Thus the present 2013 prediction</w:t>
      </w:r>
      <w:r w:rsidR="004B3E2F">
        <w:rPr>
          <w:rFonts w:cs="Times New Roman"/>
        </w:rPr>
        <w:t xml:space="preserve"> of 4,190</w:t>
      </w:r>
      <w:r>
        <w:rPr>
          <w:rFonts w:cs="Times New Roman"/>
        </w:rPr>
        <w:t xml:space="preserve"> tonnes is around </w:t>
      </w:r>
      <w:r w:rsidR="00565AE0">
        <w:rPr>
          <w:rFonts w:cs="Times New Roman"/>
        </w:rPr>
        <w:t>3</w:t>
      </w:r>
      <w:r w:rsidR="004B3E2F">
        <w:rPr>
          <w:rFonts w:cs="Times New Roman"/>
        </w:rPr>
        <w:t>10</w:t>
      </w:r>
      <w:r>
        <w:rPr>
          <w:rFonts w:cs="Times New Roman"/>
        </w:rPr>
        <w:t xml:space="preserve"> tonnes </w:t>
      </w:r>
      <w:r w:rsidR="00574E1E">
        <w:rPr>
          <w:rFonts w:cs="Times New Roman"/>
        </w:rPr>
        <w:t xml:space="preserve">or </w:t>
      </w:r>
      <w:r w:rsidR="00565AE0">
        <w:rPr>
          <w:rFonts w:cs="Times New Roman"/>
        </w:rPr>
        <w:t>7</w:t>
      </w:r>
      <w:r w:rsidR="00574E1E">
        <w:rPr>
          <w:rFonts w:cs="Times New Roman"/>
        </w:rPr>
        <w:t xml:space="preserve">% </w:t>
      </w:r>
      <w:r>
        <w:rPr>
          <w:rFonts w:cs="Times New Roman"/>
        </w:rPr>
        <w:t>below the pre-2012 long term average.</w:t>
      </w:r>
    </w:p>
    <w:p w:rsidR="00212886" w:rsidRDefault="00212886" w:rsidP="008F2CD7">
      <w:pPr>
        <w:rPr>
          <w:rFonts w:cs="Times New Roman"/>
        </w:rPr>
      </w:pPr>
      <w:r>
        <w:rPr>
          <w:rFonts w:cs="Times New Roman"/>
        </w:rPr>
        <w:t xml:space="preserve">Actual imports during calendar year 2013 were only a fraction of this quantity at some </w:t>
      </w:r>
      <w:r w:rsidR="00540740">
        <w:rPr>
          <w:rFonts w:cs="Times New Roman"/>
        </w:rPr>
        <w:t xml:space="preserve">315 </w:t>
      </w:r>
      <w:r w:rsidR="004B3E2F">
        <w:rPr>
          <w:rFonts w:cs="Times New Roman"/>
        </w:rPr>
        <w:t>tonnes</w:t>
      </w:r>
      <w:r w:rsidR="00540740">
        <w:rPr>
          <w:rFonts w:cs="Times New Roman"/>
        </w:rPr>
        <w:t xml:space="preserve"> </w:t>
      </w:r>
      <w:r w:rsidR="00540740" w:rsidRPr="00540740">
        <w:rPr>
          <w:rFonts w:cs="Times New Roman"/>
        </w:rPr>
        <w:t>of bulk HFCs and 766 tonnes of HCFCs</w:t>
      </w:r>
      <w:r>
        <w:rPr>
          <w:rFonts w:cs="Times New Roman"/>
        </w:rPr>
        <w:t>, largely</w:t>
      </w:r>
      <w:r w:rsidRPr="002473B9">
        <w:rPr>
          <w:rFonts w:cs="Times New Roman"/>
        </w:rPr>
        <w:t xml:space="preserve"> </w:t>
      </w:r>
      <w:r>
        <w:rPr>
          <w:rFonts w:cs="Times New Roman"/>
        </w:rPr>
        <w:t xml:space="preserve">as a result of a 2012 spike in imports as trading enterprises sought to delay, for as long as possible, the impacts of </w:t>
      </w:r>
      <w:r w:rsidR="007D4ED6">
        <w:rPr>
          <w:rFonts w:cs="Times New Roman"/>
        </w:rPr>
        <w:t>the ECP</w:t>
      </w:r>
      <w:r>
        <w:rPr>
          <w:rFonts w:cs="Times New Roman"/>
        </w:rPr>
        <w:t xml:space="preserve"> on imports introduced from July 1, 2012. As a result most of the </w:t>
      </w:r>
      <w:r w:rsidR="00471445">
        <w:rPr>
          <w:rFonts w:cs="Times New Roman"/>
        </w:rPr>
        <w:t>HFCs</w:t>
      </w:r>
      <w:r>
        <w:rPr>
          <w:rFonts w:cs="Times New Roman"/>
        </w:rPr>
        <w:t xml:space="preserve"> consumed during 2013 </w:t>
      </w:r>
      <w:r w:rsidR="007D4ED6">
        <w:rPr>
          <w:rFonts w:cs="Times New Roman"/>
        </w:rPr>
        <w:t>were</w:t>
      </w:r>
      <w:r>
        <w:rPr>
          <w:rFonts w:cs="Times New Roman"/>
        </w:rPr>
        <w:t xml:space="preserve"> drawn from stock piles </w:t>
      </w:r>
      <w:r w:rsidR="001568EF">
        <w:rPr>
          <w:rFonts w:cs="Times New Roman"/>
        </w:rPr>
        <w:t xml:space="preserve">already </w:t>
      </w:r>
      <w:r>
        <w:rPr>
          <w:rFonts w:cs="Times New Roman"/>
        </w:rPr>
        <w:t>on shore.</w:t>
      </w:r>
    </w:p>
    <w:p w:rsidR="003A4C9F" w:rsidRDefault="003A4C9F" w:rsidP="008F2CD7">
      <w:pPr>
        <w:rPr>
          <w:rFonts w:cs="Times New Roman"/>
        </w:rPr>
      </w:pPr>
      <w:r>
        <w:rPr>
          <w:rFonts w:cs="Times New Roman"/>
        </w:rPr>
        <w:t xml:space="preserve">The </w:t>
      </w:r>
      <w:r w:rsidR="007D4ED6">
        <w:rPr>
          <w:rFonts w:cs="Times New Roman"/>
        </w:rPr>
        <w:t>ECP</w:t>
      </w:r>
      <w:r>
        <w:rPr>
          <w:rFonts w:cs="Times New Roman"/>
        </w:rPr>
        <w:t xml:space="preserve"> is expected to be removed after July 1 2014, and some industry members have expressed a view that bulk gas imports will revert back to the long term average once onshore stockpiles have been depleted. Various changes in market behaviour, such as reducing gas charges in equipment, or simply delaying equipment servicing have been pointed to as evidence that soft demand and market changes are temporary, and some of this may be true.  </w:t>
      </w:r>
      <w:r w:rsidR="00471445">
        <w:rPr>
          <w:rFonts w:cs="Times New Roman"/>
        </w:rPr>
        <w:t xml:space="preserve">This scenario has been explored and a transition scenario is illustrated by a dotted line </w:t>
      </w:r>
      <w:r w:rsidR="001005DB">
        <w:rPr>
          <w:rFonts w:cs="Times New Roman"/>
        </w:rPr>
        <w:t xml:space="preserve">in </w:t>
      </w:r>
      <w:r w:rsidR="001005DB" w:rsidRPr="001005DB">
        <w:rPr>
          <w:rFonts w:cs="Times New Roman"/>
          <w:i/>
        </w:rPr>
        <w:t>Figures 3</w:t>
      </w:r>
      <w:r w:rsidR="001005DB">
        <w:rPr>
          <w:rFonts w:cs="Times New Roman"/>
        </w:rPr>
        <w:t xml:space="preserve"> and </w:t>
      </w:r>
      <w:r w:rsidR="001005DB" w:rsidRPr="001005DB">
        <w:rPr>
          <w:rFonts w:cs="Times New Roman"/>
          <w:i/>
        </w:rPr>
        <w:t>4</w:t>
      </w:r>
      <w:r w:rsidR="001005DB">
        <w:rPr>
          <w:rFonts w:cs="Times New Roman"/>
        </w:rPr>
        <w:t xml:space="preserve"> if the transition w</w:t>
      </w:r>
      <w:r w:rsidR="0055230B">
        <w:rPr>
          <w:rFonts w:cs="Times New Roman"/>
        </w:rPr>
        <w:t>as</w:t>
      </w:r>
      <w:r w:rsidR="001005DB">
        <w:rPr>
          <w:rFonts w:cs="Times New Roman"/>
        </w:rPr>
        <w:t xml:space="preserve"> to commence at the long term average of 4,500 tonnes per annum.</w:t>
      </w:r>
      <w:r w:rsidR="00471445">
        <w:rPr>
          <w:rFonts w:cs="Times New Roman"/>
        </w:rPr>
        <w:t xml:space="preserve"> </w:t>
      </w:r>
    </w:p>
    <w:p w:rsidR="00212886" w:rsidRDefault="00212886" w:rsidP="008F2CD7">
      <w:pPr>
        <w:rPr>
          <w:rFonts w:cs="Times New Roman"/>
        </w:rPr>
      </w:pPr>
      <w:r>
        <w:rPr>
          <w:rFonts w:cs="Times New Roman"/>
        </w:rPr>
        <w:t>Nonetheless</w:t>
      </w:r>
      <w:r w:rsidR="00DD6E45">
        <w:rPr>
          <w:rFonts w:cs="Times New Roman"/>
        </w:rPr>
        <w:t xml:space="preserve">, setting aside </w:t>
      </w:r>
      <w:r w:rsidR="001568EF">
        <w:rPr>
          <w:rFonts w:cs="Times New Roman"/>
        </w:rPr>
        <w:t xml:space="preserve">for the moment </w:t>
      </w:r>
      <w:r w:rsidR="00DD6E45">
        <w:rPr>
          <w:rFonts w:cs="Times New Roman"/>
        </w:rPr>
        <w:t xml:space="preserve">the possibility of temporary </w:t>
      </w:r>
      <w:r w:rsidR="001568EF">
        <w:rPr>
          <w:rFonts w:cs="Times New Roman"/>
        </w:rPr>
        <w:t>demand softening as a result of the import levy</w:t>
      </w:r>
      <w:r w:rsidR="00B201B3">
        <w:rPr>
          <w:rFonts w:cs="Times New Roman"/>
        </w:rPr>
        <w:t xml:space="preserve"> that may rebound when the levy is removed</w:t>
      </w:r>
      <w:r w:rsidR="001568EF">
        <w:rPr>
          <w:rFonts w:cs="Times New Roman"/>
        </w:rPr>
        <w:t>,</w:t>
      </w:r>
      <w:r>
        <w:rPr>
          <w:rFonts w:cs="Times New Roman"/>
        </w:rPr>
        <w:t xml:space="preserve"> the authors are confident in the estimate of consumption for the</w:t>
      </w:r>
      <w:r w:rsidR="003A4C9F">
        <w:rPr>
          <w:rFonts w:cs="Times New Roman"/>
        </w:rPr>
        <w:t xml:space="preserve"> 2013 calendar</w:t>
      </w:r>
      <w:r>
        <w:rPr>
          <w:rFonts w:cs="Times New Roman"/>
        </w:rPr>
        <w:t xml:space="preserve"> year which was based on a range of bottom up and top down analysis and primary research in the market. Significant and permanent impacts on </w:t>
      </w:r>
      <w:r w:rsidR="001568EF">
        <w:rPr>
          <w:rFonts w:cs="Times New Roman"/>
        </w:rPr>
        <w:t xml:space="preserve">demand that account for the </w:t>
      </w:r>
      <w:r w:rsidR="00844E17">
        <w:rPr>
          <w:rFonts w:cs="Times New Roman"/>
        </w:rPr>
        <w:t xml:space="preserve">approximately </w:t>
      </w:r>
      <w:r w:rsidR="001005DB">
        <w:rPr>
          <w:rFonts w:cs="Times New Roman"/>
        </w:rPr>
        <w:t>5</w:t>
      </w:r>
      <w:r w:rsidR="00565AE0">
        <w:rPr>
          <w:rFonts w:cs="Times New Roman"/>
        </w:rPr>
        <w:t>1</w:t>
      </w:r>
      <w:r w:rsidR="001568EF">
        <w:rPr>
          <w:rFonts w:cs="Times New Roman"/>
        </w:rPr>
        <w:t xml:space="preserve">0 tonnes </w:t>
      </w:r>
      <w:r w:rsidR="00844E17">
        <w:rPr>
          <w:rFonts w:cs="Times New Roman"/>
        </w:rPr>
        <w:t xml:space="preserve">excised from </w:t>
      </w:r>
      <w:r w:rsidR="001568EF">
        <w:rPr>
          <w:rFonts w:cs="Times New Roman"/>
        </w:rPr>
        <w:t>the</w:t>
      </w:r>
      <w:r w:rsidR="00844E17">
        <w:rPr>
          <w:rFonts w:cs="Times New Roman"/>
        </w:rPr>
        <w:t xml:space="preserve"> previous</w:t>
      </w:r>
      <w:r w:rsidR="001568EF">
        <w:rPr>
          <w:rFonts w:cs="Times New Roman"/>
        </w:rPr>
        <w:t xml:space="preserve"> long term average</w:t>
      </w:r>
      <w:r w:rsidR="00844E17">
        <w:rPr>
          <w:rFonts w:cs="Times New Roman"/>
        </w:rPr>
        <w:t xml:space="preserve"> bulk imports</w:t>
      </w:r>
      <w:r w:rsidR="001568EF">
        <w:rPr>
          <w:rFonts w:cs="Times New Roman"/>
        </w:rPr>
        <w:t xml:space="preserve"> include;</w:t>
      </w:r>
    </w:p>
    <w:p w:rsidR="001568EF" w:rsidRPr="0078102A" w:rsidRDefault="001568EF" w:rsidP="00E97935">
      <w:pPr>
        <w:pStyle w:val="ListParagraph"/>
        <w:numPr>
          <w:ilvl w:val="0"/>
          <w:numId w:val="29"/>
        </w:numPr>
        <w:spacing w:before="120" w:after="0" w:line="240" w:lineRule="auto"/>
        <w:ind w:left="357" w:hanging="357"/>
        <w:contextualSpacing w:val="0"/>
        <w:jc w:val="both"/>
      </w:pPr>
      <w:r w:rsidRPr="0078102A">
        <w:rPr>
          <w:rFonts w:ascii="Times New Roman" w:hAnsi="Times New Roman"/>
        </w:rPr>
        <w:t>Strong growth o</w:t>
      </w:r>
      <w:r w:rsidR="003A4C9F">
        <w:rPr>
          <w:rFonts w:ascii="Times New Roman" w:hAnsi="Times New Roman"/>
        </w:rPr>
        <w:t>f</w:t>
      </w:r>
      <w:r w:rsidRPr="0078102A">
        <w:rPr>
          <w:rFonts w:ascii="Times New Roman" w:hAnsi="Times New Roman"/>
        </w:rPr>
        <w:t>f a low base of HFC or HCFC displacement by natural refrigerants in several applications in the course of the last three years</w:t>
      </w:r>
      <w:r w:rsidR="003A4C9F">
        <w:rPr>
          <w:rFonts w:ascii="Times New Roman" w:hAnsi="Times New Roman"/>
        </w:rPr>
        <w:t>,</w:t>
      </w:r>
      <w:r w:rsidRPr="0078102A">
        <w:rPr>
          <w:rFonts w:ascii="Times New Roman" w:hAnsi="Times New Roman"/>
        </w:rPr>
        <w:t xml:space="preserve"> equivalent to </w:t>
      </w:r>
      <w:r w:rsidR="002473B9">
        <w:rPr>
          <w:rFonts w:ascii="Times New Roman" w:hAnsi="Times New Roman"/>
        </w:rPr>
        <w:t xml:space="preserve">more than </w:t>
      </w:r>
      <w:r w:rsidRPr="0078102A">
        <w:rPr>
          <w:rFonts w:ascii="Times New Roman" w:hAnsi="Times New Roman"/>
        </w:rPr>
        <w:t>1</w:t>
      </w:r>
      <w:r w:rsidR="006A6BA7">
        <w:rPr>
          <w:rFonts w:ascii="Times New Roman" w:hAnsi="Times New Roman"/>
        </w:rPr>
        <w:t>0</w:t>
      </w:r>
      <w:r w:rsidRPr="0078102A">
        <w:rPr>
          <w:rFonts w:ascii="Times New Roman" w:hAnsi="Times New Roman"/>
        </w:rPr>
        <w:t>0 tonnes of bulk synthetic gas consumption per annum;</w:t>
      </w:r>
    </w:p>
    <w:p w:rsidR="001568EF" w:rsidRPr="0078102A" w:rsidRDefault="001568EF" w:rsidP="00E97935">
      <w:pPr>
        <w:pStyle w:val="ListParagraph"/>
        <w:numPr>
          <w:ilvl w:val="0"/>
          <w:numId w:val="29"/>
        </w:numPr>
        <w:spacing w:before="120" w:after="0" w:line="240" w:lineRule="auto"/>
        <w:ind w:left="357" w:hanging="357"/>
        <w:contextualSpacing w:val="0"/>
        <w:jc w:val="both"/>
      </w:pPr>
      <w:r w:rsidRPr="0078102A">
        <w:rPr>
          <w:rFonts w:ascii="Times New Roman" w:hAnsi="Times New Roman"/>
        </w:rPr>
        <w:t xml:space="preserve">Decline in demand from Australian manufacturers of </w:t>
      </w:r>
      <w:r w:rsidR="00B94AB0">
        <w:rPr>
          <w:rFonts w:ascii="Times New Roman" w:hAnsi="Times New Roman"/>
        </w:rPr>
        <w:t>more than 1</w:t>
      </w:r>
      <w:r w:rsidRPr="0078102A">
        <w:rPr>
          <w:rFonts w:ascii="Times New Roman" w:hAnsi="Times New Roman"/>
        </w:rPr>
        <w:t>00 tonnes of bulk synthetic gas consumption per annum in the last three years</w:t>
      </w:r>
      <w:r w:rsidR="003A4C9F">
        <w:rPr>
          <w:rFonts w:ascii="Times New Roman" w:hAnsi="Times New Roman"/>
        </w:rPr>
        <w:t>, as manufacturing output has either declined, or capacity been permanently shut down</w:t>
      </w:r>
      <w:r w:rsidRPr="0078102A">
        <w:rPr>
          <w:rFonts w:ascii="Times New Roman" w:hAnsi="Times New Roman"/>
        </w:rPr>
        <w:t xml:space="preserve"> (a trend that is going to continue for the next two to three years);</w:t>
      </w:r>
    </w:p>
    <w:p w:rsidR="00565AE0" w:rsidRPr="0078102A" w:rsidRDefault="00565AE0" w:rsidP="00565AE0">
      <w:pPr>
        <w:pStyle w:val="ListParagraph"/>
        <w:numPr>
          <w:ilvl w:val="0"/>
          <w:numId w:val="29"/>
        </w:numPr>
        <w:spacing w:before="120" w:after="0" w:line="240" w:lineRule="auto"/>
        <w:ind w:left="357" w:hanging="357"/>
        <w:contextualSpacing w:val="0"/>
        <w:jc w:val="both"/>
      </w:pPr>
      <w:r w:rsidRPr="0078102A">
        <w:rPr>
          <w:rFonts w:ascii="Times New Roman" w:hAnsi="Times New Roman"/>
        </w:rPr>
        <w:t>A notable focus by larger enterprises in both the refrigerated cold food chain and in commercial chiller applications on leak prevention, detection and repair</w:t>
      </w:r>
      <w:r>
        <w:rPr>
          <w:rFonts w:ascii="Times New Roman" w:hAnsi="Times New Roman"/>
        </w:rPr>
        <w:t>. This important</w:t>
      </w:r>
      <w:r w:rsidRPr="0078102A">
        <w:rPr>
          <w:rFonts w:ascii="Times New Roman" w:hAnsi="Times New Roman"/>
        </w:rPr>
        <w:t xml:space="preserve"> trend</w:t>
      </w:r>
      <w:r>
        <w:rPr>
          <w:rFonts w:ascii="Times New Roman" w:hAnsi="Times New Roman"/>
        </w:rPr>
        <w:t>, which anecdotal evidence suggests is becoming common practice in the industry,</w:t>
      </w:r>
      <w:r w:rsidRPr="0078102A">
        <w:rPr>
          <w:rFonts w:ascii="Times New Roman" w:hAnsi="Times New Roman"/>
        </w:rPr>
        <w:t xml:space="preserve"> was instigated by various Federal and State Government greenhouse accounting, reporting and energy efficiency schemes starting in the early 2000s, was reinforced by the National Greenhouse Energy Reporting System (NGERS) from 2008 and became a central focus in the lead up to the introduction of the </w:t>
      </w:r>
      <w:r w:rsidR="00DD1402">
        <w:rPr>
          <w:rFonts w:ascii="Times New Roman" w:hAnsi="Times New Roman"/>
        </w:rPr>
        <w:t>E</w:t>
      </w:r>
      <w:r w:rsidR="006F6DC5" w:rsidRPr="006F6DC5">
        <w:rPr>
          <w:rFonts w:ascii="Times New Roman" w:hAnsi="Times New Roman"/>
        </w:rPr>
        <w:t xml:space="preserve">quivalent </w:t>
      </w:r>
      <w:r w:rsidR="00DD1402">
        <w:rPr>
          <w:rFonts w:ascii="Times New Roman" w:hAnsi="Times New Roman"/>
        </w:rPr>
        <w:t>C</w:t>
      </w:r>
      <w:r w:rsidR="006F6DC5" w:rsidRPr="006F6DC5">
        <w:rPr>
          <w:rFonts w:ascii="Times New Roman" w:hAnsi="Times New Roman"/>
        </w:rPr>
        <w:t xml:space="preserve">arbon </w:t>
      </w:r>
      <w:r w:rsidR="00DD1402">
        <w:rPr>
          <w:rFonts w:ascii="Times New Roman" w:hAnsi="Times New Roman"/>
        </w:rPr>
        <w:t>P</w:t>
      </w:r>
      <w:r w:rsidR="006F6DC5" w:rsidRPr="006F6DC5">
        <w:rPr>
          <w:rFonts w:ascii="Times New Roman" w:hAnsi="Times New Roman"/>
        </w:rPr>
        <w:t>rice</w:t>
      </w:r>
      <w:r w:rsidR="007D4ED6">
        <w:rPr>
          <w:rFonts w:ascii="Times New Roman" w:hAnsi="Times New Roman"/>
        </w:rPr>
        <w:t xml:space="preserve"> (ECP)</w:t>
      </w:r>
      <w:r w:rsidRPr="0078102A">
        <w:rPr>
          <w:rFonts w:ascii="Times New Roman" w:hAnsi="Times New Roman"/>
        </w:rPr>
        <w:t xml:space="preserve">. While it is hard to exactly quantify the resulting demand reduction, indications of the level of leak reduction in some major consumers lead the authors to </w:t>
      </w:r>
      <w:r>
        <w:rPr>
          <w:rFonts w:ascii="Times New Roman" w:hAnsi="Times New Roman"/>
        </w:rPr>
        <w:t>estimate</w:t>
      </w:r>
      <w:r w:rsidRPr="0078102A">
        <w:rPr>
          <w:rFonts w:ascii="Times New Roman" w:hAnsi="Times New Roman"/>
        </w:rPr>
        <w:t xml:space="preserve"> that effective leak reduction may have permanently removed demand for as much as </w:t>
      </w:r>
      <w:r>
        <w:rPr>
          <w:rFonts w:ascii="Times New Roman" w:hAnsi="Times New Roman"/>
        </w:rPr>
        <w:t xml:space="preserve">100 </w:t>
      </w:r>
      <w:r w:rsidRPr="00B00B6A">
        <w:rPr>
          <w:rFonts w:ascii="Times New Roman" w:hAnsi="Times New Roman"/>
        </w:rPr>
        <w:t>tonnes o</w:t>
      </w:r>
      <w:r w:rsidRPr="0078102A">
        <w:rPr>
          <w:rFonts w:ascii="Times New Roman" w:hAnsi="Times New Roman"/>
        </w:rPr>
        <w:t>f bulk synthetic refrigerants per annum in the last three to five years.</w:t>
      </w:r>
    </w:p>
    <w:p w:rsidR="001568EF" w:rsidRPr="0078102A" w:rsidRDefault="001568EF" w:rsidP="00E97935">
      <w:pPr>
        <w:pStyle w:val="ListParagraph"/>
        <w:numPr>
          <w:ilvl w:val="0"/>
          <w:numId w:val="29"/>
        </w:numPr>
        <w:spacing w:before="120" w:after="0" w:line="240" w:lineRule="auto"/>
        <w:ind w:left="357" w:hanging="357"/>
        <w:contextualSpacing w:val="0"/>
        <w:jc w:val="both"/>
      </w:pPr>
      <w:r w:rsidRPr="0078102A">
        <w:rPr>
          <w:rFonts w:ascii="Times New Roman" w:hAnsi="Times New Roman"/>
        </w:rPr>
        <w:t>A substantial increase in enterprises openly engaging in re</w:t>
      </w:r>
      <w:r w:rsidR="001005DB">
        <w:rPr>
          <w:rFonts w:ascii="Times New Roman" w:hAnsi="Times New Roman"/>
        </w:rPr>
        <w:t>-</w:t>
      </w:r>
      <w:r w:rsidRPr="0078102A">
        <w:rPr>
          <w:rFonts w:ascii="Times New Roman" w:hAnsi="Times New Roman"/>
        </w:rPr>
        <w:t>use, particularly of HCFCs</w:t>
      </w:r>
      <w:r w:rsidR="001005DB">
        <w:rPr>
          <w:rFonts w:ascii="Times New Roman" w:hAnsi="Times New Roman"/>
        </w:rPr>
        <w:t>,</w:t>
      </w:r>
      <w:r w:rsidRPr="0078102A">
        <w:rPr>
          <w:rFonts w:ascii="Times New Roman" w:hAnsi="Times New Roman"/>
        </w:rPr>
        <w:t xml:space="preserve"> estimated to be at least equivalent to 200 tonnes of bulk synthetic gas consumption per annum.</w:t>
      </w:r>
      <w:r w:rsidR="00B201B3" w:rsidRPr="0078102A">
        <w:rPr>
          <w:rFonts w:ascii="Times New Roman" w:hAnsi="Times New Roman"/>
        </w:rPr>
        <w:t xml:space="preserve"> </w:t>
      </w:r>
      <w:r w:rsidR="00565AE0">
        <w:rPr>
          <w:rFonts w:ascii="Times New Roman" w:hAnsi="Times New Roman"/>
        </w:rPr>
        <w:t>Because of the inevitable phase out of HCFCs this will not permanently reduce overall demand however as s</w:t>
      </w:r>
      <w:r w:rsidR="00B201B3" w:rsidRPr="0078102A">
        <w:rPr>
          <w:rFonts w:ascii="Times New Roman" w:hAnsi="Times New Roman"/>
        </w:rPr>
        <w:t>ome re</w:t>
      </w:r>
      <w:r w:rsidR="001005DB">
        <w:rPr>
          <w:rFonts w:ascii="Times New Roman" w:hAnsi="Times New Roman"/>
        </w:rPr>
        <w:t>-</w:t>
      </w:r>
      <w:r w:rsidR="00B201B3" w:rsidRPr="0078102A">
        <w:rPr>
          <w:rFonts w:ascii="Times New Roman" w:hAnsi="Times New Roman"/>
        </w:rPr>
        <w:t>use of higher GWP HFCs has also been reported in the last year</w:t>
      </w:r>
      <w:r w:rsidR="00565AE0">
        <w:rPr>
          <w:rFonts w:ascii="Times New Roman" w:hAnsi="Times New Roman"/>
        </w:rPr>
        <w:t xml:space="preserve"> and that is expected to continue as a more common industry practice even if at relatively small volumes.</w:t>
      </w:r>
    </w:p>
    <w:p w:rsidR="008F2CD7" w:rsidRDefault="008F2CD7" w:rsidP="008F2CD7">
      <w:pPr>
        <w:rPr>
          <w:rFonts w:cs="Times New Roman"/>
        </w:rPr>
      </w:pPr>
      <w:r>
        <w:rPr>
          <w:rFonts w:cs="Times New Roman"/>
        </w:rPr>
        <w:t>Thus</w:t>
      </w:r>
      <w:r w:rsidR="00B201B3">
        <w:rPr>
          <w:rFonts w:cs="Times New Roman"/>
        </w:rPr>
        <w:t>, based on the best available data and primary market research,</w:t>
      </w:r>
      <w:r>
        <w:rPr>
          <w:rFonts w:cs="Times New Roman"/>
        </w:rPr>
        <w:t xml:space="preserve"> if the NAA proposal were to have commenced in 2013, Australia would have started with </w:t>
      </w:r>
      <w:r w:rsidR="00C511DE">
        <w:rPr>
          <w:rFonts w:cs="Times New Roman"/>
        </w:rPr>
        <w:t>estimated</w:t>
      </w:r>
      <w:r>
        <w:rPr>
          <w:rFonts w:cs="Times New Roman"/>
        </w:rPr>
        <w:t xml:space="preserve"> consumption </w:t>
      </w:r>
      <w:r w:rsidRPr="00DD1402">
        <w:rPr>
          <w:rFonts w:cs="Times New Roman"/>
        </w:rPr>
        <w:t xml:space="preserve">nearly </w:t>
      </w:r>
      <w:r w:rsidR="004B52EE" w:rsidRPr="00DD1402">
        <w:rPr>
          <w:rFonts w:cs="Times New Roman"/>
        </w:rPr>
        <w:t>15</w:t>
      </w:r>
      <w:r w:rsidRPr="00DD1402">
        <w:rPr>
          <w:rFonts w:cs="Times New Roman"/>
        </w:rPr>
        <w:t>% under the proposed</w:t>
      </w:r>
      <w:r>
        <w:rPr>
          <w:rFonts w:cs="Times New Roman"/>
        </w:rPr>
        <w:t xml:space="preserve"> baseline.</w:t>
      </w:r>
    </w:p>
    <w:p w:rsidR="008426A4" w:rsidRDefault="00B201B3" w:rsidP="008F2CD7">
      <w:pPr>
        <w:rPr>
          <w:rFonts w:cs="Times New Roman"/>
        </w:rPr>
      </w:pPr>
      <w:r>
        <w:rPr>
          <w:rFonts w:cs="Times New Roman"/>
        </w:rPr>
        <w:t>While that is a fortunate position to be in, it would be wise to assume that</w:t>
      </w:r>
      <w:r w:rsidR="008F2CD7">
        <w:rPr>
          <w:rFonts w:cs="Times New Roman"/>
        </w:rPr>
        <w:t xml:space="preserve"> </w:t>
      </w:r>
      <w:r w:rsidR="00336A56">
        <w:rPr>
          <w:rFonts w:cs="Times New Roman"/>
        </w:rPr>
        <w:t xml:space="preserve">there is no certainty that this relatively advantageous position will be </w:t>
      </w:r>
      <w:r w:rsidR="0051781A">
        <w:rPr>
          <w:rFonts w:cs="Times New Roman"/>
        </w:rPr>
        <w:t xml:space="preserve">automatically </w:t>
      </w:r>
      <w:r w:rsidR="00336A56">
        <w:rPr>
          <w:rFonts w:cs="Times New Roman"/>
        </w:rPr>
        <w:t>maintained into the future</w:t>
      </w:r>
      <w:r>
        <w:rPr>
          <w:rFonts w:cs="Times New Roman"/>
        </w:rPr>
        <w:t xml:space="preserve">, particularly as proposed </w:t>
      </w:r>
      <w:r w:rsidR="008426A4">
        <w:rPr>
          <w:rFonts w:cs="Times New Roman"/>
        </w:rPr>
        <w:t xml:space="preserve">NAA </w:t>
      </w:r>
      <w:r>
        <w:rPr>
          <w:rFonts w:cs="Times New Roman"/>
        </w:rPr>
        <w:t>reduction milestones are reached and consumption caps fall.</w:t>
      </w:r>
      <w:r w:rsidR="008426A4">
        <w:rPr>
          <w:rFonts w:cs="Times New Roman"/>
        </w:rPr>
        <w:t xml:space="preserve"> </w:t>
      </w:r>
    </w:p>
    <w:p w:rsidR="0023014D" w:rsidRDefault="00C774C6" w:rsidP="00B00B6A">
      <w:pPr>
        <w:tabs>
          <w:tab w:val="left" w:pos="0"/>
        </w:tabs>
        <w:rPr>
          <w:rFonts w:cs="Times New Roman"/>
        </w:rPr>
      </w:pPr>
      <w:r>
        <w:rPr>
          <w:rFonts w:cs="Times New Roman"/>
        </w:rPr>
        <w:t>Certainly there are some recent changes to market be</w:t>
      </w:r>
      <w:r w:rsidR="0023014D">
        <w:rPr>
          <w:rFonts w:cs="Times New Roman"/>
        </w:rPr>
        <w:t>haviour that have delivered</w:t>
      </w:r>
      <w:r>
        <w:rPr>
          <w:rFonts w:cs="Times New Roman"/>
        </w:rPr>
        <w:t xml:space="preserve"> one-off demand reductions that will not result in any permanent demand reduction. For instance</w:t>
      </w:r>
      <w:r w:rsidR="0023014D">
        <w:rPr>
          <w:rFonts w:cs="Times New Roman"/>
        </w:rPr>
        <w:t xml:space="preserve"> recovery and re</w:t>
      </w:r>
      <w:r w:rsidR="00FD46A1">
        <w:rPr>
          <w:rFonts w:cs="Times New Roman"/>
        </w:rPr>
        <w:t>-</w:t>
      </w:r>
      <w:r w:rsidR="0023014D">
        <w:rPr>
          <w:rFonts w:cs="Times New Roman"/>
        </w:rPr>
        <w:t>use of HCFC-22, an activity that has grown quite quickly in the last three years to an estimated 200 to 250 tonnes per annum, is expected to peak and eventually decline in the two decades ahead as HCFC charged equipment is finally retired from the economy</w:t>
      </w:r>
      <w:r w:rsidR="0051781A">
        <w:rPr>
          <w:rFonts w:cs="Times New Roman"/>
        </w:rPr>
        <w:t>, and is replaced with new equipment charged with other gases</w:t>
      </w:r>
      <w:r w:rsidR="0023014D">
        <w:rPr>
          <w:rFonts w:cs="Times New Roman"/>
        </w:rPr>
        <w:t xml:space="preserve">. Given equipment pre-charged with HCFCs was imported as recently as 2010, a tail of this activity could easily persist until as late </w:t>
      </w:r>
      <w:r w:rsidR="0051781A">
        <w:rPr>
          <w:rFonts w:cs="Times New Roman"/>
        </w:rPr>
        <w:t xml:space="preserve">as </w:t>
      </w:r>
      <w:r w:rsidR="0023014D">
        <w:rPr>
          <w:rFonts w:cs="Times New Roman"/>
        </w:rPr>
        <w:t xml:space="preserve">2025. </w:t>
      </w:r>
      <w:r>
        <w:rPr>
          <w:rFonts w:cs="Times New Roman"/>
        </w:rPr>
        <w:t xml:space="preserve"> </w:t>
      </w:r>
      <w:r w:rsidR="0023014D">
        <w:rPr>
          <w:rFonts w:cs="Times New Roman"/>
        </w:rPr>
        <w:t xml:space="preserve">Eventually all HCFC charged equipment </w:t>
      </w:r>
      <w:r w:rsidR="0051781A">
        <w:rPr>
          <w:rFonts w:cs="Times New Roman"/>
        </w:rPr>
        <w:t>will be</w:t>
      </w:r>
      <w:r w:rsidR="0023014D">
        <w:rPr>
          <w:rFonts w:cs="Times New Roman"/>
        </w:rPr>
        <w:t xml:space="preserve"> replaced with new equipment, likely operating on the most common refrigerant of the day</w:t>
      </w:r>
      <w:r w:rsidR="0051781A">
        <w:rPr>
          <w:rFonts w:cs="Times New Roman"/>
        </w:rPr>
        <w:t xml:space="preserve"> which, in some subsectors, could still involve a high GWP gas</w:t>
      </w:r>
      <w:r w:rsidR="0023014D">
        <w:rPr>
          <w:rFonts w:cs="Times New Roman"/>
        </w:rPr>
        <w:t>.</w:t>
      </w:r>
    </w:p>
    <w:p w:rsidR="00C774C6" w:rsidRDefault="0023014D" w:rsidP="00B00B6A">
      <w:pPr>
        <w:tabs>
          <w:tab w:val="left" w:pos="0"/>
        </w:tabs>
        <w:rPr>
          <w:rFonts w:cs="Times New Roman"/>
        </w:rPr>
      </w:pPr>
      <w:r>
        <w:t>T</w:t>
      </w:r>
      <w:r w:rsidR="00C774C6">
        <w:t xml:space="preserve">here has </w:t>
      </w:r>
      <w:r>
        <w:t xml:space="preserve">also </w:t>
      </w:r>
      <w:r w:rsidR="00C774C6">
        <w:t>been some shuffling of stocks in the value chain whereby technicians from some larger service companies no longer carry all of the commonly used refrigerants with them, but rather call on supplies as required from a central store. This has had the effect of reducing, to an unknown extent at this time, the total stock of gas in that part of the value chain. It is quite possible that having introduced this more efficient management of inventory in response to higher feedstock prices, that this may become a permanent feature of the supply chain</w:t>
      </w:r>
      <w:r w:rsidR="0051781A">
        <w:t>, but on its own, while reducing volumes of gas held in the supply chain, does not reduce final demand from the stock of equipment</w:t>
      </w:r>
      <w:r w:rsidR="00C774C6">
        <w:t>.</w:t>
      </w:r>
    </w:p>
    <w:p w:rsidR="00B00B6A" w:rsidRDefault="00C774C6" w:rsidP="008F2CD7">
      <w:pPr>
        <w:rPr>
          <w:rFonts w:cs="Times New Roman"/>
        </w:rPr>
      </w:pPr>
      <w:r>
        <w:rPr>
          <w:rFonts w:cs="Times New Roman"/>
        </w:rPr>
        <w:t>However i</w:t>
      </w:r>
      <w:r w:rsidR="008426A4">
        <w:rPr>
          <w:rFonts w:cs="Times New Roman"/>
        </w:rPr>
        <w:t xml:space="preserve">f, as one would expect, some buying decisions have been delayed for a period, waiting for the expected price reduction that should flow through to higher </w:t>
      </w:r>
      <w:r>
        <w:rPr>
          <w:rFonts w:cs="Times New Roman"/>
        </w:rPr>
        <w:t xml:space="preserve">GWP HFCs following the announced </w:t>
      </w:r>
      <w:r w:rsidR="008426A4">
        <w:rPr>
          <w:rFonts w:cs="Times New Roman"/>
        </w:rPr>
        <w:t xml:space="preserve">removal of the </w:t>
      </w:r>
      <w:r w:rsidR="007D4ED6">
        <w:rPr>
          <w:rFonts w:cs="Times New Roman"/>
        </w:rPr>
        <w:t>ECP</w:t>
      </w:r>
      <w:r w:rsidR="008426A4">
        <w:rPr>
          <w:rFonts w:cs="Times New Roman"/>
        </w:rPr>
        <w:t xml:space="preserve"> in the near future, there is likely to be some increase</w:t>
      </w:r>
      <w:r w:rsidR="0051781A">
        <w:rPr>
          <w:rFonts w:cs="Times New Roman"/>
        </w:rPr>
        <w:t>d</w:t>
      </w:r>
      <w:r w:rsidR="008426A4">
        <w:rPr>
          <w:rFonts w:cs="Times New Roman"/>
        </w:rPr>
        <w:t xml:space="preserve"> </w:t>
      </w:r>
      <w:r w:rsidR="0051781A">
        <w:rPr>
          <w:rFonts w:cs="Times New Roman"/>
        </w:rPr>
        <w:t>buying</w:t>
      </w:r>
      <w:r w:rsidR="008426A4">
        <w:rPr>
          <w:rFonts w:cs="Times New Roman"/>
        </w:rPr>
        <w:t xml:space="preserve"> for a period. If that demand rebound is permanent, then some of the present comfortable differential between consumption and an NAA cap could be quickly eroded.</w:t>
      </w:r>
    </w:p>
    <w:p w:rsidR="008F2CD7" w:rsidRDefault="008426A4" w:rsidP="008F2CD7">
      <w:pPr>
        <w:rPr>
          <w:rFonts w:cs="Times New Roman"/>
        </w:rPr>
      </w:pPr>
      <w:r>
        <w:rPr>
          <w:rFonts w:cs="Times New Roman"/>
        </w:rPr>
        <w:t xml:space="preserve">At the </w:t>
      </w:r>
      <w:r w:rsidR="00C774C6">
        <w:rPr>
          <w:rFonts w:cs="Times New Roman"/>
        </w:rPr>
        <w:t>same time</w:t>
      </w:r>
      <w:r>
        <w:rPr>
          <w:rFonts w:cs="Times New Roman"/>
        </w:rPr>
        <w:t xml:space="preserve"> the authors believe that most of the</w:t>
      </w:r>
      <w:r w:rsidR="00A07A80">
        <w:rPr>
          <w:rFonts w:cs="Times New Roman"/>
        </w:rPr>
        <w:t xml:space="preserve"> demand reduction</w:t>
      </w:r>
      <w:r>
        <w:rPr>
          <w:rFonts w:cs="Times New Roman"/>
        </w:rPr>
        <w:t xml:space="preserve"> trends underlying their 2013 estimate of consumption are permanent</w:t>
      </w:r>
      <w:r w:rsidR="00A07A80">
        <w:rPr>
          <w:rFonts w:cs="Times New Roman"/>
        </w:rPr>
        <w:t xml:space="preserve"> and to some extent irrespective to </w:t>
      </w:r>
      <w:r>
        <w:rPr>
          <w:rFonts w:cs="Times New Roman"/>
        </w:rPr>
        <w:t>changes in pricing.</w:t>
      </w:r>
      <w:r w:rsidR="00A07A80">
        <w:rPr>
          <w:rFonts w:cs="Times New Roman"/>
        </w:rPr>
        <w:t xml:space="preserve"> In the longer term </w:t>
      </w:r>
      <w:r w:rsidR="00213D35">
        <w:rPr>
          <w:rFonts w:cs="Times New Roman"/>
        </w:rPr>
        <w:t xml:space="preserve">the increase </w:t>
      </w:r>
      <w:r w:rsidR="00A07A80">
        <w:rPr>
          <w:rFonts w:cs="Times New Roman"/>
        </w:rPr>
        <w:t>in synthetic refrigerant prices has been stronger than inflation in the economy, and increased market awareness of the economic returns of minimising leaks and loses, opportunities for re</w:t>
      </w:r>
      <w:r w:rsidR="00DD1402">
        <w:rPr>
          <w:rFonts w:cs="Times New Roman"/>
        </w:rPr>
        <w:t>-</w:t>
      </w:r>
      <w:r w:rsidR="00A07A80">
        <w:rPr>
          <w:rFonts w:cs="Times New Roman"/>
        </w:rPr>
        <w:t xml:space="preserve">use, reducing charge sizes overall, and </w:t>
      </w:r>
      <w:r w:rsidR="0051781A">
        <w:rPr>
          <w:rFonts w:cs="Times New Roman"/>
        </w:rPr>
        <w:t xml:space="preserve">growing appreciation of the value of </w:t>
      </w:r>
      <w:r w:rsidR="00A07A80">
        <w:rPr>
          <w:rFonts w:cs="Times New Roman"/>
        </w:rPr>
        <w:t xml:space="preserve">moving to the most energy efficient and often lower GWP </w:t>
      </w:r>
      <w:r w:rsidR="00F81A1A">
        <w:rPr>
          <w:rFonts w:cs="Times New Roman"/>
        </w:rPr>
        <w:t xml:space="preserve">refrigerant </w:t>
      </w:r>
      <w:r w:rsidR="00A07A80">
        <w:rPr>
          <w:rFonts w:cs="Times New Roman"/>
        </w:rPr>
        <w:t>options, point to these trends continuing.</w:t>
      </w:r>
    </w:p>
    <w:p w:rsidR="008F2CD7" w:rsidRDefault="00E17CBF" w:rsidP="008F2CD7">
      <w:pPr>
        <w:rPr>
          <w:rFonts w:cs="Times New Roman"/>
        </w:rPr>
      </w:pPr>
      <w:r>
        <w:rPr>
          <w:rFonts w:cs="Times New Roman"/>
          <w:b/>
        </w:rPr>
        <w:t>The Transition Model</w:t>
      </w:r>
      <w:r w:rsidR="00A07A80" w:rsidRPr="00B00B6A">
        <w:rPr>
          <w:rFonts w:cs="Times New Roman"/>
          <w:b/>
        </w:rPr>
        <w:t xml:space="preserve"> of future consumption</w:t>
      </w:r>
      <w:r w:rsidR="00A07A80">
        <w:rPr>
          <w:rFonts w:cs="Times New Roman"/>
        </w:rPr>
        <w:t xml:space="preserve"> - </w:t>
      </w:r>
      <w:r w:rsidR="008F2CD7">
        <w:rPr>
          <w:rFonts w:cs="Times New Roman"/>
        </w:rPr>
        <w:t xml:space="preserve">For the purposes of assessing Australia’s capacity to meet </w:t>
      </w:r>
      <w:r w:rsidR="00336A56">
        <w:rPr>
          <w:rFonts w:cs="Times New Roman"/>
        </w:rPr>
        <w:t>a</w:t>
      </w:r>
      <w:r w:rsidR="008F2CD7">
        <w:rPr>
          <w:rFonts w:cs="Times New Roman"/>
        </w:rPr>
        <w:t xml:space="preserve"> phase down timetable</w:t>
      </w:r>
      <w:r w:rsidR="00F81A1A">
        <w:rPr>
          <w:rFonts w:cs="Times New Roman"/>
        </w:rPr>
        <w:t xml:space="preserve"> based on the NAA proposal</w:t>
      </w:r>
      <w:r w:rsidR="00336A56">
        <w:rPr>
          <w:rFonts w:cs="Times New Roman"/>
        </w:rPr>
        <w:t>,</w:t>
      </w:r>
      <w:r w:rsidR="008F2CD7">
        <w:rPr>
          <w:rFonts w:cs="Times New Roman"/>
        </w:rPr>
        <w:t xml:space="preserve"> a projection of the </w:t>
      </w:r>
      <w:r w:rsidR="00F81A1A">
        <w:rPr>
          <w:rFonts w:cs="Times New Roman"/>
        </w:rPr>
        <w:t xml:space="preserve">stock of equipment, and thus the </w:t>
      </w:r>
      <w:r w:rsidR="008F2CD7">
        <w:rPr>
          <w:rFonts w:cs="Times New Roman"/>
        </w:rPr>
        <w:t>make up of the refrigerant bank in Australia has been constructed</w:t>
      </w:r>
      <w:r w:rsidR="00F81A1A">
        <w:rPr>
          <w:rFonts w:cs="Times New Roman"/>
        </w:rPr>
        <w:t>. D</w:t>
      </w:r>
      <w:r w:rsidR="008F2CD7">
        <w:rPr>
          <w:rFonts w:cs="Times New Roman"/>
        </w:rPr>
        <w:t xml:space="preserve">emand for bulk imports </w:t>
      </w:r>
      <w:r w:rsidR="00B201B3">
        <w:rPr>
          <w:rFonts w:cs="Times New Roman"/>
        </w:rPr>
        <w:t>has been calculated based on forward estim</w:t>
      </w:r>
      <w:r w:rsidR="008426A4">
        <w:rPr>
          <w:rFonts w:cs="Times New Roman"/>
        </w:rPr>
        <w:t>ates of gas required</w:t>
      </w:r>
      <w:r w:rsidR="00B201B3">
        <w:rPr>
          <w:rFonts w:cs="Times New Roman"/>
        </w:rPr>
        <w:t xml:space="preserve"> </w:t>
      </w:r>
      <w:r w:rsidR="008F2CD7">
        <w:rPr>
          <w:rFonts w:cs="Times New Roman"/>
        </w:rPr>
        <w:t>to service that bank</w:t>
      </w:r>
      <w:r w:rsidR="00336A56">
        <w:rPr>
          <w:rFonts w:cs="Times New Roman"/>
        </w:rPr>
        <w:t>, and to meet demands for charging of new equipment either manufactured in Australia, or imported without a gas charge</w:t>
      </w:r>
      <w:r w:rsidR="008F2CD7">
        <w:rPr>
          <w:rFonts w:cs="Times New Roman"/>
        </w:rPr>
        <w:t xml:space="preserve">. </w:t>
      </w:r>
    </w:p>
    <w:p w:rsidR="008F2CD7" w:rsidRDefault="008F2CD7" w:rsidP="008F2CD7">
      <w:pPr>
        <w:rPr>
          <w:rFonts w:cs="Times New Roman"/>
        </w:rPr>
      </w:pPr>
      <w:r>
        <w:rPr>
          <w:rFonts w:cs="Times New Roman"/>
        </w:rPr>
        <w:t>This involved making assessments about the rate of adoption of existing low</w:t>
      </w:r>
      <w:r w:rsidR="00FD46A1">
        <w:rPr>
          <w:rFonts w:cs="Times New Roman"/>
        </w:rPr>
        <w:t>er</w:t>
      </w:r>
      <w:r>
        <w:rPr>
          <w:rFonts w:cs="Times New Roman"/>
        </w:rPr>
        <w:t xml:space="preserve"> or zero GWP gases and technologies, and the rate of adoption of some low</w:t>
      </w:r>
      <w:r w:rsidR="00FD46A1">
        <w:rPr>
          <w:rFonts w:cs="Times New Roman"/>
        </w:rPr>
        <w:t>er</w:t>
      </w:r>
      <w:r>
        <w:rPr>
          <w:rFonts w:cs="Times New Roman"/>
        </w:rPr>
        <w:t xml:space="preserve"> GWP gases that are on the verge of commercial production. While many species of refrigerant gas under development were examined to ascertain their state of readiness for the market, only technologies that have been demonstrated in the field as viable</w:t>
      </w:r>
      <w:r w:rsidR="008426A4">
        <w:rPr>
          <w:rFonts w:cs="Times New Roman"/>
        </w:rPr>
        <w:t>,</w:t>
      </w:r>
      <w:r>
        <w:rPr>
          <w:rFonts w:cs="Times New Roman"/>
        </w:rPr>
        <w:t xml:space="preserve"> have been assessed.</w:t>
      </w:r>
    </w:p>
    <w:p w:rsidR="008F2CD7" w:rsidRDefault="008F2CD7" w:rsidP="008F2CD7">
      <w:pPr>
        <w:rPr>
          <w:rFonts w:cs="Times New Roman"/>
        </w:rPr>
      </w:pPr>
      <w:r>
        <w:rPr>
          <w:rFonts w:cs="Times New Roman"/>
        </w:rPr>
        <w:t xml:space="preserve">The model that was built is referred to as the Transition Model and the results of the model are illustrated in </w:t>
      </w:r>
      <w:r w:rsidRPr="009C2781">
        <w:rPr>
          <w:rFonts w:cs="Times New Roman"/>
          <w:i/>
        </w:rPr>
        <w:t>Figure</w:t>
      </w:r>
      <w:r w:rsidR="00FD46A1">
        <w:rPr>
          <w:rFonts w:cs="Times New Roman"/>
          <w:i/>
        </w:rPr>
        <w:t xml:space="preserve">s </w:t>
      </w:r>
      <w:r w:rsidR="00AE2EDB">
        <w:rPr>
          <w:rFonts w:cs="Times New Roman"/>
          <w:i/>
        </w:rPr>
        <w:t>4</w:t>
      </w:r>
      <w:r w:rsidRPr="009C2781">
        <w:rPr>
          <w:rFonts w:cs="Times New Roman"/>
          <w:i/>
        </w:rPr>
        <w:t xml:space="preserve"> </w:t>
      </w:r>
      <w:r w:rsidR="00F33CEA">
        <w:rPr>
          <w:rFonts w:cs="Times New Roman"/>
        </w:rPr>
        <w:t xml:space="preserve">and </w:t>
      </w:r>
      <w:r w:rsidR="00AE2EDB" w:rsidRPr="00DD1402">
        <w:rPr>
          <w:rFonts w:cs="Times New Roman"/>
          <w:i/>
        </w:rPr>
        <w:t>5</w:t>
      </w:r>
      <w:r>
        <w:rPr>
          <w:rFonts w:cs="Times New Roman"/>
        </w:rPr>
        <w:t>. Th</w:t>
      </w:r>
      <w:r w:rsidR="00F33CEA">
        <w:rPr>
          <w:rFonts w:cs="Times New Roman"/>
        </w:rPr>
        <w:t>ese</w:t>
      </w:r>
      <w:r>
        <w:rPr>
          <w:rFonts w:cs="Times New Roman"/>
        </w:rPr>
        <w:t xml:space="preserve"> illustration</w:t>
      </w:r>
      <w:r w:rsidR="00F33CEA">
        <w:rPr>
          <w:rFonts w:cs="Times New Roman"/>
        </w:rPr>
        <w:t>s</w:t>
      </w:r>
      <w:r w:rsidR="00417CEE">
        <w:rPr>
          <w:rFonts w:cs="Times New Roman"/>
        </w:rPr>
        <w:t xml:space="preserve"> show</w:t>
      </w:r>
      <w:r>
        <w:rPr>
          <w:rFonts w:cs="Times New Roman"/>
        </w:rPr>
        <w:t xml:space="preserve"> the predicted </w:t>
      </w:r>
      <w:r w:rsidRPr="00C10940">
        <w:rPr>
          <w:rFonts w:cs="Times New Roman"/>
        </w:rPr>
        <w:t>CO</w:t>
      </w:r>
      <w:r w:rsidRPr="00C10940">
        <w:rPr>
          <w:rFonts w:cs="Times New Roman"/>
          <w:vertAlign w:val="subscript"/>
        </w:rPr>
        <w:t>2</w:t>
      </w:r>
      <w:r w:rsidR="00C10940">
        <w:rPr>
          <w:rFonts w:cs="Times New Roman"/>
        </w:rPr>
        <w:t>-</w:t>
      </w:r>
      <w:r w:rsidRPr="00C10940">
        <w:rPr>
          <w:rFonts w:cs="Times New Roman"/>
        </w:rPr>
        <w:t>e</w:t>
      </w:r>
      <w:r>
        <w:rPr>
          <w:rFonts w:cs="Times New Roman"/>
        </w:rPr>
        <w:t xml:space="preserve"> value of bulk imports of synthetic gases into Australia out to 2025</w:t>
      </w:r>
      <w:r w:rsidR="00F33CEA">
        <w:rPr>
          <w:rFonts w:cs="Times New Roman"/>
        </w:rPr>
        <w:t xml:space="preserve"> by end use application</w:t>
      </w:r>
      <w:r w:rsidR="00B13393">
        <w:rPr>
          <w:rFonts w:cs="Times New Roman"/>
        </w:rPr>
        <w:t xml:space="preserve"> of the gas, and then by species of gas imported</w:t>
      </w:r>
      <w:r>
        <w:rPr>
          <w:rFonts w:cs="Times New Roman"/>
        </w:rPr>
        <w:t xml:space="preserve">. </w:t>
      </w:r>
      <w:r w:rsidR="0057797B">
        <w:rPr>
          <w:rFonts w:cs="Times New Roman"/>
        </w:rPr>
        <w:t xml:space="preserve">The blue dotted line on these charts illustrates an alternative scenario if the transition </w:t>
      </w:r>
      <w:r w:rsidR="004D0A8C">
        <w:rPr>
          <w:rFonts w:cs="Times New Roman"/>
        </w:rPr>
        <w:t xml:space="preserve">was </w:t>
      </w:r>
      <w:r w:rsidR="0057797B">
        <w:rPr>
          <w:rFonts w:cs="Times New Roman"/>
        </w:rPr>
        <w:t>to commence at the long term average of 4,500 tonnes per annum.</w:t>
      </w:r>
    </w:p>
    <w:p w:rsidR="0057797B" w:rsidRDefault="00FD46A1" w:rsidP="008F2CD7">
      <w:pPr>
        <w:rPr>
          <w:rFonts w:cs="Times New Roman"/>
        </w:rPr>
      </w:pPr>
      <w:r w:rsidRPr="00FD46A1">
        <w:rPr>
          <w:rFonts w:cs="Times New Roman"/>
          <w:i/>
        </w:rPr>
        <w:t>Figure</w:t>
      </w:r>
      <w:r w:rsidR="00AE2EDB">
        <w:rPr>
          <w:rFonts w:cs="Times New Roman"/>
          <w:i/>
        </w:rPr>
        <w:t>s</w:t>
      </w:r>
      <w:r w:rsidRPr="00FD46A1">
        <w:rPr>
          <w:rFonts w:cs="Times New Roman"/>
          <w:i/>
        </w:rPr>
        <w:t xml:space="preserve"> </w:t>
      </w:r>
      <w:r w:rsidR="00AE2EDB">
        <w:rPr>
          <w:rFonts w:cs="Times New Roman"/>
          <w:i/>
        </w:rPr>
        <w:t>6</w:t>
      </w:r>
      <w:r>
        <w:rPr>
          <w:rFonts w:cs="Times New Roman"/>
        </w:rPr>
        <w:t xml:space="preserve"> </w:t>
      </w:r>
      <w:r w:rsidR="00AE2EDB">
        <w:rPr>
          <w:rFonts w:cs="Times New Roman"/>
        </w:rPr>
        <w:t xml:space="preserve">and </w:t>
      </w:r>
      <w:r w:rsidR="00AE2EDB" w:rsidRPr="00DD1402">
        <w:rPr>
          <w:rFonts w:cs="Times New Roman"/>
          <w:i/>
        </w:rPr>
        <w:t xml:space="preserve">7 </w:t>
      </w:r>
      <w:r w:rsidR="008F2CD7">
        <w:rPr>
          <w:rFonts w:cs="Times New Roman"/>
        </w:rPr>
        <w:t>illustrate the Transition Models projection of the bank of working gases in Australia out to 2025</w:t>
      </w:r>
      <w:r w:rsidR="00B13393">
        <w:rPr>
          <w:rFonts w:cs="Times New Roman"/>
        </w:rPr>
        <w:t>.</w:t>
      </w:r>
      <w:r w:rsidR="00AE2EDB">
        <w:rPr>
          <w:rFonts w:cs="Times New Roman"/>
        </w:rPr>
        <w:t xml:space="preserve"> Whereas </w:t>
      </w:r>
      <w:r w:rsidR="00AE2EDB" w:rsidRPr="00AE2EDB">
        <w:rPr>
          <w:rFonts w:cs="Times New Roman"/>
        </w:rPr>
        <w:t>Figure 8</w:t>
      </w:r>
      <w:r w:rsidR="00AE2EDB">
        <w:rPr>
          <w:rFonts w:cs="Times New Roman"/>
        </w:rPr>
        <w:t xml:space="preserve"> shows the projected </w:t>
      </w:r>
      <w:r w:rsidR="00AE2EDB" w:rsidRPr="00AE2EDB">
        <w:rPr>
          <w:rFonts w:cs="Times New Roman"/>
        </w:rPr>
        <w:t>refrigerant consumption from 2013 to 2025 by gas species</w:t>
      </w:r>
      <w:r w:rsidR="00AE2EDB">
        <w:rPr>
          <w:rFonts w:cs="Times New Roman"/>
        </w:rPr>
        <w:t xml:space="preserve">, which is mostly derived from the bank plus OEM manufacturer, charging new equipment, and other applications such as foams, fire protection and aerosols. </w:t>
      </w:r>
    </w:p>
    <w:p w:rsidR="008F2CD7" w:rsidRDefault="008F2CD7" w:rsidP="008F2CD7">
      <w:pPr>
        <w:rPr>
          <w:rFonts w:cs="Times New Roman"/>
        </w:rPr>
      </w:pPr>
      <w:r>
        <w:rPr>
          <w:rFonts w:cs="Times New Roman"/>
        </w:rPr>
        <w:t xml:space="preserve"> </w:t>
      </w:r>
    </w:p>
    <w:p w:rsidR="009C2781" w:rsidRDefault="009C2781" w:rsidP="009C2781">
      <w:pPr>
        <w:spacing w:before="0"/>
        <w:jc w:val="left"/>
        <w:rPr>
          <w:rFonts w:cs="Times New Roman"/>
          <w:szCs w:val="22"/>
        </w:rPr>
      </w:pPr>
      <w:r>
        <w:rPr>
          <w:rFonts w:cs="Times New Roman"/>
          <w:szCs w:val="22"/>
        </w:rPr>
        <w:br w:type="page"/>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65"/>
      </w:tblGrid>
      <w:tr w:rsidR="009C2781" w:rsidRPr="00613398" w:rsidTr="009C2781">
        <w:tc>
          <w:tcPr>
            <w:tcW w:w="10065" w:type="dxa"/>
            <w:vAlign w:val="center"/>
          </w:tcPr>
          <w:p w:rsidR="009C2781" w:rsidRPr="00613398" w:rsidRDefault="009C2781" w:rsidP="009C2781">
            <w:pPr>
              <w:spacing w:after="120"/>
              <w:jc w:val="center"/>
              <w:rPr>
                <w:rFonts w:cs="Times New Roman"/>
                <w:b/>
              </w:rPr>
            </w:pPr>
            <w:r w:rsidRPr="00613398">
              <w:rPr>
                <w:rFonts w:cs="Times New Roman"/>
                <w:b/>
              </w:rPr>
              <w:br w:type="page"/>
            </w:r>
            <w:r>
              <w:rPr>
                <w:rFonts w:cs="Times New Roman"/>
                <w:b/>
              </w:rPr>
              <w:t>Australia and the NAA Proposal</w:t>
            </w:r>
            <w:r w:rsidRPr="00613398">
              <w:rPr>
                <w:rFonts w:cs="Times New Roman"/>
                <w:b/>
              </w:rPr>
              <w:t xml:space="preserve"> </w:t>
            </w:r>
            <w:r w:rsidR="009736EF">
              <w:rPr>
                <w:rFonts w:cs="Times New Roman"/>
                <w:b/>
              </w:rPr>
              <w:t>by sub-sector application (above) and by gas species (below)</w:t>
            </w:r>
          </w:p>
        </w:tc>
      </w:tr>
      <w:tr w:rsidR="009C2781" w:rsidRPr="00923150" w:rsidTr="009C2781">
        <w:tc>
          <w:tcPr>
            <w:tcW w:w="10065" w:type="dxa"/>
            <w:vAlign w:val="center"/>
          </w:tcPr>
          <w:p w:rsidR="009C2781" w:rsidRDefault="009C2781" w:rsidP="009C2781">
            <w:pPr>
              <w:spacing w:before="0"/>
              <w:jc w:val="center"/>
              <w:rPr>
                <w:sz w:val="16"/>
                <w:szCs w:val="16"/>
              </w:rPr>
            </w:pPr>
          </w:p>
          <w:p w:rsidR="009C2781" w:rsidRDefault="00D7278C" w:rsidP="009C2781">
            <w:pPr>
              <w:spacing w:before="0"/>
              <w:jc w:val="center"/>
              <w:rPr>
                <w:sz w:val="16"/>
                <w:szCs w:val="16"/>
              </w:rPr>
            </w:pPr>
            <w:r>
              <w:rPr>
                <w:noProof/>
                <w:lang w:val="en-AU" w:eastAsia="en-AU"/>
              </w:rPr>
              <w:drawing>
                <wp:inline distT="0" distB="0" distL="0" distR="0">
                  <wp:extent cx="6181090" cy="3217333"/>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C2781" w:rsidRDefault="009C2781" w:rsidP="009C2781">
            <w:pPr>
              <w:spacing w:before="0"/>
              <w:jc w:val="center"/>
              <w:rPr>
                <w:sz w:val="16"/>
                <w:szCs w:val="16"/>
              </w:rPr>
            </w:pPr>
          </w:p>
        </w:tc>
      </w:tr>
      <w:tr w:rsidR="009C2781" w:rsidRPr="003F61A2" w:rsidTr="009C2781">
        <w:tc>
          <w:tcPr>
            <w:tcW w:w="10065" w:type="dxa"/>
            <w:vAlign w:val="center"/>
          </w:tcPr>
          <w:p w:rsidR="009C2781" w:rsidRPr="003F61A2" w:rsidRDefault="00995708" w:rsidP="003137F8">
            <w:pPr>
              <w:spacing w:before="60" w:after="60"/>
              <w:rPr>
                <w:rFonts w:cs="Times New Roman"/>
                <w:i/>
                <w:sz w:val="20"/>
              </w:rPr>
            </w:pPr>
            <w:bookmarkStart w:id="13" w:name="_Toc257359972"/>
            <w:r w:rsidRPr="007F343E">
              <w:rPr>
                <w:rFonts w:cs="Times New Roman"/>
                <w:i/>
                <w:sz w:val="20"/>
              </w:rPr>
              <w:t xml:space="preserve">Figure </w:t>
            </w:r>
            <w:r w:rsidR="00B41499" w:rsidRPr="007F343E">
              <w:rPr>
                <w:rFonts w:cs="Times New Roman"/>
                <w:i/>
                <w:sz w:val="20"/>
              </w:rPr>
              <w:fldChar w:fldCharType="begin"/>
            </w:r>
            <w:r w:rsidRPr="007F343E">
              <w:rPr>
                <w:rFonts w:cs="Times New Roman"/>
                <w:i/>
                <w:sz w:val="20"/>
              </w:rPr>
              <w:instrText xml:space="preserve"> SEQ Figure \* ARABIC </w:instrText>
            </w:r>
            <w:r w:rsidR="00B41499" w:rsidRPr="007F343E">
              <w:rPr>
                <w:rFonts w:cs="Times New Roman"/>
                <w:i/>
                <w:sz w:val="20"/>
              </w:rPr>
              <w:fldChar w:fldCharType="separate"/>
            </w:r>
            <w:r w:rsidR="008E0DB9">
              <w:rPr>
                <w:rFonts w:cs="Times New Roman"/>
                <w:i/>
                <w:noProof/>
                <w:sz w:val="20"/>
              </w:rPr>
              <w:t>4</w:t>
            </w:r>
            <w:r w:rsidR="00B41499" w:rsidRPr="007F343E">
              <w:rPr>
                <w:rFonts w:cs="Times New Roman"/>
                <w:i/>
                <w:sz w:val="20"/>
              </w:rPr>
              <w:fldChar w:fldCharType="end"/>
            </w:r>
            <w:r w:rsidR="009C2781" w:rsidRPr="00613398">
              <w:rPr>
                <w:rFonts w:cs="Times New Roman"/>
                <w:i/>
                <w:sz w:val="20"/>
              </w:rPr>
              <w:t xml:space="preserve">: </w:t>
            </w:r>
            <w:r w:rsidR="003137F8" w:rsidRPr="003137F8">
              <w:rPr>
                <w:rFonts w:cs="Times New Roman"/>
                <w:i/>
                <w:sz w:val="20"/>
              </w:rPr>
              <w:t>Australia and the NAA Proposal by sub-sector application in Mt CO</w:t>
            </w:r>
            <w:r w:rsidR="003137F8" w:rsidRPr="003137F8">
              <w:rPr>
                <w:rFonts w:cs="Times New Roman"/>
                <w:i/>
                <w:sz w:val="20"/>
                <w:vertAlign w:val="subscript"/>
              </w:rPr>
              <w:t>2</w:t>
            </w:r>
            <w:r w:rsidR="00977C4A" w:rsidRPr="001C7B87">
              <w:rPr>
                <w:rFonts w:cs="Times New Roman"/>
                <w:i/>
                <w:sz w:val="20"/>
              </w:rPr>
              <w:t>-</w:t>
            </w:r>
            <w:r w:rsidR="003137F8" w:rsidRPr="003137F8">
              <w:rPr>
                <w:rFonts w:cs="Times New Roman"/>
                <w:i/>
                <w:sz w:val="20"/>
              </w:rPr>
              <w:t>e based on A</w:t>
            </w:r>
            <w:r w:rsidR="009C2781" w:rsidRPr="003137F8">
              <w:rPr>
                <w:rFonts w:cs="Times New Roman"/>
                <w:i/>
                <w:sz w:val="20"/>
              </w:rPr>
              <w:t>R4</w:t>
            </w:r>
            <w:r w:rsidR="003137F8">
              <w:rPr>
                <w:rFonts w:cs="Times New Roman"/>
                <w:i/>
                <w:sz w:val="20"/>
              </w:rPr>
              <w:t>.</w:t>
            </w:r>
            <w:bookmarkEnd w:id="13"/>
          </w:p>
        </w:tc>
      </w:tr>
      <w:tr w:rsidR="009C2781" w:rsidTr="009C2781">
        <w:tc>
          <w:tcPr>
            <w:tcW w:w="10065" w:type="dxa"/>
            <w:vAlign w:val="center"/>
          </w:tcPr>
          <w:p w:rsidR="009C2781" w:rsidRDefault="009C2781" w:rsidP="009C2781">
            <w:pPr>
              <w:spacing w:before="0"/>
              <w:jc w:val="center"/>
              <w:rPr>
                <w:sz w:val="16"/>
                <w:szCs w:val="16"/>
              </w:rPr>
            </w:pPr>
          </w:p>
          <w:p w:rsidR="009C2781" w:rsidRDefault="00D7278C" w:rsidP="009C2781">
            <w:pPr>
              <w:spacing w:before="0"/>
              <w:jc w:val="center"/>
              <w:rPr>
                <w:sz w:val="16"/>
                <w:szCs w:val="16"/>
              </w:rPr>
            </w:pPr>
            <w:r>
              <w:rPr>
                <w:noProof/>
                <w:lang w:val="en-AU" w:eastAsia="en-AU"/>
              </w:rPr>
              <w:drawing>
                <wp:inline distT="0" distB="0" distL="0" distR="0">
                  <wp:extent cx="6181090" cy="3183467"/>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C2781" w:rsidRDefault="009C2781" w:rsidP="009C2781">
            <w:pPr>
              <w:spacing w:before="0"/>
              <w:jc w:val="center"/>
              <w:rPr>
                <w:sz w:val="16"/>
                <w:szCs w:val="16"/>
              </w:rPr>
            </w:pPr>
          </w:p>
        </w:tc>
      </w:tr>
      <w:tr w:rsidR="009C2781" w:rsidRPr="00923150" w:rsidTr="009C2781">
        <w:tc>
          <w:tcPr>
            <w:tcW w:w="10065" w:type="dxa"/>
            <w:vAlign w:val="center"/>
          </w:tcPr>
          <w:p w:rsidR="009C2781" w:rsidRPr="00613398" w:rsidRDefault="00995708" w:rsidP="003137F8">
            <w:pPr>
              <w:spacing w:before="60" w:after="60"/>
            </w:pPr>
            <w:bookmarkStart w:id="14" w:name="_Toc257359973"/>
            <w:r w:rsidRPr="007F343E">
              <w:rPr>
                <w:rFonts w:cs="Times New Roman"/>
                <w:i/>
                <w:sz w:val="20"/>
              </w:rPr>
              <w:t xml:space="preserve">Figure </w:t>
            </w:r>
            <w:r w:rsidR="00B41499" w:rsidRPr="007F343E">
              <w:rPr>
                <w:rFonts w:cs="Times New Roman"/>
                <w:i/>
                <w:sz w:val="20"/>
              </w:rPr>
              <w:fldChar w:fldCharType="begin"/>
            </w:r>
            <w:r w:rsidRPr="007F343E">
              <w:rPr>
                <w:rFonts w:cs="Times New Roman"/>
                <w:i/>
                <w:sz w:val="20"/>
              </w:rPr>
              <w:instrText xml:space="preserve"> SEQ Figure \* ARABIC </w:instrText>
            </w:r>
            <w:r w:rsidR="00B41499" w:rsidRPr="007F343E">
              <w:rPr>
                <w:rFonts w:cs="Times New Roman"/>
                <w:i/>
                <w:sz w:val="20"/>
              </w:rPr>
              <w:fldChar w:fldCharType="separate"/>
            </w:r>
            <w:r w:rsidR="008E0DB9">
              <w:rPr>
                <w:rFonts w:cs="Times New Roman"/>
                <w:i/>
                <w:noProof/>
                <w:sz w:val="20"/>
              </w:rPr>
              <w:t>5</w:t>
            </w:r>
            <w:r w:rsidR="00B41499" w:rsidRPr="007F343E">
              <w:rPr>
                <w:rFonts w:cs="Times New Roman"/>
                <w:i/>
                <w:sz w:val="20"/>
              </w:rPr>
              <w:fldChar w:fldCharType="end"/>
            </w:r>
            <w:r w:rsidR="003137F8" w:rsidRPr="00613398">
              <w:rPr>
                <w:rFonts w:cs="Times New Roman"/>
                <w:i/>
                <w:sz w:val="20"/>
              </w:rPr>
              <w:t xml:space="preserve">: </w:t>
            </w:r>
            <w:r w:rsidR="003137F8" w:rsidRPr="003137F8">
              <w:rPr>
                <w:rFonts w:cs="Times New Roman"/>
                <w:i/>
                <w:sz w:val="20"/>
              </w:rPr>
              <w:t xml:space="preserve">Australia and the NAA Proposal by </w:t>
            </w:r>
            <w:r w:rsidR="003137F8">
              <w:rPr>
                <w:rFonts w:cs="Times New Roman"/>
                <w:i/>
                <w:sz w:val="20"/>
              </w:rPr>
              <w:t xml:space="preserve">gas species </w:t>
            </w:r>
            <w:r w:rsidR="003137F8" w:rsidRPr="003137F8">
              <w:rPr>
                <w:rFonts w:cs="Times New Roman"/>
                <w:i/>
                <w:sz w:val="20"/>
              </w:rPr>
              <w:t xml:space="preserve">in Mt </w:t>
            </w:r>
            <w:r w:rsidR="003137F8" w:rsidRPr="00C10940">
              <w:rPr>
                <w:rFonts w:cs="Times New Roman"/>
                <w:i/>
                <w:sz w:val="20"/>
              </w:rPr>
              <w:t>CO</w:t>
            </w:r>
            <w:r w:rsidR="003137F8" w:rsidRPr="00C10940">
              <w:rPr>
                <w:rFonts w:cs="Times New Roman"/>
                <w:i/>
                <w:sz w:val="20"/>
                <w:vertAlign w:val="subscript"/>
              </w:rPr>
              <w:t>2</w:t>
            </w:r>
            <w:r w:rsidR="00C10940">
              <w:rPr>
                <w:rFonts w:cs="Times New Roman"/>
                <w:i/>
                <w:sz w:val="20"/>
              </w:rPr>
              <w:t>-</w:t>
            </w:r>
            <w:r w:rsidR="003137F8" w:rsidRPr="00C10940">
              <w:rPr>
                <w:rFonts w:cs="Times New Roman"/>
                <w:i/>
                <w:sz w:val="20"/>
              </w:rPr>
              <w:t>e</w:t>
            </w:r>
            <w:r w:rsidR="003137F8" w:rsidRPr="003137F8">
              <w:rPr>
                <w:rFonts w:cs="Times New Roman"/>
                <w:i/>
                <w:sz w:val="20"/>
              </w:rPr>
              <w:t xml:space="preserve"> based on AR4</w:t>
            </w:r>
            <w:r w:rsidR="003137F8">
              <w:rPr>
                <w:rFonts w:cs="Times New Roman"/>
                <w:i/>
                <w:sz w:val="20"/>
              </w:rPr>
              <w:t>.</w:t>
            </w:r>
            <w:bookmarkEnd w:id="14"/>
          </w:p>
        </w:tc>
      </w:tr>
    </w:tbl>
    <w:p w:rsidR="009C2781" w:rsidRDefault="009C2781" w:rsidP="009C2781">
      <w:pPr>
        <w:rPr>
          <w:rFonts w:cs="Times New Roman"/>
          <w:szCs w:val="22"/>
        </w:rPr>
      </w:pPr>
    </w:p>
    <w:p w:rsidR="00EE7972" w:rsidRDefault="00EE7972" w:rsidP="00EE7972">
      <w:pPr>
        <w:spacing w:before="0"/>
        <w:jc w:val="left"/>
        <w:rPr>
          <w:rFonts w:cs="Times New Roman"/>
          <w:szCs w:val="22"/>
        </w:rPr>
      </w:pPr>
      <w:r>
        <w:rPr>
          <w:rFonts w:cs="Times New Roman"/>
          <w:szCs w:val="22"/>
        </w:rPr>
        <w:br w:type="page"/>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65"/>
      </w:tblGrid>
      <w:tr w:rsidR="00EE7972" w:rsidRPr="00613398" w:rsidTr="00EE7972">
        <w:tc>
          <w:tcPr>
            <w:tcW w:w="10065" w:type="dxa"/>
            <w:vAlign w:val="center"/>
          </w:tcPr>
          <w:p w:rsidR="00EE7972" w:rsidRPr="00613398" w:rsidRDefault="00EE7972" w:rsidP="00AE2EDB">
            <w:pPr>
              <w:spacing w:after="120"/>
              <w:jc w:val="center"/>
              <w:rPr>
                <w:rFonts w:cs="Times New Roman"/>
                <w:b/>
              </w:rPr>
            </w:pPr>
            <w:r w:rsidRPr="00613398">
              <w:rPr>
                <w:rFonts w:cs="Times New Roman"/>
                <w:b/>
              </w:rPr>
              <w:br w:type="page"/>
            </w:r>
            <w:r w:rsidR="00A861CE">
              <w:rPr>
                <w:rFonts w:cs="Times New Roman"/>
                <w:b/>
              </w:rPr>
              <w:t xml:space="preserve">Refrigerant bank transition by </w:t>
            </w:r>
            <w:r w:rsidR="003137F8">
              <w:rPr>
                <w:rFonts w:cs="Times New Roman"/>
                <w:b/>
              </w:rPr>
              <w:t xml:space="preserve">gas species based on assumptions </w:t>
            </w:r>
            <w:r w:rsidR="00AE2EDB">
              <w:rPr>
                <w:rFonts w:cs="Times New Roman"/>
                <w:b/>
              </w:rPr>
              <w:t xml:space="preserve">in </w:t>
            </w:r>
            <w:r w:rsidR="00A861CE">
              <w:rPr>
                <w:rFonts w:cs="Times New Roman"/>
                <w:b/>
              </w:rPr>
              <w:t>tonnes</w:t>
            </w:r>
            <w:r w:rsidR="00AE2EDB">
              <w:rPr>
                <w:rFonts w:cs="Times New Roman"/>
                <w:b/>
              </w:rPr>
              <w:t xml:space="preserve"> (above) </w:t>
            </w:r>
            <w:r w:rsidR="00995708">
              <w:rPr>
                <w:rFonts w:cs="Times New Roman"/>
                <w:b/>
              </w:rPr>
              <w:t>and M</w:t>
            </w:r>
            <w:r w:rsidR="00AE2EDB">
              <w:rPr>
                <w:rFonts w:cs="Times New Roman"/>
                <w:b/>
              </w:rPr>
              <w:t>t CO</w:t>
            </w:r>
            <w:r w:rsidR="00AE2EDB" w:rsidRPr="00AE2EDB">
              <w:rPr>
                <w:rFonts w:cs="Times New Roman"/>
                <w:b/>
                <w:vertAlign w:val="subscript"/>
              </w:rPr>
              <w:t>2</w:t>
            </w:r>
            <w:r w:rsidR="00977C4A" w:rsidRPr="001C7B87">
              <w:rPr>
                <w:rFonts w:cs="Times New Roman"/>
                <w:b/>
              </w:rPr>
              <w:t>-</w:t>
            </w:r>
            <w:r w:rsidR="00AE2EDB">
              <w:rPr>
                <w:rFonts w:cs="Times New Roman"/>
                <w:b/>
              </w:rPr>
              <w:t>e (below</w:t>
            </w:r>
            <w:r w:rsidR="00A861CE">
              <w:rPr>
                <w:rFonts w:cs="Times New Roman"/>
                <w:b/>
              </w:rPr>
              <w:t>)</w:t>
            </w:r>
            <w:r w:rsidRPr="00613398">
              <w:rPr>
                <w:rFonts w:cs="Times New Roman"/>
                <w:b/>
              </w:rPr>
              <w:t xml:space="preserve"> </w:t>
            </w:r>
          </w:p>
        </w:tc>
      </w:tr>
      <w:tr w:rsidR="00EE7972" w:rsidRPr="00923150" w:rsidTr="00EE7972">
        <w:tc>
          <w:tcPr>
            <w:tcW w:w="10065" w:type="dxa"/>
            <w:vAlign w:val="center"/>
          </w:tcPr>
          <w:p w:rsidR="00EE7972" w:rsidRDefault="00EE7972" w:rsidP="00EE7972">
            <w:pPr>
              <w:spacing w:before="0"/>
              <w:jc w:val="center"/>
              <w:rPr>
                <w:sz w:val="16"/>
                <w:szCs w:val="16"/>
              </w:rPr>
            </w:pPr>
          </w:p>
          <w:p w:rsidR="00EE7972" w:rsidRDefault="003137F8" w:rsidP="00EE7972">
            <w:pPr>
              <w:spacing w:before="0"/>
              <w:jc w:val="center"/>
              <w:rPr>
                <w:sz w:val="16"/>
                <w:szCs w:val="16"/>
              </w:rPr>
            </w:pPr>
            <w:r>
              <w:rPr>
                <w:noProof/>
                <w:lang w:val="en-AU" w:eastAsia="en-AU"/>
              </w:rPr>
              <w:drawing>
                <wp:inline distT="0" distB="0" distL="0" distR="0">
                  <wp:extent cx="6172200" cy="2988733"/>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E7972" w:rsidRDefault="00EE7972" w:rsidP="00EE7972">
            <w:pPr>
              <w:spacing w:before="0"/>
              <w:jc w:val="center"/>
              <w:rPr>
                <w:sz w:val="16"/>
                <w:szCs w:val="16"/>
              </w:rPr>
            </w:pPr>
          </w:p>
        </w:tc>
      </w:tr>
      <w:tr w:rsidR="00995708" w:rsidRPr="003F61A2" w:rsidTr="00EE7972">
        <w:tc>
          <w:tcPr>
            <w:tcW w:w="10065" w:type="dxa"/>
            <w:vAlign w:val="center"/>
          </w:tcPr>
          <w:p w:rsidR="00995708" w:rsidRPr="007F343E" w:rsidRDefault="00995708" w:rsidP="003137F8">
            <w:pPr>
              <w:spacing w:before="60" w:after="60"/>
              <w:rPr>
                <w:rFonts w:cs="Times New Roman"/>
                <w:i/>
                <w:sz w:val="20"/>
              </w:rPr>
            </w:pPr>
            <w:bookmarkStart w:id="15" w:name="_Toc257359974"/>
            <w:r w:rsidRPr="007F343E">
              <w:rPr>
                <w:rFonts w:cs="Times New Roman"/>
                <w:i/>
                <w:sz w:val="20"/>
              </w:rPr>
              <w:t xml:space="preserve">Figure </w:t>
            </w:r>
            <w:r w:rsidR="00B41499" w:rsidRPr="007F343E">
              <w:rPr>
                <w:rFonts w:cs="Times New Roman"/>
                <w:i/>
                <w:sz w:val="20"/>
              </w:rPr>
              <w:fldChar w:fldCharType="begin"/>
            </w:r>
            <w:r w:rsidRPr="007F343E">
              <w:rPr>
                <w:rFonts w:cs="Times New Roman"/>
                <w:i/>
                <w:sz w:val="20"/>
              </w:rPr>
              <w:instrText xml:space="preserve"> SEQ Figure \* ARABIC </w:instrText>
            </w:r>
            <w:r w:rsidR="00B41499" w:rsidRPr="007F343E">
              <w:rPr>
                <w:rFonts w:cs="Times New Roman"/>
                <w:i/>
                <w:sz w:val="20"/>
              </w:rPr>
              <w:fldChar w:fldCharType="separate"/>
            </w:r>
            <w:r w:rsidR="008E0DB9">
              <w:rPr>
                <w:rFonts w:cs="Times New Roman"/>
                <w:i/>
                <w:noProof/>
                <w:sz w:val="20"/>
              </w:rPr>
              <w:t>6</w:t>
            </w:r>
            <w:r w:rsidR="00B41499" w:rsidRPr="007F343E">
              <w:rPr>
                <w:rFonts w:cs="Times New Roman"/>
                <w:i/>
                <w:sz w:val="20"/>
              </w:rPr>
              <w:fldChar w:fldCharType="end"/>
            </w:r>
            <w:r w:rsidRPr="003137F8">
              <w:rPr>
                <w:rFonts w:cs="Times New Roman"/>
                <w:i/>
                <w:sz w:val="20"/>
              </w:rPr>
              <w:t>: Refrigerant bank transition from 2013 to 2025 by gas species in tonnes</w:t>
            </w:r>
            <w:r>
              <w:rPr>
                <w:rFonts w:cs="Times New Roman"/>
                <w:i/>
                <w:sz w:val="20"/>
              </w:rPr>
              <w:t xml:space="preserve"> based on model assumptions</w:t>
            </w:r>
            <w:r w:rsidRPr="003137F8">
              <w:rPr>
                <w:rFonts w:cs="Times New Roman"/>
                <w:i/>
                <w:sz w:val="20"/>
              </w:rPr>
              <w:t>.</w:t>
            </w:r>
            <w:bookmarkEnd w:id="15"/>
          </w:p>
        </w:tc>
      </w:tr>
      <w:tr w:rsidR="00995708" w:rsidRPr="00995708" w:rsidTr="00EE7972">
        <w:tc>
          <w:tcPr>
            <w:tcW w:w="10065" w:type="dxa"/>
            <w:vAlign w:val="center"/>
          </w:tcPr>
          <w:p w:rsidR="00995708" w:rsidRPr="00995708" w:rsidRDefault="00995708" w:rsidP="00995708">
            <w:pPr>
              <w:spacing w:before="0"/>
              <w:jc w:val="center"/>
              <w:rPr>
                <w:rFonts w:cs="Times New Roman"/>
                <w:sz w:val="16"/>
                <w:szCs w:val="16"/>
              </w:rPr>
            </w:pPr>
          </w:p>
          <w:p w:rsidR="00995708" w:rsidRPr="00995708" w:rsidRDefault="00AE2EDB" w:rsidP="00995708">
            <w:pPr>
              <w:spacing w:before="0"/>
              <w:jc w:val="center"/>
              <w:rPr>
                <w:rFonts w:cs="Times New Roman"/>
                <w:sz w:val="16"/>
                <w:szCs w:val="16"/>
              </w:rPr>
            </w:pPr>
            <w:r>
              <w:rPr>
                <w:noProof/>
                <w:lang w:val="en-AU" w:eastAsia="en-AU"/>
              </w:rPr>
              <w:drawing>
                <wp:inline distT="0" distB="0" distL="0" distR="0">
                  <wp:extent cx="6172200" cy="272605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95708" w:rsidRPr="00995708" w:rsidRDefault="00995708" w:rsidP="00995708">
            <w:pPr>
              <w:spacing w:before="0"/>
              <w:jc w:val="center"/>
              <w:rPr>
                <w:rFonts w:cs="Times New Roman"/>
                <w:sz w:val="16"/>
                <w:szCs w:val="16"/>
              </w:rPr>
            </w:pPr>
          </w:p>
        </w:tc>
      </w:tr>
      <w:tr w:rsidR="00EE7972" w:rsidRPr="003F61A2" w:rsidTr="00EE7972">
        <w:tc>
          <w:tcPr>
            <w:tcW w:w="10065" w:type="dxa"/>
            <w:vAlign w:val="center"/>
          </w:tcPr>
          <w:p w:rsidR="00EE7972" w:rsidRPr="003F61A2" w:rsidRDefault="00995708" w:rsidP="00995708">
            <w:pPr>
              <w:spacing w:before="60" w:after="60"/>
              <w:rPr>
                <w:rFonts w:cs="Times New Roman"/>
                <w:i/>
                <w:sz w:val="20"/>
              </w:rPr>
            </w:pPr>
            <w:bookmarkStart w:id="16" w:name="_Toc257359975"/>
            <w:r w:rsidRPr="007F343E">
              <w:rPr>
                <w:rFonts w:cs="Times New Roman"/>
                <w:i/>
                <w:sz w:val="20"/>
              </w:rPr>
              <w:t xml:space="preserve">Figure </w:t>
            </w:r>
            <w:r w:rsidR="00B41499" w:rsidRPr="007F343E">
              <w:rPr>
                <w:rFonts w:cs="Times New Roman"/>
                <w:i/>
                <w:sz w:val="20"/>
              </w:rPr>
              <w:fldChar w:fldCharType="begin"/>
            </w:r>
            <w:r w:rsidRPr="007F343E">
              <w:rPr>
                <w:rFonts w:cs="Times New Roman"/>
                <w:i/>
                <w:sz w:val="20"/>
              </w:rPr>
              <w:instrText xml:space="preserve"> SEQ Figure \* ARABIC </w:instrText>
            </w:r>
            <w:r w:rsidR="00B41499" w:rsidRPr="007F343E">
              <w:rPr>
                <w:rFonts w:cs="Times New Roman"/>
                <w:i/>
                <w:sz w:val="20"/>
              </w:rPr>
              <w:fldChar w:fldCharType="separate"/>
            </w:r>
            <w:r w:rsidR="008E0DB9">
              <w:rPr>
                <w:rFonts w:cs="Times New Roman"/>
                <w:i/>
                <w:noProof/>
                <w:sz w:val="20"/>
              </w:rPr>
              <w:t>7</w:t>
            </w:r>
            <w:r w:rsidR="00B41499" w:rsidRPr="007F343E">
              <w:rPr>
                <w:rFonts w:cs="Times New Roman"/>
                <w:i/>
                <w:sz w:val="20"/>
              </w:rPr>
              <w:fldChar w:fldCharType="end"/>
            </w:r>
            <w:r w:rsidRPr="003137F8">
              <w:rPr>
                <w:rFonts w:cs="Times New Roman"/>
                <w:i/>
                <w:sz w:val="20"/>
              </w:rPr>
              <w:t xml:space="preserve">: Refrigerant bank transition from 2013 to 2025 by gas species in </w:t>
            </w:r>
            <w:r w:rsidR="00AE2EDB">
              <w:rPr>
                <w:rFonts w:cs="Times New Roman"/>
                <w:i/>
                <w:sz w:val="20"/>
              </w:rPr>
              <w:t xml:space="preserve">Mt </w:t>
            </w:r>
            <w:r>
              <w:rPr>
                <w:rFonts w:cs="Times New Roman"/>
                <w:i/>
                <w:sz w:val="20"/>
              </w:rPr>
              <w:t>CO</w:t>
            </w:r>
            <w:r w:rsidRPr="00AE2EDB">
              <w:rPr>
                <w:rFonts w:cs="Times New Roman"/>
                <w:i/>
                <w:sz w:val="20"/>
                <w:vertAlign w:val="subscript"/>
              </w:rPr>
              <w:t>2</w:t>
            </w:r>
            <w:r w:rsidR="00977C4A" w:rsidRPr="001C7B87">
              <w:rPr>
                <w:rFonts w:cs="Times New Roman"/>
                <w:i/>
                <w:sz w:val="20"/>
              </w:rPr>
              <w:t>-</w:t>
            </w:r>
            <w:r>
              <w:rPr>
                <w:rFonts w:cs="Times New Roman"/>
                <w:i/>
                <w:sz w:val="20"/>
              </w:rPr>
              <w:t>e (AR4) based on model assumptions</w:t>
            </w:r>
            <w:r w:rsidRPr="003137F8">
              <w:rPr>
                <w:rFonts w:cs="Times New Roman"/>
                <w:i/>
                <w:sz w:val="20"/>
              </w:rPr>
              <w:t>.</w:t>
            </w:r>
            <w:bookmarkEnd w:id="16"/>
          </w:p>
        </w:tc>
      </w:tr>
    </w:tbl>
    <w:p w:rsidR="00A861CE" w:rsidRDefault="00A861CE" w:rsidP="00A861CE">
      <w:pPr>
        <w:spacing w:before="0"/>
        <w:jc w:val="left"/>
        <w:rPr>
          <w:rFonts w:cs="Times New Roman"/>
          <w:szCs w:val="22"/>
        </w:rPr>
      </w:pPr>
    </w:p>
    <w:p w:rsidR="00F81A1A" w:rsidRDefault="00F81A1A" w:rsidP="00F81A1A">
      <w:pPr>
        <w:rPr>
          <w:szCs w:val="22"/>
        </w:rPr>
      </w:pPr>
      <w:r>
        <w:rPr>
          <w:szCs w:val="22"/>
        </w:rPr>
        <w:t>The Expert Group stock model of RAC equipment in the Australian economy provides a starting point for the projections of changes in the size and make-up of the bank of refrigerant gases in the economy.</w:t>
      </w:r>
    </w:p>
    <w:p w:rsidR="0057797B" w:rsidRDefault="00F81A1A" w:rsidP="00AE2EDB">
      <w:pPr>
        <w:rPr>
          <w:szCs w:val="22"/>
        </w:rPr>
      </w:pPr>
      <w:r>
        <w:rPr>
          <w:szCs w:val="22"/>
        </w:rPr>
        <w:t xml:space="preserve">As illustrated above in </w:t>
      </w:r>
      <w:r w:rsidRPr="00C21235">
        <w:rPr>
          <w:i/>
          <w:szCs w:val="22"/>
        </w:rPr>
        <w:t xml:space="preserve">Figure </w:t>
      </w:r>
      <w:r w:rsidR="0057797B">
        <w:rPr>
          <w:i/>
          <w:szCs w:val="22"/>
        </w:rPr>
        <w:t>5</w:t>
      </w:r>
      <w:r>
        <w:rPr>
          <w:szCs w:val="22"/>
        </w:rPr>
        <w:t xml:space="preserve"> the starting point in 2013 is a bank of all working gas (excluding ammonia in industrial refrigeration) of approximately 46,</w:t>
      </w:r>
      <w:r w:rsidR="0057797B">
        <w:rPr>
          <w:szCs w:val="22"/>
        </w:rPr>
        <w:t>5</w:t>
      </w:r>
      <w:r w:rsidRPr="0023014D">
        <w:rPr>
          <w:szCs w:val="22"/>
        </w:rPr>
        <w:t>00</w:t>
      </w:r>
      <w:r>
        <w:rPr>
          <w:szCs w:val="22"/>
        </w:rPr>
        <w:t xml:space="preserve"> tonnes. This bank continues to grow, although with significant changes to the composition of the bank over the projection period, as nil and low</w:t>
      </w:r>
      <w:r w:rsidR="0057797B">
        <w:rPr>
          <w:szCs w:val="22"/>
        </w:rPr>
        <w:t>er</w:t>
      </w:r>
      <w:r>
        <w:rPr>
          <w:szCs w:val="22"/>
        </w:rPr>
        <w:t xml:space="preserve"> GWP refrigerants continue to improve market share, and with the commercial release of additional 4</w:t>
      </w:r>
      <w:r w:rsidRPr="00B208AD">
        <w:rPr>
          <w:szCs w:val="22"/>
          <w:vertAlign w:val="superscript"/>
        </w:rPr>
        <w:t>th</w:t>
      </w:r>
      <w:r>
        <w:rPr>
          <w:szCs w:val="22"/>
        </w:rPr>
        <w:t xml:space="preserve"> generation low GWP HFO refrigerants over the next </w:t>
      </w:r>
      <w:r w:rsidR="0057797B">
        <w:rPr>
          <w:szCs w:val="22"/>
        </w:rPr>
        <w:t>1</w:t>
      </w:r>
      <w:r>
        <w:rPr>
          <w:szCs w:val="22"/>
        </w:rPr>
        <w:t xml:space="preserve"> to 5 years.</w:t>
      </w:r>
    </w:p>
    <w:p w:rsidR="0057797B" w:rsidRDefault="0057797B" w:rsidP="00AE2EDB">
      <w:pPr>
        <w:jc w:val="left"/>
        <w:rPr>
          <w:rFonts w:cs="Times New Roman"/>
          <w:szCs w:val="22"/>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65"/>
      </w:tblGrid>
      <w:tr w:rsidR="00A861CE" w:rsidRPr="00613398" w:rsidTr="00932222">
        <w:tc>
          <w:tcPr>
            <w:tcW w:w="10065" w:type="dxa"/>
            <w:vAlign w:val="center"/>
          </w:tcPr>
          <w:p w:rsidR="00A861CE" w:rsidRPr="00613398" w:rsidRDefault="00A861CE" w:rsidP="003137F8">
            <w:pPr>
              <w:spacing w:after="120"/>
              <w:jc w:val="center"/>
              <w:rPr>
                <w:rFonts w:cs="Times New Roman"/>
                <w:b/>
              </w:rPr>
            </w:pPr>
            <w:r w:rsidRPr="00613398">
              <w:rPr>
                <w:rFonts w:cs="Times New Roman"/>
                <w:b/>
              </w:rPr>
              <w:br w:type="page"/>
            </w:r>
            <w:r>
              <w:rPr>
                <w:rFonts w:cs="Times New Roman"/>
                <w:b/>
              </w:rPr>
              <w:t xml:space="preserve">Projected refrigerant consumption by </w:t>
            </w:r>
            <w:r w:rsidR="003137F8">
              <w:rPr>
                <w:rFonts w:cs="Times New Roman"/>
                <w:b/>
              </w:rPr>
              <w:t xml:space="preserve">species </w:t>
            </w:r>
            <w:r>
              <w:rPr>
                <w:rFonts w:cs="Times New Roman"/>
                <w:b/>
              </w:rPr>
              <w:t>based on assumptions (tonnes)</w:t>
            </w:r>
            <w:r w:rsidRPr="00613398">
              <w:rPr>
                <w:rFonts w:cs="Times New Roman"/>
                <w:b/>
              </w:rPr>
              <w:t xml:space="preserve"> </w:t>
            </w:r>
          </w:p>
        </w:tc>
      </w:tr>
      <w:tr w:rsidR="00A861CE" w:rsidRPr="00923150" w:rsidTr="00932222">
        <w:tc>
          <w:tcPr>
            <w:tcW w:w="10065" w:type="dxa"/>
            <w:vAlign w:val="center"/>
          </w:tcPr>
          <w:p w:rsidR="00A861CE" w:rsidRDefault="00A861CE" w:rsidP="00932222">
            <w:pPr>
              <w:spacing w:before="0"/>
              <w:jc w:val="center"/>
              <w:rPr>
                <w:sz w:val="16"/>
                <w:szCs w:val="16"/>
              </w:rPr>
            </w:pPr>
          </w:p>
          <w:p w:rsidR="00A861CE" w:rsidRDefault="003137F8" w:rsidP="00932222">
            <w:pPr>
              <w:spacing w:before="0"/>
              <w:jc w:val="center"/>
              <w:rPr>
                <w:sz w:val="16"/>
                <w:szCs w:val="16"/>
              </w:rPr>
            </w:pPr>
            <w:r>
              <w:rPr>
                <w:noProof/>
                <w:lang w:val="en-AU" w:eastAsia="en-AU"/>
              </w:rPr>
              <w:drawing>
                <wp:inline distT="0" distB="0" distL="0" distR="0">
                  <wp:extent cx="6181090" cy="2929255"/>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861CE" w:rsidRDefault="00A861CE" w:rsidP="00932222">
            <w:pPr>
              <w:spacing w:before="0"/>
              <w:jc w:val="center"/>
              <w:rPr>
                <w:sz w:val="16"/>
                <w:szCs w:val="16"/>
              </w:rPr>
            </w:pPr>
          </w:p>
        </w:tc>
      </w:tr>
      <w:tr w:rsidR="00A861CE" w:rsidRPr="00A861CE" w:rsidTr="00932222">
        <w:tc>
          <w:tcPr>
            <w:tcW w:w="10065" w:type="dxa"/>
            <w:vAlign w:val="center"/>
          </w:tcPr>
          <w:p w:rsidR="00A861CE" w:rsidRPr="00A861CE" w:rsidRDefault="00A861CE" w:rsidP="00932222">
            <w:pPr>
              <w:spacing w:before="60" w:after="60"/>
              <w:rPr>
                <w:rFonts w:cs="Times New Roman"/>
                <w:sz w:val="20"/>
              </w:rPr>
            </w:pPr>
            <w:r w:rsidRPr="00A861CE">
              <w:rPr>
                <w:rFonts w:cs="Times New Roman"/>
                <w:sz w:val="20"/>
              </w:rPr>
              <w:t>Note includes projected consumption from Foams, Fire protection, aerosols and other applications.</w:t>
            </w:r>
          </w:p>
        </w:tc>
      </w:tr>
      <w:tr w:rsidR="00A861CE" w:rsidRPr="003F61A2" w:rsidTr="00932222">
        <w:tc>
          <w:tcPr>
            <w:tcW w:w="10065" w:type="dxa"/>
            <w:vAlign w:val="center"/>
          </w:tcPr>
          <w:p w:rsidR="00A861CE" w:rsidRPr="003F61A2" w:rsidRDefault="00AE2EDB" w:rsidP="00F4221A">
            <w:pPr>
              <w:spacing w:before="60" w:after="60"/>
              <w:rPr>
                <w:rFonts w:cs="Times New Roman"/>
                <w:i/>
                <w:sz w:val="20"/>
              </w:rPr>
            </w:pPr>
            <w:bookmarkStart w:id="17" w:name="_Toc257359976"/>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8</w:t>
            </w:r>
            <w:r w:rsidR="00B41499" w:rsidRPr="00F4221A">
              <w:rPr>
                <w:rFonts w:cs="Times New Roman"/>
                <w:i/>
                <w:sz w:val="20"/>
              </w:rPr>
              <w:fldChar w:fldCharType="end"/>
            </w:r>
            <w:r w:rsidR="00A861CE" w:rsidRPr="00F4221A">
              <w:rPr>
                <w:rFonts w:cs="Times New Roman"/>
                <w:i/>
                <w:sz w:val="20"/>
              </w:rPr>
              <w:t xml:space="preserve">: </w:t>
            </w:r>
            <w:r w:rsidR="003137F8" w:rsidRPr="00F4221A">
              <w:rPr>
                <w:rFonts w:cs="Times New Roman"/>
                <w:i/>
                <w:sz w:val="20"/>
              </w:rPr>
              <w:t>Projected</w:t>
            </w:r>
            <w:r w:rsidR="003137F8">
              <w:rPr>
                <w:rFonts w:cs="Times New Roman"/>
                <w:i/>
                <w:sz w:val="20"/>
              </w:rPr>
              <w:t xml:space="preserve"> r</w:t>
            </w:r>
            <w:r w:rsidR="003137F8" w:rsidRPr="003137F8">
              <w:rPr>
                <w:rFonts w:cs="Times New Roman"/>
                <w:i/>
                <w:sz w:val="20"/>
              </w:rPr>
              <w:t xml:space="preserve">efrigerant </w:t>
            </w:r>
            <w:r w:rsidR="003137F8">
              <w:rPr>
                <w:rFonts w:cs="Times New Roman"/>
                <w:i/>
                <w:sz w:val="20"/>
              </w:rPr>
              <w:t xml:space="preserve">consumption </w:t>
            </w:r>
            <w:r w:rsidR="003137F8" w:rsidRPr="003137F8">
              <w:rPr>
                <w:rFonts w:cs="Times New Roman"/>
                <w:i/>
                <w:sz w:val="20"/>
              </w:rPr>
              <w:t>from 2013 to 2025 by gas species in tonnes</w:t>
            </w:r>
            <w:r w:rsidR="003137F8">
              <w:rPr>
                <w:rFonts w:cs="Times New Roman"/>
                <w:i/>
                <w:sz w:val="20"/>
              </w:rPr>
              <w:t xml:space="preserve"> based on model assumptions</w:t>
            </w:r>
            <w:r w:rsidR="003137F8" w:rsidRPr="003137F8">
              <w:rPr>
                <w:rFonts w:cs="Times New Roman"/>
                <w:i/>
                <w:sz w:val="20"/>
              </w:rPr>
              <w:t>.</w:t>
            </w:r>
            <w:bookmarkEnd w:id="17"/>
          </w:p>
        </w:tc>
      </w:tr>
    </w:tbl>
    <w:p w:rsidR="00A861CE" w:rsidRDefault="00A861CE" w:rsidP="00AE2EDB">
      <w:pPr>
        <w:tabs>
          <w:tab w:val="left" w:pos="2410"/>
        </w:tabs>
        <w:rPr>
          <w:rFonts w:cs="Times New Roman"/>
          <w:szCs w:val="22"/>
        </w:rPr>
      </w:pPr>
    </w:p>
    <w:p w:rsidR="00E17CBF" w:rsidRPr="002E2FCB" w:rsidRDefault="00E17CBF" w:rsidP="00E17CBF">
      <w:pPr>
        <w:spacing w:after="120"/>
        <w:rPr>
          <w:i/>
        </w:rPr>
      </w:pPr>
      <w:r w:rsidRPr="002E2FCB">
        <w:t>Efforts to project the rate and success of commercialisation of alternative technologies that are currently ‘under development’ will always carry greater uncertainties than</w:t>
      </w:r>
      <w:r>
        <w:t xml:space="preserve"> projections of</w:t>
      </w:r>
      <w:r w:rsidRPr="002E2FCB">
        <w:t xml:space="preserve"> those for which commercial supply is already established. These uncertainties can be both in terms of available quantities and timing or market release. The eventual price of a product under development is always a considerable source of uncertainty which will be </w:t>
      </w:r>
      <w:r w:rsidR="00213D35">
        <w:t>affected</w:t>
      </w:r>
      <w:r w:rsidR="00213D35" w:rsidRPr="002E2FCB">
        <w:t xml:space="preserve"> </w:t>
      </w:r>
      <w:r w:rsidRPr="002E2FCB">
        <w:t xml:space="preserve">by a range of issues such as the scale of investment in initial production, the rate of adoption, and the development of supply lines against incumbent competition and technologies, all of which go towards changing the dynamics of the supply/demand relationship.      </w:t>
      </w:r>
    </w:p>
    <w:p w:rsidR="00E17CBF" w:rsidRDefault="00E17CBF" w:rsidP="00E17CBF">
      <w:pPr>
        <w:rPr>
          <w:szCs w:val="22"/>
        </w:rPr>
      </w:pPr>
      <w:r w:rsidRPr="00E1141B">
        <w:rPr>
          <w:szCs w:val="22"/>
        </w:rPr>
        <w:t xml:space="preserve">A level of confidence </w:t>
      </w:r>
      <w:r>
        <w:rPr>
          <w:szCs w:val="22"/>
        </w:rPr>
        <w:t xml:space="preserve">for projections of the rate of change and transition path in each </w:t>
      </w:r>
      <w:r w:rsidRPr="00E1141B">
        <w:rPr>
          <w:szCs w:val="22"/>
        </w:rPr>
        <w:t>sector and sub-sector ha</w:t>
      </w:r>
      <w:r>
        <w:rPr>
          <w:szCs w:val="22"/>
        </w:rPr>
        <w:t xml:space="preserve">s </w:t>
      </w:r>
      <w:r w:rsidRPr="00E1141B">
        <w:rPr>
          <w:szCs w:val="22"/>
        </w:rPr>
        <w:t>been provided</w:t>
      </w:r>
      <w:r>
        <w:rPr>
          <w:szCs w:val="22"/>
        </w:rPr>
        <w:t xml:space="preserve"> in the later sections of this report. </w:t>
      </w:r>
      <w:r w:rsidRPr="00E1141B">
        <w:rPr>
          <w:szCs w:val="22"/>
        </w:rPr>
        <w:t xml:space="preserve">These are necessarily somewhat qualitative, but in general terms, where a technology is commercially established and any technical complexities have been dealt with by industry, thus becoming routine in day-to-day practice, a high level of confidence in the projected outcome is likely. At the same time, technology that is more competitive in its market niche can overtake even technology well established in the early stages of commercial deployment. </w:t>
      </w:r>
    </w:p>
    <w:p w:rsidR="00E17CBF" w:rsidRPr="00E1141B" w:rsidRDefault="00E17CBF" w:rsidP="00E17CBF">
      <w:pPr>
        <w:rPr>
          <w:szCs w:val="22"/>
        </w:rPr>
      </w:pPr>
      <w:r w:rsidRPr="00E1141B">
        <w:rPr>
          <w:szCs w:val="22"/>
        </w:rPr>
        <w:t xml:space="preserve">Where a technology has been tested and demonstrated as effective, but is not yet established as </w:t>
      </w:r>
      <w:r>
        <w:rPr>
          <w:szCs w:val="22"/>
        </w:rPr>
        <w:t xml:space="preserve">a </w:t>
      </w:r>
      <w:r w:rsidRPr="00E1141B">
        <w:rPr>
          <w:szCs w:val="22"/>
        </w:rPr>
        <w:t xml:space="preserve">commercial option, and does not appear to have any significant technical complexities, confidence in the projections of its uptake are likely to be medium. Where a technology </w:t>
      </w:r>
      <w:r>
        <w:rPr>
          <w:szCs w:val="22"/>
        </w:rPr>
        <w:t xml:space="preserve">is </w:t>
      </w:r>
      <w:r w:rsidRPr="00E1141B">
        <w:rPr>
          <w:szCs w:val="22"/>
        </w:rPr>
        <w:t>at demonstrated but pre-commercial state has some apparent technical challenges or possible regulatory limitations and complexities to overcome, confidence in the projections of uptake is likely to be lower.</w:t>
      </w:r>
    </w:p>
    <w:p w:rsidR="00E17CBF" w:rsidRPr="00E1141B" w:rsidRDefault="00E17CBF" w:rsidP="00E17CBF">
      <w:pPr>
        <w:rPr>
          <w:szCs w:val="22"/>
        </w:rPr>
      </w:pPr>
      <w:r w:rsidRPr="00E1141B">
        <w:rPr>
          <w:szCs w:val="22"/>
        </w:rPr>
        <w:t xml:space="preserve">Working through the many options that go into a projection of a sector or sub-sector technology mix, and then ascribing a </w:t>
      </w:r>
      <w:r>
        <w:rPr>
          <w:szCs w:val="22"/>
        </w:rPr>
        <w:t xml:space="preserve">level of </w:t>
      </w:r>
      <w:r w:rsidRPr="00E1141B">
        <w:rPr>
          <w:szCs w:val="22"/>
        </w:rPr>
        <w:t xml:space="preserve">confidence to the outcomes in that sector, is a judgement made by the </w:t>
      </w:r>
      <w:r>
        <w:rPr>
          <w:szCs w:val="22"/>
        </w:rPr>
        <w:t>authors</w:t>
      </w:r>
      <w:r w:rsidRPr="00E1141B">
        <w:rPr>
          <w:szCs w:val="22"/>
        </w:rPr>
        <w:t>.</w:t>
      </w:r>
    </w:p>
    <w:p w:rsidR="00E17CBF" w:rsidRDefault="00E17CBF" w:rsidP="00E17CBF">
      <w:pPr>
        <w:rPr>
          <w:szCs w:val="22"/>
        </w:rPr>
      </w:pPr>
      <w:r>
        <w:rPr>
          <w:szCs w:val="22"/>
        </w:rPr>
        <w:t xml:space="preserve">Nonetheless, while the mix of final technology employed will almost certainly diverge from the projections due to influences and circumstances that could not be considered throughout the period of the study, at this stage the Transition Model demonstrates that there are alternatives either in the market now, or on the near commercial horizon, that will be able to provide the majority of RAC services required across the economy using lower or zero GWP refrigerants. </w:t>
      </w:r>
    </w:p>
    <w:p w:rsidR="00E17CBF" w:rsidRDefault="00E17CBF" w:rsidP="00E17CBF">
      <w:pPr>
        <w:rPr>
          <w:szCs w:val="22"/>
        </w:rPr>
      </w:pPr>
      <w:r>
        <w:rPr>
          <w:szCs w:val="22"/>
        </w:rPr>
        <w:t xml:space="preserve">The impact of the changing composition of the bank is illustrated in </w:t>
      </w:r>
      <w:r w:rsidRPr="00C21235">
        <w:rPr>
          <w:i/>
          <w:szCs w:val="22"/>
        </w:rPr>
        <w:t>Figure</w:t>
      </w:r>
      <w:r w:rsidR="00AE2EDB">
        <w:rPr>
          <w:i/>
          <w:szCs w:val="22"/>
        </w:rPr>
        <w:t>s</w:t>
      </w:r>
      <w:r w:rsidRPr="00C21235">
        <w:rPr>
          <w:i/>
          <w:szCs w:val="22"/>
        </w:rPr>
        <w:t xml:space="preserve"> </w:t>
      </w:r>
      <w:r w:rsidR="00AE2EDB">
        <w:rPr>
          <w:i/>
          <w:szCs w:val="22"/>
        </w:rPr>
        <w:t>6 and 7</w:t>
      </w:r>
      <w:r>
        <w:rPr>
          <w:szCs w:val="22"/>
        </w:rPr>
        <w:t xml:space="preserve"> where </w:t>
      </w:r>
      <w:r w:rsidR="005A0ADE">
        <w:rPr>
          <w:szCs w:val="22"/>
        </w:rPr>
        <w:t xml:space="preserve">changing bank is projected out to 2025 </w:t>
      </w:r>
      <w:r w:rsidR="00AE2EDB">
        <w:rPr>
          <w:szCs w:val="22"/>
        </w:rPr>
        <w:t xml:space="preserve">in tonnes </w:t>
      </w:r>
      <w:r w:rsidR="005A0ADE">
        <w:rPr>
          <w:szCs w:val="22"/>
        </w:rPr>
        <w:t xml:space="preserve">and </w:t>
      </w:r>
      <w:r>
        <w:rPr>
          <w:szCs w:val="22"/>
        </w:rPr>
        <w:t>CO</w:t>
      </w:r>
      <w:r w:rsidRPr="004C2620">
        <w:rPr>
          <w:szCs w:val="22"/>
          <w:vertAlign w:val="subscript"/>
        </w:rPr>
        <w:t>2</w:t>
      </w:r>
      <w:r w:rsidR="00977C4A" w:rsidRPr="002E6AC8">
        <w:rPr>
          <w:szCs w:val="22"/>
        </w:rPr>
        <w:t>-</w:t>
      </w:r>
      <w:r>
        <w:rPr>
          <w:szCs w:val="22"/>
        </w:rPr>
        <w:t xml:space="preserve">e value </w:t>
      </w:r>
      <w:r w:rsidR="005A0ADE">
        <w:rPr>
          <w:szCs w:val="22"/>
        </w:rPr>
        <w:t>based on AR4.</w:t>
      </w:r>
      <w:r>
        <w:rPr>
          <w:szCs w:val="22"/>
        </w:rPr>
        <w:t xml:space="preserve"> </w:t>
      </w:r>
    </w:p>
    <w:p w:rsidR="00E17CBF" w:rsidRDefault="00E17CBF" w:rsidP="00E17CBF">
      <w:pPr>
        <w:rPr>
          <w:szCs w:val="22"/>
        </w:rPr>
      </w:pPr>
      <w:r>
        <w:rPr>
          <w:szCs w:val="22"/>
        </w:rPr>
        <w:t xml:space="preserve">It is immediately obvious that the growing wedge of gas with a GWP &lt;10, visible in the top part of the illustration of the refrigerant bank in </w:t>
      </w:r>
      <w:r w:rsidRPr="00C21235">
        <w:rPr>
          <w:i/>
          <w:szCs w:val="22"/>
        </w:rPr>
        <w:t xml:space="preserve">Figure </w:t>
      </w:r>
      <w:r w:rsidR="005A0ADE">
        <w:rPr>
          <w:i/>
          <w:szCs w:val="22"/>
        </w:rPr>
        <w:t>6</w:t>
      </w:r>
      <w:r>
        <w:rPr>
          <w:szCs w:val="22"/>
        </w:rPr>
        <w:t xml:space="preserve">, which is expressed in metric tonnes, effectively becomes invisible when the </w:t>
      </w:r>
      <w:r w:rsidRPr="009C0C40">
        <w:rPr>
          <w:szCs w:val="22"/>
        </w:rPr>
        <w:t>CO</w:t>
      </w:r>
      <w:r w:rsidRPr="009C0C40">
        <w:rPr>
          <w:szCs w:val="22"/>
          <w:vertAlign w:val="subscript"/>
        </w:rPr>
        <w:t>2</w:t>
      </w:r>
      <w:r w:rsidR="009C0C40">
        <w:rPr>
          <w:szCs w:val="22"/>
        </w:rPr>
        <w:t>-</w:t>
      </w:r>
      <w:r w:rsidRPr="009C0C40">
        <w:rPr>
          <w:szCs w:val="22"/>
        </w:rPr>
        <w:t>e</w:t>
      </w:r>
      <w:r>
        <w:rPr>
          <w:szCs w:val="22"/>
        </w:rPr>
        <w:t xml:space="preserve"> value of the bank is calculated as illustrated in the second chart.</w:t>
      </w:r>
    </w:p>
    <w:p w:rsidR="00E17CBF" w:rsidRDefault="00E17CBF" w:rsidP="00E17CBF">
      <w:pPr>
        <w:rPr>
          <w:szCs w:val="22"/>
        </w:rPr>
      </w:pPr>
      <w:r>
        <w:rPr>
          <w:szCs w:val="22"/>
        </w:rPr>
        <w:t>While the bank overall, and the RAC equipment and services demanded in the economy, continues to increase, the CO</w:t>
      </w:r>
      <w:r w:rsidRPr="004C2620">
        <w:rPr>
          <w:szCs w:val="22"/>
          <w:vertAlign w:val="subscript"/>
        </w:rPr>
        <w:t>2</w:t>
      </w:r>
      <w:r w:rsidR="00977C4A" w:rsidRPr="002E6AC8">
        <w:rPr>
          <w:szCs w:val="22"/>
        </w:rPr>
        <w:t>-</w:t>
      </w:r>
      <w:r>
        <w:rPr>
          <w:szCs w:val="22"/>
        </w:rPr>
        <w:t xml:space="preserve">e value of the working bank </w:t>
      </w:r>
      <w:r w:rsidR="005A0ADE">
        <w:rPr>
          <w:szCs w:val="22"/>
        </w:rPr>
        <w:t xml:space="preserve">rises until 2017 then </w:t>
      </w:r>
      <w:r>
        <w:rPr>
          <w:szCs w:val="22"/>
        </w:rPr>
        <w:t>decreases steadily as the second and third generation refrigerants retire and are replaced by nil and lower GWP working gases.</w:t>
      </w:r>
    </w:p>
    <w:p w:rsidR="00E17CBF" w:rsidRDefault="00E17CBF" w:rsidP="00E17CBF">
      <w:pPr>
        <w:rPr>
          <w:rFonts w:cs="Times New Roman"/>
        </w:rPr>
      </w:pPr>
      <w:r>
        <w:rPr>
          <w:rFonts w:cs="Times New Roman"/>
        </w:rPr>
        <w:t xml:space="preserve">The projection of the declining </w:t>
      </w:r>
      <w:r w:rsidRPr="00C21235">
        <w:rPr>
          <w:rFonts w:cs="Times New Roman"/>
        </w:rPr>
        <w:t>CO</w:t>
      </w:r>
      <w:r w:rsidRPr="00C21235">
        <w:rPr>
          <w:rFonts w:cs="Times New Roman"/>
          <w:vertAlign w:val="subscript"/>
        </w:rPr>
        <w:t>2</w:t>
      </w:r>
      <w:r w:rsidR="00977C4A" w:rsidRPr="002E6AC8">
        <w:rPr>
          <w:rFonts w:cs="Times New Roman"/>
        </w:rPr>
        <w:t>-</w:t>
      </w:r>
      <w:r w:rsidRPr="00C21235">
        <w:rPr>
          <w:rFonts w:cs="Times New Roman"/>
        </w:rPr>
        <w:t xml:space="preserve">e value </w:t>
      </w:r>
      <w:r>
        <w:rPr>
          <w:rFonts w:cs="Times New Roman"/>
        </w:rPr>
        <w:t xml:space="preserve">of the bank in </w:t>
      </w:r>
      <w:r w:rsidRPr="00C21235">
        <w:rPr>
          <w:rFonts w:cs="Times New Roman"/>
          <w:i/>
        </w:rPr>
        <w:t xml:space="preserve">Figure </w:t>
      </w:r>
      <w:r w:rsidR="005A0ADE">
        <w:rPr>
          <w:rFonts w:cs="Times New Roman"/>
          <w:i/>
        </w:rPr>
        <w:t>7</w:t>
      </w:r>
      <w:r>
        <w:rPr>
          <w:rFonts w:cs="Times New Roman"/>
        </w:rPr>
        <w:t xml:space="preserve"> above does not reflect overall growth in the total size of the bank. With some exceptions, it is expected that the market for RAC services and technology in Australia will continue to grow at a rate slightly faster than the overall rate of economic growth, even while the aggregate GWP of the bank of working gases falls as new, lower GWP gases are introduced and existing low GWP options take greater market shares.</w:t>
      </w:r>
    </w:p>
    <w:p w:rsidR="00E17CBF" w:rsidRDefault="00E17CBF" w:rsidP="00E17CBF">
      <w:pPr>
        <w:rPr>
          <w:rFonts w:cs="Times New Roman"/>
        </w:rPr>
      </w:pPr>
      <w:r>
        <w:rPr>
          <w:rFonts w:cs="Times New Roman"/>
        </w:rPr>
        <w:t xml:space="preserve">There are a number of factors that have been considered, and no doubt there are factors as yet unforeseen, that could change the actual make up of the working bank in 2025. However there is one important feature of this projection that is obvious and unlikely to change.  The RAC industry is going to see a rapid increase in the number of refrigerant gases, and a rapid diversification in the types of refrigerant gases employed in the economy. It is true that there are dozens of chemicals and gases supplied to the market now for all sorts of specialised applications and tasks. However the vast majority of refrigeration technicians, and many other players in the supply chain, only have to deal with between 3 and 5 of the most common refrigerants on a daily basis, all of which are non-flammable. </w:t>
      </w:r>
    </w:p>
    <w:p w:rsidR="00E17CBF" w:rsidRDefault="00511D18" w:rsidP="00650391">
      <w:pPr>
        <w:rPr>
          <w:rFonts w:cs="Times New Roman"/>
          <w:szCs w:val="22"/>
        </w:rPr>
      </w:pPr>
      <w:r w:rsidRPr="005A0ADE">
        <w:rPr>
          <w:rFonts w:cs="Times New Roman"/>
        </w:rPr>
        <w:t xml:space="preserve">Within five years that number is expected to at least double, in terms of the day to day activities of most people employed in the field, and </w:t>
      </w:r>
      <w:r w:rsidR="005A0ADE">
        <w:rPr>
          <w:rFonts w:cs="Times New Roman"/>
        </w:rPr>
        <w:t>many of the future r</w:t>
      </w:r>
      <w:r w:rsidRPr="005A0ADE">
        <w:rPr>
          <w:rFonts w:cs="Times New Roman"/>
        </w:rPr>
        <w:t>efrigerants expected to be commonly encountered will be at least mildly flammable, or flammable.</w:t>
      </w:r>
      <w:r w:rsidR="00650391">
        <w:rPr>
          <w:rFonts w:cs="Times New Roman"/>
        </w:rPr>
        <w:t xml:space="preserve"> </w:t>
      </w:r>
      <w:r w:rsidR="00E17CBF" w:rsidRPr="00650391">
        <w:rPr>
          <w:rFonts w:cs="Times New Roman"/>
        </w:rPr>
        <w:t xml:space="preserve">This fact has some significant implications for the industry along the length of the supply chain, a subject that is discussed further in the </w:t>
      </w:r>
      <w:r w:rsidR="00650391">
        <w:rPr>
          <w:rFonts w:cs="Times New Roman"/>
        </w:rPr>
        <w:t xml:space="preserve">next </w:t>
      </w:r>
      <w:r w:rsidR="00E17CBF" w:rsidRPr="00650391">
        <w:rPr>
          <w:rFonts w:cs="Times New Roman"/>
        </w:rPr>
        <w:t>sections.</w:t>
      </w:r>
    </w:p>
    <w:p w:rsidR="00E17CBF" w:rsidRDefault="00E17CBF" w:rsidP="00E17CBF">
      <w:pPr>
        <w:spacing w:before="0"/>
        <w:jc w:val="left"/>
        <w:rPr>
          <w:rFonts w:cs="Times New Roman"/>
          <w:szCs w:val="22"/>
        </w:rPr>
      </w:pPr>
    </w:p>
    <w:p w:rsidR="00F84D55" w:rsidRDefault="00F84D55">
      <w:pPr>
        <w:spacing w:before="0"/>
        <w:jc w:val="left"/>
        <w:rPr>
          <w:rFonts w:ascii="Calibri" w:eastAsia="Times New Roman" w:hAnsi="Calibri" w:cs="Times New Roman"/>
          <w:b/>
          <w:bCs/>
          <w:kern w:val="32"/>
          <w:sz w:val="32"/>
          <w:szCs w:val="32"/>
          <w:lang w:val="en-US"/>
        </w:rPr>
      </w:pPr>
      <w:r>
        <w:br w:type="page"/>
      </w:r>
    </w:p>
    <w:p w:rsidR="00F84D55" w:rsidRDefault="00F84D55" w:rsidP="00F84D55">
      <w:pPr>
        <w:pStyle w:val="Heading1"/>
        <w:ind w:left="432"/>
      </w:pPr>
      <w:bookmarkStart w:id="18" w:name="_Toc257359946"/>
      <w:r w:rsidRPr="00C95CD6">
        <w:t>Technical summary</w:t>
      </w:r>
      <w:bookmarkEnd w:id="18"/>
    </w:p>
    <w:p w:rsidR="00F84D55" w:rsidRPr="00F84D55" w:rsidRDefault="005A0ADE" w:rsidP="00F84D55">
      <w:pPr>
        <w:rPr>
          <w:rFonts w:cs="Times New Roman"/>
        </w:rPr>
      </w:pPr>
      <w:r w:rsidRPr="005A0ADE">
        <w:rPr>
          <w:rFonts w:cs="Times New Roman"/>
        </w:rPr>
        <w:t xml:space="preserve">The table in </w:t>
      </w:r>
      <w:r w:rsidRPr="009F4D47">
        <w:rPr>
          <w:rFonts w:cs="Times New Roman"/>
          <w:i/>
        </w:rPr>
        <w:t>Section 3.1</w:t>
      </w:r>
      <w:r w:rsidR="00F84D55" w:rsidRPr="00F84D55">
        <w:rPr>
          <w:rFonts w:cs="Times New Roman"/>
        </w:rPr>
        <w:t xml:space="preserve"> provides a snapshot view of the potential for available low GWP refrigerants, and for those low GWP refrigerants deemed to be close to commercial availability, to be employed in mainstream RAC services. In brief, upon examining the options that are either currently available in new equipment, or have been shown to be viable or, as is the case with HFO blends, are being rapidly developed for commercial release, it is apparent that there are viable options for the majority of mainstream RAC applications to operate on </w:t>
      </w:r>
      <w:r w:rsidR="00F84D55">
        <w:rPr>
          <w:rFonts w:cs="Times New Roman"/>
        </w:rPr>
        <w:t xml:space="preserve">nil or </w:t>
      </w:r>
      <w:r w:rsidR="00F84D55" w:rsidRPr="00F84D55">
        <w:rPr>
          <w:rFonts w:cs="Times New Roman"/>
        </w:rPr>
        <w:t>low</w:t>
      </w:r>
      <w:r w:rsidR="00F84D55">
        <w:rPr>
          <w:rFonts w:cs="Times New Roman"/>
        </w:rPr>
        <w:t>er</w:t>
      </w:r>
      <w:r w:rsidR="00F84D55" w:rsidRPr="00F84D55">
        <w:rPr>
          <w:rFonts w:cs="Times New Roman"/>
        </w:rPr>
        <w:t xml:space="preserve"> GWP refrigerants.</w:t>
      </w:r>
    </w:p>
    <w:p w:rsidR="00F84D55" w:rsidRDefault="00F84D55" w:rsidP="00F84D55">
      <w:pPr>
        <w:rPr>
          <w:rFonts w:cs="Times New Roman"/>
        </w:rPr>
      </w:pPr>
      <w:r w:rsidRPr="00F84D55">
        <w:rPr>
          <w:rFonts w:cs="Times New Roman"/>
        </w:rPr>
        <w:t>Following on from that assessment</w:t>
      </w:r>
      <w:r w:rsidR="009F4D47">
        <w:rPr>
          <w:rFonts w:cs="Times New Roman"/>
        </w:rPr>
        <w:t xml:space="preserve"> </w:t>
      </w:r>
      <w:r w:rsidR="009F4D47" w:rsidRPr="009F4D47">
        <w:rPr>
          <w:rFonts w:cs="Times New Roman"/>
          <w:i/>
        </w:rPr>
        <w:t xml:space="preserve">Section </w:t>
      </w:r>
      <w:r w:rsidRPr="009F4D47">
        <w:rPr>
          <w:rFonts w:cs="Times New Roman"/>
          <w:i/>
        </w:rPr>
        <w:t>3.2</w:t>
      </w:r>
      <w:r w:rsidRPr="009F4D47">
        <w:rPr>
          <w:rFonts w:cs="Times New Roman"/>
        </w:rPr>
        <w:t xml:space="preserve"> provides</w:t>
      </w:r>
      <w:r w:rsidRPr="00F84D55">
        <w:rPr>
          <w:rFonts w:cs="Times New Roman"/>
        </w:rPr>
        <w:t xml:space="preserve"> a summary of the </w:t>
      </w:r>
      <w:r>
        <w:rPr>
          <w:rFonts w:cs="Times New Roman"/>
        </w:rPr>
        <w:t xml:space="preserve">nil and </w:t>
      </w:r>
      <w:r w:rsidRPr="00F84D55">
        <w:rPr>
          <w:rFonts w:cs="Times New Roman"/>
        </w:rPr>
        <w:t>low</w:t>
      </w:r>
      <w:r>
        <w:rPr>
          <w:rFonts w:cs="Times New Roman"/>
        </w:rPr>
        <w:t>er</w:t>
      </w:r>
      <w:r w:rsidRPr="00F84D55">
        <w:rPr>
          <w:rFonts w:cs="Times New Roman"/>
        </w:rPr>
        <w:t xml:space="preserve"> GWP refrigerants that are available including notes on their availability, and any immediate limiting factors or obstacles to their adoption.</w:t>
      </w:r>
    </w:p>
    <w:p w:rsidR="00B1767D" w:rsidRDefault="00D95839" w:rsidP="00F84D55">
      <w:pPr>
        <w:rPr>
          <w:rFonts w:cs="Times New Roman"/>
        </w:rPr>
      </w:pPr>
      <w:r>
        <w:rPr>
          <w:rFonts w:cs="Times New Roman"/>
        </w:rPr>
        <w:t xml:space="preserve">A technical summary </w:t>
      </w:r>
      <w:r w:rsidR="009F4D47">
        <w:rPr>
          <w:rFonts w:cs="Times New Roman"/>
        </w:rPr>
        <w:t xml:space="preserve">is provided at the end of the technical summary in </w:t>
      </w:r>
      <w:r w:rsidR="009F4D47" w:rsidRPr="009F4D47">
        <w:rPr>
          <w:rFonts w:cs="Times New Roman"/>
          <w:i/>
        </w:rPr>
        <w:t>S</w:t>
      </w:r>
      <w:r w:rsidRPr="009F4D47">
        <w:rPr>
          <w:rFonts w:cs="Times New Roman"/>
          <w:i/>
        </w:rPr>
        <w:t>ection 3.6</w:t>
      </w:r>
      <w:r w:rsidR="009F4D47" w:rsidRPr="009F4D47">
        <w:rPr>
          <w:rFonts w:cs="Times New Roman"/>
          <w:i/>
        </w:rPr>
        <w:t xml:space="preserve">, </w:t>
      </w:r>
      <w:r w:rsidRPr="009F4D47">
        <w:rPr>
          <w:rFonts w:cs="Times New Roman"/>
          <w:i/>
        </w:rPr>
        <w:t>Transition map to nil or lower GWP options for main equipment classes and technologies</w:t>
      </w:r>
      <w:r>
        <w:rPr>
          <w:rFonts w:cs="Times New Roman"/>
        </w:rPr>
        <w:t>, which summarises the options currently available (High, lower and nil GWP), the future range of l</w:t>
      </w:r>
      <w:r w:rsidRPr="00B1767D">
        <w:rPr>
          <w:rFonts w:cs="Times New Roman"/>
        </w:rPr>
        <w:t xml:space="preserve">ower </w:t>
      </w:r>
      <w:r>
        <w:rPr>
          <w:rFonts w:cs="Times New Roman"/>
        </w:rPr>
        <w:t xml:space="preserve">and nil </w:t>
      </w:r>
      <w:r w:rsidRPr="00B1767D">
        <w:rPr>
          <w:rFonts w:cs="Times New Roman"/>
        </w:rPr>
        <w:t>GWP options</w:t>
      </w:r>
      <w:r>
        <w:rPr>
          <w:rFonts w:cs="Times New Roman"/>
        </w:rPr>
        <w:t xml:space="preserve"> as well as key comments on each technology path.</w:t>
      </w:r>
    </w:p>
    <w:p w:rsidR="00B1767D" w:rsidRPr="00F84D55" w:rsidRDefault="00B1767D" w:rsidP="00F84D55">
      <w:pPr>
        <w:rPr>
          <w:rFonts w:cs="Times New Roman"/>
        </w:rPr>
      </w:pPr>
    </w:p>
    <w:p w:rsidR="009C2781" w:rsidRDefault="009C2781" w:rsidP="008F2CD7">
      <w:pPr>
        <w:rPr>
          <w:rFonts w:cs="Times New Roman"/>
        </w:rPr>
      </w:pPr>
    </w:p>
    <w:p w:rsidR="009C2781" w:rsidRDefault="009C2781" w:rsidP="008F2CD7">
      <w:pPr>
        <w:rPr>
          <w:rFonts w:cs="Times New Roman"/>
        </w:rPr>
      </w:pPr>
    </w:p>
    <w:p w:rsidR="009C2781" w:rsidRDefault="009C2781" w:rsidP="008F2CD7">
      <w:pPr>
        <w:rPr>
          <w:rFonts w:cs="Times New Roman"/>
        </w:rPr>
      </w:pPr>
    </w:p>
    <w:p w:rsidR="00E72ADE" w:rsidRPr="009E5628" w:rsidRDefault="00E72ADE" w:rsidP="009C2781"/>
    <w:p w:rsidR="00E72ADE" w:rsidRPr="00E72ADE" w:rsidRDefault="00E72ADE" w:rsidP="009C2781"/>
    <w:p w:rsidR="009519E2" w:rsidRPr="001E40E9" w:rsidRDefault="009519E2" w:rsidP="009C2781">
      <w:pPr>
        <w:rPr>
          <w:szCs w:val="22"/>
        </w:rPr>
      </w:pPr>
    </w:p>
    <w:p w:rsidR="009519E2" w:rsidRPr="001E40E9" w:rsidRDefault="009519E2" w:rsidP="009C2781">
      <w:pPr>
        <w:rPr>
          <w:szCs w:val="22"/>
        </w:rPr>
      </w:pPr>
    </w:p>
    <w:p w:rsidR="009519E2" w:rsidRPr="001E40E9" w:rsidRDefault="009519E2" w:rsidP="009519E2">
      <w:pPr>
        <w:sectPr w:rsidR="009519E2" w:rsidRPr="001E40E9" w:rsidSect="00A33C16">
          <w:headerReference w:type="even" r:id="rId35"/>
          <w:headerReference w:type="default" r:id="rId36"/>
          <w:footerReference w:type="default" r:id="rId37"/>
          <w:headerReference w:type="first" r:id="rId38"/>
          <w:footerReference w:type="first" r:id="rId39"/>
          <w:pgSz w:w="12240" w:h="15840"/>
          <w:pgMar w:top="1239" w:right="1134" w:bottom="1440" w:left="1134" w:header="709" w:footer="709" w:gutter="0"/>
          <w:cols w:space="708"/>
          <w:titlePg/>
          <w:docGrid w:linePitch="360"/>
        </w:sectPr>
      </w:pPr>
    </w:p>
    <w:p w:rsidR="009519E2" w:rsidRPr="001E3673" w:rsidRDefault="009519E2" w:rsidP="00A33C16">
      <w:pPr>
        <w:pStyle w:val="Heading2"/>
        <w:spacing w:before="0"/>
        <w:ind w:left="578" w:hanging="578"/>
        <w:rPr>
          <w:i w:val="0"/>
        </w:rPr>
      </w:pPr>
      <w:bookmarkStart w:id="19" w:name="_Toc179623889"/>
      <w:bookmarkStart w:id="20" w:name="_Toc257359947"/>
      <w:r w:rsidRPr="001E3673">
        <w:rPr>
          <w:i w:val="0"/>
        </w:rPr>
        <w:t xml:space="preserve">Current and future potential for </w:t>
      </w:r>
      <w:r w:rsidR="005F464D">
        <w:rPr>
          <w:i w:val="0"/>
        </w:rPr>
        <w:t xml:space="preserve">nil and </w:t>
      </w:r>
      <w:r w:rsidRPr="001E3673">
        <w:rPr>
          <w:i w:val="0"/>
        </w:rPr>
        <w:t>low</w:t>
      </w:r>
      <w:r w:rsidR="005F464D">
        <w:rPr>
          <w:i w:val="0"/>
        </w:rPr>
        <w:t>er</w:t>
      </w:r>
      <w:r w:rsidRPr="001E3673">
        <w:rPr>
          <w:i w:val="0"/>
        </w:rPr>
        <w:t xml:space="preserve"> GWP options</w:t>
      </w:r>
      <w:bookmarkEnd w:id="19"/>
      <w:bookmarkEnd w:id="20"/>
    </w:p>
    <w:tbl>
      <w:tblPr>
        <w:tblW w:w="13325" w:type="dxa"/>
        <w:tblInd w:w="108" w:type="dxa"/>
        <w:tblLayout w:type="fixed"/>
        <w:tblLook w:val="0000"/>
      </w:tblPr>
      <w:tblGrid>
        <w:gridCol w:w="3969"/>
        <w:gridCol w:w="1276"/>
        <w:gridCol w:w="1134"/>
        <w:gridCol w:w="1276"/>
        <w:gridCol w:w="1134"/>
        <w:gridCol w:w="992"/>
        <w:gridCol w:w="992"/>
        <w:gridCol w:w="993"/>
        <w:gridCol w:w="1559"/>
      </w:tblGrid>
      <w:tr w:rsidR="009519E2" w:rsidRPr="00464D36" w:rsidTr="001F56BA">
        <w:trPr>
          <w:trHeight w:val="440"/>
        </w:trPr>
        <w:tc>
          <w:tcPr>
            <w:tcW w:w="3969" w:type="dxa"/>
            <w:vMerge w:val="restart"/>
            <w:tcBorders>
              <w:top w:val="nil"/>
              <w:left w:val="single" w:sz="4" w:space="0" w:color="000000"/>
              <w:bottom w:val="single" w:sz="4" w:space="0" w:color="000000"/>
              <w:right w:val="single" w:sz="4" w:space="0" w:color="FFFFFF"/>
            </w:tcBorders>
            <w:shd w:val="clear" w:color="auto" w:fill="000000"/>
            <w:noWrap/>
            <w:vAlign w:val="center"/>
          </w:tcPr>
          <w:p w:rsidR="009519E2" w:rsidRPr="00464D36" w:rsidRDefault="009519E2" w:rsidP="005F464D">
            <w:pPr>
              <w:spacing w:before="0"/>
              <w:rPr>
                <w:color w:val="FFFFFF"/>
                <w:szCs w:val="20"/>
                <w:lang w:val="en-AU"/>
              </w:rPr>
            </w:pPr>
            <w:r w:rsidRPr="00464D36">
              <w:rPr>
                <w:color w:val="FFFFFF"/>
                <w:szCs w:val="20"/>
                <w:lang w:val="en-AU"/>
              </w:rPr>
              <w:t>Application</w:t>
            </w:r>
          </w:p>
        </w:tc>
        <w:tc>
          <w:tcPr>
            <w:tcW w:w="4820" w:type="dxa"/>
            <w:gridSpan w:val="4"/>
            <w:tcBorders>
              <w:top w:val="single" w:sz="4" w:space="0" w:color="auto"/>
              <w:left w:val="single" w:sz="4" w:space="0" w:color="FFFFFF"/>
              <w:bottom w:val="single" w:sz="4" w:space="0" w:color="FFFFFF"/>
              <w:right w:val="single" w:sz="4" w:space="0" w:color="FFFFFF"/>
            </w:tcBorders>
            <w:shd w:val="clear" w:color="auto" w:fill="000000"/>
            <w:noWrap/>
            <w:vAlign w:val="center"/>
          </w:tcPr>
          <w:p w:rsidR="009519E2" w:rsidRPr="00464D36" w:rsidRDefault="009519E2" w:rsidP="005F464D">
            <w:pPr>
              <w:spacing w:before="0"/>
              <w:jc w:val="center"/>
              <w:rPr>
                <w:szCs w:val="20"/>
                <w:lang w:val="en-AU"/>
              </w:rPr>
            </w:pPr>
            <w:r w:rsidRPr="00464D36">
              <w:rPr>
                <w:szCs w:val="20"/>
                <w:lang w:val="en-AU"/>
              </w:rPr>
              <w:t>Currently available in new equipment</w:t>
            </w:r>
          </w:p>
        </w:tc>
        <w:tc>
          <w:tcPr>
            <w:tcW w:w="4536" w:type="dxa"/>
            <w:gridSpan w:val="4"/>
            <w:tcBorders>
              <w:top w:val="single" w:sz="4" w:space="0" w:color="auto"/>
              <w:left w:val="single" w:sz="4" w:space="0" w:color="FFFFFF"/>
              <w:bottom w:val="single" w:sz="4" w:space="0" w:color="FFFFFF"/>
              <w:right w:val="single" w:sz="4" w:space="0" w:color="auto"/>
            </w:tcBorders>
            <w:shd w:val="clear" w:color="auto" w:fill="000000"/>
            <w:noWrap/>
            <w:vAlign w:val="center"/>
          </w:tcPr>
          <w:p w:rsidR="009519E2" w:rsidRPr="00464D36" w:rsidRDefault="009519E2" w:rsidP="005F464D">
            <w:pPr>
              <w:spacing w:before="0"/>
              <w:jc w:val="center"/>
              <w:rPr>
                <w:szCs w:val="20"/>
                <w:lang w:val="en-AU"/>
              </w:rPr>
            </w:pPr>
            <w:r w:rsidRPr="00464D36">
              <w:rPr>
                <w:szCs w:val="20"/>
                <w:lang w:val="en-AU"/>
              </w:rPr>
              <w:t>Viable and under development</w:t>
            </w:r>
          </w:p>
        </w:tc>
      </w:tr>
      <w:tr w:rsidR="009519E2" w:rsidRPr="00464D36" w:rsidTr="001F56BA">
        <w:trPr>
          <w:trHeight w:val="440"/>
        </w:trPr>
        <w:tc>
          <w:tcPr>
            <w:tcW w:w="3969" w:type="dxa"/>
            <w:vMerge/>
            <w:tcBorders>
              <w:top w:val="single" w:sz="4" w:space="0" w:color="000000"/>
              <w:left w:val="single" w:sz="4" w:space="0" w:color="000000"/>
              <w:bottom w:val="single" w:sz="4" w:space="0" w:color="000000"/>
              <w:right w:val="single" w:sz="4" w:space="0" w:color="FFFFFF"/>
            </w:tcBorders>
            <w:shd w:val="clear" w:color="auto" w:fill="000000"/>
            <w:vAlign w:val="center"/>
          </w:tcPr>
          <w:p w:rsidR="009519E2" w:rsidRPr="00464D36" w:rsidRDefault="009519E2" w:rsidP="005F464D">
            <w:pPr>
              <w:spacing w:before="0"/>
              <w:rPr>
                <w:color w:val="FFFFFF"/>
                <w:szCs w:val="20"/>
                <w:lang w:val="en-AU"/>
              </w:rPr>
            </w:pPr>
          </w:p>
        </w:tc>
        <w:tc>
          <w:tcPr>
            <w:tcW w:w="1276" w:type="dxa"/>
            <w:tcBorders>
              <w:top w:val="single" w:sz="4" w:space="0" w:color="FFFFFF"/>
              <w:left w:val="single" w:sz="4" w:space="0" w:color="FFFFFF"/>
              <w:bottom w:val="single" w:sz="4" w:space="0" w:color="auto"/>
              <w:right w:val="single" w:sz="4" w:space="0" w:color="FFFFFF"/>
            </w:tcBorders>
            <w:shd w:val="clear" w:color="auto" w:fill="000000"/>
            <w:noWrap/>
            <w:vAlign w:val="center"/>
          </w:tcPr>
          <w:p w:rsidR="009519E2" w:rsidRPr="00464D36" w:rsidRDefault="009519E2" w:rsidP="005F464D">
            <w:pPr>
              <w:spacing w:before="0"/>
              <w:jc w:val="center"/>
              <w:rPr>
                <w:szCs w:val="20"/>
                <w:lang w:val="en-AU"/>
              </w:rPr>
            </w:pPr>
            <w:r w:rsidRPr="00464D36">
              <w:rPr>
                <w:szCs w:val="20"/>
                <w:lang w:val="en-AU"/>
              </w:rPr>
              <w:t>HC</w:t>
            </w:r>
          </w:p>
        </w:tc>
        <w:tc>
          <w:tcPr>
            <w:tcW w:w="1134" w:type="dxa"/>
            <w:tcBorders>
              <w:top w:val="single" w:sz="4" w:space="0" w:color="FFFFFF"/>
              <w:left w:val="single" w:sz="4" w:space="0" w:color="FFFFFF"/>
              <w:bottom w:val="single" w:sz="4" w:space="0" w:color="auto"/>
              <w:right w:val="single" w:sz="4" w:space="0" w:color="FFFFFF"/>
            </w:tcBorders>
            <w:shd w:val="clear" w:color="auto" w:fill="000000"/>
            <w:noWrap/>
            <w:vAlign w:val="center"/>
          </w:tcPr>
          <w:p w:rsidR="009519E2" w:rsidRPr="00464D36" w:rsidRDefault="009519E2" w:rsidP="005F464D">
            <w:pPr>
              <w:spacing w:before="0"/>
              <w:jc w:val="center"/>
              <w:rPr>
                <w:szCs w:val="20"/>
                <w:lang w:val="en-AU"/>
              </w:rPr>
            </w:pPr>
            <w:r w:rsidRPr="00464D36">
              <w:rPr>
                <w:szCs w:val="20"/>
                <w:lang w:val="en-AU"/>
              </w:rPr>
              <w:t>R717</w:t>
            </w:r>
          </w:p>
        </w:tc>
        <w:tc>
          <w:tcPr>
            <w:tcW w:w="1276" w:type="dxa"/>
            <w:tcBorders>
              <w:top w:val="single" w:sz="4" w:space="0" w:color="FFFFFF"/>
              <w:left w:val="single" w:sz="4" w:space="0" w:color="FFFFFF"/>
              <w:bottom w:val="single" w:sz="4" w:space="0" w:color="auto"/>
              <w:right w:val="single" w:sz="4" w:space="0" w:color="FFFFFF"/>
            </w:tcBorders>
            <w:shd w:val="clear" w:color="auto" w:fill="000000"/>
            <w:noWrap/>
            <w:vAlign w:val="center"/>
          </w:tcPr>
          <w:p w:rsidR="009519E2" w:rsidRPr="00464D36" w:rsidRDefault="009519E2" w:rsidP="005F464D">
            <w:pPr>
              <w:spacing w:before="0"/>
              <w:jc w:val="center"/>
              <w:rPr>
                <w:szCs w:val="20"/>
                <w:lang w:val="en-AU"/>
              </w:rPr>
            </w:pPr>
            <w:r w:rsidRPr="00464D36">
              <w:rPr>
                <w:szCs w:val="20"/>
                <w:lang w:val="en-AU"/>
              </w:rPr>
              <w:t>R744</w:t>
            </w:r>
          </w:p>
        </w:tc>
        <w:tc>
          <w:tcPr>
            <w:tcW w:w="1134" w:type="dxa"/>
            <w:tcBorders>
              <w:top w:val="single" w:sz="4" w:space="0" w:color="FFFFFF"/>
              <w:left w:val="single" w:sz="4" w:space="0" w:color="FFFFFF"/>
              <w:bottom w:val="single" w:sz="4" w:space="0" w:color="auto"/>
              <w:right w:val="single" w:sz="4" w:space="0" w:color="FFFFFF"/>
            </w:tcBorders>
            <w:shd w:val="clear" w:color="auto" w:fill="000000"/>
            <w:noWrap/>
            <w:vAlign w:val="center"/>
          </w:tcPr>
          <w:p w:rsidR="009519E2" w:rsidRPr="00464D36" w:rsidRDefault="009519E2" w:rsidP="005F464D">
            <w:pPr>
              <w:spacing w:before="0"/>
              <w:jc w:val="center"/>
              <w:rPr>
                <w:szCs w:val="20"/>
                <w:lang w:val="en-AU"/>
              </w:rPr>
            </w:pPr>
            <w:r w:rsidRPr="00464D36">
              <w:rPr>
                <w:szCs w:val="20"/>
                <w:lang w:val="en-AU"/>
              </w:rPr>
              <w:t>HFO</w:t>
            </w:r>
          </w:p>
        </w:tc>
        <w:tc>
          <w:tcPr>
            <w:tcW w:w="992" w:type="dxa"/>
            <w:tcBorders>
              <w:top w:val="single" w:sz="4" w:space="0" w:color="FFFFFF"/>
              <w:left w:val="single" w:sz="4" w:space="0" w:color="FFFFFF"/>
              <w:bottom w:val="single" w:sz="4" w:space="0" w:color="auto"/>
              <w:right w:val="single" w:sz="4" w:space="0" w:color="FFFFFF"/>
            </w:tcBorders>
            <w:shd w:val="clear" w:color="auto" w:fill="000000"/>
            <w:noWrap/>
            <w:vAlign w:val="center"/>
          </w:tcPr>
          <w:p w:rsidR="009519E2" w:rsidRPr="00464D36" w:rsidRDefault="009519E2" w:rsidP="005F464D">
            <w:pPr>
              <w:spacing w:before="0"/>
              <w:jc w:val="center"/>
              <w:rPr>
                <w:szCs w:val="20"/>
                <w:lang w:val="en-AU"/>
              </w:rPr>
            </w:pPr>
            <w:r w:rsidRPr="00464D36">
              <w:rPr>
                <w:szCs w:val="20"/>
                <w:lang w:val="en-AU"/>
              </w:rPr>
              <w:t>HC</w:t>
            </w:r>
          </w:p>
        </w:tc>
        <w:tc>
          <w:tcPr>
            <w:tcW w:w="992" w:type="dxa"/>
            <w:tcBorders>
              <w:top w:val="single" w:sz="4" w:space="0" w:color="FFFFFF"/>
              <w:left w:val="single" w:sz="4" w:space="0" w:color="FFFFFF"/>
              <w:bottom w:val="single" w:sz="4" w:space="0" w:color="auto"/>
              <w:right w:val="single" w:sz="4" w:space="0" w:color="FFFFFF"/>
            </w:tcBorders>
            <w:shd w:val="clear" w:color="auto" w:fill="000000"/>
            <w:noWrap/>
            <w:vAlign w:val="center"/>
          </w:tcPr>
          <w:p w:rsidR="009519E2" w:rsidRPr="00464D36" w:rsidRDefault="009519E2" w:rsidP="005F464D">
            <w:pPr>
              <w:spacing w:before="0"/>
              <w:jc w:val="center"/>
              <w:rPr>
                <w:szCs w:val="20"/>
                <w:lang w:val="en-AU"/>
              </w:rPr>
            </w:pPr>
            <w:r w:rsidRPr="00464D36">
              <w:rPr>
                <w:szCs w:val="20"/>
                <w:lang w:val="en-AU"/>
              </w:rPr>
              <w:t>R717</w:t>
            </w:r>
          </w:p>
        </w:tc>
        <w:tc>
          <w:tcPr>
            <w:tcW w:w="993" w:type="dxa"/>
            <w:tcBorders>
              <w:top w:val="single" w:sz="4" w:space="0" w:color="FFFFFF"/>
              <w:left w:val="single" w:sz="4" w:space="0" w:color="FFFFFF"/>
              <w:bottom w:val="single" w:sz="4" w:space="0" w:color="auto"/>
              <w:right w:val="single" w:sz="4" w:space="0" w:color="FFFFFF"/>
            </w:tcBorders>
            <w:shd w:val="clear" w:color="auto" w:fill="000000"/>
            <w:noWrap/>
            <w:vAlign w:val="center"/>
          </w:tcPr>
          <w:p w:rsidR="009519E2" w:rsidRPr="00464D36" w:rsidRDefault="009519E2" w:rsidP="005F464D">
            <w:pPr>
              <w:spacing w:before="0"/>
              <w:jc w:val="center"/>
              <w:rPr>
                <w:szCs w:val="20"/>
                <w:lang w:val="en-AU"/>
              </w:rPr>
            </w:pPr>
            <w:r w:rsidRPr="00464D36">
              <w:rPr>
                <w:szCs w:val="20"/>
                <w:lang w:val="en-AU"/>
              </w:rPr>
              <w:t>R744</w:t>
            </w:r>
          </w:p>
        </w:tc>
        <w:tc>
          <w:tcPr>
            <w:tcW w:w="1559" w:type="dxa"/>
            <w:tcBorders>
              <w:top w:val="single" w:sz="4" w:space="0" w:color="FFFFFF"/>
              <w:left w:val="single" w:sz="4" w:space="0" w:color="FFFFFF"/>
              <w:bottom w:val="single" w:sz="4" w:space="0" w:color="auto"/>
              <w:right w:val="single" w:sz="4" w:space="0" w:color="auto"/>
            </w:tcBorders>
            <w:shd w:val="clear" w:color="auto" w:fill="000000"/>
            <w:noWrap/>
            <w:vAlign w:val="center"/>
          </w:tcPr>
          <w:p w:rsidR="009519E2" w:rsidRPr="00464D36" w:rsidRDefault="009519E2" w:rsidP="005F464D">
            <w:pPr>
              <w:spacing w:before="0"/>
              <w:jc w:val="center"/>
              <w:rPr>
                <w:szCs w:val="20"/>
                <w:lang w:val="en-AU"/>
              </w:rPr>
            </w:pPr>
            <w:r w:rsidRPr="00464D36">
              <w:rPr>
                <w:szCs w:val="20"/>
                <w:lang w:val="en-AU"/>
              </w:rPr>
              <w:t>HFO</w:t>
            </w:r>
            <w:r w:rsidR="008D70D1">
              <w:rPr>
                <w:szCs w:val="20"/>
                <w:lang w:val="en-AU"/>
              </w:rPr>
              <w:t xml:space="preserve"> blends</w:t>
            </w:r>
          </w:p>
        </w:tc>
      </w:tr>
      <w:tr w:rsidR="009519E2" w:rsidRPr="00464D36" w:rsidTr="001F56BA">
        <w:trPr>
          <w:trHeight w:val="280"/>
        </w:trPr>
        <w:tc>
          <w:tcPr>
            <w:tcW w:w="3969" w:type="dxa"/>
            <w:tcBorders>
              <w:top w:val="single" w:sz="4" w:space="0" w:color="auto"/>
              <w:left w:val="single" w:sz="4" w:space="0" w:color="auto"/>
              <w:bottom w:val="single" w:sz="4" w:space="0" w:color="auto"/>
              <w:right w:val="nil"/>
            </w:tcBorders>
            <w:shd w:val="clear" w:color="auto" w:fill="auto"/>
            <w:noWrap/>
            <w:vAlign w:val="center"/>
          </w:tcPr>
          <w:p w:rsidR="009519E2" w:rsidRPr="00A362C9" w:rsidRDefault="009519E2" w:rsidP="002E088B">
            <w:pPr>
              <w:spacing w:before="0"/>
              <w:jc w:val="left"/>
              <w:rPr>
                <w:b/>
                <w:bCs/>
                <w:sz w:val="20"/>
                <w:szCs w:val="20"/>
                <w:lang w:val="en-AU"/>
              </w:rPr>
            </w:pPr>
            <w:r w:rsidRPr="00A362C9">
              <w:rPr>
                <w:b/>
                <w:bCs/>
                <w:sz w:val="20"/>
                <w:szCs w:val="20"/>
                <w:lang w:val="en-AU"/>
              </w:rPr>
              <w:t>Stationary air conditioning</w:t>
            </w:r>
          </w:p>
        </w:tc>
        <w:tc>
          <w:tcPr>
            <w:tcW w:w="935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2E088B">
            <w:pPr>
              <w:spacing w:before="0"/>
              <w:jc w:val="left"/>
              <w:rPr>
                <w:sz w:val="20"/>
                <w:szCs w:val="20"/>
                <w:lang w:val="en-AU"/>
              </w:rPr>
            </w:pPr>
            <w:r w:rsidRPr="00A362C9">
              <w:rPr>
                <w:sz w:val="20"/>
                <w:szCs w:val="20"/>
                <w:lang w:val="en-AU"/>
              </w:rPr>
              <w:t> </w:t>
            </w:r>
          </w:p>
        </w:tc>
      </w:tr>
      <w:tr w:rsidR="009519E2" w:rsidRPr="00464D36" w:rsidTr="009519E2">
        <w:trPr>
          <w:trHeight w:val="280"/>
        </w:trPr>
        <w:tc>
          <w:tcPr>
            <w:tcW w:w="3969" w:type="dxa"/>
            <w:tcBorders>
              <w:top w:val="single" w:sz="4" w:space="0" w:color="auto"/>
              <w:left w:val="single" w:sz="4" w:space="0" w:color="auto"/>
              <w:bottom w:val="single" w:sz="4" w:space="0" w:color="auto"/>
              <w:right w:val="nil"/>
            </w:tcBorders>
            <w:shd w:val="clear" w:color="auto" w:fill="auto"/>
            <w:vAlign w:val="center"/>
          </w:tcPr>
          <w:p w:rsidR="009519E2" w:rsidRPr="00A362C9" w:rsidRDefault="009519E2" w:rsidP="005F464D">
            <w:pPr>
              <w:spacing w:before="0"/>
              <w:ind w:firstLineChars="100" w:firstLine="200"/>
              <w:rPr>
                <w:sz w:val="20"/>
                <w:szCs w:val="20"/>
                <w:lang w:val="en-AU"/>
              </w:rPr>
            </w:pPr>
            <w:r w:rsidRPr="00A362C9">
              <w:rPr>
                <w:sz w:val="20"/>
                <w:szCs w:val="20"/>
                <w:lang w:val="en-AU"/>
              </w:rPr>
              <w:t>Wall hung split systems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F129EC" w:rsidP="003C099D">
            <w:pPr>
              <w:spacing w:before="0"/>
              <w:jc w:val="center"/>
              <w:rPr>
                <w:sz w:val="20"/>
                <w:szCs w:val="20"/>
                <w:lang w:val="en-AU"/>
              </w:rPr>
            </w:pPr>
            <w:r w:rsidRPr="003C099D">
              <w:rPr>
                <w:sz w:val="20"/>
                <w:szCs w:val="20"/>
                <w:lang w:val="en-AU"/>
              </w:rPr>
              <w:t>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 and DI</w:t>
            </w:r>
          </w:p>
        </w:tc>
      </w:tr>
      <w:tr w:rsidR="009519E2" w:rsidRPr="00464D36" w:rsidTr="009519E2">
        <w:trPr>
          <w:trHeight w:val="280"/>
        </w:trPr>
        <w:tc>
          <w:tcPr>
            <w:tcW w:w="3969" w:type="dxa"/>
            <w:tcBorders>
              <w:top w:val="single" w:sz="4" w:space="0" w:color="auto"/>
              <w:left w:val="single" w:sz="4" w:space="0" w:color="auto"/>
              <w:bottom w:val="single" w:sz="4" w:space="0" w:color="auto"/>
              <w:right w:val="nil"/>
            </w:tcBorders>
            <w:shd w:val="clear" w:color="auto" w:fill="auto"/>
            <w:vAlign w:val="center"/>
          </w:tcPr>
          <w:p w:rsidR="009519E2" w:rsidRPr="00A362C9" w:rsidRDefault="009519E2" w:rsidP="005F464D">
            <w:pPr>
              <w:spacing w:before="0"/>
              <w:ind w:firstLineChars="100" w:firstLine="200"/>
              <w:rPr>
                <w:sz w:val="20"/>
                <w:szCs w:val="20"/>
                <w:lang w:val="en-AU"/>
              </w:rPr>
            </w:pPr>
            <w:r w:rsidRPr="00A362C9">
              <w:rPr>
                <w:sz w:val="20"/>
                <w:szCs w:val="20"/>
                <w:lang w:val="en-AU"/>
              </w:rPr>
              <w:t>Split ducted systems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 and DI</w:t>
            </w:r>
          </w:p>
        </w:tc>
      </w:tr>
      <w:tr w:rsidR="009519E2" w:rsidRPr="00464D36" w:rsidTr="009519E2">
        <w:trPr>
          <w:trHeight w:val="280"/>
        </w:trPr>
        <w:tc>
          <w:tcPr>
            <w:tcW w:w="3969" w:type="dxa"/>
            <w:tcBorders>
              <w:top w:val="single" w:sz="4" w:space="0" w:color="auto"/>
              <w:left w:val="single" w:sz="4" w:space="0" w:color="auto"/>
              <w:bottom w:val="single" w:sz="4" w:space="0" w:color="auto"/>
              <w:right w:val="nil"/>
            </w:tcBorders>
            <w:shd w:val="clear" w:color="auto" w:fill="auto"/>
            <w:vAlign w:val="center"/>
          </w:tcPr>
          <w:p w:rsidR="009519E2" w:rsidRPr="00A362C9" w:rsidRDefault="009519E2" w:rsidP="005F464D">
            <w:pPr>
              <w:spacing w:before="0"/>
              <w:ind w:firstLineChars="100" w:firstLine="200"/>
              <w:rPr>
                <w:sz w:val="20"/>
                <w:szCs w:val="20"/>
                <w:lang w:val="en-AU"/>
              </w:rPr>
            </w:pPr>
            <w:r w:rsidRPr="00A362C9">
              <w:rPr>
                <w:sz w:val="20"/>
                <w:szCs w:val="20"/>
                <w:lang w:val="en-AU"/>
              </w:rPr>
              <w:t>Roof top packaged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 and DI</w:t>
            </w:r>
          </w:p>
        </w:tc>
      </w:tr>
      <w:tr w:rsidR="009519E2" w:rsidRPr="00464D36" w:rsidTr="009519E2">
        <w:trPr>
          <w:trHeight w:val="280"/>
        </w:trPr>
        <w:tc>
          <w:tcPr>
            <w:tcW w:w="3969" w:type="dxa"/>
            <w:tcBorders>
              <w:top w:val="single" w:sz="4" w:space="0" w:color="auto"/>
              <w:left w:val="single" w:sz="4" w:space="0" w:color="auto"/>
              <w:bottom w:val="single" w:sz="4" w:space="0" w:color="auto"/>
              <w:right w:val="nil"/>
            </w:tcBorders>
            <w:shd w:val="clear" w:color="auto" w:fill="auto"/>
            <w:vAlign w:val="center"/>
          </w:tcPr>
          <w:p w:rsidR="009519E2" w:rsidRPr="00A362C9" w:rsidRDefault="009519E2" w:rsidP="005F464D">
            <w:pPr>
              <w:spacing w:before="0"/>
              <w:ind w:firstLineChars="100" w:firstLine="200"/>
              <w:rPr>
                <w:sz w:val="20"/>
                <w:szCs w:val="20"/>
                <w:lang w:val="en-AU"/>
              </w:rPr>
            </w:pPr>
            <w:r w:rsidRPr="00A362C9">
              <w:rPr>
                <w:sz w:val="20"/>
                <w:szCs w:val="20"/>
                <w:lang w:val="en-AU"/>
              </w:rPr>
              <w:t>Chillers &lt; 530 kW</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r>
      <w:tr w:rsidR="009519E2" w:rsidRPr="00464D36" w:rsidTr="009519E2">
        <w:trPr>
          <w:trHeight w:val="280"/>
        </w:trPr>
        <w:tc>
          <w:tcPr>
            <w:tcW w:w="3969" w:type="dxa"/>
            <w:tcBorders>
              <w:top w:val="single" w:sz="4" w:space="0" w:color="auto"/>
              <w:left w:val="single" w:sz="4" w:space="0" w:color="auto"/>
              <w:bottom w:val="single" w:sz="4" w:space="0" w:color="auto"/>
              <w:right w:val="nil"/>
            </w:tcBorders>
            <w:shd w:val="clear" w:color="auto" w:fill="auto"/>
            <w:vAlign w:val="center"/>
          </w:tcPr>
          <w:p w:rsidR="009519E2" w:rsidRPr="00A362C9" w:rsidRDefault="009519E2" w:rsidP="005F464D">
            <w:pPr>
              <w:spacing w:before="0"/>
              <w:ind w:firstLineChars="100" w:firstLine="200"/>
              <w:rPr>
                <w:sz w:val="20"/>
                <w:szCs w:val="20"/>
                <w:lang w:val="en-AU"/>
              </w:rPr>
            </w:pPr>
            <w:r w:rsidRPr="00A362C9">
              <w:rPr>
                <w:sz w:val="20"/>
                <w:szCs w:val="20"/>
                <w:lang w:val="en-AU"/>
              </w:rPr>
              <w:t>Chillers &gt; 1055 kW</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Pr>
                <w:sz w:val="20"/>
                <w:szCs w:val="20"/>
                <w:lang w:val="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Pr>
                <w:sz w:val="20"/>
                <w:szCs w:val="20"/>
                <w:lang w:val="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Pr>
                <w:sz w:val="20"/>
                <w:szCs w:val="20"/>
                <w:lang w:val="en-AU"/>
              </w:rPr>
              <w:t>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r>
      <w:tr w:rsidR="009519E2" w:rsidRPr="00464D36" w:rsidTr="009519E2">
        <w:trPr>
          <w:trHeight w:val="280"/>
        </w:trPr>
        <w:tc>
          <w:tcPr>
            <w:tcW w:w="3969" w:type="dxa"/>
            <w:tcBorders>
              <w:top w:val="single" w:sz="4" w:space="0" w:color="auto"/>
              <w:left w:val="single" w:sz="4" w:space="0" w:color="auto"/>
              <w:bottom w:val="single" w:sz="4" w:space="0" w:color="auto"/>
              <w:right w:val="nil"/>
            </w:tcBorders>
            <w:shd w:val="clear" w:color="auto" w:fill="auto"/>
            <w:vAlign w:val="center"/>
          </w:tcPr>
          <w:p w:rsidR="009519E2" w:rsidRPr="00A362C9" w:rsidRDefault="009519E2" w:rsidP="005F464D">
            <w:pPr>
              <w:spacing w:before="0"/>
              <w:ind w:firstLineChars="100" w:firstLine="200"/>
              <w:rPr>
                <w:sz w:val="20"/>
                <w:szCs w:val="20"/>
                <w:lang w:val="en-AU"/>
              </w:rPr>
            </w:pPr>
            <w:r w:rsidRPr="00A362C9">
              <w:rPr>
                <w:sz w:val="20"/>
                <w:szCs w:val="20"/>
                <w:lang w:val="en-AU"/>
              </w:rPr>
              <w:t>Precision control AC</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 and DI</w:t>
            </w:r>
          </w:p>
        </w:tc>
      </w:tr>
      <w:tr w:rsidR="009519E2" w:rsidRPr="00464D36" w:rsidTr="002E088B">
        <w:trPr>
          <w:trHeight w:val="28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519E2" w:rsidRPr="00A362C9" w:rsidRDefault="009519E2" w:rsidP="005F464D">
            <w:pPr>
              <w:spacing w:before="0"/>
              <w:ind w:firstLineChars="100" w:firstLine="200"/>
              <w:rPr>
                <w:sz w:val="20"/>
                <w:szCs w:val="20"/>
                <w:lang w:val="en-AU"/>
              </w:rPr>
            </w:pPr>
            <w:r w:rsidRPr="00A362C9">
              <w:rPr>
                <w:sz w:val="20"/>
                <w:szCs w:val="20"/>
                <w:lang w:val="en-AU"/>
              </w:rPr>
              <w:t>Other stationary (</w:t>
            </w:r>
            <w:r>
              <w:rPr>
                <w:sz w:val="20"/>
                <w:szCs w:val="20"/>
                <w:lang w:val="en-AU"/>
              </w:rPr>
              <w:t>h</w:t>
            </w:r>
            <w:r w:rsidRPr="00A362C9">
              <w:rPr>
                <w:sz w:val="20"/>
                <w:szCs w:val="20"/>
                <w:lang w:val="en-AU"/>
              </w:rPr>
              <w:t>ot water heat pump</w:t>
            </w:r>
            <w:r>
              <w:rPr>
                <w:sz w:val="20"/>
                <w:szCs w:val="20"/>
                <w:lang w:val="en-AU"/>
              </w:rPr>
              <w:t>s</w:t>
            </w:r>
            <w:r w:rsidRPr="00A362C9">
              <w:rPr>
                <w:sz w:val="20"/>
                <w:szCs w:val="20"/>
                <w:lang w:val="en-AU"/>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Pr>
                <w:sz w:val="20"/>
                <w:szCs w:val="20"/>
                <w:lang w:val="en-AU"/>
              </w:rPr>
              <w:t>Y</w:t>
            </w:r>
            <w:r w:rsidRPr="00A362C9">
              <w:rPr>
                <w:sz w:val="20"/>
                <w:szCs w:val="20"/>
                <w:lang w:val="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Pr>
                <w:sz w:val="20"/>
                <w:szCs w:val="20"/>
                <w:lang w:val="en-AU"/>
              </w:rPr>
              <w:t>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Pr>
                <w:sz w:val="20"/>
                <w:szCs w:val="20"/>
                <w:lang w:val="en-AU"/>
              </w:rPr>
              <w:t>YY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Pr>
                <w:sz w:val="20"/>
                <w:szCs w:val="20"/>
                <w:lang w:val="en-AU"/>
              </w:rPr>
              <w:t>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Pr>
                <w:sz w:val="20"/>
                <w:szCs w:val="20"/>
                <w:lang w:val="en-AU"/>
              </w:rPr>
              <w:t>Y</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 and DI</w:t>
            </w:r>
          </w:p>
        </w:tc>
      </w:tr>
      <w:tr w:rsidR="009519E2" w:rsidRPr="00464D36" w:rsidTr="002E088B">
        <w:trPr>
          <w:trHeight w:val="280"/>
        </w:trPr>
        <w:tc>
          <w:tcPr>
            <w:tcW w:w="3969" w:type="dxa"/>
            <w:tcBorders>
              <w:top w:val="single" w:sz="4" w:space="0" w:color="auto"/>
              <w:left w:val="single" w:sz="4" w:space="0" w:color="auto"/>
              <w:bottom w:val="single" w:sz="4" w:space="0" w:color="auto"/>
              <w:right w:val="nil"/>
            </w:tcBorders>
            <w:shd w:val="clear" w:color="auto" w:fill="auto"/>
            <w:vAlign w:val="center"/>
          </w:tcPr>
          <w:p w:rsidR="009519E2" w:rsidRPr="00A362C9" w:rsidRDefault="009519E2" w:rsidP="002E088B">
            <w:pPr>
              <w:spacing w:before="0"/>
              <w:jc w:val="left"/>
              <w:rPr>
                <w:b/>
                <w:bCs/>
                <w:sz w:val="20"/>
                <w:szCs w:val="20"/>
                <w:lang w:val="en-AU"/>
              </w:rPr>
            </w:pPr>
            <w:r w:rsidRPr="00A362C9">
              <w:rPr>
                <w:b/>
                <w:bCs/>
                <w:sz w:val="20"/>
                <w:szCs w:val="20"/>
                <w:lang w:val="en-AU"/>
              </w:rPr>
              <w:t> Stationary refrigeration</w:t>
            </w:r>
          </w:p>
        </w:tc>
        <w:tc>
          <w:tcPr>
            <w:tcW w:w="935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2E088B">
            <w:pPr>
              <w:spacing w:before="0"/>
              <w:jc w:val="left"/>
              <w:rPr>
                <w:sz w:val="20"/>
                <w:szCs w:val="20"/>
                <w:lang w:val="en-AU"/>
              </w:rPr>
            </w:pPr>
            <w:r w:rsidRPr="00A362C9">
              <w:rPr>
                <w:sz w:val="20"/>
                <w:szCs w:val="20"/>
                <w:lang w:val="en-AU"/>
              </w:rPr>
              <w:t> </w:t>
            </w:r>
          </w:p>
        </w:tc>
      </w:tr>
      <w:tr w:rsidR="009519E2" w:rsidRPr="00464D36" w:rsidTr="009519E2">
        <w:trPr>
          <w:trHeight w:val="280"/>
        </w:trPr>
        <w:tc>
          <w:tcPr>
            <w:tcW w:w="3969" w:type="dxa"/>
            <w:tcBorders>
              <w:top w:val="single" w:sz="4" w:space="0" w:color="auto"/>
              <w:left w:val="single" w:sz="4" w:space="0" w:color="auto"/>
              <w:bottom w:val="single" w:sz="4" w:space="0" w:color="auto"/>
              <w:right w:val="nil"/>
            </w:tcBorders>
            <w:shd w:val="clear" w:color="auto" w:fill="auto"/>
            <w:vAlign w:val="center"/>
          </w:tcPr>
          <w:p w:rsidR="009519E2" w:rsidRPr="00A362C9" w:rsidRDefault="009519E2" w:rsidP="005F464D">
            <w:pPr>
              <w:spacing w:before="0"/>
              <w:ind w:firstLineChars="100" w:firstLine="200"/>
              <w:rPr>
                <w:sz w:val="20"/>
                <w:szCs w:val="20"/>
                <w:lang w:val="en-AU"/>
              </w:rPr>
            </w:pPr>
            <w:r w:rsidRPr="00A362C9">
              <w:rPr>
                <w:sz w:val="20"/>
                <w:szCs w:val="20"/>
                <w:lang w:val="en-AU"/>
              </w:rPr>
              <w:t>Supermarket systems: large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Pr>
                <w:sz w:val="20"/>
                <w:szCs w:val="20"/>
                <w:lang w:val="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YY</w:t>
            </w:r>
            <w:r>
              <w:rPr>
                <w:sz w:val="20"/>
                <w:szCs w:val="20"/>
                <w:lang w:val="en-AU"/>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Pr>
                <w:sz w:val="20"/>
                <w:szCs w:val="20"/>
                <w:lang w:val="en-AU"/>
              </w:rPr>
              <w:t>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r>
      <w:tr w:rsidR="009519E2" w:rsidRPr="00464D36" w:rsidTr="009519E2">
        <w:trPr>
          <w:trHeight w:val="280"/>
        </w:trPr>
        <w:tc>
          <w:tcPr>
            <w:tcW w:w="3969" w:type="dxa"/>
            <w:tcBorders>
              <w:top w:val="single" w:sz="4" w:space="0" w:color="auto"/>
              <w:left w:val="single" w:sz="4" w:space="0" w:color="auto"/>
              <w:bottom w:val="single" w:sz="4" w:space="0" w:color="auto"/>
              <w:right w:val="nil"/>
            </w:tcBorders>
            <w:shd w:val="clear" w:color="auto" w:fill="auto"/>
            <w:vAlign w:val="center"/>
          </w:tcPr>
          <w:p w:rsidR="009519E2" w:rsidRPr="00A362C9" w:rsidRDefault="009519E2" w:rsidP="005F464D">
            <w:pPr>
              <w:spacing w:before="0"/>
              <w:ind w:firstLineChars="100" w:firstLine="200"/>
              <w:rPr>
                <w:sz w:val="20"/>
                <w:szCs w:val="20"/>
                <w:lang w:val="en-AU"/>
              </w:rPr>
            </w:pPr>
            <w:r w:rsidRPr="00A362C9">
              <w:rPr>
                <w:sz w:val="20"/>
                <w:szCs w:val="20"/>
                <w:lang w:val="en-AU"/>
              </w:rPr>
              <w:t>Supermarket systems: medium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Pr>
                <w:sz w:val="20"/>
                <w:szCs w:val="20"/>
                <w:lang w:val="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YY</w:t>
            </w:r>
            <w:r>
              <w:rPr>
                <w:sz w:val="20"/>
                <w:szCs w:val="20"/>
                <w:lang w:val="en-AU"/>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Pr>
                <w:sz w:val="20"/>
                <w:szCs w:val="20"/>
                <w:lang w:val="en-AU"/>
              </w:rPr>
              <w:t>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r>
      <w:tr w:rsidR="009519E2" w:rsidRPr="00464D36" w:rsidTr="009519E2">
        <w:trPr>
          <w:trHeight w:val="280"/>
        </w:trPr>
        <w:tc>
          <w:tcPr>
            <w:tcW w:w="3969" w:type="dxa"/>
            <w:tcBorders>
              <w:top w:val="single" w:sz="4" w:space="0" w:color="auto"/>
              <w:left w:val="single" w:sz="4" w:space="0" w:color="auto"/>
              <w:bottom w:val="single" w:sz="4" w:space="0" w:color="auto"/>
              <w:right w:val="nil"/>
            </w:tcBorders>
            <w:shd w:val="clear" w:color="auto" w:fill="auto"/>
            <w:vAlign w:val="center"/>
          </w:tcPr>
          <w:p w:rsidR="009519E2" w:rsidRPr="00A362C9" w:rsidRDefault="009519E2" w:rsidP="005F464D">
            <w:pPr>
              <w:spacing w:before="0"/>
              <w:ind w:firstLineChars="100" w:firstLine="200"/>
              <w:rPr>
                <w:sz w:val="20"/>
                <w:szCs w:val="20"/>
                <w:lang w:val="en-AU"/>
              </w:rPr>
            </w:pPr>
            <w:r w:rsidRPr="00A362C9">
              <w:rPr>
                <w:sz w:val="20"/>
                <w:szCs w:val="20"/>
                <w:lang w:val="en-AU"/>
              </w:rPr>
              <w:t>Supermarket systems: small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Pr>
                <w:sz w:val="20"/>
                <w:szCs w:val="20"/>
                <w:lang w:val="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Pr>
                <w:sz w:val="20"/>
                <w:szCs w:val="20"/>
                <w:lang w:val="en-AU"/>
              </w:rPr>
              <w:t>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Pr>
                <w:sz w:val="20"/>
                <w:szCs w:val="20"/>
                <w:lang w:val="en-AU"/>
              </w:rPr>
              <w:t>Y</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r>
      <w:tr w:rsidR="009519E2" w:rsidRPr="00464D36" w:rsidTr="009519E2">
        <w:trPr>
          <w:trHeight w:val="280"/>
        </w:trPr>
        <w:tc>
          <w:tcPr>
            <w:tcW w:w="3969" w:type="dxa"/>
            <w:tcBorders>
              <w:top w:val="single" w:sz="4" w:space="0" w:color="auto"/>
              <w:left w:val="single" w:sz="4" w:space="0" w:color="auto"/>
              <w:bottom w:val="single" w:sz="4" w:space="0" w:color="auto"/>
              <w:right w:val="nil"/>
            </w:tcBorders>
            <w:shd w:val="clear" w:color="auto" w:fill="auto"/>
            <w:vAlign w:val="center"/>
          </w:tcPr>
          <w:p w:rsidR="009519E2" w:rsidRPr="00A362C9" w:rsidRDefault="009519E2" w:rsidP="005F464D">
            <w:pPr>
              <w:spacing w:before="0"/>
              <w:ind w:firstLineChars="100" w:firstLine="200"/>
              <w:rPr>
                <w:sz w:val="20"/>
                <w:szCs w:val="20"/>
                <w:lang w:val="en-AU"/>
              </w:rPr>
            </w:pPr>
            <w:r w:rsidRPr="00A362C9">
              <w:rPr>
                <w:sz w:val="20"/>
                <w:szCs w:val="20"/>
                <w:lang w:val="en-AU"/>
              </w:rPr>
              <w:t>Medium commercial refrigeration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Pr>
                <w:sz w:val="20"/>
                <w:szCs w:val="20"/>
                <w:lang w:val="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Pr>
                <w:sz w:val="20"/>
                <w:szCs w:val="20"/>
                <w:lang w:val="en-AU"/>
              </w:rPr>
              <w:t>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Pr>
                <w:sz w:val="20"/>
                <w:szCs w:val="20"/>
                <w:lang w:val="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Pr>
                <w:sz w:val="20"/>
                <w:szCs w:val="20"/>
                <w:lang w:val="en-AU"/>
              </w:rPr>
              <w:t>Y</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 and DI</w:t>
            </w:r>
          </w:p>
        </w:tc>
      </w:tr>
      <w:tr w:rsidR="009519E2" w:rsidRPr="00464D36" w:rsidTr="009519E2">
        <w:trPr>
          <w:trHeight w:val="28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519E2" w:rsidRPr="00A362C9" w:rsidRDefault="009519E2" w:rsidP="005F464D">
            <w:pPr>
              <w:spacing w:before="0"/>
              <w:ind w:firstLineChars="100" w:firstLine="200"/>
              <w:rPr>
                <w:sz w:val="20"/>
                <w:szCs w:val="20"/>
                <w:lang w:val="en-AU"/>
              </w:rPr>
            </w:pPr>
            <w:r w:rsidRPr="00A362C9">
              <w:rPr>
                <w:sz w:val="20"/>
                <w:szCs w:val="20"/>
                <w:lang w:val="en-AU"/>
              </w:rPr>
              <w:t>Process refrigeration and cold storage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r>
      <w:tr w:rsidR="009519E2" w:rsidRPr="00464D36" w:rsidTr="009519E2">
        <w:trPr>
          <w:trHeight w:val="280"/>
        </w:trPr>
        <w:tc>
          <w:tcPr>
            <w:tcW w:w="3969" w:type="dxa"/>
            <w:tcBorders>
              <w:top w:val="single" w:sz="4" w:space="0" w:color="auto"/>
              <w:left w:val="single" w:sz="4" w:space="0" w:color="auto"/>
              <w:bottom w:val="single" w:sz="4" w:space="0" w:color="auto"/>
              <w:right w:val="nil"/>
            </w:tcBorders>
            <w:shd w:val="clear" w:color="auto" w:fill="auto"/>
            <w:vAlign w:val="center"/>
          </w:tcPr>
          <w:p w:rsidR="009519E2" w:rsidRPr="00A362C9" w:rsidRDefault="009519E2" w:rsidP="005F464D">
            <w:pPr>
              <w:spacing w:before="0"/>
              <w:ind w:firstLineChars="100" w:firstLine="200"/>
              <w:rPr>
                <w:sz w:val="20"/>
                <w:szCs w:val="20"/>
                <w:lang w:val="en-AU"/>
              </w:rPr>
            </w:pPr>
            <w:r w:rsidRPr="00A362C9">
              <w:rPr>
                <w:sz w:val="20"/>
                <w:szCs w:val="20"/>
                <w:lang w:val="en-AU"/>
              </w:rPr>
              <w:t>Milk Vat (dairy industry)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r w:rsidRPr="006C280A">
              <w:rPr>
                <w:sz w:val="20"/>
                <w:szCs w:val="20"/>
                <w:vertAlign w:val="superscript"/>
                <w:lang w:val="en-AU"/>
              </w:rPr>
              <w:t>MV</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Pr>
                <w:sz w:val="20"/>
                <w:szCs w:val="20"/>
                <w:lang w:val="en-AU"/>
              </w:rPr>
              <w:t>Y</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 and DI</w:t>
            </w:r>
          </w:p>
        </w:tc>
      </w:tr>
      <w:tr w:rsidR="009519E2" w:rsidRPr="00464D36" w:rsidTr="009519E2">
        <w:trPr>
          <w:trHeight w:val="280"/>
        </w:trPr>
        <w:tc>
          <w:tcPr>
            <w:tcW w:w="3969" w:type="dxa"/>
            <w:tcBorders>
              <w:top w:val="single" w:sz="4" w:space="0" w:color="auto"/>
              <w:left w:val="single" w:sz="4" w:space="0" w:color="auto"/>
              <w:bottom w:val="single" w:sz="4" w:space="0" w:color="auto"/>
              <w:right w:val="nil"/>
            </w:tcBorders>
            <w:shd w:val="clear" w:color="auto" w:fill="auto"/>
            <w:vAlign w:val="center"/>
          </w:tcPr>
          <w:p w:rsidR="009519E2" w:rsidRPr="00A362C9" w:rsidRDefault="009519E2" w:rsidP="005F464D">
            <w:pPr>
              <w:spacing w:before="0"/>
              <w:ind w:firstLineChars="100" w:firstLine="200"/>
              <w:rPr>
                <w:sz w:val="20"/>
                <w:szCs w:val="20"/>
                <w:lang w:val="en-AU"/>
              </w:rPr>
            </w:pPr>
            <w:r w:rsidRPr="00A362C9">
              <w:rPr>
                <w:sz w:val="20"/>
                <w:szCs w:val="20"/>
                <w:lang w:val="en-AU"/>
              </w:rPr>
              <w:t>Self-contained equipment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 xml:space="preserve"> 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 and DI</w:t>
            </w:r>
          </w:p>
        </w:tc>
      </w:tr>
      <w:tr w:rsidR="009519E2" w:rsidRPr="00464D36" w:rsidTr="002E088B">
        <w:trPr>
          <w:trHeight w:val="280"/>
        </w:trPr>
        <w:tc>
          <w:tcPr>
            <w:tcW w:w="3969" w:type="dxa"/>
            <w:tcBorders>
              <w:top w:val="single" w:sz="4" w:space="0" w:color="auto"/>
              <w:left w:val="single" w:sz="4" w:space="0" w:color="auto"/>
              <w:bottom w:val="single" w:sz="4" w:space="0" w:color="auto"/>
              <w:right w:val="nil"/>
            </w:tcBorders>
            <w:shd w:val="clear" w:color="auto" w:fill="auto"/>
            <w:vAlign w:val="center"/>
          </w:tcPr>
          <w:p w:rsidR="009519E2" w:rsidRPr="00A362C9" w:rsidRDefault="009519E2" w:rsidP="005F464D">
            <w:pPr>
              <w:spacing w:before="0"/>
              <w:ind w:firstLineChars="100" w:firstLine="200"/>
              <w:rPr>
                <w:sz w:val="20"/>
                <w:szCs w:val="20"/>
                <w:lang w:val="en-AU"/>
              </w:rPr>
            </w:pPr>
            <w:r w:rsidRPr="00A362C9">
              <w:rPr>
                <w:sz w:val="20"/>
                <w:szCs w:val="20"/>
                <w:lang w:val="en-AU"/>
              </w:rPr>
              <w:t>Domestic refrigerators and freezers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r w:rsidRPr="00BD376E">
              <w:rPr>
                <w:sz w:val="20"/>
                <w:szCs w:val="20"/>
                <w:vertAlign w:val="superscript"/>
                <w:lang w:val="en-AU"/>
              </w:rPr>
              <w:t>DR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 and DI</w:t>
            </w:r>
          </w:p>
        </w:tc>
      </w:tr>
      <w:tr w:rsidR="009519E2" w:rsidRPr="00464D36" w:rsidTr="002E088B">
        <w:trPr>
          <w:trHeight w:val="280"/>
        </w:trPr>
        <w:tc>
          <w:tcPr>
            <w:tcW w:w="3969" w:type="dxa"/>
            <w:tcBorders>
              <w:top w:val="single" w:sz="4" w:space="0" w:color="auto"/>
              <w:left w:val="single" w:sz="4" w:space="0" w:color="auto"/>
              <w:bottom w:val="single" w:sz="4" w:space="0" w:color="auto"/>
              <w:right w:val="nil"/>
            </w:tcBorders>
            <w:shd w:val="clear" w:color="auto" w:fill="auto"/>
            <w:vAlign w:val="center"/>
          </w:tcPr>
          <w:p w:rsidR="009519E2" w:rsidRPr="00A362C9" w:rsidRDefault="009519E2" w:rsidP="005F464D">
            <w:pPr>
              <w:spacing w:before="0"/>
              <w:rPr>
                <w:b/>
                <w:bCs/>
                <w:sz w:val="20"/>
                <w:szCs w:val="20"/>
                <w:lang w:val="en-AU"/>
              </w:rPr>
            </w:pPr>
            <w:r w:rsidRPr="00A362C9">
              <w:rPr>
                <w:b/>
                <w:bCs/>
                <w:sz w:val="20"/>
                <w:szCs w:val="20"/>
                <w:lang w:val="en-AU"/>
              </w:rPr>
              <w:t>Mobile AC</w:t>
            </w:r>
          </w:p>
        </w:tc>
        <w:tc>
          <w:tcPr>
            <w:tcW w:w="935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 </w:t>
            </w:r>
          </w:p>
        </w:tc>
      </w:tr>
      <w:tr w:rsidR="009519E2" w:rsidRPr="00464D36" w:rsidTr="009519E2">
        <w:trPr>
          <w:trHeight w:val="280"/>
        </w:trPr>
        <w:tc>
          <w:tcPr>
            <w:tcW w:w="3969" w:type="dxa"/>
            <w:tcBorders>
              <w:top w:val="single" w:sz="4" w:space="0" w:color="auto"/>
              <w:left w:val="single" w:sz="4" w:space="0" w:color="auto"/>
              <w:bottom w:val="single" w:sz="4" w:space="0" w:color="auto"/>
              <w:right w:val="nil"/>
            </w:tcBorders>
            <w:shd w:val="clear" w:color="auto" w:fill="auto"/>
            <w:noWrap/>
            <w:vAlign w:val="bottom"/>
          </w:tcPr>
          <w:p w:rsidR="009519E2" w:rsidRPr="00A362C9" w:rsidRDefault="009519E2" w:rsidP="005F464D">
            <w:pPr>
              <w:spacing w:before="0"/>
              <w:ind w:firstLineChars="100" w:firstLine="200"/>
              <w:rPr>
                <w:sz w:val="20"/>
                <w:szCs w:val="20"/>
                <w:lang w:val="en-AU"/>
              </w:rPr>
            </w:pPr>
            <w:r w:rsidRPr="00A362C9">
              <w:rPr>
                <w:sz w:val="20"/>
                <w:szCs w:val="20"/>
                <w:lang w:val="en-AU"/>
              </w:rPr>
              <w:t>Passenger and light commercial vehicles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Pr>
                <w:sz w:val="20"/>
                <w:szCs w:val="20"/>
                <w:lang w:val="en-AU"/>
              </w:rPr>
              <w:t>Y</w:t>
            </w:r>
            <w:r w:rsidRPr="00BD376E">
              <w:rPr>
                <w:sz w:val="20"/>
                <w:szCs w:val="20"/>
                <w:vertAlign w:val="superscript"/>
                <w:lang w:val="en-AU"/>
              </w:rPr>
              <w:t>MAC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Pr>
                <w:sz w:val="20"/>
                <w:szCs w:val="20"/>
                <w:lang w:val="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8D70D1" w:rsidP="005F464D">
            <w:pPr>
              <w:spacing w:before="0"/>
              <w:jc w:val="center"/>
              <w:rPr>
                <w:sz w:val="20"/>
                <w:szCs w:val="20"/>
                <w:lang w:val="en-AU"/>
              </w:rPr>
            </w:pPr>
            <w:r>
              <w:rPr>
                <w:sz w:val="20"/>
                <w:szCs w:val="20"/>
                <w:lang w:val="en-AU"/>
              </w:rPr>
              <w:t>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 and DI</w:t>
            </w:r>
          </w:p>
        </w:tc>
      </w:tr>
      <w:tr w:rsidR="009519E2" w:rsidRPr="00464D36" w:rsidTr="009519E2">
        <w:trPr>
          <w:trHeight w:val="280"/>
        </w:trPr>
        <w:tc>
          <w:tcPr>
            <w:tcW w:w="3969" w:type="dxa"/>
            <w:tcBorders>
              <w:top w:val="single" w:sz="4" w:space="0" w:color="auto"/>
              <w:left w:val="single" w:sz="4" w:space="0" w:color="auto"/>
              <w:bottom w:val="single" w:sz="4" w:space="0" w:color="auto"/>
              <w:right w:val="nil"/>
            </w:tcBorders>
            <w:shd w:val="clear" w:color="auto" w:fill="auto"/>
            <w:noWrap/>
            <w:vAlign w:val="bottom"/>
          </w:tcPr>
          <w:p w:rsidR="009519E2" w:rsidRPr="00A362C9" w:rsidRDefault="009519E2" w:rsidP="005F464D">
            <w:pPr>
              <w:spacing w:before="0"/>
              <w:ind w:firstLineChars="100" w:firstLine="200"/>
              <w:rPr>
                <w:sz w:val="20"/>
                <w:szCs w:val="20"/>
                <w:lang w:val="en-AU"/>
              </w:rPr>
            </w:pPr>
            <w:r w:rsidRPr="00A362C9">
              <w:rPr>
                <w:sz w:val="20"/>
                <w:szCs w:val="20"/>
                <w:lang w:val="en-AU"/>
              </w:rPr>
              <w:t>Commuter vehicles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8D70D1" w:rsidP="005F464D">
            <w:pPr>
              <w:spacing w:before="0"/>
              <w:jc w:val="center"/>
              <w:rPr>
                <w:sz w:val="20"/>
                <w:szCs w:val="20"/>
                <w:lang w:val="en-AU"/>
              </w:rPr>
            </w:pPr>
            <w:r>
              <w:rPr>
                <w:sz w:val="20"/>
                <w:szCs w:val="20"/>
                <w:lang w:val="en-AU"/>
              </w:rPr>
              <w:t>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 and DI</w:t>
            </w:r>
          </w:p>
        </w:tc>
      </w:tr>
      <w:tr w:rsidR="009519E2" w:rsidRPr="00464D36" w:rsidTr="009519E2">
        <w:trPr>
          <w:trHeight w:val="280"/>
        </w:trPr>
        <w:tc>
          <w:tcPr>
            <w:tcW w:w="3969" w:type="dxa"/>
            <w:tcBorders>
              <w:top w:val="single" w:sz="4" w:space="0" w:color="auto"/>
              <w:left w:val="single" w:sz="4" w:space="0" w:color="auto"/>
              <w:bottom w:val="single" w:sz="4" w:space="0" w:color="auto"/>
              <w:right w:val="nil"/>
            </w:tcBorders>
            <w:shd w:val="clear" w:color="auto" w:fill="auto"/>
            <w:noWrap/>
            <w:vAlign w:val="bottom"/>
          </w:tcPr>
          <w:p w:rsidR="009519E2" w:rsidRPr="00A362C9" w:rsidRDefault="009519E2" w:rsidP="005F464D">
            <w:pPr>
              <w:spacing w:before="0"/>
              <w:ind w:firstLineChars="100" w:firstLine="200"/>
              <w:rPr>
                <w:sz w:val="20"/>
                <w:szCs w:val="20"/>
                <w:lang w:val="en-AU"/>
              </w:rPr>
            </w:pPr>
            <w:r w:rsidRPr="00A362C9">
              <w:rPr>
                <w:sz w:val="20"/>
                <w:szCs w:val="20"/>
                <w:lang w:val="en-AU"/>
              </w:rPr>
              <w:t>Buses (&gt;7m in length)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3C099D">
            <w:pPr>
              <w:spacing w:before="0"/>
              <w:jc w:val="center"/>
              <w:rPr>
                <w:sz w:val="20"/>
                <w:szCs w:val="20"/>
                <w:lang w:val="en-AU"/>
              </w:rPr>
            </w:pPr>
            <w:r w:rsidRPr="003C099D">
              <w:rPr>
                <w:sz w:val="20"/>
                <w:szCs w:val="20"/>
                <w:lang w:val="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 and DI</w:t>
            </w:r>
          </w:p>
        </w:tc>
      </w:tr>
      <w:tr w:rsidR="009519E2" w:rsidRPr="00464D36" w:rsidTr="009519E2">
        <w:trPr>
          <w:trHeight w:val="280"/>
        </w:trPr>
        <w:tc>
          <w:tcPr>
            <w:tcW w:w="3969" w:type="dxa"/>
            <w:tcBorders>
              <w:top w:val="single" w:sz="4" w:space="0" w:color="auto"/>
              <w:left w:val="single" w:sz="4" w:space="0" w:color="auto"/>
              <w:bottom w:val="single" w:sz="4" w:space="0" w:color="auto"/>
              <w:right w:val="nil"/>
            </w:tcBorders>
            <w:shd w:val="clear" w:color="auto" w:fill="auto"/>
            <w:noWrap/>
            <w:vAlign w:val="bottom"/>
          </w:tcPr>
          <w:p w:rsidR="009519E2" w:rsidRPr="00A362C9" w:rsidRDefault="009519E2" w:rsidP="005F464D">
            <w:pPr>
              <w:spacing w:before="0"/>
              <w:ind w:firstLineChars="100" w:firstLine="200"/>
              <w:rPr>
                <w:sz w:val="20"/>
                <w:szCs w:val="20"/>
                <w:lang w:val="en-AU"/>
              </w:rPr>
            </w:pPr>
            <w:r w:rsidRPr="00A362C9">
              <w:rPr>
                <w:sz w:val="20"/>
                <w:szCs w:val="20"/>
                <w:lang w:val="en-AU"/>
              </w:rPr>
              <w:t>Passenger rail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8D70D1" w:rsidP="005F464D">
            <w:pPr>
              <w:spacing w:before="0"/>
              <w:jc w:val="center"/>
              <w:rPr>
                <w:sz w:val="20"/>
                <w:szCs w:val="20"/>
                <w:lang w:val="en-AU"/>
              </w:rPr>
            </w:pPr>
            <w:r>
              <w:rPr>
                <w:sz w:val="20"/>
                <w:szCs w:val="20"/>
                <w:lang w:val="en-AU"/>
              </w:rPr>
              <w:t>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 and DI</w:t>
            </w:r>
          </w:p>
        </w:tc>
      </w:tr>
      <w:tr w:rsidR="009519E2" w:rsidRPr="00464D36" w:rsidTr="009519E2">
        <w:trPr>
          <w:trHeight w:val="280"/>
        </w:trPr>
        <w:tc>
          <w:tcPr>
            <w:tcW w:w="1332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519E2" w:rsidRPr="00A362C9" w:rsidRDefault="009519E2" w:rsidP="005F464D">
            <w:pPr>
              <w:spacing w:before="0"/>
              <w:jc w:val="center"/>
              <w:rPr>
                <w:sz w:val="20"/>
                <w:szCs w:val="20"/>
                <w:lang w:val="en-AU"/>
              </w:rPr>
            </w:pPr>
          </w:p>
        </w:tc>
      </w:tr>
    </w:tbl>
    <w:p w:rsidR="009519E2" w:rsidRDefault="009519E2" w:rsidP="005F464D">
      <w:pPr>
        <w:spacing w:before="0"/>
        <w:rPr>
          <w:color w:val="000000"/>
        </w:rPr>
      </w:pPr>
      <w:r>
        <w:t xml:space="preserve">Refer notes on </w:t>
      </w:r>
      <w:r>
        <w:rPr>
          <w:color w:val="000000"/>
        </w:rPr>
        <w:t>following page.</w:t>
      </w:r>
    </w:p>
    <w:p w:rsidR="009519E2" w:rsidRPr="001107FF" w:rsidRDefault="009519E2" w:rsidP="005F464D">
      <w:pPr>
        <w:spacing w:before="0"/>
        <w:rPr>
          <w:b/>
        </w:rPr>
      </w:pPr>
      <w:r>
        <w:br w:type="page"/>
      </w:r>
      <w:r w:rsidRPr="001107FF">
        <w:rPr>
          <w:b/>
        </w:rPr>
        <w:t xml:space="preserve">Current and future potential for </w:t>
      </w:r>
      <w:r w:rsidR="005F464D">
        <w:rPr>
          <w:b/>
        </w:rPr>
        <w:t xml:space="preserve">nil and </w:t>
      </w:r>
      <w:r w:rsidRPr="001107FF">
        <w:rPr>
          <w:b/>
        </w:rPr>
        <w:t>low</w:t>
      </w:r>
      <w:r w:rsidR="005F464D">
        <w:rPr>
          <w:b/>
        </w:rPr>
        <w:t>er</w:t>
      </w:r>
      <w:r w:rsidRPr="001107FF">
        <w:rPr>
          <w:b/>
        </w:rPr>
        <w:t xml:space="preserve"> GWP options (continued)</w:t>
      </w:r>
    </w:p>
    <w:tbl>
      <w:tblPr>
        <w:tblW w:w="13325" w:type="dxa"/>
        <w:tblInd w:w="108" w:type="dxa"/>
        <w:tblLayout w:type="fixed"/>
        <w:tblLook w:val="0000"/>
      </w:tblPr>
      <w:tblGrid>
        <w:gridCol w:w="3969"/>
        <w:gridCol w:w="1276"/>
        <w:gridCol w:w="1134"/>
        <w:gridCol w:w="1276"/>
        <w:gridCol w:w="1134"/>
        <w:gridCol w:w="992"/>
        <w:gridCol w:w="992"/>
        <w:gridCol w:w="993"/>
        <w:gridCol w:w="1559"/>
      </w:tblGrid>
      <w:tr w:rsidR="009519E2" w:rsidRPr="00464D36" w:rsidTr="001F56BA">
        <w:trPr>
          <w:trHeight w:val="440"/>
        </w:trPr>
        <w:tc>
          <w:tcPr>
            <w:tcW w:w="3969" w:type="dxa"/>
            <w:vMerge w:val="restart"/>
            <w:tcBorders>
              <w:top w:val="nil"/>
              <w:left w:val="single" w:sz="4" w:space="0" w:color="000000"/>
              <w:bottom w:val="single" w:sz="4" w:space="0" w:color="000000"/>
              <w:right w:val="single" w:sz="4" w:space="0" w:color="FFFFFF"/>
            </w:tcBorders>
            <w:shd w:val="clear" w:color="auto" w:fill="000000"/>
            <w:noWrap/>
            <w:vAlign w:val="center"/>
          </w:tcPr>
          <w:p w:rsidR="009519E2" w:rsidRPr="00464D36" w:rsidRDefault="009519E2" w:rsidP="005F464D">
            <w:pPr>
              <w:spacing w:before="0"/>
              <w:rPr>
                <w:color w:val="FFFFFF"/>
                <w:szCs w:val="20"/>
                <w:lang w:val="en-AU"/>
              </w:rPr>
            </w:pPr>
            <w:r w:rsidRPr="00464D36">
              <w:rPr>
                <w:color w:val="FFFFFF"/>
                <w:szCs w:val="20"/>
                <w:lang w:val="en-AU"/>
              </w:rPr>
              <w:t>Application</w:t>
            </w:r>
          </w:p>
        </w:tc>
        <w:tc>
          <w:tcPr>
            <w:tcW w:w="4820" w:type="dxa"/>
            <w:gridSpan w:val="4"/>
            <w:tcBorders>
              <w:top w:val="single" w:sz="4" w:space="0" w:color="auto"/>
              <w:left w:val="single" w:sz="4" w:space="0" w:color="FFFFFF"/>
              <w:bottom w:val="single" w:sz="4" w:space="0" w:color="FFFFFF"/>
              <w:right w:val="single" w:sz="4" w:space="0" w:color="FFFFFF"/>
            </w:tcBorders>
            <w:shd w:val="clear" w:color="auto" w:fill="000000"/>
            <w:noWrap/>
            <w:vAlign w:val="center"/>
          </w:tcPr>
          <w:p w:rsidR="009519E2" w:rsidRPr="00464D36" w:rsidRDefault="009519E2" w:rsidP="005F464D">
            <w:pPr>
              <w:spacing w:before="0"/>
              <w:jc w:val="center"/>
              <w:rPr>
                <w:szCs w:val="20"/>
                <w:lang w:val="en-AU"/>
              </w:rPr>
            </w:pPr>
            <w:r w:rsidRPr="00464D36">
              <w:rPr>
                <w:szCs w:val="20"/>
                <w:lang w:val="en-AU"/>
              </w:rPr>
              <w:t>Currently available in new equipment</w:t>
            </w:r>
          </w:p>
        </w:tc>
        <w:tc>
          <w:tcPr>
            <w:tcW w:w="4536" w:type="dxa"/>
            <w:gridSpan w:val="4"/>
            <w:tcBorders>
              <w:top w:val="single" w:sz="4" w:space="0" w:color="auto"/>
              <w:left w:val="single" w:sz="4" w:space="0" w:color="FFFFFF"/>
              <w:bottom w:val="single" w:sz="4" w:space="0" w:color="FFFFFF"/>
              <w:right w:val="single" w:sz="4" w:space="0" w:color="auto"/>
            </w:tcBorders>
            <w:shd w:val="clear" w:color="auto" w:fill="000000"/>
            <w:noWrap/>
            <w:vAlign w:val="center"/>
          </w:tcPr>
          <w:p w:rsidR="009519E2" w:rsidRPr="00464D36" w:rsidRDefault="009519E2" w:rsidP="005F464D">
            <w:pPr>
              <w:spacing w:before="0"/>
              <w:jc w:val="center"/>
              <w:rPr>
                <w:szCs w:val="20"/>
                <w:lang w:val="en-AU"/>
              </w:rPr>
            </w:pPr>
            <w:r w:rsidRPr="00464D36">
              <w:rPr>
                <w:szCs w:val="20"/>
                <w:lang w:val="en-AU"/>
              </w:rPr>
              <w:t>Viable and under development</w:t>
            </w:r>
          </w:p>
        </w:tc>
      </w:tr>
      <w:tr w:rsidR="009519E2" w:rsidRPr="00464D36" w:rsidTr="001F56BA">
        <w:trPr>
          <w:trHeight w:val="440"/>
        </w:trPr>
        <w:tc>
          <w:tcPr>
            <w:tcW w:w="3969" w:type="dxa"/>
            <w:vMerge/>
            <w:tcBorders>
              <w:top w:val="single" w:sz="4" w:space="0" w:color="000000"/>
              <w:left w:val="single" w:sz="4" w:space="0" w:color="000000"/>
              <w:bottom w:val="single" w:sz="4" w:space="0" w:color="000000"/>
              <w:right w:val="single" w:sz="4" w:space="0" w:color="FFFFFF"/>
            </w:tcBorders>
            <w:shd w:val="clear" w:color="auto" w:fill="000000"/>
            <w:vAlign w:val="center"/>
          </w:tcPr>
          <w:p w:rsidR="009519E2" w:rsidRPr="00464D36" w:rsidRDefault="009519E2" w:rsidP="005F464D">
            <w:pPr>
              <w:spacing w:before="0"/>
              <w:rPr>
                <w:color w:val="FFFFFF"/>
                <w:szCs w:val="20"/>
                <w:lang w:val="en-AU"/>
              </w:rPr>
            </w:pPr>
          </w:p>
        </w:tc>
        <w:tc>
          <w:tcPr>
            <w:tcW w:w="1276" w:type="dxa"/>
            <w:tcBorders>
              <w:top w:val="single" w:sz="4" w:space="0" w:color="FFFFFF"/>
              <w:left w:val="single" w:sz="4" w:space="0" w:color="FFFFFF"/>
              <w:bottom w:val="single" w:sz="4" w:space="0" w:color="auto"/>
              <w:right w:val="single" w:sz="4" w:space="0" w:color="FFFFFF"/>
            </w:tcBorders>
            <w:shd w:val="clear" w:color="auto" w:fill="000000"/>
            <w:noWrap/>
            <w:vAlign w:val="center"/>
          </w:tcPr>
          <w:p w:rsidR="009519E2" w:rsidRPr="00464D36" w:rsidRDefault="009519E2" w:rsidP="005F464D">
            <w:pPr>
              <w:spacing w:before="0"/>
              <w:jc w:val="center"/>
              <w:rPr>
                <w:szCs w:val="20"/>
                <w:lang w:val="en-AU"/>
              </w:rPr>
            </w:pPr>
            <w:r w:rsidRPr="00464D36">
              <w:rPr>
                <w:szCs w:val="20"/>
                <w:lang w:val="en-AU"/>
              </w:rPr>
              <w:t>HC</w:t>
            </w:r>
          </w:p>
        </w:tc>
        <w:tc>
          <w:tcPr>
            <w:tcW w:w="1134" w:type="dxa"/>
            <w:tcBorders>
              <w:top w:val="single" w:sz="4" w:space="0" w:color="FFFFFF"/>
              <w:left w:val="single" w:sz="4" w:space="0" w:color="FFFFFF"/>
              <w:bottom w:val="single" w:sz="4" w:space="0" w:color="auto"/>
              <w:right w:val="single" w:sz="4" w:space="0" w:color="FFFFFF"/>
            </w:tcBorders>
            <w:shd w:val="clear" w:color="auto" w:fill="000000"/>
            <w:noWrap/>
            <w:vAlign w:val="center"/>
          </w:tcPr>
          <w:p w:rsidR="009519E2" w:rsidRPr="00464D36" w:rsidRDefault="009519E2" w:rsidP="005F464D">
            <w:pPr>
              <w:spacing w:before="0"/>
              <w:jc w:val="center"/>
              <w:rPr>
                <w:szCs w:val="20"/>
                <w:lang w:val="en-AU"/>
              </w:rPr>
            </w:pPr>
            <w:r w:rsidRPr="00464D36">
              <w:rPr>
                <w:szCs w:val="20"/>
                <w:lang w:val="en-AU"/>
              </w:rPr>
              <w:t>R717</w:t>
            </w:r>
          </w:p>
        </w:tc>
        <w:tc>
          <w:tcPr>
            <w:tcW w:w="1276" w:type="dxa"/>
            <w:tcBorders>
              <w:top w:val="single" w:sz="4" w:space="0" w:color="FFFFFF"/>
              <w:left w:val="single" w:sz="4" w:space="0" w:color="FFFFFF"/>
              <w:bottom w:val="single" w:sz="4" w:space="0" w:color="auto"/>
              <w:right w:val="single" w:sz="4" w:space="0" w:color="FFFFFF"/>
            </w:tcBorders>
            <w:shd w:val="clear" w:color="auto" w:fill="000000"/>
            <w:noWrap/>
            <w:vAlign w:val="center"/>
          </w:tcPr>
          <w:p w:rsidR="009519E2" w:rsidRPr="00464D36" w:rsidRDefault="009519E2" w:rsidP="005F464D">
            <w:pPr>
              <w:spacing w:before="0"/>
              <w:jc w:val="center"/>
              <w:rPr>
                <w:szCs w:val="20"/>
                <w:lang w:val="en-AU"/>
              </w:rPr>
            </w:pPr>
            <w:r w:rsidRPr="00464D36">
              <w:rPr>
                <w:szCs w:val="20"/>
                <w:lang w:val="en-AU"/>
              </w:rPr>
              <w:t>R744</w:t>
            </w:r>
          </w:p>
        </w:tc>
        <w:tc>
          <w:tcPr>
            <w:tcW w:w="1134" w:type="dxa"/>
            <w:tcBorders>
              <w:top w:val="single" w:sz="4" w:space="0" w:color="FFFFFF"/>
              <w:left w:val="single" w:sz="4" w:space="0" w:color="FFFFFF"/>
              <w:bottom w:val="single" w:sz="4" w:space="0" w:color="auto"/>
              <w:right w:val="single" w:sz="4" w:space="0" w:color="FFFFFF"/>
            </w:tcBorders>
            <w:shd w:val="clear" w:color="auto" w:fill="000000"/>
            <w:noWrap/>
            <w:vAlign w:val="center"/>
          </w:tcPr>
          <w:p w:rsidR="009519E2" w:rsidRPr="00464D36" w:rsidRDefault="009519E2" w:rsidP="005F464D">
            <w:pPr>
              <w:spacing w:before="0"/>
              <w:jc w:val="center"/>
              <w:rPr>
                <w:szCs w:val="20"/>
                <w:lang w:val="en-AU"/>
              </w:rPr>
            </w:pPr>
            <w:r w:rsidRPr="00464D36">
              <w:rPr>
                <w:szCs w:val="20"/>
                <w:lang w:val="en-AU"/>
              </w:rPr>
              <w:t>HFO</w:t>
            </w:r>
          </w:p>
        </w:tc>
        <w:tc>
          <w:tcPr>
            <w:tcW w:w="992" w:type="dxa"/>
            <w:tcBorders>
              <w:top w:val="single" w:sz="4" w:space="0" w:color="FFFFFF"/>
              <w:left w:val="single" w:sz="4" w:space="0" w:color="FFFFFF"/>
              <w:bottom w:val="single" w:sz="4" w:space="0" w:color="auto"/>
              <w:right w:val="single" w:sz="4" w:space="0" w:color="FFFFFF"/>
            </w:tcBorders>
            <w:shd w:val="clear" w:color="auto" w:fill="000000"/>
            <w:noWrap/>
            <w:vAlign w:val="center"/>
          </w:tcPr>
          <w:p w:rsidR="009519E2" w:rsidRPr="00464D36" w:rsidRDefault="009519E2" w:rsidP="005F464D">
            <w:pPr>
              <w:spacing w:before="0"/>
              <w:jc w:val="center"/>
              <w:rPr>
                <w:szCs w:val="20"/>
                <w:lang w:val="en-AU"/>
              </w:rPr>
            </w:pPr>
            <w:r w:rsidRPr="00464D36">
              <w:rPr>
                <w:szCs w:val="20"/>
                <w:lang w:val="en-AU"/>
              </w:rPr>
              <w:t>HC</w:t>
            </w:r>
          </w:p>
        </w:tc>
        <w:tc>
          <w:tcPr>
            <w:tcW w:w="992" w:type="dxa"/>
            <w:tcBorders>
              <w:top w:val="single" w:sz="4" w:space="0" w:color="FFFFFF"/>
              <w:left w:val="single" w:sz="4" w:space="0" w:color="FFFFFF"/>
              <w:bottom w:val="single" w:sz="4" w:space="0" w:color="auto"/>
              <w:right w:val="single" w:sz="4" w:space="0" w:color="FFFFFF"/>
            </w:tcBorders>
            <w:shd w:val="clear" w:color="auto" w:fill="000000"/>
            <w:noWrap/>
            <w:vAlign w:val="center"/>
          </w:tcPr>
          <w:p w:rsidR="009519E2" w:rsidRPr="00464D36" w:rsidRDefault="009519E2" w:rsidP="005F464D">
            <w:pPr>
              <w:spacing w:before="0"/>
              <w:jc w:val="center"/>
              <w:rPr>
                <w:szCs w:val="20"/>
                <w:lang w:val="en-AU"/>
              </w:rPr>
            </w:pPr>
            <w:r w:rsidRPr="00464D36">
              <w:rPr>
                <w:szCs w:val="20"/>
                <w:lang w:val="en-AU"/>
              </w:rPr>
              <w:t>R717</w:t>
            </w:r>
          </w:p>
        </w:tc>
        <w:tc>
          <w:tcPr>
            <w:tcW w:w="993" w:type="dxa"/>
            <w:tcBorders>
              <w:top w:val="single" w:sz="4" w:space="0" w:color="FFFFFF"/>
              <w:left w:val="single" w:sz="4" w:space="0" w:color="FFFFFF"/>
              <w:bottom w:val="single" w:sz="4" w:space="0" w:color="auto"/>
              <w:right w:val="single" w:sz="4" w:space="0" w:color="FFFFFF"/>
            </w:tcBorders>
            <w:shd w:val="clear" w:color="auto" w:fill="000000"/>
            <w:noWrap/>
            <w:vAlign w:val="center"/>
          </w:tcPr>
          <w:p w:rsidR="009519E2" w:rsidRPr="00464D36" w:rsidRDefault="009519E2" w:rsidP="005F464D">
            <w:pPr>
              <w:spacing w:before="0"/>
              <w:jc w:val="center"/>
              <w:rPr>
                <w:szCs w:val="20"/>
                <w:lang w:val="en-AU"/>
              </w:rPr>
            </w:pPr>
            <w:r w:rsidRPr="00464D36">
              <w:rPr>
                <w:szCs w:val="20"/>
                <w:lang w:val="en-AU"/>
              </w:rPr>
              <w:t>R744</w:t>
            </w:r>
          </w:p>
        </w:tc>
        <w:tc>
          <w:tcPr>
            <w:tcW w:w="1559" w:type="dxa"/>
            <w:tcBorders>
              <w:top w:val="single" w:sz="4" w:space="0" w:color="FFFFFF"/>
              <w:left w:val="single" w:sz="4" w:space="0" w:color="FFFFFF"/>
              <w:bottom w:val="single" w:sz="4" w:space="0" w:color="auto"/>
              <w:right w:val="single" w:sz="4" w:space="0" w:color="auto"/>
            </w:tcBorders>
            <w:shd w:val="clear" w:color="auto" w:fill="000000"/>
            <w:noWrap/>
            <w:vAlign w:val="center"/>
          </w:tcPr>
          <w:p w:rsidR="009519E2" w:rsidRPr="00464D36" w:rsidRDefault="009519E2" w:rsidP="005F464D">
            <w:pPr>
              <w:spacing w:before="0"/>
              <w:jc w:val="center"/>
              <w:rPr>
                <w:szCs w:val="20"/>
                <w:lang w:val="en-AU"/>
              </w:rPr>
            </w:pPr>
            <w:r w:rsidRPr="00464D36">
              <w:rPr>
                <w:szCs w:val="20"/>
                <w:lang w:val="en-AU"/>
              </w:rPr>
              <w:t>HFO</w:t>
            </w:r>
            <w:r w:rsidR="008D70D1">
              <w:rPr>
                <w:szCs w:val="20"/>
                <w:lang w:val="en-AU"/>
              </w:rPr>
              <w:t xml:space="preserve"> blends</w:t>
            </w:r>
          </w:p>
        </w:tc>
      </w:tr>
      <w:tr w:rsidR="009519E2" w:rsidRPr="00464D36" w:rsidTr="001F56BA">
        <w:trPr>
          <w:trHeight w:val="280"/>
        </w:trPr>
        <w:tc>
          <w:tcPr>
            <w:tcW w:w="3969" w:type="dxa"/>
            <w:tcBorders>
              <w:top w:val="single" w:sz="4" w:space="0" w:color="auto"/>
              <w:left w:val="single" w:sz="4" w:space="0" w:color="auto"/>
              <w:bottom w:val="single" w:sz="4" w:space="0" w:color="auto"/>
              <w:right w:val="nil"/>
            </w:tcBorders>
            <w:shd w:val="clear" w:color="auto" w:fill="auto"/>
            <w:noWrap/>
            <w:vAlign w:val="bottom"/>
          </w:tcPr>
          <w:p w:rsidR="009519E2" w:rsidRPr="00A362C9" w:rsidRDefault="009519E2" w:rsidP="005F464D">
            <w:pPr>
              <w:spacing w:before="0"/>
              <w:rPr>
                <w:b/>
                <w:bCs/>
                <w:sz w:val="20"/>
                <w:szCs w:val="20"/>
                <w:lang w:val="en-AU"/>
              </w:rPr>
            </w:pPr>
            <w:r w:rsidRPr="00A362C9">
              <w:rPr>
                <w:b/>
                <w:bCs/>
                <w:sz w:val="20"/>
                <w:szCs w:val="20"/>
                <w:lang w:val="en-AU"/>
              </w:rPr>
              <w:t>Transport Refrigeration</w:t>
            </w:r>
          </w:p>
        </w:tc>
        <w:tc>
          <w:tcPr>
            <w:tcW w:w="935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 </w:t>
            </w:r>
          </w:p>
        </w:tc>
      </w:tr>
      <w:tr w:rsidR="009519E2" w:rsidRPr="00464D36" w:rsidTr="009519E2">
        <w:trPr>
          <w:trHeight w:val="280"/>
        </w:trPr>
        <w:tc>
          <w:tcPr>
            <w:tcW w:w="3969" w:type="dxa"/>
            <w:tcBorders>
              <w:top w:val="single" w:sz="4" w:space="0" w:color="auto"/>
              <w:left w:val="single" w:sz="4" w:space="0" w:color="auto"/>
              <w:bottom w:val="single" w:sz="4" w:space="0" w:color="auto"/>
              <w:right w:val="nil"/>
            </w:tcBorders>
            <w:shd w:val="clear" w:color="auto" w:fill="auto"/>
            <w:vAlign w:val="center"/>
          </w:tcPr>
          <w:p w:rsidR="009519E2" w:rsidRPr="00A362C9" w:rsidRDefault="009519E2" w:rsidP="005F464D">
            <w:pPr>
              <w:spacing w:before="0"/>
              <w:ind w:firstLineChars="100" w:firstLine="200"/>
              <w:rPr>
                <w:sz w:val="20"/>
                <w:szCs w:val="20"/>
                <w:lang w:val="en-AU"/>
              </w:rPr>
            </w:pPr>
            <w:r w:rsidRPr="00A362C9">
              <w:rPr>
                <w:sz w:val="20"/>
                <w:szCs w:val="20"/>
                <w:lang w:val="en-AU"/>
              </w:rPr>
              <w:t>Truck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 and DI</w:t>
            </w:r>
          </w:p>
        </w:tc>
      </w:tr>
      <w:tr w:rsidR="009519E2" w:rsidRPr="00464D36" w:rsidTr="009519E2">
        <w:trPr>
          <w:trHeight w:val="280"/>
        </w:trPr>
        <w:tc>
          <w:tcPr>
            <w:tcW w:w="3969" w:type="dxa"/>
            <w:tcBorders>
              <w:top w:val="single" w:sz="4" w:space="0" w:color="auto"/>
              <w:left w:val="single" w:sz="4" w:space="0" w:color="auto"/>
              <w:bottom w:val="single" w:sz="4" w:space="0" w:color="auto"/>
              <w:right w:val="nil"/>
            </w:tcBorders>
            <w:shd w:val="clear" w:color="auto" w:fill="auto"/>
            <w:vAlign w:val="center"/>
          </w:tcPr>
          <w:p w:rsidR="009519E2" w:rsidRPr="00A362C9" w:rsidRDefault="009519E2" w:rsidP="005F464D">
            <w:pPr>
              <w:spacing w:before="0"/>
              <w:ind w:firstLineChars="100" w:firstLine="200"/>
              <w:rPr>
                <w:sz w:val="20"/>
                <w:szCs w:val="20"/>
                <w:lang w:val="en-AU"/>
              </w:rPr>
            </w:pPr>
            <w:r w:rsidRPr="00A362C9">
              <w:rPr>
                <w:sz w:val="20"/>
                <w:szCs w:val="20"/>
                <w:lang w:val="en-AU"/>
              </w:rPr>
              <w:t>Fishing vessels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r w:rsidRPr="00BD376E">
              <w:rPr>
                <w:sz w:val="20"/>
                <w:szCs w:val="20"/>
                <w:vertAlign w:val="superscript"/>
                <w:lang w:val="en-AU"/>
              </w:rPr>
              <w:t>FV</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r w:rsidRPr="00BD376E">
              <w:rPr>
                <w:sz w:val="20"/>
                <w:szCs w:val="20"/>
                <w:vertAlign w:val="superscript"/>
                <w:lang w:val="en-AU"/>
              </w:rPr>
              <w:t>FV</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Pr>
                <w:sz w:val="20"/>
                <w:szCs w:val="20"/>
                <w:lang w:val="en-AU"/>
              </w:rPr>
              <w:t>Y</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r w:rsidRPr="00A362C9">
              <w:rPr>
                <w:sz w:val="20"/>
                <w:szCs w:val="20"/>
                <w:lang w:val="en-AU"/>
              </w:rPr>
              <w:t>Y and DI</w:t>
            </w:r>
          </w:p>
        </w:tc>
      </w:tr>
      <w:tr w:rsidR="009519E2" w:rsidRPr="00464D36" w:rsidTr="009519E2">
        <w:trPr>
          <w:trHeight w:val="280"/>
        </w:trPr>
        <w:tc>
          <w:tcPr>
            <w:tcW w:w="3969" w:type="dxa"/>
            <w:tcBorders>
              <w:top w:val="single" w:sz="4" w:space="0" w:color="auto"/>
              <w:left w:val="single" w:sz="4" w:space="0" w:color="auto"/>
              <w:bottom w:val="single" w:sz="4" w:space="0" w:color="auto"/>
              <w:right w:val="nil"/>
            </w:tcBorders>
            <w:shd w:val="clear" w:color="auto" w:fill="auto"/>
            <w:vAlign w:val="center"/>
          </w:tcPr>
          <w:p w:rsidR="009519E2" w:rsidRPr="00A362C9" w:rsidRDefault="009519E2" w:rsidP="005F464D">
            <w:pPr>
              <w:spacing w:before="0"/>
              <w:rPr>
                <w:sz w:val="20"/>
                <w:szCs w:val="20"/>
                <w:lang w:val="en-AU"/>
              </w:rPr>
            </w:pPr>
            <w:r w:rsidRPr="00A362C9">
              <w:rPr>
                <w:b/>
                <w:bCs/>
                <w:sz w:val="20"/>
                <w:szCs w:val="20"/>
                <w:lang w:val="en-AU"/>
              </w:rPr>
              <w:t>Other applications</w:t>
            </w:r>
          </w:p>
        </w:tc>
        <w:tc>
          <w:tcPr>
            <w:tcW w:w="935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szCs w:val="20"/>
                <w:lang w:val="en-AU"/>
              </w:rPr>
            </w:pPr>
          </w:p>
        </w:tc>
      </w:tr>
      <w:tr w:rsidR="009519E2" w:rsidRPr="00464D36" w:rsidTr="009519E2">
        <w:trPr>
          <w:trHeight w:val="280"/>
        </w:trPr>
        <w:tc>
          <w:tcPr>
            <w:tcW w:w="3969" w:type="dxa"/>
            <w:tcBorders>
              <w:top w:val="single" w:sz="4" w:space="0" w:color="auto"/>
              <w:left w:val="single" w:sz="4" w:space="0" w:color="auto"/>
              <w:bottom w:val="single" w:sz="4" w:space="0" w:color="auto"/>
              <w:right w:val="nil"/>
            </w:tcBorders>
            <w:shd w:val="clear" w:color="auto" w:fill="auto"/>
            <w:vAlign w:val="center"/>
          </w:tcPr>
          <w:p w:rsidR="009519E2" w:rsidRPr="00A362C9" w:rsidRDefault="009519E2" w:rsidP="005F464D">
            <w:pPr>
              <w:spacing w:before="0"/>
              <w:ind w:firstLineChars="100" w:firstLine="200"/>
              <w:rPr>
                <w:sz w:val="20"/>
              </w:rPr>
            </w:pPr>
            <w:r w:rsidRPr="00A362C9">
              <w:rPr>
                <w:sz w:val="20"/>
              </w:rPr>
              <w:t>Foam applications</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rPr>
            </w:pPr>
            <w:r w:rsidRPr="00A362C9">
              <w:rPr>
                <w:sz w:val="20"/>
              </w:rPr>
              <w:t>Y (</w:t>
            </w:r>
            <w:r>
              <w:rPr>
                <w:sz w:val="20"/>
              </w:rPr>
              <w:t>M</w:t>
            </w:r>
            <w:r w:rsidRPr="00A362C9">
              <w:rPr>
                <w:sz w:val="20"/>
              </w:rPr>
              <w:t>ost applications - variety of solutions)</w:t>
            </w: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rPr>
            </w:pPr>
            <w:r w:rsidRPr="00A362C9">
              <w:rPr>
                <w:sz w:val="20"/>
              </w:rPr>
              <w:t>Remaining applications (HFO</w:t>
            </w:r>
            <w:r>
              <w:rPr>
                <w:sz w:val="20"/>
              </w:rPr>
              <w:t>s</w:t>
            </w:r>
            <w:r w:rsidRPr="00A362C9">
              <w:rPr>
                <w:sz w:val="20"/>
              </w:rPr>
              <w:t>)</w:t>
            </w:r>
          </w:p>
        </w:tc>
      </w:tr>
      <w:tr w:rsidR="009519E2" w:rsidRPr="00464D36" w:rsidTr="009519E2">
        <w:trPr>
          <w:trHeight w:val="280"/>
        </w:trPr>
        <w:tc>
          <w:tcPr>
            <w:tcW w:w="3969" w:type="dxa"/>
            <w:tcBorders>
              <w:top w:val="single" w:sz="4" w:space="0" w:color="auto"/>
              <w:left w:val="single" w:sz="4" w:space="0" w:color="auto"/>
              <w:bottom w:val="single" w:sz="4" w:space="0" w:color="auto"/>
              <w:right w:val="nil"/>
            </w:tcBorders>
            <w:shd w:val="clear" w:color="auto" w:fill="auto"/>
            <w:vAlign w:val="center"/>
          </w:tcPr>
          <w:p w:rsidR="009519E2" w:rsidRPr="00A362C9" w:rsidRDefault="009519E2" w:rsidP="005F464D">
            <w:pPr>
              <w:spacing w:before="0"/>
              <w:ind w:firstLineChars="100" w:firstLine="200"/>
              <w:rPr>
                <w:sz w:val="20"/>
              </w:rPr>
            </w:pPr>
            <w:r w:rsidRPr="00A362C9">
              <w:rPr>
                <w:sz w:val="20"/>
              </w:rPr>
              <w:t>Fire protection</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rPr>
            </w:pPr>
            <w:r w:rsidRPr="00A362C9">
              <w:rPr>
                <w:sz w:val="20"/>
              </w:rPr>
              <w:t>Y (</w:t>
            </w:r>
            <w:r>
              <w:rPr>
                <w:sz w:val="20"/>
              </w:rPr>
              <w:t>M</w:t>
            </w:r>
            <w:r w:rsidRPr="00A362C9">
              <w:rPr>
                <w:sz w:val="20"/>
              </w:rPr>
              <w:t>ost applications - inert gas systems)</w:t>
            </w: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rPr>
            </w:pPr>
            <w:r w:rsidRPr="00A362C9">
              <w:rPr>
                <w:sz w:val="20"/>
              </w:rPr>
              <w:t>Remaining applications (HFO</w:t>
            </w:r>
            <w:r>
              <w:rPr>
                <w:sz w:val="20"/>
              </w:rPr>
              <w:t>s</w:t>
            </w:r>
            <w:r w:rsidRPr="00A362C9">
              <w:rPr>
                <w:sz w:val="20"/>
              </w:rPr>
              <w:t>)</w:t>
            </w:r>
          </w:p>
        </w:tc>
      </w:tr>
      <w:tr w:rsidR="009519E2" w:rsidRPr="00464D36" w:rsidTr="009519E2">
        <w:trPr>
          <w:trHeight w:val="280"/>
        </w:trPr>
        <w:tc>
          <w:tcPr>
            <w:tcW w:w="3969" w:type="dxa"/>
            <w:tcBorders>
              <w:top w:val="single" w:sz="4" w:space="0" w:color="auto"/>
              <w:left w:val="single" w:sz="4" w:space="0" w:color="auto"/>
              <w:bottom w:val="single" w:sz="4" w:space="0" w:color="auto"/>
              <w:right w:val="nil"/>
            </w:tcBorders>
            <w:shd w:val="clear" w:color="auto" w:fill="auto"/>
            <w:vAlign w:val="center"/>
          </w:tcPr>
          <w:p w:rsidR="009519E2" w:rsidRPr="00A362C9" w:rsidRDefault="009519E2" w:rsidP="005F464D">
            <w:pPr>
              <w:spacing w:before="0"/>
              <w:ind w:firstLineChars="100" w:firstLine="200"/>
              <w:rPr>
                <w:sz w:val="20"/>
              </w:rPr>
            </w:pPr>
            <w:r w:rsidRPr="00A362C9">
              <w:rPr>
                <w:sz w:val="20"/>
              </w:rPr>
              <w:t>Aerosols</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rPr>
            </w:pPr>
            <w:r>
              <w:rPr>
                <w:sz w:val="20"/>
              </w:rPr>
              <w:t>Y (E</w:t>
            </w:r>
            <w:r w:rsidRPr="00A362C9">
              <w:rPr>
                <w:sz w:val="20"/>
              </w:rPr>
              <w:t>xc</w:t>
            </w:r>
            <w:r>
              <w:rPr>
                <w:sz w:val="20"/>
              </w:rPr>
              <w:t>luding</w:t>
            </w:r>
            <w:r w:rsidRPr="00A362C9">
              <w:rPr>
                <w:sz w:val="20"/>
              </w:rPr>
              <w:t xml:space="preserve"> medical and hazardous area uses)</w:t>
            </w: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519E2" w:rsidRPr="00A362C9" w:rsidRDefault="009519E2" w:rsidP="005F464D">
            <w:pPr>
              <w:spacing w:before="0"/>
              <w:jc w:val="center"/>
              <w:rPr>
                <w:sz w:val="20"/>
              </w:rPr>
            </w:pPr>
            <w:r w:rsidRPr="00A362C9">
              <w:rPr>
                <w:sz w:val="20"/>
              </w:rPr>
              <w:t>Remaining applications (HFO</w:t>
            </w:r>
            <w:r>
              <w:rPr>
                <w:sz w:val="20"/>
              </w:rPr>
              <w:t>s</w:t>
            </w:r>
            <w:r w:rsidRPr="00A362C9">
              <w:rPr>
                <w:sz w:val="20"/>
              </w:rPr>
              <w:t>)</w:t>
            </w:r>
          </w:p>
        </w:tc>
      </w:tr>
      <w:tr w:rsidR="009519E2" w:rsidRPr="00464D36" w:rsidTr="009519E2">
        <w:trPr>
          <w:trHeight w:val="280"/>
        </w:trPr>
        <w:tc>
          <w:tcPr>
            <w:tcW w:w="1332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519E2" w:rsidRPr="00A362C9" w:rsidRDefault="009519E2" w:rsidP="005F464D">
            <w:pPr>
              <w:spacing w:before="0"/>
              <w:jc w:val="center"/>
              <w:rPr>
                <w:sz w:val="20"/>
                <w:szCs w:val="20"/>
                <w:lang w:val="en-AU"/>
              </w:rPr>
            </w:pPr>
          </w:p>
        </w:tc>
      </w:tr>
    </w:tbl>
    <w:p w:rsidR="009519E2" w:rsidRDefault="009519E2" w:rsidP="005F464D">
      <w:pPr>
        <w:spacing w:before="0"/>
      </w:pPr>
    </w:p>
    <w:p w:rsidR="001F56BA" w:rsidRPr="00930547" w:rsidRDefault="001F56BA" w:rsidP="001F56BA">
      <w:pPr>
        <w:spacing w:before="0"/>
        <w:rPr>
          <w:color w:val="000000"/>
          <w:szCs w:val="22"/>
        </w:rPr>
      </w:pPr>
      <w:r w:rsidRPr="00930547">
        <w:rPr>
          <w:color w:val="000000"/>
          <w:szCs w:val="22"/>
        </w:rPr>
        <w:t>Notes:</w:t>
      </w:r>
    </w:p>
    <w:p w:rsidR="001F56BA" w:rsidRPr="00930547" w:rsidRDefault="001F56BA" w:rsidP="001F56BA">
      <w:pPr>
        <w:spacing w:before="0"/>
        <w:rPr>
          <w:color w:val="000000"/>
          <w:szCs w:val="22"/>
        </w:rPr>
      </w:pPr>
      <w:r w:rsidRPr="00930547">
        <w:rPr>
          <w:color w:val="000000"/>
          <w:szCs w:val="22"/>
        </w:rPr>
        <w:t>Y = Generally yes and requires either equipment change or is available off-the-shelf in new equipment if new equipment is being purchased.</w:t>
      </w:r>
    </w:p>
    <w:p w:rsidR="001F56BA" w:rsidRPr="00930547" w:rsidRDefault="001F56BA" w:rsidP="001F56BA">
      <w:pPr>
        <w:spacing w:before="0"/>
        <w:rPr>
          <w:color w:val="000000"/>
          <w:szCs w:val="22"/>
        </w:rPr>
      </w:pPr>
      <w:r w:rsidRPr="00930547">
        <w:rPr>
          <w:color w:val="000000"/>
          <w:szCs w:val="22"/>
        </w:rPr>
        <w:t>YY = Immediate opportunity to transition (requires equipment change or is available off-the-shelf in new equipment).</w:t>
      </w:r>
    </w:p>
    <w:p w:rsidR="001F56BA" w:rsidRPr="00930547" w:rsidRDefault="001F56BA" w:rsidP="001F56BA">
      <w:pPr>
        <w:spacing w:before="0"/>
        <w:rPr>
          <w:color w:val="000000"/>
          <w:szCs w:val="22"/>
        </w:rPr>
      </w:pPr>
      <w:r w:rsidRPr="00930547">
        <w:rPr>
          <w:color w:val="000000"/>
          <w:szCs w:val="22"/>
        </w:rPr>
        <w:t>Y and DI = Generally yes and has potential to be used as a drop-in replacement for existing equipment with non flammable blends.</w:t>
      </w:r>
    </w:p>
    <w:p w:rsidR="001F56BA" w:rsidRPr="00930547" w:rsidRDefault="001F56BA" w:rsidP="001F56BA">
      <w:pPr>
        <w:spacing w:before="0"/>
        <w:rPr>
          <w:color w:val="000000"/>
          <w:szCs w:val="22"/>
        </w:rPr>
      </w:pPr>
      <w:r w:rsidRPr="00930547">
        <w:rPr>
          <w:color w:val="000000"/>
          <w:szCs w:val="22"/>
        </w:rPr>
        <w:t>N = Generally no.</w:t>
      </w:r>
    </w:p>
    <w:p w:rsidR="001F56BA" w:rsidRPr="00930547" w:rsidRDefault="001F56BA" w:rsidP="001F56BA">
      <w:pPr>
        <w:spacing w:before="0"/>
        <w:rPr>
          <w:szCs w:val="22"/>
        </w:rPr>
      </w:pPr>
      <w:r w:rsidRPr="00930547">
        <w:rPr>
          <w:color w:val="000000"/>
          <w:szCs w:val="22"/>
        </w:rPr>
        <w:t>† Not used in large systems due to charge restrictions - opportunity for self-contained and small or isolated charge systems to be used.</w:t>
      </w:r>
    </w:p>
    <w:p w:rsidR="001F56BA" w:rsidRPr="00930547" w:rsidRDefault="001F56BA" w:rsidP="001F56BA">
      <w:pPr>
        <w:spacing w:before="0"/>
        <w:rPr>
          <w:color w:val="000000"/>
          <w:szCs w:val="22"/>
        </w:rPr>
      </w:pPr>
      <w:r w:rsidRPr="00930547">
        <w:rPr>
          <w:color w:val="000000"/>
          <w:szCs w:val="22"/>
        </w:rPr>
        <w:t>†† Majority of applications are cascade systems that employ a smaller charge of high GWP HFC plus CO</w:t>
      </w:r>
      <w:r w:rsidRPr="00930547">
        <w:rPr>
          <w:color w:val="000000"/>
          <w:szCs w:val="22"/>
          <w:vertAlign w:val="subscript"/>
        </w:rPr>
        <w:t>2</w:t>
      </w:r>
      <w:r w:rsidRPr="00930547">
        <w:rPr>
          <w:color w:val="000000"/>
          <w:szCs w:val="22"/>
        </w:rPr>
        <w:t xml:space="preserve"> (R744).</w:t>
      </w:r>
    </w:p>
    <w:p w:rsidR="001F56BA" w:rsidRPr="00930547" w:rsidRDefault="001F56BA" w:rsidP="001F56BA">
      <w:pPr>
        <w:spacing w:before="0"/>
        <w:rPr>
          <w:szCs w:val="22"/>
        </w:rPr>
      </w:pPr>
      <w:r w:rsidRPr="00930547">
        <w:rPr>
          <w:color w:val="000000"/>
          <w:szCs w:val="22"/>
        </w:rPr>
        <w:t>††† Warm climate trans-critical CO</w:t>
      </w:r>
      <w:r w:rsidRPr="00930547">
        <w:rPr>
          <w:color w:val="000000"/>
          <w:szCs w:val="22"/>
          <w:vertAlign w:val="subscript"/>
        </w:rPr>
        <w:t>2</w:t>
      </w:r>
      <w:r w:rsidRPr="00930547">
        <w:rPr>
          <w:color w:val="000000"/>
          <w:szCs w:val="22"/>
        </w:rPr>
        <w:t xml:space="preserve"> systems are under development.</w:t>
      </w:r>
    </w:p>
    <w:p w:rsidR="001F56BA" w:rsidRPr="00930547" w:rsidRDefault="001F56BA" w:rsidP="001F56BA">
      <w:pPr>
        <w:spacing w:before="0"/>
        <w:rPr>
          <w:color w:val="000000"/>
          <w:szCs w:val="22"/>
        </w:rPr>
      </w:pPr>
      <w:r w:rsidRPr="00930547">
        <w:rPr>
          <w:szCs w:val="22"/>
          <w:lang w:val="en-AU"/>
        </w:rPr>
        <w:t>††††</w:t>
      </w:r>
      <w:r w:rsidRPr="00930547">
        <w:rPr>
          <w:color w:val="000000"/>
          <w:szCs w:val="22"/>
        </w:rPr>
        <w:t xml:space="preserve"> Potential drop-in replacement for advanced systems designed for this technology path.</w:t>
      </w:r>
    </w:p>
    <w:p w:rsidR="001F56BA" w:rsidRPr="00930547" w:rsidRDefault="001F56BA" w:rsidP="001F56BA">
      <w:pPr>
        <w:spacing w:before="0"/>
        <w:rPr>
          <w:szCs w:val="22"/>
          <w:lang w:val="en-AU"/>
        </w:rPr>
      </w:pPr>
      <w:r w:rsidRPr="00930547">
        <w:rPr>
          <w:szCs w:val="22"/>
          <w:vertAlign w:val="superscript"/>
          <w:lang w:val="en-AU"/>
        </w:rPr>
        <w:t>MV</w:t>
      </w:r>
      <w:r w:rsidRPr="00930547">
        <w:rPr>
          <w:szCs w:val="22"/>
          <w:lang w:val="en-AU"/>
        </w:rPr>
        <w:t xml:space="preserve"> Australian milk vat technology do not currently have ammonia (R717) options available – this option may emerge with the development of commercially available smaller scale ammonia compressors to suit the capacity range.</w:t>
      </w:r>
    </w:p>
    <w:p w:rsidR="001F56BA" w:rsidRPr="00930547" w:rsidRDefault="001F56BA" w:rsidP="001F56BA">
      <w:pPr>
        <w:spacing w:before="0"/>
        <w:rPr>
          <w:color w:val="000000"/>
          <w:szCs w:val="22"/>
        </w:rPr>
      </w:pPr>
      <w:r w:rsidRPr="00930547">
        <w:rPr>
          <w:szCs w:val="22"/>
          <w:vertAlign w:val="superscript"/>
          <w:lang w:val="en-AU"/>
        </w:rPr>
        <w:t>DR</w:t>
      </w:r>
      <w:r w:rsidRPr="00930547">
        <w:rPr>
          <w:szCs w:val="22"/>
          <w:lang w:val="en-AU"/>
        </w:rPr>
        <w:t xml:space="preserve"> Applicable to ammonia-water absorption systems that have been available for many years.</w:t>
      </w:r>
    </w:p>
    <w:p w:rsidR="001F56BA" w:rsidRPr="00930547" w:rsidRDefault="001F56BA" w:rsidP="001F56BA">
      <w:pPr>
        <w:spacing w:before="0"/>
        <w:rPr>
          <w:szCs w:val="22"/>
          <w:lang w:val="en-AU"/>
        </w:rPr>
      </w:pPr>
      <w:r w:rsidRPr="00930547">
        <w:rPr>
          <w:szCs w:val="22"/>
          <w:vertAlign w:val="superscript"/>
          <w:lang w:val="en-AU"/>
        </w:rPr>
        <w:t>MAC</w:t>
      </w:r>
      <w:r w:rsidRPr="00930547">
        <w:rPr>
          <w:szCs w:val="22"/>
          <w:lang w:val="en-AU"/>
        </w:rPr>
        <w:t xml:space="preserve"> OKA, a former minor manufacturer of specialised four-wheel drives used hydrocarbon refrigerant in new vehicles. HFO-1234yf and </w:t>
      </w:r>
      <w:r w:rsidRPr="00930547">
        <w:rPr>
          <w:color w:val="000000"/>
          <w:szCs w:val="22"/>
        </w:rPr>
        <w:t>CO</w:t>
      </w:r>
      <w:r w:rsidRPr="00930547">
        <w:rPr>
          <w:color w:val="000000"/>
          <w:szCs w:val="22"/>
          <w:vertAlign w:val="subscript"/>
        </w:rPr>
        <w:t>2</w:t>
      </w:r>
      <w:r w:rsidRPr="00930547">
        <w:rPr>
          <w:color w:val="000000"/>
          <w:szCs w:val="22"/>
        </w:rPr>
        <w:t xml:space="preserve"> (R744)</w:t>
      </w:r>
      <w:r w:rsidRPr="00930547">
        <w:rPr>
          <w:szCs w:val="22"/>
          <w:lang w:val="en-AU"/>
        </w:rPr>
        <w:t xml:space="preserve"> have been selected as the global platform for new vehicles.</w:t>
      </w:r>
    </w:p>
    <w:p w:rsidR="001F56BA" w:rsidRPr="00930547" w:rsidRDefault="001F56BA" w:rsidP="001F56BA">
      <w:pPr>
        <w:spacing w:before="0"/>
        <w:rPr>
          <w:color w:val="000000"/>
          <w:szCs w:val="22"/>
        </w:rPr>
      </w:pPr>
      <w:r w:rsidRPr="00930547">
        <w:rPr>
          <w:color w:val="000000"/>
          <w:szCs w:val="22"/>
          <w:vertAlign w:val="superscript"/>
        </w:rPr>
        <w:t>FV</w:t>
      </w:r>
      <w:r w:rsidRPr="00930547">
        <w:rPr>
          <w:color w:val="000000"/>
          <w:szCs w:val="22"/>
        </w:rPr>
        <w:t xml:space="preserve"> Highly efficient ammonia-CO</w:t>
      </w:r>
      <w:r w:rsidRPr="00930547">
        <w:rPr>
          <w:color w:val="000000"/>
          <w:szCs w:val="22"/>
          <w:vertAlign w:val="subscript"/>
        </w:rPr>
        <w:t>2</w:t>
      </w:r>
      <w:r w:rsidRPr="00930547">
        <w:rPr>
          <w:color w:val="000000"/>
          <w:szCs w:val="22"/>
        </w:rPr>
        <w:t xml:space="preserve"> cascade systems used on large (&gt;80 meters in length) fishing vessels in the EU are not suited to the smaller Australian fleet.</w:t>
      </w:r>
    </w:p>
    <w:p w:rsidR="001F56BA" w:rsidRPr="00930547" w:rsidRDefault="001F56BA" w:rsidP="001F56BA">
      <w:pPr>
        <w:spacing w:before="0"/>
        <w:rPr>
          <w:color w:val="000000"/>
          <w:szCs w:val="22"/>
        </w:rPr>
      </w:pPr>
      <w:r w:rsidRPr="00930547">
        <w:rPr>
          <w:color w:val="000000"/>
          <w:szCs w:val="22"/>
        </w:rPr>
        <w:t>The concept of this table was adapted from UNEP 2011c.</w:t>
      </w:r>
    </w:p>
    <w:p w:rsidR="001F56BA" w:rsidRPr="00930547" w:rsidRDefault="001F56BA" w:rsidP="001F56BA">
      <w:pPr>
        <w:spacing w:before="0"/>
        <w:rPr>
          <w:color w:val="000000"/>
          <w:szCs w:val="22"/>
        </w:rPr>
      </w:pPr>
    </w:p>
    <w:p w:rsidR="001F56BA" w:rsidRPr="00930547" w:rsidRDefault="001F56BA" w:rsidP="001F56BA">
      <w:pPr>
        <w:spacing w:before="0"/>
        <w:rPr>
          <w:color w:val="000000"/>
          <w:szCs w:val="22"/>
        </w:rPr>
      </w:pPr>
      <w:r w:rsidRPr="00930547">
        <w:rPr>
          <w:i/>
          <w:color w:val="000000"/>
          <w:szCs w:val="22"/>
        </w:rPr>
        <w:t>ISO/ANSI/ASHRAE 34-2013, Designation and Safety Classification of Refrigerants</w:t>
      </w:r>
      <w:r w:rsidRPr="00930547">
        <w:rPr>
          <w:color w:val="000000"/>
          <w:szCs w:val="22"/>
        </w:rPr>
        <w:t xml:space="preserve">, the latest edition of </w:t>
      </w:r>
      <w:r w:rsidRPr="00930547">
        <w:rPr>
          <w:i/>
          <w:color w:val="000000"/>
          <w:szCs w:val="22"/>
        </w:rPr>
        <w:t>Standard 34</w:t>
      </w:r>
      <w:r w:rsidRPr="00930547">
        <w:rPr>
          <w:color w:val="000000"/>
          <w:szCs w:val="22"/>
        </w:rPr>
        <w:t xml:space="preserve"> (ASHRAE 2013) provides number designations for refrigerants. The authors have adapted these numbers to assist readers understand which family a refrigerant comes from by placing a HC, CFC, HCFC, HFC or HFO in front of the ASHRAE number instead of ‘R’, except for ammonia and carbon dioxide refrigerants. For example R600a is HC-600a and R134a is HFC-134a.</w:t>
      </w:r>
    </w:p>
    <w:p w:rsidR="007D491A" w:rsidRDefault="007D491A" w:rsidP="00B346EF">
      <w:pPr>
        <w:spacing w:before="0"/>
        <w:rPr>
          <w:color w:val="000000"/>
        </w:rPr>
      </w:pPr>
    </w:p>
    <w:p w:rsidR="00B81EF8" w:rsidRDefault="00B81EF8" w:rsidP="00B346EF">
      <w:pPr>
        <w:spacing w:before="0"/>
        <w:rPr>
          <w:color w:val="000000"/>
        </w:rPr>
      </w:pPr>
      <w:r>
        <w:rPr>
          <w:color w:val="000000"/>
        </w:rPr>
        <w:br w:type="page"/>
      </w:r>
    </w:p>
    <w:p w:rsidR="00FF18ED" w:rsidRPr="00D10192" w:rsidRDefault="00FF18ED" w:rsidP="00FF18ED">
      <w:pPr>
        <w:pStyle w:val="Heading2"/>
        <w:ind w:left="576"/>
        <w:rPr>
          <w:i w:val="0"/>
        </w:rPr>
      </w:pPr>
      <w:bookmarkStart w:id="21" w:name="_Toc257359948"/>
      <w:r w:rsidRPr="00D10192">
        <w:rPr>
          <w:i w:val="0"/>
        </w:rPr>
        <w:t xml:space="preserve">Summary of </w:t>
      </w:r>
      <w:r>
        <w:rPr>
          <w:i w:val="0"/>
        </w:rPr>
        <w:t xml:space="preserve">commercially available nil </w:t>
      </w:r>
      <w:r w:rsidRPr="00D10192">
        <w:rPr>
          <w:i w:val="0"/>
        </w:rPr>
        <w:t xml:space="preserve">and </w:t>
      </w:r>
      <w:r>
        <w:rPr>
          <w:i w:val="0"/>
        </w:rPr>
        <w:t xml:space="preserve">lower </w:t>
      </w:r>
      <w:r w:rsidRPr="00D10192">
        <w:rPr>
          <w:i w:val="0"/>
        </w:rPr>
        <w:t>GWP options, and associated challenges</w:t>
      </w:r>
      <w:bookmarkEnd w:id="21"/>
    </w:p>
    <w:tbl>
      <w:tblPr>
        <w:tblW w:w="13621" w:type="dxa"/>
        <w:tblInd w:w="95" w:type="dxa"/>
        <w:tblLook w:val="0000"/>
      </w:tblPr>
      <w:tblGrid>
        <w:gridCol w:w="1998"/>
        <w:gridCol w:w="4678"/>
        <w:gridCol w:w="6945"/>
      </w:tblGrid>
      <w:tr w:rsidR="00FF18ED" w:rsidRPr="00CA68EC" w:rsidTr="00FF18ED">
        <w:trPr>
          <w:trHeight w:val="260"/>
        </w:trPr>
        <w:tc>
          <w:tcPr>
            <w:tcW w:w="1998" w:type="dxa"/>
            <w:tcBorders>
              <w:top w:val="nil"/>
              <w:left w:val="single" w:sz="4" w:space="0" w:color="auto"/>
              <w:bottom w:val="single" w:sz="4" w:space="0" w:color="auto"/>
              <w:right w:val="single" w:sz="4" w:space="0" w:color="FFFFFF" w:themeColor="background1"/>
            </w:tcBorders>
            <w:shd w:val="clear" w:color="auto" w:fill="000000"/>
            <w:noWrap/>
            <w:vAlign w:val="center"/>
          </w:tcPr>
          <w:p w:rsidR="00FF18ED" w:rsidRPr="00A362C9" w:rsidRDefault="00FF18ED" w:rsidP="00FF18ED">
            <w:pPr>
              <w:spacing w:before="0"/>
              <w:outlineLvl w:val="0"/>
              <w:rPr>
                <w:color w:val="FFFFFF"/>
                <w:szCs w:val="12"/>
                <w:lang w:val="en-AU"/>
              </w:rPr>
            </w:pPr>
          </w:p>
          <w:p w:rsidR="00FF18ED" w:rsidRPr="00A362C9" w:rsidRDefault="00FF18ED" w:rsidP="00FF18ED">
            <w:pPr>
              <w:spacing w:before="0"/>
              <w:outlineLvl w:val="0"/>
              <w:rPr>
                <w:color w:val="FFFFFF"/>
                <w:szCs w:val="12"/>
                <w:lang w:val="en-AU"/>
              </w:rPr>
            </w:pPr>
            <w:r w:rsidRPr="00A362C9">
              <w:rPr>
                <w:color w:val="FFFFFF"/>
                <w:szCs w:val="12"/>
                <w:lang w:val="en-AU"/>
              </w:rPr>
              <w:t>Gas type</w:t>
            </w:r>
          </w:p>
          <w:p w:rsidR="00FF18ED" w:rsidRPr="00A362C9" w:rsidRDefault="00FF18ED" w:rsidP="00FF18ED">
            <w:pPr>
              <w:spacing w:before="0"/>
              <w:outlineLvl w:val="0"/>
              <w:rPr>
                <w:color w:val="FFFFFF"/>
                <w:szCs w:val="12"/>
                <w:lang w:val="en-AU"/>
              </w:rPr>
            </w:pPr>
          </w:p>
        </w:tc>
        <w:tc>
          <w:tcPr>
            <w:tcW w:w="4678" w:type="dxa"/>
            <w:tcBorders>
              <w:top w:val="nil"/>
              <w:left w:val="single" w:sz="4" w:space="0" w:color="FFFFFF" w:themeColor="background1"/>
              <w:bottom w:val="single" w:sz="4" w:space="0" w:color="auto"/>
              <w:right w:val="single" w:sz="4" w:space="0" w:color="FFFFFF" w:themeColor="background1"/>
            </w:tcBorders>
            <w:shd w:val="clear" w:color="auto" w:fill="000000"/>
            <w:noWrap/>
            <w:vAlign w:val="center"/>
          </w:tcPr>
          <w:p w:rsidR="00FF18ED" w:rsidRPr="00A362C9" w:rsidRDefault="00FF18ED" w:rsidP="00FF18ED">
            <w:pPr>
              <w:spacing w:before="0"/>
              <w:outlineLvl w:val="0"/>
              <w:rPr>
                <w:color w:val="FFFFFF"/>
                <w:szCs w:val="12"/>
                <w:lang w:val="en-AU"/>
              </w:rPr>
            </w:pPr>
            <w:r w:rsidRPr="00A362C9">
              <w:rPr>
                <w:color w:val="FFFFFF"/>
                <w:szCs w:val="12"/>
                <w:lang w:val="en-AU"/>
              </w:rPr>
              <w:t>Challenges to market entry</w:t>
            </w:r>
          </w:p>
        </w:tc>
        <w:tc>
          <w:tcPr>
            <w:tcW w:w="6945" w:type="dxa"/>
            <w:tcBorders>
              <w:top w:val="nil"/>
              <w:left w:val="single" w:sz="4" w:space="0" w:color="FFFFFF" w:themeColor="background1"/>
              <w:bottom w:val="single" w:sz="4" w:space="0" w:color="auto"/>
              <w:right w:val="single" w:sz="4" w:space="0" w:color="auto"/>
            </w:tcBorders>
            <w:shd w:val="clear" w:color="auto" w:fill="000000"/>
            <w:noWrap/>
            <w:vAlign w:val="center"/>
          </w:tcPr>
          <w:p w:rsidR="00FF18ED" w:rsidRPr="00A362C9" w:rsidRDefault="00FF18ED" w:rsidP="00FF18ED">
            <w:pPr>
              <w:spacing w:before="0"/>
              <w:outlineLvl w:val="0"/>
              <w:rPr>
                <w:color w:val="FFFFFF"/>
                <w:szCs w:val="12"/>
                <w:lang w:val="en-AU"/>
              </w:rPr>
            </w:pPr>
            <w:r w:rsidRPr="00A362C9">
              <w:rPr>
                <w:color w:val="FFFFFF"/>
                <w:szCs w:val="12"/>
                <w:lang w:val="en-AU"/>
              </w:rPr>
              <w:t>Potential solutions</w:t>
            </w:r>
          </w:p>
        </w:tc>
      </w:tr>
      <w:tr w:rsidR="00396E29" w:rsidRPr="00CA68EC" w:rsidTr="00FF18ED">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noWrap/>
          </w:tcPr>
          <w:p w:rsidR="00396E29" w:rsidRDefault="00396E29" w:rsidP="00396E29">
            <w:pPr>
              <w:spacing w:before="0"/>
              <w:jc w:val="left"/>
              <w:outlineLvl w:val="0"/>
              <w:rPr>
                <w:sz w:val="20"/>
                <w:szCs w:val="12"/>
                <w:lang w:val="en-AU"/>
              </w:rPr>
            </w:pPr>
            <w:r>
              <w:rPr>
                <w:sz w:val="20"/>
                <w:szCs w:val="12"/>
                <w:lang w:val="en-AU"/>
              </w:rPr>
              <w:t>Hydrocarbons</w:t>
            </w:r>
          </w:p>
          <w:p w:rsidR="00396E29" w:rsidRDefault="00396E29" w:rsidP="00396E29">
            <w:pPr>
              <w:spacing w:before="0"/>
              <w:jc w:val="left"/>
              <w:outlineLvl w:val="0"/>
              <w:rPr>
                <w:sz w:val="20"/>
                <w:szCs w:val="12"/>
                <w:lang w:val="en-AU"/>
              </w:rPr>
            </w:pPr>
            <w:r>
              <w:rPr>
                <w:sz w:val="20"/>
                <w:szCs w:val="12"/>
                <w:lang w:val="en-AU"/>
              </w:rPr>
              <w:t>HC-2</w:t>
            </w:r>
            <w:r w:rsidRPr="00CA68EC">
              <w:rPr>
                <w:sz w:val="20"/>
                <w:szCs w:val="12"/>
                <w:lang w:val="en-AU"/>
              </w:rPr>
              <w:t>90 (propane)</w:t>
            </w:r>
          </w:p>
          <w:p w:rsidR="00396E29" w:rsidRDefault="00396E29" w:rsidP="00396E29">
            <w:pPr>
              <w:spacing w:before="0"/>
              <w:jc w:val="left"/>
              <w:outlineLvl w:val="0"/>
              <w:rPr>
                <w:sz w:val="20"/>
                <w:szCs w:val="12"/>
                <w:lang w:val="en-AU"/>
              </w:rPr>
            </w:pPr>
            <w:r>
              <w:rPr>
                <w:sz w:val="20"/>
                <w:szCs w:val="12"/>
                <w:lang w:val="en-AU"/>
              </w:rPr>
              <w:t>HC-</w:t>
            </w:r>
            <w:r w:rsidRPr="00CA68EC">
              <w:rPr>
                <w:sz w:val="20"/>
                <w:szCs w:val="12"/>
                <w:lang w:val="en-AU"/>
              </w:rPr>
              <w:t>600a</w:t>
            </w:r>
            <w:r>
              <w:rPr>
                <w:sz w:val="20"/>
                <w:szCs w:val="12"/>
                <w:lang w:val="en-AU"/>
              </w:rPr>
              <w:t xml:space="preserve"> (isobutane)</w:t>
            </w:r>
          </w:p>
          <w:p w:rsidR="00396E29" w:rsidRPr="00CA68EC" w:rsidRDefault="00396E29" w:rsidP="00696691">
            <w:pPr>
              <w:spacing w:before="0"/>
              <w:jc w:val="left"/>
              <w:outlineLvl w:val="0"/>
              <w:rPr>
                <w:sz w:val="20"/>
                <w:szCs w:val="12"/>
                <w:lang w:val="en-AU"/>
              </w:rPr>
            </w:pPr>
            <w:r>
              <w:rPr>
                <w:sz w:val="20"/>
                <w:szCs w:val="12"/>
                <w:lang w:val="en-AU"/>
              </w:rPr>
              <w:t>HC-436</w:t>
            </w:r>
          </w:p>
        </w:tc>
        <w:tc>
          <w:tcPr>
            <w:tcW w:w="4678" w:type="dxa"/>
            <w:tcBorders>
              <w:top w:val="single" w:sz="4" w:space="0" w:color="auto"/>
              <w:left w:val="single" w:sz="4" w:space="0" w:color="auto"/>
              <w:bottom w:val="single" w:sz="4" w:space="0" w:color="auto"/>
              <w:right w:val="nil"/>
            </w:tcBorders>
            <w:shd w:val="clear" w:color="auto" w:fill="auto"/>
            <w:noWrap/>
          </w:tcPr>
          <w:p w:rsidR="00396E29" w:rsidRDefault="00396E29" w:rsidP="00396E29">
            <w:pPr>
              <w:spacing w:before="0"/>
              <w:jc w:val="left"/>
              <w:outlineLvl w:val="0"/>
              <w:rPr>
                <w:sz w:val="20"/>
                <w:szCs w:val="12"/>
                <w:lang w:val="en-AU"/>
              </w:rPr>
            </w:pPr>
            <w:r>
              <w:rPr>
                <w:sz w:val="20"/>
                <w:szCs w:val="12"/>
                <w:lang w:val="en-AU"/>
              </w:rPr>
              <w:t>Skills gap</w:t>
            </w:r>
          </w:p>
          <w:p w:rsidR="00396E29" w:rsidRDefault="00396E29" w:rsidP="00396E29">
            <w:pPr>
              <w:spacing w:before="0"/>
              <w:jc w:val="left"/>
              <w:outlineLvl w:val="0"/>
              <w:rPr>
                <w:sz w:val="20"/>
                <w:szCs w:val="12"/>
                <w:lang w:val="en-AU"/>
              </w:rPr>
            </w:pPr>
            <w:r w:rsidRPr="00CA68EC">
              <w:rPr>
                <w:sz w:val="20"/>
                <w:szCs w:val="12"/>
                <w:lang w:val="en-AU"/>
              </w:rPr>
              <w:t>Highly flammable</w:t>
            </w:r>
          </w:p>
          <w:p w:rsidR="00396E29" w:rsidRDefault="00396E29" w:rsidP="00396E29">
            <w:pPr>
              <w:spacing w:before="0"/>
              <w:jc w:val="left"/>
              <w:outlineLvl w:val="0"/>
              <w:rPr>
                <w:sz w:val="20"/>
                <w:szCs w:val="12"/>
                <w:lang w:val="en-AU"/>
              </w:rPr>
            </w:pPr>
            <w:r w:rsidRPr="00CA68EC">
              <w:rPr>
                <w:sz w:val="20"/>
                <w:szCs w:val="12"/>
                <w:lang w:val="en-AU"/>
              </w:rPr>
              <w:t>Challenges for equipment with refrigerant charge &gt;1kg</w:t>
            </w:r>
          </w:p>
          <w:p w:rsidR="00396E29" w:rsidRDefault="00396E29" w:rsidP="00396E29">
            <w:pPr>
              <w:spacing w:before="0"/>
              <w:jc w:val="left"/>
              <w:outlineLvl w:val="0"/>
              <w:rPr>
                <w:sz w:val="20"/>
                <w:szCs w:val="12"/>
                <w:lang w:val="en-AU"/>
              </w:rPr>
            </w:pPr>
            <w:r w:rsidRPr="00CA68EC">
              <w:rPr>
                <w:sz w:val="20"/>
                <w:szCs w:val="12"/>
                <w:lang w:val="en-AU"/>
              </w:rPr>
              <w:t>Challenges for equipment with remote condensers</w:t>
            </w:r>
          </w:p>
          <w:p w:rsidR="00396E29" w:rsidRDefault="00396E29" w:rsidP="00396E29">
            <w:pPr>
              <w:spacing w:before="0"/>
              <w:jc w:val="left"/>
              <w:outlineLvl w:val="0"/>
              <w:rPr>
                <w:sz w:val="20"/>
                <w:szCs w:val="12"/>
                <w:lang w:val="en-AU"/>
              </w:rPr>
            </w:pPr>
            <w:r w:rsidRPr="00CA68EC">
              <w:rPr>
                <w:sz w:val="20"/>
                <w:szCs w:val="12"/>
                <w:lang w:val="en-AU"/>
              </w:rPr>
              <w:t>Risk and liability concerns for industry and regulators</w:t>
            </w:r>
          </w:p>
          <w:p w:rsidR="00396E29" w:rsidRDefault="00396E29" w:rsidP="00396E29">
            <w:pPr>
              <w:spacing w:before="0"/>
              <w:jc w:val="left"/>
              <w:outlineLvl w:val="0"/>
              <w:rPr>
                <w:sz w:val="20"/>
                <w:szCs w:val="12"/>
                <w:lang w:val="en-AU"/>
              </w:rPr>
            </w:pPr>
            <w:r w:rsidRPr="00CA68EC">
              <w:rPr>
                <w:sz w:val="20"/>
                <w:szCs w:val="12"/>
                <w:lang w:val="en-AU"/>
              </w:rPr>
              <w:t>Incorrect labelling</w:t>
            </w:r>
          </w:p>
          <w:p w:rsidR="00396E29" w:rsidRPr="00CA68EC" w:rsidRDefault="00396E29" w:rsidP="00696691">
            <w:pPr>
              <w:spacing w:before="0"/>
              <w:jc w:val="left"/>
              <w:outlineLvl w:val="0"/>
              <w:rPr>
                <w:sz w:val="20"/>
                <w:szCs w:val="12"/>
                <w:lang w:val="en-AU"/>
              </w:rPr>
            </w:pPr>
          </w:p>
        </w:tc>
        <w:tc>
          <w:tcPr>
            <w:tcW w:w="6945" w:type="dxa"/>
            <w:tcBorders>
              <w:top w:val="single" w:sz="4" w:space="0" w:color="auto"/>
              <w:left w:val="single" w:sz="4" w:space="0" w:color="auto"/>
              <w:bottom w:val="single" w:sz="4" w:space="0" w:color="auto"/>
              <w:right w:val="single" w:sz="4" w:space="0" w:color="auto"/>
            </w:tcBorders>
            <w:shd w:val="clear" w:color="auto" w:fill="auto"/>
            <w:noWrap/>
          </w:tcPr>
          <w:p w:rsidR="00396E29" w:rsidRDefault="00396E29" w:rsidP="00396E29">
            <w:pPr>
              <w:spacing w:before="0"/>
              <w:jc w:val="left"/>
              <w:outlineLvl w:val="0"/>
              <w:rPr>
                <w:sz w:val="20"/>
                <w:szCs w:val="12"/>
                <w:lang w:val="en-AU"/>
              </w:rPr>
            </w:pPr>
            <w:r w:rsidRPr="00CA68EC">
              <w:rPr>
                <w:sz w:val="20"/>
                <w:szCs w:val="12"/>
                <w:lang w:val="en-AU"/>
              </w:rPr>
              <w:t>Charge limits, safety devices (leak testing) and pump down circuits</w:t>
            </w:r>
          </w:p>
          <w:p w:rsidR="00396E29" w:rsidRDefault="00396E29" w:rsidP="00396E29">
            <w:pPr>
              <w:spacing w:before="0"/>
              <w:jc w:val="left"/>
              <w:outlineLvl w:val="0"/>
              <w:rPr>
                <w:sz w:val="20"/>
                <w:szCs w:val="12"/>
                <w:lang w:val="en-AU"/>
              </w:rPr>
            </w:pPr>
            <w:r w:rsidRPr="00CA68EC">
              <w:rPr>
                <w:sz w:val="20"/>
                <w:szCs w:val="12"/>
                <w:lang w:val="en-AU"/>
              </w:rPr>
              <w:t>Engineering design to isolate charge and manage risk</w:t>
            </w:r>
          </w:p>
          <w:p w:rsidR="00396E29" w:rsidRDefault="00396E29" w:rsidP="00396E29">
            <w:pPr>
              <w:spacing w:before="0"/>
              <w:jc w:val="left"/>
              <w:outlineLvl w:val="0"/>
              <w:rPr>
                <w:sz w:val="20"/>
                <w:szCs w:val="12"/>
                <w:lang w:val="en-AU"/>
              </w:rPr>
            </w:pPr>
            <w:r w:rsidRPr="00CA68EC">
              <w:rPr>
                <w:sz w:val="20"/>
                <w:szCs w:val="12"/>
                <w:lang w:val="en-AU"/>
              </w:rPr>
              <w:t>Training and education</w:t>
            </w:r>
          </w:p>
          <w:p w:rsidR="00396E29" w:rsidRDefault="00396E29" w:rsidP="00396E29">
            <w:pPr>
              <w:spacing w:before="0"/>
              <w:jc w:val="left"/>
              <w:outlineLvl w:val="0"/>
              <w:rPr>
                <w:sz w:val="20"/>
                <w:szCs w:val="12"/>
                <w:lang w:val="en-AU"/>
              </w:rPr>
            </w:pPr>
            <w:r w:rsidRPr="00CA68EC">
              <w:rPr>
                <w:sz w:val="20"/>
                <w:szCs w:val="12"/>
                <w:lang w:val="en-AU"/>
              </w:rPr>
              <w:t xml:space="preserve">Standards and service </w:t>
            </w:r>
            <w:r>
              <w:rPr>
                <w:sz w:val="20"/>
                <w:szCs w:val="12"/>
                <w:lang w:val="en-AU"/>
              </w:rPr>
              <w:t>procedures</w:t>
            </w:r>
          </w:p>
          <w:p w:rsidR="00396E29" w:rsidRDefault="00396E29" w:rsidP="00396E29">
            <w:pPr>
              <w:spacing w:before="0"/>
              <w:jc w:val="left"/>
              <w:outlineLvl w:val="0"/>
              <w:rPr>
                <w:sz w:val="20"/>
                <w:szCs w:val="12"/>
                <w:lang w:val="en-AU"/>
              </w:rPr>
            </w:pPr>
            <w:r w:rsidRPr="00CA68EC">
              <w:rPr>
                <w:sz w:val="20"/>
                <w:szCs w:val="12"/>
                <w:lang w:val="en-AU"/>
              </w:rPr>
              <w:t>Research and development</w:t>
            </w:r>
          </w:p>
          <w:p w:rsidR="00396E29" w:rsidRDefault="00396E29" w:rsidP="00396E29">
            <w:pPr>
              <w:spacing w:before="0"/>
              <w:jc w:val="left"/>
              <w:outlineLvl w:val="0"/>
              <w:rPr>
                <w:sz w:val="20"/>
                <w:szCs w:val="12"/>
                <w:lang w:val="en-AU"/>
              </w:rPr>
            </w:pPr>
            <w:r>
              <w:rPr>
                <w:sz w:val="20"/>
                <w:szCs w:val="12"/>
                <w:lang w:val="en-AU"/>
              </w:rPr>
              <w:t>Retrofit only undertaken by skilled practioners and strictly in accordance with manufacturer’s guidelines and technical standards</w:t>
            </w:r>
          </w:p>
          <w:p w:rsidR="00396E29" w:rsidRDefault="00396E29" w:rsidP="00396E29">
            <w:pPr>
              <w:spacing w:before="0"/>
              <w:jc w:val="left"/>
              <w:outlineLvl w:val="0"/>
              <w:rPr>
                <w:sz w:val="20"/>
                <w:szCs w:val="12"/>
                <w:lang w:val="en-AU"/>
              </w:rPr>
            </w:pPr>
            <w:r w:rsidRPr="00CA68EC">
              <w:rPr>
                <w:sz w:val="20"/>
                <w:szCs w:val="12"/>
                <w:lang w:val="en-AU"/>
              </w:rPr>
              <w:t>Target applications</w:t>
            </w:r>
            <w:r>
              <w:rPr>
                <w:sz w:val="20"/>
                <w:szCs w:val="12"/>
                <w:lang w:val="en-AU"/>
              </w:rPr>
              <w:t>:</w:t>
            </w:r>
          </w:p>
          <w:p w:rsidR="00396E29" w:rsidRDefault="00396E29" w:rsidP="00396E29">
            <w:pPr>
              <w:pStyle w:val="ColorfulShading-Accent31"/>
              <w:numPr>
                <w:ilvl w:val="0"/>
                <w:numId w:val="8"/>
              </w:numPr>
              <w:ind w:left="175" w:hanging="175"/>
              <w:contextualSpacing w:val="0"/>
              <w:outlineLvl w:val="0"/>
              <w:rPr>
                <w:rFonts w:ascii="Times New Roman" w:hAnsi="Times New Roman"/>
                <w:sz w:val="20"/>
                <w:szCs w:val="12"/>
                <w:lang w:val="en-AU"/>
              </w:rPr>
            </w:pPr>
            <w:r>
              <w:rPr>
                <w:rFonts w:ascii="Times New Roman" w:hAnsi="Times New Roman"/>
                <w:sz w:val="20"/>
                <w:szCs w:val="12"/>
                <w:lang w:val="en-AU"/>
              </w:rPr>
              <w:t>Domestic refrigeration;</w:t>
            </w:r>
            <w:r w:rsidRPr="00CA68EC">
              <w:rPr>
                <w:rFonts w:ascii="Times New Roman" w:hAnsi="Times New Roman"/>
                <w:sz w:val="20"/>
                <w:szCs w:val="12"/>
                <w:lang w:val="en-AU"/>
              </w:rPr>
              <w:t xml:space="preserve"> </w:t>
            </w:r>
          </w:p>
          <w:p w:rsidR="00396E29" w:rsidRDefault="00396E29" w:rsidP="00396E29">
            <w:pPr>
              <w:pStyle w:val="ColorfulShading-Accent31"/>
              <w:numPr>
                <w:ilvl w:val="0"/>
                <w:numId w:val="8"/>
              </w:numPr>
              <w:ind w:left="175" w:hanging="175"/>
              <w:contextualSpacing w:val="0"/>
              <w:outlineLvl w:val="0"/>
              <w:rPr>
                <w:rFonts w:ascii="Times New Roman" w:hAnsi="Times New Roman"/>
                <w:sz w:val="20"/>
                <w:szCs w:val="12"/>
                <w:lang w:val="en-AU"/>
              </w:rPr>
            </w:pPr>
            <w:r>
              <w:rPr>
                <w:rFonts w:ascii="Times New Roman" w:hAnsi="Times New Roman"/>
                <w:sz w:val="20"/>
                <w:szCs w:val="12"/>
                <w:lang w:val="en-AU"/>
              </w:rPr>
              <w:t>S</w:t>
            </w:r>
            <w:r w:rsidRPr="00CA68EC">
              <w:rPr>
                <w:rFonts w:ascii="Times New Roman" w:hAnsi="Times New Roman"/>
                <w:sz w:val="20"/>
                <w:szCs w:val="12"/>
                <w:lang w:val="en-AU"/>
              </w:rPr>
              <w:t xml:space="preserve">elf-contained refrigeration </w:t>
            </w:r>
            <w:r>
              <w:rPr>
                <w:rFonts w:ascii="Times New Roman" w:hAnsi="Times New Roman"/>
                <w:sz w:val="20"/>
                <w:szCs w:val="12"/>
                <w:lang w:val="en-AU"/>
              </w:rPr>
              <w:t xml:space="preserve">(i.e. </w:t>
            </w:r>
            <w:r w:rsidRPr="00CA68EC">
              <w:rPr>
                <w:rFonts w:ascii="Times New Roman" w:hAnsi="Times New Roman"/>
                <w:sz w:val="20"/>
                <w:szCs w:val="12"/>
                <w:lang w:val="en-AU"/>
              </w:rPr>
              <w:t>refrigerated vending machines/chest</w:t>
            </w:r>
            <w:r>
              <w:rPr>
                <w:rFonts w:ascii="Times New Roman" w:hAnsi="Times New Roman"/>
                <w:sz w:val="20"/>
                <w:szCs w:val="12"/>
                <w:lang w:val="en-AU"/>
              </w:rPr>
              <w:t>;</w:t>
            </w:r>
            <w:r w:rsidRPr="00CA68EC">
              <w:rPr>
                <w:rFonts w:ascii="Times New Roman" w:hAnsi="Times New Roman"/>
                <w:sz w:val="20"/>
                <w:szCs w:val="12"/>
                <w:lang w:val="en-AU"/>
              </w:rPr>
              <w:t xml:space="preserve"> freezers/small display cases</w:t>
            </w:r>
            <w:r>
              <w:rPr>
                <w:rFonts w:ascii="Times New Roman" w:hAnsi="Times New Roman"/>
                <w:sz w:val="20"/>
                <w:szCs w:val="12"/>
                <w:lang w:val="en-AU"/>
              </w:rPr>
              <w:t>, bottle water coolers, hot water heat pumps);</w:t>
            </w:r>
          </w:p>
          <w:p w:rsidR="00396E29" w:rsidRDefault="00396E29" w:rsidP="00396E29">
            <w:pPr>
              <w:pStyle w:val="ColorfulShading-Accent31"/>
              <w:numPr>
                <w:ilvl w:val="0"/>
                <w:numId w:val="8"/>
              </w:numPr>
              <w:ind w:left="175" w:hanging="175"/>
              <w:contextualSpacing w:val="0"/>
              <w:outlineLvl w:val="0"/>
              <w:rPr>
                <w:rFonts w:ascii="Times New Roman" w:hAnsi="Times New Roman"/>
                <w:sz w:val="20"/>
                <w:szCs w:val="12"/>
                <w:lang w:val="en-AU"/>
              </w:rPr>
            </w:pPr>
            <w:r>
              <w:rPr>
                <w:rFonts w:ascii="Times New Roman" w:hAnsi="Times New Roman"/>
                <w:sz w:val="20"/>
                <w:szCs w:val="12"/>
                <w:lang w:val="en-AU"/>
              </w:rPr>
              <w:t xml:space="preserve">Retrofit of mobile air conditioning with charge &lt;1 kg; and, </w:t>
            </w:r>
          </w:p>
          <w:p w:rsidR="00396E29" w:rsidRDefault="00396E29" w:rsidP="00396E29">
            <w:pPr>
              <w:pStyle w:val="ColorfulShading-Accent31"/>
              <w:numPr>
                <w:ilvl w:val="0"/>
                <w:numId w:val="8"/>
              </w:numPr>
              <w:ind w:left="175" w:hanging="175"/>
              <w:contextualSpacing w:val="0"/>
              <w:outlineLvl w:val="0"/>
              <w:rPr>
                <w:rFonts w:ascii="Times New Roman" w:hAnsi="Times New Roman"/>
                <w:sz w:val="20"/>
                <w:szCs w:val="12"/>
                <w:lang w:val="en-AU"/>
              </w:rPr>
            </w:pPr>
            <w:r>
              <w:rPr>
                <w:rFonts w:ascii="Times New Roman" w:hAnsi="Times New Roman"/>
                <w:sz w:val="20"/>
                <w:szCs w:val="12"/>
                <w:lang w:val="en-AU"/>
              </w:rPr>
              <w:t>P</w:t>
            </w:r>
            <w:r w:rsidRPr="00CA68EC">
              <w:rPr>
                <w:rFonts w:ascii="Times New Roman" w:hAnsi="Times New Roman"/>
                <w:sz w:val="20"/>
                <w:szCs w:val="12"/>
                <w:lang w:val="en-AU"/>
              </w:rPr>
              <w:t xml:space="preserve">ackaged </w:t>
            </w:r>
            <w:r>
              <w:rPr>
                <w:rFonts w:ascii="Times New Roman" w:hAnsi="Times New Roman"/>
                <w:sz w:val="20"/>
                <w:szCs w:val="12"/>
                <w:lang w:val="en-AU"/>
              </w:rPr>
              <w:t>air conditioning w</w:t>
            </w:r>
            <w:r w:rsidRPr="00CA68EC">
              <w:rPr>
                <w:rFonts w:ascii="Times New Roman" w:hAnsi="Times New Roman"/>
                <w:sz w:val="20"/>
                <w:szCs w:val="12"/>
                <w:lang w:val="en-AU"/>
              </w:rPr>
              <w:t>ith charge &lt;1</w:t>
            </w:r>
            <w:r>
              <w:rPr>
                <w:rFonts w:ascii="Times New Roman" w:hAnsi="Times New Roman"/>
                <w:sz w:val="20"/>
                <w:szCs w:val="12"/>
                <w:lang w:val="en-AU"/>
              </w:rPr>
              <w:t>.5</w:t>
            </w:r>
            <w:r w:rsidRPr="00CA68EC">
              <w:rPr>
                <w:rFonts w:ascii="Times New Roman" w:hAnsi="Times New Roman"/>
                <w:sz w:val="20"/>
                <w:szCs w:val="12"/>
                <w:lang w:val="en-AU"/>
              </w:rPr>
              <w:t xml:space="preserve"> kg </w:t>
            </w:r>
            <w:r>
              <w:rPr>
                <w:rFonts w:ascii="Times New Roman" w:hAnsi="Times New Roman"/>
                <w:sz w:val="20"/>
                <w:szCs w:val="12"/>
                <w:lang w:val="en-AU"/>
              </w:rPr>
              <w:t>(i.e. portable and window/wall).</w:t>
            </w:r>
          </w:p>
          <w:p w:rsidR="00396E29" w:rsidRPr="00CA68EC" w:rsidRDefault="00396E29" w:rsidP="00696691">
            <w:pPr>
              <w:spacing w:before="0"/>
              <w:jc w:val="left"/>
              <w:outlineLvl w:val="0"/>
              <w:rPr>
                <w:sz w:val="20"/>
                <w:szCs w:val="12"/>
                <w:lang w:val="en-AU"/>
              </w:rPr>
            </w:pPr>
          </w:p>
        </w:tc>
      </w:tr>
      <w:tr w:rsidR="00396E29" w:rsidRPr="00CA68EC" w:rsidTr="00FF18ED">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noWrap/>
          </w:tcPr>
          <w:p w:rsidR="00396E29" w:rsidRPr="00CA68EC" w:rsidRDefault="00396E29" w:rsidP="00696691">
            <w:pPr>
              <w:spacing w:before="0"/>
              <w:jc w:val="left"/>
              <w:outlineLvl w:val="0"/>
              <w:rPr>
                <w:sz w:val="20"/>
                <w:szCs w:val="12"/>
                <w:lang w:val="en-AU"/>
              </w:rPr>
            </w:pPr>
            <w:r w:rsidRPr="00506365">
              <w:rPr>
                <w:sz w:val="20"/>
              </w:rPr>
              <w:t>CO</w:t>
            </w:r>
            <w:r w:rsidRPr="00B60314">
              <w:rPr>
                <w:sz w:val="20"/>
                <w:vertAlign w:val="subscript"/>
              </w:rPr>
              <w:t>2</w:t>
            </w:r>
            <w:r w:rsidRPr="00506365">
              <w:rPr>
                <w:sz w:val="20"/>
              </w:rPr>
              <w:t xml:space="preserve"> </w:t>
            </w:r>
            <w:r>
              <w:rPr>
                <w:sz w:val="20"/>
              </w:rPr>
              <w:t>(</w:t>
            </w:r>
            <w:r w:rsidRPr="00CB7F9A">
              <w:rPr>
                <w:sz w:val="20"/>
              </w:rPr>
              <w:t>R744</w:t>
            </w:r>
            <w:r>
              <w:rPr>
                <w:sz w:val="20"/>
              </w:rPr>
              <w:t>)</w:t>
            </w:r>
          </w:p>
        </w:tc>
        <w:tc>
          <w:tcPr>
            <w:tcW w:w="4678" w:type="dxa"/>
            <w:tcBorders>
              <w:top w:val="single" w:sz="4" w:space="0" w:color="auto"/>
              <w:left w:val="single" w:sz="4" w:space="0" w:color="auto"/>
              <w:bottom w:val="single" w:sz="4" w:space="0" w:color="auto"/>
              <w:right w:val="nil"/>
            </w:tcBorders>
            <w:shd w:val="clear" w:color="auto" w:fill="auto"/>
            <w:noWrap/>
          </w:tcPr>
          <w:p w:rsidR="00396E29" w:rsidRDefault="00396E29" w:rsidP="00396E29">
            <w:pPr>
              <w:spacing w:before="0"/>
              <w:jc w:val="left"/>
              <w:outlineLvl w:val="0"/>
              <w:rPr>
                <w:sz w:val="20"/>
                <w:szCs w:val="12"/>
                <w:lang w:val="en-AU"/>
              </w:rPr>
            </w:pPr>
            <w:r>
              <w:rPr>
                <w:sz w:val="20"/>
                <w:szCs w:val="12"/>
                <w:lang w:val="en-AU"/>
              </w:rPr>
              <w:t>Skills gap</w:t>
            </w:r>
          </w:p>
          <w:p w:rsidR="00396E29" w:rsidRDefault="00396E29" w:rsidP="00396E29">
            <w:pPr>
              <w:spacing w:before="0"/>
              <w:jc w:val="left"/>
              <w:outlineLvl w:val="0"/>
              <w:rPr>
                <w:sz w:val="20"/>
                <w:szCs w:val="12"/>
                <w:lang w:val="en-AU"/>
              </w:rPr>
            </w:pPr>
            <w:r w:rsidRPr="00CA68EC">
              <w:rPr>
                <w:sz w:val="20"/>
                <w:szCs w:val="12"/>
                <w:lang w:val="en-AU"/>
              </w:rPr>
              <w:t>Acute toxicity and associated safety risks</w:t>
            </w:r>
          </w:p>
          <w:p w:rsidR="00396E29" w:rsidRDefault="00396E29" w:rsidP="00396E29">
            <w:pPr>
              <w:spacing w:before="0"/>
              <w:jc w:val="left"/>
              <w:outlineLvl w:val="0"/>
              <w:rPr>
                <w:sz w:val="20"/>
                <w:szCs w:val="12"/>
                <w:lang w:val="en-AU"/>
              </w:rPr>
            </w:pPr>
            <w:r w:rsidRPr="00CA68EC">
              <w:rPr>
                <w:sz w:val="20"/>
                <w:szCs w:val="12"/>
                <w:lang w:val="en-AU"/>
              </w:rPr>
              <w:t>High operating pressure</w:t>
            </w:r>
          </w:p>
          <w:p w:rsidR="00396E29" w:rsidRPr="00B83F03" w:rsidRDefault="00396E29" w:rsidP="00396E29">
            <w:pPr>
              <w:spacing w:before="0"/>
              <w:jc w:val="left"/>
              <w:outlineLvl w:val="0"/>
              <w:rPr>
                <w:sz w:val="20"/>
                <w:szCs w:val="12"/>
                <w:lang w:val="en-AU"/>
              </w:rPr>
            </w:pPr>
            <w:r w:rsidRPr="00B83F03">
              <w:rPr>
                <w:sz w:val="20"/>
                <w:szCs w:val="12"/>
                <w:lang w:val="en-AU"/>
              </w:rPr>
              <w:t>System reliability and leak reduction</w:t>
            </w:r>
          </w:p>
          <w:p w:rsidR="00396E29" w:rsidRPr="00B83F03" w:rsidRDefault="00396E29" w:rsidP="00396E29">
            <w:pPr>
              <w:spacing w:before="0"/>
              <w:jc w:val="left"/>
              <w:outlineLvl w:val="0"/>
              <w:rPr>
                <w:sz w:val="20"/>
                <w:szCs w:val="12"/>
                <w:lang w:val="en-AU"/>
              </w:rPr>
            </w:pPr>
            <w:r w:rsidRPr="00B83F03">
              <w:rPr>
                <w:sz w:val="20"/>
                <w:szCs w:val="12"/>
                <w:lang w:val="en-AU"/>
              </w:rPr>
              <w:t>Economies of scale and associated higher equipment cost</w:t>
            </w:r>
            <w:r>
              <w:rPr>
                <w:sz w:val="20"/>
                <w:szCs w:val="12"/>
                <w:lang w:val="en-AU"/>
              </w:rPr>
              <w:t>s</w:t>
            </w:r>
            <w:r w:rsidRPr="00B83F03">
              <w:rPr>
                <w:sz w:val="20"/>
                <w:szCs w:val="12"/>
                <w:lang w:val="en-AU"/>
              </w:rPr>
              <w:t xml:space="preserve"> </w:t>
            </w:r>
          </w:p>
          <w:p w:rsidR="00396E29" w:rsidRPr="00B83F03" w:rsidRDefault="00396E29" w:rsidP="00396E29">
            <w:pPr>
              <w:spacing w:before="0"/>
              <w:jc w:val="left"/>
              <w:outlineLvl w:val="0"/>
              <w:rPr>
                <w:sz w:val="20"/>
                <w:szCs w:val="12"/>
                <w:lang w:val="en-AU"/>
              </w:rPr>
            </w:pPr>
            <w:r w:rsidRPr="00B83F03">
              <w:rPr>
                <w:sz w:val="20"/>
                <w:szCs w:val="12"/>
                <w:lang w:val="en-AU"/>
              </w:rPr>
              <w:t>Low critical temperature, can lead to low efficiency</w:t>
            </w:r>
          </w:p>
          <w:p w:rsidR="00396E29" w:rsidRPr="00B83F03" w:rsidRDefault="00396E29" w:rsidP="00396E29">
            <w:pPr>
              <w:spacing w:before="0"/>
              <w:jc w:val="left"/>
              <w:outlineLvl w:val="0"/>
              <w:rPr>
                <w:sz w:val="20"/>
                <w:szCs w:val="12"/>
                <w:lang w:val="en-AU"/>
              </w:rPr>
            </w:pPr>
            <w:r w:rsidRPr="00B83F03">
              <w:rPr>
                <w:sz w:val="20"/>
                <w:szCs w:val="12"/>
                <w:lang w:val="en-AU"/>
              </w:rPr>
              <w:t xml:space="preserve">Needs new servicing infrastructure for </w:t>
            </w:r>
            <w:r>
              <w:rPr>
                <w:sz w:val="20"/>
                <w:szCs w:val="12"/>
                <w:lang w:val="en-AU"/>
              </w:rPr>
              <w:t>mobile air conditioning</w:t>
            </w:r>
          </w:p>
          <w:p w:rsidR="00396E29" w:rsidRPr="00B83F03" w:rsidRDefault="00396E29" w:rsidP="00396E29">
            <w:pPr>
              <w:spacing w:before="0"/>
              <w:jc w:val="left"/>
              <w:outlineLvl w:val="0"/>
              <w:rPr>
                <w:sz w:val="20"/>
                <w:szCs w:val="12"/>
                <w:lang w:val="en-AU"/>
              </w:rPr>
            </w:pPr>
            <w:r w:rsidRPr="00B83F03">
              <w:rPr>
                <w:sz w:val="20"/>
                <w:szCs w:val="12"/>
                <w:lang w:val="en-AU"/>
              </w:rPr>
              <w:t xml:space="preserve">Not </w:t>
            </w:r>
            <w:r>
              <w:rPr>
                <w:sz w:val="20"/>
                <w:szCs w:val="12"/>
                <w:lang w:val="en-AU"/>
              </w:rPr>
              <w:t xml:space="preserve">as </w:t>
            </w:r>
            <w:r w:rsidRPr="00B83F03">
              <w:rPr>
                <w:sz w:val="20"/>
                <w:szCs w:val="12"/>
                <w:lang w:val="en-AU"/>
              </w:rPr>
              <w:t>effective in high ambient regions (&gt;3</w:t>
            </w:r>
            <w:r>
              <w:rPr>
                <w:sz w:val="20"/>
                <w:szCs w:val="12"/>
                <w:lang w:val="en-AU"/>
              </w:rPr>
              <w:t>5</w:t>
            </w:r>
            <w:r w:rsidRPr="003906F6">
              <w:rPr>
                <w:sz w:val="20"/>
                <w:szCs w:val="12"/>
                <w:vertAlign w:val="superscript"/>
                <w:lang w:val="en-AU"/>
              </w:rPr>
              <w:t>o</w:t>
            </w:r>
            <w:r w:rsidRPr="00B83F03">
              <w:rPr>
                <w:sz w:val="20"/>
                <w:szCs w:val="12"/>
                <w:lang w:val="en-AU"/>
              </w:rPr>
              <w:t>C)</w:t>
            </w:r>
          </w:p>
          <w:p w:rsidR="00396E29" w:rsidRPr="00CA68EC" w:rsidRDefault="00396E29" w:rsidP="00696691">
            <w:pPr>
              <w:spacing w:before="0"/>
              <w:jc w:val="left"/>
              <w:outlineLvl w:val="0"/>
              <w:rPr>
                <w:sz w:val="20"/>
                <w:szCs w:val="12"/>
                <w:lang w:val="en-AU"/>
              </w:rPr>
            </w:pPr>
          </w:p>
        </w:tc>
        <w:tc>
          <w:tcPr>
            <w:tcW w:w="6945" w:type="dxa"/>
            <w:tcBorders>
              <w:top w:val="single" w:sz="4" w:space="0" w:color="auto"/>
              <w:left w:val="single" w:sz="4" w:space="0" w:color="auto"/>
              <w:bottom w:val="single" w:sz="4" w:space="0" w:color="auto"/>
              <w:right w:val="single" w:sz="4" w:space="0" w:color="auto"/>
            </w:tcBorders>
            <w:shd w:val="clear" w:color="auto" w:fill="auto"/>
            <w:noWrap/>
          </w:tcPr>
          <w:p w:rsidR="00396E29" w:rsidRPr="00B83F03" w:rsidRDefault="00396E29" w:rsidP="00396E29">
            <w:pPr>
              <w:spacing w:before="0"/>
              <w:jc w:val="left"/>
              <w:outlineLvl w:val="0"/>
              <w:rPr>
                <w:sz w:val="20"/>
                <w:szCs w:val="12"/>
                <w:lang w:val="en-AU"/>
              </w:rPr>
            </w:pPr>
            <w:r w:rsidRPr="00B83F03">
              <w:rPr>
                <w:sz w:val="20"/>
                <w:szCs w:val="12"/>
                <w:lang w:val="en-AU"/>
              </w:rPr>
              <w:t>Engineering design</w:t>
            </w:r>
          </w:p>
          <w:p w:rsidR="00396E29" w:rsidRPr="00B83F03" w:rsidRDefault="00396E29" w:rsidP="00396E29">
            <w:pPr>
              <w:spacing w:before="0"/>
              <w:jc w:val="left"/>
              <w:outlineLvl w:val="0"/>
              <w:rPr>
                <w:sz w:val="20"/>
                <w:szCs w:val="12"/>
                <w:lang w:val="en-AU"/>
              </w:rPr>
            </w:pPr>
            <w:r w:rsidRPr="00B83F03">
              <w:rPr>
                <w:sz w:val="20"/>
                <w:szCs w:val="12"/>
                <w:lang w:val="en-AU"/>
              </w:rPr>
              <w:t>Research to overcome safety and efficiency barriers</w:t>
            </w:r>
          </w:p>
          <w:p w:rsidR="00396E29" w:rsidRPr="00B83F03" w:rsidRDefault="00396E29" w:rsidP="00396E29">
            <w:pPr>
              <w:spacing w:before="0"/>
              <w:jc w:val="left"/>
              <w:outlineLvl w:val="0"/>
              <w:rPr>
                <w:sz w:val="20"/>
                <w:szCs w:val="12"/>
                <w:lang w:val="en-AU"/>
              </w:rPr>
            </w:pPr>
            <w:r w:rsidRPr="00B83F03">
              <w:rPr>
                <w:sz w:val="20"/>
                <w:szCs w:val="12"/>
                <w:lang w:val="en-AU"/>
              </w:rPr>
              <w:t>Training and education</w:t>
            </w:r>
          </w:p>
          <w:p w:rsidR="00396E29" w:rsidRPr="00B83F03" w:rsidRDefault="00396E29" w:rsidP="00396E29">
            <w:pPr>
              <w:spacing w:before="0"/>
              <w:jc w:val="left"/>
              <w:outlineLvl w:val="0"/>
              <w:rPr>
                <w:sz w:val="20"/>
                <w:szCs w:val="12"/>
                <w:lang w:val="en-AU"/>
              </w:rPr>
            </w:pPr>
            <w:r w:rsidRPr="00B83F03">
              <w:rPr>
                <w:sz w:val="20"/>
                <w:szCs w:val="12"/>
                <w:lang w:val="en-AU"/>
              </w:rPr>
              <w:t>Financial incentives</w:t>
            </w:r>
          </w:p>
          <w:p w:rsidR="00396E29" w:rsidRDefault="00396E29" w:rsidP="00396E29">
            <w:pPr>
              <w:spacing w:before="0"/>
              <w:jc w:val="left"/>
              <w:outlineLvl w:val="0"/>
              <w:rPr>
                <w:sz w:val="20"/>
                <w:szCs w:val="12"/>
                <w:lang w:val="en-AU"/>
              </w:rPr>
            </w:pPr>
            <w:r w:rsidRPr="00CA68EC">
              <w:rPr>
                <w:sz w:val="20"/>
                <w:szCs w:val="12"/>
                <w:lang w:val="en-AU"/>
              </w:rPr>
              <w:t>Target applications</w:t>
            </w:r>
            <w:r>
              <w:rPr>
                <w:sz w:val="20"/>
                <w:szCs w:val="12"/>
                <w:lang w:val="en-AU"/>
              </w:rPr>
              <w:t>:</w:t>
            </w:r>
          </w:p>
          <w:p w:rsidR="00396E29" w:rsidRPr="00B83F03" w:rsidRDefault="00396E29" w:rsidP="00396E29">
            <w:pPr>
              <w:pStyle w:val="ColorfulShading-Accent31"/>
              <w:numPr>
                <w:ilvl w:val="0"/>
                <w:numId w:val="8"/>
              </w:numPr>
              <w:ind w:left="175" w:hanging="175"/>
              <w:contextualSpacing w:val="0"/>
              <w:outlineLvl w:val="0"/>
              <w:rPr>
                <w:rFonts w:ascii="Times New Roman" w:hAnsi="Times New Roman"/>
                <w:sz w:val="20"/>
                <w:szCs w:val="12"/>
                <w:lang w:val="en-AU"/>
              </w:rPr>
            </w:pPr>
            <w:r w:rsidRPr="00B83F03">
              <w:rPr>
                <w:rFonts w:ascii="Times New Roman" w:hAnsi="Times New Roman"/>
                <w:sz w:val="20"/>
                <w:szCs w:val="12"/>
                <w:lang w:val="en-AU"/>
              </w:rPr>
              <w:t>Refrigerated vending machines;</w:t>
            </w:r>
          </w:p>
          <w:p w:rsidR="00396E29" w:rsidRPr="00B83F03" w:rsidRDefault="00396E29" w:rsidP="00396E29">
            <w:pPr>
              <w:pStyle w:val="ColorfulShading-Accent31"/>
              <w:numPr>
                <w:ilvl w:val="0"/>
                <w:numId w:val="8"/>
              </w:numPr>
              <w:ind w:left="175" w:hanging="175"/>
              <w:contextualSpacing w:val="0"/>
              <w:outlineLvl w:val="0"/>
              <w:rPr>
                <w:rFonts w:ascii="Times New Roman" w:hAnsi="Times New Roman"/>
                <w:sz w:val="20"/>
                <w:szCs w:val="12"/>
                <w:lang w:val="en-AU"/>
              </w:rPr>
            </w:pPr>
            <w:r w:rsidRPr="00B83F03">
              <w:rPr>
                <w:rFonts w:ascii="Times New Roman" w:hAnsi="Times New Roman"/>
                <w:sz w:val="20"/>
                <w:szCs w:val="12"/>
                <w:lang w:val="en-AU"/>
              </w:rPr>
              <w:t>Hot water heat pumps;</w:t>
            </w:r>
          </w:p>
          <w:p w:rsidR="00396E29" w:rsidRPr="00B83F03" w:rsidRDefault="00396E29" w:rsidP="00396E29">
            <w:pPr>
              <w:pStyle w:val="ColorfulShading-Accent31"/>
              <w:numPr>
                <w:ilvl w:val="0"/>
                <w:numId w:val="8"/>
              </w:numPr>
              <w:ind w:left="175" w:hanging="175"/>
              <w:contextualSpacing w:val="0"/>
              <w:outlineLvl w:val="0"/>
              <w:rPr>
                <w:rFonts w:ascii="Times New Roman" w:hAnsi="Times New Roman"/>
                <w:sz w:val="20"/>
                <w:szCs w:val="12"/>
                <w:lang w:val="en-AU"/>
              </w:rPr>
            </w:pPr>
            <w:r w:rsidRPr="00B83F03">
              <w:rPr>
                <w:rFonts w:ascii="Times New Roman" w:hAnsi="Times New Roman"/>
                <w:sz w:val="20"/>
                <w:szCs w:val="12"/>
                <w:lang w:val="en-AU"/>
              </w:rPr>
              <w:t>Reefers – refrigerated containers;</w:t>
            </w:r>
          </w:p>
          <w:p w:rsidR="00396E29" w:rsidRPr="00B83F03" w:rsidRDefault="00396E29" w:rsidP="00396E29">
            <w:pPr>
              <w:pStyle w:val="ColorfulShading-Accent31"/>
              <w:numPr>
                <w:ilvl w:val="0"/>
                <w:numId w:val="8"/>
              </w:numPr>
              <w:ind w:left="175" w:hanging="175"/>
              <w:contextualSpacing w:val="0"/>
              <w:outlineLvl w:val="0"/>
              <w:rPr>
                <w:rFonts w:ascii="Times New Roman" w:hAnsi="Times New Roman"/>
                <w:sz w:val="20"/>
                <w:szCs w:val="12"/>
                <w:lang w:val="en-AU"/>
              </w:rPr>
            </w:pPr>
            <w:r w:rsidRPr="00B83F03">
              <w:rPr>
                <w:rFonts w:ascii="Times New Roman" w:hAnsi="Times New Roman"/>
                <w:sz w:val="20"/>
                <w:szCs w:val="12"/>
                <w:lang w:val="en-AU"/>
              </w:rPr>
              <w:t>Advanced refrigeration systems</w:t>
            </w:r>
            <w:r>
              <w:rPr>
                <w:rFonts w:ascii="Times New Roman" w:hAnsi="Times New Roman"/>
                <w:sz w:val="20"/>
                <w:szCs w:val="12"/>
                <w:lang w:val="en-AU"/>
              </w:rPr>
              <w:t>;</w:t>
            </w:r>
            <w:r w:rsidRPr="00B83F03">
              <w:rPr>
                <w:rFonts w:ascii="Times New Roman" w:hAnsi="Times New Roman"/>
                <w:sz w:val="20"/>
                <w:szCs w:val="12"/>
                <w:lang w:val="en-AU"/>
              </w:rPr>
              <w:t xml:space="preserve"> and</w:t>
            </w:r>
            <w:r>
              <w:rPr>
                <w:rFonts w:ascii="Times New Roman" w:hAnsi="Times New Roman"/>
                <w:sz w:val="20"/>
                <w:szCs w:val="12"/>
                <w:lang w:val="en-AU"/>
              </w:rPr>
              <w:t>,</w:t>
            </w:r>
            <w:r w:rsidRPr="00B83F03">
              <w:rPr>
                <w:rFonts w:ascii="Times New Roman" w:hAnsi="Times New Roman"/>
                <w:sz w:val="20"/>
                <w:szCs w:val="12"/>
                <w:lang w:val="en-AU"/>
              </w:rPr>
              <w:t xml:space="preserve"> </w:t>
            </w:r>
          </w:p>
          <w:p w:rsidR="00396E29" w:rsidRDefault="00396E29" w:rsidP="00396E29">
            <w:pPr>
              <w:pStyle w:val="ColorfulShading-Accent31"/>
              <w:numPr>
                <w:ilvl w:val="0"/>
                <w:numId w:val="8"/>
              </w:numPr>
              <w:ind w:left="175" w:hanging="175"/>
              <w:contextualSpacing w:val="0"/>
              <w:outlineLvl w:val="0"/>
              <w:rPr>
                <w:rFonts w:ascii="Times New Roman" w:hAnsi="Times New Roman"/>
                <w:sz w:val="20"/>
                <w:szCs w:val="12"/>
                <w:lang w:val="en-AU"/>
              </w:rPr>
            </w:pPr>
            <w:r w:rsidRPr="00B83F03">
              <w:rPr>
                <w:rFonts w:ascii="Times New Roman" w:hAnsi="Times New Roman"/>
                <w:sz w:val="20"/>
                <w:szCs w:val="12"/>
                <w:lang w:val="en-AU"/>
              </w:rPr>
              <w:t xml:space="preserve">Large </w:t>
            </w:r>
            <w:r>
              <w:rPr>
                <w:rFonts w:ascii="Times New Roman" w:hAnsi="Times New Roman"/>
                <w:sz w:val="20"/>
                <w:szCs w:val="12"/>
                <w:lang w:val="en-AU"/>
              </w:rPr>
              <w:t xml:space="preserve">process </w:t>
            </w:r>
            <w:r w:rsidRPr="00B83F03">
              <w:rPr>
                <w:rFonts w:ascii="Times New Roman" w:hAnsi="Times New Roman"/>
                <w:sz w:val="20"/>
                <w:szCs w:val="12"/>
                <w:lang w:val="en-AU"/>
              </w:rPr>
              <w:t xml:space="preserve">refrigeration </w:t>
            </w:r>
            <w:r>
              <w:rPr>
                <w:rFonts w:ascii="Times New Roman" w:hAnsi="Times New Roman"/>
                <w:sz w:val="20"/>
                <w:szCs w:val="12"/>
                <w:lang w:val="en-AU"/>
              </w:rPr>
              <w:t>applications with heating requirement;</w:t>
            </w:r>
          </w:p>
          <w:p w:rsidR="00396E29" w:rsidRDefault="00396E29" w:rsidP="00396E29">
            <w:pPr>
              <w:pStyle w:val="ColorfulShading-Accent31"/>
              <w:numPr>
                <w:ilvl w:val="0"/>
                <w:numId w:val="8"/>
              </w:numPr>
              <w:ind w:left="175" w:hanging="175"/>
              <w:contextualSpacing w:val="0"/>
              <w:outlineLvl w:val="0"/>
              <w:rPr>
                <w:rFonts w:ascii="Times New Roman" w:hAnsi="Times New Roman"/>
                <w:sz w:val="20"/>
                <w:szCs w:val="12"/>
                <w:lang w:val="en-AU"/>
              </w:rPr>
            </w:pPr>
            <w:r>
              <w:rPr>
                <w:rFonts w:ascii="Times New Roman" w:hAnsi="Times New Roman"/>
                <w:sz w:val="20"/>
                <w:szCs w:val="12"/>
                <w:lang w:val="en-AU"/>
              </w:rPr>
              <w:t xml:space="preserve">Applications in </w:t>
            </w:r>
            <w:r w:rsidRPr="00B83F03">
              <w:rPr>
                <w:rFonts w:ascii="Times New Roman" w:hAnsi="Times New Roman"/>
                <w:sz w:val="20"/>
                <w:szCs w:val="12"/>
                <w:lang w:val="en-AU"/>
              </w:rPr>
              <w:t>low ambient regions</w:t>
            </w:r>
            <w:r>
              <w:rPr>
                <w:rFonts w:ascii="Times New Roman" w:hAnsi="Times New Roman"/>
                <w:sz w:val="20"/>
                <w:szCs w:val="12"/>
                <w:lang w:val="en-AU"/>
              </w:rPr>
              <w:t xml:space="preserve"> (&lt;35</w:t>
            </w:r>
            <w:r w:rsidRPr="00C6410D">
              <w:rPr>
                <w:rFonts w:ascii="Times New Roman" w:hAnsi="Times New Roman"/>
                <w:sz w:val="20"/>
                <w:szCs w:val="12"/>
                <w:vertAlign w:val="superscript"/>
                <w:lang w:val="en-AU"/>
              </w:rPr>
              <w:t>o</w:t>
            </w:r>
            <w:r>
              <w:rPr>
                <w:rFonts w:ascii="Times New Roman" w:hAnsi="Times New Roman"/>
                <w:sz w:val="20"/>
                <w:szCs w:val="12"/>
                <w:lang w:val="en-AU"/>
              </w:rPr>
              <w:t>C)</w:t>
            </w:r>
            <w:r w:rsidRPr="00B83F03">
              <w:rPr>
                <w:rFonts w:ascii="Times New Roman" w:hAnsi="Times New Roman"/>
                <w:sz w:val="20"/>
                <w:szCs w:val="12"/>
                <w:lang w:val="en-AU"/>
              </w:rPr>
              <w:t>.</w:t>
            </w:r>
          </w:p>
          <w:p w:rsidR="00396E29" w:rsidRPr="003906F6" w:rsidRDefault="00396E29" w:rsidP="00696691">
            <w:pPr>
              <w:spacing w:before="0"/>
              <w:jc w:val="left"/>
              <w:outlineLvl w:val="0"/>
              <w:rPr>
                <w:sz w:val="20"/>
                <w:szCs w:val="12"/>
                <w:lang w:val="en-AU"/>
              </w:rPr>
            </w:pPr>
          </w:p>
        </w:tc>
      </w:tr>
      <w:tr w:rsidR="00396E29" w:rsidRPr="00CA68EC" w:rsidTr="00FF18ED">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noWrap/>
          </w:tcPr>
          <w:p w:rsidR="00396E29" w:rsidRPr="00CA68EC" w:rsidRDefault="00396E29" w:rsidP="00696691">
            <w:pPr>
              <w:spacing w:before="0"/>
              <w:jc w:val="left"/>
              <w:outlineLvl w:val="0"/>
              <w:rPr>
                <w:sz w:val="20"/>
                <w:szCs w:val="12"/>
                <w:lang w:val="en-AU"/>
              </w:rPr>
            </w:pPr>
            <w:r>
              <w:rPr>
                <w:sz w:val="20"/>
                <w:szCs w:val="12"/>
                <w:lang w:val="en-AU"/>
              </w:rPr>
              <w:t>Ammonia (</w:t>
            </w:r>
            <w:r w:rsidRPr="00CA68EC">
              <w:rPr>
                <w:sz w:val="20"/>
                <w:szCs w:val="12"/>
                <w:lang w:val="en-AU"/>
              </w:rPr>
              <w:t>R717</w:t>
            </w:r>
            <w:r>
              <w:rPr>
                <w:sz w:val="20"/>
                <w:szCs w:val="12"/>
                <w:lang w:val="en-AU"/>
              </w:rPr>
              <w:t>)</w:t>
            </w:r>
          </w:p>
        </w:tc>
        <w:tc>
          <w:tcPr>
            <w:tcW w:w="4678" w:type="dxa"/>
            <w:tcBorders>
              <w:top w:val="single" w:sz="4" w:space="0" w:color="auto"/>
              <w:left w:val="single" w:sz="4" w:space="0" w:color="auto"/>
              <w:bottom w:val="single" w:sz="4" w:space="0" w:color="auto"/>
              <w:right w:val="nil"/>
            </w:tcBorders>
            <w:shd w:val="clear" w:color="auto" w:fill="auto"/>
            <w:noWrap/>
          </w:tcPr>
          <w:p w:rsidR="00396E29" w:rsidRDefault="00396E29" w:rsidP="00396E29">
            <w:pPr>
              <w:spacing w:before="0"/>
              <w:jc w:val="left"/>
              <w:outlineLvl w:val="0"/>
              <w:rPr>
                <w:sz w:val="20"/>
                <w:szCs w:val="12"/>
                <w:lang w:val="en-AU"/>
              </w:rPr>
            </w:pPr>
            <w:r>
              <w:rPr>
                <w:sz w:val="20"/>
                <w:szCs w:val="12"/>
                <w:lang w:val="en-AU"/>
              </w:rPr>
              <w:t>Skills gap</w:t>
            </w:r>
          </w:p>
          <w:p w:rsidR="00396E29" w:rsidRDefault="00396E29" w:rsidP="00396E29">
            <w:pPr>
              <w:spacing w:before="0"/>
              <w:jc w:val="left"/>
              <w:outlineLvl w:val="0"/>
              <w:rPr>
                <w:sz w:val="20"/>
                <w:szCs w:val="12"/>
                <w:lang w:val="en-AU"/>
              </w:rPr>
            </w:pPr>
            <w:r w:rsidRPr="00CA68EC">
              <w:rPr>
                <w:sz w:val="20"/>
                <w:szCs w:val="12"/>
                <w:lang w:val="en-AU"/>
              </w:rPr>
              <w:t>Toxicity risks and slightly flammable</w:t>
            </w:r>
          </w:p>
          <w:p w:rsidR="00396E29" w:rsidRPr="003906F6" w:rsidRDefault="00396E29" w:rsidP="00396E29">
            <w:pPr>
              <w:spacing w:before="0"/>
              <w:jc w:val="left"/>
              <w:outlineLvl w:val="0"/>
              <w:rPr>
                <w:sz w:val="20"/>
                <w:szCs w:val="12"/>
                <w:lang w:val="en-AU"/>
              </w:rPr>
            </w:pPr>
            <w:r w:rsidRPr="003906F6">
              <w:rPr>
                <w:sz w:val="20"/>
                <w:szCs w:val="12"/>
                <w:lang w:val="en-AU"/>
              </w:rPr>
              <w:t>Safety code restrictions</w:t>
            </w:r>
          </w:p>
          <w:p w:rsidR="00396E29" w:rsidRPr="003906F6" w:rsidRDefault="00396E29" w:rsidP="00396E29">
            <w:pPr>
              <w:spacing w:before="0"/>
              <w:jc w:val="left"/>
              <w:outlineLvl w:val="0"/>
              <w:rPr>
                <w:sz w:val="20"/>
                <w:szCs w:val="12"/>
                <w:lang w:val="en-AU"/>
              </w:rPr>
            </w:pPr>
            <w:r>
              <w:rPr>
                <w:sz w:val="20"/>
                <w:szCs w:val="12"/>
                <w:lang w:val="en-AU"/>
              </w:rPr>
              <w:t>Many applications n</w:t>
            </w:r>
            <w:r w:rsidRPr="003906F6">
              <w:rPr>
                <w:sz w:val="20"/>
                <w:szCs w:val="12"/>
                <w:lang w:val="en-AU"/>
              </w:rPr>
              <w:t>ot commercially viable &lt;50</w:t>
            </w:r>
            <w:r>
              <w:rPr>
                <w:sz w:val="20"/>
                <w:szCs w:val="12"/>
                <w:lang w:val="en-AU"/>
              </w:rPr>
              <w:t xml:space="preserve"> </w:t>
            </w:r>
            <w:r w:rsidRPr="003906F6">
              <w:rPr>
                <w:sz w:val="20"/>
                <w:szCs w:val="12"/>
                <w:lang w:val="en-AU"/>
              </w:rPr>
              <w:t>kWr</w:t>
            </w:r>
          </w:p>
          <w:p w:rsidR="00396E29" w:rsidRPr="003906F6" w:rsidRDefault="00396E29" w:rsidP="00696691">
            <w:pPr>
              <w:spacing w:before="0"/>
              <w:jc w:val="left"/>
              <w:outlineLvl w:val="0"/>
              <w:rPr>
                <w:sz w:val="20"/>
                <w:szCs w:val="12"/>
                <w:lang w:val="en-AU"/>
              </w:rPr>
            </w:pPr>
          </w:p>
        </w:tc>
        <w:tc>
          <w:tcPr>
            <w:tcW w:w="6945" w:type="dxa"/>
            <w:tcBorders>
              <w:top w:val="single" w:sz="4" w:space="0" w:color="auto"/>
              <w:left w:val="single" w:sz="4" w:space="0" w:color="auto"/>
              <w:bottom w:val="single" w:sz="4" w:space="0" w:color="auto"/>
              <w:right w:val="single" w:sz="4" w:space="0" w:color="auto"/>
            </w:tcBorders>
            <w:shd w:val="clear" w:color="auto" w:fill="auto"/>
            <w:noWrap/>
          </w:tcPr>
          <w:p w:rsidR="00396E29" w:rsidRPr="003906F6" w:rsidRDefault="00396E29" w:rsidP="00396E29">
            <w:pPr>
              <w:spacing w:before="0"/>
              <w:jc w:val="left"/>
              <w:outlineLvl w:val="0"/>
              <w:rPr>
                <w:sz w:val="20"/>
                <w:szCs w:val="12"/>
                <w:lang w:val="en-AU"/>
              </w:rPr>
            </w:pPr>
            <w:r w:rsidRPr="003906F6">
              <w:rPr>
                <w:sz w:val="20"/>
                <w:szCs w:val="12"/>
                <w:lang w:val="en-AU"/>
              </w:rPr>
              <w:t>Engineering design</w:t>
            </w:r>
          </w:p>
          <w:p w:rsidR="00396E29" w:rsidRPr="003906F6" w:rsidRDefault="00396E29" w:rsidP="00396E29">
            <w:pPr>
              <w:spacing w:before="0"/>
              <w:jc w:val="left"/>
              <w:outlineLvl w:val="0"/>
              <w:rPr>
                <w:sz w:val="20"/>
                <w:szCs w:val="12"/>
                <w:lang w:val="en-AU"/>
              </w:rPr>
            </w:pPr>
            <w:r w:rsidRPr="003906F6">
              <w:rPr>
                <w:sz w:val="20"/>
                <w:szCs w:val="12"/>
                <w:lang w:val="en-AU"/>
              </w:rPr>
              <w:t>Standards and safety regulations</w:t>
            </w:r>
          </w:p>
          <w:p w:rsidR="00396E29" w:rsidRDefault="00396E29" w:rsidP="00396E29">
            <w:pPr>
              <w:spacing w:before="0"/>
              <w:jc w:val="left"/>
              <w:outlineLvl w:val="0"/>
              <w:rPr>
                <w:sz w:val="20"/>
                <w:szCs w:val="12"/>
                <w:lang w:val="en-AU"/>
              </w:rPr>
            </w:pPr>
            <w:r w:rsidRPr="003906F6">
              <w:rPr>
                <w:sz w:val="20"/>
                <w:szCs w:val="12"/>
                <w:lang w:val="en-AU"/>
              </w:rPr>
              <w:t>Codes of practice</w:t>
            </w:r>
          </w:p>
          <w:p w:rsidR="00396E29" w:rsidRPr="003906F6" w:rsidRDefault="00396E29" w:rsidP="00396E29">
            <w:pPr>
              <w:spacing w:before="0"/>
              <w:jc w:val="left"/>
              <w:outlineLvl w:val="0"/>
              <w:rPr>
                <w:sz w:val="20"/>
                <w:szCs w:val="12"/>
                <w:lang w:val="en-AU"/>
              </w:rPr>
            </w:pPr>
            <w:r>
              <w:rPr>
                <w:sz w:val="20"/>
                <w:szCs w:val="12"/>
                <w:lang w:val="en-AU"/>
              </w:rPr>
              <w:t xml:space="preserve">Commercialisation of smaller capacity ammonia compressors </w:t>
            </w:r>
          </w:p>
          <w:p w:rsidR="00396E29" w:rsidRPr="003906F6" w:rsidRDefault="00396E29" w:rsidP="00396E29">
            <w:pPr>
              <w:spacing w:before="0"/>
              <w:jc w:val="left"/>
              <w:outlineLvl w:val="0"/>
              <w:rPr>
                <w:sz w:val="20"/>
                <w:szCs w:val="12"/>
                <w:lang w:val="en-AU"/>
              </w:rPr>
            </w:pPr>
            <w:r w:rsidRPr="003906F6">
              <w:rPr>
                <w:sz w:val="20"/>
                <w:szCs w:val="12"/>
                <w:lang w:val="en-AU"/>
              </w:rPr>
              <w:t>Financial incentives</w:t>
            </w:r>
          </w:p>
          <w:p w:rsidR="00396E29" w:rsidRDefault="00396E29" w:rsidP="00396E29">
            <w:pPr>
              <w:spacing w:before="0"/>
              <w:jc w:val="left"/>
              <w:outlineLvl w:val="0"/>
              <w:rPr>
                <w:sz w:val="20"/>
                <w:szCs w:val="12"/>
                <w:lang w:val="en-AU"/>
              </w:rPr>
            </w:pPr>
            <w:r w:rsidRPr="00CA68EC">
              <w:rPr>
                <w:sz w:val="20"/>
                <w:szCs w:val="12"/>
                <w:lang w:val="en-AU"/>
              </w:rPr>
              <w:t>Target applications</w:t>
            </w:r>
            <w:r>
              <w:rPr>
                <w:sz w:val="20"/>
                <w:szCs w:val="12"/>
                <w:lang w:val="en-AU"/>
              </w:rPr>
              <w:t>:</w:t>
            </w:r>
          </w:p>
          <w:p w:rsidR="00396E29" w:rsidRDefault="00396E29" w:rsidP="00396E29">
            <w:pPr>
              <w:pStyle w:val="ColorfulShading-Accent31"/>
              <w:numPr>
                <w:ilvl w:val="0"/>
                <w:numId w:val="8"/>
              </w:numPr>
              <w:ind w:left="175" w:hanging="175"/>
              <w:contextualSpacing w:val="0"/>
              <w:outlineLvl w:val="0"/>
              <w:rPr>
                <w:rFonts w:ascii="Times New Roman" w:hAnsi="Times New Roman"/>
                <w:sz w:val="20"/>
                <w:szCs w:val="12"/>
                <w:lang w:val="en-AU"/>
              </w:rPr>
            </w:pPr>
            <w:r>
              <w:rPr>
                <w:rFonts w:ascii="Times New Roman" w:hAnsi="Times New Roman"/>
                <w:sz w:val="20"/>
                <w:szCs w:val="12"/>
                <w:lang w:val="en-AU"/>
              </w:rPr>
              <w:t>L</w:t>
            </w:r>
            <w:r w:rsidRPr="00CA68EC">
              <w:rPr>
                <w:rFonts w:ascii="Times New Roman" w:hAnsi="Times New Roman"/>
                <w:sz w:val="20"/>
                <w:szCs w:val="12"/>
                <w:lang w:val="en-AU"/>
              </w:rPr>
              <w:t>arge</w:t>
            </w:r>
            <w:r>
              <w:rPr>
                <w:rFonts w:ascii="Times New Roman" w:hAnsi="Times New Roman"/>
                <w:sz w:val="20"/>
                <w:szCs w:val="12"/>
                <w:lang w:val="en-AU"/>
              </w:rPr>
              <w:t xml:space="preserve"> and some medium commercial refrigeration;</w:t>
            </w:r>
          </w:p>
          <w:p w:rsidR="00396E29" w:rsidRDefault="00396E29" w:rsidP="00396E29">
            <w:pPr>
              <w:pStyle w:val="ColorfulShading-Accent31"/>
              <w:numPr>
                <w:ilvl w:val="0"/>
                <w:numId w:val="8"/>
              </w:numPr>
              <w:ind w:left="175" w:hanging="175"/>
              <w:contextualSpacing w:val="0"/>
              <w:outlineLvl w:val="0"/>
              <w:rPr>
                <w:rFonts w:ascii="Times New Roman" w:hAnsi="Times New Roman"/>
                <w:sz w:val="20"/>
                <w:szCs w:val="12"/>
                <w:lang w:val="en-AU"/>
              </w:rPr>
            </w:pPr>
            <w:r>
              <w:rPr>
                <w:rFonts w:ascii="Times New Roman" w:hAnsi="Times New Roman"/>
                <w:sz w:val="20"/>
                <w:szCs w:val="12"/>
                <w:lang w:val="en-AU"/>
              </w:rPr>
              <w:t>C</w:t>
            </w:r>
            <w:r w:rsidRPr="00CA68EC">
              <w:rPr>
                <w:rFonts w:ascii="Times New Roman" w:hAnsi="Times New Roman"/>
                <w:sz w:val="20"/>
                <w:szCs w:val="12"/>
                <w:lang w:val="en-AU"/>
              </w:rPr>
              <w:t>old st</w:t>
            </w:r>
            <w:r>
              <w:rPr>
                <w:rFonts w:ascii="Times New Roman" w:hAnsi="Times New Roman"/>
                <w:sz w:val="20"/>
                <w:szCs w:val="12"/>
                <w:lang w:val="en-AU"/>
              </w:rPr>
              <w:t xml:space="preserve">orage and </w:t>
            </w:r>
            <w:r w:rsidRPr="00CA68EC">
              <w:rPr>
                <w:rFonts w:ascii="Times New Roman" w:hAnsi="Times New Roman"/>
                <w:sz w:val="20"/>
                <w:szCs w:val="12"/>
                <w:lang w:val="en-AU"/>
              </w:rPr>
              <w:t>process refrigeration</w:t>
            </w:r>
            <w:r>
              <w:rPr>
                <w:rFonts w:ascii="Times New Roman" w:hAnsi="Times New Roman"/>
                <w:sz w:val="20"/>
                <w:szCs w:val="12"/>
                <w:lang w:val="en-AU"/>
              </w:rPr>
              <w:t>;</w:t>
            </w:r>
            <w:r w:rsidRPr="00CA68EC">
              <w:rPr>
                <w:rFonts w:ascii="Times New Roman" w:hAnsi="Times New Roman"/>
                <w:sz w:val="20"/>
                <w:szCs w:val="12"/>
                <w:lang w:val="en-AU"/>
              </w:rPr>
              <w:t xml:space="preserve"> and</w:t>
            </w:r>
            <w:r>
              <w:rPr>
                <w:rFonts w:ascii="Times New Roman" w:hAnsi="Times New Roman"/>
                <w:sz w:val="20"/>
                <w:szCs w:val="12"/>
                <w:lang w:val="en-AU"/>
              </w:rPr>
              <w:t>,</w:t>
            </w:r>
          </w:p>
          <w:p w:rsidR="00396E29" w:rsidRDefault="00396E29" w:rsidP="00396E29">
            <w:pPr>
              <w:pStyle w:val="ColorfulShading-Accent31"/>
              <w:numPr>
                <w:ilvl w:val="0"/>
                <w:numId w:val="8"/>
              </w:numPr>
              <w:ind w:left="175" w:hanging="175"/>
              <w:contextualSpacing w:val="0"/>
              <w:outlineLvl w:val="0"/>
              <w:rPr>
                <w:rFonts w:ascii="Times New Roman" w:hAnsi="Times New Roman"/>
                <w:sz w:val="20"/>
                <w:szCs w:val="12"/>
                <w:lang w:val="en-AU"/>
              </w:rPr>
            </w:pPr>
            <w:r>
              <w:rPr>
                <w:rFonts w:ascii="Times New Roman" w:hAnsi="Times New Roman"/>
                <w:sz w:val="20"/>
                <w:szCs w:val="12"/>
                <w:lang w:val="en-AU"/>
              </w:rPr>
              <w:t>Chillers for air conditioning.</w:t>
            </w:r>
          </w:p>
          <w:p w:rsidR="00396E29" w:rsidRPr="00C0761F" w:rsidRDefault="00396E29" w:rsidP="00696691">
            <w:pPr>
              <w:spacing w:before="0"/>
              <w:jc w:val="left"/>
              <w:outlineLvl w:val="0"/>
              <w:rPr>
                <w:sz w:val="20"/>
                <w:szCs w:val="12"/>
                <w:lang w:val="en-AU"/>
              </w:rPr>
            </w:pPr>
          </w:p>
        </w:tc>
      </w:tr>
    </w:tbl>
    <w:p w:rsidR="00FF18ED" w:rsidRPr="00EB32DD" w:rsidRDefault="00FF18ED" w:rsidP="00FF18ED">
      <w:pPr>
        <w:spacing w:before="0"/>
        <w:rPr>
          <w:sz w:val="18"/>
        </w:rPr>
      </w:pPr>
      <w:r w:rsidRPr="00EB32DD">
        <w:rPr>
          <w:sz w:val="18"/>
        </w:rPr>
        <w:t>(</w:t>
      </w:r>
      <w:r>
        <w:rPr>
          <w:sz w:val="18"/>
        </w:rPr>
        <w:t xml:space="preserve">Sources </w:t>
      </w:r>
      <w:r w:rsidRPr="00EB32DD">
        <w:rPr>
          <w:sz w:val="18"/>
        </w:rPr>
        <w:t>EPA 2010a and EPA 2010b)</w:t>
      </w:r>
    </w:p>
    <w:p w:rsidR="00FF18ED" w:rsidRPr="00D10192" w:rsidRDefault="00FF18ED" w:rsidP="00FF18ED">
      <w:pPr>
        <w:spacing w:before="0"/>
        <w:rPr>
          <w:b/>
        </w:rPr>
      </w:pPr>
      <w:r>
        <w:br w:type="page"/>
      </w:r>
      <w:r w:rsidRPr="00D10192">
        <w:rPr>
          <w:b/>
        </w:rPr>
        <w:t xml:space="preserve">Summary of </w:t>
      </w:r>
      <w:r>
        <w:rPr>
          <w:b/>
        </w:rPr>
        <w:t>commercially available nil and lower GW</w:t>
      </w:r>
      <w:r w:rsidRPr="00D10192">
        <w:rPr>
          <w:b/>
        </w:rPr>
        <w:t>P options, and associated challenges (continued)</w:t>
      </w:r>
    </w:p>
    <w:tbl>
      <w:tblPr>
        <w:tblW w:w="13338" w:type="dxa"/>
        <w:tblInd w:w="95" w:type="dxa"/>
        <w:tblLook w:val="0000"/>
      </w:tblPr>
      <w:tblGrid>
        <w:gridCol w:w="1998"/>
        <w:gridCol w:w="4678"/>
        <w:gridCol w:w="6662"/>
      </w:tblGrid>
      <w:tr w:rsidR="00FF18ED" w:rsidRPr="00CA68EC" w:rsidTr="00FF18ED">
        <w:trPr>
          <w:trHeight w:val="260"/>
        </w:trPr>
        <w:tc>
          <w:tcPr>
            <w:tcW w:w="1998" w:type="dxa"/>
            <w:tcBorders>
              <w:top w:val="nil"/>
              <w:left w:val="single" w:sz="4" w:space="0" w:color="auto"/>
              <w:bottom w:val="single" w:sz="4" w:space="0" w:color="auto"/>
              <w:right w:val="single" w:sz="4" w:space="0" w:color="FFFFFF" w:themeColor="background1"/>
            </w:tcBorders>
            <w:shd w:val="clear" w:color="auto" w:fill="000000"/>
            <w:noWrap/>
            <w:vAlign w:val="center"/>
          </w:tcPr>
          <w:p w:rsidR="00FF18ED" w:rsidRPr="00A362C9" w:rsidRDefault="00FF18ED" w:rsidP="00FF18ED">
            <w:pPr>
              <w:spacing w:before="0"/>
              <w:outlineLvl w:val="0"/>
              <w:rPr>
                <w:color w:val="FFFFFF"/>
                <w:szCs w:val="12"/>
                <w:lang w:val="en-AU"/>
              </w:rPr>
            </w:pPr>
          </w:p>
          <w:p w:rsidR="00FF18ED" w:rsidRPr="00A362C9" w:rsidRDefault="00FF18ED" w:rsidP="00FF18ED">
            <w:pPr>
              <w:spacing w:before="0"/>
              <w:outlineLvl w:val="0"/>
              <w:rPr>
                <w:color w:val="FFFFFF"/>
                <w:szCs w:val="12"/>
                <w:lang w:val="en-AU"/>
              </w:rPr>
            </w:pPr>
            <w:r w:rsidRPr="00A362C9">
              <w:rPr>
                <w:color w:val="FFFFFF"/>
                <w:szCs w:val="12"/>
                <w:lang w:val="en-AU"/>
              </w:rPr>
              <w:t>Gas type</w:t>
            </w:r>
          </w:p>
          <w:p w:rsidR="00FF18ED" w:rsidRPr="00A362C9" w:rsidRDefault="00FF18ED" w:rsidP="00FF18ED">
            <w:pPr>
              <w:spacing w:before="0"/>
              <w:outlineLvl w:val="0"/>
              <w:rPr>
                <w:color w:val="FFFFFF"/>
                <w:szCs w:val="12"/>
                <w:lang w:val="en-AU"/>
              </w:rPr>
            </w:pPr>
          </w:p>
        </w:tc>
        <w:tc>
          <w:tcPr>
            <w:tcW w:w="4678" w:type="dxa"/>
            <w:tcBorders>
              <w:top w:val="nil"/>
              <w:left w:val="single" w:sz="4" w:space="0" w:color="FFFFFF" w:themeColor="background1"/>
              <w:bottom w:val="single" w:sz="4" w:space="0" w:color="auto"/>
              <w:right w:val="single" w:sz="4" w:space="0" w:color="FFFFFF" w:themeColor="background1"/>
            </w:tcBorders>
            <w:shd w:val="clear" w:color="auto" w:fill="000000"/>
            <w:noWrap/>
            <w:vAlign w:val="center"/>
          </w:tcPr>
          <w:p w:rsidR="00FF18ED" w:rsidRPr="00A362C9" w:rsidRDefault="00FF18ED" w:rsidP="00FF18ED">
            <w:pPr>
              <w:spacing w:before="0"/>
              <w:outlineLvl w:val="0"/>
              <w:rPr>
                <w:color w:val="FFFFFF"/>
                <w:szCs w:val="12"/>
                <w:lang w:val="en-AU"/>
              </w:rPr>
            </w:pPr>
            <w:r w:rsidRPr="00A362C9">
              <w:rPr>
                <w:color w:val="FFFFFF"/>
                <w:szCs w:val="12"/>
                <w:lang w:val="en-AU"/>
              </w:rPr>
              <w:t>Challenges to market entry</w:t>
            </w:r>
          </w:p>
        </w:tc>
        <w:tc>
          <w:tcPr>
            <w:tcW w:w="6662" w:type="dxa"/>
            <w:tcBorders>
              <w:top w:val="nil"/>
              <w:left w:val="single" w:sz="4" w:space="0" w:color="FFFFFF" w:themeColor="background1"/>
              <w:bottom w:val="single" w:sz="4" w:space="0" w:color="auto"/>
              <w:right w:val="single" w:sz="4" w:space="0" w:color="auto"/>
            </w:tcBorders>
            <w:shd w:val="clear" w:color="auto" w:fill="000000"/>
            <w:noWrap/>
            <w:vAlign w:val="center"/>
          </w:tcPr>
          <w:p w:rsidR="00FF18ED" w:rsidRPr="00A362C9" w:rsidRDefault="00FF18ED" w:rsidP="00FF18ED">
            <w:pPr>
              <w:spacing w:before="0"/>
              <w:outlineLvl w:val="0"/>
              <w:rPr>
                <w:color w:val="FFFFFF"/>
                <w:szCs w:val="12"/>
                <w:lang w:val="en-AU"/>
              </w:rPr>
            </w:pPr>
            <w:r w:rsidRPr="00A362C9">
              <w:rPr>
                <w:color w:val="FFFFFF"/>
                <w:szCs w:val="12"/>
                <w:lang w:val="en-AU"/>
              </w:rPr>
              <w:t>Potential solutions</w:t>
            </w:r>
          </w:p>
        </w:tc>
      </w:tr>
      <w:tr w:rsidR="00396E29" w:rsidRPr="00CA68EC" w:rsidTr="00FF18ED">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noWrap/>
          </w:tcPr>
          <w:p w:rsidR="00396E29" w:rsidRPr="00B81EF8" w:rsidRDefault="00396E29" w:rsidP="00396E29">
            <w:pPr>
              <w:spacing w:before="0"/>
              <w:jc w:val="left"/>
              <w:outlineLvl w:val="0"/>
              <w:rPr>
                <w:sz w:val="20"/>
                <w:szCs w:val="12"/>
                <w:lang w:val="en-AU"/>
              </w:rPr>
            </w:pPr>
            <w:r w:rsidRPr="00B81EF8">
              <w:rPr>
                <w:sz w:val="20"/>
                <w:szCs w:val="12"/>
                <w:lang w:val="en-AU"/>
              </w:rPr>
              <w:t>HFO-1234yf</w:t>
            </w:r>
          </w:p>
          <w:p w:rsidR="00396E29" w:rsidRPr="00B81EF8" w:rsidRDefault="00396E29" w:rsidP="00696691">
            <w:pPr>
              <w:spacing w:before="0"/>
              <w:jc w:val="left"/>
              <w:outlineLvl w:val="0"/>
              <w:rPr>
                <w:sz w:val="20"/>
                <w:szCs w:val="12"/>
                <w:lang w:val="en-AU"/>
              </w:rPr>
            </w:pPr>
          </w:p>
        </w:tc>
        <w:tc>
          <w:tcPr>
            <w:tcW w:w="4678" w:type="dxa"/>
            <w:tcBorders>
              <w:top w:val="single" w:sz="4" w:space="0" w:color="auto"/>
              <w:left w:val="single" w:sz="4" w:space="0" w:color="auto"/>
              <w:bottom w:val="single" w:sz="4" w:space="0" w:color="auto"/>
              <w:right w:val="nil"/>
            </w:tcBorders>
            <w:shd w:val="clear" w:color="auto" w:fill="auto"/>
            <w:noWrap/>
          </w:tcPr>
          <w:p w:rsidR="00396E29" w:rsidRPr="00B81EF8" w:rsidRDefault="00396E29" w:rsidP="00396E29">
            <w:pPr>
              <w:spacing w:before="0"/>
              <w:jc w:val="left"/>
              <w:outlineLvl w:val="0"/>
              <w:rPr>
                <w:sz w:val="20"/>
                <w:szCs w:val="12"/>
                <w:lang w:val="en-AU"/>
              </w:rPr>
            </w:pPr>
            <w:r w:rsidRPr="00B81EF8">
              <w:rPr>
                <w:sz w:val="20"/>
                <w:szCs w:val="12"/>
                <w:lang w:val="en-AU"/>
              </w:rPr>
              <w:t>Mild flammability</w:t>
            </w:r>
          </w:p>
          <w:p w:rsidR="00396E29" w:rsidRPr="00B81EF8" w:rsidRDefault="00396E29" w:rsidP="00396E29">
            <w:pPr>
              <w:spacing w:before="0"/>
              <w:jc w:val="left"/>
              <w:outlineLvl w:val="0"/>
              <w:rPr>
                <w:sz w:val="20"/>
                <w:szCs w:val="12"/>
                <w:lang w:val="en-AU"/>
              </w:rPr>
            </w:pPr>
            <w:r w:rsidRPr="00B81EF8">
              <w:rPr>
                <w:sz w:val="20"/>
                <w:szCs w:val="12"/>
                <w:lang w:val="en-AU"/>
              </w:rPr>
              <w:t>Market availability</w:t>
            </w:r>
          </w:p>
          <w:p w:rsidR="00396E29" w:rsidRPr="00B81EF8" w:rsidRDefault="00396E29" w:rsidP="00396E29">
            <w:pPr>
              <w:spacing w:before="0"/>
              <w:jc w:val="left"/>
              <w:outlineLvl w:val="0"/>
              <w:rPr>
                <w:sz w:val="20"/>
                <w:szCs w:val="12"/>
                <w:lang w:val="en-AU"/>
              </w:rPr>
            </w:pPr>
            <w:r w:rsidRPr="00B81EF8">
              <w:rPr>
                <w:sz w:val="20"/>
                <w:szCs w:val="12"/>
                <w:lang w:val="en-AU"/>
              </w:rPr>
              <w:t>International regulatory approvals for new species</w:t>
            </w:r>
          </w:p>
          <w:p w:rsidR="00396E29" w:rsidRDefault="00396E29" w:rsidP="00396E29">
            <w:pPr>
              <w:spacing w:before="0"/>
              <w:jc w:val="left"/>
              <w:outlineLvl w:val="0"/>
              <w:rPr>
                <w:sz w:val="20"/>
                <w:szCs w:val="12"/>
                <w:lang w:val="en-AU"/>
              </w:rPr>
            </w:pPr>
            <w:r w:rsidRPr="00B81EF8">
              <w:rPr>
                <w:sz w:val="20"/>
                <w:szCs w:val="12"/>
                <w:lang w:val="en-AU"/>
              </w:rPr>
              <w:t>Limited production capacity - high refrigerant price</w:t>
            </w:r>
          </w:p>
          <w:p w:rsidR="00396E29" w:rsidRPr="00B81EF8" w:rsidRDefault="00396E29" w:rsidP="00396E29">
            <w:pPr>
              <w:spacing w:before="0"/>
              <w:jc w:val="left"/>
              <w:outlineLvl w:val="0"/>
              <w:rPr>
                <w:sz w:val="20"/>
                <w:szCs w:val="12"/>
                <w:lang w:val="en-AU"/>
              </w:rPr>
            </w:pPr>
            <w:r w:rsidRPr="00696691">
              <w:rPr>
                <w:sz w:val="20"/>
                <w:szCs w:val="12"/>
                <w:lang w:val="en-AU"/>
              </w:rPr>
              <w:t>There are concerns regarding the decomposition products in the event of</w:t>
            </w:r>
            <w:r>
              <w:rPr>
                <w:sz w:val="20"/>
                <w:szCs w:val="12"/>
                <w:lang w:val="en-AU"/>
              </w:rPr>
              <w:t xml:space="preserve"> a release into the environment</w:t>
            </w:r>
          </w:p>
          <w:p w:rsidR="00396E29" w:rsidRPr="00B81EF8" w:rsidRDefault="00396E29" w:rsidP="00696691">
            <w:pPr>
              <w:spacing w:before="0"/>
              <w:jc w:val="left"/>
              <w:outlineLvl w:val="0"/>
              <w:rPr>
                <w:sz w:val="20"/>
                <w:szCs w:val="12"/>
                <w:lang w:val="en-AU"/>
              </w:rPr>
            </w:pPr>
          </w:p>
        </w:tc>
        <w:tc>
          <w:tcPr>
            <w:tcW w:w="6662" w:type="dxa"/>
            <w:tcBorders>
              <w:top w:val="single" w:sz="4" w:space="0" w:color="auto"/>
              <w:left w:val="single" w:sz="4" w:space="0" w:color="auto"/>
              <w:bottom w:val="single" w:sz="4" w:space="0" w:color="auto"/>
              <w:right w:val="single" w:sz="4" w:space="0" w:color="auto"/>
            </w:tcBorders>
            <w:shd w:val="clear" w:color="auto" w:fill="auto"/>
            <w:noWrap/>
          </w:tcPr>
          <w:p w:rsidR="00396E29" w:rsidRPr="00B81EF8" w:rsidRDefault="00396E29" w:rsidP="00396E29">
            <w:pPr>
              <w:spacing w:before="0"/>
              <w:jc w:val="left"/>
              <w:outlineLvl w:val="0"/>
              <w:rPr>
                <w:sz w:val="20"/>
                <w:szCs w:val="12"/>
                <w:lang w:val="en-AU"/>
              </w:rPr>
            </w:pPr>
            <w:r w:rsidRPr="00B81EF8">
              <w:rPr>
                <w:sz w:val="20"/>
                <w:szCs w:val="12"/>
                <w:lang w:val="en-AU"/>
              </w:rPr>
              <w:t>Engineering designs and applications matched to level of flammability</w:t>
            </w:r>
          </w:p>
          <w:p w:rsidR="00396E29" w:rsidRPr="00B81EF8" w:rsidRDefault="00396E29" w:rsidP="00396E29">
            <w:pPr>
              <w:spacing w:before="0"/>
              <w:jc w:val="left"/>
              <w:outlineLvl w:val="0"/>
              <w:rPr>
                <w:sz w:val="20"/>
                <w:szCs w:val="12"/>
                <w:lang w:val="en-AU"/>
              </w:rPr>
            </w:pPr>
            <w:r w:rsidRPr="00B81EF8">
              <w:rPr>
                <w:sz w:val="20"/>
                <w:szCs w:val="12"/>
                <w:lang w:val="en-AU"/>
              </w:rPr>
              <w:t>Increase production capacity</w:t>
            </w:r>
          </w:p>
          <w:p w:rsidR="00396E29" w:rsidRPr="00B81EF8" w:rsidRDefault="00396E29" w:rsidP="00396E29">
            <w:pPr>
              <w:spacing w:before="0"/>
              <w:jc w:val="left"/>
              <w:outlineLvl w:val="0"/>
              <w:rPr>
                <w:sz w:val="20"/>
                <w:szCs w:val="12"/>
                <w:lang w:val="en-AU"/>
              </w:rPr>
            </w:pPr>
            <w:r w:rsidRPr="00B81EF8">
              <w:rPr>
                <w:sz w:val="20"/>
                <w:szCs w:val="12"/>
                <w:lang w:val="en-AU"/>
              </w:rPr>
              <w:t>Research and development</w:t>
            </w:r>
          </w:p>
          <w:p w:rsidR="00396E29" w:rsidRPr="00B81EF8" w:rsidRDefault="00396E29" w:rsidP="00696691">
            <w:pPr>
              <w:spacing w:before="0"/>
              <w:jc w:val="left"/>
              <w:outlineLvl w:val="0"/>
              <w:rPr>
                <w:sz w:val="20"/>
                <w:szCs w:val="12"/>
                <w:lang w:val="en-AU"/>
              </w:rPr>
            </w:pPr>
            <w:r w:rsidRPr="00B81EF8">
              <w:rPr>
                <w:sz w:val="20"/>
                <w:szCs w:val="12"/>
                <w:lang w:val="en-AU"/>
              </w:rPr>
              <w:t>Note: HFO blends with characteristics (i.e. pressures, efficiency and flammability) that more closely match widely used refrigerants HCFC-22, HFC-410A and HFC-404A</w:t>
            </w:r>
            <w:r>
              <w:rPr>
                <w:sz w:val="20"/>
                <w:szCs w:val="12"/>
                <w:lang w:val="en-AU"/>
              </w:rPr>
              <w:t xml:space="preserve"> are not consider commercially available at the time of writing this report and are reviewed in </w:t>
            </w:r>
            <w:r w:rsidRPr="00FB37A5">
              <w:rPr>
                <w:i/>
                <w:sz w:val="20"/>
                <w:szCs w:val="12"/>
                <w:lang w:val="en-AU"/>
              </w:rPr>
              <w:t>Section 3.4</w:t>
            </w:r>
            <w:r w:rsidRPr="00FB37A5">
              <w:rPr>
                <w:sz w:val="20"/>
                <w:szCs w:val="12"/>
                <w:lang w:val="en-AU"/>
              </w:rPr>
              <w:t>.</w:t>
            </w:r>
          </w:p>
        </w:tc>
      </w:tr>
      <w:tr w:rsidR="00396E29" w:rsidRPr="00CA68EC" w:rsidTr="00FF18ED">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noWrap/>
          </w:tcPr>
          <w:p w:rsidR="00396E29" w:rsidRDefault="00396E29" w:rsidP="00396E29">
            <w:pPr>
              <w:spacing w:before="0"/>
              <w:jc w:val="left"/>
              <w:outlineLvl w:val="0"/>
              <w:rPr>
                <w:sz w:val="20"/>
                <w:szCs w:val="12"/>
                <w:lang w:val="en-AU"/>
              </w:rPr>
            </w:pPr>
            <w:r>
              <w:rPr>
                <w:sz w:val="20"/>
                <w:szCs w:val="12"/>
                <w:lang w:val="en-AU"/>
              </w:rPr>
              <w:t>HFO-1234ze(E)</w:t>
            </w:r>
          </w:p>
          <w:p w:rsidR="00396E29" w:rsidRPr="00B81EF8" w:rsidRDefault="00396E29" w:rsidP="00696691">
            <w:pPr>
              <w:spacing w:before="0"/>
              <w:jc w:val="left"/>
              <w:outlineLvl w:val="0"/>
              <w:rPr>
                <w:sz w:val="20"/>
                <w:szCs w:val="12"/>
                <w:lang w:val="en-AU"/>
              </w:rPr>
            </w:pPr>
          </w:p>
        </w:tc>
        <w:tc>
          <w:tcPr>
            <w:tcW w:w="4678" w:type="dxa"/>
            <w:tcBorders>
              <w:top w:val="single" w:sz="4" w:space="0" w:color="auto"/>
              <w:left w:val="single" w:sz="4" w:space="0" w:color="auto"/>
              <w:bottom w:val="single" w:sz="4" w:space="0" w:color="auto"/>
              <w:right w:val="nil"/>
            </w:tcBorders>
            <w:shd w:val="clear" w:color="auto" w:fill="auto"/>
            <w:noWrap/>
          </w:tcPr>
          <w:p w:rsidR="00396E29" w:rsidRPr="00B81EF8" w:rsidRDefault="00396E29" w:rsidP="00696691">
            <w:pPr>
              <w:spacing w:before="0"/>
              <w:jc w:val="left"/>
              <w:outlineLvl w:val="0"/>
              <w:rPr>
                <w:sz w:val="20"/>
                <w:szCs w:val="12"/>
                <w:lang w:val="en-AU"/>
              </w:rPr>
            </w:pPr>
            <w:r>
              <w:rPr>
                <w:sz w:val="20"/>
                <w:szCs w:val="12"/>
                <w:lang w:val="en-AU"/>
              </w:rPr>
              <w:t>As above.</w:t>
            </w:r>
          </w:p>
        </w:tc>
        <w:tc>
          <w:tcPr>
            <w:tcW w:w="6662" w:type="dxa"/>
            <w:tcBorders>
              <w:top w:val="single" w:sz="4" w:space="0" w:color="auto"/>
              <w:left w:val="single" w:sz="4" w:space="0" w:color="auto"/>
              <w:bottom w:val="single" w:sz="4" w:space="0" w:color="auto"/>
              <w:right w:val="single" w:sz="4" w:space="0" w:color="auto"/>
            </w:tcBorders>
            <w:shd w:val="clear" w:color="auto" w:fill="auto"/>
            <w:noWrap/>
          </w:tcPr>
          <w:p w:rsidR="00396E29" w:rsidRPr="00B81EF8" w:rsidRDefault="00396E29" w:rsidP="00696691">
            <w:pPr>
              <w:spacing w:before="0"/>
              <w:jc w:val="left"/>
              <w:outlineLvl w:val="0"/>
              <w:rPr>
                <w:sz w:val="20"/>
                <w:szCs w:val="12"/>
                <w:lang w:val="en-AU"/>
              </w:rPr>
            </w:pPr>
            <w:r>
              <w:rPr>
                <w:sz w:val="20"/>
                <w:szCs w:val="12"/>
                <w:lang w:val="en-AU"/>
              </w:rPr>
              <w:t>As above.</w:t>
            </w:r>
          </w:p>
        </w:tc>
      </w:tr>
      <w:tr w:rsidR="00396E29" w:rsidRPr="00CA68EC" w:rsidTr="00FF18ED">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noWrap/>
          </w:tcPr>
          <w:p w:rsidR="00396E29" w:rsidRPr="00B81EF8" w:rsidRDefault="00396E29" w:rsidP="00696691">
            <w:pPr>
              <w:spacing w:before="0"/>
              <w:jc w:val="left"/>
              <w:outlineLvl w:val="0"/>
              <w:rPr>
                <w:sz w:val="20"/>
                <w:szCs w:val="12"/>
                <w:lang w:val="en-AU"/>
              </w:rPr>
            </w:pPr>
            <w:r>
              <w:rPr>
                <w:sz w:val="20"/>
                <w:szCs w:val="12"/>
                <w:lang w:val="en-AU"/>
              </w:rPr>
              <w:t>HFO-1233zd(E)</w:t>
            </w:r>
          </w:p>
        </w:tc>
        <w:tc>
          <w:tcPr>
            <w:tcW w:w="4678" w:type="dxa"/>
            <w:tcBorders>
              <w:top w:val="single" w:sz="4" w:space="0" w:color="auto"/>
              <w:left w:val="single" w:sz="4" w:space="0" w:color="auto"/>
              <w:bottom w:val="single" w:sz="4" w:space="0" w:color="auto"/>
              <w:right w:val="nil"/>
            </w:tcBorders>
            <w:shd w:val="clear" w:color="auto" w:fill="auto"/>
            <w:noWrap/>
          </w:tcPr>
          <w:p w:rsidR="00396E29" w:rsidRPr="00B81EF8" w:rsidRDefault="00396E29" w:rsidP="00396E29">
            <w:pPr>
              <w:spacing w:before="0"/>
              <w:jc w:val="left"/>
              <w:outlineLvl w:val="0"/>
              <w:rPr>
                <w:sz w:val="20"/>
                <w:szCs w:val="12"/>
                <w:lang w:val="en-AU"/>
              </w:rPr>
            </w:pPr>
            <w:r w:rsidRPr="00B81EF8">
              <w:rPr>
                <w:sz w:val="20"/>
                <w:szCs w:val="12"/>
                <w:lang w:val="en-AU"/>
              </w:rPr>
              <w:t>Market availability</w:t>
            </w:r>
          </w:p>
          <w:p w:rsidR="00396E29" w:rsidRPr="00B81EF8" w:rsidRDefault="00396E29" w:rsidP="00396E29">
            <w:pPr>
              <w:spacing w:before="0"/>
              <w:jc w:val="left"/>
              <w:outlineLvl w:val="0"/>
              <w:rPr>
                <w:sz w:val="20"/>
                <w:szCs w:val="12"/>
                <w:lang w:val="en-AU"/>
              </w:rPr>
            </w:pPr>
            <w:r w:rsidRPr="00B81EF8">
              <w:rPr>
                <w:sz w:val="20"/>
                <w:szCs w:val="12"/>
                <w:lang w:val="en-AU"/>
              </w:rPr>
              <w:t>International regulatory approvals for new species</w:t>
            </w:r>
          </w:p>
          <w:p w:rsidR="00396E29" w:rsidRDefault="00396E29" w:rsidP="00396E29">
            <w:pPr>
              <w:spacing w:before="0"/>
              <w:jc w:val="left"/>
              <w:outlineLvl w:val="0"/>
              <w:rPr>
                <w:sz w:val="20"/>
                <w:szCs w:val="12"/>
                <w:lang w:val="en-AU"/>
              </w:rPr>
            </w:pPr>
            <w:r w:rsidRPr="00B81EF8">
              <w:rPr>
                <w:sz w:val="20"/>
                <w:szCs w:val="12"/>
                <w:lang w:val="en-AU"/>
              </w:rPr>
              <w:t xml:space="preserve">Limited production </w:t>
            </w:r>
            <w:r>
              <w:rPr>
                <w:sz w:val="20"/>
                <w:szCs w:val="12"/>
                <w:lang w:val="en-AU"/>
              </w:rPr>
              <w:t>capacity</w:t>
            </w:r>
          </w:p>
          <w:p w:rsidR="00396E29" w:rsidRDefault="00396E29" w:rsidP="00396E29">
            <w:pPr>
              <w:spacing w:before="0"/>
              <w:jc w:val="left"/>
              <w:outlineLvl w:val="0"/>
              <w:rPr>
                <w:sz w:val="20"/>
                <w:szCs w:val="12"/>
                <w:lang w:val="en-AU"/>
              </w:rPr>
            </w:pPr>
            <w:r w:rsidRPr="00696691">
              <w:rPr>
                <w:sz w:val="20"/>
                <w:szCs w:val="12"/>
                <w:lang w:val="en-AU"/>
              </w:rPr>
              <w:t>There are concerns regarding the decomposition products in the event of</w:t>
            </w:r>
            <w:r>
              <w:rPr>
                <w:sz w:val="20"/>
                <w:szCs w:val="12"/>
                <w:lang w:val="en-AU"/>
              </w:rPr>
              <w:t xml:space="preserve"> a release into the environment</w:t>
            </w:r>
          </w:p>
          <w:p w:rsidR="00396E29" w:rsidRPr="00B81EF8" w:rsidRDefault="00396E29" w:rsidP="00696691">
            <w:pPr>
              <w:spacing w:before="0"/>
              <w:jc w:val="left"/>
              <w:outlineLvl w:val="0"/>
              <w:rPr>
                <w:sz w:val="20"/>
                <w:szCs w:val="12"/>
                <w:lang w:val="en-AU"/>
              </w:rPr>
            </w:pPr>
          </w:p>
        </w:tc>
        <w:tc>
          <w:tcPr>
            <w:tcW w:w="6662" w:type="dxa"/>
            <w:tcBorders>
              <w:top w:val="single" w:sz="4" w:space="0" w:color="auto"/>
              <w:left w:val="single" w:sz="4" w:space="0" w:color="auto"/>
              <w:bottom w:val="single" w:sz="4" w:space="0" w:color="auto"/>
              <w:right w:val="single" w:sz="4" w:space="0" w:color="auto"/>
            </w:tcBorders>
            <w:shd w:val="clear" w:color="auto" w:fill="auto"/>
            <w:noWrap/>
          </w:tcPr>
          <w:p w:rsidR="00396E29" w:rsidRPr="00B81EF8" w:rsidRDefault="00396E29" w:rsidP="00696691">
            <w:pPr>
              <w:spacing w:before="0"/>
              <w:jc w:val="left"/>
              <w:outlineLvl w:val="0"/>
              <w:rPr>
                <w:sz w:val="20"/>
                <w:szCs w:val="12"/>
                <w:lang w:val="en-AU"/>
              </w:rPr>
            </w:pPr>
            <w:r w:rsidRPr="00696691">
              <w:rPr>
                <w:sz w:val="20"/>
                <w:szCs w:val="12"/>
                <w:lang w:val="en-AU"/>
              </w:rPr>
              <w:t xml:space="preserve">Being non-flammable and having a moderate cost, this refrigerant is on a fast track for adoption. R-number designation </w:t>
            </w:r>
            <w:r>
              <w:rPr>
                <w:sz w:val="20"/>
                <w:szCs w:val="12"/>
                <w:lang w:val="en-AU"/>
              </w:rPr>
              <w:t>application is expected for 2014 (UNEP 2013c, p41)</w:t>
            </w:r>
            <w:r w:rsidRPr="00696691">
              <w:rPr>
                <w:sz w:val="20"/>
                <w:szCs w:val="12"/>
                <w:lang w:val="en-AU"/>
              </w:rPr>
              <w:t xml:space="preserve">. </w:t>
            </w:r>
          </w:p>
        </w:tc>
      </w:tr>
      <w:tr w:rsidR="00396E29" w:rsidRPr="00CA68EC" w:rsidTr="00FF18ED">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noWrap/>
          </w:tcPr>
          <w:p w:rsidR="00396E29" w:rsidRPr="00B81EF8" w:rsidRDefault="00396E29" w:rsidP="00696691">
            <w:pPr>
              <w:spacing w:before="0"/>
              <w:jc w:val="left"/>
              <w:outlineLvl w:val="0"/>
              <w:rPr>
                <w:sz w:val="20"/>
                <w:szCs w:val="12"/>
                <w:lang w:val="en-AU"/>
              </w:rPr>
            </w:pPr>
            <w:r w:rsidRPr="00B81EF8">
              <w:rPr>
                <w:sz w:val="20"/>
                <w:szCs w:val="12"/>
                <w:lang w:val="en-AU"/>
              </w:rPr>
              <w:t>HFC-32</w:t>
            </w:r>
          </w:p>
        </w:tc>
        <w:tc>
          <w:tcPr>
            <w:tcW w:w="4678" w:type="dxa"/>
            <w:tcBorders>
              <w:top w:val="single" w:sz="4" w:space="0" w:color="auto"/>
              <w:left w:val="single" w:sz="4" w:space="0" w:color="auto"/>
              <w:bottom w:val="single" w:sz="4" w:space="0" w:color="auto"/>
              <w:right w:val="nil"/>
            </w:tcBorders>
            <w:shd w:val="clear" w:color="auto" w:fill="auto"/>
            <w:noWrap/>
          </w:tcPr>
          <w:p w:rsidR="00396E29" w:rsidRPr="00B81EF8" w:rsidRDefault="00396E29" w:rsidP="00396E29">
            <w:pPr>
              <w:spacing w:before="0"/>
              <w:jc w:val="left"/>
              <w:outlineLvl w:val="0"/>
              <w:rPr>
                <w:sz w:val="20"/>
                <w:szCs w:val="12"/>
                <w:lang w:val="en-AU"/>
              </w:rPr>
            </w:pPr>
            <w:r w:rsidRPr="00B81EF8">
              <w:rPr>
                <w:sz w:val="20"/>
                <w:szCs w:val="12"/>
                <w:lang w:val="en-AU"/>
              </w:rPr>
              <w:t>Mild flammability</w:t>
            </w:r>
          </w:p>
          <w:p w:rsidR="00396E29" w:rsidRDefault="00396E29" w:rsidP="00396E29">
            <w:pPr>
              <w:spacing w:before="0"/>
              <w:jc w:val="left"/>
              <w:outlineLvl w:val="0"/>
              <w:rPr>
                <w:sz w:val="20"/>
                <w:szCs w:val="12"/>
                <w:lang w:val="en-AU"/>
              </w:rPr>
            </w:pPr>
            <w:r>
              <w:rPr>
                <w:sz w:val="20"/>
                <w:szCs w:val="12"/>
                <w:lang w:val="en-AU"/>
              </w:rPr>
              <w:t>Skills gap</w:t>
            </w:r>
          </w:p>
          <w:p w:rsidR="00396E29" w:rsidRPr="00B81EF8" w:rsidRDefault="00396E29" w:rsidP="00396E29">
            <w:pPr>
              <w:spacing w:before="0"/>
              <w:jc w:val="left"/>
              <w:outlineLvl w:val="0"/>
              <w:rPr>
                <w:sz w:val="20"/>
                <w:szCs w:val="12"/>
                <w:lang w:val="en-AU"/>
              </w:rPr>
            </w:pPr>
            <w:r w:rsidRPr="00B81EF8">
              <w:rPr>
                <w:sz w:val="20"/>
                <w:szCs w:val="12"/>
                <w:lang w:val="en-AU"/>
              </w:rPr>
              <w:t>Not a drop-in replacement for HCFC-22 equipment</w:t>
            </w:r>
          </w:p>
          <w:p w:rsidR="00396E29" w:rsidRDefault="00396E29" w:rsidP="00396E29">
            <w:pPr>
              <w:spacing w:before="0"/>
              <w:jc w:val="left"/>
              <w:outlineLvl w:val="0"/>
              <w:rPr>
                <w:sz w:val="20"/>
                <w:szCs w:val="12"/>
                <w:lang w:val="en-AU"/>
              </w:rPr>
            </w:pPr>
            <w:r w:rsidRPr="00B81EF8">
              <w:rPr>
                <w:sz w:val="20"/>
                <w:szCs w:val="12"/>
                <w:lang w:val="en-AU"/>
              </w:rPr>
              <w:t>Market acceptance (local and overseas)</w:t>
            </w:r>
          </w:p>
          <w:p w:rsidR="00396E29" w:rsidRDefault="00396E29" w:rsidP="00396E29">
            <w:pPr>
              <w:spacing w:before="0"/>
              <w:jc w:val="left"/>
              <w:outlineLvl w:val="0"/>
              <w:rPr>
                <w:sz w:val="20"/>
                <w:szCs w:val="12"/>
                <w:lang w:val="en-AU"/>
              </w:rPr>
            </w:pPr>
            <w:r>
              <w:rPr>
                <w:sz w:val="20"/>
                <w:szCs w:val="12"/>
                <w:lang w:val="en-AU"/>
              </w:rPr>
              <w:t>Service supply chain issues:</w:t>
            </w:r>
          </w:p>
          <w:p w:rsidR="00396E29" w:rsidRPr="000A35B4" w:rsidRDefault="00396E29" w:rsidP="00396E29">
            <w:pPr>
              <w:pStyle w:val="ColorfulShading-Accent31"/>
              <w:numPr>
                <w:ilvl w:val="0"/>
                <w:numId w:val="8"/>
              </w:numPr>
              <w:ind w:left="175" w:hanging="175"/>
              <w:contextualSpacing w:val="0"/>
              <w:outlineLvl w:val="0"/>
              <w:rPr>
                <w:rFonts w:ascii="Times New Roman" w:hAnsi="Times New Roman"/>
                <w:sz w:val="20"/>
                <w:szCs w:val="12"/>
                <w:lang w:val="en-AU"/>
              </w:rPr>
            </w:pPr>
            <w:r w:rsidRPr="000A35B4">
              <w:rPr>
                <w:rFonts w:ascii="Times New Roman" w:hAnsi="Times New Roman"/>
                <w:sz w:val="20"/>
                <w:szCs w:val="12"/>
                <w:lang w:val="en-AU"/>
              </w:rPr>
              <w:t>Lack of compliant service cylinders; and</w:t>
            </w:r>
          </w:p>
          <w:p w:rsidR="00396E29" w:rsidRDefault="00396E29" w:rsidP="00396E29">
            <w:pPr>
              <w:pStyle w:val="ColorfulShading-Accent31"/>
              <w:numPr>
                <w:ilvl w:val="0"/>
                <w:numId w:val="8"/>
              </w:numPr>
              <w:ind w:left="175" w:hanging="175"/>
              <w:contextualSpacing w:val="0"/>
              <w:outlineLvl w:val="0"/>
              <w:rPr>
                <w:rFonts w:ascii="Times New Roman" w:hAnsi="Times New Roman"/>
                <w:sz w:val="20"/>
                <w:szCs w:val="12"/>
                <w:lang w:val="en-AU"/>
              </w:rPr>
            </w:pPr>
            <w:r w:rsidRPr="000A35B4">
              <w:rPr>
                <w:rFonts w:ascii="Times New Roman" w:hAnsi="Times New Roman"/>
                <w:sz w:val="20"/>
                <w:szCs w:val="12"/>
                <w:lang w:val="en-AU"/>
              </w:rPr>
              <w:t>Australian Dangerous Goods Code for transport and storage classifies HFC-32 as a dangerous good under Division 2.1 Flammable gases.</w:t>
            </w:r>
          </w:p>
          <w:p w:rsidR="00396E29" w:rsidRPr="000A35B4" w:rsidRDefault="00396E29" w:rsidP="00696691">
            <w:pPr>
              <w:pStyle w:val="ColorfulShading-Accent31"/>
              <w:ind w:left="0"/>
              <w:contextualSpacing w:val="0"/>
              <w:outlineLvl w:val="0"/>
              <w:rPr>
                <w:rFonts w:ascii="Times New Roman" w:hAnsi="Times New Roman"/>
                <w:sz w:val="20"/>
                <w:szCs w:val="12"/>
                <w:lang w:val="en-AU"/>
              </w:rPr>
            </w:pPr>
            <w:r w:rsidRPr="000A35B4">
              <w:rPr>
                <w:rFonts w:ascii="Times New Roman" w:hAnsi="Times New Roman"/>
                <w:sz w:val="20"/>
                <w:szCs w:val="12"/>
                <w:lang w:val="en-AU"/>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noWrap/>
          </w:tcPr>
          <w:p w:rsidR="00396E29" w:rsidRPr="00B81EF8" w:rsidRDefault="00396E29" w:rsidP="00396E29">
            <w:pPr>
              <w:spacing w:before="0"/>
              <w:jc w:val="left"/>
              <w:outlineLvl w:val="0"/>
              <w:rPr>
                <w:sz w:val="20"/>
                <w:szCs w:val="12"/>
                <w:lang w:val="en-AU"/>
              </w:rPr>
            </w:pPr>
            <w:r w:rsidRPr="00B81EF8">
              <w:rPr>
                <w:sz w:val="20"/>
                <w:szCs w:val="12"/>
                <w:lang w:val="en-AU"/>
              </w:rPr>
              <w:t>Research and development</w:t>
            </w:r>
          </w:p>
          <w:p w:rsidR="00396E29" w:rsidRDefault="00396E29" w:rsidP="00396E29">
            <w:pPr>
              <w:spacing w:before="0"/>
              <w:jc w:val="left"/>
              <w:outlineLvl w:val="0"/>
              <w:rPr>
                <w:sz w:val="20"/>
                <w:szCs w:val="12"/>
                <w:lang w:val="en-AU"/>
              </w:rPr>
            </w:pPr>
            <w:r>
              <w:rPr>
                <w:sz w:val="20"/>
                <w:szCs w:val="12"/>
                <w:lang w:val="en-AU"/>
              </w:rPr>
              <w:t>Transformation of supply chain to handle large volumes of class 2AL refrigerants</w:t>
            </w:r>
          </w:p>
          <w:p w:rsidR="00396E29" w:rsidRPr="00B83F03" w:rsidRDefault="00396E29" w:rsidP="00396E29">
            <w:pPr>
              <w:spacing w:before="0"/>
              <w:jc w:val="left"/>
              <w:outlineLvl w:val="0"/>
              <w:rPr>
                <w:sz w:val="20"/>
                <w:szCs w:val="12"/>
                <w:lang w:val="en-AU"/>
              </w:rPr>
            </w:pPr>
            <w:r w:rsidRPr="00B83F03">
              <w:rPr>
                <w:sz w:val="20"/>
                <w:szCs w:val="12"/>
                <w:lang w:val="en-AU"/>
              </w:rPr>
              <w:t>Training and education</w:t>
            </w:r>
          </w:p>
          <w:p w:rsidR="00396E29" w:rsidRPr="00B81EF8" w:rsidRDefault="00396E29" w:rsidP="00396E29">
            <w:pPr>
              <w:spacing w:before="0"/>
              <w:jc w:val="left"/>
              <w:outlineLvl w:val="0"/>
              <w:rPr>
                <w:sz w:val="20"/>
                <w:szCs w:val="12"/>
                <w:lang w:val="en-AU"/>
              </w:rPr>
            </w:pPr>
            <w:r w:rsidRPr="00B81EF8">
              <w:rPr>
                <w:sz w:val="20"/>
                <w:szCs w:val="12"/>
                <w:lang w:val="en-AU"/>
              </w:rPr>
              <w:t>Target applications:</w:t>
            </w:r>
          </w:p>
          <w:p w:rsidR="00396E29" w:rsidRDefault="00396E29" w:rsidP="00396E29">
            <w:pPr>
              <w:pStyle w:val="ColorfulShading-Accent31"/>
              <w:numPr>
                <w:ilvl w:val="0"/>
                <w:numId w:val="8"/>
              </w:numPr>
              <w:ind w:left="175" w:hanging="175"/>
              <w:contextualSpacing w:val="0"/>
              <w:outlineLvl w:val="0"/>
              <w:rPr>
                <w:rFonts w:ascii="Times New Roman" w:hAnsi="Times New Roman"/>
                <w:sz w:val="20"/>
                <w:szCs w:val="12"/>
                <w:lang w:val="en-AU"/>
              </w:rPr>
            </w:pPr>
            <w:r w:rsidRPr="00B81EF8">
              <w:rPr>
                <w:rFonts w:ascii="Times New Roman" w:hAnsi="Times New Roman"/>
                <w:sz w:val="20"/>
                <w:szCs w:val="12"/>
                <w:lang w:val="en-AU"/>
              </w:rPr>
              <w:t>Split air conditioning units;</w:t>
            </w:r>
          </w:p>
          <w:p w:rsidR="00396E29" w:rsidRDefault="00396E29" w:rsidP="00396E29">
            <w:pPr>
              <w:pStyle w:val="ColorfulShading-Accent31"/>
              <w:numPr>
                <w:ilvl w:val="0"/>
                <w:numId w:val="8"/>
              </w:numPr>
              <w:ind w:left="175" w:hanging="175"/>
              <w:contextualSpacing w:val="0"/>
              <w:outlineLvl w:val="0"/>
              <w:rPr>
                <w:rFonts w:ascii="Times New Roman" w:hAnsi="Times New Roman"/>
                <w:sz w:val="20"/>
                <w:szCs w:val="12"/>
                <w:lang w:val="en-AU"/>
              </w:rPr>
            </w:pPr>
            <w:r>
              <w:rPr>
                <w:rFonts w:ascii="Times New Roman" w:hAnsi="Times New Roman"/>
                <w:sz w:val="20"/>
                <w:szCs w:val="12"/>
                <w:lang w:val="en-AU"/>
              </w:rPr>
              <w:t>Most small to medium stationary AC applications;</w:t>
            </w:r>
          </w:p>
          <w:p w:rsidR="00396E29" w:rsidRPr="00B81EF8" w:rsidRDefault="00396E29" w:rsidP="00396E29">
            <w:pPr>
              <w:pStyle w:val="ColorfulShading-Accent31"/>
              <w:numPr>
                <w:ilvl w:val="0"/>
                <w:numId w:val="8"/>
              </w:numPr>
              <w:ind w:left="175" w:hanging="175"/>
              <w:contextualSpacing w:val="0"/>
              <w:outlineLvl w:val="0"/>
              <w:rPr>
                <w:rFonts w:ascii="Times New Roman" w:hAnsi="Times New Roman"/>
                <w:sz w:val="20"/>
                <w:szCs w:val="12"/>
                <w:lang w:val="en-AU"/>
              </w:rPr>
            </w:pPr>
            <w:r>
              <w:rPr>
                <w:rFonts w:ascii="Times New Roman" w:hAnsi="Times New Roman"/>
                <w:sz w:val="20"/>
                <w:szCs w:val="12"/>
                <w:lang w:val="en-AU"/>
              </w:rPr>
              <w:t>Risk assessment of larger charge applications such as VRV systems is currently under evaluation;</w:t>
            </w:r>
            <w:r w:rsidRPr="00B81EF8">
              <w:rPr>
                <w:rFonts w:ascii="Times New Roman" w:hAnsi="Times New Roman"/>
                <w:sz w:val="20"/>
                <w:szCs w:val="12"/>
                <w:lang w:val="en-AU"/>
              </w:rPr>
              <w:t xml:space="preserve"> and</w:t>
            </w:r>
          </w:p>
          <w:p w:rsidR="00396E29" w:rsidRPr="00B81EF8" w:rsidRDefault="00396E29" w:rsidP="00396E29">
            <w:pPr>
              <w:pStyle w:val="ColorfulShading-Accent31"/>
              <w:numPr>
                <w:ilvl w:val="0"/>
                <w:numId w:val="8"/>
              </w:numPr>
              <w:ind w:left="175" w:hanging="175"/>
              <w:contextualSpacing w:val="0"/>
              <w:outlineLvl w:val="0"/>
              <w:rPr>
                <w:rFonts w:ascii="Times New Roman" w:hAnsi="Times New Roman"/>
                <w:sz w:val="20"/>
                <w:szCs w:val="12"/>
                <w:lang w:val="en-AU"/>
              </w:rPr>
            </w:pPr>
            <w:r w:rsidRPr="00B81EF8">
              <w:rPr>
                <w:rFonts w:ascii="Times New Roman" w:hAnsi="Times New Roman"/>
                <w:sz w:val="20"/>
                <w:szCs w:val="12"/>
                <w:lang w:val="en-AU"/>
              </w:rPr>
              <w:t xml:space="preserve">High ambient regions (i.e. better high ambient performance than </w:t>
            </w:r>
            <w:r>
              <w:rPr>
                <w:rFonts w:ascii="Times New Roman" w:hAnsi="Times New Roman"/>
                <w:sz w:val="20"/>
                <w:szCs w:val="12"/>
                <w:lang w:val="en-AU"/>
              </w:rPr>
              <w:t>HFC-</w:t>
            </w:r>
            <w:r w:rsidRPr="00B81EF8">
              <w:rPr>
                <w:rFonts w:ascii="Times New Roman" w:hAnsi="Times New Roman"/>
                <w:sz w:val="20"/>
                <w:szCs w:val="12"/>
                <w:lang w:val="en-AU"/>
              </w:rPr>
              <w:t>410A).</w:t>
            </w:r>
          </w:p>
          <w:p w:rsidR="00396E29" w:rsidRPr="00B81EF8" w:rsidRDefault="00396E29" w:rsidP="00696691">
            <w:pPr>
              <w:spacing w:before="0"/>
              <w:jc w:val="left"/>
              <w:outlineLvl w:val="0"/>
              <w:rPr>
                <w:sz w:val="20"/>
                <w:szCs w:val="12"/>
                <w:lang w:val="en-AU"/>
              </w:rPr>
            </w:pPr>
          </w:p>
        </w:tc>
      </w:tr>
      <w:tr w:rsidR="00396E29" w:rsidRPr="00CA68EC" w:rsidTr="00FF18ED">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noWrap/>
          </w:tcPr>
          <w:p w:rsidR="00396E29" w:rsidRPr="00B81EF8" w:rsidRDefault="00396E29" w:rsidP="00696691">
            <w:pPr>
              <w:spacing w:before="0"/>
              <w:jc w:val="left"/>
              <w:outlineLvl w:val="0"/>
              <w:rPr>
                <w:sz w:val="20"/>
                <w:szCs w:val="12"/>
                <w:lang w:val="en-AU"/>
              </w:rPr>
            </w:pPr>
            <w:r w:rsidRPr="00B81EF8">
              <w:rPr>
                <w:sz w:val="20"/>
                <w:szCs w:val="12"/>
                <w:lang w:val="en-AU"/>
              </w:rPr>
              <w:t>HFC-152a</w:t>
            </w:r>
          </w:p>
        </w:tc>
        <w:tc>
          <w:tcPr>
            <w:tcW w:w="4678" w:type="dxa"/>
            <w:tcBorders>
              <w:top w:val="single" w:sz="4" w:space="0" w:color="auto"/>
              <w:left w:val="single" w:sz="4" w:space="0" w:color="auto"/>
              <w:bottom w:val="single" w:sz="4" w:space="0" w:color="auto"/>
              <w:right w:val="nil"/>
            </w:tcBorders>
            <w:shd w:val="clear" w:color="auto" w:fill="auto"/>
            <w:noWrap/>
          </w:tcPr>
          <w:p w:rsidR="00396E29" w:rsidRPr="00B81EF8" w:rsidRDefault="00396E29" w:rsidP="00396E29">
            <w:pPr>
              <w:spacing w:before="0"/>
              <w:jc w:val="left"/>
              <w:outlineLvl w:val="0"/>
              <w:rPr>
                <w:sz w:val="20"/>
                <w:szCs w:val="12"/>
                <w:lang w:val="en-AU"/>
              </w:rPr>
            </w:pPr>
            <w:r w:rsidRPr="00B81EF8">
              <w:rPr>
                <w:sz w:val="20"/>
                <w:szCs w:val="12"/>
                <w:lang w:val="en-AU"/>
              </w:rPr>
              <w:t>High flammability risks</w:t>
            </w:r>
          </w:p>
          <w:p w:rsidR="00396E29" w:rsidRPr="00B81EF8" w:rsidRDefault="00396E29" w:rsidP="00396E29">
            <w:pPr>
              <w:spacing w:before="0"/>
              <w:jc w:val="left"/>
              <w:outlineLvl w:val="0"/>
              <w:rPr>
                <w:sz w:val="20"/>
                <w:szCs w:val="12"/>
                <w:lang w:val="en-AU"/>
              </w:rPr>
            </w:pPr>
            <w:r w:rsidRPr="00B81EF8">
              <w:rPr>
                <w:sz w:val="20"/>
                <w:szCs w:val="12"/>
                <w:lang w:val="en-AU"/>
              </w:rPr>
              <w:t>Limited support from multinational vehicle OEMs</w:t>
            </w:r>
          </w:p>
          <w:p w:rsidR="00396E29" w:rsidRPr="00B81EF8" w:rsidRDefault="00396E29" w:rsidP="00396E29">
            <w:pPr>
              <w:spacing w:before="0"/>
              <w:jc w:val="left"/>
              <w:outlineLvl w:val="0"/>
              <w:rPr>
                <w:sz w:val="20"/>
                <w:szCs w:val="12"/>
                <w:lang w:val="en-AU"/>
              </w:rPr>
            </w:pPr>
            <w:r w:rsidRPr="00B81EF8">
              <w:rPr>
                <w:sz w:val="20"/>
                <w:szCs w:val="12"/>
                <w:lang w:val="en-AU"/>
              </w:rPr>
              <w:t>Limited production capacity</w:t>
            </w:r>
          </w:p>
          <w:p w:rsidR="00396E29" w:rsidRPr="00B81EF8" w:rsidRDefault="00396E29" w:rsidP="00696691">
            <w:pPr>
              <w:spacing w:before="0"/>
              <w:jc w:val="left"/>
              <w:outlineLvl w:val="0"/>
              <w:rPr>
                <w:sz w:val="20"/>
                <w:szCs w:val="12"/>
                <w:lang w:val="en-AU"/>
              </w:rPr>
            </w:pPr>
          </w:p>
        </w:tc>
        <w:tc>
          <w:tcPr>
            <w:tcW w:w="6662" w:type="dxa"/>
            <w:tcBorders>
              <w:top w:val="single" w:sz="4" w:space="0" w:color="auto"/>
              <w:left w:val="single" w:sz="4" w:space="0" w:color="auto"/>
              <w:bottom w:val="single" w:sz="4" w:space="0" w:color="auto"/>
              <w:right w:val="single" w:sz="4" w:space="0" w:color="auto"/>
            </w:tcBorders>
            <w:shd w:val="clear" w:color="auto" w:fill="auto"/>
            <w:noWrap/>
          </w:tcPr>
          <w:p w:rsidR="00396E29" w:rsidRPr="00B81EF8" w:rsidRDefault="00396E29" w:rsidP="00396E29">
            <w:pPr>
              <w:spacing w:before="0"/>
              <w:jc w:val="left"/>
              <w:outlineLvl w:val="0"/>
              <w:rPr>
                <w:sz w:val="20"/>
                <w:szCs w:val="12"/>
                <w:lang w:val="en-AU"/>
              </w:rPr>
            </w:pPr>
            <w:r w:rsidRPr="00B81EF8">
              <w:rPr>
                <w:sz w:val="20"/>
                <w:szCs w:val="12"/>
                <w:lang w:val="en-AU"/>
              </w:rPr>
              <w:t>Engineering designs and applications matched to level of flammability</w:t>
            </w:r>
          </w:p>
          <w:p w:rsidR="00396E29" w:rsidRPr="00B81EF8" w:rsidRDefault="00396E29" w:rsidP="00396E29">
            <w:pPr>
              <w:spacing w:before="0"/>
              <w:jc w:val="left"/>
              <w:outlineLvl w:val="0"/>
              <w:rPr>
                <w:sz w:val="20"/>
                <w:szCs w:val="12"/>
                <w:lang w:val="en-AU"/>
              </w:rPr>
            </w:pPr>
            <w:r w:rsidRPr="00B81EF8">
              <w:rPr>
                <w:sz w:val="20"/>
                <w:szCs w:val="12"/>
                <w:lang w:val="en-AU"/>
              </w:rPr>
              <w:t>Increase production capacity</w:t>
            </w:r>
          </w:p>
          <w:p w:rsidR="00396E29" w:rsidRPr="00B81EF8" w:rsidRDefault="00396E29" w:rsidP="00696691">
            <w:pPr>
              <w:spacing w:before="0"/>
              <w:jc w:val="left"/>
              <w:outlineLvl w:val="0"/>
              <w:rPr>
                <w:sz w:val="20"/>
                <w:szCs w:val="12"/>
                <w:lang w:val="en-AU"/>
              </w:rPr>
            </w:pPr>
          </w:p>
        </w:tc>
      </w:tr>
      <w:tr w:rsidR="00396E29" w:rsidRPr="00CA68EC" w:rsidTr="00FF18ED">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noWrap/>
          </w:tcPr>
          <w:p w:rsidR="00396E29" w:rsidRDefault="00396E29" w:rsidP="00396E29">
            <w:pPr>
              <w:spacing w:before="0"/>
              <w:jc w:val="left"/>
              <w:outlineLvl w:val="0"/>
              <w:rPr>
                <w:sz w:val="20"/>
                <w:szCs w:val="12"/>
                <w:lang w:val="en-AU"/>
              </w:rPr>
            </w:pPr>
            <w:r w:rsidRPr="00B81EF8">
              <w:rPr>
                <w:sz w:val="20"/>
                <w:szCs w:val="12"/>
                <w:lang w:val="en-AU"/>
              </w:rPr>
              <w:t>HFC-407F</w:t>
            </w:r>
          </w:p>
          <w:p w:rsidR="00396E29" w:rsidRPr="00B81EF8" w:rsidRDefault="00396E29" w:rsidP="00396E29">
            <w:pPr>
              <w:spacing w:before="0"/>
              <w:jc w:val="left"/>
              <w:outlineLvl w:val="0"/>
              <w:rPr>
                <w:sz w:val="20"/>
                <w:szCs w:val="12"/>
                <w:lang w:val="en-AU"/>
              </w:rPr>
            </w:pPr>
            <w:r w:rsidRPr="00B81EF8">
              <w:rPr>
                <w:sz w:val="20"/>
                <w:szCs w:val="12"/>
                <w:lang w:val="en-AU"/>
              </w:rPr>
              <w:t>HFC-407A</w:t>
            </w:r>
          </w:p>
          <w:p w:rsidR="00396E29" w:rsidRPr="00B81EF8" w:rsidRDefault="00396E29" w:rsidP="00696691">
            <w:pPr>
              <w:spacing w:before="0"/>
              <w:jc w:val="left"/>
              <w:outlineLvl w:val="0"/>
              <w:rPr>
                <w:sz w:val="20"/>
                <w:szCs w:val="12"/>
                <w:lang w:val="en-AU"/>
              </w:rPr>
            </w:pPr>
          </w:p>
        </w:tc>
        <w:tc>
          <w:tcPr>
            <w:tcW w:w="4678" w:type="dxa"/>
            <w:tcBorders>
              <w:top w:val="single" w:sz="4" w:space="0" w:color="auto"/>
              <w:left w:val="single" w:sz="4" w:space="0" w:color="auto"/>
              <w:bottom w:val="single" w:sz="4" w:space="0" w:color="auto"/>
              <w:right w:val="nil"/>
            </w:tcBorders>
            <w:shd w:val="clear" w:color="auto" w:fill="auto"/>
            <w:noWrap/>
          </w:tcPr>
          <w:p w:rsidR="00396E29" w:rsidRPr="00B81EF8" w:rsidRDefault="00396E29" w:rsidP="00396E29">
            <w:pPr>
              <w:spacing w:before="0"/>
              <w:jc w:val="left"/>
              <w:outlineLvl w:val="0"/>
              <w:rPr>
                <w:sz w:val="20"/>
                <w:szCs w:val="12"/>
                <w:lang w:val="en-AU"/>
              </w:rPr>
            </w:pPr>
            <w:r w:rsidRPr="00B81EF8">
              <w:rPr>
                <w:sz w:val="20"/>
                <w:szCs w:val="12"/>
                <w:lang w:val="en-AU"/>
              </w:rPr>
              <w:t xml:space="preserve">Transitional option for HFC-404A </w:t>
            </w:r>
          </w:p>
          <w:p w:rsidR="00396E29" w:rsidRPr="00B81EF8" w:rsidRDefault="00396E29" w:rsidP="00396E29">
            <w:pPr>
              <w:spacing w:before="0"/>
              <w:jc w:val="left"/>
              <w:outlineLvl w:val="0"/>
              <w:rPr>
                <w:sz w:val="20"/>
                <w:szCs w:val="12"/>
                <w:lang w:val="en-AU"/>
              </w:rPr>
            </w:pPr>
            <w:r w:rsidRPr="00B81EF8">
              <w:rPr>
                <w:sz w:val="20"/>
                <w:szCs w:val="12"/>
                <w:lang w:val="en-AU"/>
              </w:rPr>
              <w:t>Cost of refrigerant versus change in GWP</w:t>
            </w:r>
            <w:r w:rsidRPr="00B81EF8">
              <w:rPr>
                <w:sz w:val="20"/>
                <w:szCs w:val="12"/>
                <w:vertAlign w:val="superscript"/>
                <w:lang w:val="en-AU"/>
              </w:rPr>
              <w:t xml:space="preserve"> AR4</w:t>
            </w:r>
            <w:r w:rsidRPr="00B81EF8">
              <w:rPr>
                <w:sz w:val="20"/>
                <w:szCs w:val="12"/>
                <w:lang w:val="en-AU"/>
              </w:rPr>
              <w:t xml:space="preserve"> (3</w:t>
            </w:r>
            <w:r>
              <w:rPr>
                <w:sz w:val="20"/>
                <w:szCs w:val="12"/>
                <w:lang w:val="en-AU"/>
              </w:rPr>
              <w:t>922</w:t>
            </w:r>
            <w:r w:rsidRPr="00B81EF8">
              <w:rPr>
                <w:sz w:val="20"/>
                <w:szCs w:val="12"/>
                <w:lang w:val="en-AU"/>
              </w:rPr>
              <w:t xml:space="preserve"> to 2107)</w:t>
            </w:r>
          </w:p>
          <w:p w:rsidR="00396E29" w:rsidRPr="00B81EF8" w:rsidRDefault="00396E29" w:rsidP="00396E29">
            <w:pPr>
              <w:spacing w:before="0"/>
              <w:jc w:val="left"/>
              <w:outlineLvl w:val="0"/>
              <w:rPr>
                <w:sz w:val="20"/>
                <w:szCs w:val="12"/>
                <w:lang w:val="en-AU"/>
              </w:rPr>
            </w:pPr>
            <w:r w:rsidRPr="00B81EF8">
              <w:rPr>
                <w:sz w:val="20"/>
                <w:szCs w:val="12"/>
                <w:lang w:val="en-AU"/>
              </w:rPr>
              <w:t>Poor market perception of drop-in replacements - leakage, resulting in efficiency and performance issues</w:t>
            </w:r>
          </w:p>
          <w:p w:rsidR="00396E29" w:rsidRPr="00B81EF8" w:rsidRDefault="00396E29" w:rsidP="00696691">
            <w:pPr>
              <w:spacing w:before="0"/>
              <w:jc w:val="left"/>
              <w:outlineLvl w:val="0"/>
              <w:rPr>
                <w:sz w:val="20"/>
                <w:szCs w:val="12"/>
                <w:lang w:val="en-AU"/>
              </w:rPr>
            </w:pPr>
          </w:p>
        </w:tc>
        <w:tc>
          <w:tcPr>
            <w:tcW w:w="6662" w:type="dxa"/>
            <w:tcBorders>
              <w:top w:val="single" w:sz="4" w:space="0" w:color="auto"/>
              <w:left w:val="single" w:sz="4" w:space="0" w:color="auto"/>
              <w:bottom w:val="single" w:sz="4" w:space="0" w:color="auto"/>
              <w:right w:val="single" w:sz="4" w:space="0" w:color="auto"/>
            </w:tcBorders>
            <w:shd w:val="clear" w:color="auto" w:fill="auto"/>
            <w:noWrap/>
          </w:tcPr>
          <w:p w:rsidR="00396E29" w:rsidRDefault="00396E29" w:rsidP="00396E29">
            <w:pPr>
              <w:spacing w:before="0"/>
              <w:jc w:val="left"/>
              <w:outlineLvl w:val="0"/>
              <w:rPr>
                <w:sz w:val="20"/>
                <w:szCs w:val="12"/>
                <w:lang w:val="en-AU"/>
              </w:rPr>
            </w:pPr>
            <w:r w:rsidRPr="000A35B4">
              <w:rPr>
                <w:sz w:val="20"/>
                <w:szCs w:val="12"/>
                <w:lang w:val="en-AU"/>
              </w:rPr>
              <w:t xml:space="preserve">Carbon levy for high GWP refrigerants has encouraged the </w:t>
            </w:r>
            <w:r>
              <w:rPr>
                <w:sz w:val="20"/>
                <w:szCs w:val="12"/>
                <w:lang w:val="en-AU"/>
              </w:rPr>
              <w:t xml:space="preserve">use of HFC-407F versus HFC-404A, removal of levy has potential to remove financial incentive. </w:t>
            </w:r>
          </w:p>
          <w:p w:rsidR="00396E29" w:rsidRPr="00B81EF8" w:rsidRDefault="00396E29" w:rsidP="00696691">
            <w:pPr>
              <w:spacing w:before="0"/>
              <w:jc w:val="left"/>
              <w:outlineLvl w:val="0"/>
              <w:rPr>
                <w:sz w:val="20"/>
                <w:szCs w:val="12"/>
                <w:lang w:val="en-AU"/>
              </w:rPr>
            </w:pPr>
            <w:r>
              <w:rPr>
                <w:sz w:val="20"/>
                <w:szCs w:val="12"/>
                <w:lang w:val="en-AU"/>
              </w:rPr>
              <w:t>Market as retrofit rather than drop-in replacement</w:t>
            </w:r>
          </w:p>
        </w:tc>
      </w:tr>
    </w:tbl>
    <w:p w:rsidR="005A0ADE" w:rsidRDefault="005A0ADE" w:rsidP="00FF18ED">
      <w:pPr>
        <w:rPr>
          <w:b/>
        </w:rPr>
      </w:pPr>
    </w:p>
    <w:p w:rsidR="00FF18ED" w:rsidRPr="00D10192" w:rsidRDefault="00FF18ED" w:rsidP="00FF18ED">
      <w:pPr>
        <w:rPr>
          <w:b/>
        </w:rPr>
      </w:pPr>
      <w:r w:rsidRPr="00D10192">
        <w:rPr>
          <w:b/>
        </w:rPr>
        <w:t xml:space="preserve">Summary of </w:t>
      </w:r>
      <w:r>
        <w:rPr>
          <w:b/>
        </w:rPr>
        <w:t xml:space="preserve">commercially available nil and lower </w:t>
      </w:r>
      <w:r w:rsidRPr="00D10192">
        <w:rPr>
          <w:b/>
        </w:rPr>
        <w:t>GWP options, and associated challenges (continued)</w:t>
      </w:r>
    </w:p>
    <w:tbl>
      <w:tblPr>
        <w:tblW w:w="13338" w:type="dxa"/>
        <w:tblInd w:w="95" w:type="dxa"/>
        <w:tblLook w:val="0000"/>
      </w:tblPr>
      <w:tblGrid>
        <w:gridCol w:w="1998"/>
        <w:gridCol w:w="4678"/>
        <w:gridCol w:w="6662"/>
      </w:tblGrid>
      <w:tr w:rsidR="00FF18ED" w:rsidRPr="00CA68EC" w:rsidTr="00FF18ED">
        <w:trPr>
          <w:trHeight w:val="260"/>
        </w:trPr>
        <w:tc>
          <w:tcPr>
            <w:tcW w:w="1998" w:type="dxa"/>
            <w:tcBorders>
              <w:top w:val="nil"/>
              <w:left w:val="single" w:sz="4" w:space="0" w:color="auto"/>
              <w:bottom w:val="single" w:sz="4" w:space="0" w:color="auto"/>
              <w:right w:val="single" w:sz="4" w:space="0" w:color="FFFFFF" w:themeColor="background1"/>
            </w:tcBorders>
            <w:shd w:val="clear" w:color="auto" w:fill="000000"/>
            <w:noWrap/>
            <w:vAlign w:val="center"/>
          </w:tcPr>
          <w:p w:rsidR="00FF18ED" w:rsidRPr="00A362C9" w:rsidRDefault="00FF18ED" w:rsidP="00FF18ED">
            <w:pPr>
              <w:spacing w:before="0"/>
              <w:outlineLvl w:val="0"/>
              <w:rPr>
                <w:color w:val="FFFFFF"/>
                <w:szCs w:val="12"/>
                <w:lang w:val="en-AU"/>
              </w:rPr>
            </w:pPr>
          </w:p>
          <w:p w:rsidR="00FF18ED" w:rsidRPr="00A362C9" w:rsidRDefault="00FF18ED" w:rsidP="00FF18ED">
            <w:pPr>
              <w:spacing w:before="0"/>
              <w:outlineLvl w:val="0"/>
              <w:rPr>
                <w:color w:val="FFFFFF"/>
                <w:szCs w:val="12"/>
                <w:lang w:val="en-AU"/>
              </w:rPr>
            </w:pPr>
            <w:r w:rsidRPr="00A362C9">
              <w:rPr>
                <w:color w:val="FFFFFF"/>
                <w:szCs w:val="12"/>
                <w:lang w:val="en-AU"/>
              </w:rPr>
              <w:t>Gas type</w:t>
            </w:r>
          </w:p>
          <w:p w:rsidR="00FF18ED" w:rsidRPr="00A362C9" w:rsidRDefault="00FF18ED" w:rsidP="00FF18ED">
            <w:pPr>
              <w:spacing w:before="0"/>
              <w:outlineLvl w:val="0"/>
              <w:rPr>
                <w:color w:val="FFFFFF"/>
                <w:szCs w:val="12"/>
                <w:lang w:val="en-AU"/>
              </w:rPr>
            </w:pPr>
          </w:p>
        </w:tc>
        <w:tc>
          <w:tcPr>
            <w:tcW w:w="4678" w:type="dxa"/>
            <w:tcBorders>
              <w:top w:val="nil"/>
              <w:left w:val="single" w:sz="4" w:space="0" w:color="FFFFFF" w:themeColor="background1"/>
              <w:bottom w:val="single" w:sz="4" w:space="0" w:color="auto"/>
              <w:right w:val="single" w:sz="4" w:space="0" w:color="FFFFFF" w:themeColor="background1"/>
            </w:tcBorders>
            <w:shd w:val="clear" w:color="auto" w:fill="000000"/>
            <w:noWrap/>
            <w:vAlign w:val="center"/>
          </w:tcPr>
          <w:p w:rsidR="00FF18ED" w:rsidRPr="00A362C9" w:rsidRDefault="00FF18ED" w:rsidP="00FF18ED">
            <w:pPr>
              <w:spacing w:before="0"/>
              <w:outlineLvl w:val="0"/>
              <w:rPr>
                <w:color w:val="FFFFFF"/>
                <w:szCs w:val="12"/>
                <w:lang w:val="en-AU"/>
              </w:rPr>
            </w:pPr>
            <w:r w:rsidRPr="00A362C9">
              <w:rPr>
                <w:color w:val="FFFFFF"/>
                <w:szCs w:val="12"/>
                <w:lang w:val="en-AU"/>
              </w:rPr>
              <w:t>Challenges to market entry</w:t>
            </w:r>
          </w:p>
        </w:tc>
        <w:tc>
          <w:tcPr>
            <w:tcW w:w="6662" w:type="dxa"/>
            <w:tcBorders>
              <w:top w:val="nil"/>
              <w:left w:val="single" w:sz="4" w:space="0" w:color="FFFFFF" w:themeColor="background1"/>
              <w:bottom w:val="single" w:sz="4" w:space="0" w:color="auto"/>
              <w:right w:val="single" w:sz="4" w:space="0" w:color="auto"/>
            </w:tcBorders>
            <w:shd w:val="clear" w:color="auto" w:fill="000000"/>
            <w:noWrap/>
            <w:vAlign w:val="center"/>
          </w:tcPr>
          <w:p w:rsidR="00FF18ED" w:rsidRPr="00A362C9" w:rsidRDefault="00FF18ED" w:rsidP="00FF18ED">
            <w:pPr>
              <w:spacing w:before="0"/>
              <w:outlineLvl w:val="0"/>
              <w:rPr>
                <w:color w:val="FFFFFF"/>
                <w:szCs w:val="12"/>
                <w:lang w:val="en-AU"/>
              </w:rPr>
            </w:pPr>
            <w:r w:rsidRPr="00A362C9">
              <w:rPr>
                <w:color w:val="FFFFFF"/>
                <w:szCs w:val="12"/>
                <w:lang w:val="en-AU"/>
              </w:rPr>
              <w:t>Potential solutions</w:t>
            </w:r>
          </w:p>
        </w:tc>
      </w:tr>
      <w:tr w:rsidR="00396E29" w:rsidRPr="00CA68EC" w:rsidTr="00FF18ED">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noWrap/>
          </w:tcPr>
          <w:p w:rsidR="00396E29" w:rsidRPr="00CA68EC" w:rsidRDefault="00396E29" w:rsidP="00696691">
            <w:pPr>
              <w:spacing w:before="0"/>
              <w:jc w:val="left"/>
              <w:outlineLvl w:val="0"/>
              <w:rPr>
                <w:sz w:val="20"/>
                <w:szCs w:val="12"/>
                <w:lang w:val="en-AU"/>
              </w:rPr>
            </w:pPr>
            <w:r>
              <w:rPr>
                <w:sz w:val="20"/>
                <w:szCs w:val="12"/>
                <w:lang w:val="en-AU"/>
              </w:rPr>
              <w:t xml:space="preserve">Cascade system with HFC and </w:t>
            </w:r>
            <w:r w:rsidRPr="00506365">
              <w:rPr>
                <w:sz w:val="20"/>
              </w:rPr>
              <w:t>CO</w:t>
            </w:r>
            <w:r w:rsidRPr="00B60314">
              <w:rPr>
                <w:sz w:val="20"/>
                <w:vertAlign w:val="subscript"/>
              </w:rPr>
              <w:t>2</w:t>
            </w:r>
          </w:p>
        </w:tc>
        <w:tc>
          <w:tcPr>
            <w:tcW w:w="4678" w:type="dxa"/>
            <w:tcBorders>
              <w:top w:val="single" w:sz="4" w:space="0" w:color="auto"/>
              <w:left w:val="single" w:sz="4" w:space="0" w:color="auto"/>
              <w:bottom w:val="single" w:sz="4" w:space="0" w:color="auto"/>
              <w:right w:val="nil"/>
            </w:tcBorders>
            <w:shd w:val="clear" w:color="auto" w:fill="auto"/>
            <w:noWrap/>
          </w:tcPr>
          <w:p w:rsidR="00396E29" w:rsidRDefault="00396E29" w:rsidP="00396E29">
            <w:pPr>
              <w:spacing w:before="0"/>
              <w:jc w:val="left"/>
              <w:outlineLvl w:val="0"/>
              <w:rPr>
                <w:sz w:val="20"/>
                <w:szCs w:val="12"/>
                <w:lang w:val="en-AU"/>
              </w:rPr>
            </w:pPr>
            <w:r>
              <w:rPr>
                <w:sz w:val="20"/>
                <w:szCs w:val="12"/>
                <w:lang w:val="en-AU"/>
              </w:rPr>
              <w:t>More expensive</w:t>
            </w:r>
          </w:p>
          <w:p w:rsidR="00396E29" w:rsidRPr="006F1929" w:rsidRDefault="00396E29" w:rsidP="00396E29">
            <w:pPr>
              <w:spacing w:before="0"/>
              <w:jc w:val="left"/>
              <w:outlineLvl w:val="0"/>
              <w:rPr>
                <w:sz w:val="20"/>
                <w:szCs w:val="12"/>
                <w:lang w:val="en-AU"/>
              </w:rPr>
            </w:pPr>
            <w:r>
              <w:rPr>
                <w:sz w:val="20"/>
                <w:szCs w:val="12"/>
                <w:lang w:val="en-AU"/>
              </w:rPr>
              <w:t>E</w:t>
            </w:r>
            <w:r w:rsidRPr="006F1929">
              <w:rPr>
                <w:sz w:val="20"/>
                <w:szCs w:val="12"/>
                <w:lang w:val="en-AU"/>
              </w:rPr>
              <w:t>nergy efficiency concerns</w:t>
            </w:r>
            <w:r>
              <w:rPr>
                <w:sz w:val="20"/>
                <w:szCs w:val="12"/>
                <w:lang w:val="en-AU"/>
              </w:rPr>
              <w:t xml:space="preserve"> with earlier designs</w:t>
            </w:r>
          </w:p>
          <w:p w:rsidR="00396E29" w:rsidRDefault="00396E29" w:rsidP="00396E29">
            <w:pPr>
              <w:spacing w:before="0"/>
              <w:jc w:val="left"/>
              <w:outlineLvl w:val="0"/>
              <w:rPr>
                <w:sz w:val="20"/>
                <w:szCs w:val="12"/>
                <w:lang w:val="en-AU"/>
              </w:rPr>
            </w:pPr>
            <w:r w:rsidRPr="006F1929">
              <w:rPr>
                <w:sz w:val="20"/>
                <w:szCs w:val="12"/>
                <w:lang w:val="en-AU"/>
              </w:rPr>
              <w:t>Technician and operator experience</w:t>
            </w:r>
          </w:p>
          <w:p w:rsidR="00396E29" w:rsidRPr="006F1929" w:rsidRDefault="00396E29" w:rsidP="00396E29">
            <w:pPr>
              <w:spacing w:before="0"/>
              <w:jc w:val="left"/>
              <w:outlineLvl w:val="0"/>
              <w:rPr>
                <w:sz w:val="20"/>
                <w:szCs w:val="12"/>
                <w:lang w:val="en-AU"/>
              </w:rPr>
            </w:pPr>
            <w:r>
              <w:rPr>
                <w:sz w:val="20"/>
                <w:szCs w:val="12"/>
                <w:lang w:val="en-AU"/>
              </w:rPr>
              <w:t>Technology path is on fast track for widespread adoption in supermarket and similar applications</w:t>
            </w:r>
          </w:p>
          <w:p w:rsidR="00396E29" w:rsidRPr="006F1929" w:rsidRDefault="00396E29" w:rsidP="00696691">
            <w:pPr>
              <w:spacing w:before="0"/>
              <w:jc w:val="left"/>
              <w:outlineLvl w:val="0"/>
              <w:rPr>
                <w:sz w:val="20"/>
                <w:szCs w:val="12"/>
                <w:lang w:val="en-AU"/>
              </w:rPr>
            </w:pPr>
          </w:p>
        </w:tc>
        <w:tc>
          <w:tcPr>
            <w:tcW w:w="6662" w:type="dxa"/>
            <w:tcBorders>
              <w:top w:val="single" w:sz="4" w:space="0" w:color="auto"/>
              <w:left w:val="single" w:sz="4" w:space="0" w:color="auto"/>
              <w:bottom w:val="single" w:sz="4" w:space="0" w:color="auto"/>
              <w:right w:val="single" w:sz="4" w:space="0" w:color="auto"/>
            </w:tcBorders>
            <w:shd w:val="clear" w:color="auto" w:fill="auto"/>
            <w:noWrap/>
          </w:tcPr>
          <w:p w:rsidR="00396E29" w:rsidRPr="006F1929" w:rsidRDefault="00396E29" w:rsidP="00396E29">
            <w:pPr>
              <w:spacing w:before="0"/>
              <w:jc w:val="left"/>
              <w:outlineLvl w:val="0"/>
              <w:rPr>
                <w:sz w:val="20"/>
                <w:szCs w:val="12"/>
                <w:lang w:val="en-AU"/>
              </w:rPr>
            </w:pPr>
            <w:r w:rsidRPr="006F1929">
              <w:rPr>
                <w:sz w:val="20"/>
                <w:szCs w:val="12"/>
                <w:lang w:val="en-AU"/>
              </w:rPr>
              <w:t>Training and education</w:t>
            </w:r>
          </w:p>
          <w:p w:rsidR="00396E29" w:rsidRPr="006F1929" w:rsidRDefault="00396E29" w:rsidP="00396E29">
            <w:pPr>
              <w:spacing w:before="0"/>
              <w:jc w:val="left"/>
              <w:outlineLvl w:val="0"/>
              <w:rPr>
                <w:sz w:val="20"/>
                <w:szCs w:val="12"/>
                <w:lang w:val="en-AU"/>
              </w:rPr>
            </w:pPr>
            <w:r w:rsidRPr="006F1929">
              <w:rPr>
                <w:sz w:val="20"/>
                <w:szCs w:val="12"/>
                <w:lang w:val="en-AU"/>
              </w:rPr>
              <w:t>Standards, codes of practice and design guidelines</w:t>
            </w:r>
          </w:p>
          <w:p w:rsidR="00396E29" w:rsidRPr="006F1929" w:rsidRDefault="00396E29" w:rsidP="00396E29">
            <w:pPr>
              <w:spacing w:before="0"/>
              <w:jc w:val="left"/>
              <w:outlineLvl w:val="0"/>
              <w:rPr>
                <w:sz w:val="20"/>
                <w:szCs w:val="12"/>
                <w:lang w:val="en-AU"/>
              </w:rPr>
            </w:pPr>
            <w:r w:rsidRPr="006F1929">
              <w:rPr>
                <w:sz w:val="20"/>
                <w:szCs w:val="12"/>
                <w:lang w:val="en-AU"/>
              </w:rPr>
              <w:t>Case studies</w:t>
            </w:r>
            <w:r>
              <w:rPr>
                <w:sz w:val="20"/>
                <w:szCs w:val="12"/>
                <w:lang w:val="en-AU"/>
              </w:rPr>
              <w:t xml:space="preserve"> (share latest innovations)</w:t>
            </w:r>
          </w:p>
          <w:p w:rsidR="00396E29" w:rsidRPr="006F1929" w:rsidRDefault="00396E29" w:rsidP="00696691">
            <w:pPr>
              <w:spacing w:before="0"/>
              <w:jc w:val="left"/>
              <w:outlineLvl w:val="0"/>
              <w:rPr>
                <w:sz w:val="20"/>
                <w:szCs w:val="12"/>
                <w:lang w:val="en-AU"/>
              </w:rPr>
            </w:pPr>
          </w:p>
        </w:tc>
      </w:tr>
      <w:tr w:rsidR="00396E29" w:rsidRPr="00CA68EC" w:rsidTr="00FF18ED">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noWrap/>
          </w:tcPr>
          <w:p w:rsidR="00396E29" w:rsidRDefault="00396E29" w:rsidP="00396E29">
            <w:pPr>
              <w:spacing w:before="0"/>
              <w:jc w:val="left"/>
              <w:outlineLvl w:val="0"/>
              <w:rPr>
                <w:sz w:val="20"/>
                <w:szCs w:val="12"/>
                <w:lang w:val="en-AU"/>
              </w:rPr>
            </w:pPr>
            <w:r>
              <w:rPr>
                <w:sz w:val="20"/>
                <w:szCs w:val="12"/>
                <w:lang w:val="en-AU"/>
              </w:rPr>
              <w:t>Fire Suppression</w:t>
            </w:r>
          </w:p>
          <w:p w:rsidR="00396E29" w:rsidRDefault="00396E29" w:rsidP="00396E29">
            <w:pPr>
              <w:spacing w:before="0"/>
              <w:jc w:val="left"/>
              <w:outlineLvl w:val="0"/>
              <w:rPr>
                <w:sz w:val="20"/>
                <w:szCs w:val="12"/>
                <w:lang w:val="en-AU"/>
              </w:rPr>
            </w:pPr>
            <w:r w:rsidRPr="00CA68EC">
              <w:rPr>
                <w:sz w:val="20"/>
                <w:szCs w:val="12"/>
                <w:lang w:val="en-AU"/>
              </w:rPr>
              <w:t>Novac 1230</w:t>
            </w:r>
          </w:p>
          <w:p w:rsidR="00396E29" w:rsidRDefault="00396E29" w:rsidP="00396E29">
            <w:pPr>
              <w:spacing w:before="0"/>
              <w:jc w:val="left"/>
              <w:outlineLvl w:val="0"/>
              <w:rPr>
                <w:sz w:val="20"/>
                <w:szCs w:val="12"/>
                <w:lang w:val="en-AU"/>
              </w:rPr>
            </w:pPr>
            <w:r w:rsidRPr="00C0761F">
              <w:rPr>
                <w:sz w:val="20"/>
                <w:szCs w:val="12"/>
                <w:lang w:val="en-AU"/>
              </w:rPr>
              <w:t>IG-01</w:t>
            </w:r>
            <w:r>
              <w:rPr>
                <w:sz w:val="20"/>
                <w:szCs w:val="12"/>
                <w:lang w:val="en-AU"/>
              </w:rPr>
              <w:t xml:space="preserve"> (Argon)</w:t>
            </w:r>
          </w:p>
          <w:p w:rsidR="00396E29" w:rsidRDefault="00396E29" w:rsidP="00396E29">
            <w:pPr>
              <w:spacing w:before="0"/>
              <w:jc w:val="left"/>
              <w:outlineLvl w:val="0"/>
              <w:rPr>
                <w:sz w:val="20"/>
                <w:szCs w:val="12"/>
                <w:lang w:val="en-AU"/>
              </w:rPr>
            </w:pPr>
            <w:r>
              <w:rPr>
                <w:sz w:val="20"/>
                <w:szCs w:val="12"/>
                <w:lang w:val="en-AU"/>
              </w:rPr>
              <w:t>IG-100 (Nitrogen)</w:t>
            </w:r>
          </w:p>
          <w:p w:rsidR="00396E29" w:rsidRDefault="00396E29" w:rsidP="00396E29">
            <w:pPr>
              <w:spacing w:before="0"/>
              <w:jc w:val="left"/>
              <w:outlineLvl w:val="0"/>
              <w:rPr>
                <w:sz w:val="20"/>
                <w:szCs w:val="12"/>
                <w:lang w:val="en-AU"/>
              </w:rPr>
            </w:pPr>
            <w:r w:rsidRPr="00C0761F">
              <w:rPr>
                <w:sz w:val="20"/>
                <w:szCs w:val="12"/>
                <w:lang w:val="en-AU"/>
              </w:rPr>
              <w:t>IG-541</w:t>
            </w:r>
          </w:p>
          <w:p w:rsidR="00396E29" w:rsidRPr="00C0761F" w:rsidRDefault="00396E29" w:rsidP="00396E29">
            <w:pPr>
              <w:spacing w:before="0"/>
              <w:jc w:val="left"/>
              <w:outlineLvl w:val="0"/>
              <w:rPr>
                <w:sz w:val="20"/>
                <w:szCs w:val="12"/>
                <w:lang w:val="en-AU"/>
              </w:rPr>
            </w:pPr>
            <w:r>
              <w:rPr>
                <w:sz w:val="20"/>
                <w:szCs w:val="12"/>
                <w:lang w:val="en-AU"/>
              </w:rPr>
              <w:t>IG-</w:t>
            </w:r>
            <w:r w:rsidRPr="00C0761F">
              <w:rPr>
                <w:sz w:val="20"/>
                <w:szCs w:val="12"/>
                <w:lang w:val="en-AU"/>
              </w:rPr>
              <w:t>55</w:t>
            </w:r>
          </w:p>
          <w:p w:rsidR="00396E29" w:rsidRPr="00C0761F" w:rsidRDefault="00396E29" w:rsidP="00032A83">
            <w:pPr>
              <w:spacing w:before="0"/>
              <w:jc w:val="left"/>
              <w:outlineLvl w:val="0"/>
              <w:rPr>
                <w:sz w:val="20"/>
                <w:szCs w:val="12"/>
                <w:lang w:val="en-AU"/>
              </w:rPr>
            </w:pPr>
          </w:p>
        </w:tc>
        <w:tc>
          <w:tcPr>
            <w:tcW w:w="4678" w:type="dxa"/>
            <w:tcBorders>
              <w:top w:val="single" w:sz="4" w:space="0" w:color="auto"/>
              <w:left w:val="single" w:sz="4" w:space="0" w:color="auto"/>
              <w:bottom w:val="single" w:sz="4" w:space="0" w:color="auto"/>
              <w:right w:val="nil"/>
            </w:tcBorders>
            <w:shd w:val="clear" w:color="auto" w:fill="auto"/>
            <w:noWrap/>
          </w:tcPr>
          <w:p w:rsidR="00396E29" w:rsidRPr="00C0761F" w:rsidRDefault="00396E29" w:rsidP="00396E29">
            <w:pPr>
              <w:spacing w:before="0"/>
              <w:jc w:val="left"/>
              <w:outlineLvl w:val="0"/>
              <w:rPr>
                <w:sz w:val="20"/>
                <w:szCs w:val="12"/>
                <w:lang w:val="en-AU"/>
              </w:rPr>
            </w:pPr>
            <w:r w:rsidRPr="00C0761F">
              <w:rPr>
                <w:sz w:val="20"/>
                <w:szCs w:val="12"/>
                <w:lang w:val="en-AU"/>
              </w:rPr>
              <w:t>Commercial barrier</w:t>
            </w:r>
            <w:r>
              <w:rPr>
                <w:sz w:val="20"/>
                <w:szCs w:val="12"/>
                <w:lang w:val="en-AU"/>
              </w:rPr>
              <w:t xml:space="preserve"> – more expensive</w:t>
            </w:r>
          </w:p>
          <w:p w:rsidR="00396E29" w:rsidRPr="00C0761F" w:rsidRDefault="00396E29" w:rsidP="00396E29">
            <w:pPr>
              <w:spacing w:before="0"/>
              <w:jc w:val="left"/>
              <w:outlineLvl w:val="0"/>
              <w:rPr>
                <w:sz w:val="20"/>
                <w:szCs w:val="12"/>
                <w:lang w:val="en-AU"/>
              </w:rPr>
            </w:pPr>
            <w:r>
              <w:rPr>
                <w:sz w:val="20"/>
                <w:szCs w:val="12"/>
                <w:lang w:val="en-AU"/>
              </w:rPr>
              <w:t>Existing infrastructure – filling stations</w:t>
            </w:r>
          </w:p>
          <w:p w:rsidR="00396E29" w:rsidRDefault="00396E29" w:rsidP="00396E29">
            <w:pPr>
              <w:spacing w:before="0"/>
              <w:jc w:val="left"/>
              <w:outlineLvl w:val="0"/>
              <w:rPr>
                <w:sz w:val="20"/>
                <w:szCs w:val="12"/>
                <w:lang w:val="en-AU"/>
              </w:rPr>
            </w:pPr>
            <w:r w:rsidRPr="00C0761F">
              <w:rPr>
                <w:sz w:val="20"/>
                <w:szCs w:val="12"/>
                <w:lang w:val="en-AU"/>
              </w:rPr>
              <w:t>Cannot be piped long distances - requires multiple pockets for large spaces</w:t>
            </w:r>
          </w:p>
          <w:p w:rsidR="00396E29" w:rsidRDefault="00396E29" w:rsidP="00396E29">
            <w:pPr>
              <w:spacing w:before="0"/>
              <w:jc w:val="left"/>
              <w:outlineLvl w:val="0"/>
              <w:rPr>
                <w:sz w:val="20"/>
                <w:szCs w:val="12"/>
                <w:lang w:val="en-AU"/>
              </w:rPr>
            </w:pPr>
            <w:r>
              <w:rPr>
                <w:sz w:val="20"/>
                <w:szCs w:val="12"/>
                <w:lang w:val="en-AU"/>
              </w:rPr>
              <w:t xml:space="preserve">Technical barrier - </w:t>
            </w:r>
            <w:r w:rsidRPr="00163F9A">
              <w:rPr>
                <w:sz w:val="20"/>
                <w:szCs w:val="12"/>
                <w:lang w:val="en-AU"/>
              </w:rPr>
              <w:t>space and speed of discharge, particularly in the marine and aerospace industries</w:t>
            </w:r>
          </w:p>
          <w:p w:rsidR="00396E29" w:rsidRPr="00163F9A" w:rsidRDefault="00396E29" w:rsidP="00696691">
            <w:pPr>
              <w:spacing w:before="0"/>
              <w:jc w:val="left"/>
              <w:outlineLvl w:val="0"/>
              <w:rPr>
                <w:sz w:val="20"/>
                <w:szCs w:val="12"/>
                <w:lang w:val="en-AU"/>
              </w:rPr>
            </w:pPr>
          </w:p>
        </w:tc>
        <w:tc>
          <w:tcPr>
            <w:tcW w:w="6662" w:type="dxa"/>
            <w:tcBorders>
              <w:top w:val="single" w:sz="4" w:space="0" w:color="auto"/>
              <w:left w:val="single" w:sz="4" w:space="0" w:color="auto"/>
              <w:bottom w:val="single" w:sz="4" w:space="0" w:color="auto"/>
              <w:right w:val="single" w:sz="4" w:space="0" w:color="auto"/>
            </w:tcBorders>
            <w:shd w:val="clear" w:color="auto" w:fill="auto"/>
            <w:noWrap/>
          </w:tcPr>
          <w:p w:rsidR="00396E29" w:rsidRPr="00C0761F" w:rsidRDefault="00396E29" w:rsidP="00696691">
            <w:pPr>
              <w:spacing w:before="0"/>
              <w:jc w:val="left"/>
              <w:outlineLvl w:val="0"/>
              <w:rPr>
                <w:sz w:val="20"/>
                <w:szCs w:val="12"/>
                <w:lang w:val="en-AU"/>
              </w:rPr>
            </w:pPr>
            <w:r w:rsidRPr="00C0761F">
              <w:rPr>
                <w:sz w:val="20"/>
                <w:szCs w:val="12"/>
                <w:lang w:val="en-AU"/>
              </w:rPr>
              <w:t>Financial penalty or tax for high GWP products</w:t>
            </w:r>
          </w:p>
        </w:tc>
      </w:tr>
      <w:tr w:rsidR="00396E29" w:rsidRPr="00CA68EC" w:rsidTr="00FF18ED">
        <w:trPr>
          <w:trHeight w:val="260"/>
        </w:trPr>
        <w:tc>
          <w:tcPr>
            <w:tcW w:w="13338" w:type="dxa"/>
            <w:gridSpan w:val="3"/>
            <w:tcBorders>
              <w:top w:val="single" w:sz="4" w:space="0" w:color="auto"/>
              <w:left w:val="single" w:sz="4" w:space="0" w:color="auto"/>
              <w:bottom w:val="single" w:sz="4" w:space="0" w:color="auto"/>
              <w:right w:val="single" w:sz="4" w:space="0" w:color="auto"/>
            </w:tcBorders>
            <w:shd w:val="clear" w:color="auto" w:fill="auto"/>
            <w:noWrap/>
          </w:tcPr>
          <w:p w:rsidR="00396E29" w:rsidRDefault="00396E29" w:rsidP="00612570">
            <w:pPr>
              <w:spacing w:before="0"/>
              <w:jc w:val="left"/>
              <w:outlineLvl w:val="0"/>
              <w:rPr>
                <w:sz w:val="20"/>
                <w:szCs w:val="12"/>
                <w:lang w:val="en-AU"/>
              </w:rPr>
            </w:pPr>
            <w:r>
              <w:rPr>
                <w:sz w:val="20"/>
                <w:szCs w:val="12"/>
                <w:lang w:val="en-AU"/>
              </w:rPr>
              <w:t xml:space="preserve">Note: </w:t>
            </w:r>
            <w:r w:rsidRPr="00032A83">
              <w:rPr>
                <w:sz w:val="20"/>
                <w:szCs w:val="12"/>
                <w:lang w:val="en-AU"/>
              </w:rPr>
              <w:t xml:space="preserve">IG-541 </w:t>
            </w:r>
            <w:r>
              <w:rPr>
                <w:sz w:val="20"/>
                <w:szCs w:val="12"/>
                <w:lang w:val="en-AU"/>
              </w:rPr>
              <w:t xml:space="preserve">is a blend of </w:t>
            </w:r>
            <w:r w:rsidRPr="00032A83">
              <w:rPr>
                <w:sz w:val="20"/>
                <w:szCs w:val="12"/>
                <w:lang w:val="en-AU"/>
              </w:rPr>
              <w:t>nitrogen/argon/</w:t>
            </w:r>
            <w:r>
              <w:rPr>
                <w:sz w:val="20"/>
                <w:szCs w:val="12"/>
                <w:lang w:val="en-AU"/>
              </w:rPr>
              <w:t>CO</w:t>
            </w:r>
            <w:r w:rsidRPr="00032A83">
              <w:rPr>
                <w:sz w:val="20"/>
                <w:szCs w:val="12"/>
                <w:vertAlign w:val="subscript"/>
                <w:lang w:val="en-AU"/>
              </w:rPr>
              <w:t>2</w:t>
            </w:r>
            <w:r>
              <w:rPr>
                <w:sz w:val="20"/>
                <w:szCs w:val="12"/>
                <w:lang w:val="en-AU"/>
              </w:rPr>
              <w:t xml:space="preserve">, and </w:t>
            </w:r>
            <w:r w:rsidRPr="00032A83">
              <w:rPr>
                <w:sz w:val="20"/>
                <w:szCs w:val="12"/>
                <w:lang w:val="en-AU"/>
              </w:rPr>
              <w:t>IG-55</w:t>
            </w:r>
            <w:r>
              <w:rPr>
                <w:sz w:val="20"/>
                <w:szCs w:val="12"/>
                <w:lang w:val="en-AU"/>
              </w:rPr>
              <w:t xml:space="preserve"> comprises </w:t>
            </w:r>
            <w:r w:rsidRPr="00032A83">
              <w:rPr>
                <w:sz w:val="20"/>
                <w:szCs w:val="12"/>
                <w:lang w:val="en-AU"/>
              </w:rPr>
              <w:t>nitrogen/argon</w:t>
            </w:r>
            <w:r>
              <w:rPr>
                <w:sz w:val="20"/>
                <w:szCs w:val="12"/>
                <w:lang w:val="en-AU"/>
              </w:rPr>
              <w:t>. The mass composition of these blends can vary slightly depending on the supplier.</w:t>
            </w:r>
          </w:p>
        </w:tc>
      </w:tr>
      <w:tr w:rsidR="00396E29" w:rsidRPr="00CA68EC" w:rsidTr="00FF18ED">
        <w:trPr>
          <w:trHeight w:val="260"/>
        </w:trPr>
        <w:tc>
          <w:tcPr>
            <w:tcW w:w="13338" w:type="dxa"/>
            <w:gridSpan w:val="3"/>
            <w:tcBorders>
              <w:top w:val="single" w:sz="4" w:space="0" w:color="auto"/>
              <w:left w:val="single" w:sz="4" w:space="0" w:color="auto"/>
              <w:bottom w:val="single" w:sz="4" w:space="0" w:color="auto"/>
              <w:right w:val="single" w:sz="4" w:space="0" w:color="auto"/>
            </w:tcBorders>
            <w:shd w:val="clear" w:color="auto" w:fill="auto"/>
            <w:noWrap/>
          </w:tcPr>
          <w:p w:rsidR="00396E29" w:rsidRPr="00C0761F" w:rsidRDefault="00396E29" w:rsidP="00696691">
            <w:pPr>
              <w:spacing w:before="0"/>
              <w:jc w:val="left"/>
              <w:outlineLvl w:val="0"/>
              <w:rPr>
                <w:sz w:val="20"/>
                <w:szCs w:val="12"/>
                <w:lang w:val="en-AU"/>
              </w:rPr>
            </w:pPr>
            <w:r>
              <w:rPr>
                <w:sz w:val="20"/>
                <w:szCs w:val="12"/>
                <w:lang w:val="en-AU"/>
              </w:rPr>
              <w:t xml:space="preserve">Refer end of </w:t>
            </w:r>
            <w:r w:rsidRPr="008B06D4">
              <w:rPr>
                <w:i/>
                <w:sz w:val="20"/>
                <w:szCs w:val="12"/>
                <w:lang w:val="en-AU"/>
              </w:rPr>
              <w:t>Section 3.6</w:t>
            </w:r>
            <w:r>
              <w:rPr>
                <w:sz w:val="20"/>
                <w:szCs w:val="12"/>
                <w:lang w:val="en-AU"/>
              </w:rPr>
              <w:t xml:space="preserve"> for summary of foam, aerosols and solvents.</w:t>
            </w:r>
          </w:p>
        </w:tc>
      </w:tr>
    </w:tbl>
    <w:p w:rsidR="00FF18ED" w:rsidRDefault="00FF18ED" w:rsidP="00FF18ED">
      <w:pPr>
        <w:spacing w:before="0"/>
      </w:pPr>
    </w:p>
    <w:p w:rsidR="00FF18ED" w:rsidRDefault="00FF18ED" w:rsidP="00FF18ED"/>
    <w:p w:rsidR="00B81EF8" w:rsidRDefault="00B81EF8" w:rsidP="005F464D">
      <w:pPr>
        <w:spacing w:before="0"/>
        <w:rPr>
          <w:color w:val="000000"/>
        </w:rPr>
      </w:pPr>
    </w:p>
    <w:p w:rsidR="009519E2" w:rsidRDefault="009519E2" w:rsidP="009519E2">
      <w:pPr>
        <w:rPr>
          <w:color w:val="000000"/>
        </w:rPr>
      </w:pPr>
    </w:p>
    <w:p w:rsidR="009519E2" w:rsidRDefault="009519E2" w:rsidP="009519E2">
      <w:pPr>
        <w:rPr>
          <w:color w:val="000000"/>
        </w:rPr>
        <w:sectPr w:rsidR="009519E2">
          <w:pgSz w:w="15840" w:h="12240" w:orient="landscape"/>
          <w:pgMar w:top="1134" w:right="1440" w:bottom="1134" w:left="1440" w:header="709" w:footer="709" w:gutter="0"/>
          <w:cols w:space="708"/>
          <w:docGrid w:linePitch="360"/>
        </w:sectPr>
      </w:pPr>
    </w:p>
    <w:p w:rsidR="00EA3C7B" w:rsidRDefault="00EE7972" w:rsidP="00ED5919">
      <w:pPr>
        <w:pStyle w:val="Heading2"/>
        <w:spacing w:before="0"/>
        <w:ind w:left="567" w:hanging="567"/>
      </w:pPr>
      <w:bookmarkStart w:id="22" w:name="_Toc257359949"/>
      <w:bookmarkStart w:id="23" w:name="_Toc245800041"/>
      <w:r>
        <w:t>Rapidly e</w:t>
      </w:r>
      <w:r w:rsidR="00C71F7D">
        <w:t>merging nil or lower GWP alternatives</w:t>
      </w:r>
      <w:bookmarkEnd w:id="22"/>
    </w:p>
    <w:p w:rsidR="002F7FDE" w:rsidRDefault="002F7FDE" w:rsidP="002F7FDE">
      <w:r>
        <w:t>Some of the commercially available nil and low</w:t>
      </w:r>
      <w:r w:rsidR="003317F0">
        <w:t>er</w:t>
      </w:r>
      <w:r>
        <w:t xml:space="preserve"> GWP refrigerant gases listed in the preceding table are assessed as having real potential for rapid growth. Quite dramatic changes in the make up of the refrigerant bank have occurred previously, driven by </w:t>
      </w:r>
      <w:r w:rsidR="00B13393">
        <w:t xml:space="preserve">international treaties, </w:t>
      </w:r>
      <w:r>
        <w:t xml:space="preserve">government regulation, and industry demand. The adoption of HFC-410A </w:t>
      </w:r>
      <w:r w:rsidR="00DF197F">
        <w:t>in the first decade of th</w:t>
      </w:r>
      <w:r w:rsidR="009736EF">
        <w:t>is</w:t>
      </w:r>
      <w:r w:rsidR="00DF197F">
        <w:t xml:space="preserve"> century, </w:t>
      </w:r>
      <w:r>
        <w:t>for instance</w:t>
      </w:r>
      <w:r w:rsidR="00DF197F">
        <w:t xml:space="preserve">, </w:t>
      </w:r>
      <w:r>
        <w:t xml:space="preserve">is an example of a successful deployment of new technology, even though technical standards had to be revised, and new job skills had to be learned. </w:t>
      </w:r>
      <w:r w:rsidR="00DF197F">
        <w:t xml:space="preserve">First introduced in Australia in 2003, </w:t>
      </w:r>
      <w:r>
        <w:t xml:space="preserve">by 2010 </w:t>
      </w:r>
      <w:r w:rsidR="00DF197F">
        <w:t xml:space="preserve">HFC-410A had </w:t>
      </w:r>
      <w:r>
        <w:t xml:space="preserve">effectively replaced HCFC-22 in 90% of applications where previously HCFC-22 had been the refrigerant of choice. </w:t>
      </w:r>
    </w:p>
    <w:p w:rsidR="002F7FDE" w:rsidRDefault="002F7FDE" w:rsidP="002F7FDE">
      <w:r>
        <w:t xml:space="preserve">It is possible </w:t>
      </w:r>
      <w:r w:rsidR="00DF197F">
        <w:t xml:space="preserve">that existing </w:t>
      </w:r>
      <w:r w:rsidR="00D53C3E">
        <w:t xml:space="preserve">nil and </w:t>
      </w:r>
      <w:r w:rsidR="00DF197F">
        <w:t xml:space="preserve">low GWP or </w:t>
      </w:r>
      <w:r>
        <w:t>new refrigerants presently in the early stages of deployment could deliver similar rates of growth</w:t>
      </w:r>
      <w:r w:rsidR="00DF197F">
        <w:t>,</w:t>
      </w:r>
      <w:r>
        <w:t xml:space="preserve"> while replacing gases that have been targeted for removal from the economy.</w:t>
      </w:r>
      <w:r w:rsidR="00DF197F">
        <w:t xml:space="preserve"> Natural refrigerants, while presently providing only a very small part of the total refrigerant demand in Australia, are well placed to grow strongly in applications to which they are best suited, and where proven technology is competitively priced and understood by the market.</w:t>
      </w:r>
    </w:p>
    <w:p w:rsidR="00DF197F" w:rsidRDefault="00DF197F" w:rsidP="00DF197F">
      <w:r>
        <w:t>A survey of natural refrigerant suppliers, conducted for the purposes of this study, indicates that more than 100 tonnes of hydrocarbons were supplied in total last year to charge equipment, or service equipment across most sectors</w:t>
      </w:r>
      <w:r w:rsidRPr="00D02806">
        <w:t xml:space="preserve">. </w:t>
      </w:r>
      <w:r w:rsidRPr="00D02806">
        <w:rPr>
          <w:i/>
        </w:rPr>
        <w:t xml:space="preserve">Table </w:t>
      </w:r>
      <w:r w:rsidR="00D02806" w:rsidRPr="00D02806">
        <w:rPr>
          <w:i/>
        </w:rPr>
        <w:t>2</w:t>
      </w:r>
      <w:r w:rsidRPr="00D02806">
        <w:t xml:space="preserve"> below records the</w:t>
      </w:r>
      <w:r>
        <w:t xml:space="preserve"> results of the survey which also revealed that at least 80 tonnes of CO</w:t>
      </w:r>
      <w:r w:rsidRPr="009B31E3">
        <w:rPr>
          <w:vertAlign w:val="subscript"/>
        </w:rPr>
        <w:t>2</w:t>
      </w:r>
      <w:r>
        <w:t xml:space="preserve"> was supplied to supermarket installations in 2013, and nearly 540 tonnes of ammonia was supplied, almost exclusively to large cold store and industrial sites.</w:t>
      </w:r>
      <w:r w:rsidR="002C5D69">
        <w:t xml:space="preserve"> </w:t>
      </w:r>
    </w:p>
    <w:p w:rsidR="00DF197F" w:rsidRPr="009B31E3" w:rsidRDefault="00DF197F" w:rsidP="00DF197F">
      <w:r>
        <w:t>This demonstrates the viability of these nil and low GWP refrigerant options. It is quite possible that only relatively small changes in market conditions could see any, or all of these established technologies become dominant in their optimal applications in a relatively short space of time.</w:t>
      </w:r>
    </w:p>
    <w:p w:rsidR="00DF197F" w:rsidRDefault="00DF197F" w:rsidP="00DF197F"/>
    <w:p w:rsidR="00DF197F" w:rsidRPr="00D02806" w:rsidRDefault="00D02806" w:rsidP="00DF197F">
      <w:pPr>
        <w:rPr>
          <w:i/>
          <w:szCs w:val="22"/>
        </w:rPr>
      </w:pPr>
      <w:bookmarkStart w:id="24" w:name="_Toc257360006"/>
      <w:r w:rsidRPr="00D02806">
        <w:rPr>
          <w:i/>
          <w:szCs w:val="22"/>
        </w:rPr>
        <w:t xml:space="preserve">Table </w:t>
      </w:r>
      <w:r w:rsidR="00B41499" w:rsidRPr="00D02806">
        <w:rPr>
          <w:i/>
          <w:szCs w:val="22"/>
        </w:rPr>
        <w:fldChar w:fldCharType="begin"/>
      </w:r>
      <w:r w:rsidRPr="00D02806">
        <w:rPr>
          <w:i/>
          <w:szCs w:val="22"/>
        </w:rPr>
        <w:instrText xml:space="preserve"> SEQ Table \* ARABIC </w:instrText>
      </w:r>
      <w:r w:rsidR="00B41499" w:rsidRPr="00D02806">
        <w:rPr>
          <w:i/>
          <w:szCs w:val="22"/>
        </w:rPr>
        <w:fldChar w:fldCharType="separate"/>
      </w:r>
      <w:r w:rsidR="008E0DB9">
        <w:rPr>
          <w:i/>
          <w:noProof/>
          <w:szCs w:val="22"/>
        </w:rPr>
        <w:t>2</w:t>
      </w:r>
      <w:r w:rsidR="00B41499" w:rsidRPr="00D02806">
        <w:rPr>
          <w:i/>
          <w:szCs w:val="22"/>
        </w:rPr>
        <w:fldChar w:fldCharType="end"/>
      </w:r>
      <w:r w:rsidRPr="00D02806">
        <w:rPr>
          <w:i/>
          <w:szCs w:val="22"/>
        </w:rPr>
        <w:t xml:space="preserve">: </w:t>
      </w:r>
      <w:r w:rsidR="00DF197F" w:rsidRPr="00D02806">
        <w:rPr>
          <w:i/>
          <w:szCs w:val="22"/>
        </w:rPr>
        <w:t>Supplies of natural refrigerants in 2013 in tonnes and dissection by application</w:t>
      </w:r>
      <w:r>
        <w:rPr>
          <w:i/>
          <w:szCs w:val="22"/>
        </w:rPr>
        <w:t>.</w:t>
      </w:r>
      <w:bookmarkEnd w:id="24"/>
    </w:p>
    <w:tbl>
      <w:tblPr>
        <w:tblW w:w="99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95"/>
        <w:gridCol w:w="1701"/>
        <w:gridCol w:w="1701"/>
        <w:gridCol w:w="1560"/>
      </w:tblGrid>
      <w:tr w:rsidR="00DF197F" w:rsidRPr="00923150" w:rsidTr="00915F68">
        <w:trPr>
          <w:trHeight w:val="684"/>
        </w:trPr>
        <w:tc>
          <w:tcPr>
            <w:tcW w:w="4995" w:type="dxa"/>
            <w:tcBorders>
              <w:top w:val="single" w:sz="8" w:space="0" w:color="FFFFFF"/>
              <w:left w:val="single" w:sz="8" w:space="0" w:color="auto"/>
              <w:bottom w:val="single" w:sz="8" w:space="0" w:color="FFFFFF"/>
              <w:right w:val="single" w:sz="8" w:space="0" w:color="FFFFFF"/>
            </w:tcBorders>
            <w:shd w:val="clear" w:color="auto" w:fill="000000"/>
            <w:vAlign w:val="center"/>
          </w:tcPr>
          <w:p w:rsidR="00DF197F" w:rsidRPr="00923150" w:rsidRDefault="00DF197F" w:rsidP="00915F68">
            <w:pPr>
              <w:spacing w:before="60" w:after="60"/>
              <w:ind w:left="284"/>
              <w:jc w:val="left"/>
            </w:pPr>
          </w:p>
        </w:tc>
        <w:tc>
          <w:tcPr>
            <w:tcW w:w="1701" w:type="dxa"/>
            <w:tcBorders>
              <w:top w:val="single" w:sz="8" w:space="0" w:color="FFFFFF"/>
              <w:left w:val="single" w:sz="8" w:space="0" w:color="FFFFFF"/>
              <w:bottom w:val="single" w:sz="8" w:space="0" w:color="FFFFFF"/>
              <w:right w:val="single" w:sz="8" w:space="0" w:color="FFFFFF"/>
            </w:tcBorders>
            <w:shd w:val="clear" w:color="auto" w:fill="000000"/>
            <w:vAlign w:val="center"/>
          </w:tcPr>
          <w:p w:rsidR="00DF197F" w:rsidRPr="00923150" w:rsidRDefault="00DF197F" w:rsidP="00915F68">
            <w:pPr>
              <w:spacing w:before="60" w:after="60"/>
              <w:jc w:val="center"/>
            </w:pPr>
            <w:r>
              <w:t>Hydrocarbons</w:t>
            </w:r>
          </w:p>
        </w:tc>
        <w:tc>
          <w:tcPr>
            <w:tcW w:w="1701" w:type="dxa"/>
            <w:tcBorders>
              <w:top w:val="single" w:sz="8" w:space="0" w:color="FFFFFF"/>
              <w:left w:val="single" w:sz="8" w:space="0" w:color="FFFFFF"/>
              <w:bottom w:val="single" w:sz="8" w:space="0" w:color="FFFFFF"/>
              <w:right w:val="single" w:sz="8" w:space="0" w:color="FFFFFF"/>
            </w:tcBorders>
            <w:shd w:val="clear" w:color="auto" w:fill="000000"/>
            <w:vAlign w:val="center"/>
          </w:tcPr>
          <w:p w:rsidR="00DF197F" w:rsidRPr="00923150" w:rsidRDefault="00DF197F" w:rsidP="00915F68">
            <w:pPr>
              <w:spacing w:before="60" w:after="60"/>
              <w:jc w:val="center"/>
            </w:pPr>
            <w:r>
              <w:t>Ammonia (R744)</w:t>
            </w:r>
          </w:p>
        </w:tc>
        <w:tc>
          <w:tcPr>
            <w:tcW w:w="1560" w:type="dxa"/>
            <w:tcBorders>
              <w:top w:val="single" w:sz="8" w:space="0" w:color="FFFFFF"/>
              <w:left w:val="single" w:sz="8" w:space="0" w:color="FFFFFF"/>
              <w:bottom w:val="single" w:sz="8" w:space="0" w:color="FFFFFF"/>
              <w:right w:val="single" w:sz="8" w:space="0" w:color="auto"/>
            </w:tcBorders>
            <w:shd w:val="clear" w:color="auto" w:fill="000000"/>
            <w:vAlign w:val="center"/>
          </w:tcPr>
          <w:p w:rsidR="00DF197F" w:rsidRPr="00923150" w:rsidRDefault="00DF197F" w:rsidP="00915F68">
            <w:pPr>
              <w:spacing w:before="60" w:after="60"/>
              <w:jc w:val="center"/>
            </w:pPr>
            <w:r>
              <w:t>CO</w:t>
            </w:r>
            <w:r w:rsidRPr="009F4D47">
              <w:rPr>
                <w:vertAlign w:val="subscript"/>
              </w:rPr>
              <w:t>2</w:t>
            </w:r>
            <w:r>
              <w:t xml:space="preserve"> (R774)</w:t>
            </w:r>
          </w:p>
        </w:tc>
      </w:tr>
      <w:tr w:rsidR="00DF197F" w:rsidRPr="00923150" w:rsidTr="00915F68">
        <w:trPr>
          <w:trHeight w:val="456"/>
        </w:trPr>
        <w:tc>
          <w:tcPr>
            <w:tcW w:w="4995" w:type="dxa"/>
            <w:tcBorders>
              <w:top w:val="single" w:sz="8" w:space="0" w:color="FFFFFF"/>
              <w:bottom w:val="single" w:sz="4" w:space="0" w:color="000000"/>
            </w:tcBorders>
            <w:vAlign w:val="center"/>
          </w:tcPr>
          <w:p w:rsidR="00DF197F" w:rsidRPr="00923150" w:rsidRDefault="00DF197F" w:rsidP="00915F68">
            <w:pPr>
              <w:spacing w:before="60" w:after="60"/>
              <w:jc w:val="left"/>
              <w:rPr>
                <w:sz w:val="20"/>
              </w:rPr>
            </w:pPr>
            <w:r w:rsidRPr="00EA2CBF">
              <w:rPr>
                <w:sz w:val="20"/>
              </w:rPr>
              <w:t>Volume</w:t>
            </w:r>
            <w:r>
              <w:rPr>
                <w:sz w:val="20"/>
              </w:rPr>
              <w:t>s</w:t>
            </w:r>
            <w:r w:rsidRPr="00EA2CBF">
              <w:rPr>
                <w:sz w:val="20"/>
              </w:rPr>
              <w:t xml:space="preserve"> supplied in 2013 (tonnes)</w:t>
            </w:r>
          </w:p>
        </w:tc>
        <w:tc>
          <w:tcPr>
            <w:tcW w:w="1701" w:type="dxa"/>
            <w:tcBorders>
              <w:top w:val="single" w:sz="8" w:space="0" w:color="FFFFFF"/>
              <w:bottom w:val="single" w:sz="4" w:space="0" w:color="000000"/>
            </w:tcBorders>
            <w:vAlign w:val="center"/>
          </w:tcPr>
          <w:p w:rsidR="00DF197F" w:rsidRPr="008343EF" w:rsidRDefault="00DF197F" w:rsidP="00915F68">
            <w:pPr>
              <w:spacing w:before="60" w:after="60"/>
              <w:jc w:val="center"/>
              <w:rPr>
                <w:sz w:val="20"/>
              </w:rPr>
            </w:pPr>
            <w:r>
              <w:rPr>
                <w:sz w:val="20"/>
              </w:rPr>
              <w:t>106</w:t>
            </w:r>
          </w:p>
        </w:tc>
        <w:tc>
          <w:tcPr>
            <w:tcW w:w="1701" w:type="dxa"/>
            <w:tcBorders>
              <w:top w:val="single" w:sz="8" w:space="0" w:color="FFFFFF"/>
              <w:bottom w:val="single" w:sz="4" w:space="0" w:color="000000"/>
            </w:tcBorders>
            <w:vAlign w:val="center"/>
          </w:tcPr>
          <w:p w:rsidR="00DF197F" w:rsidRPr="008343EF" w:rsidRDefault="00DF197F" w:rsidP="00915F68">
            <w:pPr>
              <w:spacing w:before="60" w:after="60"/>
              <w:jc w:val="center"/>
              <w:rPr>
                <w:sz w:val="20"/>
              </w:rPr>
            </w:pPr>
            <w:r>
              <w:rPr>
                <w:sz w:val="20"/>
              </w:rPr>
              <w:t>538</w:t>
            </w:r>
          </w:p>
        </w:tc>
        <w:tc>
          <w:tcPr>
            <w:tcW w:w="1560" w:type="dxa"/>
            <w:tcBorders>
              <w:top w:val="single" w:sz="8" w:space="0" w:color="FFFFFF"/>
              <w:bottom w:val="single" w:sz="4" w:space="0" w:color="000000"/>
            </w:tcBorders>
            <w:vAlign w:val="center"/>
          </w:tcPr>
          <w:p w:rsidR="00DF197F" w:rsidRPr="00923150" w:rsidRDefault="00DF197F" w:rsidP="00915F68">
            <w:pPr>
              <w:spacing w:before="60" w:after="60"/>
              <w:jc w:val="center"/>
              <w:rPr>
                <w:sz w:val="20"/>
              </w:rPr>
            </w:pPr>
            <w:r>
              <w:rPr>
                <w:sz w:val="20"/>
              </w:rPr>
              <w:t>84</w:t>
            </w:r>
          </w:p>
        </w:tc>
      </w:tr>
      <w:tr w:rsidR="00DF197F" w:rsidRPr="00EA2CBF" w:rsidTr="00915F68">
        <w:trPr>
          <w:trHeight w:val="456"/>
        </w:trPr>
        <w:tc>
          <w:tcPr>
            <w:tcW w:w="4995" w:type="dxa"/>
            <w:tcBorders>
              <w:right w:val="single" w:sz="4" w:space="0" w:color="FFFFFF" w:themeColor="background1"/>
            </w:tcBorders>
            <w:shd w:val="clear" w:color="auto" w:fill="0C0C0C"/>
            <w:vAlign w:val="center"/>
          </w:tcPr>
          <w:p w:rsidR="00DF197F" w:rsidRPr="00EA2CBF" w:rsidRDefault="00DF197F" w:rsidP="00915F68">
            <w:pPr>
              <w:spacing w:before="60" w:after="60"/>
              <w:jc w:val="left"/>
              <w:rPr>
                <w:color w:val="FFFFFF" w:themeColor="background1"/>
              </w:rPr>
            </w:pPr>
            <w:r w:rsidRPr="00EA2CBF">
              <w:rPr>
                <w:color w:val="FFFFFF" w:themeColor="background1"/>
              </w:rPr>
              <w:t>Dissection by application segment</w:t>
            </w:r>
          </w:p>
        </w:tc>
        <w:tc>
          <w:tcPr>
            <w:tcW w:w="1701" w:type="dxa"/>
            <w:tcBorders>
              <w:left w:val="single" w:sz="4" w:space="0" w:color="FFFFFF" w:themeColor="background1"/>
              <w:right w:val="single" w:sz="4" w:space="0" w:color="FFFFFF" w:themeColor="background1"/>
            </w:tcBorders>
            <w:shd w:val="clear" w:color="auto" w:fill="0C0C0C"/>
            <w:vAlign w:val="center"/>
          </w:tcPr>
          <w:p w:rsidR="00DF197F" w:rsidRPr="00EA2CBF" w:rsidRDefault="00DF197F" w:rsidP="00915F68">
            <w:pPr>
              <w:spacing w:before="60" w:after="60"/>
              <w:jc w:val="center"/>
              <w:rPr>
                <w:color w:val="FFFFFF" w:themeColor="background1"/>
              </w:rPr>
            </w:pPr>
            <w:r w:rsidRPr="00EA2CBF">
              <w:rPr>
                <w:color w:val="FFFFFF" w:themeColor="background1"/>
              </w:rPr>
              <w:t>%</w:t>
            </w:r>
          </w:p>
        </w:tc>
        <w:tc>
          <w:tcPr>
            <w:tcW w:w="1701" w:type="dxa"/>
            <w:tcBorders>
              <w:left w:val="single" w:sz="4" w:space="0" w:color="FFFFFF" w:themeColor="background1"/>
              <w:right w:val="single" w:sz="4" w:space="0" w:color="FFFFFF" w:themeColor="background1"/>
            </w:tcBorders>
            <w:shd w:val="clear" w:color="auto" w:fill="0C0C0C"/>
            <w:vAlign w:val="center"/>
          </w:tcPr>
          <w:p w:rsidR="00DF197F" w:rsidRPr="00EA2CBF" w:rsidRDefault="00DF197F" w:rsidP="00915F68">
            <w:pPr>
              <w:spacing w:before="60" w:after="60"/>
              <w:jc w:val="center"/>
              <w:rPr>
                <w:color w:val="FFFFFF" w:themeColor="background1"/>
              </w:rPr>
            </w:pPr>
            <w:r w:rsidRPr="00EA2CBF">
              <w:rPr>
                <w:color w:val="FFFFFF" w:themeColor="background1"/>
              </w:rPr>
              <w:t>%</w:t>
            </w:r>
          </w:p>
        </w:tc>
        <w:tc>
          <w:tcPr>
            <w:tcW w:w="1560" w:type="dxa"/>
            <w:tcBorders>
              <w:left w:val="single" w:sz="4" w:space="0" w:color="FFFFFF" w:themeColor="background1"/>
            </w:tcBorders>
            <w:shd w:val="clear" w:color="auto" w:fill="0C0C0C"/>
            <w:vAlign w:val="center"/>
          </w:tcPr>
          <w:p w:rsidR="00DF197F" w:rsidRPr="00EA2CBF" w:rsidRDefault="00DF197F" w:rsidP="00915F68">
            <w:pPr>
              <w:spacing w:before="60" w:after="60"/>
              <w:jc w:val="center"/>
              <w:rPr>
                <w:color w:val="FFFFFF" w:themeColor="background1"/>
              </w:rPr>
            </w:pPr>
            <w:r w:rsidRPr="00EA2CBF">
              <w:rPr>
                <w:color w:val="FFFFFF" w:themeColor="background1"/>
              </w:rPr>
              <w:t>%</w:t>
            </w:r>
          </w:p>
        </w:tc>
      </w:tr>
      <w:tr w:rsidR="00DF197F" w:rsidRPr="00923150" w:rsidTr="00915F68">
        <w:trPr>
          <w:trHeight w:val="456"/>
        </w:trPr>
        <w:tc>
          <w:tcPr>
            <w:tcW w:w="4995" w:type="dxa"/>
            <w:vAlign w:val="center"/>
          </w:tcPr>
          <w:p w:rsidR="00DF197F" w:rsidRDefault="00DF197F" w:rsidP="00915F68">
            <w:pPr>
              <w:spacing w:before="60" w:after="60"/>
              <w:jc w:val="left"/>
              <w:rPr>
                <w:sz w:val="20"/>
              </w:rPr>
            </w:pPr>
            <w:r w:rsidRPr="00EA2CBF">
              <w:rPr>
                <w:sz w:val="20"/>
              </w:rPr>
              <w:t>Stationary AC: domestic and light commercial</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9%</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0%</w:t>
            </w:r>
          </w:p>
        </w:tc>
        <w:tc>
          <w:tcPr>
            <w:tcW w:w="1560"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0%</w:t>
            </w:r>
          </w:p>
        </w:tc>
      </w:tr>
      <w:tr w:rsidR="00DF197F" w:rsidRPr="00923150" w:rsidTr="00915F68">
        <w:trPr>
          <w:trHeight w:val="456"/>
        </w:trPr>
        <w:tc>
          <w:tcPr>
            <w:tcW w:w="4995" w:type="dxa"/>
            <w:vAlign w:val="center"/>
          </w:tcPr>
          <w:p w:rsidR="00DF197F" w:rsidRDefault="00DF197F" w:rsidP="00915F68">
            <w:pPr>
              <w:spacing w:before="60" w:after="60"/>
              <w:jc w:val="left"/>
              <w:rPr>
                <w:sz w:val="20"/>
              </w:rPr>
            </w:pPr>
            <w:r w:rsidRPr="00EA2CBF">
              <w:rPr>
                <w:sz w:val="20"/>
              </w:rPr>
              <w:t>Stationary AC: commercial (chillers and close control)</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12%</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0%</w:t>
            </w:r>
          </w:p>
        </w:tc>
        <w:tc>
          <w:tcPr>
            <w:tcW w:w="1560"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0.2%</w:t>
            </w:r>
          </w:p>
        </w:tc>
      </w:tr>
      <w:tr w:rsidR="00DF197F" w:rsidRPr="00923150" w:rsidTr="00915F68">
        <w:trPr>
          <w:trHeight w:val="456"/>
        </w:trPr>
        <w:tc>
          <w:tcPr>
            <w:tcW w:w="4995" w:type="dxa"/>
            <w:vAlign w:val="center"/>
          </w:tcPr>
          <w:p w:rsidR="00DF197F" w:rsidRDefault="00DF197F" w:rsidP="00915F68">
            <w:pPr>
              <w:spacing w:before="60" w:after="60"/>
              <w:jc w:val="left"/>
              <w:rPr>
                <w:sz w:val="20"/>
              </w:rPr>
            </w:pPr>
            <w:r w:rsidRPr="00EA2CBF">
              <w:rPr>
                <w:sz w:val="20"/>
              </w:rPr>
              <w:t>Stationary AC: domestic hot water heat</w:t>
            </w:r>
            <w:r>
              <w:rPr>
                <w:sz w:val="20"/>
              </w:rPr>
              <w:t xml:space="preserve"> </w:t>
            </w:r>
            <w:r w:rsidRPr="00EA2CBF">
              <w:rPr>
                <w:sz w:val="20"/>
              </w:rPr>
              <w:t>pumps</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0%</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0%</w:t>
            </w:r>
          </w:p>
        </w:tc>
        <w:tc>
          <w:tcPr>
            <w:tcW w:w="1560"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0%</w:t>
            </w:r>
          </w:p>
        </w:tc>
      </w:tr>
      <w:tr w:rsidR="00DF197F" w:rsidRPr="00923150" w:rsidTr="00915F68">
        <w:trPr>
          <w:trHeight w:val="456"/>
        </w:trPr>
        <w:tc>
          <w:tcPr>
            <w:tcW w:w="4995" w:type="dxa"/>
            <w:vAlign w:val="center"/>
          </w:tcPr>
          <w:p w:rsidR="00DF197F" w:rsidRDefault="00DF197F" w:rsidP="00915F68">
            <w:pPr>
              <w:spacing w:before="60" w:after="60"/>
              <w:jc w:val="left"/>
              <w:rPr>
                <w:sz w:val="20"/>
              </w:rPr>
            </w:pPr>
            <w:r w:rsidRPr="00EA2CBF">
              <w:rPr>
                <w:sz w:val="20"/>
              </w:rPr>
              <w:t>Mobile AC: registered vehicles</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49%</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0%</w:t>
            </w:r>
          </w:p>
        </w:tc>
        <w:tc>
          <w:tcPr>
            <w:tcW w:w="1560"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0%</w:t>
            </w:r>
          </w:p>
        </w:tc>
      </w:tr>
      <w:tr w:rsidR="00DF197F" w:rsidRPr="00923150" w:rsidTr="00915F68">
        <w:trPr>
          <w:trHeight w:val="456"/>
        </w:trPr>
        <w:tc>
          <w:tcPr>
            <w:tcW w:w="4995" w:type="dxa"/>
            <w:vAlign w:val="center"/>
          </w:tcPr>
          <w:p w:rsidR="00DF197F" w:rsidRDefault="00DF197F" w:rsidP="00915F68">
            <w:pPr>
              <w:spacing w:before="60" w:after="60"/>
              <w:jc w:val="left"/>
              <w:rPr>
                <w:sz w:val="20"/>
              </w:rPr>
            </w:pPr>
            <w:r w:rsidRPr="00EA2CBF">
              <w:rPr>
                <w:sz w:val="20"/>
              </w:rPr>
              <w:t>Mobile AC: un-registered vehicles</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1%</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0%</w:t>
            </w:r>
          </w:p>
        </w:tc>
        <w:tc>
          <w:tcPr>
            <w:tcW w:w="1560"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0%</w:t>
            </w:r>
          </w:p>
        </w:tc>
      </w:tr>
      <w:tr w:rsidR="00DF197F" w:rsidRPr="00923150" w:rsidTr="00915F68">
        <w:trPr>
          <w:trHeight w:val="456"/>
        </w:trPr>
        <w:tc>
          <w:tcPr>
            <w:tcW w:w="4995" w:type="dxa"/>
            <w:vAlign w:val="center"/>
          </w:tcPr>
          <w:p w:rsidR="00DF197F" w:rsidRDefault="00DF197F" w:rsidP="00915F68">
            <w:pPr>
              <w:spacing w:before="60" w:after="60"/>
              <w:jc w:val="left"/>
              <w:rPr>
                <w:sz w:val="20"/>
              </w:rPr>
            </w:pPr>
            <w:r w:rsidRPr="00EA2CBF">
              <w:rPr>
                <w:sz w:val="20"/>
              </w:rPr>
              <w:t>Domestic refrigeration</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15%</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0%</w:t>
            </w:r>
          </w:p>
        </w:tc>
        <w:tc>
          <w:tcPr>
            <w:tcW w:w="1560"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0%</w:t>
            </w:r>
          </w:p>
        </w:tc>
      </w:tr>
      <w:tr w:rsidR="00DF197F" w:rsidRPr="00923150" w:rsidTr="00915F68">
        <w:trPr>
          <w:trHeight w:val="456"/>
        </w:trPr>
        <w:tc>
          <w:tcPr>
            <w:tcW w:w="4995" w:type="dxa"/>
            <w:vAlign w:val="center"/>
          </w:tcPr>
          <w:p w:rsidR="00DF197F" w:rsidRDefault="00DF197F" w:rsidP="00915F68">
            <w:pPr>
              <w:spacing w:before="60" w:after="60"/>
              <w:jc w:val="left"/>
              <w:rPr>
                <w:sz w:val="20"/>
              </w:rPr>
            </w:pPr>
            <w:r w:rsidRPr="00EA2CBF">
              <w:rPr>
                <w:sz w:val="20"/>
              </w:rPr>
              <w:t>Refrig. Cold Food Chain: self contained units</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4%</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0%</w:t>
            </w:r>
          </w:p>
        </w:tc>
        <w:tc>
          <w:tcPr>
            <w:tcW w:w="1560"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0%</w:t>
            </w:r>
          </w:p>
        </w:tc>
      </w:tr>
      <w:tr w:rsidR="00DF197F" w:rsidRPr="00923150" w:rsidTr="00915F68">
        <w:trPr>
          <w:trHeight w:val="456"/>
        </w:trPr>
        <w:tc>
          <w:tcPr>
            <w:tcW w:w="4995" w:type="dxa"/>
            <w:vAlign w:val="center"/>
          </w:tcPr>
          <w:p w:rsidR="00DF197F" w:rsidRPr="00923150" w:rsidRDefault="00DF197F" w:rsidP="00915F68">
            <w:pPr>
              <w:spacing w:before="60" w:after="60"/>
              <w:jc w:val="left"/>
              <w:rPr>
                <w:sz w:val="20"/>
              </w:rPr>
            </w:pPr>
            <w:r w:rsidRPr="00EA2CBF">
              <w:rPr>
                <w:sz w:val="20"/>
              </w:rPr>
              <w:t>Refrig. Cold Food Chain: remote condensing units</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1%</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0%</w:t>
            </w:r>
          </w:p>
        </w:tc>
        <w:tc>
          <w:tcPr>
            <w:tcW w:w="1560"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0%</w:t>
            </w:r>
          </w:p>
        </w:tc>
      </w:tr>
      <w:tr w:rsidR="00DF197F" w:rsidRPr="00923150" w:rsidTr="00915F68">
        <w:trPr>
          <w:trHeight w:val="456"/>
        </w:trPr>
        <w:tc>
          <w:tcPr>
            <w:tcW w:w="4995" w:type="dxa"/>
            <w:vAlign w:val="center"/>
          </w:tcPr>
          <w:p w:rsidR="00DF197F" w:rsidRPr="00923150" w:rsidRDefault="00DF197F" w:rsidP="00915F68">
            <w:pPr>
              <w:spacing w:before="60" w:after="60"/>
              <w:jc w:val="left"/>
              <w:rPr>
                <w:sz w:val="20"/>
              </w:rPr>
            </w:pPr>
            <w:r w:rsidRPr="00EA2CBF">
              <w:rPr>
                <w:sz w:val="20"/>
              </w:rPr>
              <w:t>Refrig. Cold Food Chain: process and cold storage facilities</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7%</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88%</w:t>
            </w:r>
          </w:p>
        </w:tc>
        <w:tc>
          <w:tcPr>
            <w:tcW w:w="1560"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0%</w:t>
            </w:r>
          </w:p>
        </w:tc>
      </w:tr>
      <w:tr w:rsidR="00DF197F" w:rsidRPr="00923150" w:rsidTr="00915F68">
        <w:trPr>
          <w:trHeight w:val="456"/>
        </w:trPr>
        <w:tc>
          <w:tcPr>
            <w:tcW w:w="4995" w:type="dxa"/>
            <w:vAlign w:val="center"/>
          </w:tcPr>
          <w:p w:rsidR="00DF197F" w:rsidRPr="00923150" w:rsidRDefault="00DF197F" w:rsidP="00915F68">
            <w:pPr>
              <w:spacing w:before="60" w:after="60"/>
              <w:jc w:val="left"/>
              <w:rPr>
                <w:sz w:val="20"/>
              </w:rPr>
            </w:pPr>
            <w:r w:rsidRPr="00EA2CBF">
              <w:rPr>
                <w:sz w:val="20"/>
              </w:rPr>
              <w:t>Refrig. Cold Food Chain: transport refrigeration</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2%</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0%</w:t>
            </w:r>
          </w:p>
        </w:tc>
        <w:tc>
          <w:tcPr>
            <w:tcW w:w="1560"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0%</w:t>
            </w:r>
          </w:p>
        </w:tc>
      </w:tr>
      <w:tr w:rsidR="00DF197F" w:rsidRPr="00923150" w:rsidTr="00915F68">
        <w:trPr>
          <w:trHeight w:val="456"/>
        </w:trPr>
        <w:tc>
          <w:tcPr>
            <w:tcW w:w="4995" w:type="dxa"/>
            <w:vAlign w:val="center"/>
          </w:tcPr>
          <w:p w:rsidR="00DF197F" w:rsidRPr="00923150" w:rsidRDefault="00DF197F" w:rsidP="00915F68">
            <w:pPr>
              <w:spacing w:before="60" w:after="60"/>
              <w:jc w:val="left"/>
              <w:rPr>
                <w:sz w:val="20"/>
              </w:rPr>
            </w:pPr>
            <w:r w:rsidRPr="00EA2CBF">
              <w:rPr>
                <w:sz w:val="20"/>
              </w:rPr>
              <w:t>Refrig. Cold Food Chain: supermarkets (excl. cold storage)</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0%</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6%</w:t>
            </w:r>
          </w:p>
        </w:tc>
        <w:tc>
          <w:tcPr>
            <w:tcW w:w="1560"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99%</w:t>
            </w:r>
          </w:p>
        </w:tc>
      </w:tr>
      <w:tr w:rsidR="00DF197F" w:rsidRPr="00923150" w:rsidTr="00915F68">
        <w:trPr>
          <w:trHeight w:val="456"/>
        </w:trPr>
        <w:tc>
          <w:tcPr>
            <w:tcW w:w="4995" w:type="dxa"/>
            <w:vAlign w:val="center"/>
          </w:tcPr>
          <w:p w:rsidR="00DF197F" w:rsidRPr="00923150" w:rsidRDefault="00DF197F" w:rsidP="00915F68">
            <w:pPr>
              <w:spacing w:before="60" w:after="60"/>
              <w:jc w:val="left"/>
              <w:rPr>
                <w:sz w:val="20"/>
              </w:rPr>
            </w:pPr>
            <w:r w:rsidRPr="00EA2CBF">
              <w:rPr>
                <w:sz w:val="20"/>
              </w:rPr>
              <w:t>Other - Heavy engineering and mining</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0%</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5%</w:t>
            </w:r>
          </w:p>
        </w:tc>
        <w:tc>
          <w:tcPr>
            <w:tcW w:w="1560"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0%</w:t>
            </w:r>
          </w:p>
        </w:tc>
      </w:tr>
      <w:tr w:rsidR="00DF197F" w:rsidRPr="00923150" w:rsidTr="00915F68">
        <w:trPr>
          <w:trHeight w:val="456"/>
        </w:trPr>
        <w:tc>
          <w:tcPr>
            <w:tcW w:w="4995" w:type="dxa"/>
            <w:vAlign w:val="center"/>
          </w:tcPr>
          <w:p w:rsidR="00DF197F" w:rsidRPr="00923150" w:rsidRDefault="00DF197F" w:rsidP="00915F68">
            <w:pPr>
              <w:spacing w:before="60" w:after="60"/>
              <w:jc w:val="left"/>
              <w:rPr>
                <w:sz w:val="20"/>
              </w:rPr>
            </w:pPr>
            <w:r w:rsidRPr="00EA2CBF">
              <w:rPr>
                <w:sz w:val="20"/>
              </w:rPr>
              <w:t>Total</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100%</w:t>
            </w:r>
          </w:p>
        </w:tc>
        <w:tc>
          <w:tcPr>
            <w:tcW w:w="1701"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100%</w:t>
            </w:r>
          </w:p>
        </w:tc>
        <w:tc>
          <w:tcPr>
            <w:tcW w:w="1560" w:type="dxa"/>
            <w:vAlign w:val="center"/>
          </w:tcPr>
          <w:p w:rsidR="00DF197F" w:rsidRPr="00EA2CBF" w:rsidRDefault="00DF197F" w:rsidP="00915F68">
            <w:pPr>
              <w:spacing w:before="60" w:after="60"/>
              <w:jc w:val="center"/>
              <w:rPr>
                <w:rFonts w:cs="Times New Roman"/>
                <w:sz w:val="20"/>
                <w:szCs w:val="20"/>
              </w:rPr>
            </w:pPr>
            <w:r w:rsidRPr="00EA2CBF">
              <w:rPr>
                <w:rFonts w:eastAsia="Times New Roman" w:cs="Times New Roman"/>
                <w:color w:val="000000"/>
                <w:sz w:val="20"/>
                <w:szCs w:val="20"/>
              </w:rPr>
              <w:t>100%</w:t>
            </w:r>
          </w:p>
        </w:tc>
      </w:tr>
    </w:tbl>
    <w:p w:rsidR="004F768B" w:rsidRDefault="004F768B" w:rsidP="002C5D69"/>
    <w:p w:rsidR="002C5D69" w:rsidRDefault="002C5D69" w:rsidP="002C5D69">
      <w:r>
        <w:t>The potential for natural refrigerants to grow market share is discussed in more detail on a sector by sector basis later in the report, but in general, along with the zero or low GWP properties of these gases, natural refrigerants options can be attractive when employed in applications where energy efficiency is important. If for instance all RAC technolog</w:t>
      </w:r>
      <w:r w:rsidR="00110F07">
        <w:t>ies</w:t>
      </w:r>
      <w:r>
        <w:t xml:space="preserve"> were assessed in terms of full life cycle carbon emissions, both direct and indirect, in a very wide range of applications natural refrigerants would </w:t>
      </w:r>
      <w:r w:rsidR="004F768B">
        <w:t>provide sound economic benefits to end users and consumers (e.g. Ammonia in large scale systems and hydrocarbon in sealed systems)</w:t>
      </w:r>
      <w:r>
        <w:t>. However there are other technical and commercial barriers relating to both the toxicity</w:t>
      </w:r>
      <w:r w:rsidR="004F768B">
        <w:t xml:space="preserve">, </w:t>
      </w:r>
      <w:r>
        <w:t>the flammability</w:t>
      </w:r>
      <w:r w:rsidR="004F768B">
        <w:t xml:space="preserve"> and global economies of scale</w:t>
      </w:r>
      <w:r>
        <w:t xml:space="preserve"> of some of the natural</w:t>
      </w:r>
      <w:r w:rsidR="009736EF">
        <w:t xml:space="preserve"> refrigerant</w:t>
      </w:r>
      <w:r w:rsidR="00262A66">
        <w:t>s</w:t>
      </w:r>
      <w:r>
        <w:t xml:space="preserve"> that need to be overcome. </w:t>
      </w:r>
    </w:p>
    <w:p w:rsidR="002C5D69" w:rsidRDefault="002C5D69" w:rsidP="002C5D69">
      <w:r>
        <w:t xml:space="preserve">Ammonia (R717) for instance is the refrigerant of choice due to its higher energy efficiency in a relatively small number of large water chilling applications for industrial space cooling, refrigeration at large distribution centres and cold stores, and in some mine operations, all in situations where the plant is </w:t>
      </w:r>
      <w:r w:rsidR="003F3B5E">
        <w:t xml:space="preserve">designed to a specification and </w:t>
      </w:r>
      <w:r>
        <w:t>run under closer engineering supervision and control.  This is unlike the vast majority (&gt;98%) of all large chillers sold and installed which are charged by synthetic gases that are non-toxic and inert, and that are largely left to</w:t>
      </w:r>
      <w:r w:rsidR="007E3BAC">
        <w:t xml:space="preserve"> automated operation managed (and more frequently also monitored) by </w:t>
      </w:r>
      <w:r w:rsidR="003317F0">
        <w:t xml:space="preserve">generalist build services manager or </w:t>
      </w:r>
      <w:r w:rsidR="007E3BAC">
        <w:t xml:space="preserve">remote </w:t>
      </w:r>
      <w:r>
        <w:t>con</w:t>
      </w:r>
      <w:r w:rsidR="007E3BAC">
        <w:t>tract service engineering firms.</w:t>
      </w:r>
    </w:p>
    <w:p w:rsidR="00DF197F" w:rsidRDefault="007E3BAC" w:rsidP="00DF197F">
      <w:r>
        <w:t>Hydrocarbons are also more efficient and require a smaller charge than synthetic alternatives in many small applications, however due to flammability of the gas</w:t>
      </w:r>
      <w:r w:rsidR="003F3B5E">
        <w:t xml:space="preserve"> and safety code restrictions</w:t>
      </w:r>
      <w:r>
        <w:t xml:space="preserve">, </w:t>
      </w:r>
      <w:r w:rsidR="00635328">
        <w:t>hydrocarbon</w:t>
      </w:r>
      <w:r>
        <w:t xml:space="preserve"> charged applications are more likely to find wider acceptance in applications with very small charges</w:t>
      </w:r>
      <w:r w:rsidR="003F3B5E">
        <w:t xml:space="preserve"> (&lt;1 kg)</w:t>
      </w:r>
      <w:r>
        <w:t xml:space="preserve">. </w:t>
      </w:r>
    </w:p>
    <w:p w:rsidR="007E3BAC" w:rsidRDefault="007E3BAC" w:rsidP="00DF197F">
      <w:r>
        <w:t>CO</w:t>
      </w:r>
      <w:r w:rsidRPr="004F768B">
        <w:rPr>
          <w:vertAlign w:val="subscript"/>
        </w:rPr>
        <w:t>2</w:t>
      </w:r>
      <w:r>
        <w:t xml:space="preserve"> on the other hand is not flammable, and is highly efficient up to about 35</w:t>
      </w:r>
      <w:r w:rsidR="003317F0" w:rsidRPr="003317F0">
        <w:rPr>
          <w:vertAlign w:val="superscript"/>
        </w:rPr>
        <w:t>o</w:t>
      </w:r>
      <w:r>
        <w:t>C</w:t>
      </w:r>
      <w:r w:rsidR="003317F0">
        <w:t xml:space="preserve"> ambient</w:t>
      </w:r>
      <w:r>
        <w:t>, after which there is an energy penalty incurred when ambient temperatures stay high for any period. CO</w:t>
      </w:r>
      <w:r w:rsidRPr="004F768B">
        <w:rPr>
          <w:vertAlign w:val="subscript"/>
        </w:rPr>
        <w:t>2</w:t>
      </w:r>
      <w:r>
        <w:t xml:space="preserve">, like HCs is growing market share in a number of smaller hermetically sealed applications </w:t>
      </w:r>
      <w:r w:rsidR="00374D54">
        <w:t xml:space="preserve">(e.g. vending machines, refrigeration display cases, hot water heat pumps, etc.) </w:t>
      </w:r>
      <w:r>
        <w:t xml:space="preserve">but also in larger, closely managed cascade systems in supermarkets. </w:t>
      </w:r>
    </w:p>
    <w:p w:rsidR="007E3BAC" w:rsidRDefault="007E3BAC" w:rsidP="00DF197F">
      <w:r>
        <w:t xml:space="preserve">Together these refrigerants have potentially a lot of market share to gain under almost any HFC phase down scenario. The extent of their adoption in areas where technical issues are sufficiently resolved will, to a large extent, depend on commercial issues, competition and regulatory settings. </w:t>
      </w:r>
    </w:p>
    <w:p w:rsidR="002F7FDE" w:rsidRDefault="007E3BAC" w:rsidP="002F7FDE">
      <w:r>
        <w:t xml:space="preserve">Another </w:t>
      </w:r>
      <w:r w:rsidR="002F7FDE">
        <w:t xml:space="preserve">gas </w:t>
      </w:r>
      <w:r>
        <w:t xml:space="preserve">with potential for </w:t>
      </w:r>
      <w:r w:rsidR="00FB1723">
        <w:t>very strong growth of market share</w:t>
      </w:r>
      <w:r>
        <w:t xml:space="preserve"> in some applications is</w:t>
      </w:r>
      <w:r w:rsidR="002F7FDE">
        <w:t xml:space="preserve"> HFC-32</w:t>
      </w:r>
      <w:r w:rsidR="00FB1723">
        <w:t>.</w:t>
      </w:r>
      <w:r w:rsidR="002F7FDE">
        <w:t xml:space="preserve"> </w:t>
      </w:r>
      <w:r w:rsidR="00FB1723">
        <w:t>W</w:t>
      </w:r>
      <w:r w:rsidR="002F7FDE">
        <w:t>hile still having a GWP of 650</w:t>
      </w:r>
      <w:r w:rsidR="00F84D55">
        <w:t>/675</w:t>
      </w:r>
      <w:r w:rsidR="002F7FDE">
        <w:t>,</w:t>
      </w:r>
      <w:r w:rsidR="00FB1723">
        <w:t xml:space="preserve"> HFC-32</w:t>
      </w:r>
      <w:r w:rsidR="002F7FDE">
        <w:t xml:space="preserve"> is likely to establish itself as a leader in the stationary </w:t>
      </w:r>
      <w:r w:rsidR="008A5501">
        <w:t xml:space="preserve">air conditioning </w:t>
      </w:r>
      <w:r w:rsidR="002F7FDE">
        <w:t>market, replacing HFC-410A (GWP of 1725</w:t>
      </w:r>
      <w:r w:rsidR="00F84D55">
        <w:t>/2088</w:t>
      </w:r>
      <w:r w:rsidR="002F7FDE">
        <w:t>) while being able to deliver the same cooling services with a charge as much as 30% smaller than was required with HFC-410A.</w:t>
      </w:r>
    </w:p>
    <w:p w:rsidR="002F7FDE" w:rsidRDefault="00442DFE" w:rsidP="002F7FDE">
      <w:r w:rsidRPr="001601C5">
        <w:t>HFC-32 has been commercially available for only two years, yet in 2013</w:t>
      </w:r>
      <w:r w:rsidR="00977C4A" w:rsidRPr="002E6AC8">
        <w:t xml:space="preserve"> a significan</w:t>
      </w:r>
      <w:r w:rsidR="001601C5">
        <w:t>t</w:t>
      </w:r>
      <w:r w:rsidR="00977C4A" w:rsidRPr="002E6AC8">
        <w:t xml:space="preserve"> </w:t>
      </w:r>
      <w:r w:rsidR="001601C5">
        <w:t>quantity</w:t>
      </w:r>
      <w:r w:rsidR="00977C4A" w:rsidRPr="002E6AC8">
        <w:t xml:space="preserve"> of</w:t>
      </w:r>
      <w:r w:rsidRPr="001601C5">
        <w:t xml:space="preserve"> pre-charged equipment </w:t>
      </w:r>
      <w:r w:rsidR="00977C4A" w:rsidRPr="002E6AC8">
        <w:t xml:space="preserve">containing </w:t>
      </w:r>
      <w:r w:rsidRPr="001601C5">
        <w:t xml:space="preserve">HFC-32 </w:t>
      </w:r>
      <w:r w:rsidR="007C2664" w:rsidRPr="001601C5">
        <w:t>w</w:t>
      </w:r>
      <w:r w:rsidR="00977C4A" w:rsidRPr="002E6AC8">
        <w:t>as</w:t>
      </w:r>
      <w:r w:rsidR="007C2664" w:rsidRPr="001601C5">
        <w:t xml:space="preserve"> </w:t>
      </w:r>
      <w:r w:rsidRPr="001601C5">
        <w:t>imported into Australia</w:t>
      </w:r>
      <w:r w:rsidR="00977C4A" w:rsidRPr="002E6AC8">
        <w:t xml:space="preserve"> (DoE 2014)</w:t>
      </w:r>
      <w:r w:rsidRPr="001601C5">
        <w:t>. HFC-32 provides a very good example of how fast this industry can move, when conditions are right.</w:t>
      </w:r>
    </w:p>
    <w:p w:rsidR="002F7FDE" w:rsidRDefault="002F7FDE" w:rsidP="002F7FDE">
      <w:r w:rsidRPr="009B31E3">
        <w:t>In June 2011, two of the largest Japanese manufacturers of air conditioning equipment, Daikin Industries Ltd., and Panasonic Corporation reached an agreement to introduce high-efficiency air-conditioners using HFC-32 in the Indonesian market for a United Nations Development Programme project. The project is targeted at developing countries and is intended to both replace ozone-depleting substances such as HCFC-22, and to leapfrog higher GWP gas charged technologies. Other leading Japanese companies Fujitsu General, Hitachi and Toshiba are now part of this agreement.</w:t>
      </w:r>
    </w:p>
    <w:p w:rsidR="002F7FDE" w:rsidRDefault="002F7FDE" w:rsidP="002F7FDE">
      <w:r w:rsidRPr="009B31E3">
        <w:t>Both Daikin and Panasonic expect</w:t>
      </w:r>
      <w:r>
        <w:t>ed</w:t>
      </w:r>
      <w:r w:rsidRPr="009B31E3">
        <w:t xml:space="preserve"> that introducing this technology in Indonesia could start a global trend for other high ambient temperature de</w:t>
      </w:r>
      <w:r>
        <w:t xml:space="preserve">veloping countries. </w:t>
      </w:r>
      <w:r w:rsidRPr="009B31E3">
        <w:t>Subsequently Daikin launched the world’s first air conditioners to use HFC-32 into the Japanese market in November 2012. Daikin ha</w:t>
      </w:r>
      <w:r w:rsidR="00573A03">
        <w:t>s</w:t>
      </w:r>
      <w:r w:rsidRPr="009B31E3">
        <w:t xml:space="preserve"> also launched products in Europe and India (Daikin Industries 2014).  </w:t>
      </w:r>
    </w:p>
    <w:p w:rsidR="002F7FDE" w:rsidRDefault="002F7FDE" w:rsidP="002F7FDE">
      <w:r w:rsidRPr="009B31E3">
        <w:t>Other suppliers that launched HFC-32 products in the Japanese market in 2013 include Mitsubishi, Hitachi, Panasonic, Fujitsu General and Sharp</w:t>
      </w:r>
      <w:r w:rsidR="0059285D">
        <w:t>.</w:t>
      </w:r>
      <w:r w:rsidRPr="009B31E3">
        <w:t xml:space="preserve"> As a result Japan presently has a total estimated installed base of around 100,000 pieces and growing. Both Daikin Industries and Fujitsu General launched HFC-32 products in Australia late 2013, with several other companies expected to follow. In a recent development Daikin Industries has shared the IP for production of HFC-32 with the other leading members of the industry. As a result there is an emerging consensus among the industry leaders that this refrigerant could provide a common design path for new product in the medium </w:t>
      </w:r>
      <w:r w:rsidR="00B3118E">
        <w:t xml:space="preserve">sized </w:t>
      </w:r>
      <w:r w:rsidRPr="009B31E3">
        <w:t>class</w:t>
      </w:r>
      <w:r w:rsidR="00B3118E">
        <w:t xml:space="preserve"> of air conditioners</w:t>
      </w:r>
      <w:r w:rsidRPr="009B31E3">
        <w:t xml:space="preserve">. </w:t>
      </w:r>
      <w:r>
        <w:t xml:space="preserve"> </w:t>
      </w:r>
    </w:p>
    <w:p w:rsidR="002F7FDE" w:rsidRDefault="002F7FDE" w:rsidP="002F7FDE">
      <w:r>
        <w:t xml:space="preserve">If, as seems likely, significant product lines from most leading manufacturers are converted to HFC-32, Australia </w:t>
      </w:r>
      <w:r w:rsidR="0079524E">
        <w:t xml:space="preserve">may </w:t>
      </w:r>
      <w:r w:rsidR="002402B4">
        <w:t>have</w:t>
      </w:r>
      <w:r w:rsidR="0079524E">
        <w:t xml:space="preserve"> reduced supply options and may in the future</w:t>
      </w:r>
      <w:r>
        <w:t xml:space="preserve"> have </w:t>
      </w:r>
      <w:r w:rsidR="0079524E">
        <w:t>little</w:t>
      </w:r>
      <w:r>
        <w:t xml:space="preserve"> choice other than to adapt to the new technical standards and requirements of dealing with this mildly flammable refrigerant.</w:t>
      </w:r>
    </w:p>
    <w:p w:rsidR="002F7FDE" w:rsidRDefault="002F7FDE" w:rsidP="002F7FDE">
      <w:r>
        <w:t>At the same time the even more flammable hydrocarbon refrigerants are also expanding market share in Australia, a fact that does not seem to have created any tremendous difficulty for the industry and its supply lines</w:t>
      </w:r>
      <w:r w:rsidR="0086092D">
        <w:t xml:space="preserve"> to date</w:t>
      </w:r>
      <w:r>
        <w:t>.</w:t>
      </w:r>
    </w:p>
    <w:p w:rsidR="00374D54" w:rsidRPr="009B31E3" w:rsidRDefault="00374D54" w:rsidP="002F7FDE"/>
    <w:p w:rsidR="00374D54" w:rsidRDefault="00374D54">
      <w:pPr>
        <w:spacing w:before="0"/>
        <w:jc w:val="left"/>
        <w:rPr>
          <w:rFonts w:ascii="Calibri" w:eastAsia="Times New Roman" w:hAnsi="Calibri" w:cs="Times New Roman"/>
          <w:b/>
          <w:bCs/>
          <w:i/>
          <w:iCs/>
          <w:sz w:val="28"/>
          <w:szCs w:val="28"/>
          <w:lang w:val="en-US"/>
        </w:rPr>
      </w:pPr>
      <w:r>
        <w:br w:type="page"/>
      </w:r>
    </w:p>
    <w:p w:rsidR="00E72ADE" w:rsidRDefault="00E72ADE" w:rsidP="00E72ADE">
      <w:pPr>
        <w:pStyle w:val="Heading2"/>
        <w:ind w:left="567" w:hanging="567"/>
      </w:pPr>
      <w:bookmarkStart w:id="25" w:name="_Toc257359950"/>
      <w:r>
        <w:t xml:space="preserve">Fourth generation synthetic substances </w:t>
      </w:r>
      <w:bookmarkEnd w:id="23"/>
      <w:r>
        <w:t>and blends under development</w:t>
      </w:r>
      <w:bookmarkEnd w:id="25"/>
    </w:p>
    <w:p w:rsidR="001149C1" w:rsidRDefault="00E72ADE" w:rsidP="00E72ADE">
      <w:r w:rsidRPr="00991F2B">
        <w:t xml:space="preserve">There </w:t>
      </w:r>
      <w:r w:rsidR="004F2410">
        <w:t xml:space="preserve">is a new class </w:t>
      </w:r>
      <w:r w:rsidRPr="00991F2B">
        <w:t>of</w:t>
      </w:r>
      <w:r>
        <w:t xml:space="preserve"> very</w:t>
      </w:r>
      <w:r w:rsidRPr="00991F2B">
        <w:t xml:space="preserve"> low or </w:t>
      </w:r>
      <w:r>
        <w:t xml:space="preserve">substantially </w:t>
      </w:r>
      <w:r w:rsidRPr="00991F2B">
        <w:t xml:space="preserve">reduced GWP </w:t>
      </w:r>
      <w:r>
        <w:t>synthetic substances,</w:t>
      </w:r>
      <w:r w:rsidRPr="00991F2B">
        <w:t xml:space="preserve"> known as hydrofluoro</w:t>
      </w:r>
      <w:r w:rsidR="00D47C7A">
        <w:t>-</w:t>
      </w:r>
      <w:r w:rsidRPr="00991F2B">
        <w:t>olefins</w:t>
      </w:r>
      <w:r>
        <w:t xml:space="preserve"> (HFOs</w:t>
      </w:r>
      <w:r w:rsidR="003C099D">
        <w:t xml:space="preserve">, also described as unsaturated HFCs), </w:t>
      </w:r>
      <w:r>
        <w:t>and HFO blends that are relatively close to full commercial release.</w:t>
      </w:r>
      <w:r w:rsidR="001149C1">
        <w:t xml:space="preserve"> </w:t>
      </w:r>
      <w:r w:rsidR="001149C1" w:rsidRPr="001149C1">
        <w:t xml:space="preserve">Whilst </w:t>
      </w:r>
      <w:r w:rsidR="004F2410">
        <w:t>c</w:t>
      </w:r>
      <w:r w:rsidR="001149C1" w:rsidRPr="001149C1">
        <w:t xml:space="preserve">onvention </w:t>
      </w:r>
      <w:r w:rsidR="001149C1">
        <w:t xml:space="preserve">is to only discuss refrigerants </w:t>
      </w:r>
      <w:r w:rsidR="001149C1" w:rsidRPr="001149C1">
        <w:t xml:space="preserve">with </w:t>
      </w:r>
      <w:r w:rsidR="001149C1" w:rsidRPr="00DF1BCB">
        <w:rPr>
          <w:i/>
        </w:rPr>
        <w:t>ISO/</w:t>
      </w:r>
      <w:r w:rsidR="00DF1BCB" w:rsidRPr="00DF1BCB">
        <w:rPr>
          <w:i/>
        </w:rPr>
        <w:t>ANSI/ASHRAE</w:t>
      </w:r>
      <w:r w:rsidR="00DF1BCB" w:rsidRPr="00F9522B">
        <w:rPr>
          <w:i/>
        </w:rPr>
        <w:t xml:space="preserve"> 34, Designation and Safety Classification of Refrigerants</w:t>
      </w:r>
      <w:r w:rsidR="00DF1BCB">
        <w:rPr>
          <w:i/>
        </w:rPr>
        <w:t>,</w:t>
      </w:r>
      <w:r w:rsidR="00DF1BCB" w:rsidRPr="001149C1">
        <w:t xml:space="preserve"> </w:t>
      </w:r>
      <w:r w:rsidR="001149C1" w:rsidRPr="001149C1">
        <w:t xml:space="preserve">R-number designation, </w:t>
      </w:r>
      <w:r w:rsidR="001149C1">
        <w:t xml:space="preserve">it </w:t>
      </w:r>
      <w:r w:rsidR="0059285D">
        <w:t xml:space="preserve">is </w:t>
      </w:r>
      <w:r w:rsidR="001149C1">
        <w:t xml:space="preserve">considered necessary to discuss HFO blends as many are close to </w:t>
      </w:r>
      <w:r w:rsidR="001149C1" w:rsidRPr="001149C1">
        <w:t>commercialisation and receiving R-number designations</w:t>
      </w:r>
      <w:r w:rsidR="001149C1">
        <w:t>.</w:t>
      </w:r>
    </w:p>
    <w:p w:rsidR="001149C1" w:rsidRDefault="00E72ADE" w:rsidP="00E72ADE">
      <w:r>
        <w:t>T</w:t>
      </w:r>
      <w:r w:rsidRPr="00991F2B">
        <w:t xml:space="preserve">he first </w:t>
      </w:r>
      <w:r w:rsidR="003558D4">
        <w:t xml:space="preserve">low GWP </w:t>
      </w:r>
      <w:r w:rsidR="001149C1">
        <w:t xml:space="preserve">substance </w:t>
      </w:r>
      <w:r w:rsidRPr="00991F2B">
        <w:t>is HFO-1234yf, with a GWP of around 4</w:t>
      </w:r>
      <w:r w:rsidR="003558D4">
        <w:t>. T</w:t>
      </w:r>
      <w:r w:rsidR="00BC1EA9">
        <w:t>his gas</w:t>
      </w:r>
      <w:r w:rsidRPr="00991F2B">
        <w:t xml:space="preserve"> </w:t>
      </w:r>
      <w:r>
        <w:t xml:space="preserve">was originally developed </w:t>
      </w:r>
      <w:r w:rsidRPr="00991F2B">
        <w:t xml:space="preserve">as a replacement for </w:t>
      </w:r>
      <w:r>
        <w:t>HFC-</w:t>
      </w:r>
      <w:r w:rsidRPr="00991F2B">
        <w:t>134a in mobile air conditioners and</w:t>
      </w:r>
      <w:r w:rsidR="00BC1EA9">
        <w:t xml:space="preserve"> could</w:t>
      </w:r>
      <w:r w:rsidRPr="00991F2B">
        <w:t xml:space="preserve"> potentially</w:t>
      </w:r>
      <w:r w:rsidR="00BC1EA9">
        <w:t xml:space="preserve"> be employed in</w:t>
      </w:r>
      <w:r w:rsidRPr="00991F2B">
        <w:t xml:space="preserve"> many other </w:t>
      </w:r>
      <w:r>
        <w:t xml:space="preserve">refrigeration and air conditioning </w:t>
      </w:r>
      <w:r w:rsidRPr="00991F2B">
        <w:t xml:space="preserve">applications. </w:t>
      </w:r>
      <w:r>
        <w:t xml:space="preserve">Another </w:t>
      </w:r>
      <w:r w:rsidRPr="00991F2B">
        <w:t xml:space="preserve">low GWP </w:t>
      </w:r>
      <w:r w:rsidR="007A19F0">
        <w:t>product</w:t>
      </w:r>
      <w:r w:rsidR="007A19F0" w:rsidRPr="00991F2B">
        <w:t xml:space="preserve"> </w:t>
      </w:r>
      <w:r>
        <w:t xml:space="preserve">is </w:t>
      </w:r>
      <w:r w:rsidRPr="00991F2B">
        <w:t>HFO</w:t>
      </w:r>
      <w:r>
        <w:t>-</w:t>
      </w:r>
      <w:r w:rsidRPr="00991F2B">
        <w:t>1234ze</w:t>
      </w:r>
      <w:r w:rsidR="001E0FEE" w:rsidRPr="001E0FEE">
        <w:t>(E)</w:t>
      </w:r>
      <w:r>
        <w:t>, with a GWP of around 6</w:t>
      </w:r>
      <w:r w:rsidRPr="00991F2B">
        <w:t xml:space="preserve"> </w:t>
      </w:r>
      <w:r>
        <w:t xml:space="preserve">that </w:t>
      </w:r>
      <w:r w:rsidR="00B1767D">
        <w:t>has potential for use</w:t>
      </w:r>
      <w:r w:rsidR="003E2230">
        <w:t xml:space="preserve"> in</w:t>
      </w:r>
      <w:r w:rsidR="00B1767D">
        <w:t xml:space="preserve"> </w:t>
      </w:r>
      <w:r w:rsidRPr="00991F2B">
        <w:t>foam</w:t>
      </w:r>
      <w:r w:rsidR="00BC1EA9">
        <w:t xml:space="preserve"> blowing</w:t>
      </w:r>
      <w:r w:rsidRPr="00991F2B">
        <w:t xml:space="preserve">, aerosol and </w:t>
      </w:r>
      <w:r>
        <w:t xml:space="preserve">specific vapour compression </w:t>
      </w:r>
      <w:r w:rsidRPr="00991F2B">
        <w:t>applications.</w:t>
      </w:r>
      <w:r w:rsidR="00163AEC">
        <w:rPr>
          <w:rStyle w:val="FootnoteReference"/>
        </w:rPr>
        <w:footnoteReference w:id="1"/>
      </w:r>
    </w:p>
    <w:p w:rsidR="003558D4" w:rsidRDefault="003558D4" w:rsidP="00E72ADE">
      <w:r>
        <w:t xml:space="preserve">Another emerging class of </w:t>
      </w:r>
      <w:r w:rsidR="00D81A42">
        <w:t xml:space="preserve">lower GWP </w:t>
      </w:r>
      <w:r w:rsidR="001149C1">
        <w:t xml:space="preserve">options are HFO blends that </w:t>
      </w:r>
      <w:r w:rsidR="001149C1" w:rsidRPr="001149C1">
        <w:t>comprise HF</w:t>
      </w:r>
      <w:r w:rsidR="00D81A42">
        <w:t>O</w:t>
      </w:r>
      <w:r w:rsidR="001149C1" w:rsidRPr="001149C1">
        <w:t>-1234yf and HF</w:t>
      </w:r>
      <w:r w:rsidR="00D81A42">
        <w:t>O</w:t>
      </w:r>
      <w:r w:rsidR="001149C1" w:rsidRPr="001149C1">
        <w:t>-1234ze</w:t>
      </w:r>
      <w:r w:rsidR="001E0FEE">
        <w:t>(E)</w:t>
      </w:r>
      <w:r>
        <w:t>,</w:t>
      </w:r>
      <w:r w:rsidR="001149C1" w:rsidRPr="001149C1">
        <w:t xml:space="preserve"> and</w:t>
      </w:r>
      <w:r w:rsidRPr="00991F2B">
        <w:t xml:space="preserve"> other stable refrigerants, including HFC</w:t>
      </w:r>
      <w:r>
        <w:t>-32, HFC-125, HFC-134a, HFC-152a, CO</w:t>
      </w:r>
      <w:r w:rsidRPr="00991F2B">
        <w:rPr>
          <w:vertAlign w:val="subscript"/>
        </w:rPr>
        <w:t>2</w:t>
      </w:r>
      <w:r>
        <w:t xml:space="preserve"> and hydrocarbons. These blends are designed to achieve operating characteristics for a diverse range of air conditioning and refrigeration applications.</w:t>
      </w:r>
    </w:p>
    <w:p w:rsidR="00E72ADE" w:rsidRDefault="00E72ADE" w:rsidP="00E72ADE">
      <w:r>
        <w:t xml:space="preserve">The main </w:t>
      </w:r>
      <w:r w:rsidR="004F2410">
        <w:t xml:space="preserve">public </w:t>
      </w:r>
      <w:r>
        <w:t xml:space="preserve">source of information on performance characteristics of these </w:t>
      </w:r>
      <w:r w:rsidR="00BC1EA9">
        <w:t>new</w:t>
      </w:r>
      <w:r>
        <w:t xml:space="preserve"> refrigerants is available via the </w:t>
      </w:r>
      <w:r w:rsidRPr="003205EA">
        <w:t>AHRI</w:t>
      </w:r>
      <w:r>
        <w:t xml:space="preserve"> (</w:t>
      </w:r>
      <w:r w:rsidRPr="00024C90">
        <w:t>Air</w:t>
      </w:r>
      <w:r>
        <w:t xml:space="preserve"> </w:t>
      </w:r>
      <w:r w:rsidRPr="00024C90">
        <w:t>Conditioning, Heating, and Refrigeration</w:t>
      </w:r>
      <w:r>
        <w:t xml:space="preserve"> Institute)</w:t>
      </w:r>
      <w:r w:rsidRPr="003205EA">
        <w:t xml:space="preserve"> Low-GWP Alternative </w:t>
      </w:r>
      <w:r>
        <w:t xml:space="preserve">Refrigerants Evaluation Program. </w:t>
      </w:r>
      <w:r w:rsidRPr="00374D54">
        <w:rPr>
          <w:i/>
        </w:rPr>
        <w:t xml:space="preserve">Table </w:t>
      </w:r>
      <w:r w:rsidR="00374D54" w:rsidRPr="00374D54">
        <w:rPr>
          <w:i/>
        </w:rPr>
        <w:t>3</w:t>
      </w:r>
      <w:r w:rsidRPr="00374D54">
        <w:t xml:space="preserve"> provides</w:t>
      </w:r>
      <w:r>
        <w:t xml:space="preserve"> a list of lower GWP refrigerants that are being reviewed and evaluated by the program.</w:t>
      </w:r>
    </w:p>
    <w:p w:rsidR="00E72ADE" w:rsidRDefault="00E72ADE" w:rsidP="00E72ADE">
      <w:r w:rsidRPr="00991F2B">
        <w:t>The</w:t>
      </w:r>
      <w:r>
        <w:t xml:space="preserve"> timing of the release of these emerging refrigerants in Australia is dependent on several factors including:</w:t>
      </w:r>
    </w:p>
    <w:p w:rsidR="00E72ADE" w:rsidRPr="00F9522B" w:rsidRDefault="00E72ADE" w:rsidP="00E97935">
      <w:pPr>
        <w:pStyle w:val="ListParagraph"/>
        <w:numPr>
          <w:ilvl w:val="0"/>
          <w:numId w:val="10"/>
        </w:numPr>
        <w:spacing w:before="120" w:after="0" w:line="240" w:lineRule="auto"/>
        <w:ind w:left="357" w:hanging="357"/>
        <w:contextualSpacing w:val="0"/>
        <w:jc w:val="both"/>
        <w:rPr>
          <w:rFonts w:ascii="Times New Roman" w:hAnsi="Times New Roman"/>
        </w:rPr>
      </w:pPr>
      <w:r w:rsidRPr="00F9522B">
        <w:rPr>
          <w:rFonts w:ascii="Times New Roman" w:hAnsi="Times New Roman"/>
        </w:rPr>
        <w:t xml:space="preserve">Testing of refrigerant by ASHRAE (American Society of Heating, Refrigerating and Air-Conditioning Engineers) and allocation of ‘R’ numbers and refrigerant classifications in accordance with </w:t>
      </w:r>
      <w:r w:rsidR="00DF1BCB" w:rsidRPr="00DF1BCB">
        <w:rPr>
          <w:rFonts w:ascii="Times New Roman" w:hAnsi="Times New Roman"/>
          <w:i/>
        </w:rPr>
        <w:t>ISO/</w:t>
      </w:r>
      <w:r w:rsidRPr="00F9522B">
        <w:rPr>
          <w:rFonts w:ascii="Times New Roman" w:hAnsi="Times New Roman"/>
          <w:i/>
        </w:rPr>
        <w:t>ANSI/ASHRAE 34, Designation and Safety Classification of Refrigerants</w:t>
      </w:r>
      <w:r w:rsidRPr="00F9522B">
        <w:rPr>
          <w:rFonts w:ascii="Times New Roman" w:hAnsi="Times New Roman"/>
        </w:rPr>
        <w:t>.</w:t>
      </w:r>
    </w:p>
    <w:p w:rsidR="00E72ADE" w:rsidRPr="00F9522B" w:rsidRDefault="00E72ADE" w:rsidP="00E97935">
      <w:pPr>
        <w:pStyle w:val="ListParagraph"/>
        <w:numPr>
          <w:ilvl w:val="0"/>
          <w:numId w:val="10"/>
        </w:numPr>
        <w:spacing w:before="120" w:after="0" w:line="240" w:lineRule="auto"/>
        <w:ind w:left="357" w:hanging="357"/>
        <w:contextualSpacing w:val="0"/>
        <w:jc w:val="both"/>
        <w:rPr>
          <w:rFonts w:ascii="Times New Roman" w:hAnsi="Times New Roman"/>
        </w:rPr>
      </w:pPr>
      <w:r w:rsidRPr="00F9522B">
        <w:rPr>
          <w:rFonts w:ascii="Times New Roman" w:hAnsi="Times New Roman"/>
        </w:rPr>
        <w:t>NICNAS (National Industrial Chemicals Notification and Assessment Scheme) registration and accreditation.</w:t>
      </w:r>
    </w:p>
    <w:p w:rsidR="00E72ADE" w:rsidRDefault="00E72ADE" w:rsidP="00E97935">
      <w:pPr>
        <w:pStyle w:val="ListParagraph"/>
        <w:numPr>
          <w:ilvl w:val="0"/>
          <w:numId w:val="10"/>
        </w:numPr>
        <w:spacing w:before="120" w:after="0" w:line="240" w:lineRule="auto"/>
        <w:ind w:left="357" w:hanging="357"/>
        <w:contextualSpacing w:val="0"/>
        <w:jc w:val="both"/>
      </w:pPr>
      <w:r w:rsidRPr="00F9522B">
        <w:rPr>
          <w:rFonts w:ascii="Times New Roman" w:hAnsi="Times New Roman"/>
        </w:rPr>
        <w:t xml:space="preserve">Sufficient scaling of production of HFOs </w:t>
      </w:r>
      <w:r>
        <w:rPr>
          <w:rFonts w:ascii="Times New Roman" w:hAnsi="Times New Roman"/>
        </w:rPr>
        <w:t xml:space="preserve">to make them </w:t>
      </w:r>
      <w:r w:rsidRPr="00F9522B">
        <w:rPr>
          <w:rFonts w:ascii="Times New Roman" w:hAnsi="Times New Roman"/>
        </w:rPr>
        <w:t>available for blending into emerging refrigerants.</w:t>
      </w:r>
      <w:r>
        <w:rPr>
          <w:rStyle w:val="FootnoteReference"/>
        </w:rPr>
        <w:footnoteReference w:id="2"/>
      </w:r>
    </w:p>
    <w:p w:rsidR="00E72ADE" w:rsidRDefault="00E72ADE" w:rsidP="00E72ADE">
      <w:r>
        <w:t xml:space="preserve">The latest </w:t>
      </w:r>
      <w:r w:rsidR="004F2410">
        <w:t xml:space="preserve">local </w:t>
      </w:r>
      <w:r>
        <w:t xml:space="preserve">market intelligence suggests the first blends will be available for sale </w:t>
      </w:r>
      <w:r w:rsidR="001E4EF6">
        <w:t xml:space="preserve">in bulk </w:t>
      </w:r>
      <w:r>
        <w:t xml:space="preserve">in 2014 although there is no indication of price. At this stage there is </w:t>
      </w:r>
      <w:r w:rsidR="00ED6370">
        <w:t xml:space="preserve">a lack of </w:t>
      </w:r>
      <w:r>
        <w:t xml:space="preserve">detailed information </w:t>
      </w:r>
      <w:r w:rsidR="00ED6370">
        <w:t xml:space="preserve">about </w:t>
      </w:r>
      <w:r>
        <w:t xml:space="preserve">such </w:t>
      </w:r>
      <w:r w:rsidR="00ED6370">
        <w:t xml:space="preserve">things </w:t>
      </w:r>
      <w:r>
        <w:t>as thermodynamic properties of the refrigerant (i.e. co-efficient of performance, capacity, glide, pressure and temperature operating envelopes, etc.) and refrigerant classifications defined by technical standards and regulations (i.e. flammability and toxicity of substances) or vapour compression applications intended for each blend.</w:t>
      </w:r>
    </w:p>
    <w:p w:rsidR="00867F60" w:rsidRDefault="00374D54" w:rsidP="00867F60">
      <w:r>
        <w:rPr>
          <w:i/>
        </w:rPr>
        <w:t xml:space="preserve">Section 3.5 </w:t>
      </w:r>
      <w:r w:rsidRPr="00374D54">
        <w:t>p</w:t>
      </w:r>
      <w:r w:rsidR="00867F60" w:rsidRPr="00374D54">
        <w:t>r</w:t>
      </w:r>
      <w:r w:rsidR="00867F60">
        <w:t>ovides a summary of a</w:t>
      </w:r>
      <w:r w:rsidR="004F2410">
        <w:t xml:space="preserve"> recent </w:t>
      </w:r>
      <w:r w:rsidR="00867F60">
        <w:t>evaluation prepared by the Technology and Economic Assessment Panel (UNEP 2013c, p40 to 46) on emerging HFO blends that are near to commercialisation.</w:t>
      </w:r>
    </w:p>
    <w:p w:rsidR="00867F60" w:rsidRDefault="00867F60" w:rsidP="00E72ADE"/>
    <w:p w:rsidR="00E72ADE" w:rsidRDefault="00E72ADE" w:rsidP="00E72ADE"/>
    <w:p w:rsidR="00E72ADE" w:rsidRDefault="00E72ADE" w:rsidP="00E72ADE">
      <w:pPr>
        <w:spacing w:before="0"/>
        <w:jc w:val="left"/>
        <w:rPr>
          <w:i/>
          <w:szCs w:val="22"/>
        </w:rPr>
      </w:pPr>
      <w:bookmarkStart w:id="26" w:name="_Toc245800055"/>
      <w:r>
        <w:rPr>
          <w:i/>
          <w:szCs w:val="22"/>
        </w:rPr>
        <w:br w:type="page"/>
      </w:r>
    </w:p>
    <w:p w:rsidR="00E72ADE" w:rsidRPr="00EE33EB" w:rsidRDefault="00374D54" w:rsidP="00E72ADE">
      <w:pPr>
        <w:rPr>
          <w:i/>
        </w:rPr>
      </w:pPr>
      <w:bookmarkStart w:id="27" w:name="_Toc257360007"/>
      <w:r w:rsidRPr="00D02806">
        <w:rPr>
          <w:i/>
          <w:szCs w:val="22"/>
        </w:rPr>
        <w:t xml:space="preserve">Table </w:t>
      </w:r>
      <w:r w:rsidR="00B41499" w:rsidRPr="00D02806">
        <w:rPr>
          <w:i/>
          <w:szCs w:val="22"/>
        </w:rPr>
        <w:fldChar w:fldCharType="begin"/>
      </w:r>
      <w:r w:rsidRPr="00D02806">
        <w:rPr>
          <w:i/>
          <w:szCs w:val="22"/>
        </w:rPr>
        <w:instrText xml:space="preserve"> SEQ Table \* ARABIC </w:instrText>
      </w:r>
      <w:r w:rsidR="00B41499" w:rsidRPr="00D02806">
        <w:rPr>
          <w:i/>
          <w:szCs w:val="22"/>
        </w:rPr>
        <w:fldChar w:fldCharType="separate"/>
      </w:r>
      <w:r w:rsidR="008E0DB9">
        <w:rPr>
          <w:i/>
          <w:noProof/>
          <w:szCs w:val="22"/>
        </w:rPr>
        <w:t>3</w:t>
      </w:r>
      <w:r w:rsidR="00B41499" w:rsidRPr="00D02806">
        <w:rPr>
          <w:i/>
          <w:szCs w:val="22"/>
        </w:rPr>
        <w:fldChar w:fldCharType="end"/>
      </w:r>
      <w:r w:rsidRPr="00D02806">
        <w:rPr>
          <w:i/>
          <w:szCs w:val="22"/>
        </w:rPr>
        <w:t>:</w:t>
      </w:r>
      <w:r w:rsidR="00E72ADE" w:rsidRPr="00EE33EB">
        <w:rPr>
          <w:i/>
        </w:rPr>
        <w:t xml:space="preserve"> </w:t>
      </w:r>
      <w:bookmarkEnd w:id="26"/>
      <w:r w:rsidR="00867F60">
        <w:rPr>
          <w:i/>
        </w:rPr>
        <w:t xml:space="preserve">Refrigerants </w:t>
      </w:r>
      <w:r w:rsidR="00E72ADE" w:rsidRPr="009F21F6">
        <w:rPr>
          <w:i/>
        </w:rPr>
        <w:t xml:space="preserve">under </w:t>
      </w:r>
      <w:r w:rsidR="00E72ADE">
        <w:rPr>
          <w:i/>
        </w:rPr>
        <w:t>examination</w:t>
      </w:r>
      <w:r w:rsidR="00867F60">
        <w:rPr>
          <w:i/>
        </w:rPr>
        <w:t xml:space="preserve"> by </w:t>
      </w:r>
      <w:r w:rsidR="00867F60" w:rsidRPr="00867F60">
        <w:rPr>
          <w:i/>
        </w:rPr>
        <w:t>AHRI Low</w:t>
      </w:r>
      <w:r>
        <w:rPr>
          <w:i/>
        </w:rPr>
        <w:t xml:space="preserve"> </w:t>
      </w:r>
      <w:r w:rsidR="00867F60" w:rsidRPr="00867F60">
        <w:rPr>
          <w:i/>
        </w:rPr>
        <w:t xml:space="preserve">GWP </w:t>
      </w:r>
      <w:r w:rsidR="00867F60">
        <w:rPr>
          <w:i/>
        </w:rPr>
        <w:t>Al</w:t>
      </w:r>
      <w:r w:rsidR="00867F60" w:rsidRPr="00867F60">
        <w:rPr>
          <w:i/>
        </w:rPr>
        <w:t>ternative Refrigerants Evaluation Program</w:t>
      </w:r>
      <w:r>
        <w:rPr>
          <w:i/>
        </w:rPr>
        <w:t>.</w:t>
      </w:r>
      <w:bookmarkEnd w:id="27"/>
    </w:p>
    <w:tbl>
      <w:tblPr>
        <w:tblStyle w:val="TableGrid"/>
        <w:tblW w:w="0" w:type="auto"/>
        <w:tblInd w:w="108" w:type="dxa"/>
        <w:tblLook w:val="04A0"/>
      </w:tblPr>
      <w:tblGrid>
        <w:gridCol w:w="1418"/>
        <w:gridCol w:w="1843"/>
        <w:gridCol w:w="2409"/>
        <w:gridCol w:w="2172"/>
        <w:gridCol w:w="1898"/>
      </w:tblGrid>
      <w:tr w:rsidR="00E72ADE" w:rsidRPr="00C75DAA" w:rsidTr="00FB3EBA">
        <w:tc>
          <w:tcPr>
            <w:tcW w:w="1418" w:type="dxa"/>
            <w:vMerge w:val="restart"/>
            <w:tcBorders>
              <w:right w:val="single" w:sz="4" w:space="0" w:color="FFFFFF" w:themeColor="background1"/>
            </w:tcBorders>
            <w:shd w:val="clear" w:color="auto" w:fill="0C0C0C"/>
          </w:tcPr>
          <w:p w:rsidR="00E72ADE" w:rsidRPr="00C75DAA" w:rsidRDefault="00E72ADE" w:rsidP="00FB3EBA">
            <w:pPr>
              <w:spacing w:after="120"/>
              <w:jc w:val="left"/>
              <w:rPr>
                <w:color w:val="FFFFFF" w:themeColor="background1"/>
              </w:rPr>
            </w:pPr>
            <w:r w:rsidRPr="00C278C0">
              <w:t>Temporary designation</w:t>
            </w:r>
          </w:p>
        </w:tc>
        <w:tc>
          <w:tcPr>
            <w:tcW w:w="1843" w:type="dxa"/>
            <w:vMerge w:val="restart"/>
            <w:tcBorders>
              <w:left w:val="single" w:sz="4" w:space="0" w:color="FFFFFF" w:themeColor="background1"/>
              <w:right w:val="single" w:sz="4" w:space="0" w:color="FFFFFF" w:themeColor="background1"/>
            </w:tcBorders>
            <w:shd w:val="clear" w:color="auto" w:fill="0C0C0C"/>
          </w:tcPr>
          <w:p w:rsidR="00E72ADE" w:rsidRPr="00C75DAA" w:rsidRDefault="00E72ADE" w:rsidP="00FB3EBA">
            <w:pPr>
              <w:spacing w:after="120"/>
              <w:jc w:val="left"/>
              <w:rPr>
                <w:color w:val="FFFFFF" w:themeColor="background1"/>
              </w:rPr>
            </w:pPr>
            <w:r w:rsidRPr="00C278C0">
              <w:t>Supplier</w:t>
            </w:r>
          </w:p>
        </w:tc>
        <w:tc>
          <w:tcPr>
            <w:tcW w:w="4581"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C0C0C"/>
          </w:tcPr>
          <w:p w:rsidR="00E72ADE" w:rsidRPr="00C75DAA" w:rsidRDefault="00E72ADE" w:rsidP="00FB3EBA">
            <w:pPr>
              <w:spacing w:after="120"/>
              <w:jc w:val="center"/>
              <w:rPr>
                <w:color w:val="FFFFFF" w:themeColor="background1"/>
              </w:rPr>
            </w:pPr>
            <w:r w:rsidRPr="00C278C0">
              <w:t>Mass composition</w:t>
            </w:r>
          </w:p>
        </w:tc>
        <w:tc>
          <w:tcPr>
            <w:tcW w:w="1898" w:type="dxa"/>
            <w:vMerge w:val="restart"/>
            <w:tcBorders>
              <w:left w:val="single" w:sz="4" w:space="0" w:color="FFFFFF" w:themeColor="background1"/>
            </w:tcBorders>
            <w:shd w:val="clear" w:color="auto" w:fill="0C0C0C"/>
          </w:tcPr>
          <w:p w:rsidR="00E72ADE" w:rsidRPr="00C75DAA" w:rsidRDefault="00E72ADE" w:rsidP="00FB3EBA">
            <w:pPr>
              <w:spacing w:after="120"/>
              <w:jc w:val="center"/>
              <w:rPr>
                <w:color w:val="FFFFFF" w:themeColor="background1"/>
              </w:rPr>
            </w:pPr>
            <w:r w:rsidRPr="00C278C0">
              <w:t>AR4 GWP-100</w:t>
            </w:r>
          </w:p>
        </w:tc>
      </w:tr>
      <w:tr w:rsidR="00E72ADE" w:rsidRPr="00C75DAA" w:rsidTr="00FB3EBA">
        <w:tc>
          <w:tcPr>
            <w:tcW w:w="1418" w:type="dxa"/>
            <w:vMerge/>
            <w:tcBorders>
              <w:bottom w:val="single" w:sz="4" w:space="0" w:color="000000"/>
              <w:right w:val="single" w:sz="4" w:space="0" w:color="FFFFFF" w:themeColor="background1"/>
            </w:tcBorders>
            <w:shd w:val="clear" w:color="auto" w:fill="0C0C0C"/>
          </w:tcPr>
          <w:p w:rsidR="00E72ADE" w:rsidRPr="00C278C0" w:rsidRDefault="00E72ADE" w:rsidP="00FB3EBA">
            <w:pPr>
              <w:spacing w:after="120"/>
              <w:jc w:val="left"/>
            </w:pPr>
          </w:p>
        </w:tc>
        <w:tc>
          <w:tcPr>
            <w:tcW w:w="1843" w:type="dxa"/>
            <w:vMerge/>
            <w:tcBorders>
              <w:left w:val="single" w:sz="4" w:space="0" w:color="FFFFFF" w:themeColor="background1"/>
              <w:bottom w:val="single" w:sz="4" w:space="0" w:color="000000"/>
              <w:right w:val="single" w:sz="4" w:space="0" w:color="FFFFFF" w:themeColor="background1"/>
            </w:tcBorders>
            <w:shd w:val="clear" w:color="auto" w:fill="0C0C0C"/>
          </w:tcPr>
          <w:p w:rsidR="00E72ADE" w:rsidRPr="00C278C0" w:rsidRDefault="00E72ADE" w:rsidP="00FB3EBA">
            <w:pPr>
              <w:spacing w:after="120"/>
              <w:jc w:val="left"/>
            </w:pPr>
          </w:p>
        </w:tc>
        <w:tc>
          <w:tcPr>
            <w:tcW w:w="240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0C0C0C"/>
          </w:tcPr>
          <w:p w:rsidR="00E72ADE" w:rsidRPr="00C278C0" w:rsidRDefault="00E72ADE" w:rsidP="00FB3EBA">
            <w:pPr>
              <w:spacing w:after="120"/>
              <w:jc w:val="center"/>
            </w:pPr>
            <w:r>
              <w:t>Substances</w:t>
            </w:r>
          </w:p>
        </w:tc>
        <w:tc>
          <w:tcPr>
            <w:tcW w:w="2172"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0C0C0C"/>
          </w:tcPr>
          <w:p w:rsidR="00E72ADE" w:rsidRPr="00C278C0" w:rsidRDefault="00E72ADE" w:rsidP="00FB3EBA">
            <w:pPr>
              <w:spacing w:after="120"/>
              <w:jc w:val="center"/>
            </w:pPr>
            <w:r w:rsidRPr="00C278C0">
              <w:t>Mass (%)</w:t>
            </w:r>
          </w:p>
        </w:tc>
        <w:tc>
          <w:tcPr>
            <w:tcW w:w="1898" w:type="dxa"/>
            <w:vMerge/>
            <w:tcBorders>
              <w:left w:val="single" w:sz="4" w:space="0" w:color="FFFFFF" w:themeColor="background1"/>
              <w:bottom w:val="single" w:sz="4" w:space="0" w:color="000000"/>
            </w:tcBorders>
            <w:shd w:val="clear" w:color="auto" w:fill="0C0C0C"/>
          </w:tcPr>
          <w:p w:rsidR="00E72ADE" w:rsidRPr="00C278C0" w:rsidRDefault="00E72ADE" w:rsidP="00FB3EBA">
            <w:pPr>
              <w:spacing w:after="120"/>
              <w:jc w:val="center"/>
            </w:pPr>
          </w:p>
        </w:tc>
      </w:tr>
      <w:tr w:rsidR="00E72ADE" w:rsidRPr="008E5288" w:rsidTr="00FB3EBA">
        <w:tc>
          <w:tcPr>
            <w:tcW w:w="1418" w:type="dxa"/>
            <w:tcBorders>
              <w:bottom w:val="dotted" w:sz="4" w:space="0" w:color="auto"/>
            </w:tcBorders>
            <w:shd w:val="clear" w:color="auto" w:fill="auto"/>
          </w:tcPr>
          <w:p w:rsidR="00E72ADE" w:rsidRPr="00172FD1" w:rsidRDefault="00E72ADE" w:rsidP="00FB3EBA">
            <w:pPr>
              <w:spacing w:before="60" w:after="60"/>
              <w:jc w:val="left"/>
              <w:rPr>
                <w:sz w:val="20"/>
              </w:rPr>
            </w:pPr>
            <w:r w:rsidRPr="00172FD1">
              <w:rPr>
                <w:color w:val="000000"/>
                <w:sz w:val="20"/>
              </w:rPr>
              <w:t>R-1234yf</w:t>
            </w:r>
          </w:p>
        </w:tc>
        <w:tc>
          <w:tcPr>
            <w:tcW w:w="1843" w:type="dxa"/>
            <w:tcBorders>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Honeywell, Arkema, Daikin</w:t>
            </w:r>
          </w:p>
        </w:tc>
        <w:tc>
          <w:tcPr>
            <w:tcW w:w="2409" w:type="dxa"/>
            <w:tcBorders>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R-1234yf</w:t>
            </w:r>
          </w:p>
        </w:tc>
        <w:tc>
          <w:tcPr>
            <w:tcW w:w="2172" w:type="dxa"/>
            <w:tcBorders>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(100)</w:t>
            </w:r>
          </w:p>
        </w:tc>
        <w:tc>
          <w:tcPr>
            <w:tcW w:w="1898" w:type="dxa"/>
            <w:tcBorders>
              <w:bottom w:val="dotted" w:sz="4" w:space="0" w:color="auto"/>
            </w:tcBorders>
            <w:shd w:val="clear" w:color="auto" w:fill="CCFFCC"/>
          </w:tcPr>
          <w:p w:rsidR="00E72ADE" w:rsidRPr="009F21F6" w:rsidRDefault="00E72ADE" w:rsidP="00FB3EBA">
            <w:pPr>
              <w:spacing w:before="60" w:after="60"/>
              <w:jc w:val="center"/>
              <w:rPr>
                <w:sz w:val="20"/>
              </w:rPr>
            </w:pPr>
            <w:r w:rsidRPr="009F21F6">
              <w:rPr>
                <w:color w:val="000000"/>
                <w:sz w:val="20"/>
              </w:rPr>
              <w:t>4</w:t>
            </w:r>
          </w:p>
        </w:tc>
      </w:tr>
      <w:tr w:rsidR="00E72ADE" w:rsidRPr="008E5288" w:rsidTr="00FB3EBA">
        <w:tc>
          <w:tcPr>
            <w:tcW w:w="1418" w:type="dxa"/>
            <w:tcBorders>
              <w:top w:val="dotted" w:sz="4" w:space="0" w:color="auto"/>
              <w:bottom w:val="dotted" w:sz="4" w:space="0" w:color="auto"/>
            </w:tcBorders>
            <w:shd w:val="clear" w:color="auto" w:fill="auto"/>
          </w:tcPr>
          <w:p w:rsidR="00E72ADE" w:rsidRPr="00172FD1" w:rsidRDefault="00E72ADE" w:rsidP="00FB3EBA">
            <w:pPr>
              <w:spacing w:before="60" w:after="60"/>
              <w:jc w:val="left"/>
              <w:rPr>
                <w:sz w:val="20"/>
              </w:rPr>
            </w:pPr>
            <w:r w:rsidRPr="00172FD1">
              <w:rPr>
                <w:color w:val="000000"/>
                <w:sz w:val="20"/>
              </w:rPr>
              <w:t>R-1234ze</w:t>
            </w:r>
          </w:p>
        </w:tc>
        <w:tc>
          <w:tcPr>
            <w:tcW w:w="1843"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Honeywell</w:t>
            </w:r>
          </w:p>
        </w:tc>
        <w:tc>
          <w:tcPr>
            <w:tcW w:w="2409"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Pr>
                <w:color w:val="000000"/>
                <w:sz w:val="20"/>
              </w:rPr>
              <w:t>R-1234ze</w:t>
            </w:r>
          </w:p>
        </w:tc>
        <w:tc>
          <w:tcPr>
            <w:tcW w:w="2172"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(100)</w:t>
            </w:r>
          </w:p>
        </w:tc>
        <w:tc>
          <w:tcPr>
            <w:tcW w:w="1898" w:type="dxa"/>
            <w:tcBorders>
              <w:top w:val="dotted" w:sz="4" w:space="0" w:color="auto"/>
              <w:bottom w:val="dotted" w:sz="4" w:space="0" w:color="auto"/>
            </w:tcBorders>
            <w:shd w:val="clear" w:color="auto" w:fill="CCFFCC"/>
          </w:tcPr>
          <w:p w:rsidR="00E72ADE" w:rsidRPr="009F21F6" w:rsidRDefault="00E72ADE" w:rsidP="00FB3EBA">
            <w:pPr>
              <w:spacing w:before="60" w:after="60"/>
              <w:jc w:val="center"/>
              <w:rPr>
                <w:sz w:val="20"/>
              </w:rPr>
            </w:pPr>
            <w:r w:rsidRPr="009F21F6">
              <w:rPr>
                <w:color w:val="000000"/>
                <w:sz w:val="20"/>
              </w:rPr>
              <w:t>6</w:t>
            </w:r>
          </w:p>
        </w:tc>
      </w:tr>
      <w:tr w:rsidR="00E72ADE" w:rsidRPr="008E5288" w:rsidTr="00FB3EBA">
        <w:tc>
          <w:tcPr>
            <w:tcW w:w="1418"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AC5</w:t>
            </w:r>
          </w:p>
        </w:tc>
        <w:tc>
          <w:tcPr>
            <w:tcW w:w="1843"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Mexichem</w:t>
            </w:r>
          </w:p>
        </w:tc>
        <w:tc>
          <w:tcPr>
            <w:tcW w:w="2409"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R-32/R-152a/R-1234ze</w:t>
            </w:r>
          </w:p>
        </w:tc>
        <w:tc>
          <w:tcPr>
            <w:tcW w:w="2172"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(12/5/83)</w:t>
            </w:r>
          </w:p>
        </w:tc>
        <w:tc>
          <w:tcPr>
            <w:tcW w:w="1898" w:type="dxa"/>
            <w:tcBorders>
              <w:top w:val="dotted" w:sz="4" w:space="0" w:color="auto"/>
              <w:bottom w:val="dotted" w:sz="4" w:space="0" w:color="auto"/>
            </w:tcBorders>
            <w:shd w:val="clear" w:color="auto" w:fill="CCFFCC"/>
          </w:tcPr>
          <w:p w:rsidR="00E72ADE" w:rsidRPr="009F21F6" w:rsidRDefault="00E72ADE" w:rsidP="00FB3EBA">
            <w:pPr>
              <w:spacing w:before="60" w:after="60"/>
              <w:jc w:val="center"/>
              <w:rPr>
                <w:sz w:val="20"/>
              </w:rPr>
            </w:pPr>
            <w:r w:rsidRPr="009F21F6">
              <w:rPr>
                <w:color w:val="000000"/>
                <w:sz w:val="20"/>
              </w:rPr>
              <w:t>92</w:t>
            </w:r>
          </w:p>
        </w:tc>
      </w:tr>
      <w:tr w:rsidR="00E72ADE" w:rsidRPr="008E5288" w:rsidTr="00FB3EBA">
        <w:tc>
          <w:tcPr>
            <w:tcW w:w="1418" w:type="dxa"/>
            <w:tcBorders>
              <w:top w:val="dotted" w:sz="4" w:space="0" w:color="auto"/>
              <w:bottom w:val="single" w:sz="4" w:space="0" w:color="000000"/>
            </w:tcBorders>
            <w:shd w:val="clear" w:color="auto" w:fill="auto"/>
          </w:tcPr>
          <w:p w:rsidR="00E72ADE" w:rsidRPr="009F21F6" w:rsidRDefault="00E72ADE" w:rsidP="00FB3EBA">
            <w:pPr>
              <w:spacing w:before="60" w:after="60"/>
              <w:jc w:val="left"/>
              <w:rPr>
                <w:sz w:val="20"/>
              </w:rPr>
            </w:pPr>
            <w:r w:rsidRPr="009F21F6">
              <w:rPr>
                <w:color w:val="000000"/>
                <w:sz w:val="20"/>
              </w:rPr>
              <w:t>ARM-42a</w:t>
            </w:r>
          </w:p>
        </w:tc>
        <w:tc>
          <w:tcPr>
            <w:tcW w:w="1843" w:type="dxa"/>
            <w:tcBorders>
              <w:top w:val="dotted" w:sz="4" w:space="0" w:color="auto"/>
              <w:bottom w:val="single" w:sz="4" w:space="0" w:color="000000"/>
            </w:tcBorders>
            <w:shd w:val="clear" w:color="auto" w:fill="auto"/>
          </w:tcPr>
          <w:p w:rsidR="00E72ADE" w:rsidRPr="009F21F6" w:rsidRDefault="00E72ADE" w:rsidP="00FB3EBA">
            <w:pPr>
              <w:spacing w:before="60" w:after="60"/>
              <w:jc w:val="left"/>
              <w:rPr>
                <w:sz w:val="20"/>
              </w:rPr>
            </w:pPr>
            <w:r w:rsidRPr="009F21F6">
              <w:rPr>
                <w:color w:val="000000"/>
                <w:sz w:val="20"/>
              </w:rPr>
              <w:t>Arkema</w:t>
            </w:r>
          </w:p>
        </w:tc>
        <w:tc>
          <w:tcPr>
            <w:tcW w:w="2409" w:type="dxa"/>
            <w:tcBorders>
              <w:top w:val="dotted" w:sz="4" w:space="0" w:color="auto"/>
              <w:bottom w:val="single" w:sz="4" w:space="0" w:color="000000"/>
            </w:tcBorders>
            <w:shd w:val="clear" w:color="auto" w:fill="auto"/>
          </w:tcPr>
          <w:p w:rsidR="00E72ADE" w:rsidRPr="009F21F6" w:rsidRDefault="00E72ADE" w:rsidP="00FB3EBA">
            <w:pPr>
              <w:spacing w:before="60" w:after="60"/>
              <w:jc w:val="left"/>
              <w:rPr>
                <w:sz w:val="20"/>
              </w:rPr>
            </w:pPr>
            <w:r w:rsidRPr="009F21F6">
              <w:rPr>
                <w:color w:val="000000"/>
                <w:sz w:val="20"/>
              </w:rPr>
              <w:t>R-134a/R-152a/R-1234yf</w:t>
            </w:r>
          </w:p>
        </w:tc>
        <w:tc>
          <w:tcPr>
            <w:tcW w:w="2172" w:type="dxa"/>
            <w:tcBorders>
              <w:top w:val="dotted" w:sz="4" w:space="0" w:color="auto"/>
              <w:bottom w:val="single" w:sz="4" w:space="0" w:color="000000"/>
            </w:tcBorders>
            <w:shd w:val="clear" w:color="auto" w:fill="auto"/>
          </w:tcPr>
          <w:p w:rsidR="00E72ADE" w:rsidRPr="009F21F6" w:rsidRDefault="00E72ADE" w:rsidP="00FB3EBA">
            <w:pPr>
              <w:spacing w:before="60" w:after="60"/>
              <w:jc w:val="left"/>
              <w:rPr>
                <w:sz w:val="20"/>
              </w:rPr>
            </w:pPr>
            <w:r w:rsidRPr="009F21F6">
              <w:rPr>
                <w:color w:val="000000"/>
                <w:sz w:val="20"/>
              </w:rPr>
              <w:t>(7/11/82)</w:t>
            </w:r>
          </w:p>
        </w:tc>
        <w:tc>
          <w:tcPr>
            <w:tcW w:w="1898" w:type="dxa"/>
            <w:tcBorders>
              <w:top w:val="dotted" w:sz="4" w:space="0" w:color="auto"/>
              <w:bottom w:val="single" w:sz="4" w:space="0" w:color="000000"/>
            </w:tcBorders>
            <w:shd w:val="clear" w:color="auto" w:fill="CCFFCC"/>
          </w:tcPr>
          <w:p w:rsidR="00E72ADE" w:rsidRPr="009F21F6" w:rsidRDefault="00E72ADE" w:rsidP="00FB3EBA">
            <w:pPr>
              <w:spacing w:before="60" w:after="60"/>
              <w:jc w:val="center"/>
              <w:rPr>
                <w:sz w:val="20"/>
              </w:rPr>
            </w:pPr>
            <w:r w:rsidRPr="009F21F6">
              <w:rPr>
                <w:color w:val="000000"/>
                <w:sz w:val="20"/>
              </w:rPr>
              <w:t>117</w:t>
            </w:r>
          </w:p>
        </w:tc>
      </w:tr>
      <w:tr w:rsidR="00E72ADE" w:rsidRPr="008E5288" w:rsidTr="00FB3EBA">
        <w:tc>
          <w:tcPr>
            <w:tcW w:w="1418" w:type="dxa"/>
            <w:tcBorders>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ARM-30a</w:t>
            </w:r>
          </w:p>
        </w:tc>
        <w:tc>
          <w:tcPr>
            <w:tcW w:w="1843" w:type="dxa"/>
            <w:tcBorders>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Arkema</w:t>
            </w:r>
          </w:p>
        </w:tc>
        <w:tc>
          <w:tcPr>
            <w:tcW w:w="2409" w:type="dxa"/>
            <w:tcBorders>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R-32/R-1234yf</w:t>
            </w:r>
          </w:p>
        </w:tc>
        <w:tc>
          <w:tcPr>
            <w:tcW w:w="2172" w:type="dxa"/>
            <w:tcBorders>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(29/71)</w:t>
            </w:r>
          </w:p>
        </w:tc>
        <w:tc>
          <w:tcPr>
            <w:tcW w:w="1898" w:type="dxa"/>
            <w:tcBorders>
              <w:bottom w:val="dotted" w:sz="4" w:space="0" w:color="auto"/>
            </w:tcBorders>
            <w:shd w:val="clear" w:color="auto" w:fill="CCFFFF"/>
          </w:tcPr>
          <w:p w:rsidR="00E72ADE" w:rsidRPr="009F21F6" w:rsidRDefault="00E72ADE" w:rsidP="00FB3EBA">
            <w:pPr>
              <w:spacing w:before="60" w:after="60"/>
              <w:jc w:val="center"/>
              <w:rPr>
                <w:sz w:val="20"/>
              </w:rPr>
            </w:pPr>
            <w:r w:rsidRPr="009F21F6">
              <w:rPr>
                <w:color w:val="000000"/>
                <w:sz w:val="20"/>
              </w:rPr>
              <w:t>199</w:t>
            </w:r>
          </w:p>
        </w:tc>
      </w:tr>
      <w:tr w:rsidR="00E72ADE" w:rsidRPr="008E5288" w:rsidTr="00FB3EBA">
        <w:tc>
          <w:tcPr>
            <w:tcW w:w="1418"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LTR6A</w:t>
            </w:r>
          </w:p>
        </w:tc>
        <w:tc>
          <w:tcPr>
            <w:tcW w:w="1843"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Mexichem</w:t>
            </w:r>
          </w:p>
        </w:tc>
        <w:tc>
          <w:tcPr>
            <w:tcW w:w="2409"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R-32/R-744/R-1234ze</w:t>
            </w:r>
          </w:p>
        </w:tc>
        <w:tc>
          <w:tcPr>
            <w:tcW w:w="2172"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(30/7/63)</w:t>
            </w:r>
          </w:p>
        </w:tc>
        <w:tc>
          <w:tcPr>
            <w:tcW w:w="1898" w:type="dxa"/>
            <w:tcBorders>
              <w:top w:val="dotted" w:sz="4" w:space="0" w:color="auto"/>
              <w:bottom w:val="dotted" w:sz="4" w:space="0" w:color="auto"/>
            </w:tcBorders>
            <w:shd w:val="clear" w:color="auto" w:fill="CCFFFF"/>
          </w:tcPr>
          <w:p w:rsidR="00E72ADE" w:rsidRPr="009F21F6" w:rsidRDefault="00E72ADE" w:rsidP="00FB3EBA">
            <w:pPr>
              <w:spacing w:before="60" w:after="60"/>
              <w:jc w:val="center"/>
              <w:rPr>
                <w:sz w:val="20"/>
              </w:rPr>
            </w:pPr>
            <w:r w:rsidRPr="009F21F6">
              <w:rPr>
                <w:color w:val="000000"/>
                <w:sz w:val="20"/>
              </w:rPr>
              <w:t>206</w:t>
            </w:r>
          </w:p>
        </w:tc>
      </w:tr>
      <w:tr w:rsidR="00E72ADE" w:rsidRPr="008E5288" w:rsidTr="00FB3EBA">
        <w:tc>
          <w:tcPr>
            <w:tcW w:w="1418"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D2Y-65</w:t>
            </w:r>
          </w:p>
        </w:tc>
        <w:tc>
          <w:tcPr>
            <w:tcW w:w="1843"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Daikin</w:t>
            </w:r>
          </w:p>
        </w:tc>
        <w:tc>
          <w:tcPr>
            <w:tcW w:w="2409"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R-32/R-1234yf</w:t>
            </w:r>
          </w:p>
        </w:tc>
        <w:tc>
          <w:tcPr>
            <w:tcW w:w="2172"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(35/65)</w:t>
            </w:r>
          </w:p>
        </w:tc>
        <w:tc>
          <w:tcPr>
            <w:tcW w:w="1898" w:type="dxa"/>
            <w:tcBorders>
              <w:top w:val="dotted" w:sz="4" w:space="0" w:color="auto"/>
              <w:bottom w:val="dotted" w:sz="4" w:space="0" w:color="auto"/>
            </w:tcBorders>
            <w:shd w:val="clear" w:color="auto" w:fill="CCFFFF"/>
          </w:tcPr>
          <w:p w:rsidR="00E72ADE" w:rsidRPr="009F21F6" w:rsidRDefault="00E72ADE" w:rsidP="00FB3EBA">
            <w:pPr>
              <w:spacing w:before="60" w:after="60"/>
              <w:jc w:val="center"/>
              <w:rPr>
                <w:sz w:val="20"/>
              </w:rPr>
            </w:pPr>
            <w:r w:rsidRPr="009F21F6">
              <w:rPr>
                <w:color w:val="000000"/>
                <w:sz w:val="20"/>
              </w:rPr>
              <w:t>239</w:t>
            </w:r>
          </w:p>
        </w:tc>
      </w:tr>
      <w:tr w:rsidR="00E72ADE" w:rsidRPr="008E5288" w:rsidTr="00FB3EBA">
        <w:tc>
          <w:tcPr>
            <w:tcW w:w="1418"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DR-7</w:t>
            </w:r>
          </w:p>
        </w:tc>
        <w:tc>
          <w:tcPr>
            <w:tcW w:w="1843"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DuPont</w:t>
            </w:r>
          </w:p>
        </w:tc>
        <w:tc>
          <w:tcPr>
            <w:tcW w:w="2409"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R-32/R-1234yf</w:t>
            </w:r>
          </w:p>
        </w:tc>
        <w:tc>
          <w:tcPr>
            <w:tcW w:w="2172"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(36/64)</w:t>
            </w:r>
          </w:p>
        </w:tc>
        <w:tc>
          <w:tcPr>
            <w:tcW w:w="1898" w:type="dxa"/>
            <w:tcBorders>
              <w:top w:val="dotted" w:sz="4" w:space="0" w:color="auto"/>
              <w:bottom w:val="dotted" w:sz="4" w:space="0" w:color="auto"/>
            </w:tcBorders>
            <w:shd w:val="clear" w:color="auto" w:fill="CCFFFF"/>
          </w:tcPr>
          <w:p w:rsidR="00E72ADE" w:rsidRPr="009F21F6" w:rsidRDefault="00E72ADE" w:rsidP="00FB3EBA">
            <w:pPr>
              <w:spacing w:before="60" w:after="60"/>
              <w:jc w:val="center"/>
              <w:rPr>
                <w:sz w:val="20"/>
              </w:rPr>
            </w:pPr>
            <w:r w:rsidRPr="009F21F6">
              <w:rPr>
                <w:color w:val="000000"/>
                <w:sz w:val="20"/>
              </w:rPr>
              <w:t>246</w:t>
            </w:r>
          </w:p>
        </w:tc>
      </w:tr>
      <w:tr w:rsidR="00E72ADE" w:rsidRPr="008E5288" w:rsidTr="00FB3EBA">
        <w:tc>
          <w:tcPr>
            <w:tcW w:w="1418"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D2Y-60</w:t>
            </w:r>
          </w:p>
        </w:tc>
        <w:tc>
          <w:tcPr>
            <w:tcW w:w="1843"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Daikin</w:t>
            </w:r>
          </w:p>
        </w:tc>
        <w:tc>
          <w:tcPr>
            <w:tcW w:w="2409"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R-32/R-1234yf</w:t>
            </w:r>
          </w:p>
        </w:tc>
        <w:tc>
          <w:tcPr>
            <w:tcW w:w="2172"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(40/60)</w:t>
            </w:r>
          </w:p>
        </w:tc>
        <w:tc>
          <w:tcPr>
            <w:tcW w:w="1898" w:type="dxa"/>
            <w:tcBorders>
              <w:top w:val="dotted" w:sz="4" w:space="0" w:color="auto"/>
              <w:bottom w:val="dotted" w:sz="4" w:space="0" w:color="auto"/>
            </w:tcBorders>
            <w:shd w:val="clear" w:color="auto" w:fill="CCFFFF"/>
          </w:tcPr>
          <w:p w:rsidR="00E72ADE" w:rsidRPr="009F21F6" w:rsidRDefault="00E72ADE" w:rsidP="00FB3EBA">
            <w:pPr>
              <w:spacing w:before="60" w:after="60"/>
              <w:jc w:val="center"/>
              <w:rPr>
                <w:sz w:val="20"/>
              </w:rPr>
            </w:pPr>
            <w:r w:rsidRPr="009F21F6">
              <w:rPr>
                <w:color w:val="000000"/>
                <w:sz w:val="20"/>
              </w:rPr>
              <w:t>272</w:t>
            </w:r>
          </w:p>
        </w:tc>
      </w:tr>
      <w:tr w:rsidR="00E72ADE" w:rsidRPr="008E5288" w:rsidTr="00FB3EBA">
        <w:tc>
          <w:tcPr>
            <w:tcW w:w="1418"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L-40</w:t>
            </w:r>
          </w:p>
        </w:tc>
        <w:tc>
          <w:tcPr>
            <w:tcW w:w="1843"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Honeywell</w:t>
            </w:r>
          </w:p>
        </w:tc>
        <w:tc>
          <w:tcPr>
            <w:tcW w:w="2409"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Pr>
                <w:color w:val="000000"/>
                <w:sz w:val="20"/>
              </w:rPr>
              <w:t>R-32/R-152a/R-1234yf/R-1234ze</w:t>
            </w:r>
          </w:p>
        </w:tc>
        <w:tc>
          <w:tcPr>
            <w:tcW w:w="2172"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(40/10/20/30)</w:t>
            </w:r>
          </w:p>
        </w:tc>
        <w:tc>
          <w:tcPr>
            <w:tcW w:w="1898" w:type="dxa"/>
            <w:tcBorders>
              <w:top w:val="dotted" w:sz="4" w:space="0" w:color="auto"/>
              <w:bottom w:val="dotted" w:sz="4" w:space="0" w:color="auto"/>
            </w:tcBorders>
            <w:shd w:val="clear" w:color="auto" w:fill="CCFFFF"/>
          </w:tcPr>
          <w:p w:rsidR="00E72ADE" w:rsidRPr="009F21F6" w:rsidRDefault="00E72ADE" w:rsidP="00FB3EBA">
            <w:pPr>
              <w:spacing w:before="60" w:after="60"/>
              <w:jc w:val="center"/>
              <w:rPr>
                <w:sz w:val="20"/>
              </w:rPr>
            </w:pPr>
            <w:r w:rsidRPr="009F21F6">
              <w:rPr>
                <w:color w:val="000000"/>
                <w:sz w:val="20"/>
              </w:rPr>
              <w:t>285</w:t>
            </w:r>
          </w:p>
        </w:tc>
      </w:tr>
      <w:tr w:rsidR="00E72ADE" w:rsidRPr="008E5288" w:rsidTr="00FB3EBA">
        <w:tc>
          <w:tcPr>
            <w:tcW w:w="1418"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L-20</w:t>
            </w:r>
          </w:p>
        </w:tc>
        <w:tc>
          <w:tcPr>
            <w:tcW w:w="1843"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Honeywell</w:t>
            </w:r>
          </w:p>
        </w:tc>
        <w:tc>
          <w:tcPr>
            <w:tcW w:w="2409"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R-32/R-152a/R-1234ze</w:t>
            </w:r>
          </w:p>
        </w:tc>
        <w:tc>
          <w:tcPr>
            <w:tcW w:w="2172"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(45/20/35)</w:t>
            </w:r>
          </w:p>
        </w:tc>
        <w:tc>
          <w:tcPr>
            <w:tcW w:w="1898" w:type="dxa"/>
            <w:tcBorders>
              <w:top w:val="dotted" w:sz="4" w:space="0" w:color="auto"/>
              <w:bottom w:val="dotted" w:sz="4" w:space="0" w:color="auto"/>
            </w:tcBorders>
            <w:shd w:val="clear" w:color="auto" w:fill="CCFFFF"/>
          </w:tcPr>
          <w:p w:rsidR="00E72ADE" w:rsidRPr="009F21F6" w:rsidRDefault="00E72ADE" w:rsidP="00FB3EBA">
            <w:pPr>
              <w:spacing w:before="60" w:after="60"/>
              <w:jc w:val="center"/>
              <w:rPr>
                <w:sz w:val="20"/>
              </w:rPr>
            </w:pPr>
            <w:r w:rsidRPr="009F21F6">
              <w:rPr>
                <w:color w:val="000000"/>
                <w:sz w:val="20"/>
              </w:rPr>
              <w:t>331</w:t>
            </w:r>
          </w:p>
        </w:tc>
      </w:tr>
      <w:tr w:rsidR="00E72ADE" w:rsidRPr="008E5288" w:rsidTr="00FB3EBA">
        <w:tc>
          <w:tcPr>
            <w:tcW w:w="1418"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HPR1D</w:t>
            </w:r>
          </w:p>
        </w:tc>
        <w:tc>
          <w:tcPr>
            <w:tcW w:w="1843"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Mexichem</w:t>
            </w:r>
          </w:p>
        </w:tc>
        <w:tc>
          <w:tcPr>
            <w:tcW w:w="2409"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R-32/R-744/R-1234ze</w:t>
            </w:r>
          </w:p>
        </w:tc>
        <w:tc>
          <w:tcPr>
            <w:tcW w:w="2172"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(60/6/34)</w:t>
            </w:r>
          </w:p>
        </w:tc>
        <w:tc>
          <w:tcPr>
            <w:tcW w:w="1898" w:type="dxa"/>
            <w:tcBorders>
              <w:top w:val="dotted" w:sz="4" w:space="0" w:color="auto"/>
              <w:bottom w:val="dotted" w:sz="4" w:space="0" w:color="auto"/>
            </w:tcBorders>
            <w:shd w:val="clear" w:color="auto" w:fill="CCFFFF"/>
          </w:tcPr>
          <w:p w:rsidR="00E72ADE" w:rsidRPr="009F21F6" w:rsidRDefault="00E72ADE" w:rsidP="00FB3EBA">
            <w:pPr>
              <w:spacing w:before="60" w:after="60"/>
              <w:jc w:val="center"/>
              <w:rPr>
                <w:sz w:val="20"/>
              </w:rPr>
            </w:pPr>
            <w:r w:rsidRPr="009F21F6">
              <w:rPr>
                <w:color w:val="000000"/>
                <w:sz w:val="20"/>
              </w:rPr>
              <w:t>414</w:t>
            </w:r>
          </w:p>
        </w:tc>
      </w:tr>
      <w:tr w:rsidR="00E72ADE" w:rsidRPr="008E5288" w:rsidTr="00FB3EBA">
        <w:tc>
          <w:tcPr>
            <w:tcW w:w="1418"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ARM-70a</w:t>
            </w:r>
          </w:p>
        </w:tc>
        <w:tc>
          <w:tcPr>
            <w:tcW w:w="1843"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Arkema</w:t>
            </w:r>
          </w:p>
        </w:tc>
        <w:tc>
          <w:tcPr>
            <w:tcW w:w="2409"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R-32/R-134a/R-1234yf</w:t>
            </w:r>
          </w:p>
        </w:tc>
        <w:tc>
          <w:tcPr>
            <w:tcW w:w="2172"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(50/10/40)</w:t>
            </w:r>
          </w:p>
        </w:tc>
        <w:tc>
          <w:tcPr>
            <w:tcW w:w="1898" w:type="dxa"/>
            <w:tcBorders>
              <w:top w:val="dotted" w:sz="4" w:space="0" w:color="auto"/>
              <w:bottom w:val="dotted" w:sz="4" w:space="0" w:color="auto"/>
            </w:tcBorders>
            <w:shd w:val="clear" w:color="auto" w:fill="CCFFFF"/>
          </w:tcPr>
          <w:p w:rsidR="00E72ADE" w:rsidRPr="009F21F6" w:rsidRDefault="00E72ADE" w:rsidP="00FB3EBA">
            <w:pPr>
              <w:spacing w:before="60" w:after="60"/>
              <w:jc w:val="center"/>
              <w:rPr>
                <w:sz w:val="20"/>
              </w:rPr>
            </w:pPr>
            <w:r w:rsidRPr="009F21F6">
              <w:rPr>
                <w:color w:val="000000"/>
                <w:sz w:val="20"/>
              </w:rPr>
              <w:t>482</w:t>
            </w:r>
          </w:p>
        </w:tc>
      </w:tr>
      <w:tr w:rsidR="00E72ADE" w:rsidRPr="008E5288" w:rsidTr="00FB3EBA">
        <w:tc>
          <w:tcPr>
            <w:tcW w:w="1418"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DR-5</w:t>
            </w:r>
          </w:p>
        </w:tc>
        <w:tc>
          <w:tcPr>
            <w:tcW w:w="1843"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DuPont</w:t>
            </w:r>
          </w:p>
        </w:tc>
        <w:tc>
          <w:tcPr>
            <w:tcW w:w="2409"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R-32/R-1234yf</w:t>
            </w:r>
          </w:p>
        </w:tc>
        <w:tc>
          <w:tcPr>
            <w:tcW w:w="2172"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(72.5/27.5)</w:t>
            </w:r>
          </w:p>
        </w:tc>
        <w:tc>
          <w:tcPr>
            <w:tcW w:w="1898" w:type="dxa"/>
            <w:tcBorders>
              <w:top w:val="dotted" w:sz="4" w:space="0" w:color="auto"/>
              <w:bottom w:val="dotted" w:sz="4" w:space="0" w:color="auto"/>
            </w:tcBorders>
            <w:shd w:val="clear" w:color="auto" w:fill="CCFFFF"/>
          </w:tcPr>
          <w:p w:rsidR="00E72ADE" w:rsidRPr="009F21F6" w:rsidRDefault="00E72ADE" w:rsidP="00FB3EBA">
            <w:pPr>
              <w:spacing w:before="60" w:after="60"/>
              <w:jc w:val="center"/>
              <w:rPr>
                <w:sz w:val="20"/>
              </w:rPr>
            </w:pPr>
            <w:r w:rsidRPr="009F21F6">
              <w:rPr>
                <w:color w:val="000000"/>
                <w:sz w:val="20"/>
              </w:rPr>
              <w:t>490</w:t>
            </w:r>
          </w:p>
        </w:tc>
      </w:tr>
      <w:tr w:rsidR="00E72ADE" w:rsidRPr="008E5288" w:rsidTr="00FB3EBA">
        <w:tc>
          <w:tcPr>
            <w:tcW w:w="1418"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ARM-31a</w:t>
            </w:r>
          </w:p>
        </w:tc>
        <w:tc>
          <w:tcPr>
            <w:tcW w:w="1843"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Arkema</w:t>
            </w:r>
          </w:p>
        </w:tc>
        <w:tc>
          <w:tcPr>
            <w:tcW w:w="2409"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R-32/R-134a/R-1234yf</w:t>
            </w:r>
          </w:p>
        </w:tc>
        <w:tc>
          <w:tcPr>
            <w:tcW w:w="2172"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(28/21/51)</w:t>
            </w:r>
          </w:p>
        </w:tc>
        <w:tc>
          <w:tcPr>
            <w:tcW w:w="1898" w:type="dxa"/>
            <w:tcBorders>
              <w:top w:val="dotted" w:sz="4" w:space="0" w:color="auto"/>
              <w:bottom w:val="dotted" w:sz="4" w:space="0" w:color="auto"/>
            </w:tcBorders>
            <w:shd w:val="clear" w:color="auto" w:fill="CCFFFF"/>
          </w:tcPr>
          <w:p w:rsidR="00E72ADE" w:rsidRPr="009F21F6" w:rsidRDefault="00E72ADE" w:rsidP="00FB3EBA">
            <w:pPr>
              <w:spacing w:before="60" w:after="60"/>
              <w:jc w:val="center"/>
              <w:rPr>
                <w:sz w:val="20"/>
              </w:rPr>
            </w:pPr>
            <w:r w:rsidRPr="009F21F6">
              <w:rPr>
                <w:color w:val="000000"/>
                <w:sz w:val="20"/>
              </w:rPr>
              <w:t>491</w:t>
            </w:r>
          </w:p>
        </w:tc>
      </w:tr>
      <w:tr w:rsidR="00E72ADE" w:rsidRPr="008E5288" w:rsidTr="00FB3EBA">
        <w:tc>
          <w:tcPr>
            <w:tcW w:w="1418"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L-41a</w:t>
            </w:r>
          </w:p>
        </w:tc>
        <w:tc>
          <w:tcPr>
            <w:tcW w:w="1843"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Honeywell</w:t>
            </w:r>
          </w:p>
        </w:tc>
        <w:tc>
          <w:tcPr>
            <w:tcW w:w="2409"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Pr>
                <w:color w:val="000000"/>
                <w:sz w:val="20"/>
              </w:rPr>
              <w:t>R-32/R-1234yf/R-1234ze</w:t>
            </w:r>
          </w:p>
        </w:tc>
        <w:tc>
          <w:tcPr>
            <w:tcW w:w="2172"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(73/15/12)</w:t>
            </w:r>
          </w:p>
        </w:tc>
        <w:tc>
          <w:tcPr>
            <w:tcW w:w="1898" w:type="dxa"/>
            <w:tcBorders>
              <w:top w:val="dotted" w:sz="4" w:space="0" w:color="auto"/>
              <w:bottom w:val="dotted" w:sz="4" w:space="0" w:color="auto"/>
            </w:tcBorders>
            <w:shd w:val="clear" w:color="auto" w:fill="CCFFFF"/>
          </w:tcPr>
          <w:p w:rsidR="00E72ADE" w:rsidRPr="009F21F6" w:rsidRDefault="00E72ADE" w:rsidP="00FB3EBA">
            <w:pPr>
              <w:spacing w:before="60" w:after="60"/>
              <w:jc w:val="center"/>
              <w:rPr>
                <w:sz w:val="20"/>
              </w:rPr>
            </w:pPr>
            <w:r w:rsidRPr="009F21F6">
              <w:rPr>
                <w:color w:val="000000"/>
                <w:sz w:val="20"/>
              </w:rPr>
              <w:t>494</w:t>
            </w:r>
          </w:p>
        </w:tc>
      </w:tr>
      <w:tr w:rsidR="00E72ADE" w:rsidRPr="008E5288" w:rsidTr="00FB3EBA">
        <w:tc>
          <w:tcPr>
            <w:tcW w:w="1418"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L-41b</w:t>
            </w:r>
          </w:p>
        </w:tc>
        <w:tc>
          <w:tcPr>
            <w:tcW w:w="1843"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Honeywell</w:t>
            </w:r>
          </w:p>
        </w:tc>
        <w:tc>
          <w:tcPr>
            <w:tcW w:w="2409"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Pr>
                <w:color w:val="000000"/>
                <w:sz w:val="20"/>
              </w:rPr>
              <w:t>R-32/R-1234ze</w:t>
            </w:r>
          </w:p>
        </w:tc>
        <w:tc>
          <w:tcPr>
            <w:tcW w:w="2172"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(73/27)</w:t>
            </w:r>
          </w:p>
        </w:tc>
        <w:tc>
          <w:tcPr>
            <w:tcW w:w="1898" w:type="dxa"/>
            <w:tcBorders>
              <w:top w:val="dotted" w:sz="4" w:space="0" w:color="auto"/>
              <w:bottom w:val="dotted" w:sz="4" w:space="0" w:color="auto"/>
            </w:tcBorders>
            <w:shd w:val="clear" w:color="auto" w:fill="CCFFFF"/>
          </w:tcPr>
          <w:p w:rsidR="00E72ADE" w:rsidRPr="009F21F6" w:rsidRDefault="00E72ADE" w:rsidP="00FB3EBA">
            <w:pPr>
              <w:spacing w:before="60" w:after="60"/>
              <w:jc w:val="center"/>
              <w:rPr>
                <w:sz w:val="20"/>
              </w:rPr>
            </w:pPr>
            <w:r w:rsidRPr="009F21F6">
              <w:rPr>
                <w:color w:val="000000"/>
                <w:sz w:val="20"/>
              </w:rPr>
              <w:t>494</w:t>
            </w:r>
          </w:p>
        </w:tc>
      </w:tr>
      <w:tr w:rsidR="00E72ADE" w:rsidRPr="008E5288" w:rsidTr="00FB3EBA">
        <w:tc>
          <w:tcPr>
            <w:tcW w:w="1418"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N-13a</w:t>
            </w:r>
          </w:p>
        </w:tc>
        <w:tc>
          <w:tcPr>
            <w:tcW w:w="1843"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Honeywell</w:t>
            </w:r>
          </w:p>
        </w:tc>
        <w:tc>
          <w:tcPr>
            <w:tcW w:w="2409"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Pr>
                <w:color w:val="000000"/>
                <w:sz w:val="20"/>
              </w:rPr>
              <w:t>R-134a/R-1234yf/R-1234ze</w:t>
            </w:r>
          </w:p>
        </w:tc>
        <w:tc>
          <w:tcPr>
            <w:tcW w:w="2172"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(42/18/40)</w:t>
            </w:r>
          </w:p>
        </w:tc>
        <w:tc>
          <w:tcPr>
            <w:tcW w:w="1898" w:type="dxa"/>
            <w:tcBorders>
              <w:top w:val="dotted" w:sz="4" w:space="0" w:color="auto"/>
              <w:bottom w:val="dotted" w:sz="4" w:space="0" w:color="auto"/>
            </w:tcBorders>
            <w:shd w:val="clear" w:color="auto" w:fill="CCFFFF"/>
          </w:tcPr>
          <w:p w:rsidR="00E72ADE" w:rsidRPr="009F21F6" w:rsidRDefault="00E72ADE" w:rsidP="00FB3EBA">
            <w:pPr>
              <w:spacing w:before="60" w:after="60"/>
              <w:jc w:val="center"/>
              <w:rPr>
                <w:sz w:val="20"/>
              </w:rPr>
            </w:pPr>
            <w:r w:rsidRPr="009F21F6">
              <w:rPr>
                <w:color w:val="000000"/>
                <w:sz w:val="20"/>
              </w:rPr>
              <w:t>604</w:t>
            </w:r>
          </w:p>
        </w:tc>
      </w:tr>
      <w:tr w:rsidR="00E72ADE" w:rsidRPr="008E5288" w:rsidTr="00FB3EBA">
        <w:tc>
          <w:tcPr>
            <w:tcW w:w="1418"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N-13b</w:t>
            </w:r>
          </w:p>
        </w:tc>
        <w:tc>
          <w:tcPr>
            <w:tcW w:w="1843"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Honeywell</w:t>
            </w:r>
          </w:p>
        </w:tc>
        <w:tc>
          <w:tcPr>
            <w:tcW w:w="2409"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R-134a/R-1234ze</w:t>
            </w:r>
          </w:p>
        </w:tc>
        <w:tc>
          <w:tcPr>
            <w:tcW w:w="2172"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(42/58)</w:t>
            </w:r>
          </w:p>
        </w:tc>
        <w:tc>
          <w:tcPr>
            <w:tcW w:w="1898" w:type="dxa"/>
            <w:tcBorders>
              <w:top w:val="dotted" w:sz="4" w:space="0" w:color="auto"/>
              <w:bottom w:val="dotted" w:sz="4" w:space="0" w:color="auto"/>
            </w:tcBorders>
            <w:shd w:val="clear" w:color="auto" w:fill="CCFFFF"/>
          </w:tcPr>
          <w:p w:rsidR="00E72ADE" w:rsidRPr="009F21F6" w:rsidRDefault="00E72ADE" w:rsidP="00FB3EBA">
            <w:pPr>
              <w:spacing w:before="60" w:after="60"/>
              <w:jc w:val="center"/>
              <w:rPr>
                <w:sz w:val="20"/>
              </w:rPr>
            </w:pPr>
            <w:r w:rsidRPr="009F21F6">
              <w:rPr>
                <w:color w:val="000000"/>
                <w:sz w:val="20"/>
              </w:rPr>
              <w:t>604</w:t>
            </w:r>
          </w:p>
        </w:tc>
      </w:tr>
      <w:tr w:rsidR="00E72ADE" w:rsidRPr="008E5288" w:rsidTr="00FB3EBA">
        <w:tc>
          <w:tcPr>
            <w:tcW w:w="1418"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AC5X</w:t>
            </w:r>
          </w:p>
        </w:tc>
        <w:tc>
          <w:tcPr>
            <w:tcW w:w="1843"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Mexichem</w:t>
            </w:r>
          </w:p>
        </w:tc>
        <w:tc>
          <w:tcPr>
            <w:tcW w:w="2409"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R-32/R-134a/R-1234ze</w:t>
            </w:r>
          </w:p>
        </w:tc>
        <w:tc>
          <w:tcPr>
            <w:tcW w:w="2172"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(7/40/53)</w:t>
            </w:r>
          </w:p>
        </w:tc>
        <w:tc>
          <w:tcPr>
            <w:tcW w:w="1898" w:type="dxa"/>
            <w:tcBorders>
              <w:top w:val="dotted" w:sz="4" w:space="0" w:color="auto"/>
              <w:bottom w:val="dotted" w:sz="4" w:space="0" w:color="auto"/>
            </w:tcBorders>
            <w:shd w:val="clear" w:color="auto" w:fill="CCFFFF"/>
          </w:tcPr>
          <w:p w:rsidR="00E72ADE" w:rsidRPr="009F21F6" w:rsidRDefault="00E72ADE" w:rsidP="00FB3EBA">
            <w:pPr>
              <w:spacing w:before="60" w:after="60"/>
              <w:jc w:val="center"/>
              <w:rPr>
                <w:sz w:val="20"/>
              </w:rPr>
            </w:pPr>
            <w:r w:rsidRPr="009F21F6">
              <w:rPr>
                <w:color w:val="000000"/>
                <w:sz w:val="20"/>
              </w:rPr>
              <w:t>622</w:t>
            </w:r>
          </w:p>
        </w:tc>
      </w:tr>
      <w:tr w:rsidR="00E72ADE" w:rsidRPr="008E5288" w:rsidTr="00FB3EBA">
        <w:tc>
          <w:tcPr>
            <w:tcW w:w="1418"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XP-10</w:t>
            </w:r>
          </w:p>
        </w:tc>
        <w:tc>
          <w:tcPr>
            <w:tcW w:w="1843"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DuPont</w:t>
            </w:r>
          </w:p>
        </w:tc>
        <w:tc>
          <w:tcPr>
            <w:tcW w:w="2409"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R-134a/R-1234yf</w:t>
            </w:r>
          </w:p>
        </w:tc>
        <w:tc>
          <w:tcPr>
            <w:tcW w:w="2172"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(44/56)</w:t>
            </w:r>
          </w:p>
        </w:tc>
        <w:tc>
          <w:tcPr>
            <w:tcW w:w="1898" w:type="dxa"/>
            <w:tcBorders>
              <w:top w:val="dotted" w:sz="4" w:space="0" w:color="auto"/>
              <w:bottom w:val="dotted" w:sz="4" w:space="0" w:color="auto"/>
            </w:tcBorders>
            <w:shd w:val="clear" w:color="auto" w:fill="CCFFFF"/>
          </w:tcPr>
          <w:p w:rsidR="00E72ADE" w:rsidRPr="009F21F6" w:rsidRDefault="00E72ADE" w:rsidP="00FB3EBA">
            <w:pPr>
              <w:spacing w:before="60" w:after="60"/>
              <w:jc w:val="center"/>
              <w:rPr>
                <w:sz w:val="20"/>
              </w:rPr>
            </w:pPr>
            <w:r w:rsidRPr="009F21F6">
              <w:rPr>
                <w:color w:val="000000"/>
                <w:sz w:val="20"/>
              </w:rPr>
              <w:t>631</w:t>
            </w:r>
          </w:p>
        </w:tc>
      </w:tr>
      <w:tr w:rsidR="00E72ADE" w:rsidRPr="008E5288" w:rsidTr="00FB3EBA">
        <w:tc>
          <w:tcPr>
            <w:tcW w:w="1418"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R-32/R-152a</w:t>
            </w:r>
          </w:p>
        </w:tc>
        <w:tc>
          <w:tcPr>
            <w:tcW w:w="1843"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National Refrigerants</w:t>
            </w:r>
          </w:p>
        </w:tc>
        <w:tc>
          <w:tcPr>
            <w:tcW w:w="2409"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R-32/R-152a</w:t>
            </w:r>
          </w:p>
        </w:tc>
        <w:tc>
          <w:tcPr>
            <w:tcW w:w="2172"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(95/5)</w:t>
            </w:r>
          </w:p>
        </w:tc>
        <w:tc>
          <w:tcPr>
            <w:tcW w:w="1898" w:type="dxa"/>
            <w:tcBorders>
              <w:top w:val="dotted" w:sz="4" w:space="0" w:color="auto"/>
              <w:bottom w:val="dotted" w:sz="4" w:space="0" w:color="auto"/>
            </w:tcBorders>
            <w:shd w:val="clear" w:color="auto" w:fill="CCFFFF"/>
          </w:tcPr>
          <w:p w:rsidR="00E72ADE" w:rsidRPr="009F21F6" w:rsidRDefault="00E72ADE" w:rsidP="00FB3EBA">
            <w:pPr>
              <w:spacing w:before="60" w:after="60"/>
              <w:jc w:val="center"/>
              <w:rPr>
                <w:sz w:val="20"/>
              </w:rPr>
            </w:pPr>
            <w:r w:rsidRPr="009F21F6">
              <w:rPr>
                <w:color w:val="000000"/>
                <w:sz w:val="20"/>
              </w:rPr>
              <w:t>647</w:t>
            </w:r>
          </w:p>
        </w:tc>
      </w:tr>
      <w:tr w:rsidR="00E72ADE" w:rsidRPr="008E5288" w:rsidTr="00FB3EBA">
        <w:tc>
          <w:tcPr>
            <w:tcW w:w="1418"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R-32</w:t>
            </w:r>
          </w:p>
        </w:tc>
        <w:tc>
          <w:tcPr>
            <w:tcW w:w="1843"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Daikin, National Refrigerants</w:t>
            </w:r>
          </w:p>
        </w:tc>
        <w:tc>
          <w:tcPr>
            <w:tcW w:w="2409"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R-32</w:t>
            </w:r>
          </w:p>
        </w:tc>
        <w:tc>
          <w:tcPr>
            <w:tcW w:w="2172"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(100)</w:t>
            </w:r>
          </w:p>
        </w:tc>
        <w:tc>
          <w:tcPr>
            <w:tcW w:w="1898" w:type="dxa"/>
            <w:tcBorders>
              <w:top w:val="dotted" w:sz="4" w:space="0" w:color="auto"/>
              <w:bottom w:val="dotted" w:sz="4" w:space="0" w:color="auto"/>
            </w:tcBorders>
            <w:shd w:val="clear" w:color="auto" w:fill="CCFFFF"/>
          </w:tcPr>
          <w:p w:rsidR="00E72ADE" w:rsidRPr="009F21F6" w:rsidRDefault="00E72ADE" w:rsidP="00FB3EBA">
            <w:pPr>
              <w:spacing w:before="60" w:after="60"/>
              <w:jc w:val="center"/>
              <w:rPr>
                <w:sz w:val="20"/>
              </w:rPr>
            </w:pPr>
            <w:r w:rsidRPr="009F21F6">
              <w:rPr>
                <w:color w:val="000000"/>
                <w:sz w:val="20"/>
              </w:rPr>
              <w:t>675</w:t>
            </w:r>
          </w:p>
        </w:tc>
      </w:tr>
      <w:tr w:rsidR="00E72ADE" w:rsidRPr="008E5288" w:rsidTr="00FB3EBA">
        <w:tc>
          <w:tcPr>
            <w:tcW w:w="1418"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R-32/R-134a</w:t>
            </w:r>
          </w:p>
        </w:tc>
        <w:tc>
          <w:tcPr>
            <w:tcW w:w="1843"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National Refrigerants</w:t>
            </w:r>
          </w:p>
        </w:tc>
        <w:tc>
          <w:tcPr>
            <w:tcW w:w="2409"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R-32/R-134a</w:t>
            </w:r>
          </w:p>
        </w:tc>
        <w:tc>
          <w:tcPr>
            <w:tcW w:w="2172"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(95/5)</w:t>
            </w:r>
          </w:p>
        </w:tc>
        <w:tc>
          <w:tcPr>
            <w:tcW w:w="1898" w:type="dxa"/>
            <w:tcBorders>
              <w:top w:val="dotted" w:sz="4" w:space="0" w:color="auto"/>
              <w:bottom w:val="dotted" w:sz="4" w:space="0" w:color="auto"/>
            </w:tcBorders>
            <w:shd w:val="clear" w:color="auto" w:fill="CCFFFF"/>
          </w:tcPr>
          <w:p w:rsidR="00E72ADE" w:rsidRPr="009F21F6" w:rsidRDefault="00E72ADE" w:rsidP="00FB3EBA">
            <w:pPr>
              <w:spacing w:before="60" w:after="60"/>
              <w:jc w:val="center"/>
              <w:rPr>
                <w:sz w:val="20"/>
              </w:rPr>
            </w:pPr>
            <w:r w:rsidRPr="009F21F6">
              <w:rPr>
                <w:color w:val="000000"/>
                <w:sz w:val="20"/>
              </w:rPr>
              <w:t>713</w:t>
            </w:r>
          </w:p>
        </w:tc>
      </w:tr>
      <w:tr w:rsidR="00E72ADE" w:rsidRPr="008E5288" w:rsidTr="00FB3EBA">
        <w:tc>
          <w:tcPr>
            <w:tcW w:w="1418"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D4Y</w:t>
            </w:r>
          </w:p>
        </w:tc>
        <w:tc>
          <w:tcPr>
            <w:tcW w:w="1843"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Daikin</w:t>
            </w:r>
          </w:p>
        </w:tc>
        <w:tc>
          <w:tcPr>
            <w:tcW w:w="2409"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R-134a/R-1234yf</w:t>
            </w:r>
          </w:p>
        </w:tc>
        <w:tc>
          <w:tcPr>
            <w:tcW w:w="2172"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(60/40)</w:t>
            </w:r>
          </w:p>
        </w:tc>
        <w:tc>
          <w:tcPr>
            <w:tcW w:w="1898" w:type="dxa"/>
            <w:tcBorders>
              <w:top w:val="dotted" w:sz="4" w:space="0" w:color="auto"/>
              <w:bottom w:val="dotted" w:sz="4" w:space="0" w:color="auto"/>
            </w:tcBorders>
            <w:shd w:val="clear" w:color="auto" w:fill="CCFFFF"/>
          </w:tcPr>
          <w:p w:rsidR="00E72ADE" w:rsidRPr="009F21F6" w:rsidRDefault="00E72ADE" w:rsidP="00FB3EBA">
            <w:pPr>
              <w:spacing w:before="60" w:after="60"/>
              <w:jc w:val="center"/>
              <w:rPr>
                <w:sz w:val="20"/>
              </w:rPr>
            </w:pPr>
            <w:r w:rsidRPr="009F21F6">
              <w:rPr>
                <w:color w:val="000000"/>
                <w:sz w:val="20"/>
              </w:rPr>
              <w:t>860</w:t>
            </w:r>
          </w:p>
        </w:tc>
      </w:tr>
      <w:tr w:rsidR="00E72ADE" w:rsidRPr="008E5288" w:rsidTr="00FB3EBA">
        <w:tc>
          <w:tcPr>
            <w:tcW w:w="1418"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ARM-41a</w:t>
            </w:r>
          </w:p>
        </w:tc>
        <w:tc>
          <w:tcPr>
            <w:tcW w:w="1843"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Arkema</w:t>
            </w:r>
          </w:p>
        </w:tc>
        <w:tc>
          <w:tcPr>
            <w:tcW w:w="2409"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R-32/R-134a/R-1234yf</w:t>
            </w:r>
          </w:p>
        </w:tc>
        <w:tc>
          <w:tcPr>
            <w:tcW w:w="2172"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(6/63/31)</w:t>
            </w:r>
          </w:p>
        </w:tc>
        <w:tc>
          <w:tcPr>
            <w:tcW w:w="1898" w:type="dxa"/>
            <w:tcBorders>
              <w:top w:val="dotted" w:sz="4" w:space="0" w:color="auto"/>
              <w:bottom w:val="dotted" w:sz="4" w:space="0" w:color="auto"/>
            </w:tcBorders>
            <w:shd w:val="clear" w:color="auto" w:fill="CCFFFF"/>
          </w:tcPr>
          <w:p w:rsidR="00E72ADE" w:rsidRPr="009F21F6" w:rsidRDefault="00E72ADE" w:rsidP="00FB3EBA">
            <w:pPr>
              <w:spacing w:before="60" w:after="60"/>
              <w:jc w:val="center"/>
              <w:rPr>
                <w:sz w:val="20"/>
              </w:rPr>
            </w:pPr>
            <w:r w:rsidRPr="009F21F6">
              <w:rPr>
                <w:color w:val="000000"/>
                <w:sz w:val="20"/>
              </w:rPr>
              <w:t>943</w:t>
            </w:r>
          </w:p>
        </w:tc>
      </w:tr>
      <w:tr w:rsidR="00E72ADE" w:rsidRPr="008E5288" w:rsidTr="00FB3EBA">
        <w:tc>
          <w:tcPr>
            <w:tcW w:w="1418"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N-20</w:t>
            </w:r>
          </w:p>
        </w:tc>
        <w:tc>
          <w:tcPr>
            <w:tcW w:w="1843"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Honeywell</w:t>
            </w:r>
          </w:p>
        </w:tc>
        <w:tc>
          <w:tcPr>
            <w:tcW w:w="2409"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R-32/</w:t>
            </w:r>
            <w:r>
              <w:rPr>
                <w:color w:val="000000"/>
                <w:sz w:val="20"/>
              </w:rPr>
              <w:t>R-125/R-134a/R-1234yf/R-1234ze</w:t>
            </w:r>
          </w:p>
        </w:tc>
        <w:tc>
          <w:tcPr>
            <w:tcW w:w="2172" w:type="dxa"/>
            <w:tcBorders>
              <w:top w:val="dotted" w:sz="4" w:space="0" w:color="auto"/>
              <w:bottom w:val="dotted" w:sz="4" w:space="0" w:color="auto"/>
            </w:tcBorders>
            <w:shd w:val="clear" w:color="auto" w:fill="auto"/>
          </w:tcPr>
          <w:p w:rsidR="00E72ADE" w:rsidRPr="009F21F6" w:rsidRDefault="00E72ADE" w:rsidP="00FB3EBA">
            <w:pPr>
              <w:spacing w:before="60" w:after="60"/>
              <w:jc w:val="left"/>
              <w:rPr>
                <w:sz w:val="20"/>
              </w:rPr>
            </w:pPr>
            <w:r w:rsidRPr="009F21F6">
              <w:rPr>
                <w:color w:val="000000"/>
                <w:sz w:val="20"/>
              </w:rPr>
              <w:t>(12.5/12.5/31.5/13.5/30)</w:t>
            </w:r>
          </w:p>
        </w:tc>
        <w:tc>
          <w:tcPr>
            <w:tcW w:w="1898" w:type="dxa"/>
            <w:tcBorders>
              <w:top w:val="dotted" w:sz="4" w:space="0" w:color="auto"/>
              <w:bottom w:val="dotted" w:sz="4" w:space="0" w:color="auto"/>
            </w:tcBorders>
            <w:shd w:val="clear" w:color="auto" w:fill="CCFFFF"/>
          </w:tcPr>
          <w:p w:rsidR="00E72ADE" w:rsidRPr="009F21F6" w:rsidRDefault="00E72ADE" w:rsidP="00FB3EBA">
            <w:pPr>
              <w:spacing w:before="60" w:after="60"/>
              <w:jc w:val="center"/>
              <w:rPr>
                <w:sz w:val="20"/>
              </w:rPr>
            </w:pPr>
            <w:r w:rsidRPr="009F21F6">
              <w:rPr>
                <w:color w:val="000000"/>
                <w:sz w:val="20"/>
              </w:rPr>
              <w:t>975</w:t>
            </w:r>
          </w:p>
        </w:tc>
      </w:tr>
      <w:tr w:rsidR="00E72ADE" w:rsidRPr="008E5288" w:rsidTr="00FB3EBA">
        <w:tc>
          <w:tcPr>
            <w:tcW w:w="1418" w:type="dxa"/>
            <w:tcBorders>
              <w:top w:val="dotted" w:sz="4" w:space="0" w:color="auto"/>
              <w:bottom w:val="single" w:sz="4" w:space="0" w:color="000000"/>
            </w:tcBorders>
            <w:shd w:val="clear" w:color="auto" w:fill="auto"/>
          </w:tcPr>
          <w:p w:rsidR="00E72ADE" w:rsidRPr="009F21F6" w:rsidRDefault="00E72ADE" w:rsidP="00FB3EBA">
            <w:pPr>
              <w:spacing w:before="60" w:after="60"/>
              <w:jc w:val="left"/>
              <w:rPr>
                <w:sz w:val="20"/>
              </w:rPr>
            </w:pPr>
            <w:r w:rsidRPr="009F21F6">
              <w:rPr>
                <w:color w:val="000000"/>
                <w:sz w:val="20"/>
              </w:rPr>
              <w:t>D52Y</w:t>
            </w:r>
          </w:p>
        </w:tc>
        <w:tc>
          <w:tcPr>
            <w:tcW w:w="1843" w:type="dxa"/>
            <w:tcBorders>
              <w:top w:val="dotted" w:sz="4" w:space="0" w:color="auto"/>
              <w:bottom w:val="single" w:sz="4" w:space="0" w:color="000000"/>
            </w:tcBorders>
            <w:shd w:val="clear" w:color="auto" w:fill="auto"/>
          </w:tcPr>
          <w:p w:rsidR="00E72ADE" w:rsidRPr="009F21F6" w:rsidRDefault="00E72ADE" w:rsidP="00FB3EBA">
            <w:pPr>
              <w:spacing w:before="60" w:after="60"/>
              <w:jc w:val="left"/>
              <w:rPr>
                <w:sz w:val="20"/>
              </w:rPr>
            </w:pPr>
            <w:r w:rsidRPr="009F21F6">
              <w:rPr>
                <w:color w:val="000000"/>
                <w:sz w:val="20"/>
              </w:rPr>
              <w:t>Daikin</w:t>
            </w:r>
          </w:p>
        </w:tc>
        <w:tc>
          <w:tcPr>
            <w:tcW w:w="2409" w:type="dxa"/>
            <w:tcBorders>
              <w:top w:val="dotted" w:sz="4" w:space="0" w:color="auto"/>
              <w:bottom w:val="single" w:sz="4" w:space="0" w:color="000000"/>
            </w:tcBorders>
            <w:shd w:val="clear" w:color="auto" w:fill="auto"/>
          </w:tcPr>
          <w:p w:rsidR="00E72ADE" w:rsidRPr="009F21F6" w:rsidRDefault="00E72ADE" w:rsidP="00FB3EBA">
            <w:pPr>
              <w:spacing w:before="60" w:after="60"/>
              <w:jc w:val="left"/>
              <w:rPr>
                <w:sz w:val="20"/>
              </w:rPr>
            </w:pPr>
            <w:r w:rsidRPr="009F21F6">
              <w:rPr>
                <w:color w:val="000000"/>
                <w:sz w:val="20"/>
              </w:rPr>
              <w:t>R-32/R-125/R-1234yf</w:t>
            </w:r>
          </w:p>
        </w:tc>
        <w:tc>
          <w:tcPr>
            <w:tcW w:w="2172" w:type="dxa"/>
            <w:tcBorders>
              <w:top w:val="dotted" w:sz="4" w:space="0" w:color="auto"/>
              <w:bottom w:val="single" w:sz="4" w:space="0" w:color="000000"/>
            </w:tcBorders>
            <w:shd w:val="clear" w:color="auto" w:fill="auto"/>
          </w:tcPr>
          <w:p w:rsidR="00E72ADE" w:rsidRPr="009F21F6" w:rsidRDefault="00E72ADE" w:rsidP="00FB3EBA">
            <w:pPr>
              <w:spacing w:before="60" w:after="60"/>
              <w:jc w:val="left"/>
              <w:rPr>
                <w:sz w:val="20"/>
              </w:rPr>
            </w:pPr>
            <w:r w:rsidRPr="009F21F6">
              <w:rPr>
                <w:color w:val="000000"/>
                <w:sz w:val="20"/>
              </w:rPr>
              <w:t>(15/25/60)</w:t>
            </w:r>
          </w:p>
        </w:tc>
        <w:tc>
          <w:tcPr>
            <w:tcW w:w="1898" w:type="dxa"/>
            <w:tcBorders>
              <w:top w:val="dotted" w:sz="4" w:space="0" w:color="auto"/>
              <w:bottom w:val="single" w:sz="4" w:space="0" w:color="000000"/>
            </w:tcBorders>
            <w:shd w:val="clear" w:color="auto" w:fill="CCFFFF"/>
          </w:tcPr>
          <w:p w:rsidR="00E72ADE" w:rsidRPr="009F21F6" w:rsidRDefault="00E72ADE" w:rsidP="00FB3EBA">
            <w:pPr>
              <w:spacing w:before="60" w:after="60"/>
              <w:jc w:val="center"/>
              <w:rPr>
                <w:sz w:val="20"/>
              </w:rPr>
            </w:pPr>
            <w:r w:rsidRPr="009F21F6">
              <w:rPr>
                <w:color w:val="000000"/>
                <w:sz w:val="20"/>
              </w:rPr>
              <w:t>979</w:t>
            </w:r>
          </w:p>
        </w:tc>
      </w:tr>
    </w:tbl>
    <w:p w:rsidR="00E72ADE" w:rsidRPr="00EE33EB" w:rsidRDefault="00374D54" w:rsidP="00E72ADE">
      <w:pPr>
        <w:rPr>
          <w:i/>
        </w:rPr>
      </w:pPr>
      <w:r w:rsidRPr="00374D54">
        <w:rPr>
          <w:i/>
          <w:szCs w:val="22"/>
        </w:rPr>
        <w:t>Table 3</w:t>
      </w:r>
      <w:r>
        <w:rPr>
          <w:i/>
          <w:szCs w:val="22"/>
        </w:rPr>
        <w:t xml:space="preserve"> (cont.)</w:t>
      </w:r>
      <w:r w:rsidRPr="00374D54">
        <w:rPr>
          <w:i/>
          <w:szCs w:val="22"/>
        </w:rPr>
        <w:t>: Refrigerants under examination by AHRI Low</w:t>
      </w:r>
      <w:r>
        <w:rPr>
          <w:i/>
          <w:szCs w:val="22"/>
        </w:rPr>
        <w:t xml:space="preserve"> </w:t>
      </w:r>
      <w:r w:rsidRPr="00374D54">
        <w:rPr>
          <w:i/>
          <w:szCs w:val="22"/>
        </w:rPr>
        <w:t>GWP A</w:t>
      </w:r>
      <w:r>
        <w:rPr>
          <w:i/>
          <w:szCs w:val="22"/>
        </w:rPr>
        <w:t>REP.</w:t>
      </w:r>
    </w:p>
    <w:tbl>
      <w:tblPr>
        <w:tblStyle w:val="TableGrid"/>
        <w:tblW w:w="0" w:type="auto"/>
        <w:tblInd w:w="108" w:type="dxa"/>
        <w:tblLook w:val="04A0"/>
      </w:tblPr>
      <w:tblGrid>
        <w:gridCol w:w="1418"/>
        <w:gridCol w:w="1843"/>
        <w:gridCol w:w="2409"/>
        <w:gridCol w:w="2172"/>
        <w:gridCol w:w="1898"/>
      </w:tblGrid>
      <w:tr w:rsidR="00E72ADE" w:rsidRPr="00C75DAA" w:rsidTr="00FB3EBA">
        <w:tc>
          <w:tcPr>
            <w:tcW w:w="1418" w:type="dxa"/>
            <w:vMerge w:val="restart"/>
            <w:tcBorders>
              <w:right w:val="single" w:sz="4" w:space="0" w:color="FFFFFF" w:themeColor="background1"/>
            </w:tcBorders>
            <w:shd w:val="clear" w:color="auto" w:fill="0C0C0C"/>
          </w:tcPr>
          <w:p w:rsidR="00E72ADE" w:rsidRPr="00C75DAA" w:rsidRDefault="00E72ADE" w:rsidP="00FB3EBA">
            <w:pPr>
              <w:spacing w:after="120"/>
              <w:jc w:val="left"/>
              <w:rPr>
                <w:color w:val="FFFFFF" w:themeColor="background1"/>
              </w:rPr>
            </w:pPr>
            <w:r w:rsidRPr="00C278C0">
              <w:t>Temporary designation</w:t>
            </w:r>
          </w:p>
        </w:tc>
        <w:tc>
          <w:tcPr>
            <w:tcW w:w="1843" w:type="dxa"/>
            <w:vMerge w:val="restart"/>
            <w:tcBorders>
              <w:left w:val="single" w:sz="4" w:space="0" w:color="FFFFFF" w:themeColor="background1"/>
              <w:right w:val="single" w:sz="4" w:space="0" w:color="FFFFFF" w:themeColor="background1"/>
            </w:tcBorders>
            <w:shd w:val="clear" w:color="auto" w:fill="0C0C0C"/>
          </w:tcPr>
          <w:p w:rsidR="00E72ADE" w:rsidRPr="00C75DAA" w:rsidRDefault="00E72ADE" w:rsidP="00FB3EBA">
            <w:pPr>
              <w:spacing w:after="120"/>
              <w:jc w:val="left"/>
              <w:rPr>
                <w:color w:val="FFFFFF" w:themeColor="background1"/>
              </w:rPr>
            </w:pPr>
            <w:r w:rsidRPr="00C278C0">
              <w:t>Supplier</w:t>
            </w:r>
          </w:p>
        </w:tc>
        <w:tc>
          <w:tcPr>
            <w:tcW w:w="4581"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C0C0C"/>
          </w:tcPr>
          <w:p w:rsidR="00E72ADE" w:rsidRPr="00C75DAA" w:rsidRDefault="00E72ADE" w:rsidP="00FB3EBA">
            <w:pPr>
              <w:spacing w:after="120"/>
              <w:jc w:val="center"/>
              <w:rPr>
                <w:color w:val="FFFFFF" w:themeColor="background1"/>
              </w:rPr>
            </w:pPr>
            <w:r w:rsidRPr="00C278C0">
              <w:t>Mass composition</w:t>
            </w:r>
          </w:p>
        </w:tc>
        <w:tc>
          <w:tcPr>
            <w:tcW w:w="1898" w:type="dxa"/>
            <w:vMerge w:val="restart"/>
            <w:tcBorders>
              <w:left w:val="single" w:sz="4" w:space="0" w:color="FFFFFF" w:themeColor="background1"/>
            </w:tcBorders>
            <w:shd w:val="clear" w:color="auto" w:fill="0C0C0C"/>
          </w:tcPr>
          <w:p w:rsidR="00E72ADE" w:rsidRPr="00C75DAA" w:rsidRDefault="00E72ADE" w:rsidP="00FB3EBA">
            <w:pPr>
              <w:spacing w:after="120"/>
              <w:jc w:val="center"/>
              <w:rPr>
                <w:color w:val="FFFFFF" w:themeColor="background1"/>
              </w:rPr>
            </w:pPr>
            <w:r w:rsidRPr="00C278C0">
              <w:t>AR4 GWP-100</w:t>
            </w:r>
          </w:p>
        </w:tc>
      </w:tr>
      <w:tr w:rsidR="00E72ADE" w:rsidRPr="00C75DAA" w:rsidTr="00FB3EBA">
        <w:tc>
          <w:tcPr>
            <w:tcW w:w="1418" w:type="dxa"/>
            <w:vMerge/>
            <w:tcBorders>
              <w:bottom w:val="single" w:sz="4" w:space="0" w:color="000000"/>
              <w:right w:val="single" w:sz="4" w:space="0" w:color="FFFFFF" w:themeColor="background1"/>
            </w:tcBorders>
            <w:shd w:val="clear" w:color="auto" w:fill="0C0C0C"/>
          </w:tcPr>
          <w:p w:rsidR="00E72ADE" w:rsidRPr="00C278C0" w:rsidRDefault="00E72ADE" w:rsidP="00FB3EBA">
            <w:pPr>
              <w:spacing w:after="120"/>
              <w:jc w:val="left"/>
            </w:pPr>
          </w:p>
        </w:tc>
        <w:tc>
          <w:tcPr>
            <w:tcW w:w="1843" w:type="dxa"/>
            <w:vMerge/>
            <w:tcBorders>
              <w:left w:val="single" w:sz="4" w:space="0" w:color="FFFFFF" w:themeColor="background1"/>
              <w:bottom w:val="single" w:sz="4" w:space="0" w:color="000000"/>
              <w:right w:val="single" w:sz="4" w:space="0" w:color="FFFFFF" w:themeColor="background1"/>
            </w:tcBorders>
            <w:shd w:val="clear" w:color="auto" w:fill="0C0C0C"/>
          </w:tcPr>
          <w:p w:rsidR="00E72ADE" w:rsidRPr="00C278C0" w:rsidRDefault="00E72ADE" w:rsidP="00FB3EBA">
            <w:pPr>
              <w:spacing w:after="120"/>
              <w:jc w:val="left"/>
            </w:pPr>
          </w:p>
        </w:tc>
        <w:tc>
          <w:tcPr>
            <w:tcW w:w="240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0C0C0C"/>
          </w:tcPr>
          <w:p w:rsidR="00E72ADE" w:rsidRPr="00C278C0" w:rsidRDefault="00E72ADE" w:rsidP="00FB3EBA">
            <w:pPr>
              <w:spacing w:after="120"/>
              <w:jc w:val="center"/>
            </w:pPr>
            <w:r>
              <w:t>Substances</w:t>
            </w:r>
          </w:p>
        </w:tc>
        <w:tc>
          <w:tcPr>
            <w:tcW w:w="2172"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0C0C0C"/>
          </w:tcPr>
          <w:p w:rsidR="00E72ADE" w:rsidRPr="00C278C0" w:rsidRDefault="00E72ADE" w:rsidP="00FB3EBA">
            <w:pPr>
              <w:spacing w:after="120"/>
              <w:jc w:val="center"/>
            </w:pPr>
            <w:r w:rsidRPr="00C278C0">
              <w:t>Mass (%)</w:t>
            </w:r>
          </w:p>
        </w:tc>
        <w:tc>
          <w:tcPr>
            <w:tcW w:w="1898" w:type="dxa"/>
            <w:vMerge/>
            <w:tcBorders>
              <w:left w:val="single" w:sz="4" w:space="0" w:color="FFFFFF" w:themeColor="background1"/>
              <w:bottom w:val="single" w:sz="4" w:space="0" w:color="000000"/>
            </w:tcBorders>
            <w:shd w:val="clear" w:color="auto" w:fill="0C0C0C"/>
          </w:tcPr>
          <w:p w:rsidR="00E72ADE" w:rsidRPr="00C278C0" w:rsidRDefault="00E72ADE" w:rsidP="00FB3EBA">
            <w:pPr>
              <w:spacing w:after="120"/>
              <w:jc w:val="center"/>
            </w:pPr>
          </w:p>
        </w:tc>
      </w:tr>
      <w:tr w:rsidR="00E72ADE" w:rsidRPr="003E5F13" w:rsidTr="00FB3EBA">
        <w:tc>
          <w:tcPr>
            <w:tcW w:w="1418" w:type="dxa"/>
            <w:tcBorders>
              <w:bottom w:val="dotted" w:sz="4" w:space="0" w:color="auto"/>
            </w:tcBorders>
            <w:shd w:val="clear" w:color="auto" w:fill="auto"/>
          </w:tcPr>
          <w:p w:rsidR="00E72ADE" w:rsidRPr="003E5F13" w:rsidRDefault="00E72ADE" w:rsidP="00FB3EBA">
            <w:pPr>
              <w:spacing w:before="60" w:after="60"/>
              <w:jc w:val="left"/>
              <w:rPr>
                <w:sz w:val="20"/>
              </w:rPr>
            </w:pPr>
            <w:r w:rsidRPr="003E5F13">
              <w:rPr>
                <w:color w:val="000000"/>
                <w:sz w:val="20"/>
              </w:rPr>
              <w:t>R-32/R-134a</w:t>
            </w:r>
          </w:p>
        </w:tc>
        <w:tc>
          <w:tcPr>
            <w:tcW w:w="1843" w:type="dxa"/>
            <w:tcBorders>
              <w:bottom w:val="dotted" w:sz="4" w:space="0" w:color="auto"/>
            </w:tcBorders>
            <w:shd w:val="clear" w:color="auto" w:fill="auto"/>
          </w:tcPr>
          <w:p w:rsidR="00E72ADE" w:rsidRPr="003E5F13" w:rsidRDefault="00E72ADE" w:rsidP="00FB3EBA">
            <w:pPr>
              <w:spacing w:before="60" w:after="60"/>
              <w:jc w:val="left"/>
              <w:rPr>
                <w:sz w:val="20"/>
              </w:rPr>
            </w:pPr>
            <w:r w:rsidRPr="003E5F13">
              <w:rPr>
                <w:color w:val="000000"/>
                <w:sz w:val="20"/>
              </w:rPr>
              <w:t>National Refrigerants</w:t>
            </w:r>
          </w:p>
        </w:tc>
        <w:tc>
          <w:tcPr>
            <w:tcW w:w="2409" w:type="dxa"/>
            <w:tcBorders>
              <w:bottom w:val="dotted" w:sz="4" w:space="0" w:color="auto"/>
            </w:tcBorders>
            <w:shd w:val="clear" w:color="auto" w:fill="auto"/>
          </w:tcPr>
          <w:p w:rsidR="00E72ADE" w:rsidRPr="003E5F13" w:rsidRDefault="00E72ADE" w:rsidP="00FB3EBA">
            <w:pPr>
              <w:spacing w:before="60" w:after="60"/>
              <w:jc w:val="left"/>
              <w:rPr>
                <w:sz w:val="20"/>
              </w:rPr>
            </w:pPr>
            <w:r w:rsidRPr="003E5F13">
              <w:rPr>
                <w:color w:val="000000"/>
                <w:sz w:val="20"/>
              </w:rPr>
              <w:t>R-32/R-134a</w:t>
            </w:r>
          </w:p>
        </w:tc>
        <w:tc>
          <w:tcPr>
            <w:tcW w:w="2172" w:type="dxa"/>
            <w:tcBorders>
              <w:bottom w:val="dotted" w:sz="4" w:space="0" w:color="auto"/>
            </w:tcBorders>
            <w:shd w:val="clear" w:color="auto" w:fill="auto"/>
          </w:tcPr>
          <w:p w:rsidR="00E72ADE" w:rsidRPr="003E5F13" w:rsidRDefault="00E72ADE" w:rsidP="00FB3EBA">
            <w:pPr>
              <w:spacing w:before="60" w:after="60"/>
              <w:jc w:val="left"/>
              <w:rPr>
                <w:sz w:val="20"/>
              </w:rPr>
            </w:pPr>
            <w:r w:rsidRPr="003E5F13">
              <w:rPr>
                <w:color w:val="000000"/>
                <w:sz w:val="20"/>
              </w:rPr>
              <w:t>(50/50)</w:t>
            </w:r>
          </w:p>
        </w:tc>
        <w:tc>
          <w:tcPr>
            <w:tcW w:w="1898" w:type="dxa"/>
            <w:tcBorders>
              <w:bottom w:val="dotted" w:sz="4" w:space="0" w:color="auto"/>
            </w:tcBorders>
            <w:shd w:val="clear" w:color="auto" w:fill="FFCC99"/>
          </w:tcPr>
          <w:p w:rsidR="00E72ADE" w:rsidRPr="003E5F13" w:rsidRDefault="00E72ADE" w:rsidP="00FB3EBA">
            <w:pPr>
              <w:spacing w:before="60" w:after="60"/>
              <w:jc w:val="center"/>
              <w:rPr>
                <w:sz w:val="20"/>
              </w:rPr>
            </w:pPr>
            <w:r w:rsidRPr="003E5F13">
              <w:rPr>
                <w:color w:val="000000"/>
                <w:sz w:val="20"/>
              </w:rPr>
              <w:t>1053</w:t>
            </w:r>
          </w:p>
        </w:tc>
      </w:tr>
      <w:tr w:rsidR="00E72ADE" w:rsidRPr="003E5F13" w:rsidTr="00FB3EBA">
        <w:tc>
          <w:tcPr>
            <w:tcW w:w="1418" w:type="dxa"/>
            <w:tcBorders>
              <w:top w:val="dotted" w:sz="4" w:space="0" w:color="auto"/>
              <w:bottom w:val="dotted" w:sz="4" w:space="0" w:color="auto"/>
            </w:tcBorders>
            <w:shd w:val="clear" w:color="auto" w:fill="auto"/>
          </w:tcPr>
          <w:p w:rsidR="00E72ADE" w:rsidRPr="003E5F13" w:rsidRDefault="00E72ADE" w:rsidP="00FB3EBA">
            <w:pPr>
              <w:spacing w:before="60" w:after="60"/>
              <w:jc w:val="left"/>
              <w:rPr>
                <w:sz w:val="20"/>
              </w:rPr>
            </w:pPr>
            <w:r w:rsidRPr="003E5F13">
              <w:rPr>
                <w:color w:val="000000"/>
                <w:sz w:val="20"/>
              </w:rPr>
              <w:t>LTR4X</w:t>
            </w:r>
          </w:p>
        </w:tc>
        <w:tc>
          <w:tcPr>
            <w:tcW w:w="1843" w:type="dxa"/>
            <w:tcBorders>
              <w:top w:val="dotted" w:sz="4" w:space="0" w:color="auto"/>
              <w:bottom w:val="dotted" w:sz="4" w:space="0" w:color="auto"/>
            </w:tcBorders>
            <w:shd w:val="clear" w:color="auto" w:fill="auto"/>
          </w:tcPr>
          <w:p w:rsidR="00E72ADE" w:rsidRPr="003E5F13" w:rsidRDefault="00E72ADE" w:rsidP="00FB3EBA">
            <w:pPr>
              <w:spacing w:before="60" w:after="60"/>
              <w:jc w:val="left"/>
              <w:rPr>
                <w:sz w:val="20"/>
              </w:rPr>
            </w:pPr>
            <w:r w:rsidRPr="003E5F13">
              <w:rPr>
                <w:color w:val="000000"/>
                <w:sz w:val="20"/>
              </w:rPr>
              <w:t>Mexichem</w:t>
            </w:r>
          </w:p>
        </w:tc>
        <w:tc>
          <w:tcPr>
            <w:tcW w:w="2409" w:type="dxa"/>
            <w:tcBorders>
              <w:top w:val="dotted" w:sz="4" w:space="0" w:color="auto"/>
              <w:bottom w:val="dotted" w:sz="4" w:space="0" w:color="auto"/>
            </w:tcBorders>
            <w:shd w:val="clear" w:color="auto" w:fill="auto"/>
          </w:tcPr>
          <w:p w:rsidR="00E72ADE" w:rsidRPr="003E5F13" w:rsidRDefault="00E72ADE" w:rsidP="00FB3EBA">
            <w:pPr>
              <w:spacing w:before="60" w:after="60"/>
              <w:jc w:val="left"/>
              <w:rPr>
                <w:sz w:val="20"/>
              </w:rPr>
            </w:pPr>
            <w:r>
              <w:rPr>
                <w:color w:val="000000"/>
                <w:sz w:val="20"/>
              </w:rPr>
              <w:t>R-32/R-125/R-134a/R-1234ze</w:t>
            </w:r>
          </w:p>
        </w:tc>
        <w:tc>
          <w:tcPr>
            <w:tcW w:w="2172" w:type="dxa"/>
            <w:tcBorders>
              <w:top w:val="dotted" w:sz="4" w:space="0" w:color="auto"/>
              <w:bottom w:val="dotted" w:sz="4" w:space="0" w:color="auto"/>
            </w:tcBorders>
            <w:shd w:val="clear" w:color="auto" w:fill="auto"/>
          </w:tcPr>
          <w:p w:rsidR="00E72ADE" w:rsidRPr="003E5F13" w:rsidRDefault="00E72ADE" w:rsidP="00FB3EBA">
            <w:pPr>
              <w:spacing w:before="60" w:after="60"/>
              <w:jc w:val="left"/>
              <w:rPr>
                <w:sz w:val="20"/>
              </w:rPr>
            </w:pPr>
            <w:r w:rsidRPr="003E5F13">
              <w:rPr>
                <w:color w:val="000000"/>
                <w:sz w:val="20"/>
              </w:rPr>
              <w:t>(28/25/16/31)</w:t>
            </w:r>
          </w:p>
        </w:tc>
        <w:tc>
          <w:tcPr>
            <w:tcW w:w="1898" w:type="dxa"/>
            <w:tcBorders>
              <w:top w:val="dotted" w:sz="4" w:space="0" w:color="auto"/>
              <w:bottom w:val="dotted" w:sz="4" w:space="0" w:color="auto"/>
            </w:tcBorders>
            <w:shd w:val="clear" w:color="auto" w:fill="FFCC99"/>
          </w:tcPr>
          <w:p w:rsidR="00E72ADE" w:rsidRPr="003E5F13" w:rsidRDefault="00E72ADE" w:rsidP="00FB3EBA">
            <w:pPr>
              <w:spacing w:before="60" w:after="60"/>
              <w:jc w:val="center"/>
              <w:rPr>
                <w:sz w:val="20"/>
              </w:rPr>
            </w:pPr>
            <w:r w:rsidRPr="003E5F13">
              <w:rPr>
                <w:color w:val="000000"/>
                <w:sz w:val="20"/>
              </w:rPr>
              <w:t>1295</w:t>
            </w:r>
          </w:p>
        </w:tc>
      </w:tr>
      <w:tr w:rsidR="00E72ADE" w:rsidRPr="003E5F13" w:rsidTr="00FB3EBA">
        <w:tc>
          <w:tcPr>
            <w:tcW w:w="1418" w:type="dxa"/>
            <w:tcBorders>
              <w:top w:val="dotted" w:sz="4" w:space="0" w:color="auto"/>
              <w:bottom w:val="dotted" w:sz="4" w:space="0" w:color="auto"/>
            </w:tcBorders>
            <w:shd w:val="clear" w:color="auto" w:fill="auto"/>
          </w:tcPr>
          <w:p w:rsidR="00E72ADE" w:rsidRPr="003E5F13" w:rsidRDefault="00E72ADE" w:rsidP="00FB3EBA">
            <w:pPr>
              <w:spacing w:before="60" w:after="60"/>
              <w:jc w:val="left"/>
              <w:rPr>
                <w:sz w:val="20"/>
              </w:rPr>
            </w:pPr>
            <w:r w:rsidRPr="003E5F13">
              <w:rPr>
                <w:color w:val="000000"/>
                <w:sz w:val="20"/>
              </w:rPr>
              <w:t>N-40b</w:t>
            </w:r>
          </w:p>
        </w:tc>
        <w:tc>
          <w:tcPr>
            <w:tcW w:w="1843" w:type="dxa"/>
            <w:tcBorders>
              <w:top w:val="dotted" w:sz="4" w:space="0" w:color="auto"/>
              <w:bottom w:val="dotted" w:sz="4" w:space="0" w:color="auto"/>
            </w:tcBorders>
            <w:shd w:val="clear" w:color="auto" w:fill="auto"/>
          </w:tcPr>
          <w:p w:rsidR="00E72ADE" w:rsidRPr="003E5F13" w:rsidRDefault="00E72ADE" w:rsidP="00FB3EBA">
            <w:pPr>
              <w:spacing w:before="60" w:after="60"/>
              <w:jc w:val="left"/>
              <w:rPr>
                <w:sz w:val="20"/>
              </w:rPr>
            </w:pPr>
            <w:r w:rsidRPr="003E5F13">
              <w:rPr>
                <w:color w:val="000000"/>
                <w:sz w:val="20"/>
              </w:rPr>
              <w:t>Honeywell</w:t>
            </w:r>
          </w:p>
        </w:tc>
        <w:tc>
          <w:tcPr>
            <w:tcW w:w="2409" w:type="dxa"/>
            <w:tcBorders>
              <w:top w:val="dotted" w:sz="4" w:space="0" w:color="auto"/>
              <w:bottom w:val="dotted" w:sz="4" w:space="0" w:color="auto"/>
            </w:tcBorders>
            <w:shd w:val="clear" w:color="auto" w:fill="auto"/>
          </w:tcPr>
          <w:p w:rsidR="00E72ADE" w:rsidRPr="003E5F13" w:rsidRDefault="00E72ADE" w:rsidP="00FB3EBA">
            <w:pPr>
              <w:spacing w:before="60" w:after="60"/>
              <w:jc w:val="left"/>
              <w:rPr>
                <w:sz w:val="20"/>
              </w:rPr>
            </w:pPr>
            <w:r w:rsidRPr="003E5F13">
              <w:rPr>
                <w:color w:val="000000"/>
                <w:sz w:val="20"/>
              </w:rPr>
              <w:t xml:space="preserve">R-32/R-125/R-134a/R-1234yf </w:t>
            </w:r>
          </w:p>
        </w:tc>
        <w:tc>
          <w:tcPr>
            <w:tcW w:w="2172" w:type="dxa"/>
            <w:tcBorders>
              <w:top w:val="dotted" w:sz="4" w:space="0" w:color="auto"/>
              <w:bottom w:val="dotted" w:sz="4" w:space="0" w:color="auto"/>
            </w:tcBorders>
            <w:shd w:val="clear" w:color="auto" w:fill="auto"/>
          </w:tcPr>
          <w:p w:rsidR="00E72ADE" w:rsidRPr="003E5F13" w:rsidRDefault="00E72ADE" w:rsidP="00FB3EBA">
            <w:pPr>
              <w:spacing w:before="60" w:after="60"/>
              <w:jc w:val="left"/>
              <w:rPr>
                <w:sz w:val="20"/>
              </w:rPr>
            </w:pPr>
            <w:r w:rsidRPr="003E5F13">
              <w:rPr>
                <w:color w:val="000000"/>
                <w:sz w:val="20"/>
              </w:rPr>
              <w:t>(25/25/20/30)</w:t>
            </w:r>
          </w:p>
        </w:tc>
        <w:tc>
          <w:tcPr>
            <w:tcW w:w="1898" w:type="dxa"/>
            <w:tcBorders>
              <w:top w:val="dotted" w:sz="4" w:space="0" w:color="auto"/>
              <w:bottom w:val="dotted" w:sz="4" w:space="0" w:color="auto"/>
            </w:tcBorders>
            <w:shd w:val="clear" w:color="auto" w:fill="FFCC99"/>
          </w:tcPr>
          <w:p w:rsidR="00E72ADE" w:rsidRPr="003E5F13" w:rsidRDefault="00E72ADE" w:rsidP="00FB3EBA">
            <w:pPr>
              <w:spacing w:before="60" w:after="60"/>
              <w:jc w:val="center"/>
              <w:rPr>
                <w:sz w:val="20"/>
              </w:rPr>
            </w:pPr>
            <w:r w:rsidRPr="003E5F13">
              <w:rPr>
                <w:color w:val="000000"/>
                <w:sz w:val="20"/>
              </w:rPr>
              <w:t>1331</w:t>
            </w:r>
          </w:p>
        </w:tc>
      </w:tr>
      <w:tr w:rsidR="00E72ADE" w:rsidRPr="003E5F13" w:rsidTr="00FB3EBA">
        <w:tc>
          <w:tcPr>
            <w:tcW w:w="1418" w:type="dxa"/>
            <w:tcBorders>
              <w:top w:val="dotted" w:sz="4" w:space="0" w:color="auto"/>
              <w:bottom w:val="dotted" w:sz="4" w:space="0" w:color="auto"/>
            </w:tcBorders>
            <w:shd w:val="clear" w:color="auto" w:fill="auto"/>
          </w:tcPr>
          <w:p w:rsidR="00E72ADE" w:rsidRPr="003E5F13" w:rsidRDefault="00E72ADE" w:rsidP="00FB3EBA">
            <w:pPr>
              <w:spacing w:before="60" w:after="60"/>
              <w:jc w:val="left"/>
              <w:rPr>
                <w:sz w:val="20"/>
              </w:rPr>
            </w:pPr>
            <w:r w:rsidRPr="003E5F13">
              <w:rPr>
                <w:color w:val="000000"/>
                <w:sz w:val="20"/>
              </w:rPr>
              <w:t>N-40a</w:t>
            </w:r>
          </w:p>
        </w:tc>
        <w:tc>
          <w:tcPr>
            <w:tcW w:w="1843" w:type="dxa"/>
            <w:tcBorders>
              <w:top w:val="dotted" w:sz="4" w:space="0" w:color="auto"/>
              <w:bottom w:val="dotted" w:sz="4" w:space="0" w:color="auto"/>
            </w:tcBorders>
            <w:shd w:val="clear" w:color="auto" w:fill="auto"/>
          </w:tcPr>
          <w:p w:rsidR="00E72ADE" w:rsidRPr="003E5F13" w:rsidRDefault="00E72ADE" w:rsidP="00FB3EBA">
            <w:pPr>
              <w:spacing w:before="60" w:after="60"/>
              <w:jc w:val="left"/>
              <w:rPr>
                <w:sz w:val="20"/>
              </w:rPr>
            </w:pPr>
            <w:r w:rsidRPr="003E5F13">
              <w:rPr>
                <w:color w:val="000000"/>
                <w:sz w:val="20"/>
              </w:rPr>
              <w:t>Honeywell</w:t>
            </w:r>
          </w:p>
        </w:tc>
        <w:tc>
          <w:tcPr>
            <w:tcW w:w="2409" w:type="dxa"/>
            <w:tcBorders>
              <w:top w:val="dotted" w:sz="4" w:space="0" w:color="auto"/>
              <w:bottom w:val="dotted" w:sz="4" w:space="0" w:color="auto"/>
            </w:tcBorders>
            <w:shd w:val="clear" w:color="auto" w:fill="auto"/>
          </w:tcPr>
          <w:p w:rsidR="00E72ADE" w:rsidRPr="003E5F13" w:rsidRDefault="00E72ADE" w:rsidP="00FB3EBA">
            <w:pPr>
              <w:spacing w:before="60" w:after="60"/>
              <w:jc w:val="left"/>
              <w:rPr>
                <w:sz w:val="20"/>
              </w:rPr>
            </w:pPr>
            <w:r w:rsidRPr="003E5F13">
              <w:rPr>
                <w:color w:val="000000"/>
                <w:sz w:val="20"/>
              </w:rPr>
              <w:t xml:space="preserve">R-32/R-125/R-134a/R-1234yf/R-1234ze </w:t>
            </w:r>
          </w:p>
        </w:tc>
        <w:tc>
          <w:tcPr>
            <w:tcW w:w="2172" w:type="dxa"/>
            <w:tcBorders>
              <w:top w:val="dotted" w:sz="4" w:space="0" w:color="auto"/>
              <w:bottom w:val="dotted" w:sz="4" w:space="0" w:color="auto"/>
            </w:tcBorders>
            <w:shd w:val="clear" w:color="auto" w:fill="auto"/>
          </w:tcPr>
          <w:p w:rsidR="00E72ADE" w:rsidRPr="003E5F13" w:rsidRDefault="00E72ADE" w:rsidP="00FB3EBA">
            <w:pPr>
              <w:spacing w:before="60" w:after="60"/>
              <w:jc w:val="left"/>
              <w:rPr>
                <w:sz w:val="20"/>
              </w:rPr>
            </w:pPr>
            <w:r w:rsidRPr="003E5F13">
              <w:rPr>
                <w:color w:val="000000"/>
                <w:sz w:val="20"/>
              </w:rPr>
              <w:t>(25/25/21/9/20)</w:t>
            </w:r>
          </w:p>
        </w:tc>
        <w:tc>
          <w:tcPr>
            <w:tcW w:w="1898" w:type="dxa"/>
            <w:tcBorders>
              <w:top w:val="dotted" w:sz="4" w:space="0" w:color="auto"/>
              <w:bottom w:val="dotted" w:sz="4" w:space="0" w:color="auto"/>
            </w:tcBorders>
            <w:shd w:val="clear" w:color="auto" w:fill="FFCC99"/>
          </w:tcPr>
          <w:p w:rsidR="00E72ADE" w:rsidRPr="003E5F13" w:rsidRDefault="00E72ADE" w:rsidP="00FB3EBA">
            <w:pPr>
              <w:spacing w:before="60" w:after="60"/>
              <w:jc w:val="center"/>
              <w:rPr>
                <w:sz w:val="20"/>
              </w:rPr>
            </w:pPr>
            <w:r w:rsidRPr="003E5F13">
              <w:rPr>
                <w:color w:val="000000"/>
                <w:sz w:val="20"/>
              </w:rPr>
              <w:t>1346</w:t>
            </w:r>
          </w:p>
        </w:tc>
      </w:tr>
      <w:tr w:rsidR="00E72ADE" w:rsidRPr="003E5F13" w:rsidTr="00FB3EBA">
        <w:tc>
          <w:tcPr>
            <w:tcW w:w="1418" w:type="dxa"/>
            <w:tcBorders>
              <w:top w:val="dotted" w:sz="4" w:space="0" w:color="auto"/>
              <w:bottom w:val="dotted" w:sz="4" w:space="0" w:color="auto"/>
            </w:tcBorders>
            <w:shd w:val="clear" w:color="auto" w:fill="auto"/>
          </w:tcPr>
          <w:p w:rsidR="00E72ADE" w:rsidRPr="003E5F13" w:rsidRDefault="00E72ADE" w:rsidP="00FB3EBA">
            <w:pPr>
              <w:spacing w:before="60" w:after="60"/>
              <w:jc w:val="left"/>
              <w:rPr>
                <w:sz w:val="20"/>
              </w:rPr>
            </w:pPr>
            <w:r w:rsidRPr="003E5F13">
              <w:rPr>
                <w:color w:val="000000"/>
                <w:sz w:val="20"/>
              </w:rPr>
              <w:t>DR-33</w:t>
            </w:r>
          </w:p>
        </w:tc>
        <w:tc>
          <w:tcPr>
            <w:tcW w:w="1843" w:type="dxa"/>
            <w:tcBorders>
              <w:top w:val="dotted" w:sz="4" w:space="0" w:color="auto"/>
              <w:bottom w:val="dotted" w:sz="4" w:space="0" w:color="auto"/>
            </w:tcBorders>
            <w:shd w:val="clear" w:color="auto" w:fill="auto"/>
          </w:tcPr>
          <w:p w:rsidR="00E72ADE" w:rsidRPr="003E5F13" w:rsidRDefault="00E72ADE" w:rsidP="00FB3EBA">
            <w:pPr>
              <w:spacing w:before="60" w:after="60"/>
              <w:jc w:val="left"/>
              <w:rPr>
                <w:sz w:val="20"/>
              </w:rPr>
            </w:pPr>
            <w:r w:rsidRPr="003E5F13">
              <w:rPr>
                <w:color w:val="000000"/>
                <w:sz w:val="20"/>
              </w:rPr>
              <w:t>DuPont</w:t>
            </w:r>
          </w:p>
        </w:tc>
        <w:tc>
          <w:tcPr>
            <w:tcW w:w="2409" w:type="dxa"/>
            <w:tcBorders>
              <w:top w:val="dotted" w:sz="4" w:space="0" w:color="auto"/>
              <w:bottom w:val="dotted" w:sz="4" w:space="0" w:color="auto"/>
            </w:tcBorders>
            <w:shd w:val="clear" w:color="auto" w:fill="auto"/>
          </w:tcPr>
          <w:p w:rsidR="00E72ADE" w:rsidRPr="003E5F13" w:rsidRDefault="00E72ADE" w:rsidP="00FB3EBA">
            <w:pPr>
              <w:spacing w:before="60" w:after="60"/>
              <w:jc w:val="left"/>
              <w:rPr>
                <w:sz w:val="20"/>
              </w:rPr>
            </w:pPr>
            <w:r w:rsidRPr="003E5F13">
              <w:rPr>
                <w:color w:val="000000"/>
                <w:sz w:val="20"/>
              </w:rPr>
              <w:t>R-32/R-125/R-134a/R-1234yf</w:t>
            </w:r>
          </w:p>
        </w:tc>
        <w:tc>
          <w:tcPr>
            <w:tcW w:w="2172" w:type="dxa"/>
            <w:tcBorders>
              <w:top w:val="dotted" w:sz="4" w:space="0" w:color="auto"/>
              <w:bottom w:val="dotted" w:sz="4" w:space="0" w:color="auto"/>
            </w:tcBorders>
            <w:shd w:val="clear" w:color="auto" w:fill="auto"/>
          </w:tcPr>
          <w:p w:rsidR="00E72ADE" w:rsidRPr="003E5F13" w:rsidRDefault="00E72ADE" w:rsidP="00FB3EBA">
            <w:pPr>
              <w:spacing w:before="60" w:after="60"/>
              <w:jc w:val="left"/>
              <w:rPr>
                <w:sz w:val="20"/>
              </w:rPr>
            </w:pPr>
            <w:r w:rsidRPr="003E5F13">
              <w:rPr>
                <w:color w:val="000000"/>
                <w:sz w:val="20"/>
              </w:rPr>
              <w:t>(24/25/26/25)</w:t>
            </w:r>
          </w:p>
        </w:tc>
        <w:tc>
          <w:tcPr>
            <w:tcW w:w="1898" w:type="dxa"/>
            <w:tcBorders>
              <w:top w:val="dotted" w:sz="4" w:space="0" w:color="auto"/>
              <w:bottom w:val="dotted" w:sz="4" w:space="0" w:color="auto"/>
            </w:tcBorders>
            <w:shd w:val="clear" w:color="auto" w:fill="FFCC99"/>
          </w:tcPr>
          <w:p w:rsidR="00E72ADE" w:rsidRPr="003E5F13" w:rsidRDefault="00E72ADE" w:rsidP="00FB3EBA">
            <w:pPr>
              <w:spacing w:before="60" w:after="60"/>
              <w:jc w:val="center"/>
              <w:rPr>
                <w:sz w:val="20"/>
              </w:rPr>
            </w:pPr>
            <w:r w:rsidRPr="003E5F13">
              <w:rPr>
                <w:color w:val="000000"/>
                <w:sz w:val="20"/>
              </w:rPr>
              <w:t>1410</w:t>
            </w:r>
          </w:p>
        </w:tc>
      </w:tr>
      <w:tr w:rsidR="00E72ADE" w:rsidRPr="003E5F13" w:rsidTr="00FB3EBA">
        <w:tc>
          <w:tcPr>
            <w:tcW w:w="1418" w:type="dxa"/>
            <w:tcBorders>
              <w:top w:val="dotted" w:sz="4" w:space="0" w:color="auto"/>
              <w:bottom w:val="single" w:sz="4" w:space="0" w:color="000000"/>
            </w:tcBorders>
            <w:shd w:val="clear" w:color="auto" w:fill="auto"/>
          </w:tcPr>
          <w:p w:rsidR="00E72ADE" w:rsidRPr="003E5F13" w:rsidRDefault="00E72ADE" w:rsidP="00FB3EBA">
            <w:pPr>
              <w:spacing w:before="60" w:after="60"/>
              <w:jc w:val="left"/>
              <w:rPr>
                <w:sz w:val="20"/>
              </w:rPr>
            </w:pPr>
            <w:r w:rsidRPr="003E5F13">
              <w:rPr>
                <w:color w:val="000000"/>
                <w:sz w:val="20"/>
              </w:rPr>
              <w:t>ARM-32a</w:t>
            </w:r>
          </w:p>
        </w:tc>
        <w:tc>
          <w:tcPr>
            <w:tcW w:w="1843" w:type="dxa"/>
            <w:tcBorders>
              <w:top w:val="dotted" w:sz="4" w:space="0" w:color="auto"/>
              <w:bottom w:val="single" w:sz="4" w:space="0" w:color="000000"/>
            </w:tcBorders>
            <w:shd w:val="clear" w:color="auto" w:fill="auto"/>
          </w:tcPr>
          <w:p w:rsidR="00E72ADE" w:rsidRPr="003E5F13" w:rsidRDefault="00E72ADE" w:rsidP="00FB3EBA">
            <w:pPr>
              <w:spacing w:before="60" w:after="60"/>
              <w:jc w:val="left"/>
              <w:rPr>
                <w:sz w:val="20"/>
              </w:rPr>
            </w:pPr>
            <w:r w:rsidRPr="003E5F13">
              <w:rPr>
                <w:color w:val="000000"/>
                <w:sz w:val="20"/>
              </w:rPr>
              <w:t>Arkema</w:t>
            </w:r>
          </w:p>
        </w:tc>
        <w:tc>
          <w:tcPr>
            <w:tcW w:w="2409" w:type="dxa"/>
            <w:tcBorders>
              <w:top w:val="dotted" w:sz="4" w:space="0" w:color="auto"/>
              <w:bottom w:val="single" w:sz="4" w:space="0" w:color="000000"/>
            </w:tcBorders>
            <w:shd w:val="clear" w:color="auto" w:fill="auto"/>
          </w:tcPr>
          <w:p w:rsidR="00E72ADE" w:rsidRPr="003E5F13" w:rsidRDefault="00E72ADE" w:rsidP="00FB3EBA">
            <w:pPr>
              <w:spacing w:before="60" w:after="60"/>
              <w:jc w:val="left"/>
              <w:rPr>
                <w:sz w:val="20"/>
              </w:rPr>
            </w:pPr>
            <w:r w:rsidRPr="003E5F13">
              <w:rPr>
                <w:color w:val="000000"/>
                <w:sz w:val="20"/>
              </w:rPr>
              <w:t>R-32/R-125/R-134a/R-1234yf</w:t>
            </w:r>
          </w:p>
        </w:tc>
        <w:tc>
          <w:tcPr>
            <w:tcW w:w="2172" w:type="dxa"/>
            <w:tcBorders>
              <w:top w:val="dotted" w:sz="4" w:space="0" w:color="auto"/>
              <w:bottom w:val="single" w:sz="4" w:space="0" w:color="000000"/>
            </w:tcBorders>
            <w:shd w:val="clear" w:color="auto" w:fill="auto"/>
          </w:tcPr>
          <w:p w:rsidR="00E72ADE" w:rsidRPr="003E5F13" w:rsidRDefault="00E72ADE" w:rsidP="00FB3EBA">
            <w:pPr>
              <w:spacing w:before="60" w:after="60"/>
              <w:jc w:val="left"/>
              <w:rPr>
                <w:sz w:val="20"/>
              </w:rPr>
            </w:pPr>
            <w:r w:rsidRPr="003E5F13">
              <w:rPr>
                <w:color w:val="000000"/>
                <w:sz w:val="20"/>
              </w:rPr>
              <w:t>(25/30/25/20)</w:t>
            </w:r>
          </w:p>
        </w:tc>
        <w:tc>
          <w:tcPr>
            <w:tcW w:w="1898" w:type="dxa"/>
            <w:tcBorders>
              <w:top w:val="dotted" w:sz="4" w:space="0" w:color="auto"/>
              <w:bottom w:val="single" w:sz="4" w:space="0" w:color="000000"/>
            </w:tcBorders>
            <w:shd w:val="clear" w:color="auto" w:fill="FFCC99"/>
          </w:tcPr>
          <w:p w:rsidR="00E72ADE" w:rsidRPr="003E5F13" w:rsidRDefault="00E72ADE" w:rsidP="00FB3EBA">
            <w:pPr>
              <w:spacing w:before="60" w:after="60"/>
              <w:jc w:val="center"/>
              <w:rPr>
                <w:sz w:val="20"/>
              </w:rPr>
            </w:pPr>
            <w:r w:rsidRPr="003E5F13">
              <w:rPr>
                <w:color w:val="000000"/>
                <w:sz w:val="20"/>
              </w:rPr>
              <w:t>1577</w:t>
            </w:r>
          </w:p>
        </w:tc>
      </w:tr>
      <w:tr w:rsidR="001E0FEE" w:rsidRPr="008E5288" w:rsidTr="001E0FEE">
        <w:tc>
          <w:tcPr>
            <w:tcW w:w="9740" w:type="dxa"/>
            <w:gridSpan w:val="5"/>
            <w:tcBorders>
              <w:bottom w:val="single" w:sz="4" w:space="0" w:color="000000"/>
            </w:tcBorders>
          </w:tcPr>
          <w:p w:rsidR="001E0FEE" w:rsidRPr="00B1767D" w:rsidRDefault="001E0FEE" w:rsidP="009A7B0B">
            <w:pPr>
              <w:spacing w:before="60" w:after="60"/>
              <w:jc w:val="left"/>
              <w:rPr>
                <w:sz w:val="20"/>
              </w:rPr>
            </w:pPr>
            <w:r w:rsidRPr="00B1767D">
              <w:rPr>
                <w:sz w:val="20"/>
              </w:rPr>
              <w:t xml:space="preserve">Note: The </w:t>
            </w:r>
            <w:r w:rsidR="009A7B0B" w:rsidRPr="00B1767D">
              <w:rPr>
                <w:sz w:val="20"/>
              </w:rPr>
              <w:t xml:space="preserve">exact </w:t>
            </w:r>
            <w:r w:rsidRPr="00B1767D">
              <w:rPr>
                <w:sz w:val="20"/>
              </w:rPr>
              <w:t xml:space="preserve">blend compositions are still under development </w:t>
            </w:r>
            <w:r w:rsidR="009A7B0B" w:rsidRPr="00B1767D">
              <w:rPr>
                <w:sz w:val="20"/>
              </w:rPr>
              <w:t>and evolving</w:t>
            </w:r>
            <w:r w:rsidR="00C60A82" w:rsidRPr="00B1767D">
              <w:rPr>
                <w:sz w:val="20"/>
              </w:rPr>
              <w:t>, and therefore GWPs and characteristics cited in various technical publications may be slightly different.</w:t>
            </w:r>
          </w:p>
        </w:tc>
      </w:tr>
    </w:tbl>
    <w:p w:rsidR="00E72ADE" w:rsidRDefault="00E72ADE" w:rsidP="00E72ADE"/>
    <w:p w:rsidR="009519E2" w:rsidRDefault="009519E2" w:rsidP="009519E2">
      <w:pPr>
        <w:rPr>
          <w:color w:val="000000"/>
        </w:rPr>
      </w:pPr>
    </w:p>
    <w:p w:rsidR="009519E2" w:rsidRDefault="009519E2" w:rsidP="009519E2">
      <w:pPr>
        <w:rPr>
          <w:color w:val="000000"/>
        </w:rPr>
        <w:sectPr w:rsidR="009519E2" w:rsidSect="005C09D9">
          <w:pgSz w:w="12240" w:h="15840"/>
          <w:pgMar w:top="1239" w:right="1134" w:bottom="1440" w:left="1134" w:header="709" w:footer="709" w:gutter="0"/>
          <w:cols w:space="708"/>
          <w:docGrid w:linePitch="360"/>
        </w:sectPr>
      </w:pPr>
    </w:p>
    <w:p w:rsidR="009519E2" w:rsidRPr="00D10192" w:rsidRDefault="00FA6D6C" w:rsidP="00ED5919">
      <w:pPr>
        <w:pStyle w:val="Heading2"/>
        <w:spacing w:before="0"/>
        <w:ind w:left="578" w:hanging="578"/>
        <w:rPr>
          <w:i w:val="0"/>
        </w:rPr>
      </w:pPr>
      <w:bookmarkStart w:id="28" w:name="_Toc257359951"/>
      <w:r w:rsidRPr="00FA6D6C">
        <w:rPr>
          <w:i w:val="0"/>
        </w:rPr>
        <w:t>Summary of emerging HFO blends on the near horizon</w:t>
      </w:r>
      <w:bookmarkEnd w:id="28"/>
    </w:p>
    <w:tbl>
      <w:tblPr>
        <w:tblW w:w="13338" w:type="dxa"/>
        <w:tblInd w:w="95" w:type="dxa"/>
        <w:tblLayout w:type="fixed"/>
        <w:tblLook w:val="0000"/>
      </w:tblPr>
      <w:tblGrid>
        <w:gridCol w:w="1998"/>
        <w:gridCol w:w="3260"/>
        <w:gridCol w:w="3969"/>
        <w:gridCol w:w="4111"/>
      </w:tblGrid>
      <w:tr w:rsidR="00172FD1" w:rsidRPr="00CA68EC" w:rsidTr="00172FD1">
        <w:trPr>
          <w:trHeight w:val="260"/>
        </w:trPr>
        <w:tc>
          <w:tcPr>
            <w:tcW w:w="1998" w:type="dxa"/>
            <w:tcBorders>
              <w:top w:val="nil"/>
              <w:left w:val="single" w:sz="4" w:space="0" w:color="auto"/>
              <w:bottom w:val="single" w:sz="4" w:space="0" w:color="auto"/>
              <w:right w:val="single" w:sz="4" w:space="0" w:color="FFFFFF" w:themeColor="background1"/>
            </w:tcBorders>
            <w:shd w:val="clear" w:color="auto" w:fill="000000"/>
            <w:noWrap/>
            <w:vAlign w:val="center"/>
          </w:tcPr>
          <w:p w:rsidR="00172FD1" w:rsidRPr="00A362C9" w:rsidRDefault="00172FD1" w:rsidP="009519E2">
            <w:pPr>
              <w:spacing w:before="0"/>
              <w:outlineLvl w:val="0"/>
              <w:rPr>
                <w:color w:val="FFFFFF"/>
                <w:szCs w:val="12"/>
                <w:lang w:val="en-AU"/>
              </w:rPr>
            </w:pPr>
          </w:p>
          <w:p w:rsidR="00172FD1" w:rsidRPr="00A362C9" w:rsidRDefault="00172FD1" w:rsidP="009519E2">
            <w:pPr>
              <w:spacing w:before="0"/>
              <w:outlineLvl w:val="0"/>
              <w:rPr>
                <w:color w:val="FFFFFF"/>
                <w:szCs w:val="12"/>
                <w:lang w:val="en-AU"/>
              </w:rPr>
            </w:pPr>
            <w:r>
              <w:rPr>
                <w:color w:val="FFFFFF"/>
                <w:szCs w:val="12"/>
                <w:lang w:val="en-AU"/>
              </w:rPr>
              <w:t>Developmental blends</w:t>
            </w:r>
            <w:r w:rsidR="006F57A6">
              <w:rPr>
                <w:color w:val="FFFFFF"/>
                <w:szCs w:val="12"/>
                <w:lang w:val="en-AU"/>
              </w:rPr>
              <w:t xml:space="preserve"> and intended application</w:t>
            </w:r>
          </w:p>
          <w:p w:rsidR="00172FD1" w:rsidRPr="00A362C9" w:rsidRDefault="00172FD1" w:rsidP="009519E2">
            <w:pPr>
              <w:spacing w:before="0"/>
              <w:outlineLvl w:val="0"/>
              <w:rPr>
                <w:color w:val="FFFFFF"/>
                <w:szCs w:val="12"/>
                <w:lang w:val="en-AU"/>
              </w:rPr>
            </w:pPr>
          </w:p>
        </w:tc>
        <w:tc>
          <w:tcPr>
            <w:tcW w:w="3260" w:type="dxa"/>
            <w:tcBorders>
              <w:top w:val="nil"/>
              <w:left w:val="single" w:sz="4" w:space="0" w:color="FFFFFF" w:themeColor="background1"/>
              <w:bottom w:val="single" w:sz="4" w:space="0" w:color="auto"/>
              <w:right w:val="single" w:sz="4" w:space="0" w:color="FFFFFF" w:themeColor="background1"/>
            </w:tcBorders>
            <w:shd w:val="clear" w:color="auto" w:fill="000000"/>
            <w:vAlign w:val="center"/>
          </w:tcPr>
          <w:p w:rsidR="00172FD1" w:rsidRPr="00A362C9" w:rsidRDefault="00172FD1" w:rsidP="00172FD1">
            <w:pPr>
              <w:spacing w:before="0"/>
              <w:jc w:val="left"/>
              <w:outlineLvl w:val="0"/>
              <w:rPr>
                <w:color w:val="FFFFFF"/>
                <w:szCs w:val="12"/>
                <w:lang w:val="en-AU"/>
              </w:rPr>
            </w:pPr>
            <w:r>
              <w:rPr>
                <w:color w:val="FFFFFF"/>
                <w:szCs w:val="12"/>
                <w:lang w:val="en-AU"/>
              </w:rPr>
              <w:t>Energy efficiency, efficacy</w:t>
            </w:r>
          </w:p>
        </w:tc>
        <w:tc>
          <w:tcPr>
            <w:tcW w:w="3969" w:type="dxa"/>
            <w:tcBorders>
              <w:top w:val="nil"/>
              <w:left w:val="single" w:sz="4" w:space="0" w:color="FFFFFF" w:themeColor="background1"/>
              <w:bottom w:val="single" w:sz="4" w:space="0" w:color="auto"/>
              <w:right w:val="single" w:sz="4" w:space="0" w:color="FFFFFF" w:themeColor="background1"/>
            </w:tcBorders>
            <w:shd w:val="clear" w:color="auto" w:fill="000000"/>
            <w:noWrap/>
            <w:vAlign w:val="center"/>
          </w:tcPr>
          <w:p w:rsidR="00172FD1" w:rsidRPr="00A362C9" w:rsidRDefault="00172FD1" w:rsidP="00172FD1">
            <w:pPr>
              <w:spacing w:before="0"/>
              <w:jc w:val="left"/>
              <w:outlineLvl w:val="0"/>
              <w:rPr>
                <w:color w:val="FFFFFF"/>
                <w:szCs w:val="12"/>
                <w:lang w:val="en-AU"/>
              </w:rPr>
            </w:pPr>
            <w:r>
              <w:rPr>
                <w:color w:val="FFFFFF"/>
                <w:szCs w:val="12"/>
                <w:lang w:val="en-AU"/>
              </w:rPr>
              <w:t>Extent of commercialisation and cost indication</w:t>
            </w:r>
          </w:p>
        </w:tc>
        <w:tc>
          <w:tcPr>
            <w:tcW w:w="4111" w:type="dxa"/>
            <w:tcBorders>
              <w:top w:val="nil"/>
              <w:left w:val="single" w:sz="4" w:space="0" w:color="FFFFFF" w:themeColor="background1"/>
              <w:bottom w:val="single" w:sz="4" w:space="0" w:color="auto"/>
              <w:right w:val="single" w:sz="4" w:space="0" w:color="auto"/>
            </w:tcBorders>
            <w:shd w:val="clear" w:color="auto" w:fill="000000"/>
            <w:noWrap/>
            <w:vAlign w:val="center"/>
          </w:tcPr>
          <w:p w:rsidR="00172FD1" w:rsidRPr="00A362C9" w:rsidRDefault="00172FD1" w:rsidP="00172FD1">
            <w:pPr>
              <w:spacing w:before="0"/>
              <w:jc w:val="left"/>
              <w:outlineLvl w:val="0"/>
              <w:rPr>
                <w:color w:val="FFFFFF"/>
                <w:szCs w:val="12"/>
                <w:lang w:val="en-AU"/>
              </w:rPr>
            </w:pPr>
            <w:r>
              <w:rPr>
                <w:color w:val="FFFFFF"/>
                <w:szCs w:val="12"/>
                <w:lang w:val="en-AU"/>
              </w:rPr>
              <w:t>Barriers and restrictions</w:t>
            </w:r>
          </w:p>
        </w:tc>
      </w:tr>
      <w:tr w:rsidR="00D0213E" w:rsidRPr="00CA68EC" w:rsidTr="00CA3FEC">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noWrap/>
          </w:tcPr>
          <w:p w:rsidR="00D0213E" w:rsidRDefault="00D0213E" w:rsidP="00D0213E">
            <w:pPr>
              <w:spacing w:before="60" w:after="60"/>
              <w:jc w:val="left"/>
              <w:outlineLvl w:val="0"/>
              <w:rPr>
                <w:sz w:val="20"/>
                <w:szCs w:val="12"/>
                <w:lang w:val="en-AU"/>
              </w:rPr>
            </w:pPr>
            <w:r>
              <w:rPr>
                <w:sz w:val="20"/>
                <w:szCs w:val="12"/>
                <w:lang w:val="en-AU"/>
              </w:rPr>
              <w:t>L-40 (GWP of 285)</w:t>
            </w:r>
          </w:p>
          <w:p w:rsidR="00D0213E" w:rsidRDefault="00D0213E" w:rsidP="00D0213E">
            <w:pPr>
              <w:spacing w:before="60" w:after="60"/>
              <w:jc w:val="left"/>
              <w:outlineLvl w:val="0"/>
              <w:rPr>
                <w:sz w:val="20"/>
                <w:szCs w:val="12"/>
                <w:lang w:val="en-AU"/>
              </w:rPr>
            </w:pPr>
            <w:r>
              <w:rPr>
                <w:sz w:val="20"/>
                <w:szCs w:val="12"/>
                <w:lang w:val="en-AU"/>
              </w:rPr>
              <w:t xml:space="preserve">Replace HFC-404A </w:t>
            </w:r>
          </w:p>
          <w:p w:rsidR="00D0213E" w:rsidRPr="00CA68EC" w:rsidRDefault="00D0213E" w:rsidP="006F57A6">
            <w:pPr>
              <w:spacing w:before="60" w:after="60"/>
              <w:jc w:val="left"/>
              <w:outlineLvl w:val="0"/>
              <w:rPr>
                <w:sz w:val="20"/>
                <w:szCs w:val="12"/>
                <w:lang w:val="en-AU"/>
              </w:rPr>
            </w:pPr>
            <w:r>
              <w:rPr>
                <w:sz w:val="20"/>
                <w:szCs w:val="12"/>
                <w:lang w:val="en-AU"/>
              </w:rPr>
              <w:t>Low and medium temp non-domestic refrigeration</w:t>
            </w:r>
          </w:p>
        </w:tc>
        <w:tc>
          <w:tcPr>
            <w:tcW w:w="3260" w:type="dxa"/>
            <w:tcBorders>
              <w:top w:val="single" w:sz="4" w:space="0" w:color="auto"/>
              <w:left w:val="single" w:sz="4" w:space="0" w:color="auto"/>
              <w:bottom w:val="single" w:sz="4" w:space="0" w:color="auto"/>
              <w:right w:val="single" w:sz="4" w:space="0" w:color="auto"/>
            </w:tcBorders>
          </w:tcPr>
          <w:p w:rsidR="00D0213E" w:rsidRPr="00CA68EC" w:rsidRDefault="00D0213E" w:rsidP="006F57A6">
            <w:pPr>
              <w:spacing w:before="60" w:after="60"/>
              <w:jc w:val="left"/>
              <w:outlineLvl w:val="0"/>
              <w:rPr>
                <w:sz w:val="20"/>
                <w:szCs w:val="12"/>
                <w:lang w:val="en-AU"/>
              </w:rPr>
            </w:pPr>
            <w:r w:rsidRPr="00172FD1">
              <w:rPr>
                <w:sz w:val="20"/>
                <w:szCs w:val="12"/>
                <w:lang w:val="en-AU"/>
              </w:rPr>
              <w:t xml:space="preserve">When used in the current </w:t>
            </w:r>
            <w:r>
              <w:rPr>
                <w:sz w:val="20"/>
                <w:szCs w:val="12"/>
                <w:lang w:val="en-AU"/>
              </w:rPr>
              <w:t>HFC</w:t>
            </w:r>
            <w:r w:rsidRPr="00172FD1">
              <w:rPr>
                <w:sz w:val="20"/>
                <w:szCs w:val="12"/>
                <w:lang w:val="en-AU"/>
              </w:rPr>
              <w:t>-404A system</w:t>
            </w:r>
            <w:r>
              <w:rPr>
                <w:sz w:val="20"/>
                <w:szCs w:val="12"/>
                <w:lang w:val="en-AU"/>
              </w:rPr>
              <w:t>s</w:t>
            </w:r>
            <w:r w:rsidRPr="00172FD1">
              <w:rPr>
                <w:sz w:val="20"/>
                <w:szCs w:val="12"/>
                <w:lang w:val="en-AU"/>
              </w:rPr>
              <w:t xml:space="preserve">, L-40 apparently exceeds the capacity of </w:t>
            </w:r>
            <w:r>
              <w:rPr>
                <w:sz w:val="20"/>
                <w:szCs w:val="12"/>
                <w:lang w:val="en-AU"/>
              </w:rPr>
              <w:t>HFC</w:t>
            </w:r>
            <w:r w:rsidRPr="00172FD1">
              <w:rPr>
                <w:sz w:val="20"/>
                <w:szCs w:val="12"/>
                <w:lang w:val="en-AU"/>
              </w:rPr>
              <w:t>-404A with an efficiency improvement of around 10%.</w:t>
            </w:r>
          </w:p>
        </w:tc>
        <w:tc>
          <w:tcPr>
            <w:tcW w:w="3969" w:type="dxa"/>
            <w:tcBorders>
              <w:top w:val="single" w:sz="4" w:space="0" w:color="auto"/>
              <w:left w:val="single" w:sz="4" w:space="0" w:color="auto"/>
              <w:bottom w:val="single" w:sz="4" w:space="0" w:color="auto"/>
              <w:right w:val="nil"/>
            </w:tcBorders>
            <w:shd w:val="clear" w:color="auto" w:fill="auto"/>
            <w:noWrap/>
          </w:tcPr>
          <w:p w:rsidR="00D0213E" w:rsidRDefault="00D0213E" w:rsidP="00D0213E">
            <w:pPr>
              <w:spacing w:before="60" w:after="60"/>
              <w:jc w:val="left"/>
              <w:outlineLvl w:val="0"/>
              <w:rPr>
                <w:sz w:val="20"/>
                <w:szCs w:val="12"/>
                <w:lang w:val="en-AU"/>
              </w:rPr>
            </w:pPr>
            <w:r>
              <w:rPr>
                <w:sz w:val="20"/>
                <w:szCs w:val="12"/>
                <w:lang w:val="en-AU"/>
              </w:rPr>
              <w:t xml:space="preserve">Equipment </w:t>
            </w:r>
            <w:r w:rsidRPr="006F57A6">
              <w:rPr>
                <w:sz w:val="20"/>
                <w:szCs w:val="12"/>
                <w:lang w:val="en-AU"/>
              </w:rPr>
              <w:t xml:space="preserve">components are already produced </w:t>
            </w:r>
            <w:r>
              <w:rPr>
                <w:sz w:val="20"/>
                <w:szCs w:val="12"/>
                <w:lang w:val="en-AU"/>
              </w:rPr>
              <w:t xml:space="preserve">on </w:t>
            </w:r>
            <w:r w:rsidRPr="006F57A6">
              <w:rPr>
                <w:sz w:val="20"/>
                <w:szCs w:val="12"/>
                <w:lang w:val="en-AU"/>
              </w:rPr>
              <w:t>a commercial scale</w:t>
            </w:r>
            <w:r>
              <w:rPr>
                <w:sz w:val="20"/>
                <w:szCs w:val="12"/>
                <w:lang w:val="en-AU"/>
              </w:rPr>
              <w:t xml:space="preserve">. </w:t>
            </w:r>
            <w:r w:rsidRPr="006F57A6">
              <w:rPr>
                <w:sz w:val="20"/>
                <w:szCs w:val="12"/>
                <w:lang w:val="en-AU"/>
              </w:rPr>
              <w:t>It is anticipated that this refrigerant will</w:t>
            </w:r>
            <w:r>
              <w:rPr>
                <w:sz w:val="20"/>
                <w:szCs w:val="12"/>
                <w:lang w:val="en-AU"/>
              </w:rPr>
              <w:t xml:space="preserve"> be available during the next 1 to </w:t>
            </w:r>
            <w:r w:rsidRPr="006F57A6">
              <w:rPr>
                <w:sz w:val="20"/>
                <w:szCs w:val="12"/>
                <w:lang w:val="en-AU"/>
              </w:rPr>
              <w:t>2 years.</w:t>
            </w:r>
            <w:r w:rsidRPr="00AA7B32">
              <w:rPr>
                <w:sz w:val="20"/>
                <w:szCs w:val="12"/>
                <w:vertAlign w:val="superscript"/>
                <w:lang w:val="en-AU"/>
              </w:rPr>
              <w:t>(1)</w:t>
            </w:r>
          </w:p>
          <w:p w:rsidR="00D0213E" w:rsidRDefault="00D0213E" w:rsidP="00D0213E">
            <w:pPr>
              <w:spacing w:before="60" w:after="60"/>
              <w:jc w:val="left"/>
              <w:outlineLvl w:val="0"/>
              <w:rPr>
                <w:sz w:val="20"/>
                <w:szCs w:val="12"/>
                <w:lang w:val="en-AU"/>
              </w:rPr>
            </w:pPr>
            <w:r>
              <w:rPr>
                <w:sz w:val="20"/>
                <w:szCs w:val="12"/>
                <w:lang w:val="en-AU"/>
              </w:rPr>
              <w:t>P</w:t>
            </w:r>
            <w:r w:rsidRPr="006F57A6">
              <w:rPr>
                <w:sz w:val="20"/>
                <w:szCs w:val="12"/>
                <w:lang w:val="en-AU"/>
              </w:rPr>
              <w:t xml:space="preserve">roduction of </w:t>
            </w:r>
            <w:r>
              <w:rPr>
                <w:sz w:val="20"/>
                <w:szCs w:val="12"/>
                <w:lang w:val="en-AU"/>
              </w:rPr>
              <w:t xml:space="preserve">ingredient </w:t>
            </w:r>
            <w:r w:rsidRPr="006F57A6">
              <w:rPr>
                <w:sz w:val="20"/>
                <w:szCs w:val="12"/>
                <w:lang w:val="en-AU"/>
              </w:rPr>
              <w:t>HF</w:t>
            </w:r>
            <w:r>
              <w:rPr>
                <w:sz w:val="20"/>
                <w:szCs w:val="12"/>
                <w:lang w:val="en-AU"/>
              </w:rPr>
              <w:t>O</w:t>
            </w:r>
            <w:r w:rsidRPr="006F57A6">
              <w:rPr>
                <w:sz w:val="20"/>
                <w:szCs w:val="12"/>
                <w:lang w:val="en-AU"/>
              </w:rPr>
              <w:t>-1234yf may be an initial barrier to be overcome</w:t>
            </w:r>
            <w:r>
              <w:rPr>
                <w:sz w:val="20"/>
                <w:szCs w:val="12"/>
                <w:lang w:val="en-AU"/>
              </w:rPr>
              <w:t xml:space="preserve"> (priority to mobile </w:t>
            </w:r>
            <w:r w:rsidRPr="006F57A6">
              <w:rPr>
                <w:sz w:val="20"/>
                <w:szCs w:val="12"/>
                <w:lang w:val="en-AU"/>
              </w:rPr>
              <w:t>air conditioning</w:t>
            </w:r>
            <w:r>
              <w:rPr>
                <w:sz w:val="20"/>
                <w:szCs w:val="12"/>
                <w:lang w:val="en-AU"/>
              </w:rPr>
              <w:t>).</w:t>
            </w:r>
          </w:p>
          <w:p w:rsidR="00D0213E" w:rsidRDefault="00D0213E" w:rsidP="00D0213E">
            <w:pPr>
              <w:spacing w:before="60" w:after="60"/>
              <w:jc w:val="left"/>
              <w:outlineLvl w:val="0"/>
              <w:rPr>
                <w:sz w:val="20"/>
                <w:szCs w:val="12"/>
                <w:lang w:val="en-AU"/>
              </w:rPr>
            </w:pPr>
            <w:r w:rsidRPr="0015317E">
              <w:rPr>
                <w:sz w:val="20"/>
                <w:szCs w:val="12"/>
                <w:lang w:val="en-AU"/>
              </w:rPr>
              <w:t xml:space="preserve">The direct cost of this refrigerant is likely to be higher than </w:t>
            </w:r>
            <w:r>
              <w:rPr>
                <w:sz w:val="20"/>
                <w:szCs w:val="12"/>
                <w:lang w:val="en-AU"/>
              </w:rPr>
              <w:t>HFC</w:t>
            </w:r>
            <w:r w:rsidRPr="0015317E">
              <w:rPr>
                <w:sz w:val="20"/>
                <w:szCs w:val="12"/>
                <w:lang w:val="en-AU"/>
              </w:rPr>
              <w:t>-404A.</w:t>
            </w:r>
            <w:r w:rsidRPr="00AA7B32">
              <w:rPr>
                <w:sz w:val="20"/>
                <w:szCs w:val="12"/>
                <w:vertAlign w:val="superscript"/>
                <w:lang w:val="en-AU"/>
              </w:rPr>
              <w:t>(2)</w:t>
            </w:r>
            <w:r w:rsidRPr="0015317E">
              <w:rPr>
                <w:sz w:val="20"/>
                <w:szCs w:val="12"/>
                <w:lang w:val="en-AU"/>
              </w:rPr>
              <w:t xml:space="preserve"> </w:t>
            </w:r>
          </w:p>
          <w:p w:rsidR="00D0213E" w:rsidRDefault="00D0213E" w:rsidP="00D0213E">
            <w:pPr>
              <w:spacing w:before="60" w:after="60"/>
              <w:jc w:val="left"/>
              <w:outlineLvl w:val="0"/>
              <w:rPr>
                <w:sz w:val="20"/>
                <w:szCs w:val="12"/>
                <w:lang w:val="en-AU"/>
              </w:rPr>
            </w:pPr>
            <w:r w:rsidRPr="0015317E">
              <w:rPr>
                <w:sz w:val="20"/>
                <w:szCs w:val="12"/>
                <w:lang w:val="en-AU"/>
              </w:rPr>
              <w:t>It probably works with existing POE lubricants.</w:t>
            </w:r>
          </w:p>
          <w:p w:rsidR="00D0213E" w:rsidRDefault="00D0213E" w:rsidP="00D0213E">
            <w:pPr>
              <w:spacing w:before="60" w:after="60"/>
              <w:jc w:val="left"/>
              <w:outlineLvl w:val="0"/>
              <w:rPr>
                <w:sz w:val="20"/>
                <w:szCs w:val="12"/>
                <w:lang w:val="en-AU"/>
              </w:rPr>
            </w:pPr>
          </w:p>
          <w:p w:rsidR="00D0213E" w:rsidRPr="00CA68EC" w:rsidRDefault="00D0213E" w:rsidP="00CA3FEC">
            <w:pPr>
              <w:spacing w:before="60" w:after="60"/>
              <w:jc w:val="left"/>
              <w:outlineLvl w:val="0"/>
              <w:rPr>
                <w:sz w:val="20"/>
                <w:szCs w:val="12"/>
                <w:lang w:val="en-AU"/>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D0213E" w:rsidRPr="00CA68EC" w:rsidRDefault="00D0213E" w:rsidP="005206A3">
            <w:pPr>
              <w:spacing w:before="60" w:after="60"/>
              <w:jc w:val="left"/>
              <w:outlineLvl w:val="0"/>
              <w:rPr>
                <w:sz w:val="20"/>
                <w:szCs w:val="12"/>
                <w:lang w:val="en-AU"/>
              </w:rPr>
            </w:pPr>
            <w:r w:rsidRPr="00CA3FEC">
              <w:rPr>
                <w:sz w:val="20"/>
                <w:szCs w:val="12"/>
                <w:lang w:val="en-AU"/>
              </w:rPr>
              <w:t xml:space="preserve">The main barriers are related to the safe use of the mildly flammable refrigerants (class 2L under </w:t>
            </w:r>
            <w:r w:rsidRPr="001E0FEE">
              <w:rPr>
                <w:i/>
                <w:sz w:val="20"/>
                <w:szCs w:val="12"/>
                <w:lang w:val="en-AU"/>
              </w:rPr>
              <w:t>ISO 817</w:t>
            </w:r>
            <w:r w:rsidRPr="00CA3FEC">
              <w:rPr>
                <w:sz w:val="20"/>
                <w:szCs w:val="12"/>
                <w:lang w:val="en-AU"/>
              </w:rPr>
              <w:t xml:space="preserve">). Current standards such as </w:t>
            </w:r>
            <w:r w:rsidRPr="001E0FEE">
              <w:rPr>
                <w:i/>
                <w:sz w:val="20"/>
                <w:szCs w:val="12"/>
                <w:lang w:val="en-AU"/>
              </w:rPr>
              <w:t>ISO 5149</w:t>
            </w:r>
            <w:r w:rsidRPr="00CA3FEC">
              <w:rPr>
                <w:sz w:val="20"/>
                <w:szCs w:val="12"/>
                <w:lang w:val="en-AU"/>
              </w:rPr>
              <w:t xml:space="preserve"> are being updated to accommodate this new class. In practical terms this means that systems located indoors with large charge sizes are often restricted. Similarly, due to uncertainties over future adoption there </w:t>
            </w:r>
            <w:r w:rsidR="005206A3">
              <w:rPr>
                <w:sz w:val="20"/>
                <w:szCs w:val="12"/>
                <w:lang w:val="en-AU"/>
              </w:rPr>
              <w:t xml:space="preserve">are </w:t>
            </w:r>
            <w:r w:rsidRPr="00CA3FEC">
              <w:rPr>
                <w:sz w:val="20"/>
                <w:szCs w:val="12"/>
                <w:lang w:val="en-AU"/>
              </w:rPr>
              <w:t>currently gaps in availability of certain types of components including compressors. In addition, technicians must be well</w:t>
            </w:r>
            <w:r>
              <w:rPr>
                <w:sz w:val="20"/>
                <w:szCs w:val="12"/>
                <w:lang w:val="en-AU"/>
              </w:rPr>
              <w:t xml:space="preserve"> </w:t>
            </w:r>
            <w:r w:rsidRPr="00CA3FEC">
              <w:rPr>
                <w:sz w:val="20"/>
                <w:szCs w:val="12"/>
                <w:lang w:val="en-AU"/>
              </w:rPr>
              <w:t xml:space="preserve">trained and competent in handling flammable refrigerants if the flammability is to be dealt with safely. Some building safety codes may ban use </w:t>
            </w:r>
            <w:r>
              <w:rPr>
                <w:sz w:val="20"/>
                <w:szCs w:val="12"/>
                <w:lang w:val="en-AU"/>
              </w:rPr>
              <w:t xml:space="preserve">of </w:t>
            </w:r>
            <w:r w:rsidRPr="00CA3FEC">
              <w:rPr>
                <w:sz w:val="20"/>
                <w:szCs w:val="12"/>
                <w:lang w:val="en-AU"/>
              </w:rPr>
              <w:t>flammable refrigerants in certain types of buildings. The moderate temperature glide of this refrigerant may be an</w:t>
            </w:r>
            <w:r>
              <w:rPr>
                <w:sz w:val="20"/>
                <w:szCs w:val="12"/>
                <w:lang w:val="en-AU"/>
              </w:rPr>
              <w:t xml:space="preserve"> issue for certain applications</w:t>
            </w:r>
            <w:r w:rsidRPr="00CA3FEC">
              <w:rPr>
                <w:sz w:val="20"/>
                <w:szCs w:val="12"/>
                <w:lang w:val="en-AU"/>
              </w:rPr>
              <w:t>. There are also concerns regarding the decomposition products of some of the components in the event of a release into the environment.</w:t>
            </w:r>
          </w:p>
        </w:tc>
      </w:tr>
      <w:tr w:rsidR="00D0213E" w:rsidRPr="00CA68EC" w:rsidTr="00CA3FEC">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noWrap/>
          </w:tcPr>
          <w:p w:rsidR="00D0213E" w:rsidRDefault="00D0213E" w:rsidP="00D0213E">
            <w:pPr>
              <w:spacing w:before="60" w:after="60"/>
              <w:jc w:val="left"/>
              <w:outlineLvl w:val="0"/>
              <w:rPr>
                <w:sz w:val="20"/>
                <w:szCs w:val="12"/>
                <w:lang w:val="en-AU"/>
              </w:rPr>
            </w:pPr>
            <w:r>
              <w:rPr>
                <w:sz w:val="20"/>
                <w:szCs w:val="12"/>
                <w:lang w:val="en-AU"/>
              </w:rPr>
              <w:t>L-20 (GWP of 331)</w:t>
            </w:r>
          </w:p>
          <w:p w:rsidR="00D0213E" w:rsidRDefault="00D0213E" w:rsidP="00D0213E">
            <w:pPr>
              <w:spacing w:before="60" w:after="60"/>
              <w:jc w:val="left"/>
              <w:outlineLvl w:val="0"/>
              <w:rPr>
                <w:sz w:val="20"/>
                <w:szCs w:val="12"/>
                <w:lang w:val="en-AU"/>
              </w:rPr>
            </w:pPr>
            <w:r>
              <w:rPr>
                <w:sz w:val="20"/>
                <w:szCs w:val="12"/>
                <w:lang w:val="en-AU"/>
              </w:rPr>
              <w:t>Replace HCFC-22</w:t>
            </w:r>
          </w:p>
          <w:p w:rsidR="00D0213E" w:rsidRPr="00CA68EC" w:rsidRDefault="00D0213E" w:rsidP="007A078B">
            <w:pPr>
              <w:spacing w:before="60" w:after="60"/>
              <w:jc w:val="left"/>
              <w:outlineLvl w:val="0"/>
              <w:rPr>
                <w:sz w:val="20"/>
                <w:szCs w:val="12"/>
                <w:lang w:val="en-AU"/>
              </w:rPr>
            </w:pPr>
            <w:r>
              <w:rPr>
                <w:sz w:val="20"/>
                <w:szCs w:val="12"/>
                <w:lang w:val="en-AU"/>
              </w:rPr>
              <w:t>Stationary AC</w:t>
            </w:r>
          </w:p>
        </w:tc>
        <w:tc>
          <w:tcPr>
            <w:tcW w:w="3260" w:type="dxa"/>
            <w:tcBorders>
              <w:top w:val="single" w:sz="4" w:space="0" w:color="auto"/>
              <w:left w:val="single" w:sz="4" w:space="0" w:color="auto"/>
              <w:bottom w:val="single" w:sz="4" w:space="0" w:color="auto"/>
              <w:right w:val="single" w:sz="4" w:space="0" w:color="auto"/>
            </w:tcBorders>
          </w:tcPr>
          <w:p w:rsidR="00D0213E" w:rsidRPr="00CA68EC" w:rsidRDefault="00D0213E" w:rsidP="00CA3FEC">
            <w:pPr>
              <w:spacing w:before="60" w:after="60"/>
              <w:jc w:val="left"/>
              <w:outlineLvl w:val="0"/>
              <w:rPr>
                <w:sz w:val="20"/>
                <w:szCs w:val="12"/>
                <w:lang w:val="en-AU"/>
              </w:rPr>
            </w:pPr>
            <w:r w:rsidRPr="00CA3FEC">
              <w:rPr>
                <w:sz w:val="20"/>
                <w:szCs w:val="12"/>
                <w:lang w:val="en-AU"/>
              </w:rPr>
              <w:t>When use</w:t>
            </w:r>
            <w:r>
              <w:rPr>
                <w:sz w:val="20"/>
                <w:szCs w:val="12"/>
                <w:lang w:val="en-AU"/>
              </w:rPr>
              <w:t>d</w:t>
            </w:r>
            <w:r w:rsidRPr="00CA3FEC">
              <w:rPr>
                <w:sz w:val="20"/>
                <w:szCs w:val="12"/>
                <w:lang w:val="en-AU"/>
              </w:rPr>
              <w:t xml:space="preserve"> in the current HCFC-22 technologies, L-20 matches the capacity of HCFC-22 with an efficiency ranging from 95% to 97%. Further improvements can produce better efficiencies, especially for cooling only operation in warm climates.</w:t>
            </w:r>
          </w:p>
        </w:tc>
        <w:tc>
          <w:tcPr>
            <w:tcW w:w="3969" w:type="dxa"/>
            <w:tcBorders>
              <w:top w:val="single" w:sz="4" w:space="0" w:color="auto"/>
              <w:left w:val="single" w:sz="4" w:space="0" w:color="auto"/>
              <w:bottom w:val="single" w:sz="4" w:space="0" w:color="auto"/>
              <w:right w:val="nil"/>
            </w:tcBorders>
            <w:shd w:val="clear" w:color="auto" w:fill="auto"/>
            <w:noWrap/>
          </w:tcPr>
          <w:p w:rsidR="00D0213E" w:rsidRDefault="00D0213E" w:rsidP="00D0213E">
            <w:pPr>
              <w:spacing w:before="60" w:after="60"/>
              <w:jc w:val="left"/>
              <w:outlineLvl w:val="0"/>
              <w:rPr>
                <w:sz w:val="20"/>
                <w:szCs w:val="12"/>
                <w:lang w:val="en-AU"/>
              </w:rPr>
            </w:pPr>
            <w:r>
              <w:rPr>
                <w:sz w:val="20"/>
                <w:szCs w:val="12"/>
                <w:lang w:val="en-AU"/>
              </w:rPr>
              <w:t>As above, except contains HFO-1234ze(E) which has a moderate cost and greater availability than HFO-1234yf.</w:t>
            </w:r>
          </w:p>
          <w:p w:rsidR="00D0213E" w:rsidRPr="00CA68EC" w:rsidRDefault="00D0213E" w:rsidP="0015317E">
            <w:pPr>
              <w:spacing w:before="60" w:after="60"/>
              <w:jc w:val="left"/>
              <w:outlineLvl w:val="0"/>
              <w:rPr>
                <w:sz w:val="20"/>
                <w:szCs w:val="12"/>
                <w:lang w:val="en-AU"/>
              </w:rPr>
            </w:pPr>
            <w:r w:rsidRPr="00BE6E91">
              <w:rPr>
                <w:sz w:val="20"/>
                <w:szCs w:val="12"/>
                <w:lang w:val="en-AU"/>
              </w:rPr>
              <w:t xml:space="preserve">The direct cost of this refrigerant is similar to current HFCs such as </w:t>
            </w:r>
            <w:r>
              <w:rPr>
                <w:sz w:val="20"/>
                <w:szCs w:val="12"/>
                <w:lang w:val="en-AU"/>
              </w:rPr>
              <w:t>HFC</w:t>
            </w:r>
            <w:r w:rsidRPr="00BE6E91">
              <w:rPr>
                <w:sz w:val="20"/>
                <w:szCs w:val="12"/>
                <w:lang w:val="en-AU"/>
              </w:rPr>
              <w:t>-407C. It works well with existing POE lubricants. Due to its good efficiency at high ambient temperatures, power consumption would be lower relative to other options.</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D0213E" w:rsidRPr="003906F6" w:rsidRDefault="00D0213E" w:rsidP="00FA6D6C">
            <w:pPr>
              <w:spacing w:before="60" w:after="60"/>
              <w:outlineLvl w:val="0"/>
              <w:rPr>
                <w:sz w:val="20"/>
                <w:szCs w:val="12"/>
                <w:lang w:val="en-AU"/>
              </w:rPr>
            </w:pPr>
            <w:r>
              <w:rPr>
                <w:sz w:val="20"/>
                <w:szCs w:val="12"/>
                <w:lang w:val="en-AU"/>
              </w:rPr>
              <w:t>As above.</w:t>
            </w:r>
          </w:p>
        </w:tc>
      </w:tr>
      <w:tr w:rsidR="001E0FEE" w:rsidRPr="00CA68EC" w:rsidTr="001E0FEE">
        <w:trPr>
          <w:trHeight w:val="260"/>
        </w:trPr>
        <w:tc>
          <w:tcPr>
            <w:tcW w:w="13338" w:type="dxa"/>
            <w:gridSpan w:val="4"/>
            <w:tcBorders>
              <w:top w:val="single" w:sz="4" w:space="0" w:color="auto"/>
              <w:left w:val="single" w:sz="4" w:space="0" w:color="auto"/>
              <w:bottom w:val="single" w:sz="4" w:space="0" w:color="auto"/>
              <w:right w:val="single" w:sz="4" w:space="0" w:color="auto"/>
            </w:tcBorders>
            <w:shd w:val="clear" w:color="auto" w:fill="auto"/>
            <w:noWrap/>
          </w:tcPr>
          <w:p w:rsidR="00E656D6" w:rsidRDefault="001E0FEE" w:rsidP="001E0FEE">
            <w:pPr>
              <w:spacing w:before="60" w:after="60"/>
              <w:outlineLvl w:val="0"/>
              <w:rPr>
                <w:sz w:val="20"/>
                <w:szCs w:val="12"/>
                <w:lang w:val="en-AU"/>
              </w:rPr>
            </w:pPr>
            <w:r w:rsidRPr="00AA7B32">
              <w:rPr>
                <w:sz w:val="20"/>
                <w:szCs w:val="12"/>
                <w:vertAlign w:val="superscript"/>
                <w:lang w:val="en-AU"/>
              </w:rPr>
              <w:t>(1)</w:t>
            </w:r>
            <w:r w:rsidR="00E656D6">
              <w:rPr>
                <w:sz w:val="20"/>
                <w:szCs w:val="12"/>
                <w:lang w:val="en-AU"/>
              </w:rPr>
              <w:t xml:space="preserve"> The timing of the release in the Australian market is expected to be within 1 to 3 years</w:t>
            </w:r>
            <w:r w:rsidR="00AA7B32">
              <w:rPr>
                <w:sz w:val="20"/>
                <w:szCs w:val="12"/>
                <w:lang w:val="en-AU"/>
              </w:rPr>
              <w:t xml:space="preserve"> depending on global priorities of chemical suppliers.</w:t>
            </w:r>
            <w:r w:rsidR="00E656D6">
              <w:rPr>
                <w:sz w:val="20"/>
                <w:szCs w:val="12"/>
                <w:lang w:val="en-AU"/>
              </w:rPr>
              <w:t xml:space="preserve"> </w:t>
            </w:r>
            <w:r>
              <w:rPr>
                <w:sz w:val="20"/>
                <w:szCs w:val="12"/>
                <w:lang w:val="en-AU"/>
              </w:rPr>
              <w:t xml:space="preserve"> </w:t>
            </w:r>
          </w:p>
          <w:p w:rsidR="001E0FEE" w:rsidRPr="00C0761F" w:rsidRDefault="00E656D6" w:rsidP="001E0FEE">
            <w:pPr>
              <w:spacing w:before="60" w:after="60"/>
              <w:outlineLvl w:val="0"/>
              <w:rPr>
                <w:sz w:val="20"/>
                <w:szCs w:val="12"/>
                <w:lang w:val="en-AU"/>
              </w:rPr>
            </w:pPr>
            <w:r w:rsidRPr="00AA7B32">
              <w:rPr>
                <w:sz w:val="20"/>
                <w:szCs w:val="12"/>
                <w:vertAlign w:val="superscript"/>
                <w:lang w:val="en-AU"/>
              </w:rPr>
              <w:t>(2)</w:t>
            </w:r>
            <w:r>
              <w:rPr>
                <w:sz w:val="20"/>
                <w:szCs w:val="12"/>
                <w:lang w:val="en-AU"/>
              </w:rPr>
              <w:t xml:space="preserve"> </w:t>
            </w:r>
            <w:r w:rsidR="001E0FEE">
              <w:rPr>
                <w:sz w:val="20"/>
                <w:szCs w:val="12"/>
                <w:lang w:val="en-AU"/>
              </w:rPr>
              <w:t xml:space="preserve">This cost comment relates to a general base cost scenario without a carbon levy. </w:t>
            </w:r>
          </w:p>
        </w:tc>
      </w:tr>
    </w:tbl>
    <w:p w:rsidR="009519E2" w:rsidRPr="00EB32DD" w:rsidRDefault="009519E2" w:rsidP="009519E2">
      <w:pPr>
        <w:spacing w:before="0"/>
        <w:rPr>
          <w:sz w:val="18"/>
        </w:rPr>
      </w:pPr>
      <w:r w:rsidRPr="00EB32DD">
        <w:rPr>
          <w:sz w:val="18"/>
        </w:rPr>
        <w:t>(</w:t>
      </w:r>
      <w:r>
        <w:rPr>
          <w:sz w:val="18"/>
        </w:rPr>
        <w:t>Source</w:t>
      </w:r>
      <w:r w:rsidR="00CA3FEC">
        <w:rPr>
          <w:sz w:val="18"/>
        </w:rPr>
        <w:t xml:space="preserve">: UNEP 2013c, </w:t>
      </w:r>
      <w:r w:rsidR="00CA3FEC" w:rsidRPr="00CA3FEC">
        <w:rPr>
          <w:sz w:val="18"/>
        </w:rPr>
        <w:t>p4</w:t>
      </w:r>
      <w:r w:rsidR="00BE6E91">
        <w:rPr>
          <w:sz w:val="18"/>
        </w:rPr>
        <w:t>0</w:t>
      </w:r>
      <w:r w:rsidR="00CA3FEC" w:rsidRPr="00CA3FEC">
        <w:rPr>
          <w:sz w:val="18"/>
        </w:rPr>
        <w:t xml:space="preserve"> to 46</w:t>
      </w:r>
      <w:r w:rsidRPr="00EB32DD">
        <w:rPr>
          <w:sz w:val="18"/>
        </w:rPr>
        <w:t>)</w:t>
      </w:r>
    </w:p>
    <w:p w:rsidR="00CA3FEC" w:rsidRPr="00CA3FEC" w:rsidRDefault="009519E2" w:rsidP="00CA3FEC">
      <w:pPr>
        <w:spacing w:before="0"/>
        <w:rPr>
          <w:b/>
        </w:rPr>
      </w:pPr>
      <w:r>
        <w:br w:type="page"/>
      </w:r>
      <w:r w:rsidR="00FA6D6C" w:rsidRPr="00FA6D6C">
        <w:rPr>
          <w:b/>
        </w:rPr>
        <w:t>Summary of emerging HFO blends on the near horizon</w:t>
      </w:r>
      <w:r w:rsidRPr="00D10192">
        <w:rPr>
          <w:b/>
        </w:rPr>
        <w:t xml:space="preserve"> (continued)</w:t>
      </w:r>
    </w:p>
    <w:tbl>
      <w:tblPr>
        <w:tblW w:w="13338" w:type="dxa"/>
        <w:tblInd w:w="95" w:type="dxa"/>
        <w:tblLayout w:type="fixed"/>
        <w:tblLook w:val="0000"/>
      </w:tblPr>
      <w:tblGrid>
        <w:gridCol w:w="1998"/>
        <w:gridCol w:w="3260"/>
        <w:gridCol w:w="3969"/>
        <w:gridCol w:w="4111"/>
      </w:tblGrid>
      <w:tr w:rsidR="00CA3FEC" w:rsidRPr="00CA68EC" w:rsidTr="00CA3FEC">
        <w:trPr>
          <w:trHeight w:val="260"/>
        </w:trPr>
        <w:tc>
          <w:tcPr>
            <w:tcW w:w="1998" w:type="dxa"/>
            <w:tcBorders>
              <w:top w:val="nil"/>
              <w:left w:val="single" w:sz="4" w:space="0" w:color="auto"/>
              <w:bottom w:val="single" w:sz="4" w:space="0" w:color="auto"/>
              <w:right w:val="single" w:sz="4" w:space="0" w:color="FFFFFF" w:themeColor="background1"/>
            </w:tcBorders>
            <w:shd w:val="clear" w:color="auto" w:fill="000000"/>
            <w:noWrap/>
            <w:vAlign w:val="center"/>
          </w:tcPr>
          <w:p w:rsidR="00CA3FEC" w:rsidRPr="00A362C9" w:rsidRDefault="00CA3FEC" w:rsidP="00CA3FEC">
            <w:pPr>
              <w:spacing w:before="0"/>
              <w:outlineLvl w:val="0"/>
              <w:rPr>
                <w:color w:val="FFFFFF"/>
                <w:szCs w:val="12"/>
                <w:lang w:val="en-AU"/>
              </w:rPr>
            </w:pPr>
          </w:p>
          <w:p w:rsidR="00CA3FEC" w:rsidRPr="00A362C9" w:rsidRDefault="00CA3FEC" w:rsidP="00CA3FEC">
            <w:pPr>
              <w:spacing w:before="0"/>
              <w:outlineLvl w:val="0"/>
              <w:rPr>
                <w:color w:val="FFFFFF"/>
                <w:szCs w:val="12"/>
                <w:lang w:val="en-AU"/>
              </w:rPr>
            </w:pPr>
            <w:r>
              <w:rPr>
                <w:color w:val="FFFFFF"/>
                <w:szCs w:val="12"/>
                <w:lang w:val="en-AU"/>
              </w:rPr>
              <w:t>Developmental blends and intended application</w:t>
            </w:r>
          </w:p>
          <w:p w:rsidR="00CA3FEC" w:rsidRPr="00A362C9" w:rsidRDefault="00CA3FEC" w:rsidP="00CA3FEC">
            <w:pPr>
              <w:spacing w:before="0"/>
              <w:outlineLvl w:val="0"/>
              <w:rPr>
                <w:color w:val="FFFFFF"/>
                <w:szCs w:val="12"/>
                <w:lang w:val="en-AU"/>
              </w:rPr>
            </w:pPr>
          </w:p>
        </w:tc>
        <w:tc>
          <w:tcPr>
            <w:tcW w:w="3260" w:type="dxa"/>
            <w:tcBorders>
              <w:top w:val="nil"/>
              <w:left w:val="single" w:sz="4" w:space="0" w:color="FFFFFF" w:themeColor="background1"/>
              <w:bottom w:val="single" w:sz="4" w:space="0" w:color="auto"/>
              <w:right w:val="single" w:sz="4" w:space="0" w:color="FFFFFF" w:themeColor="background1"/>
            </w:tcBorders>
            <w:shd w:val="clear" w:color="auto" w:fill="000000"/>
            <w:vAlign w:val="center"/>
          </w:tcPr>
          <w:p w:rsidR="00CA3FEC" w:rsidRPr="00A362C9" w:rsidRDefault="00CA3FEC" w:rsidP="00CA3FEC">
            <w:pPr>
              <w:spacing w:before="0"/>
              <w:jc w:val="left"/>
              <w:outlineLvl w:val="0"/>
              <w:rPr>
                <w:color w:val="FFFFFF"/>
                <w:szCs w:val="12"/>
                <w:lang w:val="en-AU"/>
              </w:rPr>
            </w:pPr>
            <w:r>
              <w:rPr>
                <w:color w:val="FFFFFF"/>
                <w:szCs w:val="12"/>
                <w:lang w:val="en-AU"/>
              </w:rPr>
              <w:t>Energy efficiency, efficacy</w:t>
            </w:r>
          </w:p>
        </w:tc>
        <w:tc>
          <w:tcPr>
            <w:tcW w:w="3969" w:type="dxa"/>
            <w:tcBorders>
              <w:top w:val="nil"/>
              <w:left w:val="single" w:sz="4" w:space="0" w:color="FFFFFF" w:themeColor="background1"/>
              <w:bottom w:val="single" w:sz="4" w:space="0" w:color="auto"/>
              <w:right w:val="single" w:sz="4" w:space="0" w:color="FFFFFF" w:themeColor="background1"/>
            </w:tcBorders>
            <w:shd w:val="clear" w:color="auto" w:fill="000000"/>
            <w:noWrap/>
            <w:vAlign w:val="center"/>
          </w:tcPr>
          <w:p w:rsidR="00CA3FEC" w:rsidRPr="00A362C9" w:rsidRDefault="00CA3FEC" w:rsidP="00CA3FEC">
            <w:pPr>
              <w:spacing w:before="0"/>
              <w:jc w:val="left"/>
              <w:outlineLvl w:val="0"/>
              <w:rPr>
                <w:color w:val="FFFFFF"/>
                <w:szCs w:val="12"/>
                <w:lang w:val="en-AU"/>
              </w:rPr>
            </w:pPr>
            <w:r>
              <w:rPr>
                <w:color w:val="FFFFFF"/>
                <w:szCs w:val="12"/>
                <w:lang w:val="en-AU"/>
              </w:rPr>
              <w:t>Extent of commercialisation and cost indication</w:t>
            </w:r>
          </w:p>
        </w:tc>
        <w:tc>
          <w:tcPr>
            <w:tcW w:w="4111" w:type="dxa"/>
            <w:tcBorders>
              <w:top w:val="nil"/>
              <w:left w:val="single" w:sz="4" w:space="0" w:color="FFFFFF" w:themeColor="background1"/>
              <w:bottom w:val="single" w:sz="4" w:space="0" w:color="auto"/>
              <w:right w:val="single" w:sz="4" w:space="0" w:color="auto"/>
            </w:tcBorders>
            <w:shd w:val="clear" w:color="auto" w:fill="000000"/>
            <w:noWrap/>
            <w:vAlign w:val="center"/>
          </w:tcPr>
          <w:p w:rsidR="00CA3FEC" w:rsidRPr="00A362C9" w:rsidRDefault="00CA3FEC" w:rsidP="00CA3FEC">
            <w:pPr>
              <w:spacing w:before="0"/>
              <w:jc w:val="left"/>
              <w:outlineLvl w:val="0"/>
              <w:rPr>
                <w:color w:val="FFFFFF"/>
                <w:szCs w:val="12"/>
                <w:lang w:val="en-AU"/>
              </w:rPr>
            </w:pPr>
            <w:r>
              <w:rPr>
                <w:color w:val="FFFFFF"/>
                <w:szCs w:val="12"/>
                <w:lang w:val="en-AU"/>
              </w:rPr>
              <w:t>Barriers and restrictions</w:t>
            </w:r>
          </w:p>
        </w:tc>
      </w:tr>
      <w:tr w:rsidR="00D0213E" w:rsidRPr="00CA68EC" w:rsidTr="00CA3FEC">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noWrap/>
          </w:tcPr>
          <w:p w:rsidR="00D0213E" w:rsidRDefault="00D0213E" w:rsidP="00D0213E">
            <w:pPr>
              <w:spacing w:before="60" w:after="60"/>
              <w:jc w:val="left"/>
              <w:outlineLvl w:val="0"/>
              <w:rPr>
                <w:sz w:val="20"/>
                <w:szCs w:val="12"/>
                <w:lang w:val="en-AU"/>
              </w:rPr>
            </w:pPr>
            <w:r>
              <w:rPr>
                <w:sz w:val="20"/>
                <w:szCs w:val="12"/>
                <w:lang w:val="en-AU"/>
              </w:rPr>
              <w:t xml:space="preserve">L-41 (GWP of </w:t>
            </w:r>
            <w:r w:rsidRPr="00781B3F">
              <w:rPr>
                <w:sz w:val="20"/>
                <w:szCs w:val="12"/>
                <w:lang w:val="en-AU"/>
              </w:rPr>
              <w:t>460)</w:t>
            </w:r>
          </w:p>
          <w:p w:rsidR="00D0213E" w:rsidRDefault="00D0213E" w:rsidP="00D0213E">
            <w:pPr>
              <w:spacing w:before="60" w:after="60"/>
              <w:jc w:val="left"/>
              <w:outlineLvl w:val="0"/>
              <w:rPr>
                <w:sz w:val="20"/>
                <w:szCs w:val="12"/>
                <w:lang w:val="en-AU"/>
              </w:rPr>
            </w:pPr>
            <w:r>
              <w:rPr>
                <w:sz w:val="20"/>
                <w:szCs w:val="12"/>
                <w:lang w:val="en-AU"/>
              </w:rPr>
              <w:t>Replace HFC-410</w:t>
            </w:r>
          </w:p>
          <w:p w:rsidR="00D0213E" w:rsidRPr="00CA68EC" w:rsidRDefault="00D0213E" w:rsidP="007A078B">
            <w:pPr>
              <w:spacing w:before="60" w:after="60"/>
              <w:jc w:val="left"/>
              <w:outlineLvl w:val="0"/>
              <w:rPr>
                <w:sz w:val="20"/>
                <w:szCs w:val="12"/>
                <w:lang w:val="en-AU"/>
              </w:rPr>
            </w:pPr>
            <w:r>
              <w:rPr>
                <w:sz w:val="20"/>
                <w:szCs w:val="12"/>
                <w:lang w:val="en-AU"/>
              </w:rPr>
              <w:t>Stationary AC</w:t>
            </w:r>
          </w:p>
        </w:tc>
        <w:tc>
          <w:tcPr>
            <w:tcW w:w="3260" w:type="dxa"/>
            <w:tcBorders>
              <w:top w:val="single" w:sz="4" w:space="0" w:color="auto"/>
              <w:left w:val="single" w:sz="4" w:space="0" w:color="auto"/>
              <w:bottom w:val="single" w:sz="4" w:space="0" w:color="auto"/>
              <w:right w:val="single" w:sz="4" w:space="0" w:color="auto"/>
            </w:tcBorders>
          </w:tcPr>
          <w:p w:rsidR="00D0213E" w:rsidRPr="00CA68EC" w:rsidRDefault="00D0213E" w:rsidP="007A078B">
            <w:pPr>
              <w:spacing w:before="60" w:after="60"/>
              <w:jc w:val="left"/>
              <w:outlineLvl w:val="0"/>
              <w:rPr>
                <w:sz w:val="20"/>
                <w:szCs w:val="12"/>
                <w:lang w:val="en-AU"/>
              </w:rPr>
            </w:pPr>
            <w:r w:rsidRPr="007A078B">
              <w:rPr>
                <w:sz w:val="20"/>
                <w:szCs w:val="12"/>
                <w:lang w:val="en-AU"/>
              </w:rPr>
              <w:t xml:space="preserve">The efficiency of L-41 systems is at the same level of R-410A. The capacity is approximately 6% to 10% lower than </w:t>
            </w:r>
            <w:r>
              <w:rPr>
                <w:sz w:val="20"/>
                <w:szCs w:val="12"/>
                <w:lang w:val="en-AU"/>
              </w:rPr>
              <w:t>HFC</w:t>
            </w:r>
            <w:r w:rsidRPr="007A078B">
              <w:rPr>
                <w:sz w:val="20"/>
                <w:szCs w:val="12"/>
                <w:lang w:val="en-AU"/>
              </w:rPr>
              <w:t xml:space="preserve">-410A still this capacity is easily recovered in new systems. Discharge temperatures are slightly higher than </w:t>
            </w:r>
            <w:r>
              <w:rPr>
                <w:sz w:val="20"/>
                <w:szCs w:val="12"/>
                <w:lang w:val="en-AU"/>
              </w:rPr>
              <w:t>HFC</w:t>
            </w:r>
            <w:r w:rsidRPr="007A078B">
              <w:rPr>
                <w:sz w:val="20"/>
                <w:szCs w:val="12"/>
                <w:lang w:val="en-AU"/>
              </w:rPr>
              <w:t>-410A, still below the limit of existing compressors technologies. Due to its relative higher critical point compared to other refrigerants, L-41 performs well at high ambient temperatures (warm climates).</w:t>
            </w:r>
          </w:p>
        </w:tc>
        <w:tc>
          <w:tcPr>
            <w:tcW w:w="3969" w:type="dxa"/>
            <w:tcBorders>
              <w:top w:val="single" w:sz="4" w:space="0" w:color="auto"/>
              <w:left w:val="single" w:sz="4" w:space="0" w:color="auto"/>
              <w:bottom w:val="single" w:sz="4" w:space="0" w:color="auto"/>
              <w:right w:val="nil"/>
            </w:tcBorders>
            <w:shd w:val="clear" w:color="auto" w:fill="auto"/>
            <w:noWrap/>
          </w:tcPr>
          <w:p w:rsidR="00D0213E" w:rsidRDefault="00D0213E" w:rsidP="00D0213E">
            <w:pPr>
              <w:spacing w:before="60" w:after="60"/>
              <w:jc w:val="left"/>
              <w:outlineLvl w:val="0"/>
              <w:rPr>
                <w:sz w:val="20"/>
                <w:szCs w:val="12"/>
                <w:lang w:val="en-AU"/>
              </w:rPr>
            </w:pPr>
            <w:r>
              <w:rPr>
                <w:sz w:val="20"/>
                <w:szCs w:val="12"/>
                <w:lang w:val="en-AU"/>
              </w:rPr>
              <w:t xml:space="preserve">Equipment </w:t>
            </w:r>
            <w:r w:rsidRPr="006F57A6">
              <w:rPr>
                <w:sz w:val="20"/>
                <w:szCs w:val="12"/>
                <w:lang w:val="en-AU"/>
              </w:rPr>
              <w:t xml:space="preserve">components are already produced </w:t>
            </w:r>
            <w:r>
              <w:rPr>
                <w:sz w:val="20"/>
                <w:szCs w:val="12"/>
                <w:lang w:val="en-AU"/>
              </w:rPr>
              <w:t xml:space="preserve">on </w:t>
            </w:r>
            <w:r w:rsidRPr="006F57A6">
              <w:rPr>
                <w:sz w:val="20"/>
                <w:szCs w:val="12"/>
                <w:lang w:val="en-AU"/>
              </w:rPr>
              <w:t>a commercial scale</w:t>
            </w:r>
            <w:r>
              <w:rPr>
                <w:sz w:val="20"/>
                <w:szCs w:val="12"/>
                <w:lang w:val="en-AU"/>
              </w:rPr>
              <w:t xml:space="preserve">. </w:t>
            </w:r>
            <w:r w:rsidRPr="006F57A6">
              <w:rPr>
                <w:sz w:val="20"/>
                <w:szCs w:val="12"/>
                <w:lang w:val="en-AU"/>
              </w:rPr>
              <w:t>It is anticipated that this refrigerant will</w:t>
            </w:r>
            <w:r>
              <w:rPr>
                <w:sz w:val="20"/>
                <w:szCs w:val="12"/>
                <w:lang w:val="en-AU"/>
              </w:rPr>
              <w:t xml:space="preserve"> be available during the next 1 to </w:t>
            </w:r>
            <w:r w:rsidRPr="006F57A6">
              <w:rPr>
                <w:sz w:val="20"/>
                <w:szCs w:val="12"/>
                <w:lang w:val="en-AU"/>
              </w:rPr>
              <w:t>2 years.</w:t>
            </w:r>
            <w:r>
              <w:rPr>
                <w:sz w:val="20"/>
                <w:szCs w:val="12"/>
                <w:lang w:val="en-AU"/>
              </w:rPr>
              <w:t xml:space="preserve"> </w:t>
            </w:r>
            <w:r>
              <w:rPr>
                <w:sz w:val="20"/>
                <w:szCs w:val="12"/>
                <w:vertAlign w:val="superscript"/>
                <w:lang w:val="en-AU"/>
              </w:rPr>
              <w:t>(</w:t>
            </w:r>
            <w:r w:rsidRPr="00AA7B32">
              <w:rPr>
                <w:sz w:val="20"/>
                <w:szCs w:val="12"/>
                <w:vertAlign w:val="superscript"/>
                <w:lang w:val="en-AU"/>
              </w:rPr>
              <w:t>1)</w:t>
            </w:r>
          </w:p>
          <w:p w:rsidR="00D0213E" w:rsidRDefault="00D0213E" w:rsidP="00D0213E">
            <w:pPr>
              <w:spacing w:before="60" w:after="60"/>
              <w:jc w:val="left"/>
              <w:outlineLvl w:val="0"/>
              <w:rPr>
                <w:sz w:val="20"/>
                <w:szCs w:val="12"/>
                <w:lang w:val="en-AU"/>
              </w:rPr>
            </w:pPr>
            <w:r>
              <w:rPr>
                <w:sz w:val="20"/>
                <w:szCs w:val="12"/>
                <w:lang w:val="en-AU"/>
              </w:rPr>
              <w:t>Contains HFO-1234ze(E) which has a moderate cost and greater availability than HFO-1234yf.</w:t>
            </w:r>
          </w:p>
          <w:p w:rsidR="00D0213E" w:rsidRPr="00CA68EC" w:rsidRDefault="00D0213E" w:rsidP="00C60A82">
            <w:pPr>
              <w:spacing w:before="60" w:after="60"/>
              <w:jc w:val="left"/>
              <w:outlineLvl w:val="0"/>
              <w:rPr>
                <w:sz w:val="20"/>
                <w:szCs w:val="12"/>
                <w:lang w:val="en-AU"/>
              </w:rPr>
            </w:pPr>
            <w:r w:rsidRPr="007A078B">
              <w:rPr>
                <w:sz w:val="20"/>
                <w:szCs w:val="12"/>
                <w:lang w:val="en-AU"/>
              </w:rPr>
              <w:t xml:space="preserve">The direct cost of this refrigerant is similar to </w:t>
            </w:r>
            <w:r>
              <w:rPr>
                <w:sz w:val="20"/>
                <w:szCs w:val="12"/>
                <w:lang w:val="en-AU"/>
              </w:rPr>
              <w:t>HFC</w:t>
            </w:r>
            <w:r w:rsidRPr="007A078B">
              <w:rPr>
                <w:sz w:val="20"/>
                <w:szCs w:val="12"/>
                <w:lang w:val="en-AU"/>
              </w:rPr>
              <w:t>-410A.</w:t>
            </w:r>
            <w:r>
              <w:rPr>
                <w:sz w:val="20"/>
                <w:szCs w:val="12"/>
                <w:vertAlign w:val="superscript"/>
                <w:lang w:val="en-AU"/>
              </w:rPr>
              <w:t>(2</w:t>
            </w:r>
            <w:r w:rsidRPr="00AA7B32">
              <w:rPr>
                <w:sz w:val="20"/>
                <w:szCs w:val="12"/>
                <w:vertAlign w:val="superscript"/>
                <w:lang w:val="en-AU"/>
              </w:rPr>
              <w:t>)</w:t>
            </w:r>
            <w:r>
              <w:rPr>
                <w:sz w:val="20"/>
                <w:szCs w:val="12"/>
                <w:lang w:val="en-AU"/>
              </w:rPr>
              <w:t xml:space="preserve"> </w:t>
            </w:r>
            <w:r w:rsidRPr="007A078B">
              <w:rPr>
                <w:sz w:val="20"/>
                <w:szCs w:val="12"/>
                <w:lang w:val="en-AU"/>
              </w:rPr>
              <w:t xml:space="preserve">It works well with existing POE lubricants. Power consumption increases its effectiveness at high ambient temperatures relative to </w:t>
            </w:r>
            <w:r>
              <w:rPr>
                <w:sz w:val="20"/>
                <w:szCs w:val="12"/>
                <w:lang w:val="en-AU"/>
              </w:rPr>
              <w:t>HFC</w:t>
            </w:r>
            <w:r w:rsidRPr="007A078B">
              <w:rPr>
                <w:sz w:val="20"/>
                <w:szCs w:val="12"/>
                <w:lang w:val="en-AU"/>
              </w:rPr>
              <w:t>-410A.</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D0213E" w:rsidRPr="00CA68EC" w:rsidRDefault="00D0213E" w:rsidP="00CA3FEC">
            <w:pPr>
              <w:spacing w:before="60" w:after="60"/>
              <w:jc w:val="left"/>
              <w:outlineLvl w:val="0"/>
              <w:rPr>
                <w:sz w:val="20"/>
                <w:szCs w:val="12"/>
                <w:lang w:val="en-AU"/>
              </w:rPr>
            </w:pPr>
            <w:r>
              <w:rPr>
                <w:sz w:val="20"/>
                <w:szCs w:val="12"/>
                <w:lang w:val="en-AU"/>
              </w:rPr>
              <w:t>As above.</w:t>
            </w:r>
          </w:p>
        </w:tc>
      </w:tr>
      <w:tr w:rsidR="00D0213E" w:rsidRPr="00CA68EC" w:rsidTr="00CA3FEC">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noWrap/>
          </w:tcPr>
          <w:p w:rsidR="00D0213E" w:rsidRDefault="00D0213E" w:rsidP="00D0213E">
            <w:pPr>
              <w:spacing w:before="60" w:after="60"/>
              <w:jc w:val="left"/>
              <w:outlineLvl w:val="0"/>
              <w:rPr>
                <w:sz w:val="20"/>
                <w:szCs w:val="12"/>
                <w:lang w:val="en-AU"/>
              </w:rPr>
            </w:pPr>
            <w:r>
              <w:rPr>
                <w:sz w:val="20"/>
                <w:szCs w:val="12"/>
                <w:lang w:val="en-AU"/>
              </w:rPr>
              <w:t>DR-5 (GWP of 490)</w:t>
            </w:r>
          </w:p>
          <w:p w:rsidR="00D0213E" w:rsidRDefault="00D0213E" w:rsidP="00D0213E">
            <w:pPr>
              <w:spacing w:before="60" w:after="60"/>
              <w:jc w:val="left"/>
              <w:outlineLvl w:val="0"/>
              <w:rPr>
                <w:sz w:val="20"/>
                <w:szCs w:val="12"/>
                <w:lang w:val="en-AU"/>
              </w:rPr>
            </w:pPr>
            <w:r>
              <w:rPr>
                <w:sz w:val="20"/>
                <w:szCs w:val="12"/>
                <w:lang w:val="en-AU"/>
              </w:rPr>
              <w:t xml:space="preserve">Replace HFC-410 </w:t>
            </w:r>
          </w:p>
          <w:p w:rsidR="00D0213E" w:rsidRPr="00CA68EC" w:rsidRDefault="00D0213E" w:rsidP="00BE6E91">
            <w:pPr>
              <w:spacing w:before="60" w:after="60"/>
              <w:jc w:val="left"/>
              <w:outlineLvl w:val="0"/>
              <w:rPr>
                <w:sz w:val="20"/>
                <w:szCs w:val="12"/>
                <w:lang w:val="en-AU"/>
              </w:rPr>
            </w:pPr>
            <w:r>
              <w:rPr>
                <w:sz w:val="20"/>
                <w:szCs w:val="12"/>
                <w:lang w:val="en-AU"/>
              </w:rPr>
              <w:t>Stationary AC</w:t>
            </w:r>
          </w:p>
        </w:tc>
        <w:tc>
          <w:tcPr>
            <w:tcW w:w="3260" w:type="dxa"/>
            <w:tcBorders>
              <w:top w:val="single" w:sz="4" w:space="0" w:color="auto"/>
              <w:left w:val="single" w:sz="4" w:space="0" w:color="auto"/>
              <w:bottom w:val="single" w:sz="4" w:space="0" w:color="auto"/>
              <w:right w:val="single" w:sz="4" w:space="0" w:color="auto"/>
            </w:tcBorders>
          </w:tcPr>
          <w:p w:rsidR="00D0213E" w:rsidRPr="00CA68EC" w:rsidRDefault="00D0213E" w:rsidP="00E656D6">
            <w:pPr>
              <w:spacing w:before="60" w:after="60"/>
              <w:jc w:val="left"/>
              <w:outlineLvl w:val="0"/>
              <w:rPr>
                <w:sz w:val="20"/>
                <w:szCs w:val="12"/>
                <w:lang w:val="en-AU"/>
              </w:rPr>
            </w:pPr>
            <w:r w:rsidRPr="00BE6E91">
              <w:rPr>
                <w:sz w:val="20"/>
                <w:szCs w:val="12"/>
                <w:lang w:val="en-AU"/>
              </w:rPr>
              <w:t xml:space="preserve">The efficiency of </w:t>
            </w:r>
            <w:r>
              <w:rPr>
                <w:sz w:val="20"/>
                <w:szCs w:val="12"/>
                <w:lang w:val="en-AU"/>
              </w:rPr>
              <w:t>DR-5</w:t>
            </w:r>
            <w:r w:rsidRPr="00BE6E91">
              <w:rPr>
                <w:sz w:val="20"/>
                <w:szCs w:val="12"/>
                <w:lang w:val="en-AU"/>
              </w:rPr>
              <w:t xml:space="preserve"> is at the same level of </w:t>
            </w:r>
            <w:r>
              <w:rPr>
                <w:sz w:val="20"/>
                <w:szCs w:val="12"/>
                <w:lang w:val="en-AU"/>
              </w:rPr>
              <w:t>HFC</w:t>
            </w:r>
            <w:r w:rsidRPr="00BE6E91">
              <w:rPr>
                <w:sz w:val="20"/>
                <w:szCs w:val="12"/>
                <w:lang w:val="en-AU"/>
              </w:rPr>
              <w:t xml:space="preserve">-410A. The capacity is approximately 6% to 10% lower than </w:t>
            </w:r>
            <w:r>
              <w:rPr>
                <w:sz w:val="20"/>
                <w:szCs w:val="12"/>
                <w:lang w:val="en-AU"/>
              </w:rPr>
              <w:t>HFC</w:t>
            </w:r>
            <w:r w:rsidRPr="00BE6E91">
              <w:rPr>
                <w:sz w:val="20"/>
                <w:szCs w:val="12"/>
                <w:lang w:val="en-AU"/>
              </w:rPr>
              <w:t xml:space="preserve">-410A still this capacity is easily recovered in new systems. Discharge temperatures are slightly higher than </w:t>
            </w:r>
            <w:r>
              <w:rPr>
                <w:sz w:val="20"/>
                <w:szCs w:val="12"/>
                <w:lang w:val="en-AU"/>
              </w:rPr>
              <w:t>HFC</w:t>
            </w:r>
            <w:r w:rsidRPr="00BE6E91">
              <w:rPr>
                <w:sz w:val="20"/>
                <w:szCs w:val="12"/>
                <w:lang w:val="en-AU"/>
              </w:rPr>
              <w:t>-410A, still below the limit of existing compressors technologies. Due to its relative higher critical point compared to other refrigerants, DR-5 performs well at high ambient temperatures (warm climates).</w:t>
            </w:r>
          </w:p>
        </w:tc>
        <w:tc>
          <w:tcPr>
            <w:tcW w:w="3969" w:type="dxa"/>
            <w:tcBorders>
              <w:top w:val="single" w:sz="4" w:space="0" w:color="auto"/>
              <w:left w:val="single" w:sz="4" w:space="0" w:color="auto"/>
              <w:bottom w:val="single" w:sz="4" w:space="0" w:color="auto"/>
              <w:right w:val="nil"/>
            </w:tcBorders>
            <w:shd w:val="clear" w:color="auto" w:fill="auto"/>
            <w:noWrap/>
          </w:tcPr>
          <w:p w:rsidR="00D0213E" w:rsidRDefault="00D0213E" w:rsidP="00D0213E">
            <w:pPr>
              <w:spacing w:before="60" w:after="60"/>
              <w:jc w:val="left"/>
              <w:outlineLvl w:val="0"/>
              <w:rPr>
                <w:sz w:val="20"/>
                <w:szCs w:val="12"/>
                <w:lang w:val="en-AU"/>
              </w:rPr>
            </w:pPr>
            <w:r>
              <w:rPr>
                <w:sz w:val="20"/>
                <w:szCs w:val="12"/>
                <w:lang w:val="en-AU"/>
              </w:rPr>
              <w:t xml:space="preserve">Equipment </w:t>
            </w:r>
            <w:r w:rsidRPr="006F57A6">
              <w:rPr>
                <w:sz w:val="20"/>
                <w:szCs w:val="12"/>
                <w:lang w:val="en-AU"/>
              </w:rPr>
              <w:t xml:space="preserve">components are already produced </w:t>
            </w:r>
            <w:r>
              <w:rPr>
                <w:sz w:val="20"/>
                <w:szCs w:val="12"/>
                <w:lang w:val="en-AU"/>
              </w:rPr>
              <w:t xml:space="preserve">on </w:t>
            </w:r>
            <w:r w:rsidRPr="006F57A6">
              <w:rPr>
                <w:sz w:val="20"/>
                <w:szCs w:val="12"/>
                <w:lang w:val="en-AU"/>
              </w:rPr>
              <w:t>a commercial scale</w:t>
            </w:r>
            <w:r>
              <w:rPr>
                <w:sz w:val="20"/>
                <w:szCs w:val="12"/>
                <w:lang w:val="en-AU"/>
              </w:rPr>
              <w:t xml:space="preserve">. </w:t>
            </w:r>
            <w:r w:rsidRPr="006F57A6">
              <w:rPr>
                <w:sz w:val="20"/>
                <w:szCs w:val="12"/>
                <w:lang w:val="en-AU"/>
              </w:rPr>
              <w:t>It is anticipated that this refrigerant will</w:t>
            </w:r>
            <w:r>
              <w:rPr>
                <w:sz w:val="20"/>
                <w:szCs w:val="12"/>
                <w:lang w:val="en-AU"/>
              </w:rPr>
              <w:t xml:space="preserve"> be available during the next 1 to 2 years</w:t>
            </w:r>
            <w:r w:rsidRPr="006F57A6">
              <w:rPr>
                <w:sz w:val="20"/>
                <w:szCs w:val="12"/>
                <w:lang w:val="en-AU"/>
              </w:rPr>
              <w:t>.</w:t>
            </w:r>
            <w:r>
              <w:rPr>
                <w:sz w:val="20"/>
                <w:szCs w:val="12"/>
                <w:lang w:val="en-AU"/>
              </w:rPr>
              <w:t xml:space="preserve"> </w:t>
            </w:r>
            <w:r>
              <w:rPr>
                <w:sz w:val="20"/>
                <w:szCs w:val="12"/>
                <w:vertAlign w:val="superscript"/>
                <w:lang w:val="en-AU"/>
              </w:rPr>
              <w:t>(</w:t>
            </w:r>
            <w:r w:rsidRPr="00AA7B32">
              <w:rPr>
                <w:sz w:val="20"/>
                <w:szCs w:val="12"/>
                <w:vertAlign w:val="superscript"/>
                <w:lang w:val="en-AU"/>
              </w:rPr>
              <w:t>1)</w:t>
            </w:r>
          </w:p>
          <w:p w:rsidR="00D0213E" w:rsidRDefault="00D0213E" w:rsidP="00D0213E">
            <w:pPr>
              <w:spacing w:before="60" w:after="60"/>
              <w:jc w:val="left"/>
              <w:outlineLvl w:val="0"/>
              <w:rPr>
                <w:sz w:val="20"/>
                <w:szCs w:val="12"/>
                <w:lang w:val="en-AU"/>
              </w:rPr>
            </w:pPr>
            <w:r w:rsidRPr="00781B3F">
              <w:rPr>
                <w:sz w:val="20"/>
                <w:szCs w:val="12"/>
                <w:lang w:val="en-AU"/>
              </w:rPr>
              <w:t xml:space="preserve">The direct cost of this refrigerant would be </w:t>
            </w:r>
            <w:r w:rsidR="0006760D">
              <w:rPr>
                <w:sz w:val="20"/>
                <w:szCs w:val="12"/>
                <w:lang w:val="en-AU"/>
              </w:rPr>
              <w:t>slightly high as it contains HFO</w:t>
            </w:r>
            <w:r w:rsidRPr="00781B3F">
              <w:rPr>
                <w:sz w:val="20"/>
                <w:szCs w:val="12"/>
                <w:lang w:val="en-AU"/>
              </w:rPr>
              <w:t>-1234yf which has a</w:t>
            </w:r>
            <w:r>
              <w:rPr>
                <w:sz w:val="20"/>
                <w:szCs w:val="12"/>
                <w:lang w:val="en-AU"/>
              </w:rPr>
              <w:t xml:space="preserve">n expensive manufacturing cost. </w:t>
            </w:r>
            <w:r>
              <w:rPr>
                <w:sz w:val="20"/>
                <w:szCs w:val="12"/>
                <w:vertAlign w:val="superscript"/>
                <w:lang w:val="en-AU"/>
              </w:rPr>
              <w:t>(2</w:t>
            </w:r>
            <w:r w:rsidRPr="00AA7B32">
              <w:rPr>
                <w:sz w:val="20"/>
                <w:szCs w:val="12"/>
                <w:vertAlign w:val="superscript"/>
                <w:lang w:val="en-AU"/>
              </w:rPr>
              <w:t>)</w:t>
            </w:r>
          </w:p>
          <w:p w:rsidR="00D0213E" w:rsidRDefault="00D0213E" w:rsidP="00D0213E">
            <w:pPr>
              <w:spacing w:before="60" w:after="60"/>
              <w:jc w:val="left"/>
              <w:outlineLvl w:val="0"/>
              <w:rPr>
                <w:sz w:val="20"/>
                <w:szCs w:val="12"/>
                <w:lang w:val="en-AU"/>
              </w:rPr>
            </w:pPr>
            <w:r w:rsidRPr="00781B3F">
              <w:rPr>
                <w:sz w:val="20"/>
                <w:szCs w:val="12"/>
                <w:lang w:val="en-AU"/>
              </w:rPr>
              <w:t xml:space="preserve">It works well with existing POE lubricants. Due to its good efficiency at high ambient temperatures, power consumption would be lower relative to </w:t>
            </w:r>
            <w:r>
              <w:rPr>
                <w:sz w:val="20"/>
                <w:szCs w:val="12"/>
                <w:lang w:val="en-AU"/>
              </w:rPr>
              <w:t>HFC</w:t>
            </w:r>
            <w:r w:rsidRPr="00781B3F">
              <w:rPr>
                <w:sz w:val="20"/>
                <w:szCs w:val="12"/>
                <w:lang w:val="en-AU"/>
              </w:rPr>
              <w:t>-410A.</w:t>
            </w:r>
          </w:p>
          <w:p w:rsidR="00D0213E" w:rsidRPr="00CA68EC" w:rsidRDefault="00D0213E" w:rsidP="00CA3FEC">
            <w:pPr>
              <w:spacing w:before="60" w:after="60"/>
              <w:jc w:val="left"/>
              <w:outlineLvl w:val="0"/>
              <w:rPr>
                <w:sz w:val="20"/>
                <w:szCs w:val="12"/>
                <w:lang w:val="en-AU"/>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D0213E" w:rsidRPr="003906F6" w:rsidRDefault="00D0213E" w:rsidP="00CA3FEC">
            <w:pPr>
              <w:spacing w:before="60" w:after="60"/>
              <w:outlineLvl w:val="0"/>
              <w:rPr>
                <w:sz w:val="20"/>
                <w:szCs w:val="12"/>
                <w:lang w:val="en-AU"/>
              </w:rPr>
            </w:pPr>
            <w:r>
              <w:rPr>
                <w:sz w:val="20"/>
                <w:szCs w:val="12"/>
                <w:lang w:val="en-AU"/>
              </w:rPr>
              <w:t>As above.</w:t>
            </w:r>
          </w:p>
        </w:tc>
      </w:tr>
      <w:tr w:rsidR="00D0213E" w:rsidRPr="00CA68EC" w:rsidTr="001E0FEE">
        <w:trPr>
          <w:trHeight w:val="260"/>
        </w:trPr>
        <w:tc>
          <w:tcPr>
            <w:tcW w:w="13338" w:type="dxa"/>
            <w:gridSpan w:val="4"/>
            <w:tcBorders>
              <w:top w:val="single" w:sz="4" w:space="0" w:color="auto"/>
              <w:left w:val="single" w:sz="4" w:space="0" w:color="auto"/>
              <w:bottom w:val="single" w:sz="4" w:space="0" w:color="auto"/>
              <w:right w:val="single" w:sz="4" w:space="0" w:color="auto"/>
            </w:tcBorders>
            <w:shd w:val="clear" w:color="auto" w:fill="auto"/>
            <w:noWrap/>
          </w:tcPr>
          <w:p w:rsidR="00D0213E" w:rsidRDefault="00D0213E" w:rsidP="00D0213E">
            <w:pPr>
              <w:spacing w:before="60" w:after="60"/>
              <w:outlineLvl w:val="0"/>
              <w:rPr>
                <w:sz w:val="20"/>
                <w:szCs w:val="12"/>
                <w:lang w:val="en-AU"/>
              </w:rPr>
            </w:pPr>
            <w:r>
              <w:rPr>
                <w:sz w:val="20"/>
                <w:szCs w:val="12"/>
                <w:vertAlign w:val="superscript"/>
                <w:lang w:val="en-AU"/>
              </w:rPr>
              <w:t>(</w:t>
            </w:r>
            <w:r w:rsidRPr="00AA7B32">
              <w:rPr>
                <w:sz w:val="20"/>
                <w:szCs w:val="12"/>
                <w:vertAlign w:val="superscript"/>
                <w:lang w:val="en-AU"/>
              </w:rPr>
              <w:t>1)</w:t>
            </w:r>
            <w:r>
              <w:rPr>
                <w:sz w:val="20"/>
                <w:szCs w:val="12"/>
                <w:lang w:val="en-AU"/>
              </w:rPr>
              <w:t xml:space="preserve"> The timing of the release in the Australian market is expected to be within 1 to 3 years depending on global priorities of chemical suppliers.  </w:t>
            </w:r>
          </w:p>
          <w:p w:rsidR="00D0213E" w:rsidRPr="00C0761F" w:rsidRDefault="00D0213E" w:rsidP="00AA7B32">
            <w:pPr>
              <w:spacing w:before="60" w:after="60"/>
              <w:outlineLvl w:val="0"/>
              <w:rPr>
                <w:sz w:val="20"/>
                <w:szCs w:val="12"/>
                <w:lang w:val="en-AU"/>
              </w:rPr>
            </w:pPr>
            <w:r w:rsidRPr="00AA7B32">
              <w:rPr>
                <w:sz w:val="20"/>
                <w:szCs w:val="12"/>
                <w:vertAlign w:val="superscript"/>
                <w:lang w:val="en-AU"/>
              </w:rPr>
              <w:t>(2)</w:t>
            </w:r>
            <w:r>
              <w:rPr>
                <w:sz w:val="20"/>
                <w:szCs w:val="12"/>
                <w:lang w:val="en-AU"/>
              </w:rPr>
              <w:t xml:space="preserve"> This cost comment relates to a general base cost scenario without a carbon levy.</w:t>
            </w:r>
          </w:p>
        </w:tc>
      </w:tr>
    </w:tbl>
    <w:p w:rsidR="00CA3FEC" w:rsidRPr="00EB32DD" w:rsidRDefault="00CA3FEC" w:rsidP="00CA3FEC">
      <w:pPr>
        <w:spacing w:before="0"/>
        <w:rPr>
          <w:sz w:val="18"/>
        </w:rPr>
      </w:pPr>
      <w:r w:rsidRPr="00EB32DD">
        <w:rPr>
          <w:sz w:val="18"/>
        </w:rPr>
        <w:t>(</w:t>
      </w:r>
      <w:r>
        <w:rPr>
          <w:sz w:val="18"/>
        </w:rPr>
        <w:t xml:space="preserve">Source: UNEP 2013c, </w:t>
      </w:r>
      <w:r w:rsidRPr="00CA3FEC">
        <w:rPr>
          <w:sz w:val="18"/>
        </w:rPr>
        <w:t>p4</w:t>
      </w:r>
      <w:r w:rsidR="00BE6E91">
        <w:rPr>
          <w:sz w:val="18"/>
        </w:rPr>
        <w:t>0</w:t>
      </w:r>
      <w:r w:rsidRPr="00CA3FEC">
        <w:rPr>
          <w:sz w:val="18"/>
        </w:rPr>
        <w:t xml:space="preserve"> to 46</w:t>
      </w:r>
      <w:r w:rsidRPr="00EB32DD">
        <w:rPr>
          <w:sz w:val="18"/>
        </w:rPr>
        <w:t>)</w:t>
      </w:r>
    </w:p>
    <w:p w:rsidR="00CA3FEC" w:rsidRPr="00EB32DD" w:rsidRDefault="00CA3FEC" w:rsidP="00CA3FEC">
      <w:pPr>
        <w:spacing w:before="0"/>
        <w:rPr>
          <w:sz w:val="18"/>
        </w:rPr>
      </w:pPr>
    </w:p>
    <w:p w:rsidR="00CA3FEC" w:rsidRDefault="00CA3FEC" w:rsidP="00FA6D6C">
      <w:pPr>
        <w:spacing w:before="0"/>
      </w:pPr>
    </w:p>
    <w:p w:rsidR="00CA3FEC" w:rsidRDefault="00CA3FEC" w:rsidP="00FA6D6C">
      <w:pPr>
        <w:spacing w:before="0"/>
      </w:pPr>
    </w:p>
    <w:p w:rsidR="00781B3F" w:rsidRPr="00CA3FEC" w:rsidRDefault="009519E2" w:rsidP="00781B3F">
      <w:pPr>
        <w:spacing w:before="0"/>
        <w:rPr>
          <w:b/>
        </w:rPr>
      </w:pPr>
      <w:r>
        <w:br w:type="page"/>
      </w:r>
      <w:r w:rsidR="00781B3F" w:rsidRPr="00FA6D6C">
        <w:rPr>
          <w:b/>
        </w:rPr>
        <w:t>Summary of emerging HFO blends on the near horizon</w:t>
      </w:r>
      <w:r w:rsidR="00781B3F" w:rsidRPr="00D10192">
        <w:rPr>
          <w:b/>
        </w:rPr>
        <w:t xml:space="preserve"> (continued)</w:t>
      </w:r>
    </w:p>
    <w:tbl>
      <w:tblPr>
        <w:tblW w:w="13338" w:type="dxa"/>
        <w:tblInd w:w="95" w:type="dxa"/>
        <w:tblLayout w:type="fixed"/>
        <w:tblLook w:val="0000"/>
      </w:tblPr>
      <w:tblGrid>
        <w:gridCol w:w="1998"/>
        <w:gridCol w:w="3260"/>
        <w:gridCol w:w="3969"/>
        <w:gridCol w:w="4111"/>
      </w:tblGrid>
      <w:tr w:rsidR="00781B3F" w:rsidRPr="00CA68EC" w:rsidTr="00781B3F">
        <w:trPr>
          <w:trHeight w:val="260"/>
        </w:trPr>
        <w:tc>
          <w:tcPr>
            <w:tcW w:w="1998" w:type="dxa"/>
            <w:tcBorders>
              <w:top w:val="nil"/>
              <w:left w:val="single" w:sz="4" w:space="0" w:color="auto"/>
              <w:bottom w:val="single" w:sz="4" w:space="0" w:color="auto"/>
              <w:right w:val="single" w:sz="4" w:space="0" w:color="FFFFFF" w:themeColor="background1"/>
            </w:tcBorders>
            <w:shd w:val="clear" w:color="auto" w:fill="000000"/>
            <w:noWrap/>
            <w:vAlign w:val="center"/>
          </w:tcPr>
          <w:p w:rsidR="00781B3F" w:rsidRPr="00A362C9" w:rsidRDefault="00781B3F" w:rsidP="00781B3F">
            <w:pPr>
              <w:spacing w:before="0"/>
              <w:outlineLvl w:val="0"/>
              <w:rPr>
                <w:color w:val="FFFFFF"/>
                <w:szCs w:val="12"/>
                <w:lang w:val="en-AU"/>
              </w:rPr>
            </w:pPr>
          </w:p>
          <w:p w:rsidR="00781B3F" w:rsidRPr="00A362C9" w:rsidRDefault="00781B3F" w:rsidP="00781B3F">
            <w:pPr>
              <w:spacing w:before="0"/>
              <w:outlineLvl w:val="0"/>
              <w:rPr>
                <w:color w:val="FFFFFF"/>
                <w:szCs w:val="12"/>
                <w:lang w:val="en-AU"/>
              </w:rPr>
            </w:pPr>
            <w:r>
              <w:rPr>
                <w:color w:val="FFFFFF"/>
                <w:szCs w:val="12"/>
                <w:lang w:val="en-AU"/>
              </w:rPr>
              <w:t>Developmental blends and intended application</w:t>
            </w:r>
          </w:p>
          <w:p w:rsidR="00781B3F" w:rsidRPr="00A362C9" w:rsidRDefault="00781B3F" w:rsidP="00781B3F">
            <w:pPr>
              <w:spacing w:before="0"/>
              <w:outlineLvl w:val="0"/>
              <w:rPr>
                <w:color w:val="FFFFFF"/>
                <w:szCs w:val="12"/>
                <w:lang w:val="en-AU"/>
              </w:rPr>
            </w:pPr>
          </w:p>
        </w:tc>
        <w:tc>
          <w:tcPr>
            <w:tcW w:w="3260" w:type="dxa"/>
            <w:tcBorders>
              <w:top w:val="nil"/>
              <w:left w:val="single" w:sz="4" w:space="0" w:color="FFFFFF" w:themeColor="background1"/>
              <w:bottom w:val="single" w:sz="4" w:space="0" w:color="auto"/>
              <w:right w:val="single" w:sz="4" w:space="0" w:color="FFFFFF" w:themeColor="background1"/>
            </w:tcBorders>
            <w:shd w:val="clear" w:color="auto" w:fill="000000"/>
            <w:vAlign w:val="center"/>
          </w:tcPr>
          <w:p w:rsidR="00781B3F" w:rsidRPr="00A362C9" w:rsidRDefault="00781B3F" w:rsidP="00781B3F">
            <w:pPr>
              <w:spacing w:before="0"/>
              <w:jc w:val="left"/>
              <w:outlineLvl w:val="0"/>
              <w:rPr>
                <w:color w:val="FFFFFF"/>
                <w:szCs w:val="12"/>
                <w:lang w:val="en-AU"/>
              </w:rPr>
            </w:pPr>
            <w:r>
              <w:rPr>
                <w:color w:val="FFFFFF"/>
                <w:szCs w:val="12"/>
                <w:lang w:val="en-AU"/>
              </w:rPr>
              <w:t>Energy efficiency, efficacy</w:t>
            </w:r>
          </w:p>
        </w:tc>
        <w:tc>
          <w:tcPr>
            <w:tcW w:w="3969" w:type="dxa"/>
            <w:tcBorders>
              <w:top w:val="nil"/>
              <w:left w:val="single" w:sz="4" w:space="0" w:color="FFFFFF" w:themeColor="background1"/>
              <w:bottom w:val="single" w:sz="4" w:space="0" w:color="auto"/>
              <w:right w:val="single" w:sz="4" w:space="0" w:color="FFFFFF" w:themeColor="background1"/>
            </w:tcBorders>
            <w:shd w:val="clear" w:color="auto" w:fill="000000"/>
            <w:noWrap/>
            <w:vAlign w:val="center"/>
          </w:tcPr>
          <w:p w:rsidR="00781B3F" w:rsidRPr="00A362C9" w:rsidRDefault="00781B3F" w:rsidP="00781B3F">
            <w:pPr>
              <w:spacing w:before="0"/>
              <w:jc w:val="left"/>
              <w:outlineLvl w:val="0"/>
              <w:rPr>
                <w:color w:val="FFFFFF"/>
                <w:szCs w:val="12"/>
                <w:lang w:val="en-AU"/>
              </w:rPr>
            </w:pPr>
            <w:r>
              <w:rPr>
                <w:color w:val="FFFFFF"/>
                <w:szCs w:val="12"/>
                <w:lang w:val="en-AU"/>
              </w:rPr>
              <w:t>Extent of commercialisation and cost indication</w:t>
            </w:r>
          </w:p>
        </w:tc>
        <w:tc>
          <w:tcPr>
            <w:tcW w:w="4111" w:type="dxa"/>
            <w:tcBorders>
              <w:top w:val="nil"/>
              <w:left w:val="single" w:sz="4" w:space="0" w:color="FFFFFF" w:themeColor="background1"/>
              <w:bottom w:val="single" w:sz="4" w:space="0" w:color="auto"/>
              <w:right w:val="single" w:sz="4" w:space="0" w:color="auto"/>
            </w:tcBorders>
            <w:shd w:val="clear" w:color="auto" w:fill="000000"/>
            <w:noWrap/>
            <w:vAlign w:val="center"/>
          </w:tcPr>
          <w:p w:rsidR="00781B3F" w:rsidRPr="00A362C9" w:rsidRDefault="00781B3F" w:rsidP="00781B3F">
            <w:pPr>
              <w:spacing w:before="0"/>
              <w:jc w:val="left"/>
              <w:outlineLvl w:val="0"/>
              <w:rPr>
                <w:color w:val="FFFFFF"/>
                <w:szCs w:val="12"/>
                <w:lang w:val="en-AU"/>
              </w:rPr>
            </w:pPr>
            <w:r>
              <w:rPr>
                <w:color w:val="FFFFFF"/>
                <w:szCs w:val="12"/>
                <w:lang w:val="en-AU"/>
              </w:rPr>
              <w:t>Barriers and restrictions</w:t>
            </w:r>
          </w:p>
        </w:tc>
      </w:tr>
      <w:tr w:rsidR="00D0213E" w:rsidRPr="00CA68EC" w:rsidTr="00781B3F">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noWrap/>
          </w:tcPr>
          <w:p w:rsidR="00D0213E" w:rsidRDefault="00D0213E" w:rsidP="00D0213E">
            <w:pPr>
              <w:spacing w:before="60" w:after="60"/>
              <w:jc w:val="left"/>
              <w:outlineLvl w:val="0"/>
              <w:rPr>
                <w:sz w:val="20"/>
                <w:szCs w:val="12"/>
                <w:lang w:val="en-AU"/>
              </w:rPr>
            </w:pPr>
            <w:r>
              <w:rPr>
                <w:sz w:val="20"/>
                <w:szCs w:val="12"/>
                <w:lang w:val="en-AU"/>
              </w:rPr>
              <w:t xml:space="preserve">N-13 (GWP of </w:t>
            </w:r>
            <w:r w:rsidRPr="004963EE">
              <w:rPr>
                <w:sz w:val="20"/>
                <w:szCs w:val="12"/>
                <w:lang w:val="en-AU"/>
              </w:rPr>
              <w:t>590)</w:t>
            </w:r>
          </w:p>
          <w:p w:rsidR="00D0213E" w:rsidRDefault="00D0213E" w:rsidP="00D0213E">
            <w:pPr>
              <w:spacing w:before="60" w:after="60"/>
              <w:jc w:val="left"/>
              <w:outlineLvl w:val="0"/>
              <w:rPr>
                <w:sz w:val="20"/>
                <w:szCs w:val="12"/>
                <w:lang w:val="en-AU"/>
              </w:rPr>
            </w:pPr>
            <w:r>
              <w:rPr>
                <w:sz w:val="20"/>
                <w:szCs w:val="12"/>
                <w:lang w:val="en-AU"/>
              </w:rPr>
              <w:t xml:space="preserve">Replace HFC-134a </w:t>
            </w:r>
          </w:p>
          <w:p w:rsidR="00D0213E" w:rsidRPr="00CA68EC" w:rsidRDefault="00D0213E" w:rsidP="00781B3F">
            <w:pPr>
              <w:spacing w:before="60" w:after="60"/>
              <w:jc w:val="left"/>
              <w:outlineLvl w:val="0"/>
              <w:rPr>
                <w:sz w:val="20"/>
                <w:szCs w:val="12"/>
                <w:lang w:val="en-AU"/>
              </w:rPr>
            </w:pPr>
            <w:r>
              <w:rPr>
                <w:sz w:val="20"/>
                <w:szCs w:val="12"/>
                <w:lang w:val="en-AU"/>
              </w:rPr>
              <w:t>Medium temp non-domestic refrigeration and stationary AC where HFC-134a is currently used.</w:t>
            </w:r>
          </w:p>
        </w:tc>
        <w:tc>
          <w:tcPr>
            <w:tcW w:w="3260" w:type="dxa"/>
            <w:tcBorders>
              <w:top w:val="single" w:sz="4" w:space="0" w:color="auto"/>
              <w:left w:val="single" w:sz="4" w:space="0" w:color="auto"/>
              <w:bottom w:val="single" w:sz="4" w:space="0" w:color="auto"/>
              <w:right w:val="single" w:sz="4" w:space="0" w:color="auto"/>
            </w:tcBorders>
          </w:tcPr>
          <w:p w:rsidR="00D0213E" w:rsidRDefault="00D0213E" w:rsidP="00D0213E">
            <w:pPr>
              <w:spacing w:before="60" w:after="60"/>
              <w:jc w:val="left"/>
              <w:outlineLvl w:val="0"/>
              <w:rPr>
                <w:sz w:val="21"/>
              </w:rPr>
            </w:pPr>
            <w:r>
              <w:rPr>
                <w:sz w:val="21"/>
              </w:rPr>
              <w:t>When used in reciprocating or scroll compressors, this refrigerant produces efficiency levels comparable to HFC-134a.</w:t>
            </w:r>
          </w:p>
          <w:p w:rsidR="00D0213E" w:rsidRPr="00CA68EC" w:rsidRDefault="00D0213E" w:rsidP="00781B3F">
            <w:pPr>
              <w:spacing w:before="60" w:after="60"/>
              <w:jc w:val="left"/>
              <w:outlineLvl w:val="0"/>
              <w:rPr>
                <w:sz w:val="20"/>
                <w:szCs w:val="12"/>
                <w:lang w:val="en-AU"/>
              </w:rPr>
            </w:pPr>
            <w:r w:rsidRPr="004963EE">
              <w:rPr>
                <w:sz w:val="20"/>
                <w:szCs w:val="12"/>
                <w:lang w:val="en-AU"/>
              </w:rPr>
              <w:t>When used in scroll and reciprocating compressors, the same POE lubricant oil can be used.</w:t>
            </w:r>
          </w:p>
        </w:tc>
        <w:tc>
          <w:tcPr>
            <w:tcW w:w="3969" w:type="dxa"/>
            <w:tcBorders>
              <w:top w:val="single" w:sz="4" w:space="0" w:color="auto"/>
              <w:left w:val="single" w:sz="4" w:space="0" w:color="auto"/>
              <w:bottom w:val="single" w:sz="4" w:space="0" w:color="auto"/>
              <w:right w:val="nil"/>
            </w:tcBorders>
            <w:shd w:val="clear" w:color="auto" w:fill="auto"/>
            <w:noWrap/>
          </w:tcPr>
          <w:p w:rsidR="00D0213E" w:rsidRDefault="00D0213E" w:rsidP="00D0213E">
            <w:pPr>
              <w:spacing w:before="60" w:after="60"/>
              <w:jc w:val="left"/>
              <w:outlineLvl w:val="0"/>
              <w:rPr>
                <w:sz w:val="21"/>
              </w:rPr>
            </w:pPr>
            <w:r>
              <w:rPr>
                <w:sz w:val="21"/>
              </w:rPr>
              <w:t>These chemicals are already produced at a commercial scale. It is anticipated that this refrigerant will be available during the next 1</w:t>
            </w:r>
            <w:r w:rsidR="002E6AC8">
              <w:rPr>
                <w:sz w:val="21"/>
              </w:rPr>
              <w:t xml:space="preserve"> to </w:t>
            </w:r>
            <w:r>
              <w:rPr>
                <w:sz w:val="21"/>
              </w:rPr>
              <w:t>2</w:t>
            </w:r>
            <w:r w:rsidR="005206A3">
              <w:rPr>
                <w:sz w:val="21"/>
              </w:rPr>
              <w:t xml:space="preserve"> years</w:t>
            </w:r>
            <w:r>
              <w:rPr>
                <w:sz w:val="21"/>
              </w:rPr>
              <w:t>.</w:t>
            </w:r>
            <w:r>
              <w:rPr>
                <w:sz w:val="20"/>
                <w:szCs w:val="12"/>
                <w:vertAlign w:val="superscript"/>
                <w:lang w:val="en-AU"/>
              </w:rPr>
              <w:t xml:space="preserve"> (</w:t>
            </w:r>
            <w:r w:rsidRPr="00AA7B32">
              <w:rPr>
                <w:sz w:val="20"/>
                <w:szCs w:val="12"/>
                <w:vertAlign w:val="superscript"/>
                <w:lang w:val="en-AU"/>
              </w:rPr>
              <w:t>1)</w:t>
            </w:r>
          </w:p>
          <w:p w:rsidR="00D0213E" w:rsidRPr="00CA68EC" w:rsidRDefault="00D0213E" w:rsidP="00C60A82">
            <w:pPr>
              <w:spacing w:before="60" w:after="60"/>
              <w:jc w:val="left"/>
              <w:outlineLvl w:val="0"/>
              <w:rPr>
                <w:sz w:val="20"/>
                <w:szCs w:val="12"/>
                <w:lang w:val="en-AU"/>
              </w:rPr>
            </w:pPr>
            <w:r w:rsidRPr="004963EE">
              <w:rPr>
                <w:sz w:val="20"/>
                <w:szCs w:val="12"/>
                <w:lang w:val="en-AU"/>
              </w:rPr>
              <w:t>Being a blend of HF</w:t>
            </w:r>
            <w:r>
              <w:rPr>
                <w:sz w:val="20"/>
                <w:szCs w:val="12"/>
                <w:lang w:val="en-AU"/>
              </w:rPr>
              <w:t>O</w:t>
            </w:r>
            <w:r w:rsidRPr="004963EE">
              <w:rPr>
                <w:sz w:val="20"/>
                <w:szCs w:val="12"/>
                <w:lang w:val="en-AU"/>
              </w:rPr>
              <w:t>-1234ze(E) and existing ones (HFC-134a), its cost is moderate and not significant</w:t>
            </w:r>
            <w:r>
              <w:rPr>
                <w:sz w:val="20"/>
                <w:szCs w:val="12"/>
                <w:lang w:val="en-AU"/>
              </w:rPr>
              <w:t>ly</w:t>
            </w:r>
            <w:r w:rsidRPr="004963EE">
              <w:rPr>
                <w:sz w:val="20"/>
                <w:szCs w:val="12"/>
                <w:lang w:val="en-AU"/>
              </w:rPr>
              <w:t xml:space="preserve"> different from existing blends available in the market.</w:t>
            </w:r>
            <w:r>
              <w:rPr>
                <w:sz w:val="20"/>
                <w:szCs w:val="12"/>
                <w:vertAlign w:val="superscript"/>
                <w:lang w:val="en-AU"/>
              </w:rPr>
              <w:t>(2</w:t>
            </w:r>
            <w:r w:rsidRPr="00AA7B32">
              <w:rPr>
                <w:sz w:val="20"/>
                <w:szCs w:val="12"/>
                <w:vertAlign w:val="superscript"/>
                <w:lang w:val="en-AU"/>
              </w:rPr>
              <w:t>)</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D0213E" w:rsidRDefault="00D0213E" w:rsidP="00D0213E">
            <w:pPr>
              <w:spacing w:before="60" w:after="60"/>
              <w:jc w:val="left"/>
              <w:outlineLvl w:val="0"/>
              <w:rPr>
                <w:sz w:val="20"/>
                <w:szCs w:val="12"/>
                <w:lang w:val="en-AU"/>
              </w:rPr>
            </w:pPr>
            <w:r w:rsidRPr="00781B3F">
              <w:rPr>
                <w:sz w:val="20"/>
                <w:szCs w:val="12"/>
                <w:lang w:val="en-AU"/>
              </w:rPr>
              <w:t xml:space="preserve">This refrigerant would be classified by ISO 817 </w:t>
            </w:r>
            <w:r>
              <w:rPr>
                <w:sz w:val="20"/>
                <w:szCs w:val="12"/>
                <w:lang w:val="en-AU"/>
              </w:rPr>
              <w:t xml:space="preserve">as </w:t>
            </w:r>
            <w:r w:rsidRPr="00781B3F">
              <w:rPr>
                <w:sz w:val="20"/>
                <w:szCs w:val="12"/>
                <w:lang w:val="en-AU"/>
              </w:rPr>
              <w:t>A1 (low toxicity, non-flammability).</w:t>
            </w:r>
          </w:p>
          <w:p w:rsidR="00D0213E" w:rsidRPr="00CA68EC" w:rsidRDefault="00D0213E" w:rsidP="004963EE">
            <w:pPr>
              <w:spacing w:before="60" w:after="60"/>
              <w:jc w:val="left"/>
              <w:outlineLvl w:val="0"/>
              <w:rPr>
                <w:sz w:val="20"/>
                <w:szCs w:val="12"/>
                <w:lang w:val="en-AU"/>
              </w:rPr>
            </w:pPr>
            <w:r w:rsidRPr="004963EE">
              <w:rPr>
                <w:sz w:val="20"/>
                <w:szCs w:val="12"/>
                <w:lang w:val="en-AU"/>
              </w:rPr>
              <w:t>Being non-flammable and having a moderate cost, this refrigerant is on a fast track for adoption.</w:t>
            </w:r>
          </w:p>
        </w:tc>
      </w:tr>
      <w:tr w:rsidR="00D0213E" w:rsidRPr="00CA68EC" w:rsidTr="00781B3F">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noWrap/>
          </w:tcPr>
          <w:p w:rsidR="00D0213E" w:rsidRDefault="00D0213E" w:rsidP="00D0213E">
            <w:pPr>
              <w:spacing w:before="60" w:after="60"/>
              <w:jc w:val="left"/>
              <w:outlineLvl w:val="0"/>
              <w:rPr>
                <w:sz w:val="20"/>
                <w:szCs w:val="12"/>
                <w:lang w:val="en-AU"/>
              </w:rPr>
            </w:pPr>
            <w:r>
              <w:rPr>
                <w:sz w:val="20"/>
                <w:szCs w:val="12"/>
                <w:lang w:val="en-AU"/>
              </w:rPr>
              <w:t>XP-10 (GWP of 630)</w:t>
            </w:r>
          </w:p>
          <w:p w:rsidR="00D0213E" w:rsidRPr="00CA68EC" w:rsidRDefault="00D0213E" w:rsidP="00781B3F">
            <w:pPr>
              <w:spacing w:before="60" w:after="60"/>
              <w:jc w:val="left"/>
              <w:outlineLvl w:val="0"/>
              <w:rPr>
                <w:sz w:val="20"/>
                <w:szCs w:val="12"/>
                <w:lang w:val="en-AU"/>
              </w:rPr>
            </w:pPr>
            <w:r>
              <w:rPr>
                <w:sz w:val="20"/>
                <w:szCs w:val="12"/>
                <w:lang w:val="en-AU"/>
              </w:rPr>
              <w:t>As above.</w:t>
            </w:r>
          </w:p>
        </w:tc>
        <w:tc>
          <w:tcPr>
            <w:tcW w:w="3260" w:type="dxa"/>
            <w:tcBorders>
              <w:top w:val="single" w:sz="4" w:space="0" w:color="auto"/>
              <w:left w:val="single" w:sz="4" w:space="0" w:color="auto"/>
              <w:bottom w:val="single" w:sz="4" w:space="0" w:color="auto"/>
              <w:right w:val="single" w:sz="4" w:space="0" w:color="auto"/>
            </w:tcBorders>
          </w:tcPr>
          <w:p w:rsidR="00D0213E" w:rsidRDefault="00D0213E" w:rsidP="00D0213E">
            <w:pPr>
              <w:spacing w:before="60" w:after="60"/>
              <w:jc w:val="left"/>
              <w:outlineLvl w:val="0"/>
              <w:rPr>
                <w:sz w:val="20"/>
                <w:szCs w:val="12"/>
                <w:lang w:val="en-AU"/>
              </w:rPr>
            </w:pPr>
            <w:r>
              <w:rPr>
                <w:sz w:val="20"/>
                <w:szCs w:val="12"/>
                <w:lang w:val="en-AU"/>
              </w:rPr>
              <w:t>As above.</w:t>
            </w:r>
          </w:p>
          <w:p w:rsidR="00D0213E" w:rsidRPr="00CA68EC" w:rsidRDefault="00D0213E" w:rsidP="00781B3F">
            <w:pPr>
              <w:spacing w:before="60" w:after="60"/>
              <w:jc w:val="left"/>
              <w:outlineLvl w:val="0"/>
              <w:rPr>
                <w:sz w:val="20"/>
                <w:szCs w:val="12"/>
                <w:lang w:val="en-AU"/>
              </w:rPr>
            </w:pPr>
            <w:r w:rsidRPr="004963EE">
              <w:rPr>
                <w:sz w:val="20"/>
                <w:szCs w:val="12"/>
                <w:lang w:val="en-AU"/>
              </w:rPr>
              <w:t>Due to its high critical temperature, it will perform very well in warm climates.</w:t>
            </w:r>
          </w:p>
        </w:tc>
        <w:tc>
          <w:tcPr>
            <w:tcW w:w="3969" w:type="dxa"/>
            <w:tcBorders>
              <w:top w:val="single" w:sz="4" w:space="0" w:color="auto"/>
              <w:left w:val="single" w:sz="4" w:space="0" w:color="auto"/>
              <w:bottom w:val="single" w:sz="4" w:space="0" w:color="auto"/>
              <w:right w:val="nil"/>
            </w:tcBorders>
            <w:shd w:val="clear" w:color="auto" w:fill="auto"/>
            <w:noWrap/>
          </w:tcPr>
          <w:p w:rsidR="00D0213E" w:rsidRDefault="00D0213E" w:rsidP="00D0213E">
            <w:pPr>
              <w:spacing w:before="60" w:after="60"/>
              <w:jc w:val="left"/>
              <w:outlineLvl w:val="0"/>
              <w:rPr>
                <w:sz w:val="20"/>
                <w:szCs w:val="12"/>
                <w:lang w:val="en-AU"/>
              </w:rPr>
            </w:pPr>
            <w:r>
              <w:rPr>
                <w:sz w:val="20"/>
                <w:szCs w:val="12"/>
                <w:lang w:val="en-AU"/>
              </w:rPr>
              <w:t xml:space="preserve">Equipment </w:t>
            </w:r>
            <w:r w:rsidRPr="006F57A6">
              <w:rPr>
                <w:sz w:val="20"/>
                <w:szCs w:val="12"/>
                <w:lang w:val="en-AU"/>
              </w:rPr>
              <w:t xml:space="preserve">components are already produced </w:t>
            </w:r>
            <w:r>
              <w:rPr>
                <w:sz w:val="20"/>
                <w:szCs w:val="12"/>
                <w:lang w:val="en-AU"/>
              </w:rPr>
              <w:t xml:space="preserve">on </w:t>
            </w:r>
            <w:r w:rsidRPr="006F57A6">
              <w:rPr>
                <w:sz w:val="20"/>
                <w:szCs w:val="12"/>
                <w:lang w:val="en-AU"/>
              </w:rPr>
              <w:t>a commercial scale</w:t>
            </w:r>
            <w:r>
              <w:rPr>
                <w:sz w:val="20"/>
                <w:szCs w:val="12"/>
                <w:lang w:val="en-AU"/>
              </w:rPr>
              <w:t xml:space="preserve">. </w:t>
            </w:r>
            <w:r w:rsidRPr="006F57A6">
              <w:rPr>
                <w:sz w:val="20"/>
                <w:szCs w:val="12"/>
                <w:lang w:val="en-AU"/>
              </w:rPr>
              <w:t>It is anticipated that this refrigerant will</w:t>
            </w:r>
            <w:r>
              <w:rPr>
                <w:sz w:val="20"/>
                <w:szCs w:val="12"/>
                <w:lang w:val="en-AU"/>
              </w:rPr>
              <w:t xml:space="preserve"> be available during the next 1 to </w:t>
            </w:r>
            <w:r w:rsidRPr="006F57A6">
              <w:rPr>
                <w:sz w:val="20"/>
                <w:szCs w:val="12"/>
                <w:lang w:val="en-AU"/>
              </w:rPr>
              <w:t>2 years.</w:t>
            </w:r>
            <w:r>
              <w:rPr>
                <w:sz w:val="20"/>
                <w:szCs w:val="12"/>
                <w:lang w:val="en-AU"/>
              </w:rPr>
              <w:t xml:space="preserve"> </w:t>
            </w:r>
            <w:r>
              <w:rPr>
                <w:sz w:val="20"/>
                <w:szCs w:val="12"/>
                <w:vertAlign w:val="superscript"/>
                <w:lang w:val="en-AU"/>
              </w:rPr>
              <w:t>(</w:t>
            </w:r>
            <w:r w:rsidRPr="00AA7B32">
              <w:rPr>
                <w:sz w:val="20"/>
                <w:szCs w:val="12"/>
                <w:vertAlign w:val="superscript"/>
                <w:lang w:val="en-AU"/>
              </w:rPr>
              <w:t>1)</w:t>
            </w:r>
          </w:p>
          <w:p w:rsidR="00D0213E" w:rsidRPr="00CA68EC" w:rsidRDefault="00D0213E" w:rsidP="004963EE">
            <w:pPr>
              <w:spacing w:before="60" w:after="60"/>
              <w:jc w:val="left"/>
              <w:outlineLvl w:val="0"/>
              <w:rPr>
                <w:sz w:val="20"/>
                <w:szCs w:val="12"/>
                <w:lang w:val="en-AU"/>
              </w:rPr>
            </w:pPr>
            <w:r>
              <w:rPr>
                <w:sz w:val="21"/>
              </w:rPr>
              <w:t>Being a blend of a high manufacturing cost molecule (HFO-1234yf) and HFC-134a, its cost is expected to be high.</w:t>
            </w:r>
            <w:r>
              <w:rPr>
                <w:sz w:val="20"/>
                <w:szCs w:val="12"/>
                <w:lang w:val="en-AU"/>
              </w:rPr>
              <w:t xml:space="preserve"> </w:t>
            </w:r>
            <w:r>
              <w:rPr>
                <w:sz w:val="20"/>
                <w:szCs w:val="12"/>
                <w:vertAlign w:val="superscript"/>
                <w:lang w:val="en-AU"/>
              </w:rPr>
              <w:t>(2</w:t>
            </w:r>
            <w:r w:rsidRPr="00AA7B32">
              <w:rPr>
                <w:sz w:val="20"/>
                <w:szCs w:val="12"/>
                <w:vertAlign w:val="superscript"/>
                <w:lang w:val="en-AU"/>
              </w:rPr>
              <w:t>)</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D0213E" w:rsidRDefault="00D0213E" w:rsidP="00D0213E">
            <w:pPr>
              <w:spacing w:before="60" w:after="60"/>
              <w:jc w:val="left"/>
              <w:outlineLvl w:val="0"/>
              <w:rPr>
                <w:sz w:val="20"/>
                <w:szCs w:val="12"/>
                <w:lang w:val="en-AU"/>
              </w:rPr>
            </w:pPr>
            <w:r w:rsidRPr="00781B3F">
              <w:rPr>
                <w:sz w:val="20"/>
                <w:szCs w:val="12"/>
                <w:lang w:val="en-AU"/>
              </w:rPr>
              <w:t xml:space="preserve">This refrigerant would be classified by ISO 817 </w:t>
            </w:r>
            <w:r>
              <w:rPr>
                <w:sz w:val="20"/>
                <w:szCs w:val="12"/>
                <w:lang w:val="en-AU"/>
              </w:rPr>
              <w:t xml:space="preserve">as </w:t>
            </w:r>
            <w:r w:rsidRPr="00781B3F">
              <w:rPr>
                <w:sz w:val="20"/>
                <w:szCs w:val="12"/>
                <w:lang w:val="en-AU"/>
              </w:rPr>
              <w:t>A1 (low toxicity, non-flammability).</w:t>
            </w:r>
          </w:p>
          <w:p w:rsidR="00D0213E" w:rsidRPr="003906F6" w:rsidRDefault="00D0213E" w:rsidP="004963EE">
            <w:pPr>
              <w:spacing w:before="60" w:after="60"/>
              <w:outlineLvl w:val="0"/>
              <w:rPr>
                <w:sz w:val="20"/>
                <w:szCs w:val="12"/>
                <w:lang w:val="en-AU"/>
              </w:rPr>
            </w:pPr>
            <w:r w:rsidRPr="004963EE">
              <w:rPr>
                <w:sz w:val="20"/>
                <w:szCs w:val="12"/>
                <w:lang w:val="en-AU"/>
              </w:rPr>
              <w:t>Its high cost would be the main barrier for widespread adoption by the market. There are also concerns regarding the decomposition products of some of the components in the event of a release into the environment.</w:t>
            </w:r>
          </w:p>
        </w:tc>
      </w:tr>
      <w:tr w:rsidR="00D0213E" w:rsidRPr="00CA68EC" w:rsidTr="00C60A82">
        <w:trPr>
          <w:trHeight w:val="260"/>
        </w:trPr>
        <w:tc>
          <w:tcPr>
            <w:tcW w:w="13338" w:type="dxa"/>
            <w:gridSpan w:val="4"/>
            <w:tcBorders>
              <w:top w:val="single" w:sz="4" w:space="0" w:color="auto"/>
              <w:left w:val="single" w:sz="4" w:space="0" w:color="auto"/>
              <w:bottom w:val="single" w:sz="4" w:space="0" w:color="auto"/>
              <w:right w:val="single" w:sz="4" w:space="0" w:color="auto"/>
            </w:tcBorders>
            <w:shd w:val="clear" w:color="auto" w:fill="auto"/>
            <w:noWrap/>
          </w:tcPr>
          <w:p w:rsidR="00D0213E" w:rsidRDefault="00D0213E" w:rsidP="00D0213E">
            <w:pPr>
              <w:spacing w:before="60" w:after="60"/>
              <w:outlineLvl w:val="0"/>
              <w:rPr>
                <w:sz w:val="20"/>
                <w:szCs w:val="12"/>
                <w:lang w:val="en-AU"/>
              </w:rPr>
            </w:pPr>
            <w:r>
              <w:rPr>
                <w:sz w:val="20"/>
                <w:szCs w:val="12"/>
                <w:vertAlign w:val="superscript"/>
                <w:lang w:val="en-AU"/>
              </w:rPr>
              <w:t>(</w:t>
            </w:r>
            <w:r w:rsidRPr="00AA7B32">
              <w:rPr>
                <w:sz w:val="20"/>
                <w:szCs w:val="12"/>
                <w:vertAlign w:val="superscript"/>
                <w:lang w:val="en-AU"/>
              </w:rPr>
              <w:t>1)</w:t>
            </w:r>
            <w:r>
              <w:rPr>
                <w:sz w:val="20"/>
                <w:szCs w:val="12"/>
                <w:lang w:val="en-AU"/>
              </w:rPr>
              <w:t xml:space="preserve"> The timing of the release in the Australian market is expected to be within 1 to 3 years depending on global priorities of chemical suppliers.  </w:t>
            </w:r>
          </w:p>
          <w:p w:rsidR="00D0213E" w:rsidRPr="00C0761F" w:rsidRDefault="00D0213E" w:rsidP="00C60A82">
            <w:pPr>
              <w:spacing w:before="60" w:after="60"/>
              <w:outlineLvl w:val="0"/>
              <w:rPr>
                <w:sz w:val="20"/>
                <w:szCs w:val="12"/>
                <w:lang w:val="en-AU"/>
              </w:rPr>
            </w:pPr>
            <w:r w:rsidRPr="00AA7B32">
              <w:rPr>
                <w:sz w:val="20"/>
                <w:szCs w:val="12"/>
                <w:vertAlign w:val="superscript"/>
                <w:lang w:val="en-AU"/>
              </w:rPr>
              <w:t>(2)</w:t>
            </w:r>
            <w:r>
              <w:rPr>
                <w:sz w:val="20"/>
                <w:szCs w:val="12"/>
                <w:lang w:val="en-AU"/>
              </w:rPr>
              <w:t xml:space="preserve"> This cost comment relates to a general base cost scenario without a carbon levy.</w:t>
            </w:r>
          </w:p>
        </w:tc>
      </w:tr>
    </w:tbl>
    <w:p w:rsidR="00781B3F" w:rsidRPr="00EB32DD" w:rsidRDefault="00781B3F" w:rsidP="00781B3F">
      <w:pPr>
        <w:spacing w:before="0"/>
        <w:rPr>
          <w:sz w:val="18"/>
        </w:rPr>
      </w:pPr>
      <w:r w:rsidRPr="00EB32DD">
        <w:rPr>
          <w:sz w:val="18"/>
        </w:rPr>
        <w:t>(</w:t>
      </w:r>
      <w:r>
        <w:rPr>
          <w:sz w:val="18"/>
        </w:rPr>
        <w:t xml:space="preserve">Source: UNEP 2013c, </w:t>
      </w:r>
      <w:r w:rsidRPr="00CA3FEC">
        <w:rPr>
          <w:sz w:val="18"/>
        </w:rPr>
        <w:t>p4</w:t>
      </w:r>
      <w:r>
        <w:rPr>
          <w:sz w:val="18"/>
        </w:rPr>
        <w:t>0</w:t>
      </w:r>
      <w:r w:rsidRPr="00CA3FEC">
        <w:rPr>
          <w:sz w:val="18"/>
        </w:rPr>
        <w:t xml:space="preserve"> to 46</w:t>
      </w:r>
      <w:r w:rsidRPr="00EB32DD">
        <w:rPr>
          <w:sz w:val="18"/>
        </w:rPr>
        <w:t>)</w:t>
      </w:r>
    </w:p>
    <w:p w:rsidR="00781B3F" w:rsidRPr="00EB32DD" w:rsidRDefault="00781B3F" w:rsidP="00781B3F">
      <w:pPr>
        <w:spacing w:before="0"/>
        <w:rPr>
          <w:sz w:val="18"/>
        </w:rPr>
      </w:pPr>
    </w:p>
    <w:p w:rsidR="004963EE" w:rsidRDefault="004963EE">
      <w:pPr>
        <w:spacing w:before="0"/>
        <w:jc w:val="left"/>
      </w:pPr>
      <w:r>
        <w:br w:type="page"/>
      </w:r>
    </w:p>
    <w:p w:rsidR="004963EE" w:rsidRPr="00CA3FEC" w:rsidRDefault="004963EE" w:rsidP="004963EE">
      <w:pPr>
        <w:spacing w:before="0"/>
        <w:rPr>
          <w:b/>
        </w:rPr>
      </w:pPr>
      <w:r w:rsidRPr="00FA6D6C">
        <w:rPr>
          <w:b/>
        </w:rPr>
        <w:t>Summary of emerging HFO blends on the near horizon</w:t>
      </w:r>
      <w:r w:rsidRPr="00D10192">
        <w:rPr>
          <w:b/>
        </w:rPr>
        <w:t xml:space="preserve"> (continued)</w:t>
      </w:r>
    </w:p>
    <w:tbl>
      <w:tblPr>
        <w:tblW w:w="13338" w:type="dxa"/>
        <w:tblInd w:w="95" w:type="dxa"/>
        <w:tblLayout w:type="fixed"/>
        <w:tblLook w:val="0000"/>
      </w:tblPr>
      <w:tblGrid>
        <w:gridCol w:w="1998"/>
        <w:gridCol w:w="3260"/>
        <w:gridCol w:w="3969"/>
        <w:gridCol w:w="4111"/>
      </w:tblGrid>
      <w:tr w:rsidR="004963EE" w:rsidRPr="00CA68EC" w:rsidTr="004963EE">
        <w:trPr>
          <w:trHeight w:val="260"/>
        </w:trPr>
        <w:tc>
          <w:tcPr>
            <w:tcW w:w="1998" w:type="dxa"/>
            <w:tcBorders>
              <w:top w:val="nil"/>
              <w:left w:val="single" w:sz="4" w:space="0" w:color="auto"/>
              <w:bottom w:val="single" w:sz="4" w:space="0" w:color="auto"/>
              <w:right w:val="single" w:sz="4" w:space="0" w:color="FFFFFF" w:themeColor="background1"/>
            </w:tcBorders>
            <w:shd w:val="clear" w:color="auto" w:fill="000000"/>
            <w:noWrap/>
            <w:vAlign w:val="center"/>
          </w:tcPr>
          <w:p w:rsidR="004963EE" w:rsidRPr="00A362C9" w:rsidRDefault="004963EE" w:rsidP="004963EE">
            <w:pPr>
              <w:spacing w:before="0"/>
              <w:outlineLvl w:val="0"/>
              <w:rPr>
                <w:color w:val="FFFFFF"/>
                <w:szCs w:val="12"/>
                <w:lang w:val="en-AU"/>
              </w:rPr>
            </w:pPr>
          </w:p>
          <w:p w:rsidR="004963EE" w:rsidRPr="00A362C9" w:rsidRDefault="004963EE" w:rsidP="004963EE">
            <w:pPr>
              <w:spacing w:before="0"/>
              <w:outlineLvl w:val="0"/>
              <w:rPr>
                <w:color w:val="FFFFFF"/>
                <w:szCs w:val="12"/>
                <w:lang w:val="en-AU"/>
              </w:rPr>
            </w:pPr>
            <w:r>
              <w:rPr>
                <w:color w:val="FFFFFF"/>
                <w:szCs w:val="12"/>
                <w:lang w:val="en-AU"/>
              </w:rPr>
              <w:t>Developmental blends and intended application</w:t>
            </w:r>
          </w:p>
          <w:p w:rsidR="004963EE" w:rsidRPr="00A362C9" w:rsidRDefault="004963EE" w:rsidP="004963EE">
            <w:pPr>
              <w:spacing w:before="0"/>
              <w:outlineLvl w:val="0"/>
              <w:rPr>
                <w:color w:val="FFFFFF"/>
                <w:szCs w:val="12"/>
                <w:lang w:val="en-AU"/>
              </w:rPr>
            </w:pPr>
          </w:p>
        </w:tc>
        <w:tc>
          <w:tcPr>
            <w:tcW w:w="3260" w:type="dxa"/>
            <w:tcBorders>
              <w:top w:val="nil"/>
              <w:left w:val="single" w:sz="4" w:space="0" w:color="FFFFFF" w:themeColor="background1"/>
              <w:bottom w:val="single" w:sz="4" w:space="0" w:color="auto"/>
              <w:right w:val="single" w:sz="4" w:space="0" w:color="FFFFFF" w:themeColor="background1"/>
            </w:tcBorders>
            <w:shd w:val="clear" w:color="auto" w:fill="000000"/>
            <w:vAlign w:val="center"/>
          </w:tcPr>
          <w:p w:rsidR="004963EE" w:rsidRPr="00A362C9" w:rsidRDefault="004963EE" w:rsidP="004963EE">
            <w:pPr>
              <w:spacing w:before="0"/>
              <w:jc w:val="left"/>
              <w:outlineLvl w:val="0"/>
              <w:rPr>
                <w:color w:val="FFFFFF"/>
                <w:szCs w:val="12"/>
                <w:lang w:val="en-AU"/>
              </w:rPr>
            </w:pPr>
            <w:r>
              <w:rPr>
                <w:color w:val="FFFFFF"/>
                <w:szCs w:val="12"/>
                <w:lang w:val="en-AU"/>
              </w:rPr>
              <w:t>Energy efficiency, efficacy</w:t>
            </w:r>
          </w:p>
        </w:tc>
        <w:tc>
          <w:tcPr>
            <w:tcW w:w="3969" w:type="dxa"/>
            <w:tcBorders>
              <w:top w:val="nil"/>
              <w:left w:val="single" w:sz="4" w:space="0" w:color="FFFFFF" w:themeColor="background1"/>
              <w:bottom w:val="single" w:sz="4" w:space="0" w:color="auto"/>
              <w:right w:val="single" w:sz="4" w:space="0" w:color="FFFFFF" w:themeColor="background1"/>
            </w:tcBorders>
            <w:shd w:val="clear" w:color="auto" w:fill="000000"/>
            <w:noWrap/>
            <w:vAlign w:val="center"/>
          </w:tcPr>
          <w:p w:rsidR="004963EE" w:rsidRPr="00A362C9" w:rsidRDefault="004963EE" w:rsidP="004963EE">
            <w:pPr>
              <w:spacing w:before="0"/>
              <w:jc w:val="left"/>
              <w:outlineLvl w:val="0"/>
              <w:rPr>
                <w:color w:val="FFFFFF"/>
                <w:szCs w:val="12"/>
                <w:lang w:val="en-AU"/>
              </w:rPr>
            </w:pPr>
            <w:r>
              <w:rPr>
                <w:color w:val="FFFFFF"/>
                <w:szCs w:val="12"/>
                <w:lang w:val="en-AU"/>
              </w:rPr>
              <w:t>Extent of commercialisation and cost indication</w:t>
            </w:r>
          </w:p>
        </w:tc>
        <w:tc>
          <w:tcPr>
            <w:tcW w:w="4111" w:type="dxa"/>
            <w:tcBorders>
              <w:top w:val="nil"/>
              <w:left w:val="single" w:sz="4" w:space="0" w:color="FFFFFF" w:themeColor="background1"/>
              <w:bottom w:val="single" w:sz="4" w:space="0" w:color="auto"/>
              <w:right w:val="single" w:sz="4" w:space="0" w:color="auto"/>
            </w:tcBorders>
            <w:shd w:val="clear" w:color="auto" w:fill="000000"/>
            <w:noWrap/>
            <w:vAlign w:val="center"/>
          </w:tcPr>
          <w:p w:rsidR="004963EE" w:rsidRPr="00A362C9" w:rsidRDefault="004963EE" w:rsidP="004963EE">
            <w:pPr>
              <w:spacing w:before="0"/>
              <w:jc w:val="left"/>
              <w:outlineLvl w:val="0"/>
              <w:rPr>
                <w:color w:val="FFFFFF"/>
                <w:szCs w:val="12"/>
                <w:lang w:val="en-AU"/>
              </w:rPr>
            </w:pPr>
            <w:r>
              <w:rPr>
                <w:color w:val="FFFFFF"/>
                <w:szCs w:val="12"/>
                <w:lang w:val="en-AU"/>
              </w:rPr>
              <w:t>Barriers and restrictions</w:t>
            </w:r>
          </w:p>
        </w:tc>
      </w:tr>
      <w:tr w:rsidR="00D0213E" w:rsidRPr="00CA68EC" w:rsidTr="004963EE">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noWrap/>
          </w:tcPr>
          <w:p w:rsidR="00D0213E" w:rsidRDefault="00D0213E" w:rsidP="00D0213E">
            <w:pPr>
              <w:spacing w:before="60" w:after="60"/>
              <w:jc w:val="left"/>
              <w:outlineLvl w:val="0"/>
              <w:rPr>
                <w:sz w:val="20"/>
                <w:szCs w:val="12"/>
                <w:lang w:val="en-AU"/>
              </w:rPr>
            </w:pPr>
            <w:r>
              <w:rPr>
                <w:sz w:val="20"/>
                <w:szCs w:val="12"/>
                <w:lang w:val="en-AU"/>
              </w:rPr>
              <w:t>N-40 (GWP of 1390</w:t>
            </w:r>
            <w:r w:rsidRPr="004963EE">
              <w:rPr>
                <w:sz w:val="20"/>
                <w:szCs w:val="12"/>
                <w:lang w:val="en-AU"/>
              </w:rPr>
              <w:t>)</w:t>
            </w:r>
          </w:p>
          <w:p w:rsidR="00D0213E" w:rsidRDefault="00D0213E" w:rsidP="00D0213E">
            <w:pPr>
              <w:spacing w:before="60" w:after="60"/>
              <w:jc w:val="left"/>
              <w:outlineLvl w:val="0"/>
              <w:rPr>
                <w:sz w:val="20"/>
                <w:szCs w:val="12"/>
                <w:lang w:val="en-AU"/>
              </w:rPr>
            </w:pPr>
            <w:r>
              <w:rPr>
                <w:sz w:val="20"/>
                <w:szCs w:val="12"/>
                <w:lang w:val="en-AU"/>
              </w:rPr>
              <w:t xml:space="preserve">Replace HFC-404A </w:t>
            </w:r>
          </w:p>
          <w:p w:rsidR="00D0213E" w:rsidRPr="00CA68EC" w:rsidRDefault="00D0213E" w:rsidP="00155636">
            <w:pPr>
              <w:spacing w:before="60" w:after="60"/>
              <w:jc w:val="left"/>
              <w:outlineLvl w:val="0"/>
              <w:rPr>
                <w:sz w:val="20"/>
                <w:szCs w:val="12"/>
                <w:lang w:val="en-AU"/>
              </w:rPr>
            </w:pPr>
            <w:r>
              <w:rPr>
                <w:sz w:val="20"/>
                <w:szCs w:val="12"/>
                <w:lang w:val="en-AU"/>
              </w:rPr>
              <w:t xml:space="preserve">Medium and temp non-domestic refrigeration. </w:t>
            </w:r>
          </w:p>
        </w:tc>
        <w:tc>
          <w:tcPr>
            <w:tcW w:w="3260" w:type="dxa"/>
            <w:tcBorders>
              <w:top w:val="single" w:sz="4" w:space="0" w:color="auto"/>
              <w:left w:val="single" w:sz="4" w:space="0" w:color="auto"/>
              <w:bottom w:val="single" w:sz="4" w:space="0" w:color="auto"/>
              <w:right w:val="single" w:sz="4" w:space="0" w:color="auto"/>
            </w:tcBorders>
          </w:tcPr>
          <w:p w:rsidR="00D0213E" w:rsidRPr="00CA68EC" w:rsidRDefault="00D0213E" w:rsidP="00155636">
            <w:pPr>
              <w:spacing w:before="60" w:after="60"/>
              <w:jc w:val="left"/>
              <w:outlineLvl w:val="0"/>
              <w:rPr>
                <w:sz w:val="20"/>
                <w:szCs w:val="12"/>
                <w:lang w:val="en-AU"/>
              </w:rPr>
            </w:pPr>
            <w:r w:rsidRPr="00155636">
              <w:rPr>
                <w:sz w:val="21"/>
              </w:rPr>
              <w:t xml:space="preserve">This refrigerant has a capacity marginally higher than </w:t>
            </w:r>
            <w:r>
              <w:rPr>
                <w:sz w:val="21"/>
              </w:rPr>
              <w:t>HFC</w:t>
            </w:r>
            <w:r w:rsidRPr="00155636">
              <w:rPr>
                <w:sz w:val="21"/>
              </w:rPr>
              <w:t xml:space="preserve">-404A and a greater efficiency. The same POE lubricant oil can be used as with </w:t>
            </w:r>
            <w:r>
              <w:rPr>
                <w:sz w:val="21"/>
              </w:rPr>
              <w:t>HFC</w:t>
            </w:r>
            <w:r w:rsidRPr="00155636">
              <w:rPr>
                <w:sz w:val="21"/>
              </w:rPr>
              <w:t>-404A.</w:t>
            </w:r>
          </w:p>
        </w:tc>
        <w:tc>
          <w:tcPr>
            <w:tcW w:w="3969" w:type="dxa"/>
            <w:tcBorders>
              <w:top w:val="single" w:sz="4" w:space="0" w:color="auto"/>
              <w:left w:val="single" w:sz="4" w:space="0" w:color="auto"/>
              <w:bottom w:val="single" w:sz="4" w:space="0" w:color="auto"/>
              <w:right w:val="nil"/>
            </w:tcBorders>
            <w:shd w:val="clear" w:color="auto" w:fill="auto"/>
            <w:noWrap/>
          </w:tcPr>
          <w:p w:rsidR="00D0213E" w:rsidRDefault="00D0213E" w:rsidP="00D0213E">
            <w:pPr>
              <w:spacing w:before="60" w:after="60"/>
              <w:jc w:val="left"/>
              <w:outlineLvl w:val="0"/>
              <w:rPr>
                <w:sz w:val="21"/>
              </w:rPr>
            </w:pPr>
            <w:r w:rsidRPr="00155636">
              <w:rPr>
                <w:sz w:val="21"/>
              </w:rPr>
              <w:t>The component chemicals are already produced at a commercial scale. It is anticipated that this refrigerant will be available during the next 1-2 years.</w:t>
            </w:r>
            <w:r>
              <w:rPr>
                <w:sz w:val="20"/>
                <w:szCs w:val="12"/>
                <w:vertAlign w:val="superscript"/>
                <w:lang w:val="en-AU"/>
              </w:rPr>
              <w:t>(</w:t>
            </w:r>
            <w:r w:rsidRPr="00AA7B32">
              <w:rPr>
                <w:sz w:val="20"/>
                <w:szCs w:val="12"/>
                <w:vertAlign w:val="superscript"/>
                <w:lang w:val="en-AU"/>
              </w:rPr>
              <w:t>1)</w:t>
            </w:r>
          </w:p>
          <w:p w:rsidR="00D0213E" w:rsidRPr="00CA68EC" w:rsidRDefault="00D0213E" w:rsidP="00C60A82">
            <w:pPr>
              <w:spacing w:before="60" w:after="60"/>
              <w:jc w:val="left"/>
              <w:outlineLvl w:val="0"/>
              <w:rPr>
                <w:sz w:val="20"/>
                <w:szCs w:val="12"/>
                <w:lang w:val="en-AU"/>
              </w:rPr>
            </w:pPr>
            <w:r w:rsidRPr="00155636">
              <w:rPr>
                <w:sz w:val="20"/>
                <w:szCs w:val="12"/>
                <w:lang w:val="en-AU"/>
              </w:rPr>
              <w:t>Being a blend which includes HF</w:t>
            </w:r>
            <w:r>
              <w:rPr>
                <w:sz w:val="20"/>
                <w:szCs w:val="12"/>
                <w:lang w:val="en-AU"/>
              </w:rPr>
              <w:t>O</w:t>
            </w:r>
            <w:r w:rsidRPr="00155636">
              <w:rPr>
                <w:sz w:val="20"/>
                <w:szCs w:val="12"/>
                <w:lang w:val="en-AU"/>
              </w:rPr>
              <w:t>-1234yf and HF</w:t>
            </w:r>
            <w:r>
              <w:rPr>
                <w:sz w:val="20"/>
                <w:szCs w:val="12"/>
                <w:lang w:val="en-AU"/>
              </w:rPr>
              <w:t>O</w:t>
            </w:r>
            <w:r w:rsidRPr="00155636">
              <w:rPr>
                <w:sz w:val="20"/>
                <w:szCs w:val="12"/>
                <w:lang w:val="en-AU"/>
              </w:rPr>
              <w:t>-1234ze, its cost is likely to be higher than conventional HFC mixtures.</w:t>
            </w:r>
            <w:r>
              <w:rPr>
                <w:sz w:val="20"/>
                <w:szCs w:val="12"/>
                <w:vertAlign w:val="superscript"/>
                <w:lang w:val="en-AU"/>
              </w:rPr>
              <w:t>(2</w:t>
            </w:r>
            <w:r w:rsidRPr="00AA7B32">
              <w:rPr>
                <w:sz w:val="20"/>
                <w:szCs w:val="12"/>
                <w:vertAlign w:val="superscript"/>
                <w:lang w:val="en-AU"/>
              </w:rPr>
              <w:t>)</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D0213E" w:rsidRDefault="00D0213E" w:rsidP="00D0213E">
            <w:pPr>
              <w:spacing w:before="60" w:after="60"/>
              <w:jc w:val="left"/>
              <w:outlineLvl w:val="0"/>
              <w:rPr>
                <w:sz w:val="20"/>
                <w:szCs w:val="12"/>
                <w:lang w:val="en-AU"/>
              </w:rPr>
            </w:pPr>
            <w:r w:rsidRPr="00781B3F">
              <w:rPr>
                <w:sz w:val="20"/>
                <w:szCs w:val="12"/>
                <w:lang w:val="en-AU"/>
              </w:rPr>
              <w:t xml:space="preserve">This refrigerant would be classified by ISO 817 </w:t>
            </w:r>
            <w:r>
              <w:rPr>
                <w:sz w:val="20"/>
                <w:szCs w:val="12"/>
                <w:lang w:val="en-AU"/>
              </w:rPr>
              <w:t xml:space="preserve">as </w:t>
            </w:r>
            <w:r w:rsidRPr="00781B3F">
              <w:rPr>
                <w:sz w:val="20"/>
                <w:szCs w:val="12"/>
                <w:lang w:val="en-AU"/>
              </w:rPr>
              <w:t>A1 (low toxicity, non-flammability).</w:t>
            </w:r>
          </w:p>
          <w:p w:rsidR="00D0213E" w:rsidRDefault="00D0213E" w:rsidP="00D0213E">
            <w:pPr>
              <w:spacing w:before="60" w:after="60"/>
              <w:jc w:val="left"/>
              <w:outlineLvl w:val="0"/>
              <w:rPr>
                <w:sz w:val="20"/>
                <w:szCs w:val="12"/>
                <w:lang w:val="en-AU"/>
              </w:rPr>
            </w:pPr>
            <w:r w:rsidRPr="004963EE">
              <w:rPr>
                <w:sz w:val="20"/>
                <w:szCs w:val="12"/>
                <w:lang w:val="en-AU"/>
              </w:rPr>
              <w:t>Being non-flammable and having a moderate cost, this refrigerant is on a fast track for adoption.</w:t>
            </w:r>
          </w:p>
          <w:p w:rsidR="00D0213E" w:rsidRPr="00CA68EC" w:rsidRDefault="00D0213E" w:rsidP="00155636">
            <w:pPr>
              <w:spacing w:before="60" w:after="60"/>
              <w:jc w:val="left"/>
              <w:outlineLvl w:val="0"/>
              <w:rPr>
                <w:sz w:val="20"/>
                <w:szCs w:val="12"/>
                <w:lang w:val="en-AU"/>
              </w:rPr>
            </w:pPr>
            <w:r w:rsidRPr="00155636">
              <w:rPr>
                <w:sz w:val="20"/>
                <w:szCs w:val="12"/>
                <w:lang w:val="en-AU"/>
              </w:rPr>
              <w:t xml:space="preserve">No significant barriers are anticipated with this refrigerant for safety. The moderate temperature glide of this refrigerant may be an issue for </w:t>
            </w:r>
            <w:r>
              <w:rPr>
                <w:sz w:val="20"/>
                <w:szCs w:val="12"/>
                <w:lang w:val="en-AU"/>
              </w:rPr>
              <w:t>certain a</w:t>
            </w:r>
            <w:r w:rsidRPr="00155636">
              <w:rPr>
                <w:sz w:val="20"/>
                <w:szCs w:val="12"/>
                <w:lang w:val="en-AU"/>
              </w:rPr>
              <w:t>pplications</w:t>
            </w:r>
            <w:r>
              <w:rPr>
                <w:sz w:val="20"/>
                <w:szCs w:val="12"/>
                <w:lang w:val="en-AU"/>
              </w:rPr>
              <w:t xml:space="preserve"> that may i</w:t>
            </w:r>
            <w:r w:rsidRPr="00155636">
              <w:rPr>
                <w:sz w:val="20"/>
                <w:szCs w:val="12"/>
                <w:lang w:val="en-AU"/>
              </w:rPr>
              <w:t>nfluence the design of equipment.</w:t>
            </w:r>
          </w:p>
        </w:tc>
      </w:tr>
      <w:tr w:rsidR="00D0213E" w:rsidRPr="00CA68EC" w:rsidTr="004963EE">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noWrap/>
          </w:tcPr>
          <w:p w:rsidR="00D0213E" w:rsidRDefault="00D0213E" w:rsidP="00D0213E">
            <w:pPr>
              <w:spacing w:before="60" w:after="60"/>
              <w:jc w:val="left"/>
              <w:outlineLvl w:val="0"/>
              <w:rPr>
                <w:sz w:val="20"/>
                <w:szCs w:val="12"/>
                <w:lang w:val="en-AU"/>
              </w:rPr>
            </w:pPr>
            <w:r>
              <w:rPr>
                <w:sz w:val="20"/>
                <w:szCs w:val="12"/>
                <w:lang w:val="en-AU"/>
              </w:rPr>
              <w:t>DR-33 (GWP of 1410)</w:t>
            </w:r>
          </w:p>
          <w:p w:rsidR="00D0213E" w:rsidRPr="00CA68EC" w:rsidRDefault="00D0213E" w:rsidP="004963EE">
            <w:pPr>
              <w:spacing w:before="60" w:after="60"/>
              <w:jc w:val="left"/>
              <w:outlineLvl w:val="0"/>
              <w:rPr>
                <w:sz w:val="20"/>
                <w:szCs w:val="12"/>
                <w:lang w:val="en-AU"/>
              </w:rPr>
            </w:pPr>
            <w:r>
              <w:rPr>
                <w:sz w:val="20"/>
                <w:szCs w:val="12"/>
                <w:lang w:val="en-AU"/>
              </w:rPr>
              <w:t>As above.</w:t>
            </w:r>
          </w:p>
        </w:tc>
        <w:tc>
          <w:tcPr>
            <w:tcW w:w="3260" w:type="dxa"/>
            <w:tcBorders>
              <w:top w:val="single" w:sz="4" w:space="0" w:color="auto"/>
              <w:left w:val="single" w:sz="4" w:space="0" w:color="auto"/>
              <w:bottom w:val="single" w:sz="4" w:space="0" w:color="auto"/>
              <w:right w:val="single" w:sz="4" w:space="0" w:color="auto"/>
            </w:tcBorders>
          </w:tcPr>
          <w:p w:rsidR="00D0213E" w:rsidRPr="00CA68EC" w:rsidRDefault="00D0213E" w:rsidP="004963EE">
            <w:pPr>
              <w:spacing w:before="60" w:after="60"/>
              <w:jc w:val="left"/>
              <w:outlineLvl w:val="0"/>
              <w:rPr>
                <w:sz w:val="20"/>
                <w:szCs w:val="12"/>
                <w:lang w:val="en-AU"/>
              </w:rPr>
            </w:pPr>
            <w:r>
              <w:rPr>
                <w:sz w:val="20"/>
                <w:szCs w:val="12"/>
                <w:lang w:val="en-AU"/>
              </w:rPr>
              <w:t>As above.</w:t>
            </w:r>
          </w:p>
        </w:tc>
        <w:tc>
          <w:tcPr>
            <w:tcW w:w="3969" w:type="dxa"/>
            <w:tcBorders>
              <w:top w:val="single" w:sz="4" w:space="0" w:color="auto"/>
              <w:left w:val="single" w:sz="4" w:space="0" w:color="auto"/>
              <w:bottom w:val="single" w:sz="4" w:space="0" w:color="auto"/>
              <w:right w:val="nil"/>
            </w:tcBorders>
            <w:shd w:val="clear" w:color="auto" w:fill="auto"/>
            <w:noWrap/>
          </w:tcPr>
          <w:p w:rsidR="00D0213E" w:rsidRPr="00CA68EC" w:rsidRDefault="00D0213E" w:rsidP="00155636">
            <w:pPr>
              <w:spacing w:before="60" w:after="60"/>
              <w:jc w:val="left"/>
              <w:outlineLvl w:val="0"/>
              <w:rPr>
                <w:sz w:val="20"/>
                <w:szCs w:val="12"/>
                <w:lang w:val="en-AU"/>
              </w:rPr>
            </w:pPr>
            <w:r>
              <w:rPr>
                <w:sz w:val="20"/>
                <w:szCs w:val="12"/>
                <w:lang w:val="en-AU"/>
              </w:rPr>
              <w:t>As above, except b</w:t>
            </w:r>
            <w:r w:rsidRPr="00155636">
              <w:rPr>
                <w:sz w:val="20"/>
                <w:szCs w:val="12"/>
                <w:lang w:val="en-AU"/>
              </w:rPr>
              <w:t>eing a blend which includes HF</w:t>
            </w:r>
            <w:r>
              <w:rPr>
                <w:sz w:val="20"/>
                <w:szCs w:val="12"/>
                <w:lang w:val="en-AU"/>
              </w:rPr>
              <w:t>O</w:t>
            </w:r>
            <w:r w:rsidRPr="00155636">
              <w:rPr>
                <w:sz w:val="20"/>
                <w:szCs w:val="12"/>
                <w:lang w:val="en-AU"/>
              </w:rPr>
              <w:t>-1234yf, its cost is likely to be higher than conventional HFC mixtures.</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D0213E" w:rsidRPr="003906F6" w:rsidRDefault="00D0213E" w:rsidP="004963EE">
            <w:pPr>
              <w:spacing w:before="60" w:after="60"/>
              <w:outlineLvl w:val="0"/>
              <w:rPr>
                <w:sz w:val="20"/>
                <w:szCs w:val="12"/>
                <w:lang w:val="en-AU"/>
              </w:rPr>
            </w:pPr>
            <w:r>
              <w:rPr>
                <w:sz w:val="20"/>
                <w:szCs w:val="12"/>
                <w:lang w:val="en-AU"/>
              </w:rPr>
              <w:t>As above.</w:t>
            </w:r>
          </w:p>
        </w:tc>
      </w:tr>
      <w:tr w:rsidR="00C60A82" w:rsidRPr="00CA68EC" w:rsidTr="00C60A82">
        <w:trPr>
          <w:trHeight w:val="260"/>
        </w:trPr>
        <w:tc>
          <w:tcPr>
            <w:tcW w:w="13338" w:type="dxa"/>
            <w:gridSpan w:val="4"/>
            <w:tcBorders>
              <w:top w:val="single" w:sz="4" w:space="0" w:color="auto"/>
              <w:left w:val="single" w:sz="4" w:space="0" w:color="auto"/>
              <w:bottom w:val="single" w:sz="4" w:space="0" w:color="auto"/>
              <w:right w:val="single" w:sz="4" w:space="0" w:color="auto"/>
            </w:tcBorders>
            <w:shd w:val="clear" w:color="auto" w:fill="auto"/>
            <w:noWrap/>
          </w:tcPr>
          <w:p w:rsidR="00C60A82" w:rsidRDefault="00C60A82" w:rsidP="00C60A82">
            <w:pPr>
              <w:spacing w:before="60" w:after="60"/>
              <w:outlineLvl w:val="0"/>
              <w:rPr>
                <w:sz w:val="20"/>
                <w:szCs w:val="12"/>
                <w:lang w:val="en-AU"/>
              </w:rPr>
            </w:pPr>
            <w:r>
              <w:rPr>
                <w:sz w:val="20"/>
                <w:szCs w:val="12"/>
                <w:vertAlign w:val="superscript"/>
                <w:lang w:val="en-AU"/>
              </w:rPr>
              <w:t>(</w:t>
            </w:r>
            <w:r w:rsidRPr="00AA7B32">
              <w:rPr>
                <w:sz w:val="20"/>
                <w:szCs w:val="12"/>
                <w:vertAlign w:val="superscript"/>
                <w:lang w:val="en-AU"/>
              </w:rPr>
              <w:t>1)</w:t>
            </w:r>
            <w:r>
              <w:rPr>
                <w:sz w:val="20"/>
                <w:szCs w:val="12"/>
                <w:lang w:val="en-AU"/>
              </w:rPr>
              <w:t xml:space="preserve"> The timing of the release in the Australian market is expected to be within 1 to 3 years depending on global priorities of chemical suppliers.  </w:t>
            </w:r>
          </w:p>
          <w:p w:rsidR="00C60A82" w:rsidRPr="00C0761F" w:rsidRDefault="00C60A82" w:rsidP="00C60A82">
            <w:pPr>
              <w:spacing w:before="60" w:after="60"/>
              <w:outlineLvl w:val="0"/>
              <w:rPr>
                <w:sz w:val="20"/>
                <w:szCs w:val="12"/>
                <w:lang w:val="en-AU"/>
              </w:rPr>
            </w:pPr>
            <w:r w:rsidRPr="00AA7B32">
              <w:rPr>
                <w:sz w:val="20"/>
                <w:szCs w:val="12"/>
                <w:vertAlign w:val="superscript"/>
                <w:lang w:val="en-AU"/>
              </w:rPr>
              <w:t>(2)</w:t>
            </w:r>
            <w:r>
              <w:rPr>
                <w:sz w:val="20"/>
                <w:szCs w:val="12"/>
                <w:lang w:val="en-AU"/>
              </w:rPr>
              <w:t xml:space="preserve"> This cost comment relates to a general base cost scenario without a carbon levy.</w:t>
            </w:r>
          </w:p>
        </w:tc>
      </w:tr>
    </w:tbl>
    <w:p w:rsidR="004963EE" w:rsidRPr="00EB32DD" w:rsidRDefault="004963EE" w:rsidP="004963EE">
      <w:pPr>
        <w:spacing w:before="0"/>
        <w:rPr>
          <w:sz w:val="18"/>
        </w:rPr>
      </w:pPr>
      <w:r w:rsidRPr="00EB32DD">
        <w:rPr>
          <w:sz w:val="18"/>
        </w:rPr>
        <w:t>(</w:t>
      </w:r>
      <w:r>
        <w:rPr>
          <w:sz w:val="18"/>
        </w:rPr>
        <w:t xml:space="preserve">Source: UNEP 2013c, </w:t>
      </w:r>
      <w:r w:rsidRPr="00CA3FEC">
        <w:rPr>
          <w:sz w:val="18"/>
        </w:rPr>
        <w:t>p4</w:t>
      </w:r>
      <w:r>
        <w:rPr>
          <w:sz w:val="18"/>
        </w:rPr>
        <w:t>0</w:t>
      </w:r>
      <w:r w:rsidRPr="00CA3FEC">
        <w:rPr>
          <w:sz w:val="18"/>
        </w:rPr>
        <w:t xml:space="preserve"> to 46</w:t>
      </w:r>
      <w:r w:rsidRPr="00EB32DD">
        <w:rPr>
          <w:sz w:val="18"/>
        </w:rPr>
        <w:t>)</w:t>
      </w:r>
    </w:p>
    <w:p w:rsidR="009519E2" w:rsidRDefault="009519E2" w:rsidP="00781B3F">
      <w:pPr>
        <w:spacing w:before="0"/>
      </w:pPr>
    </w:p>
    <w:p w:rsidR="00D0213E" w:rsidRDefault="00D0213E">
      <w:pPr>
        <w:spacing w:before="0"/>
        <w:jc w:val="left"/>
      </w:pPr>
      <w:r>
        <w:br w:type="page"/>
      </w:r>
    </w:p>
    <w:p w:rsidR="00D0213E" w:rsidRPr="001E3673" w:rsidRDefault="00D0213E" w:rsidP="00D0213E">
      <w:pPr>
        <w:pStyle w:val="Heading2"/>
        <w:ind w:left="576"/>
        <w:rPr>
          <w:i w:val="0"/>
        </w:rPr>
      </w:pPr>
      <w:bookmarkStart w:id="29" w:name="_Toc257359952"/>
      <w:r w:rsidRPr="001E3673">
        <w:rPr>
          <w:i w:val="0"/>
        </w:rPr>
        <w:t xml:space="preserve">Transition map to </w:t>
      </w:r>
      <w:r>
        <w:rPr>
          <w:i w:val="0"/>
        </w:rPr>
        <w:t xml:space="preserve">nil or </w:t>
      </w:r>
      <w:r w:rsidRPr="00D75562">
        <w:rPr>
          <w:i w:val="0"/>
        </w:rPr>
        <w:t>low</w:t>
      </w:r>
      <w:r>
        <w:rPr>
          <w:i w:val="0"/>
        </w:rPr>
        <w:t>er</w:t>
      </w:r>
      <w:r w:rsidRPr="00D75562">
        <w:rPr>
          <w:i w:val="0"/>
        </w:rPr>
        <w:t xml:space="preserve"> GWP</w:t>
      </w:r>
      <w:r w:rsidRPr="001E3673">
        <w:rPr>
          <w:i w:val="0"/>
        </w:rPr>
        <w:t xml:space="preserve"> options for main equipment classes and technologies</w:t>
      </w:r>
      <w:bookmarkEnd w:id="2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00"/>
        <w:gridCol w:w="893"/>
        <w:gridCol w:w="236"/>
        <w:gridCol w:w="1649"/>
        <w:gridCol w:w="851"/>
        <w:gridCol w:w="1275"/>
        <w:gridCol w:w="6237"/>
      </w:tblGrid>
      <w:tr w:rsidR="00D0213E" w:rsidRPr="002159A4" w:rsidTr="00D0213E">
        <w:tc>
          <w:tcPr>
            <w:tcW w:w="1900" w:type="dxa"/>
            <w:tcBorders>
              <w:righ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Current options</w:t>
            </w:r>
          </w:p>
        </w:tc>
        <w:tc>
          <w:tcPr>
            <w:tcW w:w="893" w:type="dxa"/>
            <w:tcBorders>
              <w:left w:val="single" w:sz="4" w:space="0" w:color="FFFFFF"/>
              <w:right w:val="single" w:sz="4" w:space="0" w:color="FFFFFF"/>
            </w:tcBorders>
            <w:shd w:val="clear" w:color="auto" w:fill="000000"/>
            <w:vAlign w:val="center"/>
          </w:tcPr>
          <w:p w:rsidR="00D0213E" w:rsidRDefault="00D0213E" w:rsidP="00D0213E">
            <w:pPr>
              <w:spacing w:before="0"/>
              <w:jc w:val="center"/>
              <w:outlineLvl w:val="0"/>
              <w:rPr>
                <w:sz w:val="20"/>
                <w:szCs w:val="12"/>
                <w:lang w:val="en-AU"/>
              </w:rPr>
            </w:pPr>
            <w:r w:rsidRPr="002159A4">
              <w:rPr>
                <w:sz w:val="20"/>
                <w:szCs w:val="12"/>
                <w:lang w:val="en-AU"/>
              </w:rPr>
              <w:t>GWP</w:t>
            </w:r>
          </w:p>
          <w:p w:rsidR="00D0213E" w:rsidRPr="002159A4" w:rsidRDefault="00D0213E" w:rsidP="00D0213E">
            <w:pPr>
              <w:spacing w:before="0"/>
              <w:jc w:val="center"/>
              <w:outlineLvl w:val="0"/>
              <w:rPr>
                <w:sz w:val="20"/>
                <w:szCs w:val="12"/>
                <w:lang w:val="en-AU"/>
              </w:rPr>
            </w:pPr>
            <w:r>
              <w:rPr>
                <w:sz w:val="20"/>
                <w:szCs w:val="12"/>
                <w:lang w:val="en-AU"/>
              </w:rPr>
              <w:t>(AR4)</w:t>
            </w:r>
          </w:p>
        </w:tc>
        <w:tc>
          <w:tcPr>
            <w:tcW w:w="236" w:type="dxa"/>
            <w:tcBorders>
              <w:left w:val="single" w:sz="4" w:space="0" w:color="FFFFFF"/>
              <w:right w:val="single" w:sz="4" w:space="0" w:color="FFFFFF"/>
            </w:tcBorders>
            <w:shd w:val="clear" w:color="auto" w:fill="CCCCCC"/>
          </w:tcPr>
          <w:p w:rsidR="00D0213E" w:rsidRPr="002159A4" w:rsidRDefault="00D0213E" w:rsidP="00D0213E">
            <w:pPr>
              <w:spacing w:before="0"/>
              <w:outlineLvl w:val="0"/>
              <w:rPr>
                <w:sz w:val="20"/>
                <w:szCs w:val="12"/>
                <w:lang w:val="en-AU"/>
              </w:rPr>
            </w:pPr>
          </w:p>
        </w:tc>
        <w:tc>
          <w:tcPr>
            <w:tcW w:w="1649" w:type="dxa"/>
            <w:tcBorders>
              <w:left w:val="single" w:sz="4" w:space="0" w:color="FFFFFF"/>
              <w:righ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Low</w:t>
            </w:r>
            <w:r>
              <w:rPr>
                <w:sz w:val="20"/>
                <w:szCs w:val="12"/>
                <w:lang w:val="en-AU"/>
              </w:rPr>
              <w:t>er</w:t>
            </w:r>
            <w:r w:rsidRPr="002159A4">
              <w:rPr>
                <w:sz w:val="20"/>
                <w:szCs w:val="12"/>
                <w:lang w:val="en-AU"/>
              </w:rPr>
              <w:t xml:space="preserve"> GWP options</w:t>
            </w:r>
          </w:p>
        </w:tc>
        <w:tc>
          <w:tcPr>
            <w:tcW w:w="851" w:type="dxa"/>
            <w:tcBorders>
              <w:left w:val="single" w:sz="4" w:space="0" w:color="FFFFFF"/>
              <w:right w:val="single" w:sz="4" w:space="0" w:color="FFFFFF"/>
            </w:tcBorders>
            <w:shd w:val="clear" w:color="auto" w:fill="000000"/>
            <w:vAlign w:val="center"/>
          </w:tcPr>
          <w:p w:rsidR="00D0213E" w:rsidRPr="002159A4" w:rsidRDefault="00D0213E" w:rsidP="00D0213E">
            <w:pPr>
              <w:spacing w:before="0"/>
              <w:jc w:val="center"/>
              <w:outlineLvl w:val="0"/>
              <w:rPr>
                <w:sz w:val="20"/>
                <w:szCs w:val="12"/>
                <w:lang w:val="en-AU"/>
              </w:rPr>
            </w:pPr>
            <w:r w:rsidRPr="002159A4">
              <w:rPr>
                <w:sz w:val="20"/>
                <w:szCs w:val="12"/>
                <w:lang w:val="en-AU"/>
              </w:rPr>
              <w:t>GWP</w:t>
            </w:r>
          </w:p>
        </w:tc>
        <w:tc>
          <w:tcPr>
            <w:tcW w:w="1275" w:type="dxa"/>
            <w:tcBorders>
              <w:left w:val="single" w:sz="4" w:space="0" w:color="FFFFFF"/>
              <w:righ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Equipment replacement</w:t>
            </w:r>
          </w:p>
        </w:tc>
        <w:tc>
          <w:tcPr>
            <w:tcW w:w="6237" w:type="dxa"/>
            <w:tcBorders>
              <w:lef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Comments</w:t>
            </w:r>
          </w:p>
        </w:tc>
      </w:tr>
      <w:tr w:rsidR="00D0213E" w:rsidRPr="002159A4" w:rsidTr="00D0213E">
        <w:tc>
          <w:tcPr>
            <w:tcW w:w="13041" w:type="dxa"/>
            <w:gridSpan w:val="7"/>
          </w:tcPr>
          <w:p w:rsidR="00D0213E" w:rsidRPr="00763C3E" w:rsidRDefault="00D0213E" w:rsidP="00D0213E">
            <w:pPr>
              <w:rPr>
                <w:b/>
                <w:sz w:val="20"/>
              </w:rPr>
            </w:pPr>
            <w:r>
              <w:rPr>
                <w:b/>
                <w:sz w:val="20"/>
              </w:rPr>
              <w:t>Domestic refrigeration</w:t>
            </w:r>
          </w:p>
        </w:tc>
      </w:tr>
      <w:tr w:rsidR="00D0213E" w:rsidRPr="002159A4" w:rsidTr="00D0213E">
        <w:tc>
          <w:tcPr>
            <w:tcW w:w="1900" w:type="dxa"/>
            <w:tcBorders>
              <w:bottom w:val="nil"/>
            </w:tcBorders>
          </w:tcPr>
          <w:p w:rsidR="00D0213E" w:rsidRPr="002159A4" w:rsidRDefault="00D0213E" w:rsidP="00D0213E">
            <w:pPr>
              <w:spacing w:before="0"/>
              <w:jc w:val="left"/>
              <w:rPr>
                <w:sz w:val="20"/>
              </w:rPr>
            </w:pPr>
            <w:r w:rsidRPr="002159A4">
              <w:rPr>
                <w:sz w:val="20"/>
              </w:rPr>
              <w:t>HFC-134a</w:t>
            </w:r>
          </w:p>
        </w:tc>
        <w:tc>
          <w:tcPr>
            <w:tcW w:w="893" w:type="dxa"/>
            <w:tcBorders>
              <w:bottom w:val="nil"/>
              <w:right w:val="single" w:sz="4" w:space="0" w:color="auto"/>
            </w:tcBorders>
          </w:tcPr>
          <w:p w:rsidR="00D0213E" w:rsidRPr="002159A4" w:rsidRDefault="00D0213E" w:rsidP="00D0213E">
            <w:pPr>
              <w:spacing w:before="0"/>
              <w:jc w:val="center"/>
              <w:rPr>
                <w:sz w:val="20"/>
              </w:rPr>
            </w:pPr>
            <w:r>
              <w:rPr>
                <w:sz w:val="20"/>
              </w:rPr>
              <w:t>1430</w:t>
            </w:r>
          </w:p>
        </w:tc>
        <w:tc>
          <w:tcPr>
            <w:tcW w:w="236" w:type="dxa"/>
            <w:tcBorders>
              <w:top w:val="single" w:sz="4" w:space="0" w:color="auto"/>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HC-600a</w:t>
            </w:r>
          </w:p>
        </w:tc>
        <w:tc>
          <w:tcPr>
            <w:tcW w:w="851" w:type="dxa"/>
          </w:tcPr>
          <w:p w:rsidR="00D0213E" w:rsidRPr="002159A4" w:rsidRDefault="00D0213E" w:rsidP="00D0213E">
            <w:pPr>
              <w:spacing w:before="0"/>
              <w:jc w:val="center"/>
              <w:rPr>
                <w:sz w:val="20"/>
              </w:rPr>
            </w:pPr>
            <w:r w:rsidRPr="002159A4">
              <w:rPr>
                <w:sz w:val="20"/>
              </w:rPr>
              <w:t>3</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 opportunity to transition immediately</w:t>
            </w:r>
            <w:r>
              <w:rPr>
                <w:sz w:val="20"/>
              </w:rPr>
              <w:t xml:space="preserve"> </w:t>
            </w:r>
            <w:r w:rsidRPr="002159A4">
              <w:rPr>
                <w:sz w:val="20"/>
              </w:rPr>
              <w:t>(</w:t>
            </w:r>
            <w:r>
              <w:rPr>
                <w:sz w:val="20"/>
              </w:rPr>
              <w:t>m</w:t>
            </w:r>
            <w:r w:rsidRPr="002159A4">
              <w:rPr>
                <w:sz w:val="20"/>
              </w:rPr>
              <w:t>ost probable alternative)</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r w:rsidRPr="002159A4">
              <w:rPr>
                <w:sz w:val="20"/>
              </w:rPr>
              <w:t>HC-600a</w:t>
            </w:r>
          </w:p>
        </w:tc>
        <w:tc>
          <w:tcPr>
            <w:tcW w:w="893" w:type="dxa"/>
            <w:tcBorders>
              <w:top w:val="nil"/>
              <w:bottom w:val="nil"/>
              <w:right w:val="single" w:sz="4" w:space="0" w:color="auto"/>
            </w:tcBorders>
          </w:tcPr>
          <w:p w:rsidR="00D0213E" w:rsidRPr="002159A4" w:rsidRDefault="00D0213E" w:rsidP="00D0213E">
            <w:pPr>
              <w:spacing w:before="0"/>
              <w:jc w:val="center"/>
              <w:rPr>
                <w:sz w:val="20"/>
              </w:rPr>
            </w:pPr>
            <w:r w:rsidRPr="002159A4">
              <w:rPr>
                <w:sz w:val="20"/>
              </w:rPr>
              <w:t>3</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HFO blends</w:t>
            </w:r>
          </w:p>
        </w:tc>
        <w:tc>
          <w:tcPr>
            <w:tcW w:w="851" w:type="dxa"/>
          </w:tcPr>
          <w:p w:rsidR="00D0213E" w:rsidRPr="002159A4" w:rsidRDefault="00D0213E" w:rsidP="00D0213E">
            <w:pPr>
              <w:spacing w:before="0"/>
              <w:jc w:val="center"/>
              <w:rPr>
                <w:sz w:val="20"/>
              </w:rPr>
            </w:pPr>
            <w:r w:rsidRPr="002159A4">
              <w:rPr>
                <w:sz w:val="20"/>
              </w:rPr>
              <w:t>~600</w:t>
            </w:r>
          </w:p>
        </w:tc>
        <w:tc>
          <w:tcPr>
            <w:tcW w:w="1275" w:type="dxa"/>
          </w:tcPr>
          <w:p w:rsidR="00D0213E" w:rsidRPr="002159A4" w:rsidRDefault="00D0213E" w:rsidP="00D0213E">
            <w:pPr>
              <w:spacing w:before="0"/>
              <w:jc w:val="center"/>
              <w:rPr>
                <w:sz w:val="20"/>
              </w:rPr>
            </w:pPr>
            <w:r>
              <w:rPr>
                <w:sz w:val="20"/>
              </w:rPr>
              <w:t>No</w:t>
            </w:r>
          </w:p>
        </w:tc>
        <w:tc>
          <w:tcPr>
            <w:tcW w:w="6237" w:type="dxa"/>
          </w:tcPr>
          <w:p w:rsidR="00D0213E" w:rsidRPr="002159A4" w:rsidRDefault="00D0213E" w:rsidP="00D0213E">
            <w:pPr>
              <w:spacing w:before="0"/>
              <w:jc w:val="left"/>
              <w:rPr>
                <w:sz w:val="20"/>
              </w:rPr>
            </w:pPr>
            <w:r>
              <w:rPr>
                <w:sz w:val="20"/>
              </w:rPr>
              <w:t>Potential t</w:t>
            </w:r>
            <w:r w:rsidRPr="002159A4">
              <w:rPr>
                <w:sz w:val="20"/>
              </w:rPr>
              <w:t xml:space="preserve">echnology path for existing bank and new equipment in </w:t>
            </w:r>
            <w:r>
              <w:rPr>
                <w:sz w:val="20"/>
              </w:rPr>
              <w:t>1</w:t>
            </w:r>
            <w:r w:rsidRPr="002159A4">
              <w:rPr>
                <w:sz w:val="20"/>
              </w:rPr>
              <w:t xml:space="preserve"> to </w:t>
            </w:r>
            <w:r>
              <w:rPr>
                <w:sz w:val="20"/>
              </w:rPr>
              <w:t>3</w:t>
            </w:r>
            <w:r w:rsidRPr="002159A4">
              <w:rPr>
                <w:sz w:val="20"/>
              </w:rPr>
              <w:t xml:space="preserve"> years</w:t>
            </w:r>
          </w:p>
        </w:tc>
      </w:tr>
      <w:tr w:rsidR="00D0213E" w:rsidRPr="002159A4" w:rsidTr="00D0213E">
        <w:tc>
          <w:tcPr>
            <w:tcW w:w="1900" w:type="dxa"/>
            <w:tcBorders>
              <w:top w:val="nil"/>
            </w:tcBorders>
          </w:tcPr>
          <w:p w:rsidR="00D0213E" w:rsidRPr="002159A4" w:rsidRDefault="00D0213E" w:rsidP="00D0213E">
            <w:pPr>
              <w:spacing w:before="0"/>
              <w:jc w:val="left"/>
              <w:rPr>
                <w:sz w:val="20"/>
              </w:rPr>
            </w:pPr>
          </w:p>
        </w:tc>
        <w:tc>
          <w:tcPr>
            <w:tcW w:w="893" w:type="dxa"/>
            <w:tcBorders>
              <w:top w:val="nil"/>
              <w:right w:val="single" w:sz="4" w:space="0" w:color="auto"/>
            </w:tcBorders>
          </w:tcPr>
          <w:p w:rsidR="00D0213E" w:rsidRPr="002159A4" w:rsidRDefault="00D0213E" w:rsidP="00D0213E">
            <w:pPr>
              <w:spacing w:before="0"/>
              <w:jc w:val="center"/>
              <w:rPr>
                <w:sz w:val="20"/>
              </w:rPr>
            </w:pPr>
          </w:p>
        </w:tc>
        <w:tc>
          <w:tcPr>
            <w:tcW w:w="236" w:type="dxa"/>
            <w:tcBorders>
              <w:top w:val="nil"/>
              <w:left w:val="single" w:sz="4" w:space="0" w:color="auto"/>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HFO-1234yf</w:t>
            </w:r>
          </w:p>
        </w:tc>
        <w:tc>
          <w:tcPr>
            <w:tcW w:w="851" w:type="dxa"/>
          </w:tcPr>
          <w:p w:rsidR="00D0213E" w:rsidRPr="002159A4" w:rsidRDefault="00D0213E" w:rsidP="00D0213E">
            <w:pPr>
              <w:spacing w:before="0"/>
              <w:jc w:val="center"/>
              <w:rPr>
                <w:sz w:val="20"/>
              </w:rPr>
            </w:pPr>
            <w:r w:rsidRPr="002159A4">
              <w:rPr>
                <w:sz w:val="20"/>
              </w:rPr>
              <w:t>4</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in 2 to 5 years</w:t>
            </w:r>
          </w:p>
        </w:tc>
      </w:tr>
      <w:tr w:rsidR="00D0213E" w:rsidRPr="002159A4" w:rsidTr="00D0213E">
        <w:tc>
          <w:tcPr>
            <w:tcW w:w="13041" w:type="dxa"/>
            <w:gridSpan w:val="7"/>
          </w:tcPr>
          <w:p w:rsidR="00D0213E" w:rsidRPr="002159A4" w:rsidRDefault="00D0213E" w:rsidP="00D0213E">
            <w:pPr>
              <w:rPr>
                <w:sz w:val="20"/>
              </w:rPr>
            </w:pPr>
            <w:r w:rsidRPr="002159A4">
              <w:rPr>
                <w:b/>
                <w:sz w:val="20"/>
              </w:rPr>
              <w:t>Non-domestic refrigeration (self-contained)</w:t>
            </w:r>
          </w:p>
        </w:tc>
      </w:tr>
      <w:tr w:rsidR="00D0213E" w:rsidRPr="002159A4" w:rsidTr="00D0213E">
        <w:tc>
          <w:tcPr>
            <w:tcW w:w="1900" w:type="dxa"/>
            <w:tcBorders>
              <w:bottom w:val="nil"/>
            </w:tcBorders>
          </w:tcPr>
          <w:p w:rsidR="00D0213E" w:rsidRPr="002159A4" w:rsidRDefault="00D0213E" w:rsidP="00D0213E">
            <w:pPr>
              <w:spacing w:before="0"/>
              <w:jc w:val="left"/>
              <w:rPr>
                <w:sz w:val="20"/>
              </w:rPr>
            </w:pPr>
            <w:r w:rsidRPr="002159A4">
              <w:rPr>
                <w:sz w:val="20"/>
              </w:rPr>
              <w:t>HFC-134a</w:t>
            </w:r>
          </w:p>
        </w:tc>
        <w:tc>
          <w:tcPr>
            <w:tcW w:w="893" w:type="dxa"/>
            <w:tcBorders>
              <w:bottom w:val="nil"/>
              <w:right w:val="single" w:sz="4" w:space="0" w:color="000000"/>
            </w:tcBorders>
          </w:tcPr>
          <w:p w:rsidR="00D0213E" w:rsidRPr="002159A4" w:rsidRDefault="00D0213E" w:rsidP="00D0213E">
            <w:pPr>
              <w:spacing w:before="0"/>
              <w:jc w:val="center"/>
              <w:rPr>
                <w:sz w:val="20"/>
              </w:rPr>
            </w:pPr>
            <w:r>
              <w:rPr>
                <w:sz w:val="20"/>
              </w:rPr>
              <w:t>1430</w:t>
            </w:r>
          </w:p>
        </w:tc>
        <w:tc>
          <w:tcPr>
            <w:tcW w:w="236" w:type="dxa"/>
            <w:tcBorders>
              <w:top w:val="single" w:sz="4" w:space="0" w:color="auto"/>
              <w:left w:val="single" w:sz="4" w:space="0" w:color="000000"/>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 xml:space="preserve">HC-600a </w:t>
            </w:r>
          </w:p>
        </w:tc>
        <w:tc>
          <w:tcPr>
            <w:tcW w:w="851" w:type="dxa"/>
          </w:tcPr>
          <w:p w:rsidR="00D0213E" w:rsidRPr="002159A4" w:rsidRDefault="00D0213E" w:rsidP="00D0213E">
            <w:pPr>
              <w:spacing w:before="0"/>
              <w:jc w:val="center"/>
              <w:rPr>
                <w:sz w:val="20"/>
              </w:rPr>
            </w:pPr>
            <w:r w:rsidRPr="002159A4">
              <w:rPr>
                <w:sz w:val="20"/>
              </w:rPr>
              <w:t>3</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 opportunity to transition immediately</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r w:rsidRPr="002159A4">
              <w:rPr>
                <w:sz w:val="20"/>
              </w:rPr>
              <w:t>HC-600a</w:t>
            </w:r>
          </w:p>
        </w:tc>
        <w:tc>
          <w:tcPr>
            <w:tcW w:w="893" w:type="dxa"/>
            <w:tcBorders>
              <w:top w:val="nil"/>
              <w:bottom w:val="nil"/>
              <w:right w:val="single" w:sz="4" w:space="0" w:color="000000"/>
            </w:tcBorders>
          </w:tcPr>
          <w:p w:rsidR="00D0213E" w:rsidRPr="002159A4" w:rsidRDefault="00D0213E" w:rsidP="00D0213E">
            <w:pPr>
              <w:spacing w:before="0"/>
              <w:jc w:val="center"/>
              <w:rPr>
                <w:sz w:val="20"/>
              </w:rPr>
            </w:pPr>
            <w:r w:rsidRPr="002159A4">
              <w:rPr>
                <w:sz w:val="20"/>
              </w:rPr>
              <w:t>3</w:t>
            </w:r>
          </w:p>
        </w:tc>
        <w:tc>
          <w:tcPr>
            <w:tcW w:w="236" w:type="dxa"/>
            <w:tcBorders>
              <w:top w:val="nil"/>
              <w:left w:val="single" w:sz="4" w:space="0" w:color="000000"/>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CO</w:t>
            </w:r>
            <w:r w:rsidRPr="002159A4">
              <w:rPr>
                <w:sz w:val="20"/>
                <w:vertAlign w:val="subscript"/>
              </w:rPr>
              <w:t>2</w:t>
            </w:r>
            <w:r w:rsidRPr="002159A4">
              <w:rPr>
                <w:sz w:val="20"/>
              </w:rPr>
              <w:t xml:space="preserve"> (R744)</w:t>
            </w:r>
          </w:p>
        </w:tc>
        <w:tc>
          <w:tcPr>
            <w:tcW w:w="851" w:type="dxa"/>
          </w:tcPr>
          <w:p w:rsidR="00D0213E" w:rsidRPr="002159A4" w:rsidRDefault="00D0213E" w:rsidP="00D0213E">
            <w:pPr>
              <w:spacing w:before="0"/>
              <w:jc w:val="center"/>
              <w:rPr>
                <w:sz w:val="20"/>
              </w:rPr>
            </w:pPr>
            <w:r w:rsidRPr="002159A4">
              <w:rPr>
                <w:sz w:val="20"/>
              </w:rPr>
              <w:t>1</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 technical and commercial barriers</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p>
        </w:tc>
        <w:tc>
          <w:tcPr>
            <w:tcW w:w="893" w:type="dxa"/>
            <w:tcBorders>
              <w:top w:val="nil"/>
              <w:bottom w:val="nil"/>
              <w:right w:val="single" w:sz="4" w:space="0" w:color="000000"/>
            </w:tcBorders>
          </w:tcPr>
          <w:p w:rsidR="00D0213E" w:rsidRPr="002159A4" w:rsidRDefault="00D0213E" w:rsidP="00D0213E">
            <w:pPr>
              <w:spacing w:before="0"/>
              <w:jc w:val="center"/>
              <w:rPr>
                <w:sz w:val="20"/>
              </w:rPr>
            </w:pPr>
          </w:p>
        </w:tc>
        <w:tc>
          <w:tcPr>
            <w:tcW w:w="236" w:type="dxa"/>
            <w:tcBorders>
              <w:top w:val="nil"/>
              <w:left w:val="single" w:sz="4" w:space="0" w:color="000000"/>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HFO-Blend</w:t>
            </w:r>
          </w:p>
        </w:tc>
        <w:tc>
          <w:tcPr>
            <w:tcW w:w="851" w:type="dxa"/>
          </w:tcPr>
          <w:p w:rsidR="00D0213E" w:rsidRPr="002159A4" w:rsidRDefault="00D0213E" w:rsidP="00D0213E">
            <w:pPr>
              <w:spacing w:before="0"/>
              <w:jc w:val="center"/>
              <w:rPr>
                <w:sz w:val="20"/>
              </w:rPr>
            </w:pPr>
            <w:r w:rsidRPr="002159A4">
              <w:rPr>
                <w:sz w:val="20"/>
              </w:rPr>
              <w:t>~600</w:t>
            </w:r>
          </w:p>
        </w:tc>
        <w:tc>
          <w:tcPr>
            <w:tcW w:w="1275" w:type="dxa"/>
          </w:tcPr>
          <w:p w:rsidR="00D0213E" w:rsidRPr="002159A4" w:rsidRDefault="00D0213E" w:rsidP="00D0213E">
            <w:pPr>
              <w:spacing w:before="0"/>
              <w:jc w:val="center"/>
              <w:rPr>
                <w:sz w:val="20"/>
              </w:rPr>
            </w:pPr>
            <w:r w:rsidRPr="002159A4">
              <w:rPr>
                <w:sz w:val="20"/>
              </w:rPr>
              <w:t>No</w:t>
            </w:r>
          </w:p>
        </w:tc>
        <w:tc>
          <w:tcPr>
            <w:tcW w:w="6237" w:type="dxa"/>
          </w:tcPr>
          <w:p w:rsidR="00D0213E" w:rsidRPr="002159A4" w:rsidRDefault="00D0213E" w:rsidP="00D0213E">
            <w:pPr>
              <w:spacing w:before="0"/>
              <w:jc w:val="left"/>
              <w:rPr>
                <w:sz w:val="20"/>
              </w:rPr>
            </w:pPr>
            <w:r w:rsidRPr="002159A4">
              <w:rPr>
                <w:sz w:val="20"/>
              </w:rPr>
              <w:t xml:space="preserve">Technology path for existing bank and new equipment in </w:t>
            </w:r>
            <w:r>
              <w:rPr>
                <w:sz w:val="20"/>
              </w:rPr>
              <w:t xml:space="preserve">1 to </w:t>
            </w:r>
            <w:r w:rsidRPr="002159A4">
              <w:rPr>
                <w:sz w:val="20"/>
              </w:rPr>
              <w:t>3 years</w:t>
            </w:r>
          </w:p>
        </w:tc>
      </w:tr>
      <w:tr w:rsidR="00D0213E" w:rsidRPr="002159A4" w:rsidTr="00D0213E">
        <w:tc>
          <w:tcPr>
            <w:tcW w:w="1900" w:type="dxa"/>
            <w:tcBorders>
              <w:top w:val="nil"/>
            </w:tcBorders>
          </w:tcPr>
          <w:p w:rsidR="00D0213E" w:rsidRPr="002159A4" w:rsidRDefault="00D0213E" w:rsidP="00D0213E">
            <w:pPr>
              <w:spacing w:before="0"/>
              <w:rPr>
                <w:sz w:val="20"/>
              </w:rPr>
            </w:pPr>
            <w:r w:rsidRPr="002159A4">
              <w:rPr>
                <w:sz w:val="20"/>
              </w:rPr>
              <w:t>CO</w:t>
            </w:r>
            <w:r w:rsidRPr="002159A4">
              <w:rPr>
                <w:sz w:val="20"/>
                <w:vertAlign w:val="subscript"/>
              </w:rPr>
              <w:t>2</w:t>
            </w:r>
            <w:r w:rsidRPr="002159A4">
              <w:rPr>
                <w:sz w:val="20"/>
              </w:rPr>
              <w:t xml:space="preserve"> (R744)</w:t>
            </w:r>
          </w:p>
        </w:tc>
        <w:tc>
          <w:tcPr>
            <w:tcW w:w="893" w:type="dxa"/>
            <w:tcBorders>
              <w:top w:val="nil"/>
              <w:right w:val="single" w:sz="4" w:space="0" w:color="000000"/>
            </w:tcBorders>
          </w:tcPr>
          <w:p w:rsidR="00D0213E" w:rsidRPr="002159A4" w:rsidRDefault="00D0213E" w:rsidP="00D0213E">
            <w:pPr>
              <w:spacing w:before="0"/>
              <w:jc w:val="center"/>
              <w:rPr>
                <w:sz w:val="20"/>
              </w:rPr>
            </w:pPr>
            <w:r>
              <w:rPr>
                <w:sz w:val="20"/>
              </w:rPr>
              <w:t>1</w:t>
            </w:r>
          </w:p>
        </w:tc>
        <w:tc>
          <w:tcPr>
            <w:tcW w:w="236" w:type="dxa"/>
            <w:tcBorders>
              <w:top w:val="nil"/>
              <w:left w:val="single" w:sz="4" w:space="0" w:color="000000"/>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HFO-1234yf</w:t>
            </w:r>
          </w:p>
        </w:tc>
        <w:tc>
          <w:tcPr>
            <w:tcW w:w="851" w:type="dxa"/>
          </w:tcPr>
          <w:p w:rsidR="00D0213E" w:rsidRPr="002159A4" w:rsidRDefault="00D0213E" w:rsidP="00D0213E">
            <w:pPr>
              <w:spacing w:before="0"/>
              <w:jc w:val="center"/>
              <w:rPr>
                <w:sz w:val="20"/>
              </w:rPr>
            </w:pPr>
            <w:r w:rsidRPr="002159A4">
              <w:rPr>
                <w:sz w:val="20"/>
              </w:rPr>
              <w:t>4</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in 2 to 5 years</w:t>
            </w:r>
          </w:p>
        </w:tc>
      </w:tr>
      <w:tr w:rsidR="00D0213E" w:rsidRPr="002159A4" w:rsidTr="00D0213E">
        <w:tc>
          <w:tcPr>
            <w:tcW w:w="13041" w:type="dxa"/>
            <w:gridSpan w:val="7"/>
          </w:tcPr>
          <w:p w:rsidR="00D0213E" w:rsidRPr="002159A4" w:rsidRDefault="00D0213E" w:rsidP="00D0213E">
            <w:pPr>
              <w:rPr>
                <w:sz w:val="20"/>
              </w:rPr>
            </w:pPr>
            <w:r w:rsidRPr="002159A4">
              <w:rPr>
                <w:b/>
                <w:sz w:val="20"/>
              </w:rPr>
              <w:t>Non-domestic refrigeration with remote condensers</w:t>
            </w:r>
          </w:p>
        </w:tc>
      </w:tr>
      <w:tr w:rsidR="00D0213E" w:rsidRPr="002159A4" w:rsidTr="00D0213E">
        <w:tc>
          <w:tcPr>
            <w:tcW w:w="1900" w:type="dxa"/>
            <w:tcBorders>
              <w:bottom w:val="nil"/>
            </w:tcBorders>
          </w:tcPr>
          <w:p w:rsidR="00D0213E" w:rsidRPr="002159A4" w:rsidRDefault="00D0213E" w:rsidP="00D0213E">
            <w:pPr>
              <w:spacing w:before="0"/>
              <w:jc w:val="left"/>
              <w:rPr>
                <w:sz w:val="20"/>
              </w:rPr>
            </w:pPr>
            <w:r w:rsidRPr="002159A4">
              <w:rPr>
                <w:sz w:val="20"/>
              </w:rPr>
              <w:t>HFC-134a</w:t>
            </w:r>
          </w:p>
        </w:tc>
        <w:tc>
          <w:tcPr>
            <w:tcW w:w="893" w:type="dxa"/>
            <w:tcBorders>
              <w:bottom w:val="nil"/>
              <w:right w:val="single" w:sz="4" w:space="0" w:color="auto"/>
            </w:tcBorders>
          </w:tcPr>
          <w:p w:rsidR="00D0213E" w:rsidRPr="002159A4" w:rsidRDefault="00D0213E" w:rsidP="00D0213E">
            <w:pPr>
              <w:spacing w:before="0"/>
              <w:jc w:val="center"/>
              <w:rPr>
                <w:sz w:val="20"/>
              </w:rPr>
            </w:pPr>
            <w:r>
              <w:rPr>
                <w:sz w:val="20"/>
              </w:rPr>
              <w:t>1430</w:t>
            </w:r>
          </w:p>
        </w:tc>
        <w:tc>
          <w:tcPr>
            <w:tcW w:w="236" w:type="dxa"/>
            <w:tcBorders>
              <w:top w:val="single" w:sz="4" w:space="0" w:color="auto"/>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CO</w:t>
            </w:r>
            <w:r w:rsidRPr="002159A4">
              <w:rPr>
                <w:sz w:val="20"/>
                <w:vertAlign w:val="subscript"/>
              </w:rPr>
              <w:t>2</w:t>
            </w:r>
            <w:r w:rsidRPr="002159A4">
              <w:rPr>
                <w:sz w:val="20"/>
              </w:rPr>
              <w:t xml:space="preserve"> (R744)</w:t>
            </w:r>
          </w:p>
        </w:tc>
        <w:tc>
          <w:tcPr>
            <w:tcW w:w="851" w:type="dxa"/>
          </w:tcPr>
          <w:p w:rsidR="00D0213E" w:rsidRPr="002159A4" w:rsidRDefault="00D0213E" w:rsidP="00D0213E">
            <w:pPr>
              <w:spacing w:before="0"/>
              <w:jc w:val="center"/>
              <w:rPr>
                <w:sz w:val="20"/>
              </w:rPr>
            </w:pPr>
            <w:r w:rsidRPr="002159A4">
              <w:rPr>
                <w:sz w:val="20"/>
              </w:rPr>
              <w:t>1</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 technical and commercial barriers</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r w:rsidRPr="002159A4">
              <w:rPr>
                <w:sz w:val="20"/>
              </w:rPr>
              <w:t>(Medium temp)</w:t>
            </w:r>
          </w:p>
        </w:tc>
        <w:tc>
          <w:tcPr>
            <w:tcW w:w="893" w:type="dxa"/>
            <w:tcBorders>
              <w:top w:val="nil"/>
              <w:bottom w:val="nil"/>
              <w:right w:val="single" w:sz="4" w:space="0" w:color="auto"/>
            </w:tcBorders>
          </w:tcPr>
          <w:p w:rsidR="00D0213E" w:rsidRPr="002159A4" w:rsidRDefault="00D0213E" w:rsidP="00D0213E">
            <w:pPr>
              <w:spacing w:before="0"/>
              <w:jc w:val="center"/>
              <w:rPr>
                <w:sz w:val="20"/>
              </w:rPr>
            </w:pP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Ammonia (R717)</w:t>
            </w:r>
          </w:p>
        </w:tc>
        <w:tc>
          <w:tcPr>
            <w:tcW w:w="851" w:type="dxa"/>
          </w:tcPr>
          <w:p w:rsidR="00D0213E" w:rsidRPr="002159A4" w:rsidRDefault="00D0213E" w:rsidP="00D0213E">
            <w:pPr>
              <w:spacing w:before="0"/>
              <w:jc w:val="center"/>
              <w:rPr>
                <w:sz w:val="20"/>
              </w:rPr>
            </w:pPr>
            <w:r w:rsidRPr="002159A4">
              <w:rPr>
                <w:sz w:val="20"/>
              </w:rPr>
              <w:t>0</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 commercial barriers</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p>
        </w:tc>
        <w:tc>
          <w:tcPr>
            <w:tcW w:w="893" w:type="dxa"/>
            <w:tcBorders>
              <w:top w:val="nil"/>
              <w:bottom w:val="nil"/>
              <w:right w:val="single" w:sz="4" w:space="0" w:color="auto"/>
            </w:tcBorders>
          </w:tcPr>
          <w:p w:rsidR="00D0213E" w:rsidRPr="002159A4" w:rsidRDefault="00D0213E" w:rsidP="00D0213E">
            <w:pPr>
              <w:spacing w:before="0"/>
              <w:jc w:val="center"/>
              <w:rPr>
                <w:sz w:val="20"/>
              </w:rPr>
            </w:pP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Hydrocarbons</w:t>
            </w:r>
          </w:p>
        </w:tc>
        <w:tc>
          <w:tcPr>
            <w:tcW w:w="851" w:type="dxa"/>
          </w:tcPr>
          <w:p w:rsidR="00D0213E" w:rsidRPr="002159A4" w:rsidRDefault="00D0213E" w:rsidP="00D0213E">
            <w:pPr>
              <w:spacing w:before="0"/>
              <w:jc w:val="center"/>
              <w:rPr>
                <w:sz w:val="20"/>
              </w:rPr>
            </w:pPr>
            <w:r w:rsidRPr="002159A4">
              <w:rPr>
                <w:sz w:val="20"/>
              </w:rPr>
              <w:t>3</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Safety, engineering, training and regulatory issues to overcome</w:t>
            </w:r>
          </w:p>
        </w:tc>
      </w:tr>
      <w:tr w:rsidR="00D0213E" w:rsidRPr="002159A4" w:rsidTr="00D0213E">
        <w:tc>
          <w:tcPr>
            <w:tcW w:w="1900" w:type="dxa"/>
            <w:tcBorders>
              <w:top w:val="nil"/>
              <w:bottom w:val="nil"/>
            </w:tcBorders>
          </w:tcPr>
          <w:p w:rsidR="00D0213E" w:rsidRDefault="00D0213E" w:rsidP="00D0213E">
            <w:pPr>
              <w:spacing w:before="0"/>
              <w:jc w:val="left"/>
              <w:rPr>
                <w:sz w:val="20"/>
              </w:rPr>
            </w:pPr>
            <w:r>
              <w:rPr>
                <w:sz w:val="20"/>
              </w:rPr>
              <w:t>HFC-404A</w:t>
            </w:r>
          </w:p>
          <w:p w:rsidR="00D0213E" w:rsidRPr="002159A4" w:rsidRDefault="00D0213E" w:rsidP="00D0213E">
            <w:pPr>
              <w:spacing w:before="0"/>
              <w:jc w:val="left"/>
              <w:rPr>
                <w:sz w:val="20"/>
              </w:rPr>
            </w:pPr>
            <w:r w:rsidRPr="002159A4">
              <w:rPr>
                <w:sz w:val="20"/>
              </w:rPr>
              <w:t>(Low and med temp)</w:t>
            </w:r>
          </w:p>
        </w:tc>
        <w:tc>
          <w:tcPr>
            <w:tcW w:w="893" w:type="dxa"/>
            <w:tcBorders>
              <w:top w:val="nil"/>
              <w:bottom w:val="nil"/>
              <w:right w:val="single" w:sz="4" w:space="0" w:color="auto"/>
            </w:tcBorders>
          </w:tcPr>
          <w:p w:rsidR="00D0213E" w:rsidRPr="002159A4" w:rsidRDefault="00D0213E" w:rsidP="00D0213E">
            <w:pPr>
              <w:spacing w:before="0"/>
              <w:jc w:val="center"/>
              <w:rPr>
                <w:sz w:val="20"/>
              </w:rPr>
            </w:pPr>
            <w:r>
              <w:rPr>
                <w:sz w:val="20"/>
              </w:rPr>
              <w:t>3922</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HFO blends</w:t>
            </w:r>
          </w:p>
        </w:tc>
        <w:tc>
          <w:tcPr>
            <w:tcW w:w="851" w:type="dxa"/>
          </w:tcPr>
          <w:p w:rsidR="00D0213E" w:rsidRPr="002159A4" w:rsidRDefault="00D0213E" w:rsidP="00D0213E">
            <w:pPr>
              <w:spacing w:before="0"/>
              <w:jc w:val="center"/>
              <w:rPr>
                <w:sz w:val="20"/>
              </w:rPr>
            </w:pPr>
            <w:r w:rsidRPr="002159A4">
              <w:rPr>
                <w:sz w:val="20"/>
              </w:rPr>
              <w:t>~600</w:t>
            </w:r>
          </w:p>
        </w:tc>
        <w:tc>
          <w:tcPr>
            <w:tcW w:w="1275" w:type="dxa"/>
          </w:tcPr>
          <w:p w:rsidR="00D0213E" w:rsidRPr="002159A4" w:rsidRDefault="00D0213E" w:rsidP="00D0213E">
            <w:pPr>
              <w:spacing w:before="0"/>
              <w:jc w:val="center"/>
              <w:rPr>
                <w:sz w:val="20"/>
              </w:rPr>
            </w:pPr>
            <w:r w:rsidRPr="002159A4">
              <w:rPr>
                <w:sz w:val="20"/>
              </w:rPr>
              <w:t>No</w:t>
            </w:r>
          </w:p>
        </w:tc>
        <w:tc>
          <w:tcPr>
            <w:tcW w:w="6237" w:type="dxa"/>
          </w:tcPr>
          <w:p w:rsidR="00D0213E" w:rsidRDefault="00D0213E" w:rsidP="00D0213E">
            <w:pPr>
              <w:spacing w:before="0"/>
              <w:jc w:val="left"/>
              <w:rPr>
                <w:sz w:val="20"/>
              </w:rPr>
            </w:pPr>
            <w:r w:rsidRPr="002159A4">
              <w:rPr>
                <w:sz w:val="20"/>
              </w:rPr>
              <w:t>Technology path for existing bank and new equipment in 3 to 5 years</w:t>
            </w:r>
          </w:p>
          <w:p w:rsidR="00D0213E" w:rsidRPr="002159A4" w:rsidRDefault="00D0213E" w:rsidP="00D0213E">
            <w:pPr>
              <w:spacing w:before="0"/>
              <w:jc w:val="left"/>
              <w:rPr>
                <w:sz w:val="20"/>
              </w:rPr>
            </w:pPr>
            <w:r>
              <w:rPr>
                <w:sz w:val="20"/>
              </w:rPr>
              <w:t xml:space="preserve">(Class 1, </w:t>
            </w:r>
            <w:r w:rsidRPr="002159A4">
              <w:rPr>
                <w:sz w:val="20"/>
              </w:rPr>
              <w:t>HFC-134a replacement)</w:t>
            </w:r>
          </w:p>
        </w:tc>
      </w:tr>
      <w:tr w:rsidR="00D0213E" w:rsidRPr="002159A4" w:rsidTr="00D0213E">
        <w:tc>
          <w:tcPr>
            <w:tcW w:w="1900" w:type="dxa"/>
            <w:tcBorders>
              <w:top w:val="nil"/>
              <w:bottom w:val="nil"/>
            </w:tcBorders>
          </w:tcPr>
          <w:p w:rsidR="00D0213E" w:rsidRDefault="00D0213E" w:rsidP="00D0213E">
            <w:pPr>
              <w:spacing w:before="0"/>
              <w:jc w:val="left"/>
              <w:rPr>
                <w:sz w:val="20"/>
              </w:rPr>
            </w:pPr>
          </w:p>
          <w:p w:rsidR="00D0213E" w:rsidRPr="002159A4" w:rsidRDefault="00D0213E" w:rsidP="00D0213E">
            <w:pPr>
              <w:spacing w:before="0"/>
              <w:jc w:val="left"/>
              <w:rPr>
                <w:sz w:val="20"/>
              </w:rPr>
            </w:pPr>
            <w:r>
              <w:rPr>
                <w:sz w:val="20"/>
              </w:rPr>
              <w:t>Hydrocarbons</w:t>
            </w:r>
          </w:p>
        </w:tc>
        <w:tc>
          <w:tcPr>
            <w:tcW w:w="893" w:type="dxa"/>
            <w:tcBorders>
              <w:top w:val="nil"/>
              <w:bottom w:val="nil"/>
              <w:right w:val="single" w:sz="4" w:space="0" w:color="auto"/>
            </w:tcBorders>
          </w:tcPr>
          <w:p w:rsidR="00D0213E" w:rsidRDefault="00D0213E" w:rsidP="00D0213E">
            <w:pPr>
              <w:spacing w:before="0"/>
              <w:jc w:val="center"/>
              <w:rPr>
                <w:sz w:val="20"/>
              </w:rPr>
            </w:pPr>
          </w:p>
          <w:p w:rsidR="00D0213E" w:rsidRPr="002159A4" w:rsidRDefault="00D0213E" w:rsidP="00D0213E">
            <w:pPr>
              <w:spacing w:before="0"/>
              <w:jc w:val="center"/>
              <w:rPr>
                <w:sz w:val="20"/>
              </w:rPr>
            </w:pPr>
            <w:r>
              <w:rPr>
                <w:sz w:val="20"/>
              </w:rPr>
              <w:t>3</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outlineLvl w:val="0"/>
              <w:rPr>
                <w:sz w:val="20"/>
              </w:rPr>
            </w:pPr>
            <w:r w:rsidRPr="002159A4">
              <w:rPr>
                <w:sz w:val="20"/>
              </w:rPr>
              <w:t>HFO blends</w:t>
            </w:r>
          </w:p>
          <w:p w:rsidR="00D0213E" w:rsidRPr="002159A4" w:rsidRDefault="00D0213E" w:rsidP="00D0213E">
            <w:pPr>
              <w:spacing w:before="0"/>
              <w:jc w:val="left"/>
              <w:rPr>
                <w:sz w:val="20"/>
              </w:rPr>
            </w:pPr>
          </w:p>
        </w:tc>
        <w:tc>
          <w:tcPr>
            <w:tcW w:w="851" w:type="dxa"/>
          </w:tcPr>
          <w:p w:rsidR="00D0213E" w:rsidRPr="002159A4" w:rsidRDefault="00D0213E" w:rsidP="00D0213E">
            <w:pPr>
              <w:spacing w:before="0"/>
              <w:jc w:val="center"/>
              <w:rPr>
                <w:sz w:val="20"/>
              </w:rPr>
            </w:pPr>
            <w:r w:rsidRPr="002159A4">
              <w:rPr>
                <w:sz w:val="20"/>
              </w:rPr>
              <w:t>~1400</w:t>
            </w:r>
          </w:p>
        </w:tc>
        <w:tc>
          <w:tcPr>
            <w:tcW w:w="1275" w:type="dxa"/>
          </w:tcPr>
          <w:p w:rsidR="00D0213E" w:rsidRPr="002159A4" w:rsidRDefault="00D0213E" w:rsidP="00D0213E">
            <w:pPr>
              <w:spacing w:before="0"/>
              <w:jc w:val="center"/>
              <w:rPr>
                <w:sz w:val="20"/>
              </w:rPr>
            </w:pPr>
            <w:r w:rsidRPr="002159A4">
              <w:rPr>
                <w:sz w:val="20"/>
              </w:rPr>
              <w:t>No</w:t>
            </w:r>
          </w:p>
        </w:tc>
        <w:tc>
          <w:tcPr>
            <w:tcW w:w="6237" w:type="dxa"/>
          </w:tcPr>
          <w:p w:rsidR="00D0213E" w:rsidRDefault="00D0213E" w:rsidP="00D0213E">
            <w:pPr>
              <w:spacing w:before="0"/>
              <w:jc w:val="left"/>
              <w:rPr>
                <w:sz w:val="20"/>
              </w:rPr>
            </w:pPr>
            <w:r w:rsidRPr="002159A4">
              <w:rPr>
                <w:sz w:val="20"/>
              </w:rPr>
              <w:t>Technology path for existing bank and new equipment in less than 3 years</w:t>
            </w:r>
          </w:p>
          <w:p w:rsidR="00D0213E" w:rsidRPr="002159A4" w:rsidRDefault="00D0213E" w:rsidP="00D0213E">
            <w:pPr>
              <w:spacing w:before="0"/>
              <w:jc w:val="left"/>
              <w:rPr>
                <w:sz w:val="20"/>
              </w:rPr>
            </w:pPr>
            <w:r w:rsidRPr="002159A4">
              <w:rPr>
                <w:sz w:val="20"/>
              </w:rPr>
              <w:t>(</w:t>
            </w:r>
            <w:r>
              <w:rPr>
                <w:sz w:val="20"/>
              </w:rPr>
              <w:t xml:space="preserve">Class 1, </w:t>
            </w:r>
            <w:r w:rsidRPr="002159A4">
              <w:rPr>
                <w:sz w:val="20"/>
              </w:rPr>
              <w:t>HFC-404A replacement)</w:t>
            </w:r>
          </w:p>
        </w:tc>
      </w:tr>
      <w:tr w:rsidR="00D0213E" w:rsidRPr="002159A4" w:rsidTr="00D0213E">
        <w:tc>
          <w:tcPr>
            <w:tcW w:w="1900" w:type="dxa"/>
            <w:tcBorders>
              <w:top w:val="nil"/>
            </w:tcBorders>
          </w:tcPr>
          <w:p w:rsidR="00D0213E" w:rsidRPr="002159A4" w:rsidRDefault="00D0213E" w:rsidP="00D0213E">
            <w:pPr>
              <w:spacing w:before="0"/>
              <w:jc w:val="left"/>
              <w:rPr>
                <w:sz w:val="20"/>
              </w:rPr>
            </w:pPr>
          </w:p>
        </w:tc>
        <w:tc>
          <w:tcPr>
            <w:tcW w:w="893" w:type="dxa"/>
            <w:tcBorders>
              <w:top w:val="nil"/>
              <w:right w:val="single" w:sz="4" w:space="0" w:color="auto"/>
            </w:tcBorders>
          </w:tcPr>
          <w:p w:rsidR="00D0213E" w:rsidRPr="002159A4" w:rsidRDefault="00D0213E" w:rsidP="00D0213E">
            <w:pPr>
              <w:spacing w:before="0"/>
              <w:jc w:val="center"/>
              <w:rPr>
                <w:sz w:val="20"/>
              </w:rPr>
            </w:pPr>
          </w:p>
        </w:tc>
        <w:tc>
          <w:tcPr>
            <w:tcW w:w="236" w:type="dxa"/>
            <w:tcBorders>
              <w:top w:val="nil"/>
              <w:left w:val="single" w:sz="4" w:space="0" w:color="auto"/>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HFO-1234yf</w:t>
            </w:r>
          </w:p>
        </w:tc>
        <w:tc>
          <w:tcPr>
            <w:tcW w:w="851" w:type="dxa"/>
          </w:tcPr>
          <w:p w:rsidR="00D0213E" w:rsidRPr="002159A4" w:rsidRDefault="00D0213E" w:rsidP="00D0213E">
            <w:pPr>
              <w:spacing w:before="0"/>
              <w:jc w:val="center"/>
              <w:rPr>
                <w:sz w:val="20"/>
              </w:rPr>
            </w:pPr>
            <w:r w:rsidRPr="002159A4">
              <w:rPr>
                <w:sz w:val="20"/>
              </w:rPr>
              <w:t>4</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exis</w:t>
            </w:r>
            <w:r>
              <w:rPr>
                <w:sz w:val="20"/>
              </w:rPr>
              <w:t>ting bank and new equipment in 2</w:t>
            </w:r>
            <w:r w:rsidRPr="002159A4">
              <w:rPr>
                <w:sz w:val="20"/>
              </w:rPr>
              <w:t xml:space="preserve"> to </w:t>
            </w:r>
            <w:r>
              <w:rPr>
                <w:sz w:val="20"/>
              </w:rPr>
              <w:t>5</w:t>
            </w:r>
            <w:r w:rsidRPr="002159A4">
              <w:rPr>
                <w:sz w:val="20"/>
              </w:rPr>
              <w:t xml:space="preserve"> years</w:t>
            </w:r>
          </w:p>
        </w:tc>
      </w:tr>
      <w:tr w:rsidR="00D0213E" w:rsidRPr="002159A4" w:rsidTr="00D0213E">
        <w:tc>
          <w:tcPr>
            <w:tcW w:w="13041" w:type="dxa"/>
            <w:gridSpan w:val="7"/>
          </w:tcPr>
          <w:p w:rsidR="00D0213E" w:rsidRPr="002159A4" w:rsidRDefault="00D0213E" w:rsidP="00D0213E">
            <w:pPr>
              <w:rPr>
                <w:sz w:val="20"/>
              </w:rPr>
            </w:pPr>
            <w:r w:rsidRPr="002159A4">
              <w:rPr>
                <w:b/>
                <w:sz w:val="20"/>
              </w:rPr>
              <w:t>Non-domestic refriger</w:t>
            </w:r>
            <w:r>
              <w:rPr>
                <w:b/>
                <w:sz w:val="20"/>
              </w:rPr>
              <w:t>ation: supermarket and centralis</w:t>
            </w:r>
            <w:r w:rsidRPr="002159A4">
              <w:rPr>
                <w:b/>
                <w:sz w:val="20"/>
              </w:rPr>
              <w:t>ed rack systems</w:t>
            </w:r>
          </w:p>
        </w:tc>
      </w:tr>
      <w:tr w:rsidR="00D0213E" w:rsidRPr="002159A4" w:rsidTr="00D0213E">
        <w:tc>
          <w:tcPr>
            <w:tcW w:w="1900" w:type="dxa"/>
            <w:tcBorders>
              <w:bottom w:val="nil"/>
            </w:tcBorders>
          </w:tcPr>
          <w:p w:rsidR="00D0213E" w:rsidRPr="002159A4" w:rsidRDefault="00D0213E" w:rsidP="00D0213E">
            <w:pPr>
              <w:spacing w:before="0"/>
              <w:jc w:val="left"/>
              <w:rPr>
                <w:sz w:val="20"/>
              </w:rPr>
            </w:pPr>
            <w:r w:rsidRPr="002159A4">
              <w:rPr>
                <w:sz w:val="20"/>
              </w:rPr>
              <w:t xml:space="preserve">HFC-134a </w:t>
            </w:r>
          </w:p>
          <w:p w:rsidR="00D0213E" w:rsidRPr="002159A4" w:rsidRDefault="00D0213E" w:rsidP="00D0213E">
            <w:pPr>
              <w:spacing w:before="0"/>
              <w:jc w:val="left"/>
              <w:rPr>
                <w:sz w:val="20"/>
              </w:rPr>
            </w:pPr>
            <w:r w:rsidRPr="002159A4">
              <w:rPr>
                <w:sz w:val="20"/>
              </w:rPr>
              <w:t>(Medium temp)</w:t>
            </w:r>
          </w:p>
        </w:tc>
        <w:tc>
          <w:tcPr>
            <w:tcW w:w="893" w:type="dxa"/>
            <w:tcBorders>
              <w:bottom w:val="nil"/>
              <w:right w:val="single" w:sz="4" w:space="0" w:color="auto"/>
            </w:tcBorders>
          </w:tcPr>
          <w:p w:rsidR="00D0213E" w:rsidRPr="002159A4" w:rsidRDefault="00D0213E" w:rsidP="00D0213E">
            <w:pPr>
              <w:spacing w:before="0"/>
              <w:jc w:val="center"/>
              <w:rPr>
                <w:sz w:val="20"/>
              </w:rPr>
            </w:pPr>
            <w:r>
              <w:rPr>
                <w:sz w:val="20"/>
              </w:rPr>
              <w:t>1430</w:t>
            </w:r>
          </w:p>
        </w:tc>
        <w:tc>
          <w:tcPr>
            <w:tcW w:w="236" w:type="dxa"/>
            <w:tcBorders>
              <w:top w:val="single" w:sz="4" w:space="0" w:color="auto"/>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Cascade systems HFO/CO</w:t>
            </w:r>
            <w:r w:rsidRPr="002159A4">
              <w:rPr>
                <w:sz w:val="20"/>
                <w:vertAlign w:val="subscript"/>
              </w:rPr>
              <w:t>2</w:t>
            </w:r>
          </w:p>
        </w:tc>
        <w:tc>
          <w:tcPr>
            <w:tcW w:w="851" w:type="dxa"/>
          </w:tcPr>
          <w:p w:rsidR="00D0213E" w:rsidRPr="002159A4" w:rsidRDefault="00D0213E" w:rsidP="00D0213E">
            <w:pPr>
              <w:spacing w:before="0"/>
              <w:jc w:val="center"/>
              <w:rPr>
                <w:sz w:val="20"/>
              </w:rPr>
            </w:pPr>
            <w:r w:rsidRPr="002159A4">
              <w:rPr>
                <w:sz w:val="20"/>
              </w:rPr>
              <w:t>&lt;10</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2 to 5 years – possible charge limit restrictions on class A2L refrigerants</w:t>
            </w:r>
          </w:p>
        </w:tc>
      </w:tr>
      <w:tr w:rsidR="00D0213E" w:rsidRPr="002159A4" w:rsidTr="00D0213E">
        <w:tc>
          <w:tcPr>
            <w:tcW w:w="1900" w:type="dxa"/>
            <w:tcBorders>
              <w:top w:val="nil"/>
              <w:bottom w:val="nil"/>
            </w:tcBorders>
          </w:tcPr>
          <w:p w:rsidR="00D0213E" w:rsidRDefault="00D0213E" w:rsidP="00D0213E">
            <w:pPr>
              <w:spacing w:before="0"/>
              <w:jc w:val="left"/>
              <w:rPr>
                <w:sz w:val="20"/>
              </w:rPr>
            </w:pPr>
          </w:p>
          <w:p w:rsidR="00D0213E" w:rsidRPr="002159A4" w:rsidRDefault="00D0213E" w:rsidP="00D0213E">
            <w:pPr>
              <w:spacing w:before="0"/>
              <w:jc w:val="left"/>
              <w:rPr>
                <w:sz w:val="20"/>
              </w:rPr>
            </w:pPr>
            <w:r w:rsidRPr="002159A4">
              <w:rPr>
                <w:sz w:val="20"/>
              </w:rPr>
              <w:t xml:space="preserve">HFC-404A </w:t>
            </w:r>
          </w:p>
          <w:p w:rsidR="00D0213E" w:rsidRPr="002159A4" w:rsidRDefault="00D0213E" w:rsidP="00D0213E">
            <w:pPr>
              <w:spacing w:before="0"/>
              <w:jc w:val="left"/>
              <w:rPr>
                <w:sz w:val="20"/>
              </w:rPr>
            </w:pPr>
            <w:r w:rsidRPr="002159A4">
              <w:rPr>
                <w:sz w:val="20"/>
              </w:rPr>
              <w:t>(Low and med temp)</w:t>
            </w:r>
          </w:p>
        </w:tc>
        <w:tc>
          <w:tcPr>
            <w:tcW w:w="893" w:type="dxa"/>
            <w:tcBorders>
              <w:top w:val="nil"/>
              <w:bottom w:val="nil"/>
              <w:right w:val="single" w:sz="4" w:space="0" w:color="auto"/>
            </w:tcBorders>
          </w:tcPr>
          <w:p w:rsidR="00D0213E" w:rsidRDefault="00D0213E" w:rsidP="00D0213E">
            <w:pPr>
              <w:spacing w:before="0"/>
              <w:jc w:val="center"/>
              <w:rPr>
                <w:sz w:val="20"/>
              </w:rPr>
            </w:pPr>
          </w:p>
          <w:p w:rsidR="00D0213E" w:rsidRPr="002159A4" w:rsidRDefault="00D0213E" w:rsidP="00D0213E">
            <w:pPr>
              <w:spacing w:before="0"/>
              <w:jc w:val="center"/>
              <w:rPr>
                <w:sz w:val="20"/>
              </w:rPr>
            </w:pPr>
            <w:r>
              <w:rPr>
                <w:sz w:val="20"/>
              </w:rPr>
              <w:t>3922</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CO</w:t>
            </w:r>
            <w:r w:rsidRPr="002159A4">
              <w:rPr>
                <w:sz w:val="20"/>
                <w:vertAlign w:val="subscript"/>
              </w:rPr>
              <w:t>2</w:t>
            </w:r>
            <w:r w:rsidRPr="002159A4">
              <w:rPr>
                <w:sz w:val="20"/>
              </w:rPr>
              <w:t xml:space="preserve"> only systems</w:t>
            </w:r>
          </w:p>
          <w:p w:rsidR="00D0213E" w:rsidRPr="002159A4" w:rsidRDefault="00D0213E" w:rsidP="00D0213E">
            <w:pPr>
              <w:spacing w:before="0"/>
              <w:jc w:val="left"/>
              <w:rPr>
                <w:sz w:val="20"/>
              </w:rPr>
            </w:pPr>
            <w:r w:rsidRPr="002159A4">
              <w:rPr>
                <w:sz w:val="20"/>
              </w:rPr>
              <w:t>(Trans-critical)</w:t>
            </w:r>
          </w:p>
          <w:p w:rsidR="00D0213E" w:rsidRPr="002159A4" w:rsidRDefault="00D0213E" w:rsidP="00D0213E">
            <w:pPr>
              <w:spacing w:before="0"/>
              <w:jc w:val="left"/>
              <w:rPr>
                <w:sz w:val="20"/>
              </w:rPr>
            </w:pPr>
          </w:p>
        </w:tc>
        <w:tc>
          <w:tcPr>
            <w:tcW w:w="851" w:type="dxa"/>
          </w:tcPr>
          <w:p w:rsidR="00D0213E" w:rsidRPr="002159A4" w:rsidRDefault="00D0213E" w:rsidP="00D0213E">
            <w:pPr>
              <w:spacing w:before="0"/>
              <w:jc w:val="center"/>
              <w:rPr>
                <w:sz w:val="20"/>
              </w:rPr>
            </w:pPr>
            <w:r w:rsidRPr="002159A4">
              <w:rPr>
                <w:sz w:val="20"/>
              </w:rPr>
              <w:t>1</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 technical (limited to low ambient regions) and commercial barriers. High ambient trans critical systems currently under development</w:t>
            </w:r>
          </w:p>
        </w:tc>
      </w:tr>
      <w:tr w:rsidR="00D0213E" w:rsidRPr="002159A4" w:rsidTr="00D0213E">
        <w:tc>
          <w:tcPr>
            <w:tcW w:w="1900" w:type="dxa"/>
            <w:tcBorders>
              <w:top w:val="nil"/>
              <w:bottom w:val="nil"/>
            </w:tcBorders>
          </w:tcPr>
          <w:p w:rsidR="00D0213E" w:rsidRDefault="00D0213E" w:rsidP="00D0213E">
            <w:pPr>
              <w:spacing w:before="0"/>
              <w:jc w:val="left"/>
              <w:rPr>
                <w:sz w:val="20"/>
              </w:rPr>
            </w:pPr>
          </w:p>
          <w:p w:rsidR="00D0213E" w:rsidRPr="007D4521" w:rsidRDefault="00D0213E" w:rsidP="00D0213E">
            <w:pPr>
              <w:spacing w:before="0"/>
              <w:jc w:val="left"/>
              <w:rPr>
                <w:sz w:val="20"/>
              </w:rPr>
            </w:pPr>
            <w:r w:rsidRPr="007D4521">
              <w:rPr>
                <w:sz w:val="20"/>
              </w:rPr>
              <w:t>Cascade systems</w:t>
            </w:r>
          </w:p>
        </w:tc>
        <w:tc>
          <w:tcPr>
            <w:tcW w:w="893" w:type="dxa"/>
            <w:tcBorders>
              <w:top w:val="nil"/>
              <w:bottom w:val="nil"/>
              <w:right w:val="single" w:sz="4" w:space="0" w:color="auto"/>
            </w:tcBorders>
          </w:tcPr>
          <w:p w:rsidR="00D0213E" w:rsidRDefault="00D0213E" w:rsidP="00D0213E">
            <w:pPr>
              <w:spacing w:before="0"/>
              <w:jc w:val="center"/>
              <w:rPr>
                <w:sz w:val="20"/>
              </w:rPr>
            </w:pPr>
          </w:p>
          <w:p w:rsidR="00D0213E" w:rsidRPr="002159A4" w:rsidRDefault="00D0213E" w:rsidP="00D0213E">
            <w:pPr>
              <w:spacing w:before="0"/>
              <w:jc w:val="center"/>
              <w:rPr>
                <w:sz w:val="20"/>
              </w:rPr>
            </w:pPr>
            <w:r>
              <w:rPr>
                <w:sz w:val="20"/>
              </w:rPr>
              <w:t>See</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Pr>
                <w:sz w:val="20"/>
              </w:rPr>
              <w:t>HFO blends</w:t>
            </w:r>
          </w:p>
        </w:tc>
        <w:tc>
          <w:tcPr>
            <w:tcW w:w="851" w:type="dxa"/>
          </w:tcPr>
          <w:p w:rsidR="00D0213E" w:rsidRPr="002159A4" w:rsidRDefault="00D0213E" w:rsidP="00D0213E">
            <w:pPr>
              <w:spacing w:before="0"/>
              <w:jc w:val="center"/>
              <w:rPr>
                <w:sz w:val="20"/>
              </w:rPr>
            </w:pPr>
            <w:r w:rsidRPr="002159A4">
              <w:rPr>
                <w:sz w:val="20"/>
              </w:rPr>
              <w:t>~600</w:t>
            </w:r>
          </w:p>
        </w:tc>
        <w:tc>
          <w:tcPr>
            <w:tcW w:w="1275" w:type="dxa"/>
          </w:tcPr>
          <w:p w:rsidR="00D0213E" w:rsidRPr="002159A4" w:rsidRDefault="00D0213E" w:rsidP="00D0213E">
            <w:pPr>
              <w:spacing w:before="0"/>
              <w:jc w:val="center"/>
              <w:rPr>
                <w:sz w:val="20"/>
              </w:rPr>
            </w:pPr>
            <w:r w:rsidRPr="002159A4">
              <w:rPr>
                <w:sz w:val="20"/>
              </w:rPr>
              <w:t>No</w:t>
            </w:r>
          </w:p>
        </w:tc>
        <w:tc>
          <w:tcPr>
            <w:tcW w:w="6237" w:type="dxa"/>
          </w:tcPr>
          <w:p w:rsidR="00D0213E" w:rsidRDefault="00D0213E" w:rsidP="00D0213E">
            <w:pPr>
              <w:spacing w:before="0"/>
              <w:jc w:val="left"/>
              <w:rPr>
                <w:sz w:val="20"/>
              </w:rPr>
            </w:pPr>
            <w:r w:rsidRPr="002159A4">
              <w:rPr>
                <w:sz w:val="20"/>
              </w:rPr>
              <w:t>Technology path for existing bank and new equipment in less than 3 years</w:t>
            </w:r>
          </w:p>
          <w:p w:rsidR="00D0213E" w:rsidRPr="002159A4" w:rsidRDefault="00D0213E" w:rsidP="00D0213E">
            <w:pPr>
              <w:spacing w:before="0"/>
              <w:jc w:val="left"/>
              <w:rPr>
                <w:sz w:val="20"/>
              </w:rPr>
            </w:pPr>
            <w:r>
              <w:rPr>
                <w:sz w:val="20"/>
              </w:rPr>
              <w:t xml:space="preserve">(Class 1, </w:t>
            </w:r>
            <w:r w:rsidRPr="002159A4">
              <w:rPr>
                <w:sz w:val="20"/>
              </w:rPr>
              <w:t>HFC-134a replacement)</w:t>
            </w:r>
            <w:r>
              <w:rPr>
                <w:sz w:val="20"/>
              </w:rPr>
              <w:t xml:space="preserve"> (</w:t>
            </w:r>
            <w:r w:rsidRPr="00930547">
              <w:rPr>
                <w:color w:val="000000"/>
                <w:szCs w:val="22"/>
              </w:rPr>
              <w:t>†</w:t>
            </w:r>
            <w:r>
              <w:rPr>
                <w:color w:val="000000"/>
                <w:szCs w:val="22"/>
              </w:rPr>
              <w:t xml:space="preserve"> </w:t>
            </w:r>
            <w:r w:rsidRPr="00DD7B29">
              <w:rPr>
                <w:sz w:val="20"/>
              </w:rPr>
              <w:t>Reduced charge</w:t>
            </w:r>
            <w:r>
              <w:rPr>
                <w:sz w:val="20"/>
              </w:rPr>
              <w:t xml:space="preserve"> and </w:t>
            </w:r>
            <w:r w:rsidRPr="00DD7B29">
              <w:rPr>
                <w:sz w:val="20"/>
              </w:rPr>
              <w:t>GWP)</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r w:rsidRPr="002159A4">
              <w:rPr>
                <w:sz w:val="20"/>
              </w:rPr>
              <w:t>HFC/Ammonia/CO</w:t>
            </w:r>
            <w:r w:rsidRPr="002159A4">
              <w:rPr>
                <w:sz w:val="20"/>
                <w:vertAlign w:val="subscript"/>
              </w:rPr>
              <w:t>2</w:t>
            </w:r>
          </w:p>
        </w:tc>
        <w:tc>
          <w:tcPr>
            <w:tcW w:w="893" w:type="dxa"/>
            <w:tcBorders>
              <w:top w:val="nil"/>
              <w:bottom w:val="nil"/>
              <w:right w:val="single" w:sz="4" w:space="0" w:color="auto"/>
            </w:tcBorders>
          </w:tcPr>
          <w:p w:rsidR="00D0213E" w:rsidRDefault="00D0213E" w:rsidP="00D0213E">
            <w:pPr>
              <w:spacing w:before="0"/>
              <w:jc w:val="center"/>
              <w:rPr>
                <w:sz w:val="20"/>
              </w:rPr>
            </w:pPr>
            <w:r>
              <w:rPr>
                <w:sz w:val="20"/>
              </w:rPr>
              <w:t xml:space="preserve">note </w:t>
            </w:r>
            <w:r w:rsidRPr="00930547">
              <w:rPr>
                <w:color w:val="000000"/>
                <w:szCs w:val="22"/>
              </w:rPr>
              <w:t>†</w:t>
            </w:r>
          </w:p>
          <w:p w:rsidR="00D0213E" w:rsidRPr="002159A4" w:rsidRDefault="00D0213E" w:rsidP="00D0213E">
            <w:pPr>
              <w:spacing w:before="0"/>
              <w:rPr>
                <w:sz w:val="20"/>
              </w:rPr>
            </w:pP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outlineLvl w:val="0"/>
              <w:rPr>
                <w:sz w:val="20"/>
              </w:rPr>
            </w:pPr>
            <w:r w:rsidRPr="002159A4">
              <w:rPr>
                <w:sz w:val="20"/>
              </w:rPr>
              <w:t>HFO blends</w:t>
            </w:r>
          </w:p>
        </w:tc>
        <w:tc>
          <w:tcPr>
            <w:tcW w:w="851" w:type="dxa"/>
          </w:tcPr>
          <w:p w:rsidR="00D0213E" w:rsidRPr="002159A4" w:rsidRDefault="00D0213E" w:rsidP="00D0213E">
            <w:pPr>
              <w:spacing w:before="0"/>
              <w:jc w:val="center"/>
              <w:rPr>
                <w:sz w:val="20"/>
              </w:rPr>
            </w:pPr>
            <w:r w:rsidRPr="002159A4">
              <w:rPr>
                <w:sz w:val="20"/>
              </w:rPr>
              <w:t>~1400</w:t>
            </w:r>
          </w:p>
        </w:tc>
        <w:tc>
          <w:tcPr>
            <w:tcW w:w="1275" w:type="dxa"/>
          </w:tcPr>
          <w:p w:rsidR="00D0213E" w:rsidRPr="002159A4" w:rsidRDefault="00D0213E" w:rsidP="00D0213E">
            <w:pPr>
              <w:spacing w:before="0"/>
              <w:jc w:val="center"/>
              <w:rPr>
                <w:sz w:val="20"/>
              </w:rPr>
            </w:pPr>
            <w:r w:rsidRPr="002159A4">
              <w:rPr>
                <w:sz w:val="20"/>
              </w:rPr>
              <w:t>No</w:t>
            </w:r>
          </w:p>
        </w:tc>
        <w:tc>
          <w:tcPr>
            <w:tcW w:w="6237" w:type="dxa"/>
          </w:tcPr>
          <w:p w:rsidR="00D0213E" w:rsidRDefault="00D0213E" w:rsidP="00D0213E">
            <w:pPr>
              <w:spacing w:before="0"/>
              <w:jc w:val="left"/>
              <w:rPr>
                <w:sz w:val="20"/>
              </w:rPr>
            </w:pPr>
            <w:r w:rsidRPr="002159A4">
              <w:rPr>
                <w:sz w:val="20"/>
              </w:rPr>
              <w:t>Technology path for existing bank and new equipment in less than 3 years</w:t>
            </w:r>
          </w:p>
          <w:p w:rsidR="00D0213E" w:rsidRPr="002159A4" w:rsidRDefault="00D0213E" w:rsidP="00D0213E">
            <w:pPr>
              <w:spacing w:before="0"/>
              <w:jc w:val="left"/>
              <w:rPr>
                <w:sz w:val="20"/>
              </w:rPr>
            </w:pPr>
            <w:r w:rsidRPr="002159A4">
              <w:rPr>
                <w:sz w:val="20"/>
              </w:rPr>
              <w:t>(</w:t>
            </w:r>
            <w:r>
              <w:rPr>
                <w:sz w:val="20"/>
              </w:rPr>
              <w:t xml:space="preserve">Class 1, </w:t>
            </w:r>
            <w:r w:rsidRPr="002159A4">
              <w:rPr>
                <w:sz w:val="20"/>
              </w:rPr>
              <w:t>HFC-404A replacement)</w:t>
            </w:r>
          </w:p>
        </w:tc>
      </w:tr>
      <w:tr w:rsidR="00D0213E" w:rsidRPr="002159A4" w:rsidTr="00D0213E">
        <w:tc>
          <w:tcPr>
            <w:tcW w:w="1900" w:type="dxa"/>
            <w:tcBorders>
              <w:top w:val="nil"/>
            </w:tcBorders>
          </w:tcPr>
          <w:p w:rsidR="00D0213E" w:rsidRDefault="00D0213E" w:rsidP="00D0213E">
            <w:pPr>
              <w:spacing w:before="0"/>
              <w:jc w:val="left"/>
              <w:rPr>
                <w:sz w:val="20"/>
              </w:rPr>
            </w:pPr>
            <w:r w:rsidRPr="002159A4">
              <w:rPr>
                <w:sz w:val="20"/>
              </w:rPr>
              <w:t>CO</w:t>
            </w:r>
            <w:r w:rsidRPr="002159A4">
              <w:rPr>
                <w:sz w:val="20"/>
                <w:vertAlign w:val="subscript"/>
              </w:rPr>
              <w:t>2</w:t>
            </w:r>
            <w:r w:rsidRPr="002159A4">
              <w:rPr>
                <w:sz w:val="20"/>
              </w:rPr>
              <w:t xml:space="preserve"> only system</w:t>
            </w:r>
          </w:p>
          <w:p w:rsidR="00D0213E" w:rsidRPr="002159A4" w:rsidRDefault="00D0213E" w:rsidP="00D0213E">
            <w:pPr>
              <w:spacing w:before="0"/>
              <w:jc w:val="left"/>
              <w:rPr>
                <w:sz w:val="20"/>
              </w:rPr>
            </w:pPr>
            <w:r w:rsidRPr="002159A4">
              <w:rPr>
                <w:sz w:val="20"/>
              </w:rPr>
              <w:t>(Low temp)</w:t>
            </w:r>
          </w:p>
        </w:tc>
        <w:tc>
          <w:tcPr>
            <w:tcW w:w="893" w:type="dxa"/>
            <w:tcBorders>
              <w:top w:val="nil"/>
              <w:right w:val="single" w:sz="4" w:space="0" w:color="auto"/>
            </w:tcBorders>
          </w:tcPr>
          <w:p w:rsidR="00D0213E" w:rsidRPr="002159A4" w:rsidRDefault="00D0213E" w:rsidP="00D0213E">
            <w:pPr>
              <w:spacing w:before="0"/>
              <w:jc w:val="center"/>
              <w:rPr>
                <w:sz w:val="20"/>
              </w:rPr>
            </w:pPr>
            <w:r>
              <w:rPr>
                <w:sz w:val="20"/>
              </w:rPr>
              <w:t>1</w:t>
            </w:r>
          </w:p>
        </w:tc>
        <w:tc>
          <w:tcPr>
            <w:tcW w:w="236" w:type="dxa"/>
            <w:tcBorders>
              <w:top w:val="nil"/>
              <w:left w:val="single" w:sz="4" w:space="0" w:color="auto"/>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after="2"/>
              <w:jc w:val="left"/>
              <w:outlineLvl w:val="0"/>
              <w:rPr>
                <w:sz w:val="20"/>
              </w:rPr>
            </w:pPr>
            <w:r w:rsidRPr="002159A4">
              <w:rPr>
                <w:sz w:val="20"/>
              </w:rPr>
              <w:t>HFO-1234yf</w:t>
            </w:r>
          </w:p>
          <w:p w:rsidR="00D0213E" w:rsidRPr="002159A4" w:rsidRDefault="00D0213E" w:rsidP="00D0213E">
            <w:pPr>
              <w:spacing w:before="0"/>
              <w:jc w:val="left"/>
              <w:rPr>
                <w:sz w:val="20"/>
              </w:rPr>
            </w:pPr>
            <w:r w:rsidRPr="002159A4">
              <w:rPr>
                <w:sz w:val="20"/>
              </w:rPr>
              <w:t>(Medium temp)</w:t>
            </w:r>
          </w:p>
        </w:tc>
        <w:tc>
          <w:tcPr>
            <w:tcW w:w="851" w:type="dxa"/>
          </w:tcPr>
          <w:p w:rsidR="00D0213E" w:rsidRPr="002159A4" w:rsidRDefault="00D0213E" w:rsidP="00D0213E">
            <w:pPr>
              <w:spacing w:before="0"/>
              <w:jc w:val="center"/>
              <w:rPr>
                <w:sz w:val="20"/>
              </w:rPr>
            </w:pPr>
            <w:r w:rsidRPr="002159A4">
              <w:rPr>
                <w:sz w:val="20"/>
              </w:rPr>
              <w:t>4</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in 2 to 5 years – possible charge limit restrictions on class A2L mildly flammable refrigerants</w:t>
            </w:r>
          </w:p>
        </w:tc>
      </w:tr>
      <w:tr w:rsidR="00D0213E" w:rsidRPr="002159A4" w:rsidTr="00D0213E">
        <w:tc>
          <w:tcPr>
            <w:tcW w:w="13041" w:type="dxa"/>
            <w:gridSpan w:val="7"/>
          </w:tcPr>
          <w:p w:rsidR="00D0213E" w:rsidRPr="002159A4" w:rsidRDefault="00D0213E" w:rsidP="00D0213E">
            <w:pPr>
              <w:spacing w:before="0"/>
              <w:jc w:val="left"/>
              <w:rPr>
                <w:sz w:val="20"/>
              </w:rPr>
            </w:pPr>
            <w:r w:rsidRPr="002159A4">
              <w:rPr>
                <w:sz w:val="20"/>
              </w:rPr>
              <w:t xml:space="preserve">HFC-407F and other </w:t>
            </w:r>
            <w:r>
              <w:rPr>
                <w:sz w:val="20"/>
              </w:rPr>
              <w:t>retrofit r</w:t>
            </w:r>
            <w:r w:rsidRPr="002159A4">
              <w:rPr>
                <w:sz w:val="20"/>
              </w:rPr>
              <w:t>eplacements are possible interim options as they have a GWP around half of HFC-404A</w:t>
            </w:r>
          </w:p>
        </w:tc>
      </w:tr>
    </w:tbl>
    <w:p w:rsidR="00D0213E" w:rsidRDefault="00D0213E" w:rsidP="00D0213E">
      <w:pPr>
        <w:rPr>
          <w:b/>
        </w:rPr>
      </w:pPr>
    </w:p>
    <w:p w:rsidR="00D0213E" w:rsidRPr="003F6D26" w:rsidRDefault="00D0213E" w:rsidP="00D0213E">
      <w:pPr>
        <w:rPr>
          <w:b/>
          <w:color w:val="000000"/>
        </w:rPr>
      </w:pPr>
      <w:r w:rsidRPr="002159A4">
        <w:rPr>
          <w:b/>
        </w:rPr>
        <w:t xml:space="preserve">Transition map to </w:t>
      </w:r>
      <w:r>
        <w:rPr>
          <w:b/>
        </w:rPr>
        <w:t>nil o</w:t>
      </w:r>
      <w:r w:rsidRPr="002159A4">
        <w:rPr>
          <w:b/>
        </w:rPr>
        <w:t>r low</w:t>
      </w:r>
      <w:r>
        <w:rPr>
          <w:b/>
        </w:rPr>
        <w:t>er</w:t>
      </w:r>
      <w:r w:rsidRPr="002159A4">
        <w:rPr>
          <w:b/>
        </w:rPr>
        <w:t xml:space="preserve"> GWP options for main equipment classes and </w:t>
      </w:r>
      <w:r>
        <w:rPr>
          <w:b/>
        </w:rPr>
        <w:t xml:space="preserve">technologies </w:t>
      </w:r>
      <w:r w:rsidRPr="00FA2337">
        <w:rPr>
          <w:b/>
        </w:rPr>
        <w:t>(continued)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00"/>
        <w:gridCol w:w="893"/>
        <w:gridCol w:w="236"/>
        <w:gridCol w:w="1649"/>
        <w:gridCol w:w="851"/>
        <w:gridCol w:w="1275"/>
        <w:gridCol w:w="6237"/>
      </w:tblGrid>
      <w:tr w:rsidR="00D0213E" w:rsidRPr="002159A4" w:rsidTr="00D0213E">
        <w:tc>
          <w:tcPr>
            <w:tcW w:w="1900" w:type="dxa"/>
            <w:tcBorders>
              <w:righ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Current options</w:t>
            </w:r>
          </w:p>
        </w:tc>
        <w:tc>
          <w:tcPr>
            <w:tcW w:w="893" w:type="dxa"/>
            <w:tcBorders>
              <w:left w:val="single" w:sz="4" w:space="0" w:color="FFFFFF"/>
              <w:right w:val="single" w:sz="4" w:space="0" w:color="FFFFFF"/>
            </w:tcBorders>
            <w:shd w:val="clear" w:color="auto" w:fill="000000"/>
            <w:vAlign w:val="center"/>
          </w:tcPr>
          <w:p w:rsidR="00D0213E" w:rsidRDefault="00D0213E" w:rsidP="00D0213E">
            <w:pPr>
              <w:spacing w:before="0"/>
              <w:jc w:val="center"/>
              <w:outlineLvl w:val="0"/>
              <w:rPr>
                <w:sz w:val="20"/>
                <w:szCs w:val="12"/>
                <w:lang w:val="en-AU"/>
              </w:rPr>
            </w:pPr>
            <w:r w:rsidRPr="002159A4">
              <w:rPr>
                <w:sz w:val="20"/>
                <w:szCs w:val="12"/>
                <w:lang w:val="en-AU"/>
              </w:rPr>
              <w:t>GWP</w:t>
            </w:r>
          </w:p>
          <w:p w:rsidR="00D0213E" w:rsidRPr="002159A4" w:rsidRDefault="00D0213E" w:rsidP="00D0213E">
            <w:pPr>
              <w:spacing w:before="0"/>
              <w:jc w:val="center"/>
              <w:outlineLvl w:val="0"/>
              <w:rPr>
                <w:sz w:val="20"/>
                <w:szCs w:val="12"/>
                <w:lang w:val="en-AU"/>
              </w:rPr>
            </w:pPr>
            <w:r>
              <w:rPr>
                <w:sz w:val="20"/>
                <w:szCs w:val="12"/>
                <w:lang w:val="en-AU"/>
              </w:rPr>
              <w:t>(AR4)</w:t>
            </w:r>
          </w:p>
        </w:tc>
        <w:tc>
          <w:tcPr>
            <w:tcW w:w="236" w:type="dxa"/>
            <w:tcBorders>
              <w:left w:val="single" w:sz="4" w:space="0" w:color="FFFFFF"/>
              <w:right w:val="single" w:sz="4" w:space="0" w:color="FFFFFF"/>
            </w:tcBorders>
            <w:shd w:val="clear" w:color="auto" w:fill="CCCCCC"/>
          </w:tcPr>
          <w:p w:rsidR="00D0213E" w:rsidRPr="002159A4" w:rsidRDefault="00D0213E" w:rsidP="00D0213E">
            <w:pPr>
              <w:spacing w:before="0"/>
              <w:outlineLvl w:val="0"/>
              <w:rPr>
                <w:sz w:val="20"/>
                <w:szCs w:val="12"/>
                <w:lang w:val="en-AU"/>
              </w:rPr>
            </w:pPr>
          </w:p>
        </w:tc>
        <w:tc>
          <w:tcPr>
            <w:tcW w:w="1649" w:type="dxa"/>
            <w:tcBorders>
              <w:left w:val="single" w:sz="4" w:space="0" w:color="FFFFFF"/>
              <w:righ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Low</w:t>
            </w:r>
            <w:r>
              <w:rPr>
                <w:sz w:val="20"/>
                <w:szCs w:val="12"/>
                <w:lang w:val="en-AU"/>
              </w:rPr>
              <w:t>er</w:t>
            </w:r>
            <w:r w:rsidRPr="002159A4">
              <w:rPr>
                <w:sz w:val="20"/>
                <w:szCs w:val="12"/>
                <w:lang w:val="en-AU"/>
              </w:rPr>
              <w:t xml:space="preserve"> GWP options</w:t>
            </w:r>
          </w:p>
        </w:tc>
        <w:tc>
          <w:tcPr>
            <w:tcW w:w="851" w:type="dxa"/>
            <w:tcBorders>
              <w:left w:val="single" w:sz="4" w:space="0" w:color="FFFFFF"/>
              <w:right w:val="single" w:sz="4" w:space="0" w:color="FFFFFF"/>
            </w:tcBorders>
            <w:shd w:val="clear" w:color="auto" w:fill="000000"/>
            <w:vAlign w:val="center"/>
          </w:tcPr>
          <w:p w:rsidR="00D0213E" w:rsidRPr="002159A4" w:rsidRDefault="00D0213E" w:rsidP="00D0213E">
            <w:pPr>
              <w:spacing w:before="0"/>
              <w:jc w:val="center"/>
              <w:outlineLvl w:val="0"/>
              <w:rPr>
                <w:sz w:val="20"/>
                <w:szCs w:val="12"/>
                <w:lang w:val="en-AU"/>
              </w:rPr>
            </w:pPr>
            <w:r w:rsidRPr="002159A4">
              <w:rPr>
                <w:sz w:val="20"/>
                <w:szCs w:val="12"/>
                <w:lang w:val="en-AU"/>
              </w:rPr>
              <w:t>GWP</w:t>
            </w:r>
          </w:p>
        </w:tc>
        <w:tc>
          <w:tcPr>
            <w:tcW w:w="1275" w:type="dxa"/>
            <w:tcBorders>
              <w:left w:val="single" w:sz="4" w:space="0" w:color="FFFFFF"/>
              <w:righ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Equipment replacement</w:t>
            </w:r>
          </w:p>
        </w:tc>
        <w:tc>
          <w:tcPr>
            <w:tcW w:w="6237" w:type="dxa"/>
            <w:tcBorders>
              <w:lef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Comments</w:t>
            </w:r>
          </w:p>
        </w:tc>
      </w:tr>
      <w:tr w:rsidR="00D0213E" w:rsidRPr="002159A4" w:rsidTr="00D0213E">
        <w:tc>
          <w:tcPr>
            <w:tcW w:w="13041" w:type="dxa"/>
            <w:gridSpan w:val="7"/>
          </w:tcPr>
          <w:p w:rsidR="00D0213E" w:rsidRPr="00763C3E" w:rsidRDefault="00D0213E" w:rsidP="00D0213E">
            <w:pPr>
              <w:jc w:val="left"/>
              <w:rPr>
                <w:b/>
                <w:sz w:val="20"/>
              </w:rPr>
            </w:pPr>
            <w:r w:rsidRPr="002159A4">
              <w:rPr>
                <w:b/>
                <w:sz w:val="20"/>
              </w:rPr>
              <w:t>Non-domestic refrigeration: cold storage and process refrigeration</w:t>
            </w:r>
          </w:p>
        </w:tc>
      </w:tr>
      <w:tr w:rsidR="00D0213E" w:rsidRPr="002159A4" w:rsidTr="00D0213E">
        <w:tc>
          <w:tcPr>
            <w:tcW w:w="1900" w:type="dxa"/>
            <w:tcBorders>
              <w:bottom w:val="nil"/>
            </w:tcBorders>
          </w:tcPr>
          <w:p w:rsidR="00D0213E" w:rsidRPr="002159A4" w:rsidRDefault="00D0213E" w:rsidP="00D0213E">
            <w:pPr>
              <w:spacing w:before="0"/>
              <w:jc w:val="left"/>
              <w:rPr>
                <w:sz w:val="20"/>
              </w:rPr>
            </w:pPr>
            <w:r w:rsidRPr="002159A4">
              <w:rPr>
                <w:sz w:val="20"/>
              </w:rPr>
              <w:t>CO</w:t>
            </w:r>
            <w:r w:rsidRPr="002159A4">
              <w:rPr>
                <w:sz w:val="20"/>
                <w:vertAlign w:val="subscript"/>
              </w:rPr>
              <w:t>2</w:t>
            </w:r>
            <w:r w:rsidRPr="002159A4">
              <w:rPr>
                <w:sz w:val="20"/>
              </w:rPr>
              <w:t xml:space="preserve"> only systems</w:t>
            </w:r>
          </w:p>
        </w:tc>
        <w:tc>
          <w:tcPr>
            <w:tcW w:w="893" w:type="dxa"/>
            <w:tcBorders>
              <w:bottom w:val="nil"/>
              <w:right w:val="single" w:sz="4" w:space="0" w:color="auto"/>
            </w:tcBorders>
          </w:tcPr>
          <w:p w:rsidR="00D0213E" w:rsidRPr="002159A4" w:rsidRDefault="00D0213E" w:rsidP="00D0213E">
            <w:pPr>
              <w:spacing w:before="0"/>
              <w:jc w:val="center"/>
              <w:rPr>
                <w:sz w:val="20"/>
              </w:rPr>
            </w:pPr>
            <w:r w:rsidRPr="002159A4">
              <w:rPr>
                <w:sz w:val="20"/>
              </w:rPr>
              <w:t>1</w:t>
            </w:r>
          </w:p>
        </w:tc>
        <w:tc>
          <w:tcPr>
            <w:tcW w:w="236" w:type="dxa"/>
            <w:tcBorders>
              <w:top w:val="single" w:sz="4" w:space="0" w:color="auto"/>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Ammonia (R717)</w:t>
            </w:r>
          </w:p>
        </w:tc>
        <w:tc>
          <w:tcPr>
            <w:tcW w:w="851" w:type="dxa"/>
          </w:tcPr>
          <w:p w:rsidR="00D0213E" w:rsidRPr="002159A4" w:rsidRDefault="00D0213E" w:rsidP="00D0213E">
            <w:pPr>
              <w:spacing w:before="0"/>
              <w:jc w:val="center"/>
              <w:rPr>
                <w:sz w:val="20"/>
              </w:rPr>
            </w:pPr>
            <w:r w:rsidRPr="002159A4">
              <w:rPr>
                <w:sz w:val="20"/>
              </w:rPr>
              <w:t>0</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 opportunity to transition immediately</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r w:rsidRPr="002159A4">
              <w:rPr>
                <w:sz w:val="20"/>
              </w:rPr>
              <w:t>HFC-134a</w:t>
            </w:r>
          </w:p>
        </w:tc>
        <w:tc>
          <w:tcPr>
            <w:tcW w:w="893" w:type="dxa"/>
            <w:tcBorders>
              <w:top w:val="nil"/>
              <w:bottom w:val="nil"/>
              <w:right w:val="single" w:sz="4" w:space="0" w:color="auto"/>
            </w:tcBorders>
          </w:tcPr>
          <w:p w:rsidR="00D0213E" w:rsidRPr="002159A4" w:rsidRDefault="00D0213E" w:rsidP="00D0213E">
            <w:pPr>
              <w:spacing w:before="0"/>
              <w:jc w:val="center"/>
              <w:rPr>
                <w:sz w:val="20"/>
              </w:rPr>
            </w:pPr>
            <w:r>
              <w:rPr>
                <w:sz w:val="20"/>
              </w:rPr>
              <w:t>1430</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CO</w:t>
            </w:r>
            <w:r w:rsidRPr="002159A4">
              <w:rPr>
                <w:sz w:val="20"/>
                <w:vertAlign w:val="subscript"/>
              </w:rPr>
              <w:t>2</w:t>
            </w:r>
            <w:r w:rsidRPr="002159A4">
              <w:rPr>
                <w:sz w:val="20"/>
              </w:rPr>
              <w:t xml:space="preserve"> only systems</w:t>
            </w:r>
          </w:p>
        </w:tc>
        <w:tc>
          <w:tcPr>
            <w:tcW w:w="851" w:type="dxa"/>
          </w:tcPr>
          <w:p w:rsidR="00D0213E" w:rsidRPr="002159A4" w:rsidRDefault="00D0213E" w:rsidP="00D0213E">
            <w:pPr>
              <w:spacing w:before="0"/>
              <w:jc w:val="center"/>
              <w:rPr>
                <w:sz w:val="20"/>
              </w:rPr>
            </w:pPr>
            <w:r w:rsidRPr="002159A4">
              <w:rPr>
                <w:sz w:val="20"/>
              </w:rPr>
              <w:t>1</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 technical and commercial barriers</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r w:rsidRPr="002159A4">
              <w:rPr>
                <w:sz w:val="20"/>
              </w:rPr>
              <w:t>(Medium temp)</w:t>
            </w:r>
          </w:p>
        </w:tc>
        <w:tc>
          <w:tcPr>
            <w:tcW w:w="893" w:type="dxa"/>
            <w:tcBorders>
              <w:top w:val="nil"/>
              <w:bottom w:val="nil"/>
              <w:right w:val="single" w:sz="4" w:space="0" w:color="auto"/>
            </w:tcBorders>
          </w:tcPr>
          <w:p w:rsidR="00D0213E" w:rsidRPr="002159A4" w:rsidRDefault="00D0213E" w:rsidP="00D0213E">
            <w:pPr>
              <w:spacing w:before="0"/>
              <w:jc w:val="center"/>
              <w:rPr>
                <w:sz w:val="20"/>
              </w:rPr>
            </w:pP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A04BF0" w:rsidRDefault="00D0213E" w:rsidP="00D0213E">
            <w:pPr>
              <w:spacing w:before="0"/>
              <w:jc w:val="left"/>
              <w:rPr>
                <w:sz w:val="20"/>
                <w:vertAlign w:val="subscript"/>
              </w:rPr>
            </w:pPr>
            <w:r w:rsidRPr="002159A4">
              <w:rPr>
                <w:sz w:val="20"/>
              </w:rPr>
              <w:t>Cascade systems HF</w:t>
            </w:r>
            <w:r>
              <w:rPr>
                <w:sz w:val="20"/>
              </w:rPr>
              <w:t>O</w:t>
            </w:r>
            <w:r w:rsidRPr="002159A4">
              <w:rPr>
                <w:sz w:val="20"/>
              </w:rPr>
              <w:t>/CO</w:t>
            </w:r>
            <w:r w:rsidRPr="002159A4">
              <w:rPr>
                <w:sz w:val="20"/>
                <w:vertAlign w:val="subscript"/>
              </w:rPr>
              <w:t>2</w:t>
            </w:r>
          </w:p>
        </w:tc>
        <w:tc>
          <w:tcPr>
            <w:tcW w:w="851" w:type="dxa"/>
          </w:tcPr>
          <w:p w:rsidR="00D0213E" w:rsidRPr="002159A4" w:rsidRDefault="00D0213E" w:rsidP="00D0213E">
            <w:pPr>
              <w:spacing w:before="0"/>
              <w:jc w:val="center"/>
              <w:rPr>
                <w:sz w:val="20"/>
              </w:rPr>
            </w:pPr>
            <w:r>
              <w:rPr>
                <w:sz w:val="20"/>
              </w:rPr>
              <w:t xml:space="preserve">See note </w:t>
            </w:r>
            <w:r w:rsidRPr="00930547">
              <w:rPr>
                <w:color w:val="000000"/>
                <w:szCs w:val="22"/>
              </w:rPr>
              <w:t>†</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 opportunity to transition immediately</w:t>
            </w:r>
            <w:r>
              <w:rPr>
                <w:sz w:val="20"/>
              </w:rPr>
              <w:t xml:space="preserve"> (</w:t>
            </w:r>
            <w:r w:rsidRPr="00930547">
              <w:rPr>
                <w:color w:val="000000"/>
                <w:szCs w:val="22"/>
              </w:rPr>
              <w:t>†</w:t>
            </w:r>
            <w:r>
              <w:rPr>
                <w:color w:val="000000"/>
                <w:szCs w:val="22"/>
              </w:rPr>
              <w:t xml:space="preserve"> </w:t>
            </w:r>
            <w:r w:rsidRPr="00DD7B29">
              <w:rPr>
                <w:sz w:val="20"/>
              </w:rPr>
              <w:t>Reduced charge</w:t>
            </w:r>
            <w:r>
              <w:rPr>
                <w:sz w:val="20"/>
              </w:rPr>
              <w:t xml:space="preserve"> and </w:t>
            </w:r>
            <w:r w:rsidRPr="00DD7B29">
              <w:rPr>
                <w:sz w:val="20"/>
              </w:rPr>
              <w:t>GWP)</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r w:rsidRPr="002159A4">
              <w:rPr>
                <w:sz w:val="20"/>
              </w:rPr>
              <w:t xml:space="preserve">HFC-404A </w:t>
            </w:r>
          </w:p>
          <w:p w:rsidR="00D0213E" w:rsidRPr="002159A4" w:rsidRDefault="00D0213E" w:rsidP="00D0213E">
            <w:pPr>
              <w:spacing w:before="0"/>
              <w:jc w:val="left"/>
              <w:rPr>
                <w:sz w:val="20"/>
              </w:rPr>
            </w:pPr>
            <w:r w:rsidRPr="002159A4">
              <w:rPr>
                <w:sz w:val="20"/>
              </w:rPr>
              <w:t>(Low temp)</w:t>
            </w:r>
          </w:p>
        </w:tc>
        <w:tc>
          <w:tcPr>
            <w:tcW w:w="893" w:type="dxa"/>
            <w:tcBorders>
              <w:top w:val="nil"/>
              <w:bottom w:val="nil"/>
              <w:right w:val="single" w:sz="4" w:space="0" w:color="auto"/>
            </w:tcBorders>
          </w:tcPr>
          <w:p w:rsidR="00D0213E" w:rsidRPr="002159A4" w:rsidRDefault="00D0213E" w:rsidP="00D0213E">
            <w:pPr>
              <w:spacing w:before="0"/>
              <w:jc w:val="center"/>
              <w:rPr>
                <w:sz w:val="20"/>
              </w:rPr>
            </w:pPr>
            <w:r w:rsidRPr="002159A4">
              <w:rPr>
                <w:sz w:val="20"/>
              </w:rPr>
              <w:t>3</w:t>
            </w:r>
            <w:r>
              <w:rPr>
                <w:sz w:val="20"/>
              </w:rPr>
              <w:t>922</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Hydrocarbons</w:t>
            </w:r>
          </w:p>
        </w:tc>
        <w:tc>
          <w:tcPr>
            <w:tcW w:w="851" w:type="dxa"/>
          </w:tcPr>
          <w:p w:rsidR="00D0213E" w:rsidRPr="002159A4" w:rsidRDefault="00D0213E" w:rsidP="00D0213E">
            <w:pPr>
              <w:spacing w:before="0"/>
              <w:jc w:val="center"/>
              <w:rPr>
                <w:sz w:val="20"/>
              </w:rPr>
            </w:pPr>
            <w:r w:rsidRPr="002159A4">
              <w:rPr>
                <w:sz w:val="20"/>
              </w:rPr>
              <w:t>3</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 charge limit restrictions on A3 flammable refrigerants</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p>
        </w:tc>
        <w:tc>
          <w:tcPr>
            <w:tcW w:w="893" w:type="dxa"/>
            <w:tcBorders>
              <w:top w:val="nil"/>
              <w:bottom w:val="nil"/>
              <w:right w:val="single" w:sz="4" w:space="0" w:color="auto"/>
            </w:tcBorders>
          </w:tcPr>
          <w:p w:rsidR="00D0213E" w:rsidRPr="002159A4" w:rsidRDefault="00D0213E" w:rsidP="00D0213E">
            <w:pPr>
              <w:spacing w:before="0"/>
              <w:jc w:val="center"/>
              <w:rPr>
                <w:sz w:val="20"/>
              </w:rPr>
            </w:pP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HFO blends</w:t>
            </w:r>
          </w:p>
        </w:tc>
        <w:tc>
          <w:tcPr>
            <w:tcW w:w="851" w:type="dxa"/>
          </w:tcPr>
          <w:p w:rsidR="00D0213E" w:rsidRPr="002159A4" w:rsidRDefault="00D0213E" w:rsidP="00D0213E">
            <w:pPr>
              <w:spacing w:before="0"/>
              <w:jc w:val="center"/>
              <w:rPr>
                <w:sz w:val="20"/>
              </w:rPr>
            </w:pPr>
            <w:r w:rsidRPr="002159A4">
              <w:rPr>
                <w:sz w:val="20"/>
              </w:rPr>
              <w:t>~600</w:t>
            </w:r>
          </w:p>
        </w:tc>
        <w:tc>
          <w:tcPr>
            <w:tcW w:w="1275" w:type="dxa"/>
          </w:tcPr>
          <w:p w:rsidR="00D0213E" w:rsidRPr="002159A4" w:rsidRDefault="00D0213E" w:rsidP="00D0213E">
            <w:pPr>
              <w:spacing w:before="0"/>
              <w:jc w:val="center"/>
              <w:rPr>
                <w:sz w:val="20"/>
              </w:rPr>
            </w:pPr>
            <w:r w:rsidRPr="002159A4">
              <w:rPr>
                <w:sz w:val="20"/>
              </w:rPr>
              <w:t>No</w:t>
            </w:r>
          </w:p>
        </w:tc>
        <w:tc>
          <w:tcPr>
            <w:tcW w:w="6237" w:type="dxa"/>
          </w:tcPr>
          <w:p w:rsidR="00D0213E" w:rsidRPr="002159A4" w:rsidRDefault="00D0213E" w:rsidP="00D0213E">
            <w:pPr>
              <w:spacing w:before="0"/>
              <w:jc w:val="left"/>
              <w:rPr>
                <w:sz w:val="20"/>
              </w:rPr>
            </w:pPr>
            <w:r>
              <w:rPr>
                <w:sz w:val="20"/>
              </w:rPr>
              <w:t>Potential t</w:t>
            </w:r>
            <w:r w:rsidRPr="002159A4">
              <w:rPr>
                <w:sz w:val="20"/>
              </w:rPr>
              <w:t>echnology path for existing bank and new equipment in less than 3 years</w:t>
            </w:r>
            <w:r>
              <w:rPr>
                <w:sz w:val="20"/>
              </w:rPr>
              <w:t xml:space="preserve"> </w:t>
            </w:r>
            <w:r w:rsidRPr="002159A4">
              <w:rPr>
                <w:sz w:val="20"/>
              </w:rPr>
              <w:t>(</w:t>
            </w:r>
            <w:r>
              <w:rPr>
                <w:sz w:val="20"/>
              </w:rPr>
              <w:t xml:space="preserve">Class 1, </w:t>
            </w:r>
            <w:r w:rsidRPr="002159A4">
              <w:rPr>
                <w:sz w:val="20"/>
              </w:rPr>
              <w:t>HFC-</w:t>
            </w:r>
            <w:r>
              <w:rPr>
                <w:sz w:val="20"/>
              </w:rPr>
              <w:t>134a</w:t>
            </w:r>
            <w:r w:rsidRPr="002159A4">
              <w:rPr>
                <w:sz w:val="20"/>
              </w:rPr>
              <w:t xml:space="preserve"> replacement)</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p>
        </w:tc>
        <w:tc>
          <w:tcPr>
            <w:tcW w:w="893" w:type="dxa"/>
            <w:tcBorders>
              <w:top w:val="nil"/>
              <w:bottom w:val="nil"/>
              <w:right w:val="single" w:sz="4" w:space="0" w:color="auto"/>
            </w:tcBorders>
          </w:tcPr>
          <w:p w:rsidR="00D0213E" w:rsidRPr="002159A4" w:rsidRDefault="00D0213E" w:rsidP="00D0213E">
            <w:pPr>
              <w:spacing w:before="0"/>
              <w:jc w:val="center"/>
              <w:rPr>
                <w:sz w:val="20"/>
              </w:rPr>
            </w:pP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outlineLvl w:val="0"/>
              <w:rPr>
                <w:sz w:val="20"/>
              </w:rPr>
            </w:pPr>
            <w:r w:rsidRPr="002159A4">
              <w:rPr>
                <w:sz w:val="20"/>
              </w:rPr>
              <w:t>HFO blends</w:t>
            </w:r>
          </w:p>
        </w:tc>
        <w:tc>
          <w:tcPr>
            <w:tcW w:w="851" w:type="dxa"/>
          </w:tcPr>
          <w:p w:rsidR="00D0213E" w:rsidRPr="002159A4" w:rsidRDefault="00D0213E" w:rsidP="00D0213E">
            <w:pPr>
              <w:spacing w:before="0"/>
              <w:jc w:val="center"/>
              <w:rPr>
                <w:sz w:val="20"/>
              </w:rPr>
            </w:pPr>
            <w:r w:rsidRPr="002159A4">
              <w:rPr>
                <w:sz w:val="20"/>
              </w:rPr>
              <w:t>~1400</w:t>
            </w:r>
          </w:p>
        </w:tc>
        <w:tc>
          <w:tcPr>
            <w:tcW w:w="1275" w:type="dxa"/>
          </w:tcPr>
          <w:p w:rsidR="00D0213E" w:rsidRPr="002159A4" w:rsidRDefault="00D0213E" w:rsidP="00D0213E">
            <w:pPr>
              <w:spacing w:before="0"/>
              <w:jc w:val="center"/>
              <w:rPr>
                <w:sz w:val="20"/>
              </w:rPr>
            </w:pPr>
            <w:r w:rsidRPr="002159A4">
              <w:rPr>
                <w:sz w:val="20"/>
              </w:rPr>
              <w:t>No</w:t>
            </w:r>
          </w:p>
        </w:tc>
        <w:tc>
          <w:tcPr>
            <w:tcW w:w="6237" w:type="dxa"/>
          </w:tcPr>
          <w:p w:rsidR="00D0213E" w:rsidRPr="002159A4" w:rsidRDefault="00D0213E" w:rsidP="00D0213E">
            <w:pPr>
              <w:spacing w:before="0"/>
              <w:jc w:val="left"/>
              <w:rPr>
                <w:sz w:val="20"/>
              </w:rPr>
            </w:pPr>
            <w:r>
              <w:rPr>
                <w:sz w:val="20"/>
              </w:rPr>
              <w:t>Potential t</w:t>
            </w:r>
            <w:r w:rsidRPr="002159A4">
              <w:rPr>
                <w:sz w:val="20"/>
              </w:rPr>
              <w:t>echnology path for existing bank and new equipment in less than 3 years</w:t>
            </w:r>
            <w:r>
              <w:rPr>
                <w:sz w:val="20"/>
              </w:rPr>
              <w:t xml:space="preserve"> </w:t>
            </w:r>
            <w:r w:rsidRPr="002159A4">
              <w:rPr>
                <w:sz w:val="20"/>
              </w:rPr>
              <w:t>(</w:t>
            </w:r>
            <w:r>
              <w:rPr>
                <w:sz w:val="20"/>
              </w:rPr>
              <w:t xml:space="preserve">Class 1, </w:t>
            </w:r>
            <w:r w:rsidRPr="002159A4">
              <w:rPr>
                <w:sz w:val="20"/>
              </w:rPr>
              <w:t>HFC-404A replacement)</w:t>
            </w:r>
          </w:p>
        </w:tc>
      </w:tr>
      <w:tr w:rsidR="00D0213E" w:rsidRPr="002159A4" w:rsidTr="00D0213E">
        <w:tc>
          <w:tcPr>
            <w:tcW w:w="1900" w:type="dxa"/>
            <w:tcBorders>
              <w:top w:val="nil"/>
            </w:tcBorders>
          </w:tcPr>
          <w:p w:rsidR="00D0213E" w:rsidRPr="002159A4" w:rsidRDefault="00D0213E" w:rsidP="00D0213E">
            <w:pPr>
              <w:spacing w:before="0"/>
              <w:jc w:val="left"/>
              <w:rPr>
                <w:sz w:val="20"/>
              </w:rPr>
            </w:pPr>
          </w:p>
        </w:tc>
        <w:tc>
          <w:tcPr>
            <w:tcW w:w="893" w:type="dxa"/>
            <w:tcBorders>
              <w:top w:val="nil"/>
              <w:right w:val="single" w:sz="4" w:space="0" w:color="auto"/>
            </w:tcBorders>
          </w:tcPr>
          <w:p w:rsidR="00D0213E" w:rsidRPr="002159A4" w:rsidRDefault="00D0213E" w:rsidP="00D0213E">
            <w:pPr>
              <w:spacing w:before="0"/>
              <w:jc w:val="center"/>
              <w:rPr>
                <w:sz w:val="20"/>
              </w:rPr>
            </w:pPr>
          </w:p>
        </w:tc>
        <w:tc>
          <w:tcPr>
            <w:tcW w:w="236" w:type="dxa"/>
            <w:tcBorders>
              <w:top w:val="nil"/>
              <w:left w:val="single" w:sz="4" w:space="0" w:color="auto"/>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outlineLvl w:val="0"/>
              <w:rPr>
                <w:sz w:val="20"/>
              </w:rPr>
            </w:pPr>
            <w:r w:rsidRPr="002159A4">
              <w:rPr>
                <w:sz w:val="20"/>
              </w:rPr>
              <w:t>HFO-1234yf</w:t>
            </w:r>
          </w:p>
          <w:p w:rsidR="00D0213E" w:rsidRPr="002159A4" w:rsidRDefault="00D0213E" w:rsidP="00D0213E">
            <w:pPr>
              <w:spacing w:before="0"/>
              <w:jc w:val="left"/>
              <w:rPr>
                <w:sz w:val="20"/>
              </w:rPr>
            </w:pPr>
            <w:r w:rsidRPr="002159A4">
              <w:rPr>
                <w:sz w:val="20"/>
              </w:rPr>
              <w:t>(Medium temp)</w:t>
            </w:r>
          </w:p>
        </w:tc>
        <w:tc>
          <w:tcPr>
            <w:tcW w:w="851" w:type="dxa"/>
          </w:tcPr>
          <w:p w:rsidR="00D0213E" w:rsidRPr="002159A4" w:rsidRDefault="00D0213E" w:rsidP="00D0213E">
            <w:pPr>
              <w:spacing w:before="0"/>
              <w:jc w:val="center"/>
              <w:rPr>
                <w:sz w:val="20"/>
              </w:rPr>
            </w:pPr>
            <w:r w:rsidRPr="002159A4">
              <w:rPr>
                <w:sz w:val="20"/>
              </w:rPr>
              <w:t>4</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in 2 to 5 years – possible charge limit restrictions on class A2L mildly flammable refrigerants</w:t>
            </w:r>
          </w:p>
        </w:tc>
      </w:tr>
      <w:tr w:rsidR="00D0213E" w:rsidRPr="002159A4" w:rsidTr="00D0213E">
        <w:tc>
          <w:tcPr>
            <w:tcW w:w="13041" w:type="dxa"/>
            <w:gridSpan w:val="7"/>
          </w:tcPr>
          <w:p w:rsidR="00D0213E" w:rsidRPr="002159A4" w:rsidRDefault="00D0213E" w:rsidP="00D0213E">
            <w:pPr>
              <w:jc w:val="left"/>
              <w:rPr>
                <w:sz w:val="20"/>
              </w:rPr>
            </w:pPr>
            <w:r w:rsidRPr="002159A4">
              <w:rPr>
                <w:b/>
                <w:sz w:val="20"/>
              </w:rPr>
              <w:t>Non-domestic refrigeration: chillers</w:t>
            </w:r>
          </w:p>
        </w:tc>
      </w:tr>
      <w:tr w:rsidR="00D0213E" w:rsidRPr="002159A4" w:rsidTr="00D0213E">
        <w:tc>
          <w:tcPr>
            <w:tcW w:w="1900" w:type="dxa"/>
            <w:tcBorders>
              <w:bottom w:val="nil"/>
            </w:tcBorders>
          </w:tcPr>
          <w:p w:rsidR="00D0213E" w:rsidRPr="002159A4" w:rsidRDefault="00D0213E" w:rsidP="00D0213E">
            <w:pPr>
              <w:spacing w:before="0"/>
              <w:jc w:val="left"/>
              <w:rPr>
                <w:sz w:val="20"/>
              </w:rPr>
            </w:pPr>
            <w:r w:rsidRPr="002159A4">
              <w:rPr>
                <w:sz w:val="20"/>
              </w:rPr>
              <w:t>HFC-134a</w:t>
            </w:r>
          </w:p>
        </w:tc>
        <w:tc>
          <w:tcPr>
            <w:tcW w:w="893" w:type="dxa"/>
            <w:tcBorders>
              <w:bottom w:val="nil"/>
              <w:right w:val="single" w:sz="4" w:space="0" w:color="auto"/>
            </w:tcBorders>
          </w:tcPr>
          <w:p w:rsidR="00D0213E" w:rsidRPr="002159A4" w:rsidRDefault="00D0213E" w:rsidP="00D0213E">
            <w:pPr>
              <w:spacing w:before="0"/>
              <w:jc w:val="center"/>
              <w:rPr>
                <w:sz w:val="20"/>
              </w:rPr>
            </w:pPr>
            <w:r>
              <w:rPr>
                <w:sz w:val="20"/>
              </w:rPr>
              <w:t>1430</w:t>
            </w:r>
          </w:p>
        </w:tc>
        <w:tc>
          <w:tcPr>
            <w:tcW w:w="236" w:type="dxa"/>
            <w:tcBorders>
              <w:top w:val="single" w:sz="4" w:space="0" w:color="auto"/>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Ammonia (R717)</w:t>
            </w:r>
          </w:p>
        </w:tc>
        <w:tc>
          <w:tcPr>
            <w:tcW w:w="851" w:type="dxa"/>
          </w:tcPr>
          <w:p w:rsidR="00D0213E" w:rsidRPr="002159A4" w:rsidRDefault="00D0213E" w:rsidP="00D0213E">
            <w:pPr>
              <w:spacing w:before="0"/>
              <w:jc w:val="center"/>
              <w:rPr>
                <w:sz w:val="20"/>
              </w:rPr>
            </w:pPr>
            <w:r w:rsidRPr="002159A4">
              <w:rPr>
                <w:sz w:val="20"/>
              </w:rPr>
              <w:t>0</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(safety and training issues) opportunity to transition immediately</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r w:rsidRPr="002159A4">
              <w:rPr>
                <w:sz w:val="20"/>
              </w:rPr>
              <w:t>HFC-410A</w:t>
            </w:r>
          </w:p>
        </w:tc>
        <w:tc>
          <w:tcPr>
            <w:tcW w:w="893" w:type="dxa"/>
            <w:tcBorders>
              <w:top w:val="nil"/>
              <w:bottom w:val="nil"/>
              <w:right w:val="single" w:sz="4" w:space="0" w:color="auto"/>
            </w:tcBorders>
          </w:tcPr>
          <w:p w:rsidR="00D0213E" w:rsidRPr="002159A4" w:rsidRDefault="00D0213E" w:rsidP="00D0213E">
            <w:pPr>
              <w:spacing w:before="0"/>
              <w:jc w:val="center"/>
              <w:rPr>
                <w:sz w:val="20"/>
              </w:rPr>
            </w:pPr>
            <w:r>
              <w:rPr>
                <w:sz w:val="20"/>
              </w:rPr>
              <w:t>2088</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Hydrocarbons</w:t>
            </w:r>
          </w:p>
        </w:tc>
        <w:tc>
          <w:tcPr>
            <w:tcW w:w="851" w:type="dxa"/>
          </w:tcPr>
          <w:p w:rsidR="00D0213E" w:rsidRPr="002159A4" w:rsidRDefault="00D0213E" w:rsidP="00D0213E">
            <w:pPr>
              <w:spacing w:before="0"/>
              <w:jc w:val="center"/>
              <w:rPr>
                <w:sz w:val="20"/>
              </w:rPr>
            </w:pPr>
            <w:r w:rsidRPr="002159A4">
              <w:rPr>
                <w:sz w:val="20"/>
              </w:rPr>
              <w:t>3</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 charge limit restrictions on A3 flammable refrigerants</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r w:rsidRPr="002159A4">
              <w:rPr>
                <w:sz w:val="20"/>
              </w:rPr>
              <w:t>HFC-407C</w:t>
            </w:r>
          </w:p>
        </w:tc>
        <w:tc>
          <w:tcPr>
            <w:tcW w:w="893" w:type="dxa"/>
            <w:tcBorders>
              <w:top w:val="nil"/>
              <w:bottom w:val="nil"/>
              <w:right w:val="single" w:sz="4" w:space="0" w:color="auto"/>
            </w:tcBorders>
          </w:tcPr>
          <w:p w:rsidR="00D0213E" w:rsidRPr="002159A4" w:rsidRDefault="00D0213E" w:rsidP="00D0213E">
            <w:pPr>
              <w:spacing w:before="0"/>
              <w:jc w:val="center"/>
              <w:rPr>
                <w:sz w:val="20"/>
              </w:rPr>
            </w:pPr>
            <w:r>
              <w:rPr>
                <w:sz w:val="20"/>
              </w:rPr>
              <w:t>1774</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HFO blends</w:t>
            </w:r>
          </w:p>
        </w:tc>
        <w:tc>
          <w:tcPr>
            <w:tcW w:w="851" w:type="dxa"/>
          </w:tcPr>
          <w:p w:rsidR="00D0213E" w:rsidRPr="002159A4" w:rsidRDefault="00D0213E" w:rsidP="00D0213E">
            <w:pPr>
              <w:spacing w:before="0"/>
              <w:jc w:val="center"/>
              <w:rPr>
                <w:sz w:val="20"/>
              </w:rPr>
            </w:pPr>
            <w:r w:rsidRPr="002159A4">
              <w:rPr>
                <w:sz w:val="20"/>
              </w:rPr>
              <w:t>~600</w:t>
            </w:r>
          </w:p>
        </w:tc>
        <w:tc>
          <w:tcPr>
            <w:tcW w:w="1275" w:type="dxa"/>
          </w:tcPr>
          <w:p w:rsidR="00D0213E" w:rsidRPr="002159A4" w:rsidRDefault="00D0213E" w:rsidP="00D0213E">
            <w:pPr>
              <w:spacing w:before="0"/>
              <w:jc w:val="center"/>
              <w:rPr>
                <w:sz w:val="20"/>
              </w:rPr>
            </w:pPr>
            <w:r w:rsidRPr="002159A4">
              <w:rPr>
                <w:sz w:val="20"/>
              </w:rPr>
              <w:t>No</w:t>
            </w:r>
          </w:p>
        </w:tc>
        <w:tc>
          <w:tcPr>
            <w:tcW w:w="6237" w:type="dxa"/>
          </w:tcPr>
          <w:p w:rsidR="00D0213E" w:rsidRPr="002159A4" w:rsidRDefault="00D0213E" w:rsidP="00D0213E">
            <w:pPr>
              <w:spacing w:before="0"/>
              <w:jc w:val="left"/>
              <w:rPr>
                <w:sz w:val="20"/>
              </w:rPr>
            </w:pPr>
            <w:r>
              <w:rPr>
                <w:sz w:val="20"/>
              </w:rPr>
              <w:t>Potential t</w:t>
            </w:r>
            <w:r w:rsidRPr="002159A4">
              <w:rPr>
                <w:sz w:val="20"/>
              </w:rPr>
              <w:t>echnology path for existing bank and new equipment in less than 3 years</w:t>
            </w:r>
            <w:r>
              <w:rPr>
                <w:sz w:val="20"/>
              </w:rPr>
              <w:t xml:space="preserve"> </w:t>
            </w:r>
            <w:r w:rsidRPr="002159A4">
              <w:rPr>
                <w:sz w:val="20"/>
              </w:rPr>
              <w:t>(</w:t>
            </w:r>
            <w:r>
              <w:rPr>
                <w:sz w:val="20"/>
              </w:rPr>
              <w:t xml:space="preserve">Class 1, </w:t>
            </w:r>
            <w:r w:rsidRPr="002159A4">
              <w:rPr>
                <w:sz w:val="20"/>
              </w:rPr>
              <w:t>HFC-</w:t>
            </w:r>
            <w:r>
              <w:rPr>
                <w:sz w:val="20"/>
              </w:rPr>
              <w:t>134a</w:t>
            </w:r>
            <w:r w:rsidRPr="002159A4">
              <w:rPr>
                <w:sz w:val="20"/>
              </w:rPr>
              <w:t xml:space="preserve"> replacement)</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r w:rsidRPr="002159A4">
              <w:rPr>
                <w:sz w:val="20"/>
              </w:rPr>
              <w:t>HFC-404A</w:t>
            </w:r>
          </w:p>
        </w:tc>
        <w:tc>
          <w:tcPr>
            <w:tcW w:w="893" w:type="dxa"/>
            <w:tcBorders>
              <w:top w:val="nil"/>
              <w:bottom w:val="nil"/>
              <w:right w:val="single" w:sz="4" w:space="0" w:color="auto"/>
            </w:tcBorders>
          </w:tcPr>
          <w:p w:rsidR="00D0213E" w:rsidRPr="002159A4" w:rsidRDefault="00D0213E" w:rsidP="00D0213E">
            <w:pPr>
              <w:spacing w:before="0"/>
              <w:jc w:val="center"/>
              <w:rPr>
                <w:sz w:val="20"/>
              </w:rPr>
            </w:pPr>
            <w:r w:rsidRPr="002159A4">
              <w:rPr>
                <w:sz w:val="20"/>
              </w:rPr>
              <w:t>3</w:t>
            </w:r>
            <w:r>
              <w:rPr>
                <w:sz w:val="20"/>
              </w:rPr>
              <w:t>922</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outlineLvl w:val="0"/>
              <w:rPr>
                <w:sz w:val="20"/>
              </w:rPr>
            </w:pPr>
            <w:r w:rsidRPr="002159A4">
              <w:rPr>
                <w:sz w:val="20"/>
              </w:rPr>
              <w:t>HFO blends</w:t>
            </w:r>
          </w:p>
        </w:tc>
        <w:tc>
          <w:tcPr>
            <w:tcW w:w="851" w:type="dxa"/>
          </w:tcPr>
          <w:p w:rsidR="00D0213E" w:rsidRPr="002159A4" w:rsidRDefault="00D0213E" w:rsidP="00D0213E">
            <w:pPr>
              <w:spacing w:before="0"/>
              <w:jc w:val="center"/>
              <w:rPr>
                <w:sz w:val="20"/>
              </w:rPr>
            </w:pPr>
            <w:r w:rsidRPr="002159A4">
              <w:rPr>
                <w:sz w:val="20"/>
              </w:rPr>
              <w:t>~1400</w:t>
            </w:r>
          </w:p>
        </w:tc>
        <w:tc>
          <w:tcPr>
            <w:tcW w:w="1275" w:type="dxa"/>
          </w:tcPr>
          <w:p w:rsidR="00D0213E" w:rsidRPr="002159A4" w:rsidRDefault="00D0213E" w:rsidP="00D0213E">
            <w:pPr>
              <w:spacing w:before="0"/>
              <w:jc w:val="center"/>
              <w:rPr>
                <w:sz w:val="20"/>
              </w:rPr>
            </w:pPr>
            <w:r w:rsidRPr="002159A4">
              <w:rPr>
                <w:sz w:val="20"/>
              </w:rPr>
              <w:t>No</w:t>
            </w:r>
          </w:p>
        </w:tc>
        <w:tc>
          <w:tcPr>
            <w:tcW w:w="6237" w:type="dxa"/>
          </w:tcPr>
          <w:p w:rsidR="00D0213E" w:rsidRPr="002159A4" w:rsidRDefault="00D0213E" w:rsidP="00D0213E">
            <w:pPr>
              <w:spacing w:before="0"/>
              <w:jc w:val="left"/>
              <w:rPr>
                <w:sz w:val="20"/>
              </w:rPr>
            </w:pPr>
            <w:r>
              <w:rPr>
                <w:sz w:val="20"/>
              </w:rPr>
              <w:t>Potential t</w:t>
            </w:r>
            <w:r w:rsidRPr="002159A4">
              <w:rPr>
                <w:sz w:val="20"/>
              </w:rPr>
              <w:t>echnology path for existing bank and new equipment in less than 3 years</w:t>
            </w:r>
            <w:r>
              <w:rPr>
                <w:sz w:val="20"/>
              </w:rPr>
              <w:t xml:space="preserve"> </w:t>
            </w:r>
            <w:r w:rsidRPr="002159A4">
              <w:rPr>
                <w:sz w:val="20"/>
              </w:rPr>
              <w:t>(</w:t>
            </w:r>
            <w:r>
              <w:rPr>
                <w:sz w:val="20"/>
              </w:rPr>
              <w:t xml:space="preserve">Class 1, </w:t>
            </w:r>
            <w:r w:rsidRPr="002159A4">
              <w:rPr>
                <w:sz w:val="20"/>
              </w:rPr>
              <w:t>HFC-404A replacement)</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r w:rsidRPr="002159A4">
              <w:rPr>
                <w:sz w:val="20"/>
              </w:rPr>
              <w:t>Ammonia (R717)</w:t>
            </w:r>
          </w:p>
        </w:tc>
        <w:tc>
          <w:tcPr>
            <w:tcW w:w="893" w:type="dxa"/>
            <w:tcBorders>
              <w:top w:val="nil"/>
              <w:bottom w:val="nil"/>
              <w:right w:val="single" w:sz="4" w:space="0" w:color="auto"/>
            </w:tcBorders>
          </w:tcPr>
          <w:p w:rsidR="00D0213E" w:rsidRPr="002159A4" w:rsidRDefault="00D0213E" w:rsidP="00D0213E">
            <w:pPr>
              <w:spacing w:before="0"/>
              <w:jc w:val="center"/>
              <w:rPr>
                <w:sz w:val="20"/>
              </w:rPr>
            </w:pPr>
            <w:r w:rsidRPr="002159A4">
              <w:rPr>
                <w:sz w:val="20"/>
              </w:rPr>
              <w:t>0</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outlineLvl w:val="0"/>
              <w:rPr>
                <w:sz w:val="20"/>
              </w:rPr>
            </w:pPr>
            <w:r w:rsidRPr="002159A4">
              <w:rPr>
                <w:sz w:val="20"/>
              </w:rPr>
              <w:t>HFO-1234yf</w:t>
            </w:r>
          </w:p>
          <w:p w:rsidR="00D0213E" w:rsidRPr="002159A4" w:rsidRDefault="00D0213E" w:rsidP="00D0213E">
            <w:pPr>
              <w:spacing w:before="0"/>
              <w:jc w:val="left"/>
              <w:rPr>
                <w:sz w:val="20"/>
              </w:rPr>
            </w:pPr>
            <w:r w:rsidRPr="002159A4">
              <w:rPr>
                <w:sz w:val="20"/>
              </w:rPr>
              <w:t>(Medium temp)</w:t>
            </w:r>
          </w:p>
        </w:tc>
        <w:tc>
          <w:tcPr>
            <w:tcW w:w="851" w:type="dxa"/>
          </w:tcPr>
          <w:p w:rsidR="00D0213E" w:rsidRPr="002159A4" w:rsidRDefault="00D0213E" w:rsidP="00D0213E">
            <w:pPr>
              <w:spacing w:before="0"/>
              <w:jc w:val="center"/>
              <w:rPr>
                <w:sz w:val="20"/>
              </w:rPr>
            </w:pPr>
            <w:r w:rsidRPr="002159A4">
              <w:rPr>
                <w:sz w:val="20"/>
              </w:rPr>
              <w:t>4</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in 2 to 5 years – possible charge limit restrictions on class A2L mildly flammable refrigerants</w:t>
            </w:r>
          </w:p>
        </w:tc>
      </w:tr>
      <w:tr w:rsidR="00D0213E" w:rsidRPr="002159A4" w:rsidTr="00D0213E">
        <w:tc>
          <w:tcPr>
            <w:tcW w:w="1900" w:type="dxa"/>
            <w:tcBorders>
              <w:top w:val="nil"/>
            </w:tcBorders>
          </w:tcPr>
          <w:p w:rsidR="00D0213E" w:rsidRPr="002159A4" w:rsidRDefault="00D0213E" w:rsidP="00D0213E">
            <w:pPr>
              <w:spacing w:before="0"/>
              <w:jc w:val="left"/>
              <w:rPr>
                <w:sz w:val="20"/>
              </w:rPr>
            </w:pPr>
            <w:r w:rsidRPr="002159A4">
              <w:rPr>
                <w:sz w:val="20"/>
              </w:rPr>
              <w:t>Absorption chillers</w:t>
            </w:r>
          </w:p>
        </w:tc>
        <w:tc>
          <w:tcPr>
            <w:tcW w:w="893" w:type="dxa"/>
            <w:tcBorders>
              <w:top w:val="nil"/>
              <w:right w:val="single" w:sz="4" w:space="0" w:color="auto"/>
            </w:tcBorders>
          </w:tcPr>
          <w:p w:rsidR="00D0213E" w:rsidRPr="002159A4" w:rsidRDefault="00D0213E" w:rsidP="00D0213E">
            <w:pPr>
              <w:spacing w:before="0"/>
              <w:jc w:val="center"/>
              <w:rPr>
                <w:sz w:val="20"/>
              </w:rPr>
            </w:pPr>
            <w:r w:rsidRPr="002159A4">
              <w:rPr>
                <w:sz w:val="20"/>
              </w:rPr>
              <w:t>0</w:t>
            </w:r>
          </w:p>
        </w:tc>
        <w:tc>
          <w:tcPr>
            <w:tcW w:w="236" w:type="dxa"/>
            <w:tcBorders>
              <w:top w:val="nil"/>
              <w:left w:val="single" w:sz="4" w:space="0" w:color="auto"/>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Absorption chillers</w:t>
            </w:r>
          </w:p>
        </w:tc>
        <w:tc>
          <w:tcPr>
            <w:tcW w:w="851" w:type="dxa"/>
          </w:tcPr>
          <w:p w:rsidR="00D0213E" w:rsidRPr="002159A4" w:rsidRDefault="00D0213E" w:rsidP="00D0213E">
            <w:pPr>
              <w:spacing w:before="0"/>
              <w:jc w:val="center"/>
              <w:rPr>
                <w:sz w:val="20"/>
              </w:rPr>
            </w:pPr>
            <w:r w:rsidRPr="002159A4">
              <w:rPr>
                <w:sz w:val="20"/>
              </w:rPr>
              <w:t>0</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 particularly in tri-generation systems</w:t>
            </w:r>
          </w:p>
        </w:tc>
      </w:tr>
      <w:tr w:rsidR="00D0213E" w:rsidRPr="002159A4" w:rsidTr="00D0213E">
        <w:tc>
          <w:tcPr>
            <w:tcW w:w="13041" w:type="dxa"/>
            <w:gridSpan w:val="7"/>
          </w:tcPr>
          <w:p w:rsidR="00D0213E" w:rsidRPr="002159A4" w:rsidRDefault="00D0213E" w:rsidP="00D0213E">
            <w:pPr>
              <w:jc w:val="left"/>
              <w:rPr>
                <w:sz w:val="20"/>
              </w:rPr>
            </w:pPr>
            <w:r w:rsidRPr="002159A4">
              <w:rPr>
                <w:b/>
                <w:sz w:val="20"/>
              </w:rPr>
              <w:t>Non-domestic refrigeration: road transport</w:t>
            </w:r>
          </w:p>
        </w:tc>
      </w:tr>
      <w:tr w:rsidR="00D0213E" w:rsidRPr="002159A4" w:rsidTr="00D0213E">
        <w:tc>
          <w:tcPr>
            <w:tcW w:w="1900" w:type="dxa"/>
            <w:tcBorders>
              <w:bottom w:val="nil"/>
            </w:tcBorders>
          </w:tcPr>
          <w:p w:rsidR="00D0213E" w:rsidRPr="002159A4" w:rsidRDefault="00D0213E" w:rsidP="00D0213E">
            <w:pPr>
              <w:spacing w:before="0"/>
              <w:jc w:val="left"/>
              <w:rPr>
                <w:sz w:val="20"/>
              </w:rPr>
            </w:pPr>
            <w:r w:rsidRPr="002159A4">
              <w:rPr>
                <w:sz w:val="20"/>
              </w:rPr>
              <w:t xml:space="preserve">HFC-134a </w:t>
            </w:r>
          </w:p>
          <w:p w:rsidR="00D0213E" w:rsidRPr="002159A4" w:rsidRDefault="00D0213E" w:rsidP="00D0213E">
            <w:pPr>
              <w:spacing w:before="0"/>
              <w:jc w:val="left"/>
              <w:rPr>
                <w:sz w:val="20"/>
              </w:rPr>
            </w:pPr>
            <w:r w:rsidRPr="002159A4">
              <w:rPr>
                <w:sz w:val="20"/>
              </w:rPr>
              <w:t>(Off-engine)</w:t>
            </w:r>
          </w:p>
        </w:tc>
        <w:tc>
          <w:tcPr>
            <w:tcW w:w="893" w:type="dxa"/>
            <w:tcBorders>
              <w:bottom w:val="nil"/>
              <w:right w:val="single" w:sz="4" w:space="0" w:color="auto"/>
            </w:tcBorders>
          </w:tcPr>
          <w:p w:rsidR="00D0213E" w:rsidRPr="002159A4" w:rsidRDefault="00D0213E" w:rsidP="00D0213E">
            <w:pPr>
              <w:spacing w:before="0"/>
              <w:jc w:val="center"/>
              <w:rPr>
                <w:sz w:val="20"/>
              </w:rPr>
            </w:pPr>
            <w:r>
              <w:rPr>
                <w:sz w:val="20"/>
              </w:rPr>
              <w:t>1430</w:t>
            </w:r>
          </w:p>
        </w:tc>
        <w:tc>
          <w:tcPr>
            <w:tcW w:w="236" w:type="dxa"/>
            <w:tcBorders>
              <w:top w:val="single" w:sz="4" w:space="0" w:color="auto"/>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0012" w:type="dxa"/>
            <w:gridSpan w:val="4"/>
            <w:tcBorders>
              <w:left w:val="single" w:sz="4" w:space="0" w:color="auto"/>
            </w:tcBorders>
          </w:tcPr>
          <w:p w:rsidR="00D0213E" w:rsidRPr="002159A4" w:rsidRDefault="00D0213E" w:rsidP="00D0213E">
            <w:pPr>
              <w:spacing w:before="0"/>
              <w:jc w:val="left"/>
              <w:rPr>
                <w:sz w:val="20"/>
              </w:rPr>
            </w:pPr>
            <w:r>
              <w:rPr>
                <w:sz w:val="20"/>
              </w:rPr>
              <w:t xml:space="preserve">Limited </w:t>
            </w:r>
            <w:r w:rsidRPr="002159A4">
              <w:rPr>
                <w:sz w:val="20"/>
              </w:rPr>
              <w:t>immediate commercially viable technology path for existing equipment/sub-sector</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r w:rsidRPr="002159A4">
              <w:rPr>
                <w:sz w:val="20"/>
              </w:rPr>
              <w:t xml:space="preserve">HFC-404A </w:t>
            </w:r>
          </w:p>
          <w:p w:rsidR="00D0213E" w:rsidRPr="002159A4" w:rsidRDefault="00D0213E" w:rsidP="00D0213E">
            <w:pPr>
              <w:spacing w:before="0"/>
              <w:jc w:val="left"/>
              <w:rPr>
                <w:sz w:val="20"/>
              </w:rPr>
            </w:pPr>
            <w:r w:rsidRPr="002159A4">
              <w:rPr>
                <w:sz w:val="20"/>
              </w:rPr>
              <w:t>(All types)</w:t>
            </w:r>
          </w:p>
        </w:tc>
        <w:tc>
          <w:tcPr>
            <w:tcW w:w="893" w:type="dxa"/>
            <w:tcBorders>
              <w:top w:val="nil"/>
              <w:bottom w:val="nil"/>
              <w:right w:val="single" w:sz="4" w:space="0" w:color="auto"/>
            </w:tcBorders>
          </w:tcPr>
          <w:p w:rsidR="00D0213E" w:rsidRPr="002159A4" w:rsidRDefault="00D0213E" w:rsidP="00D0213E">
            <w:pPr>
              <w:spacing w:before="0"/>
              <w:jc w:val="center"/>
              <w:rPr>
                <w:sz w:val="20"/>
              </w:rPr>
            </w:pPr>
            <w:r>
              <w:rPr>
                <w:sz w:val="20"/>
              </w:rPr>
              <w:t>3922</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CO</w:t>
            </w:r>
            <w:r w:rsidRPr="002159A4">
              <w:rPr>
                <w:sz w:val="20"/>
                <w:vertAlign w:val="subscript"/>
              </w:rPr>
              <w:t>2</w:t>
            </w:r>
            <w:r w:rsidRPr="002159A4">
              <w:rPr>
                <w:sz w:val="20"/>
              </w:rPr>
              <w:t xml:space="preserve"> (Open loop system)</w:t>
            </w:r>
          </w:p>
        </w:tc>
        <w:tc>
          <w:tcPr>
            <w:tcW w:w="851" w:type="dxa"/>
          </w:tcPr>
          <w:p w:rsidR="00D0213E" w:rsidRPr="002159A4" w:rsidRDefault="00D0213E" w:rsidP="00D0213E">
            <w:pPr>
              <w:spacing w:before="0"/>
              <w:jc w:val="center"/>
              <w:rPr>
                <w:sz w:val="20"/>
              </w:rPr>
            </w:pPr>
            <w:r w:rsidRPr="002159A4">
              <w:rPr>
                <w:sz w:val="20"/>
              </w:rPr>
              <w:t>1</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 technical, commercial and economies of scale barriers</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r w:rsidRPr="002159A4">
              <w:rPr>
                <w:sz w:val="20"/>
              </w:rPr>
              <w:t>Hydrocarbon (Off-engine aftermarket)</w:t>
            </w:r>
          </w:p>
        </w:tc>
        <w:tc>
          <w:tcPr>
            <w:tcW w:w="893" w:type="dxa"/>
            <w:tcBorders>
              <w:top w:val="nil"/>
              <w:bottom w:val="nil"/>
              <w:right w:val="single" w:sz="4" w:space="0" w:color="auto"/>
            </w:tcBorders>
          </w:tcPr>
          <w:p w:rsidR="00D0213E" w:rsidRPr="002159A4" w:rsidRDefault="00D0213E" w:rsidP="00D0213E">
            <w:pPr>
              <w:spacing w:before="0"/>
              <w:jc w:val="center"/>
              <w:rPr>
                <w:sz w:val="20"/>
              </w:rPr>
            </w:pPr>
            <w:r w:rsidRPr="002159A4">
              <w:rPr>
                <w:sz w:val="20"/>
              </w:rPr>
              <w:t>3</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CO</w:t>
            </w:r>
            <w:r w:rsidRPr="002159A4">
              <w:rPr>
                <w:sz w:val="20"/>
                <w:vertAlign w:val="subscript"/>
              </w:rPr>
              <w:t>2</w:t>
            </w:r>
            <w:r w:rsidRPr="002159A4">
              <w:rPr>
                <w:sz w:val="20"/>
              </w:rPr>
              <w:t xml:space="preserve"> (closed loop system)</w:t>
            </w:r>
          </w:p>
        </w:tc>
        <w:tc>
          <w:tcPr>
            <w:tcW w:w="851" w:type="dxa"/>
          </w:tcPr>
          <w:p w:rsidR="00D0213E" w:rsidRPr="002159A4" w:rsidRDefault="00D0213E" w:rsidP="00D0213E">
            <w:pPr>
              <w:spacing w:before="0"/>
              <w:jc w:val="center"/>
              <w:rPr>
                <w:sz w:val="20"/>
              </w:rPr>
            </w:pPr>
            <w:r w:rsidRPr="002159A4">
              <w:rPr>
                <w:sz w:val="20"/>
              </w:rPr>
              <w:t>1</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in &lt;5 years - under development</w:t>
            </w:r>
          </w:p>
        </w:tc>
      </w:tr>
      <w:tr w:rsidR="00D0213E" w:rsidRPr="002159A4" w:rsidTr="00D0213E">
        <w:tc>
          <w:tcPr>
            <w:tcW w:w="1900" w:type="dxa"/>
            <w:tcBorders>
              <w:top w:val="nil"/>
            </w:tcBorders>
          </w:tcPr>
          <w:p w:rsidR="00D0213E" w:rsidRPr="002159A4" w:rsidRDefault="00D0213E" w:rsidP="00D0213E">
            <w:pPr>
              <w:spacing w:before="0"/>
              <w:jc w:val="left"/>
              <w:rPr>
                <w:sz w:val="20"/>
              </w:rPr>
            </w:pPr>
            <w:r w:rsidRPr="002159A4">
              <w:rPr>
                <w:sz w:val="20"/>
              </w:rPr>
              <w:t>CO</w:t>
            </w:r>
            <w:r w:rsidRPr="002159A4">
              <w:rPr>
                <w:sz w:val="20"/>
                <w:vertAlign w:val="subscript"/>
              </w:rPr>
              <w:t>2</w:t>
            </w:r>
            <w:r w:rsidRPr="002159A4">
              <w:rPr>
                <w:sz w:val="20"/>
              </w:rPr>
              <w:t xml:space="preserve"> (Open loop system</w:t>
            </w:r>
            <w:r>
              <w:rPr>
                <w:sz w:val="20"/>
              </w:rPr>
              <w:t>s</w:t>
            </w:r>
            <w:r w:rsidRPr="002159A4">
              <w:rPr>
                <w:sz w:val="20"/>
              </w:rPr>
              <w:t>)</w:t>
            </w:r>
          </w:p>
        </w:tc>
        <w:tc>
          <w:tcPr>
            <w:tcW w:w="893" w:type="dxa"/>
            <w:tcBorders>
              <w:top w:val="nil"/>
              <w:right w:val="single" w:sz="4" w:space="0" w:color="auto"/>
            </w:tcBorders>
          </w:tcPr>
          <w:p w:rsidR="00D0213E" w:rsidRPr="002159A4" w:rsidRDefault="00D0213E" w:rsidP="00D0213E">
            <w:pPr>
              <w:spacing w:before="0"/>
              <w:jc w:val="center"/>
              <w:rPr>
                <w:sz w:val="20"/>
              </w:rPr>
            </w:pPr>
            <w:r w:rsidRPr="002159A4">
              <w:rPr>
                <w:sz w:val="20"/>
              </w:rPr>
              <w:t>1</w:t>
            </w:r>
          </w:p>
        </w:tc>
        <w:tc>
          <w:tcPr>
            <w:tcW w:w="236" w:type="dxa"/>
            <w:tcBorders>
              <w:top w:val="nil"/>
              <w:left w:val="single" w:sz="4" w:space="0" w:color="auto"/>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HFO blends</w:t>
            </w:r>
          </w:p>
        </w:tc>
        <w:tc>
          <w:tcPr>
            <w:tcW w:w="851" w:type="dxa"/>
          </w:tcPr>
          <w:p w:rsidR="00D0213E" w:rsidRPr="002159A4" w:rsidRDefault="00D0213E" w:rsidP="00D0213E">
            <w:pPr>
              <w:spacing w:before="0"/>
              <w:jc w:val="center"/>
              <w:rPr>
                <w:sz w:val="20"/>
              </w:rPr>
            </w:pPr>
            <w:r w:rsidRPr="002159A4">
              <w:rPr>
                <w:sz w:val="20"/>
              </w:rPr>
              <w:t>&lt;300</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in 2 to 5 years - class A2L mildly flammable refrigerants design considerations</w:t>
            </w:r>
          </w:p>
        </w:tc>
      </w:tr>
      <w:tr w:rsidR="00D0213E" w:rsidRPr="002159A4" w:rsidTr="00D0213E">
        <w:tc>
          <w:tcPr>
            <w:tcW w:w="13041" w:type="dxa"/>
            <w:gridSpan w:val="7"/>
          </w:tcPr>
          <w:p w:rsidR="00D0213E" w:rsidRPr="002159A4" w:rsidRDefault="00D0213E" w:rsidP="00D0213E">
            <w:pPr>
              <w:spacing w:before="0"/>
              <w:jc w:val="left"/>
              <w:rPr>
                <w:sz w:val="20"/>
              </w:rPr>
            </w:pPr>
            <w:r w:rsidRPr="002159A4">
              <w:rPr>
                <w:sz w:val="20"/>
              </w:rPr>
              <w:t>Advanced HFC system design is considered the next step, hermetically sealed, smaller refrigerant charge and economised engine</w:t>
            </w:r>
          </w:p>
        </w:tc>
      </w:tr>
    </w:tbl>
    <w:p w:rsidR="00D0213E" w:rsidRPr="003F6D26" w:rsidRDefault="00D0213E" w:rsidP="00D0213E">
      <w:pPr>
        <w:rPr>
          <w:b/>
          <w:color w:val="000000"/>
        </w:rPr>
      </w:pPr>
      <w:r w:rsidRPr="002159A4">
        <w:rPr>
          <w:b/>
        </w:rPr>
        <w:t xml:space="preserve">Transition map to </w:t>
      </w:r>
      <w:r>
        <w:rPr>
          <w:b/>
        </w:rPr>
        <w:t xml:space="preserve">nil or </w:t>
      </w:r>
      <w:r w:rsidRPr="002159A4">
        <w:rPr>
          <w:b/>
        </w:rPr>
        <w:t>low</w:t>
      </w:r>
      <w:r>
        <w:rPr>
          <w:b/>
        </w:rPr>
        <w:t>er</w:t>
      </w:r>
      <w:r w:rsidRPr="002159A4">
        <w:rPr>
          <w:b/>
        </w:rPr>
        <w:t xml:space="preserve"> GWP options for main equipment classes and </w:t>
      </w:r>
      <w:r>
        <w:rPr>
          <w:b/>
        </w:rPr>
        <w:t xml:space="preserve">technologies </w:t>
      </w:r>
      <w:r w:rsidRPr="00FA2337">
        <w:rPr>
          <w:b/>
        </w:rPr>
        <w:t>(continued)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00"/>
        <w:gridCol w:w="893"/>
        <w:gridCol w:w="236"/>
        <w:gridCol w:w="1649"/>
        <w:gridCol w:w="851"/>
        <w:gridCol w:w="1275"/>
        <w:gridCol w:w="6237"/>
      </w:tblGrid>
      <w:tr w:rsidR="00D0213E" w:rsidRPr="002159A4" w:rsidTr="00D0213E">
        <w:tc>
          <w:tcPr>
            <w:tcW w:w="1900" w:type="dxa"/>
            <w:tcBorders>
              <w:righ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Current options</w:t>
            </w:r>
          </w:p>
        </w:tc>
        <w:tc>
          <w:tcPr>
            <w:tcW w:w="893" w:type="dxa"/>
            <w:tcBorders>
              <w:left w:val="single" w:sz="4" w:space="0" w:color="FFFFFF"/>
              <w:right w:val="single" w:sz="4" w:space="0" w:color="FFFFFF"/>
            </w:tcBorders>
            <w:shd w:val="clear" w:color="auto" w:fill="000000"/>
            <w:vAlign w:val="center"/>
          </w:tcPr>
          <w:p w:rsidR="00D0213E" w:rsidRDefault="00D0213E" w:rsidP="00D0213E">
            <w:pPr>
              <w:spacing w:before="0"/>
              <w:jc w:val="center"/>
              <w:outlineLvl w:val="0"/>
              <w:rPr>
                <w:sz w:val="20"/>
                <w:szCs w:val="12"/>
                <w:lang w:val="en-AU"/>
              </w:rPr>
            </w:pPr>
            <w:r w:rsidRPr="002159A4">
              <w:rPr>
                <w:sz w:val="20"/>
                <w:szCs w:val="12"/>
                <w:lang w:val="en-AU"/>
              </w:rPr>
              <w:t>GWP</w:t>
            </w:r>
          </w:p>
          <w:p w:rsidR="00D0213E" w:rsidRPr="002159A4" w:rsidRDefault="00D0213E" w:rsidP="00D0213E">
            <w:pPr>
              <w:spacing w:before="0"/>
              <w:jc w:val="center"/>
              <w:outlineLvl w:val="0"/>
              <w:rPr>
                <w:sz w:val="20"/>
                <w:szCs w:val="12"/>
                <w:lang w:val="en-AU"/>
              </w:rPr>
            </w:pPr>
            <w:r>
              <w:rPr>
                <w:sz w:val="20"/>
                <w:szCs w:val="12"/>
                <w:lang w:val="en-AU"/>
              </w:rPr>
              <w:t>(AR4)</w:t>
            </w:r>
          </w:p>
        </w:tc>
        <w:tc>
          <w:tcPr>
            <w:tcW w:w="236" w:type="dxa"/>
            <w:tcBorders>
              <w:left w:val="single" w:sz="4" w:space="0" w:color="FFFFFF"/>
              <w:right w:val="single" w:sz="4" w:space="0" w:color="FFFFFF"/>
            </w:tcBorders>
            <w:shd w:val="clear" w:color="auto" w:fill="CCCCCC"/>
          </w:tcPr>
          <w:p w:rsidR="00D0213E" w:rsidRPr="002159A4" w:rsidRDefault="00D0213E" w:rsidP="00D0213E">
            <w:pPr>
              <w:spacing w:before="0"/>
              <w:outlineLvl w:val="0"/>
              <w:rPr>
                <w:sz w:val="20"/>
                <w:szCs w:val="12"/>
                <w:lang w:val="en-AU"/>
              </w:rPr>
            </w:pPr>
          </w:p>
        </w:tc>
        <w:tc>
          <w:tcPr>
            <w:tcW w:w="1649" w:type="dxa"/>
            <w:tcBorders>
              <w:left w:val="single" w:sz="4" w:space="0" w:color="FFFFFF"/>
              <w:righ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Low</w:t>
            </w:r>
            <w:r>
              <w:rPr>
                <w:sz w:val="20"/>
                <w:szCs w:val="12"/>
                <w:lang w:val="en-AU"/>
              </w:rPr>
              <w:t>er</w:t>
            </w:r>
            <w:r w:rsidRPr="002159A4">
              <w:rPr>
                <w:sz w:val="20"/>
                <w:szCs w:val="12"/>
                <w:lang w:val="en-AU"/>
              </w:rPr>
              <w:t xml:space="preserve"> GWP options</w:t>
            </w:r>
          </w:p>
        </w:tc>
        <w:tc>
          <w:tcPr>
            <w:tcW w:w="851" w:type="dxa"/>
            <w:tcBorders>
              <w:left w:val="single" w:sz="4" w:space="0" w:color="FFFFFF"/>
              <w:right w:val="single" w:sz="4" w:space="0" w:color="FFFFFF"/>
            </w:tcBorders>
            <w:shd w:val="clear" w:color="auto" w:fill="000000"/>
            <w:vAlign w:val="center"/>
          </w:tcPr>
          <w:p w:rsidR="00D0213E" w:rsidRPr="002159A4" w:rsidRDefault="00D0213E" w:rsidP="00D0213E">
            <w:pPr>
              <w:spacing w:before="0"/>
              <w:jc w:val="center"/>
              <w:outlineLvl w:val="0"/>
              <w:rPr>
                <w:sz w:val="20"/>
                <w:szCs w:val="12"/>
                <w:lang w:val="en-AU"/>
              </w:rPr>
            </w:pPr>
            <w:r w:rsidRPr="002159A4">
              <w:rPr>
                <w:sz w:val="20"/>
                <w:szCs w:val="12"/>
                <w:lang w:val="en-AU"/>
              </w:rPr>
              <w:t>GWP</w:t>
            </w:r>
          </w:p>
        </w:tc>
        <w:tc>
          <w:tcPr>
            <w:tcW w:w="1275" w:type="dxa"/>
            <w:tcBorders>
              <w:left w:val="single" w:sz="4" w:space="0" w:color="FFFFFF"/>
              <w:righ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Equipment replacement</w:t>
            </w:r>
          </w:p>
        </w:tc>
        <w:tc>
          <w:tcPr>
            <w:tcW w:w="6237" w:type="dxa"/>
            <w:tcBorders>
              <w:lef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Comments</w:t>
            </w:r>
          </w:p>
        </w:tc>
      </w:tr>
      <w:tr w:rsidR="00D0213E" w:rsidRPr="002159A4" w:rsidTr="00D0213E">
        <w:tc>
          <w:tcPr>
            <w:tcW w:w="13041" w:type="dxa"/>
            <w:gridSpan w:val="7"/>
          </w:tcPr>
          <w:p w:rsidR="00D0213E" w:rsidRPr="002159A4" w:rsidRDefault="00D0213E" w:rsidP="00D0213E">
            <w:pPr>
              <w:jc w:val="left"/>
              <w:rPr>
                <w:sz w:val="20"/>
              </w:rPr>
            </w:pPr>
            <w:r>
              <w:rPr>
                <w:b/>
                <w:sz w:val="20"/>
              </w:rPr>
              <w:t xml:space="preserve">Small AC: </w:t>
            </w:r>
            <w:r w:rsidRPr="002159A4">
              <w:rPr>
                <w:b/>
                <w:sz w:val="20"/>
              </w:rPr>
              <w:t xml:space="preserve">Stationary air conditioning: </w:t>
            </w:r>
            <w:r>
              <w:rPr>
                <w:b/>
                <w:sz w:val="20"/>
              </w:rPr>
              <w:t xml:space="preserve">self-contained </w:t>
            </w:r>
            <w:r w:rsidRPr="002159A4">
              <w:rPr>
                <w:b/>
                <w:sz w:val="20"/>
              </w:rPr>
              <w:t>with charge &lt; 1</w:t>
            </w:r>
            <w:r>
              <w:rPr>
                <w:b/>
                <w:sz w:val="20"/>
              </w:rPr>
              <w:t xml:space="preserve">.5 </w:t>
            </w:r>
            <w:r w:rsidRPr="002159A4">
              <w:rPr>
                <w:b/>
                <w:sz w:val="20"/>
              </w:rPr>
              <w:t>kg</w:t>
            </w:r>
          </w:p>
        </w:tc>
      </w:tr>
      <w:tr w:rsidR="00D0213E" w:rsidRPr="002159A4" w:rsidTr="00D0213E">
        <w:tc>
          <w:tcPr>
            <w:tcW w:w="1900" w:type="dxa"/>
            <w:tcBorders>
              <w:bottom w:val="nil"/>
            </w:tcBorders>
          </w:tcPr>
          <w:p w:rsidR="00D0213E" w:rsidRPr="002159A4" w:rsidRDefault="00D0213E" w:rsidP="00D0213E">
            <w:pPr>
              <w:spacing w:before="0"/>
              <w:jc w:val="left"/>
              <w:rPr>
                <w:sz w:val="20"/>
              </w:rPr>
            </w:pPr>
            <w:r w:rsidRPr="002159A4">
              <w:rPr>
                <w:sz w:val="20"/>
              </w:rPr>
              <w:t>HFC-410A</w:t>
            </w:r>
          </w:p>
        </w:tc>
        <w:tc>
          <w:tcPr>
            <w:tcW w:w="893" w:type="dxa"/>
            <w:tcBorders>
              <w:bottom w:val="nil"/>
              <w:right w:val="single" w:sz="4" w:space="0" w:color="000000"/>
            </w:tcBorders>
          </w:tcPr>
          <w:p w:rsidR="00D0213E" w:rsidRPr="002159A4" w:rsidRDefault="00D0213E" w:rsidP="00D0213E">
            <w:pPr>
              <w:spacing w:before="0"/>
              <w:jc w:val="center"/>
              <w:rPr>
                <w:sz w:val="20"/>
              </w:rPr>
            </w:pPr>
            <w:r>
              <w:rPr>
                <w:sz w:val="20"/>
              </w:rPr>
              <w:t>2088</w:t>
            </w:r>
          </w:p>
        </w:tc>
        <w:tc>
          <w:tcPr>
            <w:tcW w:w="236" w:type="dxa"/>
            <w:tcBorders>
              <w:top w:val="single" w:sz="4" w:space="0" w:color="auto"/>
              <w:left w:val="single" w:sz="4" w:space="0" w:color="000000"/>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HC-290</w:t>
            </w:r>
          </w:p>
        </w:tc>
        <w:tc>
          <w:tcPr>
            <w:tcW w:w="851" w:type="dxa"/>
          </w:tcPr>
          <w:p w:rsidR="00D0213E" w:rsidRPr="002159A4" w:rsidRDefault="00D0213E" w:rsidP="00D0213E">
            <w:pPr>
              <w:spacing w:before="0"/>
              <w:jc w:val="center"/>
              <w:rPr>
                <w:sz w:val="20"/>
              </w:rPr>
            </w:pPr>
            <w:r w:rsidRPr="002159A4">
              <w:rPr>
                <w:sz w:val="20"/>
              </w:rPr>
              <w:t>3</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 opportunity to transition immediately</w:t>
            </w:r>
            <w:r>
              <w:rPr>
                <w:sz w:val="20"/>
              </w:rPr>
              <w:t xml:space="preserve"> </w:t>
            </w:r>
            <w:r w:rsidRPr="002159A4">
              <w:rPr>
                <w:sz w:val="20"/>
              </w:rPr>
              <w:t xml:space="preserve">- training </w:t>
            </w:r>
            <w:r>
              <w:rPr>
                <w:sz w:val="20"/>
              </w:rPr>
              <w:t xml:space="preserve">in handling flammable refrigerants </w:t>
            </w:r>
            <w:r w:rsidRPr="002159A4">
              <w:rPr>
                <w:sz w:val="20"/>
              </w:rPr>
              <w:t>required</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r w:rsidRPr="002159A4">
              <w:rPr>
                <w:sz w:val="20"/>
              </w:rPr>
              <w:t>HFC-407C</w:t>
            </w:r>
          </w:p>
        </w:tc>
        <w:tc>
          <w:tcPr>
            <w:tcW w:w="893" w:type="dxa"/>
            <w:tcBorders>
              <w:top w:val="nil"/>
              <w:bottom w:val="nil"/>
              <w:right w:val="single" w:sz="4" w:space="0" w:color="000000"/>
            </w:tcBorders>
          </w:tcPr>
          <w:p w:rsidR="00D0213E" w:rsidRPr="002159A4" w:rsidRDefault="00D0213E" w:rsidP="00D0213E">
            <w:pPr>
              <w:spacing w:before="0"/>
              <w:jc w:val="center"/>
              <w:rPr>
                <w:sz w:val="20"/>
              </w:rPr>
            </w:pPr>
            <w:r>
              <w:rPr>
                <w:sz w:val="20"/>
              </w:rPr>
              <w:t>1774</w:t>
            </w:r>
          </w:p>
        </w:tc>
        <w:tc>
          <w:tcPr>
            <w:tcW w:w="236" w:type="dxa"/>
            <w:tcBorders>
              <w:top w:val="nil"/>
              <w:left w:val="single" w:sz="4" w:space="0" w:color="000000"/>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HFC-32</w:t>
            </w:r>
          </w:p>
        </w:tc>
        <w:tc>
          <w:tcPr>
            <w:tcW w:w="851" w:type="dxa"/>
          </w:tcPr>
          <w:p w:rsidR="00D0213E" w:rsidRPr="002159A4" w:rsidRDefault="00D0213E" w:rsidP="00D0213E">
            <w:pPr>
              <w:spacing w:before="0"/>
              <w:jc w:val="center"/>
              <w:rPr>
                <w:sz w:val="20"/>
              </w:rPr>
            </w:pPr>
            <w:r>
              <w:rPr>
                <w:sz w:val="20"/>
              </w:rPr>
              <w:t>675</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 xml:space="preserve">Technology path for new equipment - training </w:t>
            </w:r>
            <w:r>
              <w:rPr>
                <w:sz w:val="20"/>
              </w:rPr>
              <w:t xml:space="preserve">in handling mildly flammable refrigerants </w:t>
            </w:r>
            <w:r w:rsidRPr="002159A4">
              <w:rPr>
                <w:sz w:val="20"/>
              </w:rPr>
              <w:t>required</w:t>
            </w:r>
          </w:p>
        </w:tc>
      </w:tr>
      <w:tr w:rsidR="00D0213E" w:rsidRPr="002159A4" w:rsidTr="00D0213E">
        <w:tc>
          <w:tcPr>
            <w:tcW w:w="1900" w:type="dxa"/>
            <w:tcBorders>
              <w:top w:val="nil"/>
              <w:bottom w:val="single" w:sz="4" w:space="0" w:color="000000"/>
            </w:tcBorders>
          </w:tcPr>
          <w:p w:rsidR="00D0213E" w:rsidRDefault="00D0213E" w:rsidP="00D0213E">
            <w:pPr>
              <w:spacing w:before="0"/>
              <w:jc w:val="left"/>
              <w:rPr>
                <w:sz w:val="20"/>
              </w:rPr>
            </w:pPr>
            <w:r>
              <w:rPr>
                <w:sz w:val="20"/>
              </w:rPr>
              <w:t>HFC-32</w:t>
            </w:r>
          </w:p>
          <w:p w:rsidR="00D0213E" w:rsidRDefault="00D0213E" w:rsidP="00D0213E">
            <w:pPr>
              <w:spacing w:before="0"/>
              <w:jc w:val="left"/>
              <w:rPr>
                <w:sz w:val="20"/>
              </w:rPr>
            </w:pPr>
          </w:p>
          <w:p w:rsidR="00D0213E" w:rsidRPr="002159A4" w:rsidRDefault="00D0213E" w:rsidP="00D0213E">
            <w:pPr>
              <w:spacing w:before="0"/>
              <w:jc w:val="left"/>
              <w:rPr>
                <w:sz w:val="20"/>
              </w:rPr>
            </w:pPr>
            <w:r>
              <w:rPr>
                <w:sz w:val="20"/>
              </w:rPr>
              <w:t>HC-290</w:t>
            </w:r>
          </w:p>
        </w:tc>
        <w:tc>
          <w:tcPr>
            <w:tcW w:w="893" w:type="dxa"/>
            <w:tcBorders>
              <w:top w:val="nil"/>
              <w:bottom w:val="single" w:sz="4" w:space="0" w:color="000000"/>
              <w:right w:val="single" w:sz="4" w:space="0" w:color="000000"/>
            </w:tcBorders>
          </w:tcPr>
          <w:p w:rsidR="00D0213E" w:rsidRDefault="00D0213E" w:rsidP="00D0213E">
            <w:pPr>
              <w:spacing w:before="0"/>
              <w:jc w:val="center"/>
              <w:rPr>
                <w:sz w:val="20"/>
              </w:rPr>
            </w:pPr>
            <w:r>
              <w:rPr>
                <w:sz w:val="20"/>
              </w:rPr>
              <w:t>675</w:t>
            </w:r>
          </w:p>
          <w:p w:rsidR="00D0213E" w:rsidRDefault="00D0213E" w:rsidP="00D0213E">
            <w:pPr>
              <w:spacing w:before="0"/>
              <w:jc w:val="center"/>
              <w:rPr>
                <w:sz w:val="20"/>
              </w:rPr>
            </w:pPr>
          </w:p>
          <w:p w:rsidR="00D0213E" w:rsidRPr="002159A4" w:rsidRDefault="00D0213E" w:rsidP="00D0213E">
            <w:pPr>
              <w:spacing w:before="0"/>
              <w:jc w:val="center"/>
              <w:rPr>
                <w:sz w:val="20"/>
              </w:rPr>
            </w:pPr>
            <w:r>
              <w:rPr>
                <w:sz w:val="20"/>
              </w:rPr>
              <w:t>3</w:t>
            </w:r>
          </w:p>
        </w:tc>
        <w:tc>
          <w:tcPr>
            <w:tcW w:w="236" w:type="dxa"/>
            <w:tcBorders>
              <w:top w:val="nil"/>
              <w:left w:val="single" w:sz="4" w:space="0" w:color="000000"/>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HFO blends</w:t>
            </w:r>
          </w:p>
        </w:tc>
        <w:tc>
          <w:tcPr>
            <w:tcW w:w="851" w:type="dxa"/>
          </w:tcPr>
          <w:p w:rsidR="00D0213E" w:rsidRPr="002159A4" w:rsidRDefault="00D0213E" w:rsidP="00D0213E">
            <w:pPr>
              <w:spacing w:before="0"/>
              <w:jc w:val="center"/>
              <w:rPr>
                <w:sz w:val="20"/>
              </w:rPr>
            </w:pPr>
            <w:r>
              <w:rPr>
                <w:sz w:val="20"/>
              </w:rPr>
              <w:t>&gt;300</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Pr>
                <w:sz w:val="20"/>
              </w:rPr>
              <w:t>As above, except in 1 to 3 years. E</w:t>
            </w:r>
            <w:r w:rsidRPr="002159A4">
              <w:rPr>
                <w:sz w:val="20"/>
              </w:rPr>
              <w:t>fficiency performance</w:t>
            </w:r>
            <w:r>
              <w:rPr>
                <w:sz w:val="20"/>
              </w:rPr>
              <w:t>, mild flammability,</w:t>
            </w:r>
            <w:r w:rsidRPr="002159A4">
              <w:rPr>
                <w:sz w:val="20"/>
              </w:rPr>
              <w:t xml:space="preserve"> </w:t>
            </w:r>
            <w:r>
              <w:rPr>
                <w:sz w:val="20"/>
              </w:rPr>
              <w:t xml:space="preserve">and other characteristics are </w:t>
            </w:r>
            <w:r w:rsidRPr="002159A4">
              <w:rPr>
                <w:sz w:val="20"/>
              </w:rPr>
              <w:t xml:space="preserve">under examination versus </w:t>
            </w:r>
            <w:r>
              <w:rPr>
                <w:sz w:val="20"/>
              </w:rPr>
              <w:t>GWP</w:t>
            </w:r>
          </w:p>
        </w:tc>
      </w:tr>
      <w:tr w:rsidR="00D0213E" w:rsidRPr="002159A4" w:rsidTr="00D0213E">
        <w:tc>
          <w:tcPr>
            <w:tcW w:w="13041" w:type="dxa"/>
            <w:gridSpan w:val="7"/>
          </w:tcPr>
          <w:p w:rsidR="00D0213E" w:rsidRPr="002159A4" w:rsidRDefault="00D0213E" w:rsidP="00D0213E">
            <w:pPr>
              <w:jc w:val="left"/>
              <w:rPr>
                <w:sz w:val="20"/>
              </w:rPr>
            </w:pPr>
            <w:r>
              <w:rPr>
                <w:b/>
                <w:sz w:val="20"/>
              </w:rPr>
              <w:t xml:space="preserve">Medium AC: </w:t>
            </w:r>
            <w:r w:rsidRPr="002159A4">
              <w:rPr>
                <w:b/>
                <w:sz w:val="20"/>
              </w:rPr>
              <w:t xml:space="preserve">Stationary air conditioning: </w:t>
            </w:r>
            <w:r>
              <w:rPr>
                <w:b/>
                <w:sz w:val="20"/>
              </w:rPr>
              <w:t xml:space="preserve">self contained </w:t>
            </w:r>
            <w:r w:rsidRPr="002159A4">
              <w:rPr>
                <w:b/>
                <w:sz w:val="20"/>
              </w:rPr>
              <w:t>with charge &gt;1</w:t>
            </w:r>
            <w:r>
              <w:rPr>
                <w:b/>
                <w:sz w:val="20"/>
              </w:rPr>
              <w:t xml:space="preserve">.5 </w:t>
            </w:r>
            <w:r w:rsidRPr="002159A4">
              <w:rPr>
                <w:b/>
                <w:sz w:val="20"/>
              </w:rPr>
              <w:t>kg</w:t>
            </w:r>
          </w:p>
        </w:tc>
      </w:tr>
      <w:tr w:rsidR="00D0213E" w:rsidRPr="002159A4" w:rsidTr="00D0213E">
        <w:tc>
          <w:tcPr>
            <w:tcW w:w="1900" w:type="dxa"/>
            <w:tcBorders>
              <w:bottom w:val="nil"/>
            </w:tcBorders>
          </w:tcPr>
          <w:p w:rsidR="00D0213E" w:rsidRPr="002159A4" w:rsidRDefault="00D0213E" w:rsidP="00D0213E">
            <w:pPr>
              <w:spacing w:before="0"/>
              <w:jc w:val="left"/>
              <w:rPr>
                <w:sz w:val="20"/>
              </w:rPr>
            </w:pPr>
            <w:r w:rsidRPr="002159A4">
              <w:rPr>
                <w:sz w:val="20"/>
              </w:rPr>
              <w:t>HFC-410A</w:t>
            </w:r>
          </w:p>
        </w:tc>
        <w:tc>
          <w:tcPr>
            <w:tcW w:w="893" w:type="dxa"/>
            <w:tcBorders>
              <w:bottom w:val="nil"/>
              <w:right w:val="single" w:sz="4" w:space="0" w:color="auto"/>
            </w:tcBorders>
          </w:tcPr>
          <w:p w:rsidR="00D0213E" w:rsidRPr="002159A4" w:rsidRDefault="00D0213E" w:rsidP="00D0213E">
            <w:pPr>
              <w:spacing w:before="0"/>
              <w:jc w:val="center"/>
              <w:rPr>
                <w:sz w:val="20"/>
              </w:rPr>
            </w:pPr>
            <w:r>
              <w:rPr>
                <w:sz w:val="20"/>
              </w:rPr>
              <w:t>2088</w:t>
            </w:r>
          </w:p>
        </w:tc>
        <w:tc>
          <w:tcPr>
            <w:tcW w:w="236" w:type="dxa"/>
            <w:tcBorders>
              <w:top w:val="single" w:sz="4" w:space="0" w:color="auto"/>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HFC-32</w:t>
            </w:r>
          </w:p>
        </w:tc>
        <w:tc>
          <w:tcPr>
            <w:tcW w:w="851" w:type="dxa"/>
          </w:tcPr>
          <w:p w:rsidR="00D0213E" w:rsidRPr="002159A4" w:rsidRDefault="00D0213E" w:rsidP="00D0213E">
            <w:pPr>
              <w:spacing w:before="0"/>
              <w:jc w:val="center"/>
              <w:rPr>
                <w:sz w:val="20"/>
              </w:rPr>
            </w:pPr>
            <w:r>
              <w:rPr>
                <w:sz w:val="20"/>
              </w:rPr>
              <w:t>675</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w:t>
            </w:r>
            <w:r>
              <w:rPr>
                <w:sz w:val="20"/>
              </w:rPr>
              <w:t xml:space="preserve">, </w:t>
            </w:r>
            <w:r w:rsidRPr="002159A4">
              <w:rPr>
                <w:sz w:val="20"/>
              </w:rPr>
              <w:t xml:space="preserve">training </w:t>
            </w:r>
            <w:r>
              <w:rPr>
                <w:sz w:val="20"/>
              </w:rPr>
              <w:t xml:space="preserve">in handling mildly flammable refrigerants </w:t>
            </w:r>
            <w:r w:rsidRPr="002159A4">
              <w:rPr>
                <w:sz w:val="20"/>
              </w:rPr>
              <w:t>required</w:t>
            </w:r>
            <w:r>
              <w:rPr>
                <w:sz w:val="20"/>
              </w:rPr>
              <w:t xml:space="preserve"> and application restrictions based on charges size </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r w:rsidRPr="002159A4">
              <w:rPr>
                <w:sz w:val="20"/>
              </w:rPr>
              <w:t>HFC-407C</w:t>
            </w:r>
          </w:p>
        </w:tc>
        <w:tc>
          <w:tcPr>
            <w:tcW w:w="893" w:type="dxa"/>
            <w:tcBorders>
              <w:top w:val="nil"/>
              <w:bottom w:val="nil"/>
              <w:right w:val="single" w:sz="4" w:space="0" w:color="auto"/>
            </w:tcBorders>
          </w:tcPr>
          <w:p w:rsidR="00D0213E" w:rsidRPr="002159A4" w:rsidRDefault="00D0213E" w:rsidP="00D0213E">
            <w:pPr>
              <w:spacing w:before="0"/>
              <w:jc w:val="center"/>
              <w:rPr>
                <w:sz w:val="20"/>
              </w:rPr>
            </w:pPr>
            <w:r>
              <w:rPr>
                <w:sz w:val="20"/>
              </w:rPr>
              <w:t>1774</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HFO blends</w:t>
            </w:r>
          </w:p>
        </w:tc>
        <w:tc>
          <w:tcPr>
            <w:tcW w:w="851" w:type="dxa"/>
          </w:tcPr>
          <w:p w:rsidR="00D0213E" w:rsidRPr="002159A4" w:rsidRDefault="00D0213E" w:rsidP="00D0213E">
            <w:pPr>
              <w:spacing w:before="0"/>
              <w:jc w:val="center"/>
              <w:rPr>
                <w:sz w:val="20"/>
              </w:rPr>
            </w:pPr>
            <w:r>
              <w:rPr>
                <w:sz w:val="20"/>
              </w:rPr>
              <w:t>&gt;</w:t>
            </w:r>
            <w:r w:rsidRPr="002159A4">
              <w:rPr>
                <w:sz w:val="20"/>
              </w:rPr>
              <w:t>300</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Pr>
                <w:sz w:val="20"/>
              </w:rPr>
              <w:t>As above, except in 1 to 3 years. E</w:t>
            </w:r>
            <w:r w:rsidRPr="002159A4">
              <w:rPr>
                <w:sz w:val="20"/>
              </w:rPr>
              <w:t>fficiency performance</w:t>
            </w:r>
            <w:r>
              <w:rPr>
                <w:sz w:val="20"/>
              </w:rPr>
              <w:t>, mild flammability,</w:t>
            </w:r>
            <w:r w:rsidRPr="002159A4">
              <w:rPr>
                <w:sz w:val="20"/>
              </w:rPr>
              <w:t xml:space="preserve"> </w:t>
            </w:r>
            <w:r>
              <w:rPr>
                <w:sz w:val="20"/>
              </w:rPr>
              <w:t xml:space="preserve">and other characteristics are </w:t>
            </w:r>
            <w:r w:rsidRPr="002159A4">
              <w:rPr>
                <w:sz w:val="20"/>
              </w:rPr>
              <w:t xml:space="preserve">under examination versus </w:t>
            </w:r>
            <w:r>
              <w:rPr>
                <w:sz w:val="20"/>
              </w:rPr>
              <w:t>GWP</w:t>
            </w:r>
          </w:p>
        </w:tc>
      </w:tr>
      <w:tr w:rsidR="00D0213E" w:rsidRPr="002159A4" w:rsidTr="00D0213E">
        <w:tc>
          <w:tcPr>
            <w:tcW w:w="1900" w:type="dxa"/>
            <w:tcBorders>
              <w:top w:val="nil"/>
            </w:tcBorders>
          </w:tcPr>
          <w:p w:rsidR="00D0213E" w:rsidRPr="002159A4" w:rsidRDefault="00D0213E" w:rsidP="00D0213E">
            <w:pPr>
              <w:spacing w:before="0"/>
              <w:jc w:val="left"/>
              <w:rPr>
                <w:sz w:val="20"/>
              </w:rPr>
            </w:pPr>
          </w:p>
        </w:tc>
        <w:tc>
          <w:tcPr>
            <w:tcW w:w="893" w:type="dxa"/>
            <w:tcBorders>
              <w:top w:val="nil"/>
              <w:right w:val="single" w:sz="4" w:space="0" w:color="auto"/>
            </w:tcBorders>
          </w:tcPr>
          <w:p w:rsidR="00D0213E" w:rsidRPr="002159A4" w:rsidRDefault="00D0213E" w:rsidP="00D0213E">
            <w:pPr>
              <w:spacing w:before="0"/>
              <w:jc w:val="center"/>
              <w:rPr>
                <w:sz w:val="20"/>
              </w:rPr>
            </w:pPr>
          </w:p>
        </w:tc>
        <w:tc>
          <w:tcPr>
            <w:tcW w:w="236" w:type="dxa"/>
            <w:tcBorders>
              <w:top w:val="nil"/>
              <w:left w:val="single" w:sz="4" w:space="0" w:color="auto"/>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HFO blends</w:t>
            </w:r>
          </w:p>
        </w:tc>
        <w:tc>
          <w:tcPr>
            <w:tcW w:w="851" w:type="dxa"/>
          </w:tcPr>
          <w:p w:rsidR="00D0213E" w:rsidRPr="002159A4" w:rsidRDefault="00D0213E" w:rsidP="00D0213E">
            <w:pPr>
              <w:spacing w:before="0"/>
              <w:jc w:val="center"/>
              <w:rPr>
                <w:sz w:val="20"/>
              </w:rPr>
            </w:pPr>
            <w:r>
              <w:rPr>
                <w:sz w:val="20"/>
              </w:rPr>
              <w:t>&gt;</w:t>
            </w:r>
            <w:r w:rsidRPr="002159A4">
              <w:rPr>
                <w:sz w:val="20"/>
              </w:rPr>
              <w:t>1000</w:t>
            </w:r>
          </w:p>
        </w:tc>
        <w:tc>
          <w:tcPr>
            <w:tcW w:w="1275" w:type="dxa"/>
          </w:tcPr>
          <w:p w:rsidR="00D0213E" w:rsidRPr="002159A4" w:rsidRDefault="00D0213E" w:rsidP="00D0213E">
            <w:pPr>
              <w:spacing w:before="0"/>
              <w:jc w:val="center"/>
              <w:rPr>
                <w:sz w:val="20"/>
              </w:rPr>
            </w:pPr>
            <w:r w:rsidRPr="002159A4">
              <w:rPr>
                <w:sz w:val="20"/>
              </w:rPr>
              <w:t>No</w:t>
            </w:r>
          </w:p>
        </w:tc>
        <w:tc>
          <w:tcPr>
            <w:tcW w:w="6237" w:type="dxa"/>
          </w:tcPr>
          <w:p w:rsidR="00D0213E" w:rsidRPr="002159A4" w:rsidRDefault="00D0213E" w:rsidP="00D0213E">
            <w:pPr>
              <w:spacing w:before="0"/>
              <w:jc w:val="left"/>
              <w:rPr>
                <w:sz w:val="20"/>
              </w:rPr>
            </w:pPr>
            <w:r>
              <w:rPr>
                <w:sz w:val="20"/>
              </w:rPr>
              <w:t>Potential t</w:t>
            </w:r>
            <w:r w:rsidRPr="002159A4">
              <w:rPr>
                <w:sz w:val="20"/>
              </w:rPr>
              <w:t xml:space="preserve">echnology path for existing bank and new equipment </w:t>
            </w:r>
            <w:r>
              <w:rPr>
                <w:sz w:val="20"/>
              </w:rPr>
              <w:t>(commercialisation timeline unknown)</w:t>
            </w:r>
          </w:p>
        </w:tc>
      </w:tr>
      <w:tr w:rsidR="00D0213E" w:rsidRPr="002159A4" w:rsidTr="00D0213E">
        <w:tc>
          <w:tcPr>
            <w:tcW w:w="13041" w:type="dxa"/>
            <w:gridSpan w:val="7"/>
          </w:tcPr>
          <w:p w:rsidR="00D0213E" w:rsidRPr="002159A4" w:rsidRDefault="00D0213E" w:rsidP="00D0213E">
            <w:pPr>
              <w:jc w:val="left"/>
              <w:rPr>
                <w:sz w:val="20"/>
              </w:rPr>
            </w:pPr>
            <w:r>
              <w:rPr>
                <w:b/>
                <w:sz w:val="20"/>
              </w:rPr>
              <w:t xml:space="preserve">Medium AC: </w:t>
            </w:r>
            <w:r w:rsidRPr="002159A4">
              <w:rPr>
                <w:b/>
                <w:sz w:val="20"/>
              </w:rPr>
              <w:t>Stationary air conditioning: split systems</w:t>
            </w:r>
          </w:p>
        </w:tc>
      </w:tr>
      <w:tr w:rsidR="00D0213E" w:rsidRPr="002159A4" w:rsidTr="00D0213E">
        <w:tc>
          <w:tcPr>
            <w:tcW w:w="1900" w:type="dxa"/>
            <w:tcBorders>
              <w:bottom w:val="nil"/>
            </w:tcBorders>
          </w:tcPr>
          <w:p w:rsidR="00D0213E" w:rsidRPr="002159A4" w:rsidRDefault="00D0213E" w:rsidP="00D0213E">
            <w:pPr>
              <w:spacing w:before="0"/>
              <w:jc w:val="left"/>
              <w:rPr>
                <w:sz w:val="20"/>
              </w:rPr>
            </w:pPr>
            <w:r w:rsidRPr="002159A4">
              <w:rPr>
                <w:sz w:val="20"/>
              </w:rPr>
              <w:t>HFC-410A</w:t>
            </w:r>
          </w:p>
        </w:tc>
        <w:tc>
          <w:tcPr>
            <w:tcW w:w="893" w:type="dxa"/>
            <w:tcBorders>
              <w:bottom w:val="nil"/>
              <w:right w:val="single" w:sz="4" w:space="0" w:color="auto"/>
            </w:tcBorders>
          </w:tcPr>
          <w:p w:rsidR="00D0213E" w:rsidRPr="002159A4" w:rsidRDefault="00D0213E" w:rsidP="00D0213E">
            <w:pPr>
              <w:spacing w:before="0"/>
              <w:jc w:val="center"/>
              <w:rPr>
                <w:sz w:val="20"/>
              </w:rPr>
            </w:pPr>
            <w:r>
              <w:rPr>
                <w:sz w:val="20"/>
              </w:rPr>
              <w:t>2088</w:t>
            </w:r>
          </w:p>
        </w:tc>
        <w:tc>
          <w:tcPr>
            <w:tcW w:w="236" w:type="dxa"/>
            <w:tcBorders>
              <w:top w:val="single" w:sz="4" w:space="0" w:color="auto"/>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HFC-32</w:t>
            </w:r>
          </w:p>
        </w:tc>
        <w:tc>
          <w:tcPr>
            <w:tcW w:w="851" w:type="dxa"/>
          </w:tcPr>
          <w:p w:rsidR="00D0213E" w:rsidRPr="002159A4" w:rsidRDefault="00D0213E" w:rsidP="00D0213E">
            <w:pPr>
              <w:spacing w:before="0"/>
              <w:jc w:val="center"/>
              <w:rPr>
                <w:sz w:val="20"/>
              </w:rPr>
            </w:pPr>
            <w:r>
              <w:rPr>
                <w:sz w:val="20"/>
              </w:rPr>
              <w:t>675</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w:t>
            </w:r>
            <w:r>
              <w:rPr>
                <w:sz w:val="20"/>
              </w:rPr>
              <w:t xml:space="preserve">, </w:t>
            </w:r>
            <w:r w:rsidRPr="002159A4">
              <w:rPr>
                <w:sz w:val="20"/>
              </w:rPr>
              <w:t xml:space="preserve">training </w:t>
            </w:r>
            <w:r>
              <w:rPr>
                <w:sz w:val="20"/>
              </w:rPr>
              <w:t xml:space="preserve">in handling mildly flammable refrigerants </w:t>
            </w:r>
            <w:r w:rsidRPr="002159A4">
              <w:rPr>
                <w:sz w:val="20"/>
              </w:rPr>
              <w:t>required</w:t>
            </w:r>
            <w:r>
              <w:rPr>
                <w:sz w:val="20"/>
              </w:rPr>
              <w:t xml:space="preserve"> and application restrictions based on charges size</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r w:rsidRPr="002159A4">
              <w:rPr>
                <w:sz w:val="20"/>
              </w:rPr>
              <w:t>HFC-407C</w:t>
            </w:r>
          </w:p>
        </w:tc>
        <w:tc>
          <w:tcPr>
            <w:tcW w:w="893" w:type="dxa"/>
            <w:tcBorders>
              <w:top w:val="nil"/>
              <w:bottom w:val="nil"/>
              <w:right w:val="single" w:sz="4" w:space="0" w:color="auto"/>
            </w:tcBorders>
          </w:tcPr>
          <w:p w:rsidR="00D0213E" w:rsidRPr="002159A4" w:rsidRDefault="00D0213E" w:rsidP="00D0213E">
            <w:pPr>
              <w:spacing w:before="0"/>
              <w:jc w:val="center"/>
              <w:rPr>
                <w:sz w:val="20"/>
              </w:rPr>
            </w:pPr>
            <w:r>
              <w:rPr>
                <w:sz w:val="20"/>
              </w:rPr>
              <w:t>1774</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HFO blends</w:t>
            </w:r>
          </w:p>
        </w:tc>
        <w:tc>
          <w:tcPr>
            <w:tcW w:w="851" w:type="dxa"/>
          </w:tcPr>
          <w:p w:rsidR="00D0213E" w:rsidRPr="002159A4" w:rsidRDefault="00D0213E" w:rsidP="00D0213E">
            <w:pPr>
              <w:spacing w:before="0"/>
              <w:jc w:val="center"/>
              <w:rPr>
                <w:sz w:val="20"/>
              </w:rPr>
            </w:pPr>
            <w:r>
              <w:rPr>
                <w:sz w:val="20"/>
              </w:rPr>
              <w:t>&gt;</w:t>
            </w:r>
            <w:r w:rsidRPr="002159A4">
              <w:rPr>
                <w:sz w:val="20"/>
              </w:rPr>
              <w:t>300</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Pr>
                <w:sz w:val="20"/>
              </w:rPr>
              <w:t>As above, except in 1 to 3 years. E</w:t>
            </w:r>
            <w:r w:rsidRPr="002159A4">
              <w:rPr>
                <w:sz w:val="20"/>
              </w:rPr>
              <w:t>fficiency performance</w:t>
            </w:r>
            <w:r>
              <w:rPr>
                <w:sz w:val="20"/>
              </w:rPr>
              <w:t>, mild flammability,</w:t>
            </w:r>
            <w:r w:rsidRPr="002159A4">
              <w:rPr>
                <w:sz w:val="20"/>
              </w:rPr>
              <w:t xml:space="preserve"> </w:t>
            </w:r>
            <w:r>
              <w:rPr>
                <w:sz w:val="20"/>
              </w:rPr>
              <w:t xml:space="preserve">and other characteristics are </w:t>
            </w:r>
            <w:r w:rsidRPr="002159A4">
              <w:rPr>
                <w:sz w:val="20"/>
              </w:rPr>
              <w:t xml:space="preserve">under examination versus </w:t>
            </w:r>
            <w:r>
              <w:rPr>
                <w:sz w:val="20"/>
              </w:rPr>
              <w:t>GWP and risk</w:t>
            </w:r>
          </w:p>
        </w:tc>
      </w:tr>
      <w:tr w:rsidR="00D0213E" w:rsidRPr="002159A4" w:rsidTr="00D0213E">
        <w:tc>
          <w:tcPr>
            <w:tcW w:w="1900" w:type="dxa"/>
            <w:tcBorders>
              <w:top w:val="nil"/>
              <w:bottom w:val="nil"/>
            </w:tcBorders>
          </w:tcPr>
          <w:p w:rsidR="00D0213E" w:rsidRDefault="00D0213E" w:rsidP="00D0213E">
            <w:pPr>
              <w:spacing w:before="0"/>
              <w:jc w:val="left"/>
              <w:rPr>
                <w:sz w:val="20"/>
              </w:rPr>
            </w:pPr>
            <w:r w:rsidRPr="002159A4">
              <w:rPr>
                <w:sz w:val="20"/>
              </w:rPr>
              <w:t>HFC-32</w:t>
            </w:r>
          </w:p>
          <w:p w:rsidR="00D0213E" w:rsidRDefault="00D0213E" w:rsidP="00D0213E">
            <w:pPr>
              <w:spacing w:before="0"/>
              <w:jc w:val="left"/>
              <w:rPr>
                <w:sz w:val="20"/>
              </w:rPr>
            </w:pPr>
          </w:p>
          <w:p w:rsidR="00D0213E" w:rsidRPr="002159A4" w:rsidRDefault="00D0213E" w:rsidP="00D0213E">
            <w:pPr>
              <w:spacing w:before="0"/>
              <w:jc w:val="left"/>
              <w:rPr>
                <w:sz w:val="20"/>
              </w:rPr>
            </w:pPr>
            <w:r>
              <w:rPr>
                <w:sz w:val="20"/>
              </w:rPr>
              <w:t>HC-290</w:t>
            </w:r>
          </w:p>
        </w:tc>
        <w:tc>
          <w:tcPr>
            <w:tcW w:w="893" w:type="dxa"/>
            <w:tcBorders>
              <w:top w:val="nil"/>
              <w:bottom w:val="nil"/>
              <w:right w:val="single" w:sz="4" w:space="0" w:color="auto"/>
            </w:tcBorders>
          </w:tcPr>
          <w:p w:rsidR="00D0213E" w:rsidRDefault="00D0213E" w:rsidP="00D0213E">
            <w:pPr>
              <w:spacing w:before="0"/>
              <w:jc w:val="center"/>
              <w:rPr>
                <w:sz w:val="20"/>
              </w:rPr>
            </w:pPr>
            <w:r>
              <w:rPr>
                <w:sz w:val="20"/>
              </w:rPr>
              <w:t>675</w:t>
            </w:r>
          </w:p>
          <w:p w:rsidR="00D0213E" w:rsidRDefault="00D0213E" w:rsidP="00D0213E">
            <w:pPr>
              <w:spacing w:before="0"/>
              <w:jc w:val="center"/>
              <w:rPr>
                <w:sz w:val="20"/>
              </w:rPr>
            </w:pPr>
          </w:p>
          <w:p w:rsidR="00D0213E" w:rsidRPr="002159A4" w:rsidRDefault="00D0213E" w:rsidP="00D0213E">
            <w:pPr>
              <w:spacing w:before="0"/>
              <w:jc w:val="center"/>
              <w:rPr>
                <w:sz w:val="20"/>
              </w:rPr>
            </w:pPr>
            <w:r>
              <w:rPr>
                <w:sz w:val="20"/>
              </w:rPr>
              <w:t>3</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 xml:space="preserve">HC-290 </w:t>
            </w:r>
          </w:p>
        </w:tc>
        <w:tc>
          <w:tcPr>
            <w:tcW w:w="851" w:type="dxa"/>
          </w:tcPr>
          <w:p w:rsidR="00D0213E" w:rsidRDefault="00D0213E" w:rsidP="00D0213E">
            <w:pPr>
              <w:spacing w:before="0"/>
              <w:jc w:val="center"/>
              <w:rPr>
                <w:sz w:val="20"/>
              </w:rPr>
            </w:pPr>
            <w:r w:rsidRPr="002159A4">
              <w:rPr>
                <w:sz w:val="20"/>
              </w:rPr>
              <w:t>3</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Default="00D0213E" w:rsidP="00D0213E">
            <w:pPr>
              <w:spacing w:before="0"/>
              <w:jc w:val="left"/>
              <w:rPr>
                <w:sz w:val="20"/>
              </w:rPr>
            </w:pPr>
            <w:r w:rsidRPr="002159A4">
              <w:rPr>
                <w:sz w:val="20"/>
              </w:rPr>
              <w:t>Technology path for new equipment</w:t>
            </w:r>
            <w:r>
              <w:rPr>
                <w:sz w:val="20"/>
              </w:rPr>
              <w:t xml:space="preserve">, </w:t>
            </w:r>
            <w:r w:rsidRPr="002159A4">
              <w:rPr>
                <w:sz w:val="20"/>
              </w:rPr>
              <w:t xml:space="preserve">training </w:t>
            </w:r>
            <w:r>
              <w:rPr>
                <w:sz w:val="20"/>
              </w:rPr>
              <w:t xml:space="preserve">in handling highly flammable refrigerants </w:t>
            </w:r>
            <w:r w:rsidRPr="002159A4">
              <w:rPr>
                <w:sz w:val="20"/>
              </w:rPr>
              <w:t>required</w:t>
            </w:r>
            <w:r>
              <w:rPr>
                <w:sz w:val="20"/>
              </w:rPr>
              <w:t xml:space="preserve"> and application restrictions based on charges size (typically &lt;1 kg)</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p>
        </w:tc>
        <w:tc>
          <w:tcPr>
            <w:tcW w:w="893" w:type="dxa"/>
            <w:tcBorders>
              <w:top w:val="nil"/>
              <w:bottom w:val="nil"/>
              <w:right w:val="single" w:sz="4" w:space="0" w:color="auto"/>
            </w:tcBorders>
          </w:tcPr>
          <w:p w:rsidR="00D0213E" w:rsidRPr="002159A4" w:rsidRDefault="00D0213E" w:rsidP="00D0213E">
            <w:pPr>
              <w:spacing w:before="0"/>
              <w:jc w:val="center"/>
              <w:rPr>
                <w:sz w:val="20"/>
              </w:rPr>
            </w:pP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HFO blends</w:t>
            </w:r>
          </w:p>
        </w:tc>
        <w:tc>
          <w:tcPr>
            <w:tcW w:w="851" w:type="dxa"/>
          </w:tcPr>
          <w:p w:rsidR="00D0213E" w:rsidRPr="002159A4" w:rsidRDefault="00D0213E" w:rsidP="00D0213E">
            <w:pPr>
              <w:spacing w:before="0"/>
              <w:jc w:val="center"/>
              <w:rPr>
                <w:sz w:val="20"/>
              </w:rPr>
            </w:pPr>
            <w:r>
              <w:rPr>
                <w:sz w:val="20"/>
              </w:rPr>
              <w:t>&gt;</w:t>
            </w:r>
            <w:r w:rsidRPr="002159A4">
              <w:rPr>
                <w:sz w:val="20"/>
              </w:rPr>
              <w:t>1000</w:t>
            </w:r>
          </w:p>
        </w:tc>
        <w:tc>
          <w:tcPr>
            <w:tcW w:w="1275" w:type="dxa"/>
          </w:tcPr>
          <w:p w:rsidR="00D0213E" w:rsidRPr="002159A4" w:rsidRDefault="00D0213E" w:rsidP="00D0213E">
            <w:pPr>
              <w:spacing w:before="0"/>
              <w:jc w:val="center"/>
              <w:rPr>
                <w:sz w:val="20"/>
              </w:rPr>
            </w:pPr>
            <w:r w:rsidRPr="002159A4">
              <w:rPr>
                <w:sz w:val="20"/>
              </w:rPr>
              <w:t>No</w:t>
            </w:r>
          </w:p>
        </w:tc>
        <w:tc>
          <w:tcPr>
            <w:tcW w:w="6237" w:type="dxa"/>
          </w:tcPr>
          <w:p w:rsidR="00D0213E" w:rsidRPr="002159A4" w:rsidRDefault="00D0213E" w:rsidP="00D0213E">
            <w:pPr>
              <w:spacing w:before="0"/>
              <w:jc w:val="left"/>
              <w:rPr>
                <w:sz w:val="20"/>
              </w:rPr>
            </w:pPr>
            <w:r>
              <w:rPr>
                <w:sz w:val="20"/>
              </w:rPr>
              <w:t>Potential t</w:t>
            </w:r>
            <w:r w:rsidRPr="002159A4">
              <w:rPr>
                <w:sz w:val="20"/>
              </w:rPr>
              <w:t xml:space="preserve">echnology path for existing bank and new equipment </w:t>
            </w:r>
            <w:r>
              <w:rPr>
                <w:sz w:val="20"/>
              </w:rPr>
              <w:t>(commercialisation timeline unknown)</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p>
        </w:tc>
        <w:tc>
          <w:tcPr>
            <w:tcW w:w="893" w:type="dxa"/>
            <w:tcBorders>
              <w:top w:val="nil"/>
              <w:bottom w:val="nil"/>
              <w:right w:val="single" w:sz="4" w:space="0" w:color="auto"/>
            </w:tcBorders>
          </w:tcPr>
          <w:p w:rsidR="00D0213E" w:rsidRPr="002159A4" w:rsidRDefault="00D0213E" w:rsidP="00D0213E">
            <w:pPr>
              <w:spacing w:before="0"/>
              <w:jc w:val="center"/>
              <w:rPr>
                <w:sz w:val="20"/>
              </w:rPr>
            </w:pP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Solar absorption chiller</w:t>
            </w:r>
          </w:p>
        </w:tc>
        <w:tc>
          <w:tcPr>
            <w:tcW w:w="851" w:type="dxa"/>
          </w:tcPr>
          <w:p w:rsidR="00D0213E" w:rsidRPr="002159A4" w:rsidRDefault="00D0213E" w:rsidP="00D0213E">
            <w:pPr>
              <w:spacing w:before="0"/>
              <w:jc w:val="center"/>
              <w:rPr>
                <w:sz w:val="20"/>
              </w:rPr>
            </w:pPr>
            <w:r w:rsidRPr="002159A4">
              <w:rPr>
                <w:sz w:val="20"/>
              </w:rPr>
              <w:t>0</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 technical and commercial barriers (application limitations)</w:t>
            </w:r>
          </w:p>
        </w:tc>
      </w:tr>
      <w:tr w:rsidR="00D0213E" w:rsidRPr="002159A4" w:rsidTr="00D0213E">
        <w:tc>
          <w:tcPr>
            <w:tcW w:w="1900" w:type="dxa"/>
            <w:tcBorders>
              <w:top w:val="nil"/>
            </w:tcBorders>
          </w:tcPr>
          <w:p w:rsidR="00D0213E" w:rsidRPr="002159A4" w:rsidRDefault="00D0213E" w:rsidP="00D0213E">
            <w:pPr>
              <w:spacing w:before="0"/>
              <w:jc w:val="left"/>
              <w:rPr>
                <w:sz w:val="20"/>
              </w:rPr>
            </w:pPr>
          </w:p>
        </w:tc>
        <w:tc>
          <w:tcPr>
            <w:tcW w:w="893" w:type="dxa"/>
            <w:tcBorders>
              <w:top w:val="nil"/>
              <w:right w:val="single" w:sz="4" w:space="0" w:color="auto"/>
            </w:tcBorders>
          </w:tcPr>
          <w:p w:rsidR="00D0213E" w:rsidRPr="002159A4" w:rsidRDefault="00D0213E" w:rsidP="00D0213E">
            <w:pPr>
              <w:spacing w:before="0"/>
              <w:jc w:val="center"/>
              <w:rPr>
                <w:sz w:val="20"/>
              </w:rPr>
            </w:pPr>
          </w:p>
        </w:tc>
        <w:tc>
          <w:tcPr>
            <w:tcW w:w="236" w:type="dxa"/>
            <w:tcBorders>
              <w:top w:val="nil"/>
              <w:left w:val="single" w:sz="4" w:space="0" w:color="auto"/>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CO</w:t>
            </w:r>
            <w:r w:rsidRPr="002159A4">
              <w:rPr>
                <w:sz w:val="20"/>
                <w:vertAlign w:val="subscript"/>
              </w:rPr>
              <w:t>2</w:t>
            </w:r>
            <w:r w:rsidRPr="002159A4">
              <w:rPr>
                <w:sz w:val="20"/>
              </w:rPr>
              <w:t xml:space="preserve"> (R744)</w:t>
            </w:r>
          </w:p>
        </w:tc>
        <w:tc>
          <w:tcPr>
            <w:tcW w:w="851" w:type="dxa"/>
          </w:tcPr>
          <w:p w:rsidR="00D0213E" w:rsidRPr="002159A4" w:rsidRDefault="00D0213E" w:rsidP="00D0213E">
            <w:pPr>
              <w:spacing w:before="0"/>
              <w:jc w:val="center"/>
              <w:rPr>
                <w:sz w:val="20"/>
              </w:rPr>
            </w:pPr>
            <w:r w:rsidRPr="002159A4">
              <w:rPr>
                <w:sz w:val="20"/>
              </w:rPr>
              <w:t>1</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in this application is in its infancy - not currently considered a viable technology path</w:t>
            </w:r>
          </w:p>
        </w:tc>
      </w:tr>
      <w:tr w:rsidR="00D0213E" w:rsidRPr="002159A4" w:rsidTr="00D0213E">
        <w:tc>
          <w:tcPr>
            <w:tcW w:w="13041" w:type="dxa"/>
            <w:gridSpan w:val="7"/>
          </w:tcPr>
          <w:p w:rsidR="00D0213E" w:rsidRPr="002159A4" w:rsidRDefault="00D0213E" w:rsidP="00D0213E">
            <w:pPr>
              <w:spacing w:before="0"/>
              <w:jc w:val="left"/>
              <w:rPr>
                <w:sz w:val="20"/>
              </w:rPr>
            </w:pPr>
            <w:r>
              <w:rPr>
                <w:sz w:val="20"/>
              </w:rPr>
              <w:t>Not-in kind technology such as evaporative coolers (p</w:t>
            </w:r>
            <w:r w:rsidRPr="002159A4">
              <w:rPr>
                <w:sz w:val="20"/>
              </w:rPr>
              <w:t>roven technology path for select applications/low humidity geographical regions</w:t>
            </w:r>
            <w:r>
              <w:rPr>
                <w:sz w:val="20"/>
              </w:rPr>
              <w:t>) and i</w:t>
            </w:r>
            <w:r w:rsidRPr="002159A4">
              <w:rPr>
                <w:sz w:val="20"/>
              </w:rPr>
              <w:t>ndirect evaporative cooling</w:t>
            </w:r>
            <w:r>
              <w:rPr>
                <w:sz w:val="20"/>
              </w:rPr>
              <w:t xml:space="preserve"> (rapidly evolving technology that can be used in conjunction with refrigerative cooling) can displace AC capacity.</w:t>
            </w:r>
          </w:p>
        </w:tc>
      </w:tr>
    </w:tbl>
    <w:p w:rsidR="00D0213E" w:rsidRDefault="00D0213E" w:rsidP="00D0213E">
      <w:pPr>
        <w:spacing w:before="0"/>
      </w:pPr>
    </w:p>
    <w:p w:rsidR="00D0213E" w:rsidRDefault="00D0213E" w:rsidP="00D0213E">
      <w:pPr>
        <w:spacing w:before="0"/>
      </w:pPr>
    </w:p>
    <w:p w:rsidR="00D0213E" w:rsidRDefault="00D0213E" w:rsidP="00D0213E">
      <w:pPr>
        <w:spacing w:before="0"/>
      </w:pPr>
    </w:p>
    <w:p w:rsidR="00D0213E" w:rsidRPr="002159A4" w:rsidRDefault="00D0213E" w:rsidP="00D0213E">
      <w:pPr>
        <w:spacing w:before="0"/>
        <w:rPr>
          <w:b/>
        </w:rPr>
      </w:pPr>
      <w:r>
        <w:rPr>
          <w:b/>
        </w:rPr>
        <w:t>T</w:t>
      </w:r>
      <w:r w:rsidRPr="002159A4">
        <w:rPr>
          <w:b/>
        </w:rPr>
        <w:t xml:space="preserve">ransition map to </w:t>
      </w:r>
      <w:r>
        <w:rPr>
          <w:b/>
        </w:rPr>
        <w:t xml:space="preserve">nil </w:t>
      </w:r>
      <w:r w:rsidRPr="002159A4">
        <w:rPr>
          <w:b/>
        </w:rPr>
        <w:t>or low</w:t>
      </w:r>
      <w:r>
        <w:rPr>
          <w:b/>
        </w:rPr>
        <w:t>er</w:t>
      </w:r>
      <w:r w:rsidRPr="002159A4">
        <w:rPr>
          <w:b/>
        </w:rPr>
        <w:t xml:space="preserve"> GWP options for main equipment classes and </w:t>
      </w:r>
      <w:r>
        <w:rPr>
          <w:b/>
        </w:rPr>
        <w:t xml:space="preserve">technologies </w:t>
      </w:r>
      <w:r w:rsidRPr="00FA2337">
        <w:rPr>
          <w:b/>
        </w:rPr>
        <w:t>(continued)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00"/>
        <w:gridCol w:w="893"/>
        <w:gridCol w:w="236"/>
        <w:gridCol w:w="1649"/>
        <w:gridCol w:w="851"/>
        <w:gridCol w:w="1275"/>
        <w:gridCol w:w="6237"/>
      </w:tblGrid>
      <w:tr w:rsidR="00D0213E" w:rsidRPr="002159A4" w:rsidTr="00D0213E">
        <w:tc>
          <w:tcPr>
            <w:tcW w:w="1900" w:type="dxa"/>
            <w:tcBorders>
              <w:righ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Current options</w:t>
            </w:r>
          </w:p>
        </w:tc>
        <w:tc>
          <w:tcPr>
            <w:tcW w:w="893" w:type="dxa"/>
            <w:tcBorders>
              <w:left w:val="single" w:sz="4" w:space="0" w:color="FFFFFF"/>
              <w:right w:val="single" w:sz="4" w:space="0" w:color="FFFFFF"/>
            </w:tcBorders>
            <w:shd w:val="clear" w:color="auto" w:fill="000000"/>
            <w:vAlign w:val="center"/>
          </w:tcPr>
          <w:p w:rsidR="00D0213E" w:rsidRDefault="00D0213E" w:rsidP="00D0213E">
            <w:pPr>
              <w:spacing w:before="0"/>
              <w:jc w:val="center"/>
              <w:outlineLvl w:val="0"/>
              <w:rPr>
                <w:sz w:val="20"/>
                <w:szCs w:val="12"/>
                <w:lang w:val="en-AU"/>
              </w:rPr>
            </w:pPr>
            <w:r w:rsidRPr="002159A4">
              <w:rPr>
                <w:sz w:val="20"/>
                <w:szCs w:val="12"/>
                <w:lang w:val="en-AU"/>
              </w:rPr>
              <w:t>GWP</w:t>
            </w:r>
          </w:p>
          <w:p w:rsidR="00D0213E" w:rsidRPr="002159A4" w:rsidRDefault="00D0213E" w:rsidP="00D0213E">
            <w:pPr>
              <w:spacing w:before="0"/>
              <w:jc w:val="center"/>
              <w:outlineLvl w:val="0"/>
              <w:rPr>
                <w:sz w:val="20"/>
                <w:szCs w:val="12"/>
                <w:lang w:val="en-AU"/>
              </w:rPr>
            </w:pPr>
            <w:r>
              <w:rPr>
                <w:sz w:val="20"/>
                <w:szCs w:val="12"/>
                <w:lang w:val="en-AU"/>
              </w:rPr>
              <w:t>(AR4)</w:t>
            </w:r>
          </w:p>
        </w:tc>
        <w:tc>
          <w:tcPr>
            <w:tcW w:w="236" w:type="dxa"/>
            <w:tcBorders>
              <w:left w:val="single" w:sz="4" w:space="0" w:color="FFFFFF"/>
              <w:right w:val="single" w:sz="4" w:space="0" w:color="FFFFFF"/>
            </w:tcBorders>
            <w:shd w:val="clear" w:color="auto" w:fill="CCCCCC"/>
          </w:tcPr>
          <w:p w:rsidR="00D0213E" w:rsidRPr="002159A4" w:rsidRDefault="00D0213E" w:rsidP="00D0213E">
            <w:pPr>
              <w:spacing w:before="0"/>
              <w:outlineLvl w:val="0"/>
              <w:rPr>
                <w:sz w:val="20"/>
                <w:szCs w:val="12"/>
                <w:lang w:val="en-AU"/>
              </w:rPr>
            </w:pPr>
          </w:p>
        </w:tc>
        <w:tc>
          <w:tcPr>
            <w:tcW w:w="1649" w:type="dxa"/>
            <w:tcBorders>
              <w:left w:val="single" w:sz="4" w:space="0" w:color="FFFFFF"/>
              <w:righ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Low</w:t>
            </w:r>
            <w:r>
              <w:rPr>
                <w:sz w:val="20"/>
                <w:szCs w:val="12"/>
                <w:lang w:val="en-AU"/>
              </w:rPr>
              <w:t>er</w:t>
            </w:r>
            <w:r w:rsidRPr="002159A4">
              <w:rPr>
                <w:sz w:val="20"/>
                <w:szCs w:val="12"/>
                <w:lang w:val="en-AU"/>
              </w:rPr>
              <w:t xml:space="preserve"> GWP options</w:t>
            </w:r>
          </w:p>
        </w:tc>
        <w:tc>
          <w:tcPr>
            <w:tcW w:w="851" w:type="dxa"/>
            <w:tcBorders>
              <w:left w:val="single" w:sz="4" w:space="0" w:color="FFFFFF"/>
              <w:right w:val="single" w:sz="4" w:space="0" w:color="FFFFFF"/>
            </w:tcBorders>
            <w:shd w:val="clear" w:color="auto" w:fill="000000"/>
            <w:vAlign w:val="center"/>
          </w:tcPr>
          <w:p w:rsidR="00D0213E" w:rsidRPr="002159A4" w:rsidRDefault="00D0213E" w:rsidP="00D0213E">
            <w:pPr>
              <w:spacing w:before="0"/>
              <w:jc w:val="center"/>
              <w:outlineLvl w:val="0"/>
              <w:rPr>
                <w:sz w:val="20"/>
                <w:szCs w:val="12"/>
                <w:lang w:val="en-AU"/>
              </w:rPr>
            </w:pPr>
            <w:r w:rsidRPr="002159A4">
              <w:rPr>
                <w:sz w:val="20"/>
                <w:szCs w:val="12"/>
                <w:lang w:val="en-AU"/>
              </w:rPr>
              <w:t>GWP</w:t>
            </w:r>
          </w:p>
        </w:tc>
        <w:tc>
          <w:tcPr>
            <w:tcW w:w="1275" w:type="dxa"/>
            <w:tcBorders>
              <w:left w:val="single" w:sz="4" w:space="0" w:color="FFFFFF"/>
              <w:righ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Equipment replacement</w:t>
            </w:r>
          </w:p>
        </w:tc>
        <w:tc>
          <w:tcPr>
            <w:tcW w:w="6237" w:type="dxa"/>
            <w:tcBorders>
              <w:lef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Comments</w:t>
            </w:r>
          </w:p>
        </w:tc>
      </w:tr>
      <w:tr w:rsidR="00D0213E" w:rsidRPr="002159A4" w:rsidTr="00D0213E">
        <w:tc>
          <w:tcPr>
            <w:tcW w:w="13041" w:type="dxa"/>
            <w:gridSpan w:val="7"/>
          </w:tcPr>
          <w:p w:rsidR="00D0213E" w:rsidRPr="00763C3E" w:rsidRDefault="00D0213E" w:rsidP="00D0213E">
            <w:pPr>
              <w:jc w:val="left"/>
              <w:rPr>
                <w:b/>
                <w:sz w:val="20"/>
              </w:rPr>
            </w:pPr>
            <w:r>
              <w:rPr>
                <w:b/>
                <w:sz w:val="20"/>
              </w:rPr>
              <w:t xml:space="preserve">Large AC: </w:t>
            </w:r>
            <w:r w:rsidRPr="002159A4">
              <w:rPr>
                <w:b/>
                <w:sz w:val="20"/>
              </w:rPr>
              <w:t>Stationary air conditioning: chillers</w:t>
            </w:r>
          </w:p>
        </w:tc>
      </w:tr>
      <w:tr w:rsidR="00D0213E" w:rsidRPr="002159A4" w:rsidTr="00D0213E">
        <w:tc>
          <w:tcPr>
            <w:tcW w:w="1900" w:type="dxa"/>
            <w:tcBorders>
              <w:bottom w:val="nil"/>
            </w:tcBorders>
          </w:tcPr>
          <w:p w:rsidR="00D0213E" w:rsidRDefault="00D0213E" w:rsidP="00D0213E">
            <w:pPr>
              <w:spacing w:before="0"/>
              <w:jc w:val="left"/>
              <w:rPr>
                <w:sz w:val="20"/>
              </w:rPr>
            </w:pPr>
            <w:r w:rsidRPr="002159A4">
              <w:rPr>
                <w:sz w:val="20"/>
              </w:rPr>
              <w:t>HFC-134a</w:t>
            </w:r>
          </w:p>
          <w:p w:rsidR="00D0213E" w:rsidRDefault="00D0213E" w:rsidP="00D0213E">
            <w:pPr>
              <w:spacing w:before="0"/>
              <w:jc w:val="left"/>
              <w:rPr>
                <w:sz w:val="20"/>
              </w:rPr>
            </w:pPr>
          </w:p>
          <w:p w:rsidR="00D0213E" w:rsidRPr="002159A4" w:rsidRDefault="00D0213E" w:rsidP="00D0213E">
            <w:pPr>
              <w:spacing w:before="0"/>
              <w:jc w:val="left"/>
              <w:rPr>
                <w:sz w:val="20"/>
              </w:rPr>
            </w:pPr>
            <w:r>
              <w:rPr>
                <w:sz w:val="20"/>
              </w:rPr>
              <w:t>HFC-410A</w:t>
            </w:r>
          </w:p>
        </w:tc>
        <w:tc>
          <w:tcPr>
            <w:tcW w:w="893" w:type="dxa"/>
            <w:tcBorders>
              <w:bottom w:val="nil"/>
              <w:right w:val="single" w:sz="4" w:space="0" w:color="auto"/>
            </w:tcBorders>
          </w:tcPr>
          <w:p w:rsidR="00D0213E" w:rsidRDefault="00D0213E" w:rsidP="00D0213E">
            <w:pPr>
              <w:spacing w:before="0"/>
              <w:jc w:val="center"/>
              <w:rPr>
                <w:sz w:val="20"/>
              </w:rPr>
            </w:pPr>
            <w:r>
              <w:rPr>
                <w:sz w:val="20"/>
              </w:rPr>
              <w:t>1430</w:t>
            </w:r>
          </w:p>
          <w:p w:rsidR="00D0213E" w:rsidRDefault="00D0213E" w:rsidP="00D0213E">
            <w:pPr>
              <w:spacing w:before="0"/>
              <w:jc w:val="center"/>
              <w:rPr>
                <w:sz w:val="20"/>
              </w:rPr>
            </w:pPr>
          </w:p>
          <w:p w:rsidR="00D0213E" w:rsidRPr="002159A4" w:rsidRDefault="00D0213E" w:rsidP="00D0213E">
            <w:pPr>
              <w:spacing w:before="0"/>
              <w:jc w:val="center"/>
              <w:rPr>
                <w:sz w:val="20"/>
              </w:rPr>
            </w:pPr>
            <w:r>
              <w:rPr>
                <w:sz w:val="20"/>
              </w:rPr>
              <w:t>2088</w:t>
            </w:r>
          </w:p>
        </w:tc>
        <w:tc>
          <w:tcPr>
            <w:tcW w:w="236" w:type="dxa"/>
            <w:tcBorders>
              <w:top w:val="single" w:sz="4" w:space="0" w:color="auto"/>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HFO-1234</w:t>
            </w:r>
          </w:p>
        </w:tc>
        <w:tc>
          <w:tcPr>
            <w:tcW w:w="851" w:type="dxa"/>
          </w:tcPr>
          <w:p w:rsidR="00D0213E" w:rsidRPr="002159A4" w:rsidRDefault="00D0213E" w:rsidP="00D0213E">
            <w:pPr>
              <w:spacing w:before="0"/>
              <w:jc w:val="center"/>
              <w:rPr>
                <w:sz w:val="20"/>
              </w:rPr>
            </w:pPr>
            <w:r w:rsidRPr="002159A4">
              <w:rPr>
                <w:sz w:val="20"/>
              </w:rPr>
              <w:t>6</w:t>
            </w:r>
          </w:p>
        </w:tc>
        <w:tc>
          <w:tcPr>
            <w:tcW w:w="1275" w:type="dxa"/>
          </w:tcPr>
          <w:p w:rsidR="00D0213E" w:rsidRPr="002159A4" w:rsidRDefault="00D0213E" w:rsidP="00D0213E">
            <w:pPr>
              <w:spacing w:before="0"/>
              <w:jc w:val="center"/>
              <w:rPr>
                <w:sz w:val="20"/>
              </w:rPr>
            </w:pPr>
            <w:r w:rsidRPr="002159A4">
              <w:rPr>
                <w:sz w:val="20"/>
              </w:rPr>
              <w:t>Yes</w:t>
            </w:r>
          </w:p>
        </w:tc>
        <w:tc>
          <w:tcPr>
            <w:tcW w:w="6237" w:type="dxa"/>
            <w:vAlign w:val="bottom"/>
          </w:tcPr>
          <w:p w:rsidR="00D0213E" w:rsidRPr="002159A4" w:rsidRDefault="00D0213E" w:rsidP="00D0213E">
            <w:pPr>
              <w:spacing w:before="0"/>
              <w:jc w:val="left"/>
              <w:rPr>
                <w:sz w:val="20"/>
              </w:rPr>
            </w:pPr>
            <w:r w:rsidRPr="002159A4">
              <w:rPr>
                <w:sz w:val="20"/>
              </w:rPr>
              <w:t>Techno</w:t>
            </w:r>
            <w:r>
              <w:rPr>
                <w:sz w:val="20"/>
              </w:rPr>
              <w:t>logy path for new equipment in 1 to 3</w:t>
            </w:r>
            <w:r w:rsidRPr="002159A4">
              <w:rPr>
                <w:sz w:val="20"/>
              </w:rPr>
              <w:t xml:space="preserve"> years</w:t>
            </w:r>
            <w:r>
              <w:rPr>
                <w:sz w:val="20"/>
              </w:rPr>
              <w:t>. T</w:t>
            </w:r>
            <w:r w:rsidRPr="002159A4">
              <w:rPr>
                <w:sz w:val="20"/>
              </w:rPr>
              <w:t xml:space="preserve">raining </w:t>
            </w:r>
            <w:r>
              <w:rPr>
                <w:sz w:val="20"/>
              </w:rPr>
              <w:t xml:space="preserve">in handling mildly flammable refrigerants </w:t>
            </w:r>
            <w:r w:rsidRPr="002159A4">
              <w:rPr>
                <w:sz w:val="20"/>
              </w:rPr>
              <w:t>required</w:t>
            </w:r>
            <w:r>
              <w:rPr>
                <w:sz w:val="20"/>
              </w:rPr>
              <w:t xml:space="preserve"> and increased costs arising from s</w:t>
            </w:r>
            <w:r w:rsidRPr="00546B43">
              <w:rPr>
                <w:sz w:val="20"/>
              </w:rPr>
              <w:t xml:space="preserve">afety </w:t>
            </w:r>
            <w:r>
              <w:rPr>
                <w:sz w:val="20"/>
              </w:rPr>
              <w:t>c</w:t>
            </w:r>
            <w:r w:rsidRPr="00546B43">
              <w:rPr>
                <w:sz w:val="20"/>
              </w:rPr>
              <w:t>ompliance</w:t>
            </w:r>
            <w:r>
              <w:rPr>
                <w:sz w:val="20"/>
              </w:rPr>
              <w:t xml:space="preserve">, and additional ventilation and </w:t>
            </w:r>
            <w:r w:rsidRPr="00546B43">
              <w:rPr>
                <w:sz w:val="20"/>
              </w:rPr>
              <w:t>leak detection</w:t>
            </w:r>
            <w:r>
              <w:rPr>
                <w:sz w:val="20"/>
              </w:rPr>
              <w:t xml:space="preserve"> in plant rooms</w:t>
            </w:r>
          </w:p>
        </w:tc>
      </w:tr>
      <w:tr w:rsidR="00D0213E" w:rsidRPr="002159A4" w:rsidTr="00D0213E">
        <w:tc>
          <w:tcPr>
            <w:tcW w:w="1900" w:type="dxa"/>
            <w:tcBorders>
              <w:top w:val="nil"/>
              <w:bottom w:val="nil"/>
            </w:tcBorders>
          </w:tcPr>
          <w:p w:rsidR="00D0213E" w:rsidRDefault="00D0213E" w:rsidP="00D0213E">
            <w:pPr>
              <w:spacing w:before="0"/>
              <w:jc w:val="left"/>
              <w:rPr>
                <w:sz w:val="20"/>
              </w:rPr>
            </w:pPr>
            <w:r w:rsidRPr="002159A4">
              <w:rPr>
                <w:sz w:val="20"/>
              </w:rPr>
              <w:t>HFC-407C</w:t>
            </w:r>
          </w:p>
          <w:p w:rsidR="00D0213E" w:rsidRPr="002159A4" w:rsidRDefault="00D0213E" w:rsidP="00D0213E">
            <w:pPr>
              <w:spacing w:before="0"/>
              <w:jc w:val="left"/>
              <w:rPr>
                <w:sz w:val="20"/>
              </w:rPr>
            </w:pPr>
          </w:p>
        </w:tc>
        <w:tc>
          <w:tcPr>
            <w:tcW w:w="893" w:type="dxa"/>
            <w:tcBorders>
              <w:top w:val="nil"/>
              <w:bottom w:val="nil"/>
              <w:right w:val="single" w:sz="4" w:space="0" w:color="auto"/>
            </w:tcBorders>
          </w:tcPr>
          <w:p w:rsidR="00D0213E" w:rsidRDefault="00D0213E" w:rsidP="00D0213E">
            <w:pPr>
              <w:spacing w:before="0"/>
              <w:jc w:val="center"/>
              <w:rPr>
                <w:sz w:val="20"/>
              </w:rPr>
            </w:pPr>
            <w:r>
              <w:rPr>
                <w:sz w:val="20"/>
              </w:rPr>
              <w:t>1774</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Pr>
                <w:sz w:val="20"/>
              </w:rPr>
              <w:t>HFO-1233zd</w:t>
            </w:r>
          </w:p>
        </w:tc>
        <w:tc>
          <w:tcPr>
            <w:tcW w:w="851" w:type="dxa"/>
          </w:tcPr>
          <w:p w:rsidR="00D0213E" w:rsidRDefault="00D0213E" w:rsidP="00D0213E">
            <w:pPr>
              <w:spacing w:before="0"/>
              <w:jc w:val="center"/>
              <w:rPr>
                <w:sz w:val="20"/>
              </w:rPr>
            </w:pPr>
            <w:r>
              <w:rPr>
                <w:sz w:val="20"/>
              </w:rPr>
              <w:t>&gt;7</w:t>
            </w:r>
          </w:p>
        </w:tc>
        <w:tc>
          <w:tcPr>
            <w:tcW w:w="1275" w:type="dxa"/>
          </w:tcPr>
          <w:p w:rsidR="00D0213E" w:rsidRPr="002159A4" w:rsidRDefault="00D0213E" w:rsidP="00D0213E">
            <w:pPr>
              <w:spacing w:before="0"/>
              <w:jc w:val="center"/>
              <w:rPr>
                <w:sz w:val="20"/>
              </w:rPr>
            </w:pPr>
            <w:r>
              <w:rPr>
                <w:sz w:val="20"/>
              </w:rPr>
              <w:t>Yes</w:t>
            </w:r>
          </w:p>
        </w:tc>
        <w:tc>
          <w:tcPr>
            <w:tcW w:w="6237" w:type="dxa"/>
          </w:tcPr>
          <w:p w:rsidR="00D0213E" w:rsidRPr="002159A4" w:rsidRDefault="00D0213E" w:rsidP="00D0213E">
            <w:pPr>
              <w:spacing w:before="0"/>
              <w:jc w:val="left"/>
              <w:rPr>
                <w:sz w:val="20"/>
              </w:rPr>
            </w:pPr>
            <w:r w:rsidRPr="002159A4">
              <w:rPr>
                <w:sz w:val="20"/>
              </w:rPr>
              <w:t>Techno</w:t>
            </w:r>
            <w:r>
              <w:rPr>
                <w:sz w:val="20"/>
              </w:rPr>
              <w:t>logy path for new equipment in 1 to 3</w:t>
            </w:r>
            <w:r w:rsidRPr="002159A4">
              <w:rPr>
                <w:sz w:val="20"/>
              </w:rPr>
              <w:t xml:space="preserve"> years</w:t>
            </w:r>
            <w:r>
              <w:rPr>
                <w:sz w:val="20"/>
              </w:rPr>
              <w:t xml:space="preserve">. </w:t>
            </w:r>
            <w:r w:rsidRPr="00546B43">
              <w:rPr>
                <w:sz w:val="20"/>
              </w:rPr>
              <w:t>Being non-flammable</w:t>
            </w:r>
            <w:r>
              <w:rPr>
                <w:sz w:val="20"/>
              </w:rPr>
              <w:t xml:space="preserve"> </w:t>
            </w:r>
            <w:r w:rsidRPr="00546B43">
              <w:rPr>
                <w:sz w:val="20"/>
              </w:rPr>
              <w:t>and having a moderate cost, this refrigerant is on a fast track for adoption</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r>
              <w:rPr>
                <w:sz w:val="20"/>
              </w:rPr>
              <w:t>HCFC-123</w:t>
            </w:r>
          </w:p>
        </w:tc>
        <w:tc>
          <w:tcPr>
            <w:tcW w:w="893" w:type="dxa"/>
            <w:tcBorders>
              <w:top w:val="nil"/>
              <w:bottom w:val="nil"/>
              <w:right w:val="single" w:sz="4" w:space="0" w:color="auto"/>
            </w:tcBorders>
          </w:tcPr>
          <w:p w:rsidR="00D0213E" w:rsidRDefault="00D0213E" w:rsidP="00D0213E">
            <w:pPr>
              <w:spacing w:before="0"/>
              <w:jc w:val="center"/>
              <w:rPr>
                <w:sz w:val="20"/>
              </w:rPr>
            </w:pPr>
            <w:r>
              <w:rPr>
                <w:sz w:val="20"/>
              </w:rPr>
              <w:t>77</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HFO blends</w:t>
            </w:r>
          </w:p>
        </w:tc>
        <w:tc>
          <w:tcPr>
            <w:tcW w:w="851" w:type="dxa"/>
          </w:tcPr>
          <w:p w:rsidR="00D0213E" w:rsidRDefault="00D0213E" w:rsidP="00D0213E">
            <w:pPr>
              <w:spacing w:before="0"/>
              <w:jc w:val="center"/>
              <w:rPr>
                <w:sz w:val="20"/>
              </w:rPr>
            </w:pPr>
            <w:r>
              <w:rPr>
                <w:sz w:val="20"/>
              </w:rPr>
              <w:t>~600</w:t>
            </w:r>
          </w:p>
        </w:tc>
        <w:tc>
          <w:tcPr>
            <w:tcW w:w="1275" w:type="dxa"/>
          </w:tcPr>
          <w:p w:rsidR="00D0213E" w:rsidRPr="002159A4" w:rsidRDefault="00D0213E" w:rsidP="00D0213E">
            <w:pPr>
              <w:spacing w:before="0"/>
              <w:jc w:val="center"/>
              <w:rPr>
                <w:sz w:val="20"/>
              </w:rPr>
            </w:pPr>
            <w:r w:rsidRPr="002159A4">
              <w:rPr>
                <w:sz w:val="20"/>
              </w:rPr>
              <w:t>No</w:t>
            </w:r>
          </w:p>
        </w:tc>
        <w:tc>
          <w:tcPr>
            <w:tcW w:w="6237" w:type="dxa"/>
          </w:tcPr>
          <w:p w:rsidR="00D0213E" w:rsidRPr="002159A4" w:rsidRDefault="00D0213E" w:rsidP="00D0213E">
            <w:pPr>
              <w:spacing w:before="0"/>
              <w:jc w:val="left"/>
              <w:rPr>
                <w:sz w:val="20"/>
              </w:rPr>
            </w:pPr>
            <w:r>
              <w:rPr>
                <w:sz w:val="20"/>
              </w:rPr>
              <w:t>Potential t</w:t>
            </w:r>
            <w:r w:rsidRPr="002159A4">
              <w:rPr>
                <w:sz w:val="20"/>
              </w:rPr>
              <w:t>echnology path for existing bank and new equipment in less than 3 years</w:t>
            </w:r>
            <w:r>
              <w:rPr>
                <w:sz w:val="20"/>
              </w:rPr>
              <w:t xml:space="preserve"> </w:t>
            </w:r>
            <w:r w:rsidRPr="002159A4">
              <w:rPr>
                <w:sz w:val="20"/>
              </w:rPr>
              <w:t>(</w:t>
            </w:r>
            <w:r>
              <w:rPr>
                <w:sz w:val="20"/>
              </w:rPr>
              <w:t xml:space="preserve">Class 1, </w:t>
            </w:r>
            <w:r w:rsidRPr="002159A4">
              <w:rPr>
                <w:sz w:val="20"/>
              </w:rPr>
              <w:t>HFC-</w:t>
            </w:r>
            <w:r>
              <w:rPr>
                <w:sz w:val="20"/>
              </w:rPr>
              <w:t>134a</w:t>
            </w:r>
            <w:r w:rsidRPr="002159A4">
              <w:rPr>
                <w:sz w:val="20"/>
              </w:rPr>
              <w:t xml:space="preserve"> replacement)</w:t>
            </w:r>
          </w:p>
        </w:tc>
      </w:tr>
      <w:tr w:rsidR="00D0213E" w:rsidRPr="002159A4" w:rsidTr="00D0213E">
        <w:tc>
          <w:tcPr>
            <w:tcW w:w="1900" w:type="dxa"/>
            <w:tcBorders>
              <w:top w:val="nil"/>
              <w:bottom w:val="nil"/>
            </w:tcBorders>
          </w:tcPr>
          <w:p w:rsidR="00D0213E" w:rsidRDefault="00D0213E" w:rsidP="00D0213E">
            <w:pPr>
              <w:spacing w:before="0"/>
              <w:jc w:val="left"/>
              <w:rPr>
                <w:sz w:val="20"/>
              </w:rPr>
            </w:pPr>
            <w:r w:rsidRPr="002159A4">
              <w:rPr>
                <w:sz w:val="20"/>
              </w:rPr>
              <w:t>Ammonia (R717)</w:t>
            </w:r>
          </w:p>
          <w:p w:rsidR="00D0213E" w:rsidRDefault="00D0213E" w:rsidP="00D0213E">
            <w:pPr>
              <w:spacing w:before="0"/>
              <w:jc w:val="left"/>
              <w:rPr>
                <w:sz w:val="20"/>
              </w:rPr>
            </w:pPr>
          </w:p>
          <w:p w:rsidR="00D0213E" w:rsidRPr="002159A4" w:rsidRDefault="00D0213E" w:rsidP="00D0213E">
            <w:pPr>
              <w:spacing w:before="0"/>
              <w:jc w:val="left"/>
              <w:rPr>
                <w:sz w:val="20"/>
              </w:rPr>
            </w:pPr>
            <w:r w:rsidRPr="002159A4">
              <w:rPr>
                <w:sz w:val="20"/>
              </w:rPr>
              <w:t>Absorption chillers</w:t>
            </w:r>
          </w:p>
        </w:tc>
        <w:tc>
          <w:tcPr>
            <w:tcW w:w="893" w:type="dxa"/>
            <w:tcBorders>
              <w:top w:val="nil"/>
              <w:bottom w:val="nil"/>
              <w:right w:val="single" w:sz="4" w:space="0" w:color="auto"/>
            </w:tcBorders>
          </w:tcPr>
          <w:p w:rsidR="00D0213E" w:rsidRDefault="00D0213E" w:rsidP="00D0213E">
            <w:pPr>
              <w:spacing w:before="0"/>
              <w:jc w:val="center"/>
              <w:rPr>
                <w:sz w:val="20"/>
              </w:rPr>
            </w:pPr>
            <w:r w:rsidRPr="002159A4">
              <w:rPr>
                <w:sz w:val="20"/>
              </w:rPr>
              <w:t>0</w:t>
            </w:r>
          </w:p>
          <w:p w:rsidR="00D0213E" w:rsidRDefault="00D0213E" w:rsidP="00D0213E">
            <w:pPr>
              <w:spacing w:before="0"/>
              <w:jc w:val="center"/>
              <w:rPr>
                <w:sz w:val="20"/>
              </w:rPr>
            </w:pPr>
          </w:p>
          <w:p w:rsidR="00D0213E" w:rsidRPr="002159A4" w:rsidRDefault="00D0213E" w:rsidP="00D0213E">
            <w:pPr>
              <w:spacing w:before="0"/>
              <w:jc w:val="center"/>
              <w:rPr>
                <w:sz w:val="20"/>
              </w:rPr>
            </w:pPr>
            <w:r>
              <w:rPr>
                <w:sz w:val="20"/>
              </w:rPr>
              <w:t>0</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HFO blends</w:t>
            </w:r>
          </w:p>
        </w:tc>
        <w:tc>
          <w:tcPr>
            <w:tcW w:w="851" w:type="dxa"/>
          </w:tcPr>
          <w:p w:rsidR="00D0213E" w:rsidRPr="002159A4" w:rsidRDefault="00D0213E" w:rsidP="00D0213E">
            <w:pPr>
              <w:spacing w:before="0"/>
              <w:jc w:val="center"/>
              <w:rPr>
                <w:sz w:val="20"/>
              </w:rPr>
            </w:pPr>
            <w:r>
              <w:rPr>
                <w:sz w:val="20"/>
              </w:rPr>
              <w:t>&gt;</w:t>
            </w:r>
            <w:r w:rsidRPr="002159A4">
              <w:rPr>
                <w:sz w:val="20"/>
              </w:rPr>
              <w:t>300</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w:t>
            </w:r>
            <w:r>
              <w:rPr>
                <w:sz w:val="20"/>
              </w:rPr>
              <w:t xml:space="preserve"> based on HFC-410A designs. T</w:t>
            </w:r>
            <w:r w:rsidRPr="002159A4">
              <w:rPr>
                <w:sz w:val="20"/>
              </w:rPr>
              <w:t xml:space="preserve">raining </w:t>
            </w:r>
            <w:r>
              <w:rPr>
                <w:sz w:val="20"/>
              </w:rPr>
              <w:t xml:space="preserve">in handling mildly flammable refrigerants </w:t>
            </w:r>
            <w:r w:rsidRPr="002159A4">
              <w:rPr>
                <w:sz w:val="20"/>
              </w:rPr>
              <w:t>required</w:t>
            </w:r>
            <w:r>
              <w:rPr>
                <w:sz w:val="20"/>
              </w:rPr>
              <w:t xml:space="preserve"> and application restrictions based on charges size. E</w:t>
            </w:r>
            <w:r w:rsidRPr="002159A4">
              <w:rPr>
                <w:sz w:val="20"/>
              </w:rPr>
              <w:t>fficiency performance</w:t>
            </w:r>
            <w:r>
              <w:rPr>
                <w:sz w:val="20"/>
              </w:rPr>
              <w:t>, mild flammability,</w:t>
            </w:r>
            <w:r w:rsidRPr="002159A4">
              <w:rPr>
                <w:sz w:val="20"/>
              </w:rPr>
              <w:t xml:space="preserve"> </w:t>
            </w:r>
            <w:r>
              <w:rPr>
                <w:sz w:val="20"/>
              </w:rPr>
              <w:t xml:space="preserve">and other characteristics are </w:t>
            </w:r>
            <w:r w:rsidRPr="002159A4">
              <w:rPr>
                <w:sz w:val="20"/>
              </w:rPr>
              <w:t xml:space="preserve">under examination versus </w:t>
            </w:r>
            <w:r>
              <w:rPr>
                <w:sz w:val="20"/>
              </w:rPr>
              <w:t>GWP and risk</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p>
        </w:tc>
        <w:tc>
          <w:tcPr>
            <w:tcW w:w="893" w:type="dxa"/>
            <w:tcBorders>
              <w:top w:val="nil"/>
              <w:bottom w:val="nil"/>
              <w:right w:val="single" w:sz="4" w:space="0" w:color="auto"/>
            </w:tcBorders>
          </w:tcPr>
          <w:p w:rsidR="00D0213E" w:rsidRPr="002159A4" w:rsidRDefault="00D0213E" w:rsidP="00D0213E">
            <w:pPr>
              <w:spacing w:before="0"/>
              <w:jc w:val="center"/>
              <w:rPr>
                <w:sz w:val="20"/>
              </w:rPr>
            </w:pP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HFC-32</w:t>
            </w:r>
          </w:p>
        </w:tc>
        <w:tc>
          <w:tcPr>
            <w:tcW w:w="851" w:type="dxa"/>
          </w:tcPr>
          <w:p w:rsidR="00D0213E" w:rsidRPr="002159A4" w:rsidRDefault="00D0213E" w:rsidP="00D0213E">
            <w:pPr>
              <w:spacing w:before="0"/>
              <w:jc w:val="center"/>
              <w:rPr>
                <w:sz w:val="20"/>
              </w:rPr>
            </w:pPr>
            <w:r>
              <w:rPr>
                <w:sz w:val="20"/>
              </w:rPr>
              <w:t>675</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w:t>
            </w:r>
            <w:r>
              <w:rPr>
                <w:sz w:val="20"/>
              </w:rPr>
              <w:t xml:space="preserve"> based on HFC-410A designs. T</w:t>
            </w:r>
            <w:r w:rsidRPr="002159A4">
              <w:rPr>
                <w:sz w:val="20"/>
              </w:rPr>
              <w:t xml:space="preserve">raining </w:t>
            </w:r>
            <w:r>
              <w:rPr>
                <w:sz w:val="20"/>
              </w:rPr>
              <w:t xml:space="preserve">in handling mildly flammable refrigerants </w:t>
            </w:r>
            <w:r w:rsidRPr="002159A4">
              <w:rPr>
                <w:sz w:val="20"/>
              </w:rPr>
              <w:t>required</w:t>
            </w:r>
            <w:r>
              <w:rPr>
                <w:sz w:val="20"/>
              </w:rPr>
              <w:t xml:space="preserve"> and application restrictions based on charges size. Risk assessment currently being undertaken</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p>
        </w:tc>
        <w:tc>
          <w:tcPr>
            <w:tcW w:w="893" w:type="dxa"/>
            <w:tcBorders>
              <w:top w:val="nil"/>
              <w:bottom w:val="nil"/>
              <w:right w:val="single" w:sz="4" w:space="0" w:color="auto"/>
            </w:tcBorders>
          </w:tcPr>
          <w:p w:rsidR="00D0213E" w:rsidRPr="002159A4" w:rsidRDefault="00D0213E" w:rsidP="00D0213E">
            <w:pPr>
              <w:spacing w:before="0"/>
              <w:jc w:val="center"/>
              <w:rPr>
                <w:sz w:val="20"/>
              </w:rPr>
            </w:pP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Hydrocarbon</w:t>
            </w:r>
          </w:p>
        </w:tc>
        <w:tc>
          <w:tcPr>
            <w:tcW w:w="851" w:type="dxa"/>
          </w:tcPr>
          <w:p w:rsidR="00D0213E" w:rsidRPr="002159A4" w:rsidRDefault="00D0213E" w:rsidP="00D0213E">
            <w:pPr>
              <w:spacing w:before="0"/>
              <w:jc w:val="center"/>
              <w:rPr>
                <w:sz w:val="20"/>
              </w:rPr>
            </w:pPr>
            <w:r w:rsidRPr="002159A4">
              <w:rPr>
                <w:sz w:val="20"/>
              </w:rPr>
              <w:t>3</w:t>
            </w:r>
          </w:p>
        </w:tc>
        <w:tc>
          <w:tcPr>
            <w:tcW w:w="1275" w:type="dxa"/>
          </w:tcPr>
          <w:p w:rsidR="00D0213E" w:rsidRPr="002159A4" w:rsidRDefault="00D0213E" w:rsidP="00D0213E">
            <w:pPr>
              <w:spacing w:before="0"/>
              <w:jc w:val="center"/>
              <w:rPr>
                <w:sz w:val="20"/>
              </w:rPr>
            </w:pPr>
            <w:r w:rsidRPr="002159A4">
              <w:rPr>
                <w:sz w:val="20"/>
              </w:rPr>
              <w:t>Yes</w:t>
            </w:r>
          </w:p>
        </w:tc>
        <w:tc>
          <w:tcPr>
            <w:tcW w:w="6237" w:type="dxa"/>
            <w:vAlign w:val="bottom"/>
          </w:tcPr>
          <w:p w:rsidR="00D0213E" w:rsidRPr="002159A4" w:rsidRDefault="00D0213E" w:rsidP="00D0213E">
            <w:pPr>
              <w:spacing w:before="0"/>
              <w:jc w:val="left"/>
              <w:rPr>
                <w:sz w:val="20"/>
              </w:rPr>
            </w:pPr>
            <w:r w:rsidRPr="002159A4">
              <w:rPr>
                <w:sz w:val="20"/>
              </w:rPr>
              <w:t>Technology path for new equipment</w:t>
            </w:r>
            <w:r>
              <w:rPr>
                <w:sz w:val="20"/>
              </w:rPr>
              <w:t xml:space="preserve">, </w:t>
            </w:r>
            <w:r w:rsidRPr="002159A4">
              <w:rPr>
                <w:sz w:val="20"/>
              </w:rPr>
              <w:t xml:space="preserve">training </w:t>
            </w:r>
            <w:r>
              <w:rPr>
                <w:sz w:val="20"/>
              </w:rPr>
              <w:t xml:space="preserve">in handling highly flammable refrigerants </w:t>
            </w:r>
            <w:r w:rsidRPr="002159A4">
              <w:rPr>
                <w:sz w:val="20"/>
              </w:rPr>
              <w:t>required</w:t>
            </w:r>
            <w:r>
              <w:rPr>
                <w:sz w:val="20"/>
              </w:rPr>
              <w:t xml:space="preserve"> and limited applications (charge size restrictions, isolated charge requirements, refer technical standards)</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p>
        </w:tc>
        <w:tc>
          <w:tcPr>
            <w:tcW w:w="893" w:type="dxa"/>
            <w:tcBorders>
              <w:top w:val="nil"/>
              <w:bottom w:val="nil"/>
              <w:right w:val="single" w:sz="4" w:space="0" w:color="auto"/>
            </w:tcBorders>
          </w:tcPr>
          <w:p w:rsidR="00D0213E" w:rsidRPr="002159A4" w:rsidRDefault="00D0213E" w:rsidP="00D0213E">
            <w:pPr>
              <w:spacing w:before="0"/>
              <w:jc w:val="center"/>
              <w:rPr>
                <w:sz w:val="20"/>
              </w:rPr>
            </w:pP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Ammonia (R717)</w:t>
            </w:r>
          </w:p>
        </w:tc>
        <w:tc>
          <w:tcPr>
            <w:tcW w:w="851" w:type="dxa"/>
          </w:tcPr>
          <w:p w:rsidR="00D0213E" w:rsidRPr="002159A4" w:rsidRDefault="00D0213E" w:rsidP="00D0213E">
            <w:pPr>
              <w:spacing w:before="0"/>
              <w:jc w:val="center"/>
              <w:rPr>
                <w:sz w:val="20"/>
              </w:rPr>
            </w:pPr>
            <w:r w:rsidRPr="002159A4">
              <w:rPr>
                <w:sz w:val="20"/>
              </w:rPr>
              <w:t>0</w:t>
            </w:r>
          </w:p>
        </w:tc>
        <w:tc>
          <w:tcPr>
            <w:tcW w:w="1275" w:type="dxa"/>
          </w:tcPr>
          <w:p w:rsidR="00D0213E" w:rsidRPr="002159A4" w:rsidRDefault="00D0213E" w:rsidP="00D0213E">
            <w:pPr>
              <w:spacing w:before="0"/>
              <w:jc w:val="center"/>
              <w:rPr>
                <w:sz w:val="20"/>
              </w:rPr>
            </w:pPr>
            <w:r w:rsidRPr="002159A4">
              <w:rPr>
                <w:sz w:val="20"/>
              </w:rPr>
              <w:t>Yes</w:t>
            </w:r>
          </w:p>
        </w:tc>
        <w:tc>
          <w:tcPr>
            <w:tcW w:w="6237" w:type="dxa"/>
            <w:vAlign w:val="bottom"/>
          </w:tcPr>
          <w:p w:rsidR="00D0213E" w:rsidRPr="002159A4" w:rsidRDefault="00D0213E" w:rsidP="00D0213E">
            <w:pPr>
              <w:spacing w:before="0"/>
              <w:jc w:val="left"/>
              <w:rPr>
                <w:sz w:val="20"/>
              </w:rPr>
            </w:pPr>
            <w:r w:rsidRPr="002159A4">
              <w:rPr>
                <w:sz w:val="20"/>
              </w:rPr>
              <w:t>Technology path for new equipment (safety and training issues) opportunity to transition immediately</w:t>
            </w:r>
            <w:r>
              <w:rPr>
                <w:sz w:val="20"/>
              </w:rPr>
              <w:t xml:space="preserve"> in niche applications</w:t>
            </w:r>
          </w:p>
        </w:tc>
      </w:tr>
      <w:tr w:rsidR="00D0213E" w:rsidRPr="002159A4" w:rsidTr="00D0213E">
        <w:tc>
          <w:tcPr>
            <w:tcW w:w="1900" w:type="dxa"/>
            <w:tcBorders>
              <w:top w:val="nil"/>
            </w:tcBorders>
          </w:tcPr>
          <w:p w:rsidR="00D0213E" w:rsidRPr="002159A4" w:rsidRDefault="00D0213E" w:rsidP="00D0213E">
            <w:pPr>
              <w:spacing w:before="0"/>
              <w:jc w:val="left"/>
              <w:rPr>
                <w:sz w:val="20"/>
              </w:rPr>
            </w:pPr>
          </w:p>
        </w:tc>
        <w:tc>
          <w:tcPr>
            <w:tcW w:w="893" w:type="dxa"/>
            <w:tcBorders>
              <w:top w:val="nil"/>
              <w:right w:val="single" w:sz="4" w:space="0" w:color="auto"/>
            </w:tcBorders>
          </w:tcPr>
          <w:p w:rsidR="00D0213E" w:rsidRPr="002159A4" w:rsidRDefault="00D0213E" w:rsidP="00D0213E">
            <w:pPr>
              <w:spacing w:before="0"/>
              <w:jc w:val="center"/>
              <w:rPr>
                <w:sz w:val="20"/>
              </w:rPr>
            </w:pPr>
          </w:p>
        </w:tc>
        <w:tc>
          <w:tcPr>
            <w:tcW w:w="236" w:type="dxa"/>
            <w:tcBorders>
              <w:top w:val="nil"/>
              <w:left w:val="single" w:sz="4" w:space="0" w:color="auto"/>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Absorption chillers</w:t>
            </w:r>
          </w:p>
        </w:tc>
        <w:tc>
          <w:tcPr>
            <w:tcW w:w="851" w:type="dxa"/>
          </w:tcPr>
          <w:p w:rsidR="00D0213E" w:rsidRPr="002159A4" w:rsidRDefault="00D0213E" w:rsidP="00D0213E">
            <w:pPr>
              <w:spacing w:before="0"/>
              <w:jc w:val="center"/>
              <w:rPr>
                <w:sz w:val="20"/>
              </w:rPr>
            </w:pPr>
            <w:r w:rsidRPr="002159A4">
              <w:rPr>
                <w:sz w:val="20"/>
              </w:rPr>
              <w:t>0</w:t>
            </w:r>
          </w:p>
        </w:tc>
        <w:tc>
          <w:tcPr>
            <w:tcW w:w="1275" w:type="dxa"/>
          </w:tcPr>
          <w:p w:rsidR="00D0213E" w:rsidRPr="002159A4" w:rsidRDefault="00D0213E" w:rsidP="00D0213E">
            <w:pPr>
              <w:spacing w:before="0"/>
              <w:jc w:val="center"/>
              <w:rPr>
                <w:sz w:val="20"/>
              </w:rPr>
            </w:pPr>
            <w:r w:rsidRPr="002159A4">
              <w:rPr>
                <w:sz w:val="20"/>
              </w:rPr>
              <w:t>Yes</w:t>
            </w:r>
          </w:p>
        </w:tc>
        <w:tc>
          <w:tcPr>
            <w:tcW w:w="6237" w:type="dxa"/>
            <w:vAlign w:val="bottom"/>
          </w:tcPr>
          <w:p w:rsidR="00D0213E" w:rsidRPr="002159A4" w:rsidRDefault="00D0213E" w:rsidP="00D0213E">
            <w:pPr>
              <w:spacing w:before="0"/>
              <w:jc w:val="left"/>
              <w:rPr>
                <w:sz w:val="20"/>
              </w:rPr>
            </w:pPr>
            <w:r w:rsidRPr="002159A4">
              <w:rPr>
                <w:sz w:val="20"/>
              </w:rPr>
              <w:t>Technology path for new equipment – particularly in tri-generation systems</w:t>
            </w:r>
          </w:p>
        </w:tc>
      </w:tr>
      <w:tr w:rsidR="00D0213E" w:rsidRPr="002159A4" w:rsidTr="00D0213E">
        <w:tc>
          <w:tcPr>
            <w:tcW w:w="13041" w:type="dxa"/>
            <w:gridSpan w:val="7"/>
          </w:tcPr>
          <w:p w:rsidR="00D0213E" w:rsidRPr="002159A4" w:rsidRDefault="00D0213E" w:rsidP="00D0213E">
            <w:pPr>
              <w:jc w:val="left"/>
              <w:rPr>
                <w:sz w:val="20"/>
              </w:rPr>
            </w:pPr>
            <w:r w:rsidRPr="002159A4">
              <w:rPr>
                <w:b/>
                <w:sz w:val="20"/>
              </w:rPr>
              <w:t>Hot water heat pumps: domestic</w:t>
            </w:r>
          </w:p>
        </w:tc>
      </w:tr>
      <w:tr w:rsidR="00D0213E" w:rsidRPr="002159A4" w:rsidTr="00D0213E">
        <w:tc>
          <w:tcPr>
            <w:tcW w:w="1900" w:type="dxa"/>
            <w:tcBorders>
              <w:bottom w:val="nil"/>
            </w:tcBorders>
          </w:tcPr>
          <w:p w:rsidR="00D0213E" w:rsidRPr="002159A4" w:rsidRDefault="00D0213E" w:rsidP="00D0213E">
            <w:pPr>
              <w:spacing w:before="0"/>
              <w:jc w:val="left"/>
              <w:rPr>
                <w:sz w:val="20"/>
              </w:rPr>
            </w:pPr>
            <w:r w:rsidRPr="002159A4">
              <w:rPr>
                <w:sz w:val="20"/>
              </w:rPr>
              <w:t>HFC-134a</w:t>
            </w:r>
          </w:p>
        </w:tc>
        <w:tc>
          <w:tcPr>
            <w:tcW w:w="893" w:type="dxa"/>
            <w:tcBorders>
              <w:bottom w:val="nil"/>
              <w:right w:val="single" w:sz="4" w:space="0" w:color="auto"/>
            </w:tcBorders>
          </w:tcPr>
          <w:p w:rsidR="00D0213E" w:rsidRPr="002159A4" w:rsidRDefault="00D0213E" w:rsidP="00D0213E">
            <w:pPr>
              <w:spacing w:before="0"/>
              <w:jc w:val="center"/>
              <w:rPr>
                <w:sz w:val="20"/>
              </w:rPr>
            </w:pPr>
            <w:r>
              <w:rPr>
                <w:sz w:val="20"/>
              </w:rPr>
              <w:t>1430</w:t>
            </w:r>
          </w:p>
        </w:tc>
        <w:tc>
          <w:tcPr>
            <w:tcW w:w="236" w:type="dxa"/>
            <w:tcBorders>
              <w:top w:val="single" w:sz="4" w:space="0" w:color="auto"/>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CO</w:t>
            </w:r>
            <w:r w:rsidRPr="002159A4">
              <w:rPr>
                <w:sz w:val="20"/>
                <w:vertAlign w:val="subscript"/>
              </w:rPr>
              <w:t>2</w:t>
            </w:r>
            <w:r w:rsidRPr="002159A4">
              <w:rPr>
                <w:sz w:val="20"/>
              </w:rPr>
              <w:t xml:space="preserve"> </w:t>
            </w:r>
          </w:p>
        </w:tc>
        <w:tc>
          <w:tcPr>
            <w:tcW w:w="851" w:type="dxa"/>
          </w:tcPr>
          <w:p w:rsidR="00D0213E" w:rsidRPr="002159A4" w:rsidRDefault="00D0213E" w:rsidP="00D0213E">
            <w:pPr>
              <w:spacing w:before="0"/>
              <w:jc w:val="center"/>
              <w:rPr>
                <w:sz w:val="20"/>
              </w:rPr>
            </w:pPr>
            <w:r w:rsidRPr="002159A4">
              <w:rPr>
                <w:sz w:val="20"/>
              </w:rPr>
              <w:t>1</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EcoCute technology widely available in Europe and Japan - commercial barriers</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r w:rsidRPr="002159A4">
              <w:rPr>
                <w:sz w:val="20"/>
              </w:rPr>
              <w:t>Hydrocarbons</w:t>
            </w:r>
          </w:p>
        </w:tc>
        <w:tc>
          <w:tcPr>
            <w:tcW w:w="893" w:type="dxa"/>
            <w:tcBorders>
              <w:top w:val="nil"/>
              <w:bottom w:val="nil"/>
              <w:right w:val="single" w:sz="4" w:space="0" w:color="auto"/>
            </w:tcBorders>
          </w:tcPr>
          <w:p w:rsidR="00D0213E" w:rsidRPr="002159A4" w:rsidRDefault="00D0213E" w:rsidP="00D0213E">
            <w:pPr>
              <w:spacing w:before="0"/>
              <w:jc w:val="center"/>
              <w:rPr>
                <w:sz w:val="20"/>
              </w:rPr>
            </w:pPr>
            <w:r w:rsidRPr="002159A4">
              <w:rPr>
                <w:sz w:val="20"/>
              </w:rPr>
              <w:t>3</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Hydrocarbons</w:t>
            </w:r>
          </w:p>
        </w:tc>
        <w:tc>
          <w:tcPr>
            <w:tcW w:w="851" w:type="dxa"/>
          </w:tcPr>
          <w:p w:rsidR="00D0213E" w:rsidRPr="002159A4" w:rsidRDefault="00D0213E" w:rsidP="00D0213E">
            <w:pPr>
              <w:spacing w:before="0"/>
              <w:jc w:val="center"/>
              <w:rPr>
                <w:sz w:val="20"/>
              </w:rPr>
            </w:pPr>
            <w:r w:rsidRPr="002159A4">
              <w:rPr>
                <w:sz w:val="20"/>
              </w:rPr>
              <w:t>3</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 domestic and hybrid hot water and air conditioning system already available in Australia</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r w:rsidRPr="002159A4">
              <w:rPr>
                <w:sz w:val="20"/>
              </w:rPr>
              <w:t>CO</w:t>
            </w:r>
            <w:r w:rsidRPr="002159A4">
              <w:rPr>
                <w:sz w:val="20"/>
                <w:vertAlign w:val="subscript"/>
              </w:rPr>
              <w:t>2</w:t>
            </w:r>
            <w:r w:rsidRPr="002159A4">
              <w:rPr>
                <w:sz w:val="20"/>
              </w:rPr>
              <w:t xml:space="preserve"> (R744)</w:t>
            </w:r>
          </w:p>
        </w:tc>
        <w:tc>
          <w:tcPr>
            <w:tcW w:w="893" w:type="dxa"/>
            <w:tcBorders>
              <w:top w:val="nil"/>
              <w:bottom w:val="nil"/>
              <w:right w:val="single" w:sz="4" w:space="0" w:color="auto"/>
            </w:tcBorders>
          </w:tcPr>
          <w:p w:rsidR="00D0213E" w:rsidRPr="002159A4" w:rsidRDefault="00D0213E" w:rsidP="00D0213E">
            <w:pPr>
              <w:spacing w:before="0"/>
              <w:jc w:val="center"/>
              <w:rPr>
                <w:sz w:val="20"/>
              </w:rPr>
            </w:pPr>
            <w:r w:rsidRPr="002159A4">
              <w:rPr>
                <w:sz w:val="20"/>
              </w:rPr>
              <w:t>1</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HFO blends</w:t>
            </w:r>
          </w:p>
        </w:tc>
        <w:tc>
          <w:tcPr>
            <w:tcW w:w="851" w:type="dxa"/>
          </w:tcPr>
          <w:p w:rsidR="00D0213E" w:rsidRPr="002159A4" w:rsidRDefault="00D0213E" w:rsidP="00D0213E">
            <w:pPr>
              <w:spacing w:before="0"/>
              <w:jc w:val="center"/>
              <w:rPr>
                <w:sz w:val="20"/>
              </w:rPr>
            </w:pPr>
            <w:r w:rsidRPr="002159A4">
              <w:rPr>
                <w:sz w:val="20"/>
              </w:rPr>
              <w:t>~600</w:t>
            </w:r>
          </w:p>
        </w:tc>
        <w:tc>
          <w:tcPr>
            <w:tcW w:w="1275" w:type="dxa"/>
          </w:tcPr>
          <w:p w:rsidR="00D0213E" w:rsidRPr="002159A4" w:rsidRDefault="00D0213E" w:rsidP="00D0213E">
            <w:pPr>
              <w:spacing w:before="0"/>
              <w:jc w:val="center"/>
              <w:rPr>
                <w:sz w:val="20"/>
              </w:rPr>
            </w:pPr>
            <w:r w:rsidRPr="002159A4">
              <w:rPr>
                <w:sz w:val="20"/>
              </w:rPr>
              <w:t>No</w:t>
            </w:r>
          </w:p>
        </w:tc>
        <w:tc>
          <w:tcPr>
            <w:tcW w:w="6237" w:type="dxa"/>
          </w:tcPr>
          <w:p w:rsidR="00D0213E" w:rsidRPr="002159A4" w:rsidRDefault="00D0213E" w:rsidP="00D0213E">
            <w:pPr>
              <w:spacing w:before="0"/>
              <w:jc w:val="left"/>
              <w:rPr>
                <w:sz w:val="20"/>
              </w:rPr>
            </w:pPr>
            <w:r>
              <w:rPr>
                <w:sz w:val="20"/>
              </w:rPr>
              <w:t>Potential t</w:t>
            </w:r>
            <w:r w:rsidRPr="002159A4">
              <w:rPr>
                <w:sz w:val="20"/>
              </w:rPr>
              <w:t>echnology path for existing bank and new equipment in less than 3 years</w:t>
            </w:r>
            <w:r>
              <w:rPr>
                <w:sz w:val="20"/>
              </w:rPr>
              <w:t xml:space="preserve"> </w:t>
            </w:r>
            <w:r w:rsidRPr="002159A4">
              <w:rPr>
                <w:sz w:val="20"/>
              </w:rPr>
              <w:t>(</w:t>
            </w:r>
            <w:r>
              <w:rPr>
                <w:sz w:val="20"/>
              </w:rPr>
              <w:t xml:space="preserve">Class 1, </w:t>
            </w:r>
            <w:r w:rsidRPr="002159A4">
              <w:rPr>
                <w:sz w:val="20"/>
              </w:rPr>
              <w:t>HFC-</w:t>
            </w:r>
            <w:r>
              <w:rPr>
                <w:sz w:val="20"/>
              </w:rPr>
              <w:t>134a</w:t>
            </w:r>
            <w:r w:rsidRPr="002159A4">
              <w:rPr>
                <w:sz w:val="20"/>
              </w:rPr>
              <w:t xml:space="preserve"> replacement)</w:t>
            </w:r>
          </w:p>
        </w:tc>
      </w:tr>
      <w:tr w:rsidR="00D0213E" w:rsidRPr="002159A4" w:rsidTr="00D0213E">
        <w:tc>
          <w:tcPr>
            <w:tcW w:w="1900" w:type="dxa"/>
            <w:tcBorders>
              <w:top w:val="nil"/>
            </w:tcBorders>
          </w:tcPr>
          <w:p w:rsidR="00D0213E" w:rsidRPr="002159A4" w:rsidRDefault="00D0213E" w:rsidP="00D0213E">
            <w:pPr>
              <w:spacing w:before="0"/>
              <w:rPr>
                <w:sz w:val="20"/>
              </w:rPr>
            </w:pPr>
          </w:p>
        </w:tc>
        <w:tc>
          <w:tcPr>
            <w:tcW w:w="893" w:type="dxa"/>
            <w:tcBorders>
              <w:top w:val="nil"/>
              <w:right w:val="single" w:sz="4" w:space="0" w:color="auto"/>
            </w:tcBorders>
          </w:tcPr>
          <w:p w:rsidR="00D0213E" w:rsidRPr="002159A4" w:rsidRDefault="00D0213E" w:rsidP="00D0213E">
            <w:pPr>
              <w:spacing w:before="0"/>
              <w:jc w:val="center"/>
              <w:rPr>
                <w:sz w:val="20"/>
              </w:rPr>
            </w:pPr>
          </w:p>
        </w:tc>
        <w:tc>
          <w:tcPr>
            <w:tcW w:w="236" w:type="dxa"/>
            <w:tcBorders>
              <w:top w:val="nil"/>
              <w:left w:val="single" w:sz="4" w:space="0" w:color="auto"/>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HFO-1234yf</w:t>
            </w:r>
          </w:p>
        </w:tc>
        <w:tc>
          <w:tcPr>
            <w:tcW w:w="851" w:type="dxa"/>
          </w:tcPr>
          <w:p w:rsidR="00D0213E" w:rsidRPr="002159A4" w:rsidRDefault="00D0213E" w:rsidP="00D0213E">
            <w:pPr>
              <w:spacing w:before="0"/>
              <w:jc w:val="center"/>
              <w:rPr>
                <w:sz w:val="20"/>
              </w:rPr>
            </w:pPr>
            <w:r w:rsidRPr="002159A4">
              <w:rPr>
                <w:sz w:val="20"/>
              </w:rPr>
              <w:t>4</w:t>
            </w:r>
          </w:p>
        </w:tc>
        <w:tc>
          <w:tcPr>
            <w:tcW w:w="1275" w:type="dxa"/>
          </w:tcPr>
          <w:p w:rsidR="00D0213E" w:rsidRPr="002159A4" w:rsidRDefault="00D0213E" w:rsidP="00D0213E">
            <w:pPr>
              <w:spacing w:before="0"/>
              <w:jc w:val="center"/>
              <w:rPr>
                <w:sz w:val="20"/>
              </w:rPr>
            </w:pPr>
            <w:r w:rsidRPr="002159A4">
              <w:rPr>
                <w:sz w:val="20"/>
              </w:rPr>
              <w:t>Yes</w:t>
            </w:r>
          </w:p>
        </w:tc>
        <w:tc>
          <w:tcPr>
            <w:tcW w:w="6237" w:type="dxa"/>
            <w:vAlign w:val="bottom"/>
          </w:tcPr>
          <w:p w:rsidR="00D0213E" w:rsidRPr="002159A4" w:rsidRDefault="00D0213E" w:rsidP="00D0213E">
            <w:pPr>
              <w:spacing w:before="0"/>
              <w:jc w:val="left"/>
              <w:rPr>
                <w:sz w:val="20"/>
              </w:rPr>
            </w:pPr>
            <w:r w:rsidRPr="002159A4">
              <w:rPr>
                <w:sz w:val="20"/>
              </w:rPr>
              <w:t xml:space="preserve">Technology path for new equipment in </w:t>
            </w:r>
            <w:r>
              <w:rPr>
                <w:sz w:val="20"/>
              </w:rPr>
              <w:t>1</w:t>
            </w:r>
            <w:r w:rsidRPr="002159A4">
              <w:rPr>
                <w:sz w:val="20"/>
              </w:rPr>
              <w:t xml:space="preserve"> to </w:t>
            </w:r>
            <w:r>
              <w:rPr>
                <w:sz w:val="20"/>
              </w:rPr>
              <w:t>3</w:t>
            </w:r>
            <w:r w:rsidRPr="002159A4">
              <w:rPr>
                <w:sz w:val="20"/>
              </w:rPr>
              <w:t xml:space="preserve"> years</w:t>
            </w:r>
          </w:p>
        </w:tc>
      </w:tr>
      <w:tr w:rsidR="00D0213E" w:rsidRPr="002159A4" w:rsidTr="00D0213E">
        <w:tc>
          <w:tcPr>
            <w:tcW w:w="13041" w:type="dxa"/>
            <w:gridSpan w:val="7"/>
          </w:tcPr>
          <w:p w:rsidR="00D0213E" w:rsidRPr="002159A4" w:rsidRDefault="00D0213E" w:rsidP="00D0213E">
            <w:pPr>
              <w:spacing w:before="0"/>
              <w:jc w:val="left"/>
              <w:rPr>
                <w:sz w:val="20"/>
              </w:rPr>
            </w:pPr>
          </w:p>
        </w:tc>
      </w:tr>
    </w:tbl>
    <w:p w:rsidR="00D0213E" w:rsidRDefault="00D0213E" w:rsidP="00D0213E">
      <w:pPr>
        <w:spacing w:before="0"/>
      </w:pPr>
    </w:p>
    <w:p w:rsidR="00D0213E" w:rsidRDefault="00D0213E" w:rsidP="00D0213E">
      <w:pPr>
        <w:spacing w:before="0"/>
      </w:pPr>
    </w:p>
    <w:p w:rsidR="00D0213E" w:rsidRDefault="00D0213E" w:rsidP="00D0213E">
      <w:pPr>
        <w:spacing w:before="0"/>
      </w:pPr>
    </w:p>
    <w:p w:rsidR="00D0213E" w:rsidRDefault="00D0213E" w:rsidP="00D0213E">
      <w:pPr>
        <w:spacing w:before="0"/>
      </w:pPr>
    </w:p>
    <w:p w:rsidR="00D0213E" w:rsidRPr="002159A4" w:rsidRDefault="00D0213E" w:rsidP="00D0213E">
      <w:pPr>
        <w:spacing w:before="0"/>
        <w:rPr>
          <w:b/>
        </w:rPr>
      </w:pPr>
      <w:r w:rsidRPr="002159A4">
        <w:rPr>
          <w:b/>
        </w:rPr>
        <w:t xml:space="preserve">Transition map to </w:t>
      </w:r>
      <w:r>
        <w:rPr>
          <w:b/>
        </w:rPr>
        <w:t xml:space="preserve">nil </w:t>
      </w:r>
      <w:r w:rsidRPr="002159A4">
        <w:rPr>
          <w:b/>
        </w:rPr>
        <w:t>or low</w:t>
      </w:r>
      <w:r>
        <w:rPr>
          <w:b/>
        </w:rPr>
        <w:t>er</w:t>
      </w:r>
      <w:r w:rsidRPr="002159A4">
        <w:rPr>
          <w:b/>
        </w:rPr>
        <w:t xml:space="preserve"> GWP options for main equipment classes and </w:t>
      </w:r>
      <w:r>
        <w:rPr>
          <w:b/>
        </w:rPr>
        <w:t xml:space="preserve">technologies </w:t>
      </w:r>
      <w:r w:rsidRPr="00FA2337">
        <w:rPr>
          <w:b/>
        </w:rPr>
        <w:t>(continued)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00"/>
        <w:gridCol w:w="893"/>
        <w:gridCol w:w="236"/>
        <w:gridCol w:w="1649"/>
        <w:gridCol w:w="851"/>
        <w:gridCol w:w="1275"/>
        <w:gridCol w:w="6237"/>
      </w:tblGrid>
      <w:tr w:rsidR="00D0213E" w:rsidRPr="002159A4" w:rsidTr="00D0213E">
        <w:tc>
          <w:tcPr>
            <w:tcW w:w="1900" w:type="dxa"/>
            <w:tcBorders>
              <w:righ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Current options</w:t>
            </w:r>
          </w:p>
        </w:tc>
        <w:tc>
          <w:tcPr>
            <w:tcW w:w="893" w:type="dxa"/>
            <w:tcBorders>
              <w:left w:val="single" w:sz="4" w:space="0" w:color="FFFFFF"/>
              <w:right w:val="single" w:sz="4" w:space="0" w:color="FFFFFF"/>
            </w:tcBorders>
            <w:shd w:val="clear" w:color="auto" w:fill="000000"/>
            <w:vAlign w:val="center"/>
          </w:tcPr>
          <w:p w:rsidR="00D0213E" w:rsidRDefault="00D0213E" w:rsidP="00D0213E">
            <w:pPr>
              <w:spacing w:before="0"/>
              <w:jc w:val="center"/>
              <w:outlineLvl w:val="0"/>
              <w:rPr>
                <w:sz w:val="20"/>
                <w:szCs w:val="12"/>
                <w:lang w:val="en-AU"/>
              </w:rPr>
            </w:pPr>
            <w:r w:rsidRPr="002159A4">
              <w:rPr>
                <w:sz w:val="20"/>
                <w:szCs w:val="12"/>
                <w:lang w:val="en-AU"/>
              </w:rPr>
              <w:t>GWP</w:t>
            </w:r>
          </w:p>
          <w:p w:rsidR="00D0213E" w:rsidRPr="002159A4" w:rsidRDefault="00D0213E" w:rsidP="00D0213E">
            <w:pPr>
              <w:spacing w:before="0"/>
              <w:jc w:val="center"/>
              <w:outlineLvl w:val="0"/>
              <w:rPr>
                <w:sz w:val="20"/>
                <w:szCs w:val="12"/>
                <w:lang w:val="en-AU"/>
              </w:rPr>
            </w:pPr>
            <w:r>
              <w:rPr>
                <w:sz w:val="20"/>
                <w:szCs w:val="12"/>
                <w:lang w:val="en-AU"/>
              </w:rPr>
              <w:t>(AR4)</w:t>
            </w:r>
          </w:p>
        </w:tc>
        <w:tc>
          <w:tcPr>
            <w:tcW w:w="236" w:type="dxa"/>
            <w:tcBorders>
              <w:left w:val="single" w:sz="4" w:space="0" w:color="FFFFFF"/>
              <w:right w:val="single" w:sz="4" w:space="0" w:color="FFFFFF"/>
            </w:tcBorders>
            <w:shd w:val="clear" w:color="auto" w:fill="CCCCCC"/>
          </w:tcPr>
          <w:p w:rsidR="00D0213E" w:rsidRPr="002159A4" w:rsidRDefault="00D0213E" w:rsidP="00D0213E">
            <w:pPr>
              <w:spacing w:before="0"/>
              <w:outlineLvl w:val="0"/>
              <w:rPr>
                <w:sz w:val="20"/>
                <w:szCs w:val="12"/>
                <w:lang w:val="en-AU"/>
              </w:rPr>
            </w:pPr>
          </w:p>
        </w:tc>
        <w:tc>
          <w:tcPr>
            <w:tcW w:w="1649" w:type="dxa"/>
            <w:tcBorders>
              <w:left w:val="single" w:sz="4" w:space="0" w:color="FFFFFF"/>
              <w:righ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Low</w:t>
            </w:r>
            <w:r>
              <w:rPr>
                <w:sz w:val="20"/>
                <w:szCs w:val="12"/>
                <w:lang w:val="en-AU"/>
              </w:rPr>
              <w:t>er</w:t>
            </w:r>
            <w:r w:rsidRPr="002159A4">
              <w:rPr>
                <w:sz w:val="20"/>
                <w:szCs w:val="12"/>
                <w:lang w:val="en-AU"/>
              </w:rPr>
              <w:t xml:space="preserve"> GWP options</w:t>
            </w:r>
          </w:p>
        </w:tc>
        <w:tc>
          <w:tcPr>
            <w:tcW w:w="851" w:type="dxa"/>
            <w:tcBorders>
              <w:left w:val="single" w:sz="4" w:space="0" w:color="FFFFFF"/>
              <w:right w:val="single" w:sz="4" w:space="0" w:color="FFFFFF"/>
            </w:tcBorders>
            <w:shd w:val="clear" w:color="auto" w:fill="000000"/>
            <w:vAlign w:val="center"/>
          </w:tcPr>
          <w:p w:rsidR="00D0213E" w:rsidRPr="002159A4" w:rsidRDefault="00D0213E" w:rsidP="00D0213E">
            <w:pPr>
              <w:spacing w:before="0"/>
              <w:jc w:val="center"/>
              <w:outlineLvl w:val="0"/>
              <w:rPr>
                <w:sz w:val="20"/>
                <w:szCs w:val="12"/>
                <w:lang w:val="en-AU"/>
              </w:rPr>
            </w:pPr>
            <w:r w:rsidRPr="002159A4">
              <w:rPr>
                <w:sz w:val="20"/>
                <w:szCs w:val="12"/>
                <w:lang w:val="en-AU"/>
              </w:rPr>
              <w:t>GWP</w:t>
            </w:r>
          </w:p>
        </w:tc>
        <w:tc>
          <w:tcPr>
            <w:tcW w:w="1275" w:type="dxa"/>
            <w:tcBorders>
              <w:left w:val="single" w:sz="4" w:space="0" w:color="FFFFFF"/>
              <w:righ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Equipment replacement</w:t>
            </w:r>
          </w:p>
        </w:tc>
        <w:tc>
          <w:tcPr>
            <w:tcW w:w="6237" w:type="dxa"/>
            <w:tcBorders>
              <w:lef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Comments</w:t>
            </w:r>
          </w:p>
        </w:tc>
      </w:tr>
      <w:tr w:rsidR="00D0213E" w:rsidRPr="002159A4" w:rsidTr="00D0213E">
        <w:tc>
          <w:tcPr>
            <w:tcW w:w="13041" w:type="dxa"/>
            <w:gridSpan w:val="7"/>
          </w:tcPr>
          <w:p w:rsidR="00D0213E" w:rsidRPr="00763C3E" w:rsidRDefault="00D0213E" w:rsidP="00D0213E">
            <w:pPr>
              <w:jc w:val="left"/>
              <w:rPr>
                <w:b/>
                <w:sz w:val="20"/>
              </w:rPr>
            </w:pPr>
            <w:r w:rsidRPr="002159A4">
              <w:rPr>
                <w:b/>
                <w:sz w:val="20"/>
              </w:rPr>
              <w:t xml:space="preserve">Mobile air conditioning: passenger </w:t>
            </w:r>
            <w:r>
              <w:rPr>
                <w:b/>
                <w:sz w:val="20"/>
              </w:rPr>
              <w:t xml:space="preserve">and light commercial </w:t>
            </w:r>
            <w:r w:rsidRPr="002159A4">
              <w:rPr>
                <w:b/>
                <w:sz w:val="20"/>
              </w:rPr>
              <w:t>vehicles</w:t>
            </w:r>
            <w:r>
              <w:rPr>
                <w:b/>
                <w:sz w:val="20"/>
              </w:rPr>
              <w:t>,</w:t>
            </w:r>
            <w:r w:rsidRPr="002159A4">
              <w:rPr>
                <w:b/>
                <w:sz w:val="20"/>
              </w:rPr>
              <w:t xml:space="preserve"> </w:t>
            </w:r>
            <w:r>
              <w:rPr>
                <w:b/>
                <w:sz w:val="20"/>
              </w:rPr>
              <w:t xml:space="preserve">commuter buses </w:t>
            </w:r>
            <w:r w:rsidRPr="002159A4">
              <w:rPr>
                <w:b/>
                <w:sz w:val="20"/>
              </w:rPr>
              <w:t>and trucks</w:t>
            </w:r>
          </w:p>
        </w:tc>
      </w:tr>
      <w:tr w:rsidR="00D0213E" w:rsidRPr="002159A4" w:rsidTr="00D0213E">
        <w:tc>
          <w:tcPr>
            <w:tcW w:w="1900" w:type="dxa"/>
            <w:tcBorders>
              <w:bottom w:val="nil"/>
            </w:tcBorders>
          </w:tcPr>
          <w:p w:rsidR="00D0213E" w:rsidRPr="002159A4" w:rsidRDefault="00D0213E" w:rsidP="00D0213E">
            <w:pPr>
              <w:spacing w:before="0"/>
              <w:jc w:val="left"/>
              <w:rPr>
                <w:sz w:val="20"/>
              </w:rPr>
            </w:pPr>
            <w:r w:rsidRPr="002159A4">
              <w:rPr>
                <w:sz w:val="20"/>
              </w:rPr>
              <w:t>HFC-134a</w:t>
            </w:r>
          </w:p>
        </w:tc>
        <w:tc>
          <w:tcPr>
            <w:tcW w:w="893" w:type="dxa"/>
            <w:tcBorders>
              <w:bottom w:val="nil"/>
              <w:right w:val="single" w:sz="4" w:space="0" w:color="auto"/>
            </w:tcBorders>
          </w:tcPr>
          <w:p w:rsidR="00D0213E" w:rsidRPr="002159A4" w:rsidRDefault="00D0213E" w:rsidP="00D0213E">
            <w:pPr>
              <w:spacing w:before="0"/>
              <w:jc w:val="center"/>
              <w:rPr>
                <w:sz w:val="20"/>
              </w:rPr>
            </w:pPr>
            <w:r>
              <w:rPr>
                <w:sz w:val="20"/>
              </w:rPr>
              <w:t>1430</w:t>
            </w:r>
          </w:p>
        </w:tc>
        <w:tc>
          <w:tcPr>
            <w:tcW w:w="236" w:type="dxa"/>
            <w:tcBorders>
              <w:top w:val="single" w:sz="4" w:space="0" w:color="auto"/>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HFO-1234yf</w:t>
            </w:r>
          </w:p>
        </w:tc>
        <w:tc>
          <w:tcPr>
            <w:tcW w:w="851" w:type="dxa"/>
          </w:tcPr>
          <w:p w:rsidR="00D0213E" w:rsidRPr="002159A4" w:rsidRDefault="00D0213E" w:rsidP="00D0213E">
            <w:pPr>
              <w:spacing w:before="0"/>
              <w:jc w:val="center"/>
              <w:rPr>
                <w:sz w:val="20"/>
              </w:rPr>
            </w:pPr>
            <w:r w:rsidRPr="002159A4">
              <w:rPr>
                <w:sz w:val="20"/>
              </w:rPr>
              <w:t>4</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 xml:space="preserve">Technology path for new equipment bank in </w:t>
            </w:r>
            <w:r>
              <w:rPr>
                <w:sz w:val="20"/>
              </w:rPr>
              <w:t>1</w:t>
            </w:r>
            <w:r w:rsidRPr="002159A4">
              <w:rPr>
                <w:sz w:val="20"/>
              </w:rPr>
              <w:t xml:space="preserve"> to </w:t>
            </w:r>
            <w:r>
              <w:rPr>
                <w:sz w:val="20"/>
              </w:rPr>
              <w:t>3</w:t>
            </w:r>
            <w:r w:rsidRPr="002159A4">
              <w:rPr>
                <w:sz w:val="20"/>
              </w:rPr>
              <w:t xml:space="preserve"> years</w:t>
            </w:r>
          </w:p>
        </w:tc>
      </w:tr>
      <w:tr w:rsidR="00D0213E" w:rsidRPr="002159A4" w:rsidTr="00D0213E">
        <w:tc>
          <w:tcPr>
            <w:tcW w:w="1900" w:type="dxa"/>
            <w:tcBorders>
              <w:top w:val="nil"/>
              <w:bottom w:val="nil"/>
            </w:tcBorders>
          </w:tcPr>
          <w:p w:rsidR="00D0213E" w:rsidRDefault="00D0213E" w:rsidP="00D0213E">
            <w:pPr>
              <w:spacing w:before="0"/>
              <w:jc w:val="left"/>
              <w:rPr>
                <w:sz w:val="20"/>
              </w:rPr>
            </w:pPr>
          </w:p>
          <w:p w:rsidR="00D0213E" w:rsidRPr="002159A4" w:rsidRDefault="00D0213E" w:rsidP="00D0213E">
            <w:pPr>
              <w:spacing w:before="0"/>
              <w:jc w:val="left"/>
              <w:rPr>
                <w:sz w:val="20"/>
              </w:rPr>
            </w:pPr>
            <w:r w:rsidRPr="002159A4">
              <w:rPr>
                <w:sz w:val="20"/>
              </w:rPr>
              <w:t>Hydrocarbon</w:t>
            </w:r>
          </w:p>
        </w:tc>
        <w:tc>
          <w:tcPr>
            <w:tcW w:w="893" w:type="dxa"/>
            <w:tcBorders>
              <w:top w:val="nil"/>
              <w:bottom w:val="nil"/>
              <w:right w:val="single" w:sz="4" w:space="0" w:color="auto"/>
            </w:tcBorders>
          </w:tcPr>
          <w:p w:rsidR="00D0213E" w:rsidRDefault="00D0213E" w:rsidP="00D0213E">
            <w:pPr>
              <w:spacing w:before="0"/>
              <w:jc w:val="center"/>
              <w:rPr>
                <w:sz w:val="20"/>
              </w:rPr>
            </w:pPr>
          </w:p>
          <w:p w:rsidR="00D0213E" w:rsidRPr="002159A4" w:rsidRDefault="00D0213E" w:rsidP="00D0213E">
            <w:pPr>
              <w:spacing w:before="0"/>
              <w:jc w:val="center"/>
              <w:rPr>
                <w:sz w:val="20"/>
              </w:rPr>
            </w:pPr>
            <w:r w:rsidRPr="002159A4">
              <w:rPr>
                <w:sz w:val="20"/>
              </w:rPr>
              <w:t>3</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HFO blends</w:t>
            </w:r>
          </w:p>
        </w:tc>
        <w:tc>
          <w:tcPr>
            <w:tcW w:w="851" w:type="dxa"/>
          </w:tcPr>
          <w:p w:rsidR="00D0213E" w:rsidRPr="002159A4" w:rsidRDefault="00D0213E" w:rsidP="00D0213E">
            <w:pPr>
              <w:spacing w:before="0"/>
              <w:jc w:val="center"/>
              <w:rPr>
                <w:sz w:val="20"/>
              </w:rPr>
            </w:pPr>
            <w:r>
              <w:rPr>
                <w:sz w:val="20"/>
              </w:rPr>
              <w:t>~</w:t>
            </w:r>
            <w:r w:rsidRPr="002159A4">
              <w:rPr>
                <w:sz w:val="20"/>
              </w:rPr>
              <w:t>600</w:t>
            </w:r>
          </w:p>
        </w:tc>
        <w:tc>
          <w:tcPr>
            <w:tcW w:w="1275" w:type="dxa"/>
          </w:tcPr>
          <w:p w:rsidR="00D0213E" w:rsidRPr="002159A4" w:rsidRDefault="00D0213E" w:rsidP="00D0213E">
            <w:pPr>
              <w:spacing w:before="0"/>
              <w:jc w:val="center"/>
              <w:rPr>
                <w:sz w:val="20"/>
              </w:rPr>
            </w:pPr>
            <w:r w:rsidRPr="002159A4">
              <w:rPr>
                <w:sz w:val="20"/>
              </w:rPr>
              <w:t>No</w:t>
            </w:r>
          </w:p>
        </w:tc>
        <w:tc>
          <w:tcPr>
            <w:tcW w:w="6237" w:type="dxa"/>
          </w:tcPr>
          <w:p w:rsidR="00D0213E" w:rsidRPr="002159A4" w:rsidRDefault="00D0213E" w:rsidP="00D0213E">
            <w:pPr>
              <w:spacing w:before="0"/>
              <w:jc w:val="left"/>
              <w:rPr>
                <w:sz w:val="20"/>
              </w:rPr>
            </w:pPr>
            <w:r w:rsidRPr="002159A4">
              <w:rPr>
                <w:sz w:val="20"/>
              </w:rPr>
              <w:t xml:space="preserve">Technology path for existing bank </w:t>
            </w:r>
            <w:r>
              <w:rPr>
                <w:sz w:val="20"/>
              </w:rPr>
              <w:t xml:space="preserve">of </w:t>
            </w:r>
            <w:r w:rsidRPr="002159A4">
              <w:rPr>
                <w:sz w:val="20"/>
              </w:rPr>
              <w:t>equipment in less than 3 years</w:t>
            </w:r>
            <w:r>
              <w:rPr>
                <w:sz w:val="20"/>
              </w:rPr>
              <w:t xml:space="preserve"> </w:t>
            </w:r>
            <w:r w:rsidRPr="002159A4">
              <w:rPr>
                <w:sz w:val="20"/>
              </w:rPr>
              <w:t>(</w:t>
            </w:r>
            <w:r>
              <w:rPr>
                <w:sz w:val="20"/>
              </w:rPr>
              <w:t xml:space="preserve">Class 1, </w:t>
            </w:r>
            <w:r w:rsidRPr="002159A4">
              <w:rPr>
                <w:sz w:val="20"/>
              </w:rPr>
              <w:t>HFC-</w:t>
            </w:r>
            <w:r>
              <w:rPr>
                <w:sz w:val="20"/>
              </w:rPr>
              <w:t>134a</w:t>
            </w:r>
            <w:r w:rsidRPr="002159A4">
              <w:rPr>
                <w:sz w:val="20"/>
              </w:rPr>
              <w:t xml:space="preserve"> replacement)</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r w:rsidRPr="002159A4">
              <w:rPr>
                <w:sz w:val="20"/>
              </w:rPr>
              <w:t>(Aftermarket)</w:t>
            </w:r>
          </w:p>
        </w:tc>
        <w:tc>
          <w:tcPr>
            <w:tcW w:w="893" w:type="dxa"/>
            <w:tcBorders>
              <w:top w:val="nil"/>
              <w:bottom w:val="nil"/>
              <w:right w:val="single" w:sz="4" w:space="0" w:color="auto"/>
            </w:tcBorders>
          </w:tcPr>
          <w:p w:rsidR="00D0213E" w:rsidRPr="002159A4" w:rsidRDefault="00D0213E" w:rsidP="00D0213E">
            <w:pPr>
              <w:spacing w:before="0"/>
              <w:jc w:val="center"/>
              <w:rPr>
                <w:sz w:val="20"/>
              </w:rPr>
            </w:pP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R744 (CO</w:t>
            </w:r>
            <w:r w:rsidRPr="002159A4">
              <w:rPr>
                <w:sz w:val="20"/>
                <w:vertAlign w:val="subscript"/>
              </w:rPr>
              <w:t>2</w:t>
            </w:r>
            <w:r w:rsidRPr="002159A4">
              <w:rPr>
                <w:sz w:val="20"/>
              </w:rPr>
              <w:t>)</w:t>
            </w:r>
          </w:p>
        </w:tc>
        <w:tc>
          <w:tcPr>
            <w:tcW w:w="851" w:type="dxa"/>
          </w:tcPr>
          <w:p w:rsidR="00D0213E" w:rsidRPr="002159A4" w:rsidRDefault="00D0213E" w:rsidP="00D0213E">
            <w:pPr>
              <w:spacing w:before="0"/>
              <w:jc w:val="center"/>
              <w:rPr>
                <w:sz w:val="20"/>
              </w:rPr>
            </w:pPr>
            <w:r w:rsidRPr="002159A4">
              <w:rPr>
                <w:sz w:val="20"/>
              </w:rPr>
              <w:t>1</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 xml:space="preserve">Technology path for new equipment - supported by </w:t>
            </w:r>
            <w:r>
              <w:rPr>
                <w:sz w:val="20"/>
              </w:rPr>
              <w:t xml:space="preserve">some </w:t>
            </w:r>
            <w:r w:rsidRPr="002159A4">
              <w:rPr>
                <w:sz w:val="20"/>
              </w:rPr>
              <w:t>major vehicle manufacturers</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p>
        </w:tc>
        <w:tc>
          <w:tcPr>
            <w:tcW w:w="893" w:type="dxa"/>
            <w:tcBorders>
              <w:top w:val="nil"/>
              <w:bottom w:val="nil"/>
              <w:right w:val="single" w:sz="4" w:space="0" w:color="auto"/>
            </w:tcBorders>
          </w:tcPr>
          <w:p w:rsidR="00D0213E" w:rsidRPr="002159A4" w:rsidRDefault="00D0213E" w:rsidP="00D0213E">
            <w:pPr>
              <w:spacing w:before="0"/>
              <w:jc w:val="center"/>
              <w:rPr>
                <w:sz w:val="20"/>
              </w:rPr>
            </w:pP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HFC-152a</w:t>
            </w:r>
          </w:p>
        </w:tc>
        <w:tc>
          <w:tcPr>
            <w:tcW w:w="851" w:type="dxa"/>
          </w:tcPr>
          <w:p w:rsidR="00D0213E" w:rsidRPr="002159A4" w:rsidRDefault="00D0213E" w:rsidP="00D0213E">
            <w:pPr>
              <w:spacing w:before="0"/>
              <w:jc w:val="center"/>
              <w:rPr>
                <w:sz w:val="20"/>
              </w:rPr>
            </w:pPr>
            <w:r w:rsidRPr="002159A4">
              <w:rPr>
                <w:sz w:val="20"/>
              </w:rPr>
              <w:t>140</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 not supported by major vehicle manufacturers</w:t>
            </w:r>
          </w:p>
        </w:tc>
      </w:tr>
      <w:tr w:rsidR="00D0213E" w:rsidRPr="002159A4" w:rsidTr="00D0213E">
        <w:tc>
          <w:tcPr>
            <w:tcW w:w="1900" w:type="dxa"/>
            <w:tcBorders>
              <w:top w:val="nil"/>
            </w:tcBorders>
          </w:tcPr>
          <w:p w:rsidR="00D0213E" w:rsidRPr="002159A4" w:rsidRDefault="00D0213E" w:rsidP="00D0213E">
            <w:pPr>
              <w:spacing w:before="0"/>
              <w:jc w:val="left"/>
              <w:rPr>
                <w:sz w:val="20"/>
              </w:rPr>
            </w:pPr>
          </w:p>
        </w:tc>
        <w:tc>
          <w:tcPr>
            <w:tcW w:w="893" w:type="dxa"/>
            <w:tcBorders>
              <w:top w:val="nil"/>
              <w:right w:val="single" w:sz="4" w:space="0" w:color="auto"/>
            </w:tcBorders>
          </w:tcPr>
          <w:p w:rsidR="00D0213E" w:rsidRPr="002159A4" w:rsidRDefault="00D0213E" w:rsidP="00D0213E">
            <w:pPr>
              <w:spacing w:before="0"/>
              <w:jc w:val="center"/>
              <w:rPr>
                <w:sz w:val="20"/>
              </w:rPr>
            </w:pPr>
          </w:p>
        </w:tc>
        <w:tc>
          <w:tcPr>
            <w:tcW w:w="236" w:type="dxa"/>
            <w:tcBorders>
              <w:top w:val="nil"/>
              <w:left w:val="single" w:sz="4" w:space="0" w:color="auto"/>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Hydrocarbons</w:t>
            </w:r>
          </w:p>
        </w:tc>
        <w:tc>
          <w:tcPr>
            <w:tcW w:w="851" w:type="dxa"/>
          </w:tcPr>
          <w:p w:rsidR="00D0213E" w:rsidRPr="002159A4" w:rsidRDefault="00D0213E" w:rsidP="00D0213E">
            <w:pPr>
              <w:spacing w:before="0"/>
              <w:jc w:val="center"/>
              <w:rPr>
                <w:sz w:val="20"/>
              </w:rPr>
            </w:pPr>
            <w:r w:rsidRPr="002159A4">
              <w:rPr>
                <w:sz w:val="20"/>
              </w:rPr>
              <w:t>3</w:t>
            </w:r>
          </w:p>
        </w:tc>
        <w:tc>
          <w:tcPr>
            <w:tcW w:w="1275" w:type="dxa"/>
          </w:tcPr>
          <w:p w:rsidR="00D0213E" w:rsidRPr="002159A4" w:rsidRDefault="00D0213E" w:rsidP="00D0213E">
            <w:pPr>
              <w:spacing w:before="0"/>
              <w:jc w:val="center"/>
              <w:rPr>
                <w:sz w:val="20"/>
              </w:rPr>
            </w:pPr>
            <w:r w:rsidRPr="002159A4">
              <w:rPr>
                <w:sz w:val="20"/>
              </w:rPr>
              <w:t>-</w:t>
            </w:r>
          </w:p>
        </w:tc>
        <w:tc>
          <w:tcPr>
            <w:tcW w:w="6237" w:type="dxa"/>
          </w:tcPr>
          <w:p w:rsidR="00D0213E" w:rsidRPr="002159A4" w:rsidRDefault="00D0213E" w:rsidP="00D0213E">
            <w:pPr>
              <w:spacing w:before="0"/>
              <w:jc w:val="left"/>
              <w:rPr>
                <w:sz w:val="20"/>
              </w:rPr>
            </w:pPr>
            <w:r w:rsidRPr="002159A4">
              <w:rPr>
                <w:sz w:val="20"/>
              </w:rPr>
              <w:t>Possible technology path (flammability issues) - not supported by major vehicle manufacturers</w:t>
            </w:r>
          </w:p>
        </w:tc>
      </w:tr>
      <w:tr w:rsidR="00D0213E" w:rsidRPr="002159A4" w:rsidTr="00D0213E">
        <w:tc>
          <w:tcPr>
            <w:tcW w:w="13041" w:type="dxa"/>
            <w:gridSpan w:val="7"/>
          </w:tcPr>
          <w:p w:rsidR="00D0213E" w:rsidRPr="002159A4" w:rsidRDefault="00D0213E" w:rsidP="00D0213E">
            <w:pPr>
              <w:jc w:val="left"/>
              <w:rPr>
                <w:sz w:val="20"/>
              </w:rPr>
            </w:pPr>
            <w:r w:rsidRPr="002159A4">
              <w:rPr>
                <w:b/>
                <w:sz w:val="20"/>
              </w:rPr>
              <w:t>Mobile air conditioning: buses</w:t>
            </w:r>
            <w:r>
              <w:rPr>
                <w:b/>
                <w:sz w:val="20"/>
              </w:rPr>
              <w:t xml:space="preserve"> (&gt; 7 meters in length) and trains</w:t>
            </w:r>
          </w:p>
        </w:tc>
      </w:tr>
      <w:tr w:rsidR="00D0213E" w:rsidRPr="002159A4" w:rsidTr="00D0213E">
        <w:tc>
          <w:tcPr>
            <w:tcW w:w="1900" w:type="dxa"/>
            <w:tcBorders>
              <w:bottom w:val="nil"/>
            </w:tcBorders>
          </w:tcPr>
          <w:p w:rsidR="00D0213E" w:rsidRPr="002159A4" w:rsidRDefault="00D0213E" w:rsidP="00D0213E">
            <w:pPr>
              <w:spacing w:before="0"/>
              <w:jc w:val="left"/>
              <w:rPr>
                <w:sz w:val="20"/>
              </w:rPr>
            </w:pPr>
            <w:r w:rsidRPr="002159A4">
              <w:rPr>
                <w:sz w:val="20"/>
              </w:rPr>
              <w:t>HFC-134a</w:t>
            </w:r>
          </w:p>
        </w:tc>
        <w:tc>
          <w:tcPr>
            <w:tcW w:w="893" w:type="dxa"/>
            <w:tcBorders>
              <w:bottom w:val="nil"/>
              <w:right w:val="single" w:sz="4" w:space="0" w:color="auto"/>
            </w:tcBorders>
          </w:tcPr>
          <w:p w:rsidR="00D0213E" w:rsidRPr="002159A4" w:rsidRDefault="00D0213E" w:rsidP="00D0213E">
            <w:pPr>
              <w:spacing w:before="0"/>
              <w:jc w:val="left"/>
              <w:rPr>
                <w:sz w:val="20"/>
              </w:rPr>
            </w:pPr>
            <w:r>
              <w:rPr>
                <w:sz w:val="20"/>
              </w:rPr>
              <w:t>1430</w:t>
            </w:r>
          </w:p>
        </w:tc>
        <w:tc>
          <w:tcPr>
            <w:tcW w:w="236" w:type="dxa"/>
            <w:tcBorders>
              <w:top w:val="single" w:sz="4" w:space="0" w:color="auto"/>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HFO-1234yf</w:t>
            </w:r>
          </w:p>
        </w:tc>
        <w:tc>
          <w:tcPr>
            <w:tcW w:w="851" w:type="dxa"/>
          </w:tcPr>
          <w:p w:rsidR="00D0213E" w:rsidRPr="002159A4" w:rsidRDefault="00D0213E" w:rsidP="00D0213E">
            <w:pPr>
              <w:spacing w:before="0"/>
              <w:jc w:val="center"/>
              <w:rPr>
                <w:sz w:val="20"/>
              </w:rPr>
            </w:pPr>
            <w:r w:rsidRPr="002159A4">
              <w:rPr>
                <w:sz w:val="20"/>
              </w:rPr>
              <w:t>&lt;10</w:t>
            </w:r>
          </w:p>
        </w:tc>
        <w:tc>
          <w:tcPr>
            <w:tcW w:w="1275" w:type="dxa"/>
          </w:tcPr>
          <w:p w:rsidR="00D0213E" w:rsidRPr="002159A4" w:rsidRDefault="00D0213E" w:rsidP="00D0213E">
            <w:pPr>
              <w:spacing w:before="0"/>
              <w:jc w:val="center"/>
              <w:rPr>
                <w:sz w:val="20"/>
              </w:rPr>
            </w:pPr>
            <w:r>
              <w:rPr>
                <w:sz w:val="20"/>
              </w:rPr>
              <w:t>Yes</w:t>
            </w:r>
          </w:p>
        </w:tc>
        <w:tc>
          <w:tcPr>
            <w:tcW w:w="6237" w:type="dxa"/>
          </w:tcPr>
          <w:p w:rsidR="00D0213E" w:rsidRPr="002159A4" w:rsidRDefault="00D0213E" w:rsidP="00D0213E">
            <w:pPr>
              <w:spacing w:before="0"/>
              <w:jc w:val="left"/>
              <w:rPr>
                <w:sz w:val="20"/>
              </w:rPr>
            </w:pPr>
            <w:r w:rsidRPr="002159A4">
              <w:rPr>
                <w:sz w:val="20"/>
              </w:rPr>
              <w:t xml:space="preserve">Technology path for new equipment in </w:t>
            </w:r>
            <w:r>
              <w:rPr>
                <w:sz w:val="20"/>
              </w:rPr>
              <w:t>1</w:t>
            </w:r>
            <w:r w:rsidRPr="002159A4">
              <w:rPr>
                <w:sz w:val="20"/>
              </w:rPr>
              <w:t xml:space="preserve"> to </w:t>
            </w:r>
            <w:r>
              <w:rPr>
                <w:sz w:val="20"/>
              </w:rPr>
              <w:t>3</w:t>
            </w:r>
            <w:r w:rsidRPr="002159A4">
              <w:rPr>
                <w:sz w:val="20"/>
              </w:rPr>
              <w:t xml:space="preserve"> years (performance under examination)</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r w:rsidRPr="002159A4">
              <w:rPr>
                <w:sz w:val="20"/>
              </w:rPr>
              <w:t>HFC-407C</w:t>
            </w:r>
          </w:p>
        </w:tc>
        <w:tc>
          <w:tcPr>
            <w:tcW w:w="893" w:type="dxa"/>
            <w:tcBorders>
              <w:top w:val="nil"/>
              <w:bottom w:val="nil"/>
              <w:right w:val="single" w:sz="4" w:space="0" w:color="auto"/>
            </w:tcBorders>
          </w:tcPr>
          <w:p w:rsidR="00D0213E" w:rsidRPr="002159A4" w:rsidRDefault="00D0213E" w:rsidP="00D0213E">
            <w:pPr>
              <w:spacing w:before="0"/>
              <w:jc w:val="left"/>
              <w:rPr>
                <w:sz w:val="20"/>
              </w:rPr>
            </w:pPr>
            <w:r w:rsidRPr="002159A4">
              <w:rPr>
                <w:sz w:val="20"/>
              </w:rPr>
              <w:t>1</w:t>
            </w:r>
            <w:r>
              <w:rPr>
                <w:sz w:val="20"/>
              </w:rPr>
              <w:t>774</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outlineLvl w:val="0"/>
              <w:rPr>
                <w:sz w:val="20"/>
              </w:rPr>
            </w:pPr>
            <w:r w:rsidRPr="002159A4">
              <w:rPr>
                <w:sz w:val="20"/>
              </w:rPr>
              <w:t>HFO blends</w:t>
            </w:r>
          </w:p>
          <w:p w:rsidR="00D0213E" w:rsidRPr="002159A4" w:rsidRDefault="00D0213E" w:rsidP="00D0213E">
            <w:pPr>
              <w:spacing w:before="0"/>
              <w:jc w:val="left"/>
              <w:rPr>
                <w:sz w:val="20"/>
              </w:rPr>
            </w:pPr>
          </w:p>
        </w:tc>
        <w:tc>
          <w:tcPr>
            <w:tcW w:w="851" w:type="dxa"/>
          </w:tcPr>
          <w:p w:rsidR="00D0213E" w:rsidRPr="002159A4" w:rsidRDefault="00D0213E" w:rsidP="00D0213E">
            <w:pPr>
              <w:spacing w:before="0"/>
              <w:jc w:val="center"/>
              <w:rPr>
                <w:sz w:val="20"/>
              </w:rPr>
            </w:pPr>
            <w:r w:rsidRPr="002159A4">
              <w:rPr>
                <w:sz w:val="20"/>
              </w:rPr>
              <w:t>&lt;150</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existing bank equipment in less than 3 years (</w:t>
            </w:r>
            <w:r>
              <w:rPr>
                <w:sz w:val="20"/>
              </w:rPr>
              <w:t>replacement for equipment based on HFC-</w:t>
            </w:r>
            <w:r w:rsidRPr="002159A4">
              <w:rPr>
                <w:sz w:val="20"/>
              </w:rPr>
              <w:t>134a</w:t>
            </w:r>
            <w:r>
              <w:rPr>
                <w:sz w:val="20"/>
              </w:rPr>
              <w:t xml:space="preserve"> design</w:t>
            </w:r>
            <w:r w:rsidRPr="002159A4">
              <w:rPr>
                <w:sz w:val="20"/>
              </w:rPr>
              <w:t>)</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p>
        </w:tc>
        <w:tc>
          <w:tcPr>
            <w:tcW w:w="893" w:type="dxa"/>
            <w:tcBorders>
              <w:top w:val="nil"/>
              <w:bottom w:val="nil"/>
              <w:right w:val="single" w:sz="4" w:space="0" w:color="auto"/>
            </w:tcBorders>
          </w:tcPr>
          <w:p w:rsidR="00D0213E" w:rsidRPr="002159A4" w:rsidRDefault="00D0213E" w:rsidP="00D0213E">
            <w:pPr>
              <w:spacing w:before="0"/>
              <w:jc w:val="left"/>
              <w:rPr>
                <w:sz w:val="20"/>
              </w:rPr>
            </w:pP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outlineLvl w:val="0"/>
              <w:rPr>
                <w:sz w:val="20"/>
              </w:rPr>
            </w:pPr>
            <w:r w:rsidRPr="002159A4">
              <w:rPr>
                <w:sz w:val="20"/>
              </w:rPr>
              <w:t>HFO blends</w:t>
            </w:r>
          </w:p>
          <w:p w:rsidR="00D0213E" w:rsidRPr="002159A4" w:rsidRDefault="00D0213E" w:rsidP="00D0213E">
            <w:pPr>
              <w:spacing w:before="0"/>
              <w:jc w:val="left"/>
              <w:rPr>
                <w:sz w:val="20"/>
              </w:rPr>
            </w:pPr>
          </w:p>
        </w:tc>
        <w:tc>
          <w:tcPr>
            <w:tcW w:w="851" w:type="dxa"/>
          </w:tcPr>
          <w:p w:rsidR="00D0213E" w:rsidRPr="002159A4" w:rsidRDefault="00D0213E" w:rsidP="00D0213E">
            <w:pPr>
              <w:spacing w:before="0"/>
              <w:jc w:val="center"/>
              <w:rPr>
                <w:sz w:val="20"/>
              </w:rPr>
            </w:pPr>
            <w:r>
              <w:rPr>
                <w:sz w:val="20"/>
              </w:rPr>
              <w:t>-</w:t>
            </w:r>
          </w:p>
        </w:tc>
        <w:tc>
          <w:tcPr>
            <w:tcW w:w="1275" w:type="dxa"/>
          </w:tcPr>
          <w:p w:rsidR="00D0213E" w:rsidRPr="002159A4" w:rsidRDefault="00D0213E" w:rsidP="00D0213E">
            <w:pPr>
              <w:spacing w:before="0"/>
              <w:jc w:val="center"/>
              <w:rPr>
                <w:sz w:val="20"/>
              </w:rPr>
            </w:pPr>
            <w:r>
              <w:rPr>
                <w:sz w:val="20"/>
              </w:rPr>
              <w:t>Yes</w:t>
            </w:r>
          </w:p>
        </w:tc>
        <w:tc>
          <w:tcPr>
            <w:tcW w:w="6237" w:type="dxa"/>
          </w:tcPr>
          <w:p w:rsidR="00D0213E" w:rsidRPr="002159A4" w:rsidRDefault="00D0213E" w:rsidP="00D0213E">
            <w:pPr>
              <w:spacing w:before="0"/>
              <w:jc w:val="left"/>
              <w:rPr>
                <w:sz w:val="20"/>
              </w:rPr>
            </w:pPr>
            <w:r w:rsidRPr="002159A4">
              <w:rPr>
                <w:sz w:val="20"/>
              </w:rPr>
              <w:t xml:space="preserve">Possible technology path for </w:t>
            </w:r>
            <w:r>
              <w:rPr>
                <w:sz w:val="20"/>
              </w:rPr>
              <w:t xml:space="preserve">new </w:t>
            </w:r>
            <w:r w:rsidRPr="002159A4">
              <w:rPr>
                <w:sz w:val="20"/>
              </w:rPr>
              <w:t xml:space="preserve">equipment in </w:t>
            </w:r>
            <w:r>
              <w:rPr>
                <w:sz w:val="20"/>
              </w:rPr>
              <w:t xml:space="preserve">less than 3 years </w:t>
            </w:r>
            <w:r w:rsidRPr="002159A4">
              <w:rPr>
                <w:sz w:val="20"/>
              </w:rPr>
              <w:t>(</w:t>
            </w:r>
            <w:r>
              <w:rPr>
                <w:sz w:val="20"/>
              </w:rPr>
              <w:t>replacement for equipment based on HFC-407C design</w:t>
            </w:r>
            <w:r w:rsidRPr="002159A4">
              <w:rPr>
                <w:sz w:val="20"/>
              </w:rPr>
              <w:t>)</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p>
        </w:tc>
        <w:tc>
          <w:tcPr>
            <w:tcW w:w="893" w:type="dxa"/>
            <w:tcBorders>
              <w:top w:val="nil"/>
              <w:bottom w:val="nil"/>
              <w:right w:val="single" w:sz="4" w:space="0" w:color="auto"/>
            </w:tcBorders>
          </w:tcPr>
          <w:p w:rsidR="00D0213E" w:rsidRPr="002159A4" w:rsidRDefault="00D0213E" w:rsidP="00D0213E">
            <w:pPr>
              <w:spacing w:before="0"/>
              <w:jc w:val="left"/>
              <w:rPr>
                <w:sz w:val="20"/>
              </w:rPr>
            </w:pP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R744 (CO</w:t>
            </w:r>
            <w:r w:rsidRPr="001F26DE">
              <w:rPr>
                <w:sz w:val="20"/>
                <w:vertAlign w:val="subscript"/>
              </w:rPr>
              <w:t>2</w:t>
            </w:r>
            <w:r w:rsidRPr="002159A4">
              <w:rPr>
                <w:sz w:val="20"/>
              </w:rPr>
              <w:t>)</w:t>
            </w:r>
          </w:p>
        </w:tc>
        <w:tc>
          <w:tcPr>
            <w:tcW w:w="851" w:type="dxa"/>
          </w:tcPr>
          <w:p w:rsidR="00D0213E" w:rsidRPr="002159A4" w:rsidRDefault="00D0213E" w:rsidP="00D0213E">
            <w:pPr>
              <w:spacing w:before="0"/>
              <w:jc w:val="center"/>
              <w:rPr>
                <w:sz w:val="20"/>
              </w:rPr>
            </w:pPr>
            <w:r w:rsidRPr="002159A4">
              <w:rPr>
                <w:sz w:val="20"/>
              </w:rPr>
              <w:t>1</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 xml:space="preserve">Technology path for new equipment </w:t>
            </w:r>
            <w:r>
              <w:rPr>
                <w:sz w:val="20"/>
              </w:rPr>
              <w:t>–</w:t>
            </w:r>
            <w:r w:rsidRPr="002159A4">
              <w:rPr>
                <w:sz w:val="20"/>
              </w:rPr>
              <w:t xml:space="preserve"> </w:t>
            </w:r>
            <w:r w:rsidRPr="007A279F">
              <w:rPr>
                <w:sz w:val="20"/>
              </w:rPr>
              <w:t xml:space="preserve">in </w:t>
            </w:r>
            <w:r>
              <w:rPr>
                <w:sz w:val="20"/>
              </w:rPr>
              <w:t xml:space="preserve">buses </w:t>
            </w:r>
            <w:r w:rsidRPr="007A279F">
              <w:rPr>
                <w:sz w:val="20"/>
              </w:rPr>
              <w:t>use in EU (high</w:t>
            </w:r>
            <w:r>
              <w:rPr>
                <w:sz w:val="20"/>
              </w:rPr>
              <w:t xml:space="preserve"> ambient limitations), limited publically disclosed information available on trains</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p>
        </w:tc>
        <w:tc>
          <w:tcPr>
            <w:tcW w:w="893" w:type="dxa"/>
            <w:tcBorders>
              <w:top w:val="nil"/>
              <w:bottom w:val="nil"/>
              <w:right w:val="single" w:sz="4" w:space="0" w:color="auto"/>
            </w:tcBorders>
          </w:tcPr>
          <w:p w:rsidR="00D0213E" w:rsidRPr="002159A4" w:rsidRDefault="00D0213E" w:rsidP="00D0213E">
            <w:pPr>
              <w:spacing w:before="0"/>
              <w:jc w:val="left"/>
              <w:rPr>
                <w:sz w:val="20"/>
              </w:rPr>
            </w:pP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HFO blends</w:t>
            </w:r>
          </w:p>
        </w:tc>
        <w:tc>
          <w:tcPr>
            <w:tcW w:w="851" w:type="dxa"/>
          </w:tcPr>
          <w:p w:rsidR="00D0213E" w:rsidRPr="002159A4" w:rsidRDefault="00D0213E" w:rsidP="00D0213E">
            <w:pPr>
              <w:spacing w:before="0"/>
              <w:jc w:val="center"/>
              <w:rPr>
                <w:sz w:val="20"/>
              </w:rPr>
            </w:pPr>
            <w:r>
              <w:rPr>
                <w:sz w:val="20"/>
              </w:rPr>
              <w:t>~</w:t>
            </w:r>
            <w:r w:rsidRPr="002159A4">
              <w:rPr>
                <w:sz w:val="20"/>
              </w:rPr>
              <w:t>600</w:t>
            </w:r>
          </w:p>
        </w:tc>
        <w:tc>
          <w:tcPr>
            <w:tcW w:w="1275" w:type="dxa"/>
          </w:tcPr>
          <w:p w:rsidR="00D0213E" w:rsidRPr="002159A4" w:rsidRDefault="00D0213E" w:rsidP="00D0213E">
            <w:pPr>
              <w:spacing w:before="0"/>
              <w:jc w:val="center"/>
              <w:rPr>
                <w:sz w:val="20"/>
              </w:rPr>
            </w:pPr>
            <w:r w:rsidRPr="002159A4">
              <w:rPr>
                <w:sz w:val="20"/>
              </w:rPr>
              <w:t>No</w:t>
            </w:r>
          </w:p>
        </w:tc>
        <w:tc>
          <w:tcPr>
            <w:tcW w:w="6237" w:type="dxa"/>
          </w:tcPr>
          <w:p w:rsidR="00D0213E" w:rsidRPr="002159A4" w:rsidRDefault="00D0213E" w:rsidP="00D0213E">
            <w:pPr>
              <w:spacing w:before="0"/>
              <w:jc w:val="left"/>
              <w:rPr>
                <w:sz w:val="20"/>
              </w:rPr>
            </w:pPr>
            <w:r>
              <w:rPr>
                <w:sz w:val="20"/>
              </w:rPr>
              <w:t>Potential t</w:t>
            </w:r>
            <w:r w:rsidRPr="002159A4">
              <w:rPr>
                <w:sz w:val="20"/>
              </w:rPr>
              <w:t xml:space="preserve">echnology path for existing bank </w:t>
            </w:r>
            <w:r>
              <w:rPr>
                <w:sz w:val="20"/>
              </w:rPr>
              <w:t xml:space="preserve">of </w:t>
            </w:r>
            <w:r w:rsidRPr="002159A4">
              <w:rPr>
                <w:sz w:val="20"/>
              </w:rPr>
              <w:t>equipment in less than 3 years</w:t>
            </w:r>
            <w:r>
              <w:rPr>
                <w:sz w:val="20"/>
              </w:rPr>
              <w:t xml:space="preserve"> </w:t>
            </w:r>
            <w:r w:rsidRPr="002159A4">
              <w:rPr>
                <w:sz w:val="20"/>
              </w:rPr>
              <w:t>(</w:t>
            </w:r>
            <w:r>
              <w:rPr>
                <w:sz w:val="20"/>
              </w:rPr>
              <w:t xml:space="preserve">Class 1, </w:t>
            </w:r>
            <w:r w:rsidRPr="002159A4">
              <w:rPr>
                <w:sz w:val="20"/>
              </w:rPr>
              <w:t>HFC-</w:t>
            </w:r>
            <w:r>
              <w:rPr>
                <w:sz w:val="20"/>
              </w:rPr>
              <w:t>134a</w:t>
            </w:r>
            <w:r w:rsidRPr="002159A4">
              <w:rPr>
                <w:sz w:val="20"/>
              </w:rPr>
              <w:t xml:space="preserve"> replacement)</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p>
        </w:tc>
        <w:tc>
          <w:tcPr>
            <w:tcW w:w="893" w:type="dxa"/>
            <w:tcBorders>
              <w:top w:val="nil"/>
              <w:bottom w:val="nil"/>
              <w:right w:val="single" w:sz="4" w:space="0" w:color="auto"/>
            </w:tcBorders>
          </w:tcPr>
          <w:p w:rsidR="00D0213E" w:rsidRPr="002159A4" w:rsidRDefault="00D0213E" w:rsidP="00D0213E">
            <w:pPr>
              <w:spacing w:before="0"/>
              <w:jc w:val="left"/>
              <w:rPr>
                <w:sz w:val="20"/>
              </w:rPr>
            </w:pP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HFC-152a</w:t>
            </w:r>
          </w:p>
        </w:tc>
        <w:tc>
          <w:tcPr>
            <w:tcW w:w="851" w:type="dxa"/>
          </w:tcPr>
          <w:p w:rsidR="00D0213E" w:rsidRPr="002159A4" w:rsidRDefault="00D0213E" w:rsidP="00D0213E">
            <w:pPr>
              <w:spacing w:before="0"/>
              <w:jc w:val="center"/>
              <w:rPr>
                <w:sz w:val="20"/>
              </w:rPr>
            </w:pPr>
            <w:r w:rsidRPr="002159A4">
              <w:rPr>
                <w:sz w:val="20"/>
              </w:rPr>
              <w:t>140</w:t>
            </w:r>
          </w:p>
        </w:tc>
        <w:tc>
          <w:tcPr>
            <w:tcW w:w="1275" w:type="dxa"/>
          </w:tcPr>
          <w:p w:rsidR="00D0213E" w:rsidRPr="002159A4" w:rsidRDefault="00D0213E" w:rsidP="00D0213E">
            <w:pPr>
              <w:spacing w:before="0"/>
              <w:jc w:val="center"/>
              <w:rPr>
                <w:sz w:val="20"/>
              </w:rPr>
            </w:pPr>
            <w:r w:rsidRPr="002159A4">
              <w:rPr>
                <w:sz w:val="20"/>
              </w:rPr>
              <w:t>Yes</w:t>
            </w:r>
          </w:p>
        </w:tc>
        <w:tc>
          <w:tcPr>
            <w:tcW w:w="6237" w:type="dxa"/>
          </w:tcPr>
          <w:p w:rsidR="00D0213E" w:rsidRPr="002159A4" w:rsidRDefault="00D0213E" w:rsidP="00D0213E">
            <w:pPr>
              <w:spacing w:before="0"/>
              <w:jc w:val="left"/>
              <w:rPr>
                <w:sz w:val="20"/>
              </w:rPr>
            </w:pPr>
            <w:r w:rsidRPr="002159A4">
              <w:rPr>
                <w:sz w:val="20"/>
              </w:rPr>
              <w:t>Technology path for new equipment - no plans</w:t>
            </w:r>
          </w:p>
        </w:tc>
      </w:tr>
      <w:tr w:rsidR="00D0213E" w:rsidRPr="002159A4" w:rsidTr="00D0213E">
        <w:tc>
          <w:tcPr>
            <w:tcW w:w="1900" w:type="dxa"/>
            <w:tcBorders>
              <w:top w:val="nil"/>
            </w:tcBorders>
          </w:tcPr>
          <w:p w:rsidR="00D0213E" w:rsidRPr="002159A4" w:rsidRDefault="00D0213E" w:rsidP="00D0213E">
            <w:pPr>
              <w:spacing w:before="0"/>
              <w:jc w:val="left"/>
              <w:rPr>
                <w:sz w:val="20"/>
              </w:rPr>
            </w:pPr>
          </w:p>
        </w:tc>
        <w:tc>
          <w:tcPr>
            <w:tcW w:w="893" w:type="dxa"/>
            <w:tcBorders>
              <w:top w:val="nil"/>
              <w:right w:val="single" w:sz="4" w:space="0" w:color="auto"/>
            </w:tcBorders>
          </w:tcPr>
          <w:p w:rsidR="00D0213E" w:rsidRPr="002159A4" w:rsidRDefault="00D0213E" w:rsidP="00D0213E">
            <w:pPr>
              <w:spacing w:before="0"/>
              <w:jc w:val="left"/>
              <w:rPr>
                <w:sz w:val="20"/>
              </w:rPr>
            </w:pPr>
          </w:p>
        </w:tc>
        <w:tc>
          <w:tcPr>
            <w:tcW w:w="236" w:type="dxa"/>
            <w:tcBorders>
              <w:top w:val="nil"/>
              <w:left w:val="single" w:sz="4" w:space="0" w:color="auto"/>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2159A4">
              <w:rPr>
                <w:sz w:val="20"/>
              </w:rPr>
              <w:t>Hydrocarbons</w:t>
            </w:r>
          </w:p>
        </w:tc>
        <w:tc>
          <w:tcPr>
            <w:tcW w:w="851" w:type="dxa"/>
          </w:tcPr>
          <w:p w:rsidR="00D0213E" w:rsidRPr="002159A4" w:rsidRDefault="00D0213E" w:rsidP="00D0213E">
            <w:pPr>
              <w:spacing w:before="0"/>
              <w:jc w:val="center"/>
              <w:rPr>
                <w:sz w:val="20"/>
              </w:rPr>
            </w:pPr>
            <w:r w:rsidRPr="002159A4">
              <w:rPr>
                <w:sz w:val="20"/>
              </w:rPr>
              <w:t>3</w:t>
            </w:r>
          </w:p>
        </w:tc>
        <w:tc>
          <w:tcPr>
            <w:tcW w:w="1275" w:type="dxa"/>
          </w:tcPr>
          <w:p w:rsidR="00D0213E" w:rsidRPr="002159A4" w:rsidRDefault="00D0213E" w:rsidP="00D0213E">
            <w:pPr>
              <w:spacing w:before="0"/>
              <w:jc w:val="center"/>
              <w:rPr>
                <w:sz w:val="20"/>
              </w:rPr>
            </w:pPr>
            <w:r w:rsidRPr="002159A4">
              <w:rPr>
                <w:sz w:val="20"/>
              </w:rPr>
              <w:t>-</w:t>
            </w:r>
          </w:p>
        </w:tc>
        <w:tc>
          <w:tcPr>
            <w:tcW w:w="6237" w:type="dxa"/>
          </w:tcPr>
          <w:p w:rsidR="00D0213E" w:rsidRPr="002159A4" w:rsidRDefault="00D0213E" w:rsidP="00D0213E">
            <w:pPr>
              <w:spacing w:before="0"/>
              <w:jc w:val="left"/>
              <w:rPr>
                <w:sz w:val="20"/>
              </w:rPr>
            </w:pPr>
            <w:r w:rsidRPr="002159A4">
              <w:rPr>
                <w:sz w:val="20"/>
              </w:rPr>
              <w:t>Flammability, technology (leak containment) and liability issues</w:t>
            </w:r>
          </w:p>
        </w:tc>
      </w:tr>
      <w:tr w:rsidR="00D0213E" w:rsidRPr="002159A4" w:rsidTr="00D0213E">
        <w:tc>
          <w:tcPr>
            <w:tcW w:w="13041" w:type="dxa"/>
            <w:gridSpan w:val="7"/>
          </w:tcPr>
          <w:p w:rsidR="00D0213E" w:rsidRPr="002159A4" w:rsidRDefault="00D0213E" w:rsidP="00D0213E">
            <w:pPr>
              <w:spacing w:before="0"/>
              <w:jc w:val="left"/>
              <w:rPr>
                <w:sz w:val="20"/>
              </w:rPr>
            </w:pPr>
          </w:p>
        </w:tc>
      </w:tr>
    </w:tbl>
    <w:p w:rsidR="00D0213E" w:rsidRDefault="00D0213E" w:rsidP="00D0213E">
      <w:pPr>
        <w:spacing w:before="0"/>
      </w:pPr>
    </w:p>
    <w:p w:rsidR="00D0213E" w:rsidRDefault="00D0213E" w:rsidP="00D0213E">
      <w:pPr>
        <w:spacing w:before="0"/>
      </w:pPr>
    </w:p>
    <w:p w:rsidR="00D0213E" w:rsidRDefault="00D0213E" w:rsidP="00D0213E">
      <w:pPr>
        <w:spacing w:before="0"/>
      </w:pPr>
    </w:p>
    <w:p w:rsidR="00D0213E" w:rsidRDefault="00D0213E" w:rsidP="00D0213E">
      <w:pPr>
        <w:spacing w:before="0"/>
      </w:pPr>
    </w:p>
    <w:p w:rsidR="00D0213E" w:rsidRDefault="00D0213E" w:rsidP="00D0213E">
      <w:pPr>
        <w:spacing w:before="0"/>
      </w:pPr>
    </w:p>
    <w:p w:rsidR="00D0213E" w:rsidRDefault="00D0213E" w:rsidP="00D0213E">
      <w:pPr>
        <w:spacing w:before="0"/>
      </w:pPr>
    </w:p>
    <w:p w:rsidR="00D0213E" w:rsidRDefault="00D0213E" w:rsidP="00D0213E">
      <w:pPr>
        <w:spacing w:before="0"/>
      </w:pPr>
    </w:p>
    <w:p w:rsidR="00D0213E" w:rsidRDefault="00D0213E" w:rsidP="00D0213E">
      <w:pPr>
        <w:spacing w:before="0"/>
      </w:pPr>
    </w:p>
    <w:p w:rsidR="00D0213E" w:rsidRDefault="00D0213E" w:rsidP="00D0213E">
      <w:pPr>
        <w:spacing w:before="0"/>
      </w:pPr>
    </w:p>
    <w:p w:rsidR="00D0213E" w:rsidRDefault="00D0213E" w:rsidP="00D0213E">
      <w:pPr>
        <w:spacing w:before="0"/>
      </w:pPr>
    </w:p>
    <w:p w:rsidR="00D0213E" w:rsidRDefault="00D0213E" w:rsidP="00D0213E">
      <w:pPr>
        <w:spacing w:before="0"/>
      </w:pPr>
    </w:p>
    <w:p w:rsidR="00D0213E" w:rsidRDefault="00D0213E" w:rsidP="00D0213E">
      <w:pPr>
        <w:spacing w:before="0"/>
      </w:pPr>
    </w:p>
    <w:p w:rsidR="00D0213E" w:rsidRDefault="00D0213E" w:rsidP="00D0213E">
      <w:pPr>
        <w:spacing w:before="0"/>
      </w:pPr>
    </w:p>
    <w:p w:rsidR="00D0213E" w:rsidRPr="002159A4" w:rsidRDefault="00D0213E" w:rsidP="00D0213E">
      <w:pPr>
        <w:rPr>
          <w:b/>
        </w:rPr>
      </w:pPr>
      <w:r w:rsidRPr="002159A4">
        <w:rPr>
          <w:b/>
        </w:rPr>
        <w:t xml:space="preserve">Transition map to </w:t>
      </w:r>
      <w:r>
        <w:rPr>
          <w:b/>
        </w:rPr>
        <w:t xml:space="preserve">nil </w:t>
      </w:r>
      <w:r w:rsidRPr="002159A4">
        <w:rPr>
          <w:b/>
        </w:rPr>
        <w:t>or low</w:t>
      </w:r>
      <w:r>
        <w:rPr>
          <w:b/>
        </w:rPr>
        <w:t>er</w:t>
      </w:r>
      <w:r w:rsidRPr="002159A4">
        <w:rPr>
          <w:b/>
        </w:rPr>
        <w:t xml:space="preserve"> GWP options for main equipment classes and </w:t>
      </w:r>
      <w:r>
        <w:rPr>
          <w:b/>
        </w:rPr>
        <w:t xml:space="preserve">technologies </w:t>
      </w:r>
      <w:r w:rsidRPr="00FA2337">
        <w:rPr>
          <w:b/>
        </w:rPr>
        <w:t>(continued)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00"/>
        <w:gridCol w:w="893"/>
        <w:gridCol w:w="236"/>
        <w:gridCol w:w="1649"/>
        <w:gridCol w:w="851"/>
        <w:gridCol w:w="1275"/>
        <w:gridCol w:w="6237"/>
      </w:tblGrid>
      <w:tr w:rsidR="00D0213E" w:rsidRPr="002159A4" w:rsidTr="00D0213E">
        <w:tc>
          <w:tcPr>
            <w:tcW w:w="1900" w:type="dxa"/>
            <w:tcBorders>
              <w:righ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Current options</w:t>
            </w:r>
          </w:p>
        </w:tc>
        <w:tc>
          <w:tcPr>
            <w:tcW w:w="893" w:type="dxa"/>
            <w:tcBorders>
              <w:left w:val="single" w:sz="4" w:space="0" w:color="FFFFFF"/>
              <w:right w:val="single" w:sz="4" w:space="0" w:color="FFFFFF"/>
            </w:tcBorders>
            <w:shd w:val="clear" w:color="auto" w:fill="000000"/>
            <w:vAlign w:val="center"/>
          </w:tcPr>
          <w:p w:rsidR="00D0213E" w:rsidRDefault="00D0213E" w:rsidP="00D0213E">
            <w:pPr>
              <w:spacing w:before="0"/>
              <w:jc w:val="center"/>
              <w:outlineLvl w:val="0"/>
              <w:rPr>
                <w:sz w:val="20"/>
                <w:szCs w:val="12"/>
                <w:lang w:val="en-AU"/>
              </w:rPr>
            </w:pPr>
            <w:r w:rsidRPr="002159A4">
              <w:rPr>
                <w:sz w:val="20"/>
                <w:szCs w:val="12"/>
                <w:lang w:val="en-AU"/>
              </w:rPr>
              <w:t>GWP</w:t>
            </w:r>
          </w:p>
          <w:p w:rsidR="00D0213E" w:rsidRPr="002159A4" w:rsidRDefault="00D0213E" w:rsidP="00D0213E">
            <w:pPr>
              <w:spacing w:before="0"/>
              <w:jc w:val="center"/>
              <w:outlineLvl w:val="0"/>
              <w:rPr>
                <w:sz w:val="20"/>
                <w:szCs w:val="12"/>
                <w:lang w:val="en-AU"/>
              </w:rPr>
            </w:pPr>
            <w:r>
              <w:rPr>
                <w:sz w:val="20"/>
                <w:szCs w:val="12"/>
                <w:lang w:val="en-AU"/>
              </w:rPr>
              <w:t>(AR4)</w:t>
            </w:r>
          </w:p>
        </w:tc>
        <w:tc>
          <w:tcPr>
            <w:tcW w:w="236" w:type="dxa"/>
            <w:tcBorders>
              <w:left w:val="single" w:sz="4" w:space="0" w:color="FFFFFF"/>
              <w:right w:val="single" w:sz="4" w:space="0" w:color="FFFFFF"/>
            </w:tcBorders>
            <w:shd w:val="clear" w:color="auto" w:fill="CCCCCC"/>
          </w:tcPr>
          <w:p w:rsidR="00D0213E" w:rsidRPr="002159A4" w:rsidRDefault="00D0213E" w:rsidP="00D0213E">
            <w:pPr>
              <w:spacing w:before="0"/>
              <w:outlineLvl w:val="0"/>
              <w:rPr>
                <w:sz w:val="20"/>
                <w:szCs w:val="12"/>
                <w:lang w:val="en-AU"/>
              </w:rPr>
            </w:pPr>
          </w:p>
        </w:tc>
        <w:tc>
          <w:tcPr>
            <w:tcW w:w="1649" w:type="dxa"/>
            <w:tcBorders>
              <w:left w:val="single" w:sz="4" w:space="0" w:color="FFFFFF"/>
              <w:righ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Low</w:t>
            </w:r>
            <w:r>
              <w:rPr>
                <w:sz w:val="20"/>
                <w:szCs w:val="12"/>
                <w:lang w:val="en-AU"/>
              </w:rPr>
              <w:t>er</w:t>
            </w:r>
            <w:r w:rsidRPr="002159A4">
              <w:rPr>
                <w:sz w:val="20"/>
                <w:szCs w:val="12"/>
                <w:lang w:val="en-AU"/>
              </w:rPr>
              <w:t xml:space="preserve"> GWP options</w:t>
            </w:r>
          </w:p>
        </w:tc>
        <w:tc>
          <w:tcPr>
            <w:tcW w:w="851" w:type="dxa"/>
            <w:tcBorders>
              <w:left w:val="single" w:sz="4" w:space="0" w:color="FFFFFF"/>
              <w:right w:val="single" w:sz="4" w:space="0" w:color="FFFFFF"/>
            </w:tcBorders>
            <w:shd w:val="clear" w:color="auto" w:fill="000000"/>
            <w:vAlign w:val="center"/>
          </w:tcPr>
          <w:p w:rsidR="00D0213E" w:rsidRPr="002159A4" w:rsidRDefault="00D0213E" w:rsidP="00D0213E">
            <w:pPr>
              <w:spacing w:before="0"/>
              <w:jc w:val="center"/>
              <w:outlineLvl w:val="0"/>
              <w:rPr>
                <w:sz w:val="20"/>
                <w:szCs w:val="12"/>
                <w:lang w:val="en-AU"/>
              </w:rPr>
            </w:pPr>
            <w:r w:rsidRPr="002159A4">
              <w:rPr>
                <w:sz w:val="20"/>
                <w:szCs w:val="12"/>
                <w:lang w:val="en-AU"/>
              </w:rPr>
              <w:t>GWP</w:t>
            </w:r>
          </w:p>
        </w:tc>
        <w:tc>
          <w:tcPr>
            <w:tcW w:w="1275" w:type="dxa"/>
            <w:tcBorders>
              <w:left w:val="single" w:sz="4" w:space="0" w:color="FFFFFF"/>
              <w:righ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Equipment replacement</w:t>
            </w:r>
          </w:p>
        </w:tc>
        <w:tc>
          <w:tcPr>
            <w:tcW w:w="6237" w:type="dxa"/>
            <w:tcBorders>
              <w:lef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Comments</w:t>
            </w:r>
          </w:p>
        </w:tc>
      </w:tr>
      <w:tr w:rsidR="00D0213E" w:rsidRPr="002159A4" w:rsidTr="00D0213E">
        <w:tc>
          <w:tcPr>
            <w:tcW w:w="13041" w:type="dxa"/>
            <w:gridSpan w:val="7"/>
          </w:tcPr>
          <w:p w:rsidR="00D0213E" w:rsidRPr="00763C3E" w:rsidRDefault="00D0213E" w:rsidP="00D0213E">
            <w:pPr>
              <w:jc w:val="left"/>
              <w:rPr>
                <w:b/>
                <w:sz w:val="20"/>
              </w:rPr>
            </w:pPr>
            <w:r>
              <w:rPr>
                <w:b/>
                <w:sz w:val="20"/>
              </w:rPr>
              <w:t>Foams</w:t>
            </w:r>
          </w:p>
        </w:tc>
      </w:tr>
      <w:tr w:rsidR="00D0213E" w:rsidRPr="002159A4" w:rsidTr="00D0213E">
        <w:tc>
          <w:tcPr>
            <w:tcW w:w="1900" w:type="dxa"/>
            <w:tcBorders>
              <w:bottom w:val="nil"/>
            </w:tcBorders>
          </w:tcPr>
          <w:p w:rsidR="00D0213E" w:rsidRPr="009E1CFC" w:rsidRDefault="00D0213E" w:rsidP="00D0213E">
            <w:pPr>
              <w:spacing w:before="0"/>
              <w:jc w:val="left"/>
              <w:rPr>
                <w:sz w:val="20"/>
              </w:rPr>
            </w:pPr>
            <w:r w:rsidRPr="009E1CFC">
              <w:rPr>
                <w:sz w:val="20"/>
              </w:rPr>
              <w:t>HFC-365mfc/</w:t>
            </w:r>
          </w:p>
          <w:p w:rsidR="00D0213E" w:rsidRPr="002159A4" w:rsidRDefault="00D0213E" w:rsidP="00D0213E">
            <w:pPr>
              <w:spacing w:before="0"/>
              <w:jc w:val="left"/>
              <w:rPr>
                <w:sz w:val="20"/>
              </w:rPr>
            </w:pPr>
            <w:r w:rsidRPr="009E1CFC">
              <w:rPr>
                <w:sz w:val="20"/>
              </w:rPr>
              <w:t>HFC-227ea blend</w:t>
            </w:r>
          </w:p>
        </w:tc>
        <w:tc>
          <w:tcPr>
            <w:tcW w:w="893" w:type="dxa"/>
            <w:tcBorders>
              <w:bottom w:val="nil"/>
              <w:right w:val="single" w:sz="4" w:space="0" w:color="000000"/>
            </w:tcBorders>
          </w:tcPr>
          <w:p w:rsidR="00D0213E" w:rsidRPr="002159A4" w:rsidRDefault="00D0213E" w:rsidP="00D0213E">
            <w:pPr>
              <w:spacing w:before="0"/>
              <w:jc w:val="center"/>
              <w:rPr>
                <w:sz w:val="20"/>
              </w:rPr>
            </w:pPr>
            <w:r w:rsidRPr="009E1CFC">
              <w:rPr>
                <w:sz w:val="20"/>
              </w:rPr>
              <w:t>1109</w:t>
            </w:r>
          </w:p>
        </w:tc>
        <w:tc>
          <w:tcPr>
            <w:tcW w:w="236" w:type="dxa"/>
            <w:tcBorders>
              <w:top w:val="single" w:sz="4" w:space="0" w:color="auto"/>
              <w:left w:val="single" w:sz="4" w:space="0" w:color="000000"/>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Default="00D0213E" w:rsidP="00D0213E">
            <w:pPr>
              <w:spacing w:before="0"/>
              <w:jc w:val="left"/>
              <w:rPr>
                <w:sz w:val="20"/>
              </w:rPr>
            </w:pPr>
            <w:r>
              <w:rPr>
                <w:sz w:val="20"/>
              </w:rPr>
              <w:t>HFO-1234ze(E)</w:t>
            </w:r>
          </w:p>
          <w:p w:rsidR="00D0213E" w:rsidRPr="002159A4" w:rsidRDefault="00D0213E" w:rsidP="00D0213E">
            <w:pPr>
              <w:spacing w:before="0"/>
              <w:jc w:val="left"/>
              <w:rPr>
                <w:sz w:val="20"/>
              </w:rPr>
            </w:pPr>
            <w:r>
              <w:rPr>
                <w:sz w:val="20"/>
              </w:rPr>
              <w:t>HFO-1233zd</w:t>
            </w:r>
          </w:p>
        </w:tc>
        <w:tc>
          <w:tcPr>
            <w:tcW w:w="851" w:type="dxa"/>
          </w:tcPr>
          <w:p w:rsidR="00D0213E" w:rsidRPr="002159A4" w:rsidRDefault="00D0213E" w:rsidP="00D0213E">
            <w:pPr>
              <w:spacing w:before="0"/>
              <w:jc w:val="center"/>
              <w:rPr>
                <w:sz w:val="20"/>
              </w:rPr>
            </w:pPr>
            <w:r w:rsidRPr="009E1CFC">
              <w:rPr>
                <w:sz w:val="20"/>
              </w:rPr>
              <w:t>&lt;10</w:t>
            </w:r>
          </w:p>
        </w:tc>
        <w:tc>
          <w:tcPr>
            <w:tcW w:w="1275" w:type="dxa"/>
          </w:tcPr>
          <w:p w:rsidR="00D0213E" w:rsidRPr="002159A4" w:rsidRDefault="00D0213E" w:rsidP="00D0213E">
            <w:pPr>
              <w:spacing w:before="0"/>
              <w:jc w:val="center"/>
              <w:rPr>
                <w:sz w:val="20"/>
              </w:rPr>
            </w:pPr>
            <w:r>
              <w:rPr>
                <w:sz w:val="20"/>
              </w:rPr>
              <w:t>See footnote</w:t>
            </w:r>
            <w:r>
              <w:rPr>
                <w:rStyle w:val="FootnoteReference"/>
              </w:rPr>
              <w:footnoteReference w:id="3"/>
            </w:r>
            <w:r>
              <w:rPr>
                <w:sz w:val="20"/>
              </w:rPr>
              <w:t xml:space="preserve"> </w:t>
            </w:r>
          </w:p>
        </w:tc>
        <w:tc>
          <w:tcPr>
            <w:tcW w:w="6237" w:type="dxa"/>
          </w:tcPr>
          <w:p w:rsidR="00D0213E" w:rsidRDefault="00D0213E" w:rsidP="00D0213E">
            <w:pPr>
              <w:spacing w:before="0"/>
              <w:jc w:val="left"/>
              <w:rPr>
                <w:sz w:val="20"/>
              </w:rPr>
            </w:pPr>
            <w:r w:rsidRPr="009E1CFC">
              <w:rPr>
                <w:sz w:val="20"/>
              </w:rPr>
              <w:t xml:space="preserve">Technology path in </w:t>
            </w:r>
            <w:r>
              <w:rPr>
                <w:sz w:val="20"/>
              </w:rPr>
              <w:t>1</w:t>
            </w:r>
            <w:r w:rsidRPr="009E1CFC">
              <w:rPr>
                <w:sz w:val="20"/>
              </w:rPr>
              <w:t xml:space="preserve"> to </w:t>
            </w:r>
            <w:r>
              <w:rPr>
                <w:sz w:val="20"/>
              </w:rPr>
              <w:t>3</w:t>
            </w:r>
            <w:r w:rsidRPr="009E1CFC">
              <w:rPr>
                <w:sz w:val="20"/>
              </w:rPr>
              <w:t xml:space="preserve"> years - low capital cost</w:t>
            </w:r>
            <w:r>
              <w:rPr>
                <w:sz w:val="20"/>
              </w:rPr>
              <w:t>, product cost uncertain</w:t>
            </w:r>
          </w:p>
          <w:p w:rsidR="00D0213E" w:rsidRPr="002159A4" w:rsidRDefault="00D0213E" w:rsidP="00D0213E">
            <w:pPr>
              <w:spacing w:before="0"/>
              <w:jc w:val="left"/>
              <w:rPr>
                <w:sz w:val="20"/>
              </w:rPr>
            </w:pPr>
            <w:r>
              <w:rPr>
                <w:sz w:val="20"/>
              </w:rPr>
              <w:t>HFO-1233zd is n</w:t>
            </w:r>
            <w:r w:rsidRPr="00EB6BDE">
              <w:rPr>
                <w:sz w:val="20"/>
              </w:rPr>
              <w:t>on-flammable</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r w:rsidRPr="009E1CFC">
              <w:rPr>
                <w:sz w:val="20"/>
              </w:rPr>
              <w:t>HFC-245fa</w:t>
            </w:r>
          </w:p>
        </w:tc>
        <w:tc>
          <w:tcPr>
            <w:tcW w:w="893" w:type="dxa"/>
            <w:tcBorders>
              <w:top w:val="nil"/>
              <w:bottom w:val="nil"/>
              <w:right w:val="single" w:sz="4" w:space="0" w:color="000000"/>
            </w:tcBorders>
          </w:tcPr>
          <w:p w:rsidR="00D0213E" w:rsidRPr="002159A4" w:rsidRDefault="00D0213E" w:rsidP="00D0213E">
            <w:pPr>
              <w:spacing w:before="0"/>
              <w:jc w:val="center"/>
              <w:rPr>
                <w:sz w:val="20"/>
              </w:rPr>
            </w:pPr>
            <w:r w:rsidRPr="009E1CFC">
              <w:rPr>
                <w:sz w:val="20"/>
              </w:rPr>
              <w:t>1030</w:t>
            </w:r>
          </w:p>
        </w:tc>
        <w:tc>
          <w:tcPr>
            <w:tcW w:w="236" w:type="dxa"/>
            <w:tcBorders>
              <w:top w:val="nil"/>
              <w:left w:val="single" w:sz="4" w:space="0" w:color="000000"/>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Default="00D0213E" w:rsidP="00D0213E">
            <w:pPr>
              <w:spacing w:before="0"/>
              <w:jc w:val="left"/>
              <w:rPr>
                <w:sz w:val="20"/>
              </w:rPr>
            </w:pPr>
            <w:r>
              <w:rPr>
                <w:sz w:val="20"/>
              </w:rPr>
              <w:t>Hydrocarbons</w:t>
            </w:r>
          </w:p>
          <w:p w:rsidR="00D0213E" w:rsidRPr="002159A4" w:rsidRDefault="00D0213E" w:rsidP="00D0213E">
            <w:pPr>
              <w:spacing w:before="0"/>
              <w:jc w:val="left"/>
              <w:rPr>
                <w:sz w:val="20"/>
              </w:rPr>
            </w:pPr>
          </w:p>
        </w:tc>
        <w:tc>
          <w:tcPr>
            <w:tcW w:w="851" w:type="dxa"/>
          </w:tcPr>
          <w:p w:rsidR="00D0213E" w:rsidRPr="002159A4" w:rsidRDefault="00D0213E" w:rsidP="00D0213E">
            <w:pPr>
              <w:spacing w:before="0"/>
              <w:jc w:val="center"/>
              <w:rPr>
                <w:sz w:val="20"/>
              </w:rPr>
            </w:pPr>
            <w:r>
              <w:rPr>
                <w:sz w:val="20"/>
              </w:rPr>
              <w:t>~3</w:t>
            </w:r>
          </w:p>
        </w:tc>
        <w:tc>
          <w:tcPr>
            <w:tcW w:w="1275" w:type="dxa"/>
          </w:tcPr>
          <w:p w:rsidR="00D0213E" w:rsidRPr="002159A4" w:rsidRDefault="00D0213E" w:rsidP="00D0213E">
            <w:pPr>
              <w:spacing w:before="0"/>
              <w:jc w:val="center"/>
              <w:rPr>
                <w:sz w:val="20"/>
              </w:rPr>
            </w:pPr>
            <w:r w:rsidRPr="009E1CFC">
              <w:rPr>
                <w:sz w:val="20"/>
              </w:rPr>
              <w:t>Yes</w:t>
            </w:r>
          </w:p>
        </w:tc>
        <w:tc>
          <w:tcPr>
            <w:tcW w:w="6237" w:type="dxa"/>
          </w:tcPr>
          <w:p w:rsidR="00D0213E" w:rsidRPr="002159A4" w:rsidRDefault="00D0213E" w:rsidP="00D0213E">
            <w:pPr>
              <w:spacing w:before="0"/>
              <w:jc w:val="left"/>
              <w:rPr>
                <w:sz w:val="20"/>
              </w:rPr>
            </w:pPr>
            <w:r w:rsidRPr="009E1CFC">
              <w:rPr>
                <w:sz w:val="20"/>
              </w:rPr>
              <w:t>Current technology path - high capital costs due to flammability, requires economies of scale</w:t>
            </w:r>
          </w:p>
        </w:tc>
      </w:tr>
      <w:tr w:rsidR="00D0213E" w:rsidRPr="002159A4" w:rsidTr="00D0213E">
        <w:tc>
          <w:tcPr>
            <w:tcW w:w="1900" w:type="dxa"/>
            <w:tcBorders>
              <w:top w:val="nil"/>
              <w:bottom w:val="nil"/>
            </w:tcBorders>
          </w:tcPr>
          <w:p w:rsidR="00D0213E" w:rsidRDefault="00D0213E" w:rsidP="00D0213E">
            <w:pPr>
              <w:spacing w:before="0"/>
              <w:jc w:val="left"/>
              <w:rPr>
                <w:sz w:val="20"/>
              </w:rPr>
            </w:pPr>
            <w:r>
              <w:rPr>
                <w:sz w:val="20"/>
              </w:rPr>
              <w:t>Hydrocarbons</w:t>
            </w:r>
          </w:p>
          <w:p w:rsidR="00D0213E" w:rsidRPr="002159A4" w:rsidRDefault="00D0213E" w:rsidP="00D0213E">
            <w:pPr>
              <w:spacing w:before="0"/>
              <w:jc w:val="left"/>
              <w:rPr>
                <w:sz w:val="20"/>
              </w:rPr>
            </w:pPr>
            <w:r>
              <w:rPr>
                <w:sz w:val="20"/>
              </w:rPr>
              <w:t xml:space="preserve">(Mostly </w:t>
            </w:r>
            <w:r w:rsidRPr="009E1CFC">
              <w:rPr>
                <w:sz w:val="20"/>
              </w:rPr>
              <w:t>n-Pentane</w:t>
            </w:r>
            <w:r>
              <w:rPr>
                <w:sz w:val="20"/>
              </w:rPr>
              <w:t>)</w:t>
            </w:r>
          </w:p>
        </w:tc>
        <w:tc>
          <w:tcPr>
            <w:tcW w:w="893" w:type="dxa"/>
            <w:tcBorders>
              <w:top w:val="nil"/>
              <w:bottom w:val="nil"/>
              <w:right w:val="single" w:sz="4" w:space="0" w:color="000000"/>
            </w:tcBorders>
          </w:tcPr>
          <w:p w:rsidR="00D0213E" w:rsidRPr="002159A4" w:rsidRDefault="00D0213E" w:rsidP="00D0213E">
            <w:pPr>
              <w:spacing w:before="0"/>
              <w:jc w:val="center"/>
              <w:rPr>
                <w:sz w:val="20"/>
              </w:rPr>
            </w:pPr>
            <w:r>
              <w:rPr>
                <w:sz w:val="20"/>
              </w:rPr>
              <w:t>3</w:t>
            </w:r>
          </w:p>
        </w:tc>
        <w:tc>
          <w:tcPr>
            <w:tcW w:w="236" w:type="dxa"/>
            <w:tcBorders>
              <w:top w:val="nil"/>
              <w:left w:val="single" w:sz="4" w:space="0" w:color="000000"/>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Pr>
                <w:sz w:val="20"/>
              </w:rPr>
              <w:t>HFO blends</w:t>
            </w:r>
          </w:p>
        </w:tc>
        <w:tc>
          <w:tcPr>
            <w:tcW w:w="851" w:type="dxa"/>
          </w:tcPr>
          <w:p w:rsidR="00D0213E" w:rsidRPr="002159A4" w:rsidRDefault="00D0213E" w:rsidP="00D0213E">
            <w:pPr>
              <w:spacing w:before="0"/>
              <w:jc w:val="center"/>
              <w:rPr>
                <w:sz w:val="20"/>
              </w:rPr>
            </w:pPr>
            <w:r>
              <w:rPr>
                <w:sz w:val="20"/>
              </w:rPr>
              <w:t>&lt;1000</w:t>
            </w:r>
          </w:p>
        </w:tc>
        <w:tc>
          <w:tcPr>
            <w:tcW w:w="1275" w:type="dxa"/>
          </w:tcPr>
          <w:p w:rsidR="00D0213E" w:rsidRPr="002159A4" w:rsidRDefault="00D0213E" w:rsidP="00D0213E">
            <w:pPr>
              <w:spacing w:before="0"/>
              <w:jc w:val="center"/>
              <w:rPr>
                <w:sz w:val="20"/>
              </w:rPr>
            </w:pPr>
            <w:r>
              <w:rPr>
                <w:sz w:val="20"/>
              </w:rPr>
              <w:t>-</w:t>
            </w:r>
          </w:p>
        </w:tc>
        <w:tc>
          <w:tcPr>
            <w:tcW w:w="6237" w:type="dxa"/>
          </w:tcPr>
          <w:p w:rsidR="00D0213E" w:rsidRPr="002159A4" w:rsidRDefault="00D0213E" w:rsidP="00D0213E">
            <w:pPr>
              <w:spacing w:before="0"/>
              <w:jc w:val="left"/>
              <w:rPr>
                <w:sz w:val="20"/>
              </w:rPr>
            </w:pPr>
            <w:r w:rsidRPr="009E1CFC">
              <w:rPr>
                <w:sz w:val="20"/>
              </w:rPr>
              <w:t xml:space="preserve">Technology path in </w:t>
            </w:r>
            <w:r>
              <w:rPr>
                <w:sz w:val="20"/>
              </w:rPr>
              <w:t>1</w:t>
            </w:r>
            <w:r w:rsidRPr="009E1CFC">
              <w:rPr>
                <w:sz w:val="20"/>
              </w:rPr>
              <w:t xml:space="preserve"> to </w:t>
            </w:r>
            <w:r>
              <w:rPr>
                <w:sz w:val="20"/>
              </w:rPr>
              <w:t>3</w:t>
            </w:r>
            <w:r w:rsidRPr="009E1CFC">
              <w:rPr>
                <w:sz w:val="20"/>
              </w:rPr>
              <w:t xml:space="preserve"> years - low capital cost</w:t>
            </w:r>
            <w:r>
              <w:rPr>
                <w:sz w:val="20"/>
              </w:rPr>
              <w:t>, product cost uncertain</w:t>
            </w:r>
          </w:p>
        </w:tc>
      </w:tr>
      <w:tr w:rsidR="00D0213E" w:rsidRPr="002159A4" w:rsidTr="00D0213E">
        <w:tc>
          <w:tcPr>
            <w:tcW w:w="1900" w:type="dxa"/>
            <w:tcBorders>
              <w:top w:val="nil"/>
            </w:tcBorders>
          </w:tcPr>
          <w:p w:rsidR="00D0213E" w:rsidRDefault="00D0213E" w:rsidP="00D0213E">
            <w:pPr>
              <w:spacing w:before="0"/>
              <w:jc w:val="left"/>
              <w:rPr>
                <w:sz w:val="20"/>
              </w:rPr>
            </w:pPr>
          </w:p>
          <w:p w:rsidR="00D0213E" w:rsidRPr="002159A4" w:rsidRDefault="00D0213E" w:rsidP="00D0213E">
            <w:pPr>
              <w:spacing w:before="0"/>
              <w:jc w:val="left"/>
              <w:rPr>
                <w:sz w:val="20"/>
              </w:rPr>
            </w:pPr>
            <w:r w:rsidRPr="009E1CFC">
              <w:rPr>
                <w:sz w:val="20"/>
              </w:rPr>
              <w:t>CO</w:t>
            </w:r>
            <w:r w:rsidRPr="009E1CFC">
              <w:rPr>
                <w:sz w:val="20"/>
                <w:vertAlign w:val="subscript"/>
              </w:rPr>
              <w:t>2</w:t>
            </w:r>
            <w:r>
              <w:rPr>
                <w:sz w:val="20"/>
                <w:vertAlign w:val="subscript"/>
              </w:rPr>
              <w:t xml:space="preserve"> </w:t>
            </w:r>
            <w:r w:rsidRPr="00454FB5">
              <w:rPr>
                <w:sz w:val="20"/>
              </w:rPr>
              <w:t>and water</w:t>
            </w:r>
          </w:p>
        </w:tc>
        <w:tc>
          <w:tcPr>
            <w:tcW w:w="893" w:type="dxa"/>
            <w:tcBorders>
              <w:top w:val="nil"/>
              <w:right w:val="single" w:sz="4" w:space="0" w:color="000000"/>
            </w:tcBorders>
          </w:tcPr>
          <w:p w:rsidR="00D0213E" w:rsidRDefault="00D0213E" w:rsidP="00D0213E">
            <w:pPr>
              <w:spacing w:before="0"/>
              <w:jc w:val="center"/>
              <w:rPr>
                <w:sz w:val="20"/>
              </w:rPr>
            </w:pPr>
          </w:p>
          <w:p w:rsidR="00D0213E" w:rsidRPr="002159A4" w:rsidRDefault="00D0213E" w:rsidP="00D0213E">
            <w:pPr>
              <w:spacing w:before="0"/>
              <w:jc w:val="center"/>
              <w:rPr>
                <w:sz w:val="20"/>
              </w:rPr>
            </w:pPr>
            <w:r w:rsidRPr="009E1CFC">
              <w:rPr>
                <w:sz w:val="20"/>
              </w:rPr>
              <w:t>1</w:t>
            </w:r>
          </w:p>
        </w:tc>
        <w:tc>
          <w:tcPr>
            <w:tcW w:w="236" w:type="dxa"/>
            <w:tcBorders>
              <w:top w:val="nil"/>
              <w:left w:val="single" w:sz="4" w:space="0" w:color="000000"/>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A6651A" w:rsidRDefault="00D0213E" w:rsidP="00D0213E">
            <w:pPr>
              <w:spacing w:before="0"/>
              <w:jc w:val="left"/>
              <w:rPr>
                <w:sz w:val="20"/>
              </w:rPr>
            </w:pPr>
            <w:r w:rsidRPr="009E1CFC">
              <w:rPr>
                <w:sz w:val="20"/>
              </w:rPr>
              <w:t>CO</w:t>
            </w:r>
            <w:r w:rsidRPr="009E1CFC">
              <w:rPr>
                <w:sz w:val="20"/>
                <w:vertAlign w:val="subscript"/>
              </w:rPr>
              <w:t>2</w:t>
            </w:r>
            <w:r>
              <w:rPr>
                <w:sz w:val="20"/>
                <w:vertAlign w:val="subscript"/>
              </w:rPr>
              <w:t xml:space="preserve"> </w:t>
            </w:r>
            <w:r w:rsidRPr="00454FB5">
              <w:rPr>
                <w:sz w:val="20"/>
              </w:rPr>
              <w:t>and water</w:t>
            </w:r>
          </w:p>
        </w:tc>
        <w:tc>
          <w:tcPr>
            <w:tcW w:w="851" w:type="dxa"/>
          </w:tcPr>
          <w:p w:rsidR="00D0213E" w:rsidRPr="00A6651A" w:rsidRDefault="00D0213E" w:rsidP="00D0213E">
            <w:pPr>
              <w:spacing w:before="0"/>
              <w:jc w:val="center"/>
              <w:rPr>
                <w:sz w:val="20"/>
              </w:rPr>
            </w:pPr>
            <w:r w:rsidRPr="009E1CFC">
              <w:rPr>
                <w:sz w:val="20"/>
              </w:rPr>
              <w:t>1</w:t>
            </w:r>
          </w:p>
        </w:tc>
        <w:tc>
          <w:tcPr>
            <w:tcW w:w="1275" w:type="dxa"/>
          </w:tcPr>
          <w:p w:rsidR="00D0213E" w:rsidRPr="002159A4" w:rsidRDefault="00D0213E" w:rsidP="00D0213E">
            <w:pPr>
              <w:spacing w:before="0"/>
              <w:jc w:val="center"/>
              <w:rPr>
                <w:sz w:val="20"/>
              </w:rPr>
            </w:pPr>
            <w:r w:rsidRPr="009E1CFC">
              <w:rPr>
                <w:sz w:val="20"/>
              </w:rPr>
              <w:t>Yes</w:t>
            </w:r>
          </w:p>
        </w:tc>
        <w:tc>
          <w:tcPr>
            <w:tcW w:w="6237" w:type="dxa"/>
          </w:tcPr>
          <w:p w:rsidR="00D0213E" w:rsidRPr="002159A4" w:rsidRDefault="00D0213E" w:rsidP="00D0213E">
            <w:pPr>
              <w:spacing w:before="0"/>
              <w:jc w:val="left"/>
              <w:rPr>
                <w:sz w:val="20"/>
              </w:rPr>
            </w:pPr>
            <w:r w:rsidRPr="009E1CFC">
              <w:rPr>
                <w:sz w:val="20"/>
              </w:rPr>
              <w:t>Current technology path - technical limitations with some foam applications</w:t>
            </w:r>
          </w:p>
        </w:tc>
      </w:tr>
      <w:tr w:rsidR="00D0213E" w:rsidRPr="002159A4" w:rsidTr="00D0213E">
        <w:tc>
          <w:tcPr>
            <w:tcW w:w="13041" w:type="dxa"/>
            <w:gridSpan w:val="7"/>
          </w:tcPr>
          <w:p w:rsidR="00D0213E" w:rsidRPr="002159A4" w:rsidRDefault="00D0213E" w:rsidP="00D0213E">
            <w:pPr>
              <w:jc w:val="left"/>
              <w:rPr>
                <w:sz w:val="20"/>
              </w:rPr>
            </w:pPr>
            <w:r w:rsidRPr="009E1CFC">
              <w:rPr>
                <w:b/>
                <w:sz w:val="20"/>
              </w:rPr>
              <w:t>Fire protection</w:t>
            </w:r>
          </w:p>
        </w:tc>
      </w:tr>
      <w:tr w:rsidR="00D0213E" w:rsidRPr="002159A4" w:rsidTr="00D0213E">
        <w:tc>
          <w:tcPr>
            <w:tcW w:w="1900" w:type="dxa"/>
            <w:tcBorders>
              <w:bottom w:val="nil"/>
            </w:tcBorders>
          </w:tcPr>
          <w:p w:rsidR="00D0213E" w:rsidRPr="009E1CFC" w:rsidRDefault="00D0213E" w:rsidP="00D0213E">
            <w:pPr>
              <w:spacing w:before="0"/>
              <w:jc w:val="left"/>
              <w:rPr>
                <w:sz w:val="20"/>
              </w:rPr>
            </w:pPr>
            <w:r w:rsidRPr="009E1CFC">
              <w:rPr>
                <w:sz w:val="20"/>
              </w:rPr>
              <w:t xml:space="preserve">FM 200 </w:t>
            </w:r>
          </w:p>
        </w:tc>
        <w:tc>
          <w:tcPr>
            <w:tcW w:w="893" w:type="dxa"/>
            <w:tcBorders>
              <w:bottom w:val="nil"/>
              <w:right w:val="single" w:sz="4" w:space="0" w:color="auto"/>
            </w:tcBorders>
          </w:tcPr>
          <w:p w:rsidR="00D0213E" w:rsidRPr="002159A4" w:rsidRDefault="00D0213E" w:rsidP="00D0213E">
            <w:pPr>
              <w:spacing w:before="0"/>
              <w:jc w:val="center"/>
              <w:rPr>
                <w:sz w:val="20"/>
              </w:rPr>
            </w:pPr>
            <w:r>
              <w:rPr>
                <w:sz w:val="20"/>
              </w:rPr>
              <w:t>3220</w:t>
            </w:r>
          </w:p>
        </w:tc>
        <w:tc>
          <w:tcPr>
            <w:tcW w:w="236" w:type="dxa"/>
            <w:tcBorders>
              <w:top w:val="single" w:sz="4" w:space="0" w:color="auto"/>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3775" w:type="dxa"/>
            <w:gridSpan w:val="3"/>
            <w:tcBorders>
              <w:left w:val="single" w:sz="4" w:space="0" w:color="auto"/>
            </w:tcBorders>
          </w:tcPr>
          <w:p w:rsidR="00D0213E" w:rsidRPr="009E1CFC" w:rsidRDefault="00D0213E" w:rsidP="00D0213E">
            <w:pPr>
              <w:spacing w:before="0"/>
              <w:jc w:val="left"/>
              <w:rPr>
                <w:sz w:val="20"/>
              </w:rPr>
            </w:pPr>
            <w:r>
              <w:rPr>
                <w:sz w:val="20"/>
              </w:rPr>
              <w:t>F</w:t>
            </w:r>
            <w:r w:rsidRPr="00406F88">
              <w:rPr>
                <w:sz w:val="20"/>
              </w:rPr>
              <w:t>luoroketone</w:t>
            </w:r>
            <w:r>
              <w:rPr>
                <w:sz w:val="20"/>
              </w:rPr>
              <w:t xml:space="preserve"> and a r</w:t>
            </w:r>
            <w:r w:rsidRPr="009E1CFC">
              <w:rPr>
                <w:sz w:val="20"/>
              </w:rPr>
              <w:t>ange of inert gases:</w:t>
            </w:r>
          </w:p>
        </w:tc>
        <w:tc>
          <w:tcPr>
            <w:tcW w:w="6237" w:type="dxa"/>
            <w:tcBorders>
              <w:bottom w:val="nil"/>
            </w:tcBorders>
          </w:tcPr>
          <w:p w:rsidR="00D0213E" w:rsidRDefault="00D0213E" w:rsidP="00D0213E">
            <w:pPr>
              <w:spacing w:before="0"/>
              <w:jc w:val="left"/>
              <w:rPr>
                <w:sz w:val="20"/>
              </w:rPr>
            </w:pPr>
            <w:r w:rsidRPr="009E1CFC">
              <w:rPr>
                <w:sz w:val="20"/>
              </w:rPr>
              <w:t xml:space="preserve">Immediate technology path for the vast majority of applications where </w:t>
            </w:r>
          </w:p>
        </w:tc>
      </w:tr>
      <w:tr w:rsidR="00D0213E" w:rsidRPr="002159A4" w:rsidTr="00D0213E">
        <w:tc>
          <w:tcPr>
            <w:tcW w:w="1900" w:type="dxa"/>
            <w:tcBorders>
              <w:top w:val="nil"/>
              <w:bottom w:val="nil"/>
            </w:tcBorders>
          </w:tcPr>
          <w:p w:rsidR="00D0213E" w:rsidRPr="009E1CFC" w:rsidRDefault="00D0213E" w:rsidP="00D0213E">
            <w:pPr>
              <w:spacing w:before="0"/>
              <w:jc w:val="left"/>
              <w:rPr>
                <w:sz w:val="20"/>
              </w:rPr>
            </w:pPr>
            <w:r w:rsidRPr="009E1CFC">
              <w:rPr>
                <w:sz w:val="20"/>
              </w:rPr>
              <w:t>(HFC-227ea)</w:t>
            </w:r>
          </w:p>
        </w:tc>
        <w:tc>
          <w:tcPr>
            <w:tcW w:w="893" w:type="dxa"/>
            <w:tcBorders>
              <w:top w:val="nil"/>
              <w:bottom w:val="nil"/>
              <w:right w:val="single" w:sz="4" w:space="0" w:color="auto"/>
            </w:tcBorders>
          </w:tcPr>
          <w:p w:rsidR="00D0213E" w:rsidRPr="002159A4" w:rsidRDefault="00D0213E" w:rsidP="00D0213E">
            <w:pPr>
              <w:spacing w:before="0"/>
              <w:jc w:val="center"/>
              <w:rPr>
                <w:sz w:val="20"/>
              </w:rPr>
            </w:pP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9E1CFC" w:rsidRDefault="00D0213E" w:rsidP="00D0213E">
            <w:pPr>
              <w:spacing w:before="0"/>
              <w:jc w:val="left"/>
              <w:outlineLvl w:val="0"/>
              <w:rPr>
                <w:sz w:val="20"/>
              </w:rPr>
            </w:pPr>
            <w:r w:rsidRPr="009E1CFC">
              <w:rPr>
                <w:sz w:val="20"/>
              </w:rPr>
              <w:t>Novec 1230</w:t>
            </w:r>
          </w:p>
        </w:tc>
        <w:tc>
          <w:tcPr>
            <w:tcW w:w="851" w:type="dxa"/>
          </w:tcPr>
          <w:p w:rsidR="00D0213E" w:rsidRPr="009E1CFC" w:rsidRDefault="00D0213E" w:rsidP="00D0213E">
            <w:pPr>
              <w:spacing w:before="0"/>
              <w:jc w:val="center"/>
              <w:rPr>
                <w:sz w:val="20"/>
              </w:rPr>
            </w:pPr>
            <w:r w:rsidRPr="009E1CFC">
              <w:rPr>
                <w:sz w:val="20"/>
              </w:rPr>
              <w:t>1</w:t>
            </w:r>
          </w:p>
        </w:tc>
        <w:tc>
          <w:tcPr>
            <w:tcW w:w="1275" w:type="dxa"/>
          </w:tcPr>
          <w:p w:rsidR="00D0213E" w:rsidRPr="009E1CFC" w:rsidRDefault="00D0213E" w:rsidP="00D0213E">
            <w:pPr>
              <w:spacing w:before="0"/>
              <w:jc w:val="center"/>
              <w:rPr>
                <w:sz w:val="20"/>
              </w:rPr>
            </w:pPr>
            <w:r w:rsidRPr="009E1CFC">
              <w:rPr>
                <w:sz w:val="20"/>
              </w:rPr>
              <w:t>Yes</w:t>
            </w:r>
          </w:p>
        </w:tc>
        <w:tc>
          <w:tcPr>
            <w:tcW w:w="6237" w:type="dxa"/>
            <w:tcBorders>
              <w:top w:val="nil"/>
              <w:bottom w:val="nil"/>
            </w:tcBorders>
          </w:tcPr>
          <w:p w:rsidR="00D0213E" w:rsidRDefault="00D0213E" w:rsidP="00D0213E">
            <w:pPr>
              <w:spacing w:before="0"/>
              <w:rPr>
                <w:sz w:val="20"/>
              </w:rPr>
            </w:pPr>
            <w:r w:rsidRPr="009E1CFC">
              <w:rPr>
                <w:sz w:val="20"/>
              </w:rPr>
              <w:t>HFCs are currently used</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r w:rsidRPr="009E1CFC">
              <w:rPr>
                <w:sz w:val="20"/>
              </w:rPr>
              <w:t>FE 25 (HFC-125)</w:t>
            </w:r>
          </w:p>
        </w:tc>
        <w:tc>
          <w:tcPr>
            <w:tcW w:w="893" w:type="dxa"/>
            <w:tcBorders>
              <w:top w:val="nil"/>
              <w:bottom w:val="nil"/>
              <w:right w:val="single" w:sz="4" w:space="0" w:color="auto"/>
            </w:tcBorders>
          </w:tcPr>
          <w:p w:rsidR="00D0213E" w:rsidRPr="002159A4" w:rsidRDefault="00D0213E" w:rsidP="00D0213E">
            <w:pPr>
              <w:spacing w:before="0"/>
              <w:jc w:val="center"/>
              <w:rPr>
                <w:sz w:val="20"/>
              </w:rPr>
            </w:pPr>
            <w:r>
              <w:rPr>
                <w:sz w:val="20"/>
              </w:rPr>
              <w:t>3500</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outlineLvl w:val="0"/>
              <w:rPr>
                <w:sz w:val="20"/>
              </w:rPr>
            </w:pPr>
            <w:r>
              <w:rPr>
                <w:sz w:val="20"/>
              </w:rPr>
              <w:t>IG-01</w:t>
            </w:r>
            <w:r w:rsidRPr="009E1CFC">
              <w:rPr>
                <w:sz w:val="20"/>
              </w:rPr>
              <w:t xml:space="preserve"> (</w:t>
            </w:r>
            <w:r>
              <w:rPr>
                <w:sz w:val="20"/>
              </w:rPr>
              <w:t>argon</w:t>
            </w:r>
            <w:r w:rsidRPr="009E1CFC">
              <w:rPr>
                <w:sz w:val="20"/>
              </w:rPr>
              <w:t>)</w:t>
            </w:r>
          </w:p>
        </w:tc>
        <w:tc>
          <w:tcPr>
            <w:tcW w:w="851" w:type="dxa"/>
          </w:tcPr>
          <w:p w:rsidR="00D0213E" w:rsidRPr="002159A4" w:rsidRDefault="00D0213E" w:rsidP="00D0213E">
            <w:pPr>
              <w:spacing w:before="0"/>
              <w:jc w:val="center"/>
              <w:rPr>
                <w:sz w:val="20"/>
              </w:rPr>
            </w:pPr>
            <w:r w:rsidRPr="009E1CFC">
              <w:rPr>
                <w:sz w:val="20"/>
              </w:rPr>
              <w:t>1</w:t>
            </w:r>
          </w:p>
        </w:tc>
        <w:tc>
          <w:tcPr>
            <w:tcW w:w="1275" w:type="dxa"/>
          </w:tcPr>
          <w:p w:rsidR="00D0213E" w:rsidRPr="002159A4" w:rsidRDefault="00D0213E" w:rsidP="00D0213E">
            <w:pPr>
              <w:spacing w:before="0"/>
              <w:jc w:val="center"/>
              <w:rPr>
                <w:sz w:val="20"/>
              </w:rPr>
            </w:pPr>
            <w:r w:rsidRPr="009E1CFC">
              <w:rPr>
                <w:sz w:val="20"/>
              </w:rPr>
              <w:t>Yes</w:t>
            </w:r>
          </w:p>
        </w:tc>
        <w:tc>
          <w:tcPr>
            <w:tcW w:w="6237" w:type="dxa"/>
            <w:tcBorders>
              <w:top w:val="nil"/>
              <w:bottom w:val="nil"/>
            </w:tcBorders>
          </w:tcPr>
          <w:p w:rsidR="00D0213E" w:rsidRPr="002159A4" w:rsidRDefault="00D0213E" w:rsidP="00D0213E">
            <w:pPr>
              <w:spacing w:before="0"/>
              <w:rPr>
                <w:sz w:val="20"/>
              </w:rPr>
            </w:pPr>
            <w:r>
              <w:rPr>
                <w:sz w:val="20"/>
              </w:rPr>
              <w:t>Main barrier is commercial</w:t>
            </w: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r w:rsidRPr="009E1CFC">
              <w:rPr>
                <w:sz w:val="20"/>
              </w:rPr>
              <w:t>FE 36 (HFC-236fa)</w:t>
            </w:r>
          </w:p>
        </w:tc>
        <w:tc>
          <w:tcPr>
            <w:tcW w:w="893" w:type="dxa"/>
            <w:tcBorders>
              <w:top w:val="nil"/>
              <w:bottom w:val="nil"/>
              <w:right w:val="single" w:sz="4" w:space="0" w:color="auto"/>
            </w:tcBorders>
          </w:tcPr>
          <w:p w:rsidR="00D0213E" w:rsidRPr="002159A4" w:rsidRDefault="00D0213E" w:rsidP="00D0213E">
            <w:pPr>
              <w:spacing w:before="0"/>
              <w:jc w:val="center"/>
              <w:rPr>
                <w:sz w:val="20"/>
              </w:rPr>
            </w:pPr>
            <w:r>
              <w:rPr>
                <w:sz w:val="20"/>
              </w:rPr>
              <w:t>9810</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outlineLvl w:val="0"/>
              <w:rPr>
                <w:sz w:val="20"/>
              </w:rPr>
            </w:pPr>
            <w:r w:rsidRPr="009E1CFC">
              <w:rPr>
                <w:sz w:val="20"/>
              </w:rPr>
              <w:t>IG-</w:t>
            </w:r>
            <w:r>
              <w:rPr>
                <w:sz w:val="20"/>
              </w:rPr>
              <w:t xml:space="preserve">100 </w:t>
            </w:r>
            <w:r w:rsidRPr="009E1CFC">
              <w:rPr>
                <w:sz w:val="20"/>
              </w:rPr>
              <w:t>(</w:t>
            </w:r>
            <w:r>
              <w:rPr>
                <w:sz w:val="20"/>
              </w:rPr>
              <w:t>nitrogen</w:t>
            </w:r>
            <w:r w:rsidRPr="009E1CFC">
              <w:rPr>
                <w:sz w:val="20"/>
              </w:rPr>
              <w:t>)</w:t>
            </w:r>
          </w:p>
        </w:tc>
        <w:tc>
          <w:tcPr>
            <w:tcW w:w="851" w:type="dxa"/>
          </w:tcPr>
          <w:p w:rsidR="00D0213E" w:rsidRPr="002159A4" w:rsidRDefault="00D0213E" w:rsidP="00D0213E">
            <w:pPr>
              <w:spacing w:before="0"/>
              <w:jc w:val="center"/>
              <w:rPr>
                <w:sz w:val="20"/>
              </w:rPr>
            </w:pPr>
            <w:r w:rsidRPr="009E1CFC">
              <w:rPr>
                <w:sz w:val="20"/>
              </w:rPr>
              <w:t>1</w:t>
            </w:r>
          </w:p>
        </w:tc>
        <w:tc>
          <w:tcPr>
            <w:tcW w:w="1275" w:type="dxa"/>
          </w:tcPr>
          <w:p w:rsidR="00D0213E" w:rsidRPr="002159A4" w:rsidRDefault="00D0213E" w:rsidP="00D0213E">
            <w:pPr>
              <w:spacing w:before="0"/>
              <w:jc w:val="center"/>
              <w:rPr>
                <w:sz w:val="20"/>
              </w:rPr>
            </w:pPr>
            <w:r w:rsidRPr="009E1CFC">
              <w:rPr>
                <w:sz w:val="20"/>
              </w:rPr>
              <w:t>Yes</w:t>
            </w:r>
          </w:p>
        </w:tc>
        <w:tc>
          <w:tcPr>
            <w:tcW w:w="6237" w:type="dxa"/>
            <w:tcBorders>
              <w:top w:val="nil"/>
              <w:bottom w:val="nil"/>
            </w:tcBorders>
          </w:tcPr>
          <w:p w:rsidR="00D0213E" w:rsidRPr="002159A4" w:rsidRDefault="00D0213E" w:rsidP="00D0213E">
            <w:pPr>
              <w:spacing w:before="0"/>
              <w:rPr>
                <w:sz w:val="20"/>
              </w:rPr>
            </w:pPr>
          </w:p>
        </w:tc>
      </w:tr>
      <w:tr w:rsidR="00D0213E" w:rsidRPr="002159A4" w:rsidTr="00D0213E">
        <w:tc>
          <w:tcPr>
            <w:tcW w:w="1900" w:type="dxa"/>
            <w:tcBorders>
              <w:top w:val="nil"/>
              <w:bottom w:val="nil"/>
            </w:tcBorders>
          </w:tcPr>
          <w:p w:rsidR="00D0213E" w:rsidRPr="002159A4" w:rsidRDefault="00D0213E" w:rsidP="00D0213E">
            <w:pPr>
              <w:spacing w:before="0"/>
              <w:jc w:val="left"/>
              <w:rPr>
                <w:sz w:val="20"/>
              </w:rPr>
            </w:pPr>
            <w:r>
              <w:rPr>
                <w:sz w:val="20"/>
              </w:rPr>
              <w:t>F</w:t>
            </w:r>
            <w:r w:rsidRPr="00406F88">
              <w:rPr>
                <w:sz w:val="20"/>
              </w:rPr>
              <w:t>luoroketone</w:t>
            </w:r>
            <w:r>
              <w:rPr>
                <w:sz w:val="20"/>
              </w:rPr>
              <w:t xml:space="preserve"> and a</w:t>
            </w:r>
          </w:p>
        </w:tc>
        <w:tc>
          <w:tcPr>
            <w:tcW w:w="893" w:type="dxa"/>
            <w:tcBorders>
              <w:top w:val="nil"/>
              <w:bottom w:val="nil"/>
              <w:right w:val="single" w:sz="4" w:space="0" w:color="auto"/>
            </w:tcBorders>
          </w:tcPr>
          <w:p w:rsidR="00D0213E" w:rsidRPr="002159A4" w:rsidRDefault="00D0213E" w:rsidP="00D0213E">
            <w:pPr>
              <w:spacing w:before="0"/>
              <w:jc w:val="center"/>
              <w:rPr>
                <w:sz w:val="20"/>
              </w:rPr>
            </w:pPr>
            <w:r>
              <w:rPr>
                <w:sz w:val="20"/>
              </w:rPr>
              <w:t>1</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outlineLvl w:val="0"/>
              <w:rPr>
                <w:sz w:val="20"/>
              </w:rPr>
            </w:pPr>
            <w:r>
              <w:rPr>
                <w:sz w:val="20"/>
              </w:rPr>
              <w:t>IG-55</w:t>
            </w:r>
          </w:p>
        </w:tc>
        <w:tc>
          <w:tcPr>
            <w:tcW w:w="851" w:type="dxa"/>
          </w:tcPr>
          <w:p w:rsidR="00D0213E" w:rsidRPr="002159A4" w:rsidRDefault="00D0213E" w:rsidP="00D0213E">
            <w:pPr>
              <w:spacing w:before="0"/>
              <w:jc w:val="center"/>
              <w:rPr>
                <w:sz w:val="20"/>
              </w:rPr>
            </w:pPr>
            <w:r w:rsidRPr="009E1CFC">
              <w:rPr>
                <w:sz w:val="20"/>
              </w:rPr>
              <w:t>1</w:t>
            </w:r>
          </w:p>
        </w:tc>
        <w:tc>
          <w:tcPr>
            <w:tcW w:w="1275" w:type="dxa"/>
          </w:tcPr>
          <w:p w:rsidR="00D0213E" w:rsidRPr="002159A4" w:rsidRDefault="00D0213E" w:rsidP="00D0213E">
            <w:pPr>
              <w:spacing w:before="0"/>
              <w:jc w:val="center"/>
              <w:rPr>
                <w:sz w:val="20"/>
              </w:rPr>
            </w:pPr>
            <w:r w:rsidRPr="009E1CFC">
              <w:rPr>
                <w:sz w:val="20"/>
              </w:rPr>
              <w:t>Yes</w:t>
            </w:r>
          </w:p>
        </w:tc>
        <w:tc>
          <w:tcPr>
            <w:tcW w:w="6237" w:type="dxa"/>
            <w:tcBorders>
              <w:top w:val="nil"/>
              <w:bottom w:val="nil"/>
            </w:tcBorders>
          </w:tcPr>
          <w:p w:rsidR="00D0213E" w:rsidRPr="002159A4" w:rsidRDefault="00D0213E" w:rsidP="00D0213E">
            <w:pPr>
              <w:spacing w:before="0"/>
              <w:rPr>
                <w:sz w:val="20"/>
              </w:rPr>
            </w:pPr>
          </w:p>
        </w:tc>
      </w:tr>
      <w:tr w:rsidR="00D0213E" w:rsidRPr="002159A4" w:rsidTr="00D0213E">
        <w:tc>
          <w:tcPr>
            <w:tcW w:w="1900" w:type="dxa"/>
            <w:tcBorders>
              <w:top w:val="nil"/>
            </w:tcBorders>
          </w:tcPr>
          <w:p w:rsidR="00D0213E" w:rsidRPr="002159A4" w:rsidRDefault="00D0213E" w:rsidP="00D0213E">
            <w:pPr>
              <w:spacing w:before="0"/>
              <w:jc w:val="left"/>
              <w:rPr>
                <w:sz w:val="20"/>
              </w:rPr>
            </w:pPr>
            <w:r>
              <w:rPr>
                <w:sz w:val="20"/>
              </w:rPr>
              <w:t>r</w:t>
            </w:r>
            <w:r w:rsidRPr="009E1CFC">
              <w:rPr>
                <w:sz w:val="20"/>
              </w:rPr>
              <w:t>ange of inert gases</w:t>
            </w:r>
          </w:p>
        </w:tc>
        <w:tc>
          <w:tcPr>
            <w:tcW w:w="893" w:type="dxa"/>
            <w:tcBorders>
              <w:top w:val="nil"/>
              <w:right w:val="single" w:sz="4" w:space="0" w:color="auto"/>
            </w:tcBorders>
          </w:tcPr>
          <w:p w:rsidR="00D0213E" w:rsidRPr="002159A4" w:rsidRDefault="00D0213E" w:rsidP="00D0213E">
            <w:pPr>
              <w:spacing w:before="0"/>
              <w:jc w:val="center"/>
              <w:rPr>
                <w:sz w:val="20"/>
              </w:rPr>
            </w:pPr>
          </w:p>
        </w:tc>
        <w:tc>
          <w:tcPr>
            <w:tcW w:w="236" w:type="dxa"/>
            <w:tcBorders>
              <w:top w:val="nil"/>
              <w:left w:val="single" w:sz="4" w:space="0" w:color="auto"/>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Pr>
                <w:sz w:val="20"/>
              </w:rPr>
              <w:t>IG-541</w:t>
            </w:r>
          </w:p>
        </w:tc>
        <w:tc>
          <w:tcPr>
            <w:tcW w:w="851" w:type="dxa"/>
          </w:tcPr>
          <w:p w:rsidR="00D0213E" w:rsidRPr="002159A4" w:rsidRDefault="00D0213E" w:rsidP="00D0213E">
            <w:pPr>
              <w:spacing w:before="0"/>
              <w:jc w:val="center"/>
              <w:rPr>
                <w:sz w:val="20"/>
              </w:rPr>
            </w:pPr>
            <w:r>
              <w:rPr>
                <w:sz w:val="20"/>
              </w:rPr>
              <w:t>1</w:t>
            </w:r>
          </w:p>
        </w:tc>
        <w:tc>
          <w:tcPr>
            <w:tcW w:w="1275" w:type="dxa"/>
          </w:tcPr>
          <w:p w:rsidR="00D0213E" w:rsidRPr="002159A4" w:rsidRDefault="00D0213E" w:rsidP="00D0213E">
            <w:pPr>
              <w:spacing w:before="0"/>
              <w:jc w:val="center"/>
              <w:rPr>
                <w:sz w:val="20"/>
              </w:rPr>
            </w:pPr>
            <w:r>
              <w:rPr>
                <w:sz w:val="20"/>
              </w:rPr>
              <w:t>Yes</w:t>
            </w:r>
          </w:p>
        </w:tc>
        <w:tc>
          <w:tcPr>
            <w:tcW w:w="6237" w:type="dxa"/>
            <w:tcBorders>
              <w:top w:val="nil"/>
              <w:bottom w:val="nil"/>
            </w:tcBorders>
          </w:tcPr>
          <w:p w:rsidR="00D0213E" w:rsidRPr="002159A4" w:rsidRDefault="00D0213E" w:rsidP="00D0213E">
            <w:pPr>
              <w:spacing w:before="0"/>
              <w:rPr>
                <w:sz w:val="20"/>
              </w:rPr>
            </w:pPr>
          </w:p>
        </w:tc>
      </w:tr>
      <w:tr w:rsidR="00D0213E" w:rsidRPr="002159A4" w:rsidTr="00D0213E">
        <w:tc>
          <w:tcPr>
            <w:tcW w:w="13041" w:type="dxa"/>
            <w:gridSpan w:val="7"/>
          </w:tcPr>
          <w:p w:rsidR="00D0213E" w:rsidRPr="002159A4" w:rsidRDefault="00D0213E" w:rsidP="00D0213E">
            <w:pPr>
              <w:spacing w:before="0"/>
              <w:rPr>
                <w:sz w:val="20"/>
              </w:rPr>
            </w:pPr>
            <w:r>
              <w:rPr>
                <w:sz w:val="20"/>
              </w:rPr>
              <w:t xml:space="preserve">Note: </w:t>
            </w:r>
            <w:r w:rsidRPr="000D0930">
              <w:rPr>
                <w:sz w:val="20"/>
              </w:rPr>
              <w:t>IG-541 is a blend of nitrogen/argon/CO</w:t>
            </w:r>
            <w:r w:rsidRPr="000D0930">
              <w:rPr>
                <w:sz w:val="20"/>
                <w:vertAlign w:val="subscript"/>
              </w:rPr>
              <w:t>2</w:t>
            </w:r>
            <w:r w:rsidRPr="000D0930">
              <w:rPr>
                <w:sz w:val="20"/>
              </w:rPr>
              <w:t>, and IG-55 comprises nitrogen/argon.</w:t>
            </w:r>
          </w:p>
        </w:tc>
      </w:tr>
      <w:tr w:rsidR="00D0213E" w:rsidRPr="002159A4" w:rsidTr="00D0213E">
        <w:tc>
          <w:tcPr>
            <w:tcW w:w="13041" w:type="dxa"/>
            <w:gridSpan w:val="7"/>
          </w:tcPr>
          <w:p w:rsidR="00D0213E" w:rsidRPr="002159A4" w:rsidRDefault="00D0213E" w:rsidP="00D0213E">
            <w:pPr>
              <w:jc w:val="left"/>
              <w:rPr>
                <w:sz w:val="20"/>
              </w:rPr>
            </w:pPr>
            <w:r>
              <w:rPr>
                <w:b/>
                <w:sz w:val="20"/>
              </w:rPr>
              <w:t>Aerosols</w:t>
            </w:r>
          </w:p>
        </w:tc>
      </w:tr>
      <w:tr w:rsidR="00D0213E" w:rsidRPr="002159A4" w:rsidTr="00D0213E">
        <w:tc>
          <w:tcPr>
            <w:tcW w:w="1900" w:type="dxa"/>
          </w:tcPr>
          <w:p w:rsidR="00D0213E" w:rsidRPr="002159A4" w:rsidRDefault="00D0213E" w:rsidP="00D0213E">
            <w:pPr>
              <w:spacing w:before="0"/>
              <w:jc w:val="left"/>
              <w:rPr>
                <w:sz w:val="20"/>
              </w:rPr>
            </w:pPr>
            <w:r w:rsidRPr="009E1CFC">
              <w:rPr>
                <w:sz w:val="20"/>
              </w:rPr>
              <w:t>HFC-134a</w:t>
            </w:r>
          </w:p>
        </w:tc>
        <w:tc>
          <w:tcPr>
            <w:tcW w:w="893" w:type="dxa"/>
            <w:tcBorders>
              <w:right w:val="single" w:sz="4" w:space="0" w:color="auto"/>
            </w:tcBorders>
          </w:tcPr>
          <w:p w:rsidR="00D0213E" w:rsidRPr="002159A4" w:rsidRDefault="00D0213E" w:rsidP="00D0213E">
            <w:pPr>
              <w:spacing w:before="0"/>
              <w:jc w:val="center"/>
              <w:rPr>
                <w:sz w:val="20"/>
              </w:rPr>
            </w:pPr>
            <w:r>
              <w:rPr>
                <w:sz w:val="20"/>
              </w:rPr>
              <w:t>1430</w:t>
            </w:r>
          </w:p>
        </w:tc>
        <w:tc>
          <w:tcPr>
            <w:tcW w:w="236" w:type="dxa"/>
            <w:tcBorders>
              <w:top w:val="single" w:sz="4" w:space="0" w:color="auto"/>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9E1CFC">
              <w:rPr>
                <w:sz w:val="20"/>
              </w:rPr>
              <w:t>HFO-1234ze</w:t>
            </w:r>
          </w:p>
        </w:tc>
        <w:tc>
          <w:tcPr>
            <w:tcW w:w="851" w:type="dxa"/>
          </w:tcPr>
          <w:p w:rsidR="00D0213E" w:rsidRPr="002159A4" w:rsidRDefault="00D0213E" w:rsidP="00D0213E">
            <w:pPr>
              <w:spacing w:before="0"/>
              <w:jc w:val="center"/>
              <w:rPr>
                <w:sz w:val="20"/>
              </w:rPr>
            </w:pPr>
            <w:r>
              <w:rPr>
                <w:sz w:val="20"/>
              </w:rPr>
              <w:t>&lt;</w:t>
            </w:r>
            <w:r w:rsidRPr="009E1CFC">
              <w:rPr>
                <w:sz w:val="20"/>
              </w:rPr>
              <w:t>6</w:t>
            </w:r>
          </w:p>
        </w:tc>
        <w:tc>
          <w:tcPr>
            <w:tcW w:w="1275" w:type="dxa"/>
          </w:tcPr>
          <w:p w:rsidR="00D0213E" w:rsidRPr="002159A4" w:rsidRDefault="00D0213E" w:rsidP="00D0213E">
            <w:pPr>
              <w:spacing w:before="0"/>
              <w:jc w:val="center"/>
              <w:rPr>
                <w:sz w:val="20"/>
              </w:rPr>
            </w:pPr>
            <w:r w:rsidRPr="009E1CFC">
              <w:rPr>
                <w:sz w:val="20"/>
              </w:rPr>
              <w:t>Yes</w:t>
            </w:r>
          </w:p>
        </w:tc>
        <w:tc>
          <w:tcPr>
            <w:tcW w:w="6237" w:type="dxa"/>
          </w:tcPr>
          <w:p w:rsidR="00D0213E" w:rsidRPr="002159A4" w:rsidRDefault="00D0213E" w:rsidP="00D0213E">
            <w:pPr>
              <w:spacing w:before="0"/>
              <w:jc w:val="left"/>
              <w:rPr>
                <w:sz w:val="20"/>
              </w:rPr>
            </w:pPr>
            <w:r>
              <w:rPr>
                <w:sz w:val="20"/>
              </w:rPr>
              <w:t xml:space="preserve">Currently being sold into applications to replace HFC-134a. May not be suitable for all applications. </w:t>
            </w:r>
            <w:r w:rsidRPr="0093094B">
              <w:rPr>
                <w:sz w:val="20"/>
              </w:rPr>
              <w:t>If HFO-1234ze were found to be a suitable substitute</w:t>
            </w:r>
            <w:r>
              <w:rPr>
                <w:sz w:val="20"/>
              </w:rPr>
              <w:t xml:space="preserve"> in medicinal applications (inhalers, sports medicine, etc.)</w:t>
            </w:r>
            <w:r w:rsidRPr="0093094B">
              <w:rPr>
                <w:sz w:val="20"/>
              </w:rPr>
              <w:t>, it would take many years before it was thoroughly tested and approved for use.</w:t>
            </w:r>
          </w:p>
        </w:tc>
      </w:tr>
      <w:tr w:rsidR="00D0213E" w:rsidRPr="002159A4" w:rsidTr="00D0213E">
        <w:tc>
          <w:tcPr>
            <w:tcW w:w="1900" w:type="dxa"/>
          </w:tcPr>
          <w:p w:rsidR="00D0213E" w:rsidRPr="002159A4" w:rsidRDefault="00D0213E" w:rsidP="00D0213E">
            <w:pPr>
              <w:spacing w:before="0"/>
              <w:jc w:val="left"/>
              <w:rPr>
                <w:sz w:val="20"/>
              </w:rPr>
            </w:pPr>
            <w:r w:rsidRPr="009E1CFC">
              <w:rPr>
                <w:sz w:val="20"/>
              </w:rPr>
              <w:t>HFC-152a</w:t>
            </w:r>
          </w:p>
        </w:tc>
        <w:tc>
          <w:tcPr>
            <w:tcW w:w="893" w:type="dxa"/>
            <w:tcBorders>
              <w:right w:val="single" w:sz="4" w:space="0" w:color="auto"/>
            </w:tcBorders>
          </w:tcPr>
          <w:p w:rsidR="00D0213E" w:rsidRPr="002159A4" w:rsidRDefault="00D0213E" w:rsidP="00D0213E">
            <w:pPr>
              <w:spacing w:before="0"/>
              <w:jc w:val="center"/>
              <w:rPr>
                <w:sz w:val="20"/>
              </w:rPr>
            </w:pPr>
            <w:r>
              <w:rPr>
                <w:sz w:val="20"/>
              </w:rPr>
              <w:t>124</w:t>
            </w:r>
          </w:p>
        </w:tc>
        <w:tc>
          <w:tcPr>
            <w:tcW w:w="236" w:type="dxa"/>
            <w:tcBorders>
              <w:top w:val="nil"/>
              <w:left w:val="single" w:sz="4" w:space="0" w:color="auto"/>
              <w:bottom w:val="nil"/>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9E1CFC">
              <w:rPr>
                <w:sz w:val="20"/>
              </w:rPr>
              <w:t>HFC-152a</w:t>
            </w:r>
          </w:p>
        </w:tc>
        <w:tc>
          <w:tcPr>
            <w:tcW w:w="851" w:type="dxa"/>
          </w:tcPr>
          <w:p w:rsidR="00D0213E" w:rsidRPr="002159A4" w:rsidRDefault="00D0213E" w:rsidP="00D0213E">
            <w:pPr>
              <w:spacing w:before="0"/>
              <w:jc w:val="center"/>
              <w:rPr>
                <w:sz w:val="20"/>
              </w:rPr>
            </w:pPr>
            <w:r>
              <w:rPr>
                <w:sz w:val="20"/>
              </w:rPr>
              <w:t>124</w:t>
            </w:r>
          </w:p>
        </w:tc>
        <w:tc>
          <w:tcPr>
            <w:tcW w:w="1275" w:type="dxa"/>
          </w:tcPr>
          <w:p w:rsidR="00D0213E" w:rsidRPr="002159A4" w:rsidRDefault="00D0213E" w:rsidP="00D0213E">
            <w:pPr>
              <w:spacing w:before="0"/>
              <w:jc w:val="center"/>
              <w:rPr>
                <w:sz w:val="20"/>
              </w:rPr>
            </w:pPr>
            <w:r>
              <w:rPr>
                <w:sz w:val="20"/>
              </w:rPr>
              <w:t>Yes</w:t>
            </w:r>
          </w:p>
        </w:tc>
        <w:tc>
          <w:tcPr>
            <w:tcW w:w="6237" w:type="dxa"/>
          </w:tcPr>
          <w:p w:rsidR="00D0213E" w:rsidRPr="002159A4" w:rsidRDefault="00D0213E" w:rsidP="00D0213E">
            <w:pPr>
              <w:spacing w:before="0"/>
              <w:jc w:val="left"/>
              <w:rPr>
                <w:sz w:val="20"/>
              </w:rPr>
            </w:pPr>
            <w:r>
              <w:rPr>
                <w:sz w:val="20"/>
              </w:rPr>
              <w:t>Not suited to mildly flammable applications, and commercial barriers</w:t>
            </w:r>
          </w:p>
        </w:tc>
      </w:tr>
      <w:tr w:rsidR="00D0213E" w:rsidRPr="002159A4" w:rsidTr="00D0213E">
        <w:tc>
          <w:tcPr>
            <w:tcW w:w="1900" w:type="dxa"/>
          </w:tcPr>
          <w:p w:rsidR="00D0213E" w:rsidRPr="002159A4" w:rsidRDefault="00D0213E" w:rsidP="00D0213E">
            <w:pPr>
              <w:spacing w:before="0"/>
              <w:jc w:val="left"/>
              <w:rPr>
                <w:sz w:val="20"/>
              </w:rPr>
            </w:pPr>
            <w:r w:rsidRPr="009E1CFC">
              <w:rPr>
                <w:sz w:val="20"/>
              </w:rPr>
              <w:t>Hydrocarbon</w:t>
            </w:r>
          </w:p>
        </w:tc>
        <w:tc>
          <w:tcPr>
            <w:tcW w:w="893" w:type="dxa"/>
            <w:tcBorders>
              <w:right w:val="single" w:sz="4" w:space="0" w:color="auto"/>
            </w:tcBorders>
          </w:tcPr>
          <w:p w:rsidR="00D0213E" w:rsidRPr="002159A4" w:rsidRDefault="00D0213E" w:rsidP="00D0213E">
            <w:pPr>
              <w:spacing w:before="0"/>
              <w:jc w:val="center"/>
              <w:rPr>
                <w:sz w:val="20"/>
              </w:rPr>
            </w:pPr>
            <w:r w:rsidRPr="009E1CFC">
              <w:rPr>
                <w:sz w:val="20"/>
              </w:rPr>
              <w:t>3</w:t>
            </w:r>
          </w:p>
        </w:tc>
        <w:tc>
          <w:tcPr>
            <w:tcW w:w="236" w:type="dxa"/>
            <w:tcBorders>
              <w:top w:val="nil"/>
              <w:left w:val="single" w:sz="4" w:space="0" w:color="auto"/>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sidRPr="009E1CFC">
              <w:rPr>
                <w:sz w:val="20"/>
              </w:rPr>
              <w:t>Hydrocarbon</w:t>
            </w:r>
          </w:p>
        </w:tc>
        <w:tc>
          <w:tcPr>
            <w:tcW w:w="851" w:type="dxa"/>
          </w:tcPr>
          <w:p w:rsidR="00D0213E" w:rsidRPr="002159A4" w:rsidRDefault="00D0213E" w:rsidP="00D0213E">
            <w:pPr>
              <w:spacing w:before="0"/>
              <w:jc w:val="center"/>
              <w:rPr>
                <w:sz w:val="20"/>
              </w:rPr>
            </w:pPr>
            <w:r w:rsidRPr="009E1CFC">
              <w:rPr>
                <w:sz w:val="20"/>
              </w:rPr>
              <w:t>3</w:t>
            </w:r>
          </w:p>
        </w:tc>
        <w:tc>
          <w:tcPr>
            <w:tcW w:w="1275" w:type="dxa"/>
          </w:tcPr>
          <w:p w:rsidR="00D0213E" w:rsidRPr="002159A4" w:rsidRDefault="00D0213E" w:rsidP="00D0213E">
            <w:pPr>
              <w:spacing w:before="0"/>
              <w:jc w:val="center"/>
              <w:rPr>
                <w:sz w:val="20"/>
              </w:rPr>
            </w:pPr>
            <w:r>
              <w:rPr>
                <w:sz w:val="20"/>
              </w:rPr>
              <w:t>Yes</w:t>
            </w:r>
          </w:p>
        </w:tc>
        <w:tc>
          <w:tcPr>
            <w:tcW w:w="6237" w:type="dxa"/>
          </w:tcPr>
          <w:p w:rsidR="00D0213E" w:rsidRPr="002159A4" w:rsidRDefault="00D0213E" w:rsidP="00D0213E">
            <w:pPr>
              <w:spacing w:before="0"/>
              <w:jc w:val="left"/>
              <w:rPr>
                <w:sz w:val="20"/>
              </w:rPr>
            </w:pPr>
            <w:r>
              <w:rPr>
                <w:sz w:val="20"/>
              </w:rPr>
              <w:t xml:space="preserve">Not suited to use in </w:t>
            </w:r>
            <w:r w:rsidRPr="001C48D8">
              <w:rPr>
                <w:sz w:val="20"/>
              </w:rPr>
              <w:t>hazardous areas (incl</w:t>
            </w:r>
            <w:r>
              <w:rPr>
                <w:sz w:val="20"/>
              </w:rPr>
              <w:t>.</w:t>
            </w:r>
            <w:r w:rsidRPr="001C48D8">
              <w:rPr>
                <w:sz w:val="20"/>
              </w:rPr>
              <w:t xml:space="preserve"> paint marking applications for underground mining, blast bags for setting explosives</w:t>
            </w:r>
            <w:r>
              <w:rPr>
                <w:sz w:val="20"/>
              </w:rPr>
              <w:t xml:space="preserve">, etc.) </w:t>
            </w:r>
          </w:p>
        </w:tc>
      </w:tr>
      <w:tr w:rsidR="00D0213E" w:rsidRPr="002159A4" w:rsidTr="00D0213E">
        <w:tc>
          <w:tcPr>
            <w:tcW w:w="13041" w:type="dxa"/>
            <w:gridSpan w:val="7"/>
          </w:tcPr>
          <w:p w:rsidR="00D0213E" w:rsidRPr="002159A4" w:rsidRDefault="00D0213E" w:rsidP="00D0213E">
            <w:pPr>
              <w:spacing w:before="0"/>
              <w:jc w:val="left"/>
              <w:rPr>
                <w:sz w:val="20"/>
              </w:rPr>
            </w:pPr>
            <w:r w:rsidRPr="009E1CFC">
              <w:rPr>
                <w:sz w:val="20"/>
              </w:rPr>
              <w:t xml:space="preserve">Hydrocarbon propellants </w:t>
            </w:r>
            <w:r>
              <w:rPr>
                <w:sz w:val="20"/>
              </w:rPr>
              <w:t xml:space="preserve">are already used in the majority of </w:t>
            </w:r>
            <w:r w:rsidRPr="009E1CFC">
              <w:rPr>
                <w:sz w:val="20"/>
              </w:rPr>
              <w:t>non</w:t>
            </w:r>
            <w:r>
              <w:rPr>
                <w:sz w:val="20"/>
              </w:rPr>
              <w:t>-</w:t>
            </w:r>
            <w:r w:rsidRPr="009E1CFC">
              <w:rPr>
                <w:sz w:val="20"/>
              </w:rPr>
              <w:t>flammable applications</w:t>
            </w:r>
          </w:p>
        </w:tc>
      </w:tr>
      <w:tr w:rsidR="00D0213E" w:rsidRPr="002159A4" w:rsidTr="00D0213E">
        <w:tc>
          <w:tcPr>
            <w:tcW w:w="13041" w:type="dxa"/>
            <w:gridSpan w:val="7"/>
          </w:tcPr>
          <w:p w:rsidR="00D0213E" w:rsidRPr="002159A4" w:rsidRDefault="00D0213E" w:rsidP="00D0213E">
            <w:pPr>
              <w:spacing w:before="0"/>
              <w:jc w:val="left"/>
              <w:rPr>
                <w:sz w:val="20"/>
              </w:rPr>
            </w:pPr>
          </w:p>
        </w:tc>
      </w:tr>
    </w:tbl>
    <w:p w:rsidR="00D0213E" w:rsidRDefault="00D0213E" w:rsidP="00D0213E">
      <w:pPr>
        <w:spacing w:before="0"/>
        <w:rPr>
          <w:b/>
        </w:rPr>
      </w:pPr>
    </w:p>
    <w:p w:rsidR="00D0213E" w:rsidRDefault="00D0213E" w:rsidP="00D0213E">
      <w:pPr>
        <w:spacing w:before="0"/>
      </w:pPr>
    </w:p>
    <w:p w:rsidR="00D0213E" w:rsidRDefault="00D0213E" w:rsidP="00D0213E">
      <w:pPr>
        <w:spacing w:before="0"/>
      </w:pPr>
    </w:p>
    <w:p w:rsidR="00D0213E" w:rsidRDefault="00D0213E" w:rsidP="00D0213E">
      <w:pPr>
        <w:spacing w:before="0"/>
      </w:pPr>
    </w:p>
    <w:p w:rsidR="00D0213E" w:rsidRPr="002159A4" w:rsidRDefault="00D0213E" w:rsidP="00D0213E">
      <w:pPr>
        <w:spacing w:before="0"/>
        <w:rPr>
          <w:b/>
        </w:rPr>
      </w:pPr>
      <w:r w:rsidRPr="002159A4">
        <w:rPr>
          <w:b/>
        </w:rPr>
        <w:t xml:space="preserve">Transition map to </w:t>
      </w:r>
      <w:r>
        <w:rPr>
          <w:b/>
        </w:rPr>
        <w:t xml:space="preserve">nil </w:t>
      </w:r>
      <w:r w:rsidRPr="002159A4">
        <w:rPr>
          <w:b/>
        </w:rPr>
        <w:t>or low</w:t>
      </w:r>
      <w:r>
        <w:rPr>
          <w:b/>
        </w:rPr>
        <w:t>er</w:t>
      </w:r>
      <w:r w:rsidRPr="002159A4">
        <w:rPr>
          <w:b/>
        </w:rPr>
        <w:t xml:space="preserve"> GWP options for main equipment classes and </w:t>
      </w:r>
      <w:r>
        <w:rPr>
          <w:b/>
        </w:rPr>
        <w:t xml:space="preserve">technologies </w:t>
      </w:r>
      <w:r w:rsidRPr="00FA2337">
        <w:rPr>
          <w:b/>
        </w:rPr>
        <w:t>(continued)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00"/>
        <w:gridCol w:w="893"/>
        <w:gridCol w:w="236"/>
        <w:gridCol w:w="1649"/>
        <w:gridCol w:w="851"/>
        <w:gridCol w:w="1275"/>
        <w:gridCol w:w="6237"/>
      </w:tblGrid>
      <w:tr w:rsidR="00D0213E" w:rsidRPr="002159A4" w:rsidTr="00D0213E">
        <w:tc>
          <w:tcPr>
            <w:tcW w:w="1900" w:type="dxa"/>
            <w:tcBorders>
              <w:righ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Current options</w:t>
            </w:r>
          </w:p>
        </w:tc>
        <w:tc>
          <w:tcPr>
            <w:tcW w:w="893" w:type="dxa"/>
            <w:tcBorders>
              <w:left w:val="single" w:sz="4" w:space="0" w:color="FFFFFF"/>
              <w:right w:val="single" w:sz="4" w:space="0" w:color="FFFFFF"/>
            </w:tcBorders>
            <w:shd w:val="clear" w:color="auto" w:fill="000000"/>
            <w:vAlign w:val="center"/>
          </w:tcPr>
          <w:p w:rsidR="00D0213E" w:rsidRDefault="00D0213E" w:rsidP="00D0213E">
            <w:pPr>
              <w:spacing w:before="0"/>
              <w:jc w:val="center"/>
              <w:outlineLvl w:val="0"/>
              <w:rPr>
                <w:sz w:val="20"/>
                <w:szCs w:val="12"/>
                <w:lang w:val="en-AU"/>
              </w:rPr>
            </w:pPr>
            <w:r w:rsidRPr="002159A4">
              <w:rPr>
                <w:sz w:val="20"/>
                <w:szCs w:val="12"/>
                <w:lang w:val="en-AU"/>
              </w:rPr>
              <w:t>GWP</w:t>
            </w:r>
          </w:p>
          <w:p w:rsidR="00D0213E" w:rsidRPr="002159A4" w:rsidRDefault="00D0213E" w:rsidP="00D0213E">
            <w:pPr>
              <w:spacing w:before="0"/>
              <w:jc w:val="center"/>
              <w:outlineLvl w:val="0"/>
              <w:rPr>
                <w:sz w:val="20"/>
                <w:szCs w:val="12"/>
                <w:lang w:val="en-AU"/>
              </w:rPr>
            </w:pPr>
            <w:r>
              <w:rPr>
                <w:sz w:val="20"/>
                <w:szCs w:val="12"/>
                <w:lang w:val="en-AU"/>
              </w:rPr>
              <w:t>(AR4)</w:t>
            </w:r>
          </w:p>
        </w:tc>
        <w:tc>
          <w:tcPr>
            <w:tcW w:w="236" w:type="dxa"/>
            <w:tcBorders>
              <w:left w:val="single" w:sz="4" w:space="0" w:color="FFFFFF"/>
              <w:right w:val="single" w:sz="4" w:space="0" w:color="FFFFFF"/>
            </w:tcBorders>
            <w:shd w:val="clear" w:color="auto" w:fill="CCCCCC"/>
          </w:tcPr>
          <w:p w:rsidR="00D0213E" w:rsidRPr="002159A4" w:rsidRDefault="00D0213E" w:rsidP="00D0213E">
            <w:pPr>
              <w:spacing w:before="0"/>
              <w:outlineLvl w:val="0"/>
              <w:rPr>
                <w:sz w:val="20"/>
                <w:szCs w:val="12"/>
                <w:lang w:val="en-AU"/>
              </w:rPr>
            </w:pPr>
          </w:p>
        </w:tc>
        <w:tc>
          <w:tcPr>
            <w:tcW w:w="1649" w:type="dxa"/>
            <w:tcBorders>
              <w:left w:val="single" w:sz="4" w:space="0" w:color="FFFFFF"/>
              <w:righ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Low</w:t>
            </w:r>
            <w:r>
              <w:rPr>
                <w:sz w:val="20"/>
                <w:szCs w:val="12"/>
                <w:lang w:val="en-AU"/>
              </w:rPr>
              <w:t>er</w:t>
            </w:r>
            <w:r w:rsidRPr="002159A4">
              <w:rPr>
                <w:sz w:val="20"/>
                <w:szCs w:val="12"/>
                <w:lang w:val="en-AU"/>
              </w:rPr>
              <w:t xml:space="preserve"> GWP options</w:t>
            </w:r>
          </w:p>
        </w:tc>
        <w:tc>
          <w:tcPr>
            <w:tcW w:w="851" w:type="dxa"/>
            <w:tcBorders>
              <w:left w:val="single" w:sz="4" w:space="0" w:color="FFFFFF"/>
              <w:right w:val="single" w:sz="4" w:space="0" w:color="FFFFFF"/>
            </w:tcBorders>
            <w:shd w:val="clear" w:color="auto" w:fill="000000"/>
            <w:vAlign w:val="center"/>
          </w:tcPr>
          <w:p w:rsidR="00D0213E" w:rsidRPr="002159A4" w:rsidRDefault="00D0213E" w:rsidP="00D0213E">
            <w:pPr>
              <w:spacing w:before="0"/>
              <w:jc w:val="center"/>
              <w:outlineLvl w:val="0"/>
              <w:rPr>
                <w:sz w:val="20"/>
                <w:szCs w:val="12"/>
                <w:lang w:val="en-AU"/>
              </w:rPr>
            </w:pPr>
            <w:r w:rsidRPr="002159A4">
              <w:rPr>
                <w:sz w:val="20"/>
                <w:szCs w:val="12"/>
                <w:lang w:val="en-AU"/>
              </w:rPr>
              <w:t>GWP</w:t>
            </w:r>
          </w:p>
        </w:tc>
        <w:tc>
          <w:tcPr>
            <w:tcW w:w="1275" w:type="dxa"/>
            <w:tcBorders>
              <w:left w:val="single" w:sz="4" w:space="0" w:color="FFFFFF"/>
              <w:righ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Equipment replacement</w:t>
            </w:r>
          </w:p>
        </w:tc>
        <w:tc>
          <w:tcPr>
            <w:tcW w:w="6237" w:type="dxa"/>
            <w:tcBorders>
              <w:left w:val="single" w:sz="4" w:space="0" w:color="FFFFFF"/>
            </w:tcBorders>
            <w:shd w:val="clear" w:color="auto" w:fill="000000"/>
            <w:vAlign w:val="center"/>
          </w:tcPr>
          <w:p w:rsidR="00D0213E" w:rsidRPr="002159A4" w:rsidRDefault="00D0213E" w:rsidP="00D0213E">
            <w:pPr>
              <w:spacing w:before="0"/>
              <w:jc w:val="left"/>
              <w:outlineLvl w:val="0"/>
              <w:rPr>
                <w:sz w:val="20"/>
                <w:szCs w:val="12"/>
                <w:lang w:val="en-AU"/>
              </w:rPr>
            </w:pPr>
            <w:r w:rsidRPr="002159A4">
              <w:rPr>
                <w:sz w:val="20"/>
                <w:szCs w:val="12"/>
                <w:lang w:val="en-AU"/>
              </w:rPr>
              <w:t>Comments</w:t>
            </w:r>
          </w:p>
        </w:tc>
      </w:tr>
      <w:tr w:rsidR="00D0213E" w:rsidRPr="002159A4" w:rsidTr="00D0213E">
        <w:tc>
          <w:tcPr>
            <w:tcW w:w="13041" w:type="dxa"/>
            <w:gridSpan w:val="7"/>
          </w:tcPr>
          <w:p w:rsidR="00D0213E" w:rsidRPr="002159A4" w:rsidRDefault="00D0213E" w:rsidP="00D0213E">
            <w:pPr>
              <w:jc w:val="left"/>
              <w:rPr>
                <w:sz w:val="20"/>
              </w:rPr>
            </w:pPr>
            <w:r w:rsidRPr="004143AC">
              <w:rPr>
                <w:b/>
                <w:sz w:val="20"/>
              </w:rPr>
              <w:t>Solvents</w:t>
            </w:r>
            <w:r>
              <w:rPr>
                <w:rStyle w:val="FootnoteReference"/>
                <w:b/>
                <w:sz w:val="20"/>
              </w:rPr>
              <w:footnoteReference w:id="4"/>
            </w:r>
          </w:p>
        </w:tc>
      </w:tr>
      <w:tr w:rsidR="00D0213E" w:rsidRPr="002159A4" w:rsidTr="00D0213E">
        <w:tc>
          <w:tcPr>
            <w:tcW w:w="1900" w:type="dxa"/>
          </w:tcPr>
          <w:p w:rsidR="00D0213E" w:rsidRPr="002159A4" w:rsidRDefault="00D0213E" w:rsidP="00D0213E">
            <w:pPr>
              <w:spacing w:before="0"/>
              <w:jc w:val="left"/>
              <w:rPr>
                <w:sz w:val="20"/>
              </w:rPr>
            </w:pPr>
            <w:r w:rsidRPr="008B23EB">
              <w:rPr>
                <w:sz w:val="20"/>
              </w:rPr>
              <w:t>HFC-43-10mee</w:t>
            </w:r>
          </w:p>
        </w:tc>
        <w:tc>
          <w:tcPr>
            <w:tcW w:w="893" w:type="dxa"/>
            <w:tcBorders>
              <w:right w:val="single" w:sz="4" w:space="0" w:color="auto"/>
            </w:tcBorders>
          </w:tcPr>
          <w:p w:rsidR="00D0213E" w:rsidRPr="002159A4" w:rsidRDefault="00D0213E" w:rsidP="00D0213E">
            <w:pPr>
              <w:spacing w:before="0"/>
              <w:jc w:val="center"/>
              <w:rPr>
                <w:sz w:val="20"/>
              </w:rPr>
            </w:pPr>
            <w:r>
              <w:rPr>
                <w:sz w:val="20"/>
              </w:rPr>
              <w:t>1,300</w:t>
            </w:r>
          </w:p>
        </w:tc>
        <w:tc>
          <w:tcPr>
            <w:tcW w:w="236" w:type="dxa"/>
            <w:tcBorders>
              <w:top w:val="single" w:sz="4" w:space="0" w:color="auto"/>
              <w:left w:val="single" w:sz="4" w:space="0" w:color="auto"/>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2159A4" w:rsidRDefault="00D0213E" w:rsidP="00D0213E">
            <w:pPr>
              <w:spacing w:before="0"/>
              <w:jc w:val="left"/>
              <w:rPr>
                <w:sz w:val="20"/>
              </w:rPr>
            </w:pPr>
            <w:r>
              <w:rPr>
                <w:sz w:val="20"/>
              </w:rPr>
              <w:t>HFE-449/569</w:t>
            </w:r>
          </w:p>
        </w:tc>
        <w:tc>
          <w:tcPr>
            <w:tcW w:w="851" w:type="dxa"/>
          </w:tcPr>
          <w:p w:rsidR="00D0213E" w:rsidRPr="002159A4" w:rsidRDefault="00D0213E" w:rsidP="00D0213E">
            <w:pPr>
              <w:spacing w:before="0"/>
              <w:jc w:val="center"/>
              <w:rPr>
                <w:sz w:val="20"/>
              </w:rPr>
            </w:pPr>
            <w:r>
              <w:rPr>
                <w:sz w:val="20"/>
              </w:rPr>
              <w:t>&lt;300</w:t>
            </w:r>
          </w:p>
        </w:tc>
        <w:tc>
          <w:tcPr>
            <w:tcW w:w="1275" w:type="dxa"/>
          </w:tcPr>
          <w:p w:rsidR="00D0213E" w:rsidRPr="002159A4" w:rsidRDefault="00D0213E" w:rsidP="00D0213E">
            <w:pPr>
              <w:spacing w:before="0"/>
              <w:jc w:val="center"/>
              <w:rPr>
                <w:sz w:val="20"/>
              </w:rPr>
            </w:pPr>
            <w:r>
              <w:rPr>
                <w:sz w:val="20"/>
              </w:rPr>
              <w:t>-</w:t>
            </w:r>
          </w:p>
        </w:tc>
        <w:tc>
          <w:tcPr>
            <w:tcW w:w="6237" w:type="dxa"/>
            <w:tcBorders>
              <w:bottom w:val="single" w:sz="4" w:space="0" w:color="000000"/>
            </w:tcBorders>
          </w:tcPr>
          <w:p w:rsidR="00D0213E" w:rsidRPr="002159A4" w:rsidRDefault="00D0213E" w:rsidP="00D0213E">
            <w:pPr>
              <w:spacing w:before="0"/>
              <w:jc w:val="left"/>
              <w:rPr>
                <w:sz w:val="20"/>
              </w:rPr>
            </w:pPr>
            <w:r>
              <w:rPr>
                <w:sz w:val="20"/>
              </w:rPr>
              <w:t>Commercial barriers and limited solvency capability relative to HCFCs</w:t>
            </w:r>
          </w:p>
        </w:tc>
      </w:tr>
      <w:tr w:rsidR="00D0213E" w:rsidRPr="002159A4" w:rsidTr="00D0213E">
        <w:tc>
          <w:tcPr>
            <w:tcW w:w="1900" w:type="dxa"/>
          </w:tcPr>
          <w:p w:rsidR="00D0213E" w:rsidRDefault="00D0213E" w:rsidP="00D0213E">
            <w:pPr>
              <w:spacing w:before="0"/>
              <w:jc w:val="left"/>
              <w:rPr>
                <w:sz w:val="20"/>
              </w:rPr>
            </w:pPr>
            <w:r>
              <w:rPr>
                <w:sz w:val="20"/>
              </w:rPr>
              <w:t>HFE-449sl (HFE-7100)</w:t>
            </w:r>
          </w:p>
        </w:tc>
        <w:tc>
          <w:tcPr>
            <w:tcW w:w="893" w:type="dxa"/>
            <w:tcBorders>
              <w:right w:val="single" w:sz="4" w:space="0" w:color="auto"/>
            </w:tcBorders>
          </w:tcPr>
          <w:p w:rsidR="00D0213E" w:rsidRDefault="00D0213E" w:rsidP="00D0213E">
            <w:pPr>
              <w:spacing w:before="0"/>
              <w:jc w:val="center"/>
              <w:rPr>
                <w:sz w:val="20"/>
              </w:rPr>
            </w:pPr>
            <w:r>
              <w:rPr>
                <w:sz w:val="20"/>
              </w:rPr>
              <w:t>297</w:t>
            </w:r>
          </w:p>
        </w:tc>
        <w:tc>
          <w:tcPr>
            <w:tcW w:w="236" w:type="dxa"/>
            <w:tcBorders>
              <w:top w:val="single" w:sz="4" w:space="0" w:color="auto"/>
              <w:left w:val="single" w:sz="4" w:space="0" w:color="auto"/>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F46663" w:rsidRDefault="00D0213E" w:rsidP="00D0213E">
            <w:pPr>
              <w:spacing w:before="0"/>
              <w:jc w:val="left"/>
              <w:rPr>
                <w:sz w:val="20"/>
              </w:rPr>
            </w:pPr>
            <w:r w:rsidRPr="00F46663">
              <w:rPr>
                <w:sz w:val="20"/>
              </w:rPr>
              <w:t>HFE-347pcf2</w:t>
            </w:r>
          </w:p>
        </w:tc>
        <w:tc>
          <w:tcPr>
            <w:tcW w:w="851" w:type="dxa"/>
          </w:tcPr>
          <w:p w:rsidR="00D0213E" w:rsidRDefault="00D0213E" w:rsidP="00D0213E">
            <w:pPr>
              <w:spacing w:before="0"/>
              <w:jc w:val="center"/>
              <w:rPr>
                <w:sz w:val="20"/>
              </w:rPr>
            </w:pPr>
            <w:r>
              <w:rPr>
                <w:sz w:val="20"/>
              </w:rPr>
              <w:t>580</w:t>
            </w:r>
          </w:p>
        </w:tc>
        <w:tc>
          <w:tcPr>
            <w:tcW w:w="1275" w:type="dxa"/>
          </w:tcPr>
          <w:p w:rsidR="00D0213E" w:rsidRDefault="00D0213E" w:rsidP="00D0213E">
            <w:pPr>
              <w:spacing w:before="0"/>
              <w:jc w:val="center"/>
              <w:rPr>
                <w:sz w:val="20"/>
              </w:rPr>
            </w:pPr>
            <w:r>
              <w:rPr>
                <w:sz w:val="20"/>
              </w:rPr>
              <w:t>-</w:t>
            </w:r>
          </w:p>
        </w:tc>
        <w:tc>
          <w:tcPr>
            <w:tcW w:w="6237" w:type="dxa"/>
          </w:tcPr>
          <w:p w:rsidR="00D0213E" w:rsidRDefault="00D0213E" w:rsidP="00D0213E">
            <w:pPr>
              <w:spacing w:before="0"/>
              <w:jc w:val="left"/>
              <w:rPr>
                <w:sz w:val="20"/>
              </w:rPr>
            </w:pPr>
            <w:r>
              <w:rPr>
                <w:sz w:val="20"/>
              </w:rPr>
              <w:t>New HFEs such as HFE-347pcf2 have lower GWPs than current HFCs with suitable solvency – commercial barriers due to economies of scale</w:t>
            </w:r>
          </w:p>
        </w:tc>
      </w:tr>
      <w:tr w:rsidR="00D0213E" w:rsidRPr="002159A4" w:rsidTr="00D0213E">
        <w:tc>
          <w:tcPr>
            <w:tcW w:w="1900" w:type="dxa"/>
          </w:tcPr>
          <w:p w:rsidR="00D0213E" w:rsidRDefault="00D0213E" w:rsidP="00D0213E">
            <w:pPr>
              <w:spacing w:before="0"/>
              <w:jc w:val="left"/>
              <w:rPr>
                <w:sz w:val="20"/>
              </w:rPr>
            </w:pPr>
            <w:r>
              <w:rPr>
                <w:sz w:val="20"/>
              </w:rPr>
              <w:t>HFE-569sf2 (HFE-7200)</w:t>
            </w:r>
          </w:p>
        </w:tc>
        <w:tc>
          <w:tcPr>
            <w:tcW w:w="893" w:type="dxa"/>
            <w:tcBorders>
              <w:right w:val="single" w:sz="4" w:space="0" w:color="auto"/>
            </w:tcBorders>
          </w:tcPr>
          <w:p w:rsidR="00D0213E" w:rsidRDefault="00D0213E" w:rsidP="00D0213E">
            <w:pPr>
              <w:spacing w:before="0"/>
              <w:jc w:val="center"/>
              <w:rPr>
                <w:sz w:val="20"/>
              </w:rPr>
            </w:pPr>
            <w:r>
              <w:rPr>
                <w:sz w:val="20"/>
              </w:rPr>
              <w:t>59</w:t>
            </w:r>
          </w:p>
        </w:tc>
        <w:tc>
          <w:tcPr>
            <w:tcW w:w="236" w:type="dxa"/>
            <w:tcBorders>
              <w:top w:val="single" w:sz="4" w:space="0" w:color="auto"/>
              <w:left w:val="single" w:sz="4" w:space="0" w:color="auto"/>
              <w:right w:val="single" w:sz="4" w:space="0" w:color="auto"/>
            </w:tcBorders>
            <w:shd w:val="clear" w:color="auto" w:fill="E6E6E6"/>
          </w:tcPr>
          <w:p w:rsidR="00D0213E" w:rsidRPr="002159A4" w:rsidRDefault="00D0213E" w:rsidP="00D0213E">
            <w:pPr>
              <w:spacing w:before="0"/>
              <w:rPr>
                <w:sz w:val="20"/>
              </w:rPr>
            </w:pPr>
          </w:p>
        </w:tc>
        <w:tc>
          <w:tcPr>
            <w:tcW w:w="1649" w:type="dxa"/>
            <w:tcBorders>
              <w:left w:val="single" w:sz="4" w:space="0" w:color="auto"/>
            </w:tcBorders>
          </w:tcPr>
          <w:p w:rsidR="00D0213E" w:rsidRPr="00F46663" w:rsidRDefault="00D0213E" w:rsidP="00D0213E">
            <w:pPr>
              <w:spacing w:before="0"/>
              <w:jc w:val="left"/>
              <w:rPr>
                <w:sz w:val="20"/>
              </w:rPr>
            </w:pPr>
            <w:r>
              <w:rPr>
                <w:sz w:val="20"/>
              </w:rPr>
              <w:t>HFO-1233zd</w:t>
            </w:r>
          </w:p>
        </w:tc>
        <w:tc>
          <w:tcPr>
            <w:tcW w:w="851" w:type="dxa"/>
          </w:tcPr>
          <w:p w:rsidR="00D0213E" w:rsidRDefault="00D0213E" w:rsidP="00D0213E">
            <w:pPr>
              <w:spacing w:before="0"/>
              <w:jc w:val="center"/>
              <w:rPr>
                <w:sz w:val="20"/>
              </w:rPr>
            </w:pPr>
            <w:r>
              <w:rPr>
                <w:sz w:val="20"/>
              </w:rPr>
              <w:t>&lt;7</w:t>
            </w:r>
          </w:p>
        </w:tc>
        <w:tc>
          <w:tcPr>
            <w:tcW w:w="1275" w:type="dxa"/>
          </w:tcPr>
          <w:p w:rsidR="00D0213E" w:rsidRDefault="00D0213E" w:rsidP="00D0213E">
            <w:pPr>
              <w:spacing w:before="0"/>
              <w:jc w:val="center"/>
              <w:rPr>
                <w:sz w:val="20"/>
              </w:rPr>
            </w:pPr>
            <w:r>
              <w:rPr>
                <w:sz w:val="20"/>
              </w:rPr>
              <w:t>-</w:t>
            </w:r>
          </w:p>
        </w:tc>
        <w:tc>
          <w:tcPr>
            <w:tcW w:w="6237" w:type="dxa"/>
          </w:tcPr>
          <w:p w:rsidR="00D0213E" w:rsidRDefault="00D0213E" w:rsidP="00D0213E">
            <w:pPr>
              <w:spacing w:before="0"/>
              <w:jc w:val="left"/>
              <w:rPr>
                <w:sz w:val="20"/>
              </w:rPr>
            </w:pPr>
            <w:r>
              <w:rPr>
                <w:sz w:val="20"/>
              </w:rPr>
              <w:t xml:space="preserve">Claimed to be a </w:t>
            </w:r>
            <w:r w:rsidRPr="00B74D05">
              <w:rPr>
                <w:sz w:val="20"/>
              </w:rPr>
              <w:t>highly effective cleaning</w:t>
            </w:r>
            <w:r>
              <w:rPr>
                <w:sz w:val="20"/>
              </w:rPr>
              <w:t xml:space="preserve"> </w:t>
            </w:r>
            <w:r w:rsidRPr="00B74D05">
              <w:rPr>
                <w:sz w:val="20"/>
              </w:rPr>
              <w:t>solution that is non-flammable,</w:t>
            </w:r>
            <w:r>
              <w:rPr>
                <w:sz w:val="20"/>
              </w:rPr>
              <w:t xml:space="preserve"> with </w:t>
            </w:r>
            <w:r w:rsidRPr="00B74D05">
              <w:rPr>
                <w:sz w:val="20"/>
              </w:rPr>
              <w:t>favourable toxicity properties</w:t>
            </w:r>
            <w:r>
              <w:rPr>
                <w:sz w:val="20"/>
              </w:rPr>
              <w:t>. S</w:t>
            </w:r>
            <w:r w:rsidRPr="00B74D05">
              <w:rPr>
                <w:sz w:val="20"/>
              </w:rPr>
              <w:t>uitable for electronics,</w:t>
            </w:r>
            <w:r>
              <w:rPr>
                <w:sz w:val="20"/>
              </w:rPr>
              <w:t xml:space="preserve"> </w:t>
            </w:r>
            <w:r w:rsidRPr="00B74D05">
              <w:rPr>
                <w:sz w:val="20"/>
              </w:rPr>
              <w:t>metal, medical and precision</w:t>
            </w:r>
            <w:r>
              <w:rPr>
                <w:sz w:val="20"/>
              </w:rPr>
              <w:t xml:space="preserve"> </w:t>
            </w:r>
            <w:r w:rsidRPr="00B74D05">
              <w:rPr>
                <w:sz w:val="20"/>
              </w:rPr>
              <w:t xml:space="preserve">cleaning. It can be used in </w:t>
            </w:r>
            <w:r>
              <w:rPr>
                <w:sz w:val="20"/>
              </w:rPr>
              <w:t xml:space="preserve">vapour </w:t>
            </w:r>
            <w:r w:rsidRPr="00B74D05">
              <w:rPr>
                <w:sz w:val="20"/>
              </w:rPr>
              <w:t>degreasing equipment, cold cleaning</w:t>
            </w:r>
            <w:r>
              <w:rPr>
                <w:sz w:val="20"/>
              </w:rPr>
              <w:t xml:space="preserve"> </w:t>
            </w:r>
            <w:r w:rsidRPr="00B74D05">
              <w:rPr>
                <w:sz w:val="20"/>
              </w:rPr>
              <w:t>and may be dispensed from an</w:t>
            </w:r>
            <w:r>
              <w:rPr>
                <w:sz w:val="20"/>
              </w:rPr>
              <w:t xml:space="preserve"> </w:t>
            </w:r>
            <w:r w:rsidRPr="00B74D05">
              <w:rPr>
                <w:sz w:val="20"/>
              </w:rPr>
              <w:t>aerosol can.</w:t>
            </w:r>
            <w:r>
              <w:rPr>
                <w:rStyle w:val="FootnoteReference"/>
              </w:rPr>
              <w:footnoteReference w:id="5"/>
            </w:r>
          </w:p>
        </w:tc>
      </w:tr>
      <w:tr w:rsidR="00D0213E" w:rsidRPr="002159A4" w:rsidTr="00D0213E">
        <w:tc>
          <w:tcPr>
            <w:tcW w:w="13041" w:type="dxa"/>
            <w:gridSpan w:val="7"/>
          </w:tcPr>
          <w:p w:rsidR="00D0213E" w:rsidRPr="002159A4" w:rsidRDefault="00D0213E" w:rsidP="004B0AF8">
            <w:pPr>
              <w:spacing w:before="0"/>
              <w:jc w:val="left"/>
              <w:rPr>
                <w:sz w:val="20"/>
              </w:rPr>
            </w:pPr>
            <w:r>
              <w:rPr>
                <w:sz w:val="20"/>
              </w:rPr>
              <w:t>N</w:t>
            </w:r>
            <w:r w:rsidRPr="005F49D4">
              <w:rPr>
                <w:sz w:val="20"/>
              </w:rPr>
              <w:t xml:space="preserve">o single option </w:t>
            </w:r>
            <w:r>
              <w:rPr>
                <w:sz w:val="20"/>
              </w:rPr>
              <w:t xml:space="preserve">is </w:t>
            </w:r>
            <w:r w:rsidRPr="005F49D4">
              <w:rPr>
                <w:sz w:val="20"/>
              </w:rPr>
              <w:t xml:space="preserve">well suited to replace </w:t>
            </w:r>
            <w:r>
              <w:rPr>
                <w:sz w:val="20"/>
              </w:rPr>
              <w:t xml:space="preserve">all </w:t>
            </w:r>
            <w:r w:rsidRPr="005F49D4">
              <w:rPr>
                <w:sz w:val="20"/>
              </w:rPr>
              <w:t xml:space="preserve">HCFC and HFC </w:t>
            </w:r>
            <w:r>
              <w:rPr>
                <w:sz w:val="20"/>
              </w:rPr>
              <w:t>applications, consequently there is a wide range of alternatives including a</w:t>
            </w:r>
            <w:r w:rsidRPr="00976792">
              <w:rPr>
                <w:sz w:val="20"/>
              </w:rPr>
              <w:t>queous</w:t>
            </w:r>
            <w:r>
              <w:rPr>
                <w:sz w:val="20"/>
              </w:rPr>
              <w:t xml:space="preserve"> or semi- aqueous cleaning agents (limitations in application that cannot tolerate water); h</w:t>
            </w:r>
            <w:r w:rsidRPr="00976792">
              <w:rPr>
                <w:sz w:val="20"/>
              </w:rPr>
              <w:t>ydrocarbon</w:t>
            </w:r>
            <w:r>
              <w:rPr>
                <w:sz w:val="20"/>
              </w:rPr>
              <w:t>s including alcohol (flammability limitations in hazardous uses); and c</w:t>
            </w:r>
            <w:r w:rsidRPr="00976792">
              <w:rPr>
                <w:sz w:val="20"/>
              </w:rPr>
              <w:t>hlorinated and brominated carbon</w:t>
            </w:r>
            <w:r>
              <w:rPr>
                <w:sz w:val="20"/>
              </w:rPr>
              <w:t xml:space="preserve"> (toxicity and possible carcinogen concerns)</w:t>
            </w:r>
          </w:p>
        </w:tc>
      </w:tr>
      <w:tr w:rsidR="00D0213E" w:rsidRPr="002159A4" w:rsidTr="00D0213E">
        <w:tc>
          <w:tcPr>
            <w:tcW w:w="13041" w:type="dxa"/>
            <w:gridSpan w:val="7"/>
          </w:tcPr>
          <w:p w:rsidR="00D0213E" w:rsidRPr="002159A4" w:rsidRDefault="00D0213E" w:rsidP="00D0213E">
            <w:pPr>
              <w:spacing w:before="0"/>
              <w:jc w:val="left"/>
              <w:rPr>
                <w:sz w:val="20"/>
              </w:rPr>
            </w:pPr>
          </w:p>
        </w:tc>
      </w:tr>
    </w:tbl>
    <w:p w:rsidR="00D0213E" w:rsidRDefault="00D0213E" w:rsidP="00D0213E">
      <w:pPr>
        <w:spacing w:before="0"/>
        <w:rPr>
          <w:b/>
        </w:rPr>
      </w:pPr>
    </w:p>
    <w:p w:rsidR="00D0213E" w:rsidRDefault="00D0213E" w:rsidP="00D0213E">
      <w:pPr>
        <w:spacing w:before="0"/>
      </w:pPr>
    </w:p>
    <w:p w:rsidR="00D0213E" w:rsidRDefault="00D0213E" w:rsidP="00D0213E">
      <w:pPr>
        <w:spacing w:before="0"/>
      </w:pPr>
    </w:p>
    <w:p w:rsidR="00D0213E" w:rsidRDefault="00D0213E" w:rsidP="00D0213E">
      <w:pPr>
        <w:spacing w:before="0"/>
      </w:pPr>
    </w:p>
    <w:p w:rsidR="009519E2" w:rsidRDefault="009519E2" w:rsidP="009519E2">
      <w:pPr>
        <w:rPr>
          <w:b/>
        </w:rPr>
      </w:pPr>
    </w:p>
    <w:p w:rsidR="009519E2" w:rsidRDefault="009519E2" w:rsidP="009519E2"/>
    <w:p w:rsidR="00EB6E20" w:rsidRDefault="00EB6E20" w:rsidP="009C7C7D">
      <w:pPr>
        <w:spacing w:before="0"/>
        <w:rPr>
          <w:b/>
        </w:rPr>
      </w:pPr>
    </w:p>
    <w:p w:rsidR="009519E2" w:rsidRDefault="009519E2" w:rsidP="009C7C7D">
      <w:pPr>
        <w:spacing w:before="0"/>
        <w:rPr>
          <w:b/>
        </w:rPr>
      </w:pPr>
      <w:r>
        <w:rPr>
          <w:b/>
        </w:rPr>
        <w:br w:type="page"/>
      </w:r>
    </w:p>
    <w:p w:rsidR="009519E2" w:rsidRDefault="009519E2" w:rsidP="009519E2">
      <w:pPr>
        <w:pStyle w:val="Heading1"/>
        <w:numPr>
          <w:ilvl w:val="0"/>
          <w:numId w:val="0"/>
        </w:numPr>
        <w:sectPr w:rsidR="009519E2">
          <w:pgSz w:w="15840" w:h="12240" w:orient="landscape"/>
          <w:pgMar w:top="1134" w:right="1440" w:bottom="1134" w:left="1440" w:header="709" w:footer="709" w:gutter="0"/>
          <w:cols w:space="708"/>
          <w:docGrid w:linePitch="360"/>
        </w:sectPr>
      </w:pPr>
    </w:p>
    <w:p w:rsidR="009519E2" w:rsidRPr="003F2E40" w:rsidRDefault="009519E2" w:rsidP="00ED5919">
      <w:pPr>
        <w:pStyle w:val="Heading1"/>
        <w:spacing w:before="0"/>
        <w:ind w:left="431" w:hanging="431"/>
      </w:pPr>
      <w:bookmarkStart w:id="30" w:name="_Toc179623893"/>
      <w:bookmarkStart w:id="31" w:name="_Toc257359953"/>
      <w:r w:rsidRPr="003F2E40">
        <w:t>Refrigerant bank and consumption</w:t>
      </w:r>
      <w:bookmarkEnd w:id="30"/>
      <w:bookmarkEnd w:id="31"/>
    </w:p>
    <w:p w:rsidR="003D5856" w:rsidRPr="00EB6E20" w:rsidRDefault="009519E2" w:rsidP="003D5856">
      <w:pPr>
        <w:pStyle w:val="Heading2"/>
        <w:ind w:left="576"/>
        <w:rPr>
          <w:i w:val="0"/>
        </w:rPr>
      </w:pPr>
      <w:bookmarkStart w:id="32" w:name="_Toc179623894"/>
      <w:bookmarkStart w:id="33" w:name="_Toc257359954"/>
      <w:r>
        <w:rPr>
          <w:i w:val="0"/>
        </w:rPr>
        <w:t>Dissection b</w:t>
      </w:r>
      <w:r w:rsidRPr="00D63FB7">
        <w:rPr>
          <w:i w:val="0"/>
        </w:rPr>
        <w:t>y major sector</w:t>
      </w:r>
      <w:bookmarkEnd w:id="32"/>
      <w:bookmarkEnd w:id="33"/>
    </w:p>
    <w:p w:rsidR="00073691" w:rsidRDefault="00073691" w:rsidP="00073691">
      <w:r>
        <w:t>In 2013 Australia employed a bank</w:t>
      </w:r>
      <w:r>
        <w:rPr>
          <w:rStyle w:val="FootnoteReference"/>
        </w:rPr>
        <w:footnoteReference w:id="6"/>
      </w:r>
      <w:r>
        <w:t xml:space="preserve"> of synthetic refrigerant gas</w:t>
      </w:r>
      <w:r w:rsidR="00F26E74">
        <w:t>,</w:t>
      </w:r>
      <w:r>
        <w:t xml:space="preserve"> HCFCs</w:t>
      </w:r>
      <w:r w:rsidR="00F26E74">
        <w:t xml:space="preserve"> and CFCs</w:t>
      </w:r>
      <w:r>
        <w:t xml:space="preserve"> in all applications of </w:t>
      </w:r>
      <w:r w:rsidRPr="008F63AF">
        <w:t>approximately 4</w:t>
      </w:r>
      <w:r w:rsidR="008445DA" w:rsidRPr="008F63AF">
        <w:t>6</w:t>
      </w:r>
      <w:r w:rsidR="00ED16C1" w:rsidRPr="008F63AF">
        <w:t>,</w:t>
      </w:r>
      <w:r w:rsidR="008445DA" w:rsidRPr="008F63AF">
        <w:t>500</w:t>
      </w:r>
      <w:r w:rsidR="00DD4C6D">
        <w:t xml:space="preserve"> tonnes</w:t>
      </w:r>
      <w:r w:rsidRPr="008F63AF">
        <w:t>.</w:t>
      </w:r>
    </w:p>
    <w:p w:rsidR="00073691" w:rsidRDefault="00073691" w:rsidP="00073691">
      <w:r w:rsidRPr="008F63AF">
        <w:t>Import data and market intelligence indicates around 3,</w:t>
      </w:r>
      <w:r w:rsidR="008F63AF" w:rsidRPr="008F63AF">
        <w:t>990</w:t>
      </w:r>
      <w:r w:rsidRPr="008F63AF">
        <w:t xml:space="preserve"> tonnes of bulk gas, both HFCs and HCFCs, was </w:t>
      </w:r>
      <w:r w:rsidR="00F26E74" w:rsidRPr="008F63AF">
        <w:t xml:space="preserve">consumed </w:t>
      </w:r>
      <w:r w:rsidRPr="008F63AF">
        <w:t>in 2013, of which it is estimated that around 7</w:t>
      </w:r>
      <w:r w:rsidR="008F63AF" w:rsidRPr="008F63AF">
        <w:t>0</w:t>
      </w:r>
      <w:r w:rsidRPr="008F63AF">
        <w:t xml:space="preserve">% was </w:t>
      </w:r>
      <w:r w:rsidR="00F26E74" w:rsidRPr="008F63AF">
        <w:t>requir</w:t>
      </w:r>
      <w:r w:rsidRPr="008F63AF">
        <w:t>ed to maintain the existing bank of equipment, equivalent to about 6% of the installed bank of gas.</w:t>
      </w:r>
    </w:p>
    <w:p w:rsidR="00073691" w:rsidRDefault="00073691" w:rsidP="00073691">
      <w:r>
        <w:t>The bank of working gases is largely comprised of commonly used synthetic refrigerants with GWP values that range from 1300</w:t>
      </w:r>
      <w:r w:rsidR="000A34F7">
        <w:t>/1430</w:t>
      </w:r>
      <w:r>
        <w:t xml:space="preserve"> for HFC-134a to 3260</w:t>
      </w:r>
      <w:r w:rsidR="000A34F7">
        <w:t>/3922</w:t>
      </w:r>
      <w:r>
        <w:t xml:space="preserve"> for HFC-404A, and a relatively small quantity of refrigerants with GWP &lt;10, such as hydrocarbon</w:t>
      </w:r>
      <w:r w:rsidR="004B0AF8">
        <w:t>s</w:t>
      </w:r>
      <w:r>
        <w:t>, CO</w:t>
      </w:r>
      <w:r w:rsidRPr="000A34F7">
        <w:rPr>
          <w:vertAlign w:val="subscript"/>
        </w:rPr>
        <w:t>2</w:t>
      </w:r>
      <w:r>
        <w:t xml:space="preserve"> and </w:t>
      </w:r>
      <w:r w:rsidR="004B0AF8">
        <w:t>ammonia</w:t>
      </w:r>
      <w:r>
        <w:t>.</w:t>
      </w:r>
    </w:p>
    <w:p w:rsidR="00073691" w:rsidRPr="00422041" w:rsidRDefault="00073691" w:rsidP="00073691">
      <w:pPr>
        <w:rPr>
          <w:vertAlign w:val="superscript"/>
        </w:rPr>
      </w:pPr>
      <w:r>
        <w:t xml:space="preserve">Excluding only gases with a GWP &lt;10, in aggregate the GWP of the bank is calculated to be equivalent to approximately </w:t>
      </w:r>
      <w:r w:rsidR="00422041">
        <w:t>88,200</w:t>
      </w:r>
      <w:r>
        <w:t xml:space="preserve"> kilo</w:t>
      </w:r>
      <w:r w:rsidR="00DD0675">
        <w:t xml:space="preserve"> </w:t>
      </w:r>
      <w:r>
        <w:t>tonnes of CO</w:t>
      </w:r>
      <w:r w:rsidRPr="00DD0675">
        <w:rPr>
          <w:vertAlign w:val="subscript"/>
        </w:rPr>
        <w:t>2</w:t>
      </w:r>
      <w:r w:rsidR="00977C4A" w:rsidRPr="002E6AC8">
        <w:t>-</w:t>
      </w:r>
      <w:r w:rsidR="004B0AF8" w:rsidRPr="004B0AF8">
        <w:t>e</w:t>
      </w:r>
      <w:r w:rsidR="00422041">
        <w:rPr>
          <w:vertAlign w:val="superscript"/>
        </w:rPr>
        <w:t>AR4</w:t>
      </w:r>
      <w:r w:rsidR="00422041">
        <w:t xml:space="preserve"> </w:t>
      </w:r>
      <w:r>
        <w:t xml:space="preserve">and the </w:t>
      </w:r>
      <w:r w:rsidR="00F26E74">
        <w:t xml:space="preserve">2013 </w:t>
      </w:r>
      <w:r>
        <w:t xml:space="preserve">consumption of bulk imports </w:t>
      </w:r>
      <w:r w:rsidR="00F26E74">
        <w:t xml:space="preserve">was </w:t>
      </w:r>
      <w:r>
        <w:t xml:space="preserve">equivalent to </w:t>
      </w:r>
      <w:r w:rsidR="00422041" w:rsidRPr="00422041">
        <w:t>8</w:t>
      </w:r>
      <w:r w:rsidRPr="00422041">
        <w:t>,</w:t>
      </w:r>
      <w:r w:rsidR="00422041" w:rsidRPr="00422041">
        <w:t>800</w:t>
      </w:r>
      <w:r w:rsidRPr="00422041">
        <w:t xml:space="preserve"> kilo</w:t>
      </w:r>
      <w:r w:rsidR="00DD0675" w:rsidRPr="00422041">
        <w:t xml:space="preserve"> </w:t>
      </w:r>
      <w:r w:rsidRPr="00422041">
        <w:t xml:space="preserve">tonnes of </w:t>
      </w:r>
      <w:r w:rsidRPr="004B0AF8">
        <w:t>CO</w:t>
      </w:r>
      <w:r w:rsidR="00977C4A" w:rsidRPr="002E6AC8">
        <w:rPr>
          <w:vertAlign w:val="subscript"/>
        </w:rPr>
        <w:t>2</w:t>
      </w:r>
      <w:r w:rsidR="009C0C40">
        <w:t>-</w:t>
      </w:r>
      <w:r w:rsidR="004B0AF8">
        <w:t>e</w:t>
      </w:r>
      <w:r w:rsidR="00422041" w:rsidRPr="004B0AF8">
        <w:t>AR4</w:t>
      </w:r>
      <w:r w:rsidR="00422041" w:rsidRPr="00422041">
        <w:t>.</w:t>
      </w:r>
      <w:r>
        <w:t xml:space="preserve"> </w:t>
      </w:r>
    </w:p>
    <w:p w:rsidR="00073691" w:rsidRDefault="00073691" w:rsidP="00073691">
      <w:r w:rsidRPr="00422041">
        <w:t>The refrigerated cold food chain accounts for around 11% of the total refrigerant bank, with domestic refrigerators and freezers containing a further 5%. Thus all refrigeration equipment, essential in the maintenance of food supplies and food quality, employ</w:t>
      </w:r>
      <w:r w:rsidR="004B0AF8">
        <w:t>s</w:t>
      </w:r>
      <w:r w:rsidRPr="00422041">
        <w:t xml:space="preserve"> around 16% of the total bank.</w:t>
      </w:r>
      <w:r>
        <w:t xml:space="preserve"> </w:t>
      </w:r>
    </w:p>
    <w:p w:rsidR="00073691" w:rsidRDefault="00073691" w:rsidP="00073691">
      <w:r>
        <w:t>By far the larger proportion of the working bank is to provide air conditioning for human comfort in homes, workplaces and motor vehicles.</w:t>
      </w:r>
      <w:r w:rsidR="00E1328B">
        <w:t xml:space="preserve"> </w:t>
      </w:r>
      <w:r w:rsidRPr="00422041">
        <w:t>Both the bank and the bulk imports are dominated by use in stationary air conditioning systems which accounted for 6</w:t>
      </w:r>
      <w:r w:rsidR="00422041" w:rsidRPr="00422041">
        <w:t>3</w:t>
      </w:r>
      <w:r w:rsidRPr="00422041">
        <w:t xml:space="preserve">% of the bank and consumed approximately </w:t>
      </w:r>
      <w:r w:rsidR="00930EA4">
        <w:t>39</w:t>
      </w:r>
      <w:r w:rsidRPr="00422041">
        <w:t>% of the annual bulk</w:t>
      </w:r>
      <w:r>
        <w:t xml:space="preserve"> imports. Stationary air conditioning applications continues to be the fastest growing bulk gas consuming segment and also dominate imports of pre-charged equipment.</w:t>
      </w:r>
      <w:r w:rsidR="00DD0675">
        <w:rPr>
          <w:rStyle w:val="FootnoteReference"/>
        </w:rPr>
        <w:footnoteReference w:id="7"/>
      </w:r>
      <w:r>
        <w:t xml:space="preserve"> </w:t>
      </w:r>
    </w:p>
    <w:p w:rsidR="00073691" w:rsidRDefault="00073691" w:rsidP="00073691">
      <w:r>
        <w:t>More than a million new air conditioning units have been installed each year in Australia, a level of demand which is fed by the expectations of householders, the workforce and consumers for air</w:t>
      </w:r>
      <w:r w:rsidR="000A34F7">
        <w:t xml:space="preserve"> </w:t>
      </w:r>
      <w:r>
        <w:t>conditioning services to be ubiquitous in urban and city buildings.</w:t>
      </w:r>
    </w:p>
    <w:p w:rsidR="00073691" w:rsidRDefault="00073691" w:rsidP="00073691">
      <w:r>
        <w:t xml:space="preserve">The second largest portion of the bank is mobile air conditioning comprising </w:t>
      </w:r>
      <w:r w:rsidRPr="00422041">
        <w:t>approximately 20% of the</w:t>
      </w:r>
      <w:r>
        <w:t xml:space="preserve"> total in 2013.  This gas is predominantly contained in a rolling stock of more </w:t>
      </w:r>
      <w:r w:rsidRPr="00930EA4">
        <w:t xml:space="preserve">than </w:t>
      </w:r>
      <w:r w:rsidR="00930EA4" w:rsidRPr="00930EA4">
        <w:t>15</w:t>
      </w:r>
      <w:r w:rsidRPr="00930EA4">
        <w:t xml:space="preserve"> million</w:t>
      </w:r>
      <w:r>
        <w:t xml:space="preserve"> registered vehicles containing HFC-134a. An </w:t>
      </w:r>
      <w:r w:rsidRPr="00930EA4">
        <w:t xml:space="preserve">estimated </w:t>
      </w:r>
      <w:r w:rsidR="00930EA4" w:rsidRPr="00930EA4">
        <w:t>31</w:t>
      </w:r>
      <w:r w:rsidRPr="00930EA4">
        <w:t xml:space="preserve">% of bulk imports </w:t>
      </w:r>
      <w:r w:rsidR="009B4376" w:rsidRPr="00930EA4">
        <w:t>were</w:t>
      </w:r>
      <w:r>
        <w:t xml:space="preserve"> consumed in mobile air conditioning applications with local manufacturing of mobile air conditioning systems estimated to </w:t>
      </w:r>
      <w:r w:rsidRPr="00930EA4">
        <w:t>consume 13</w:t>
      </w:r>
      <w:r w:rsidR="00930EA4" w:rsidRPr="00930EA4">
        <w:t>5</w:t>
      </w:r>
      <w:r w:rsidRPr="00930EA4">
        <w:t xml:space="preserve"> tonnes of gas, a level</w:t>
      </w:r>
      <w:r>
        <w:t xml:space="preserve"> of demand which has declined by around 80 to 100 tonnes per annum since the closure of the Mitsubishi factory in Adelaide in 2008. The larger use of gas in this sector (~80 %) was consumed servicing air-conditioning systems in existing vehicles, which have an estimated leak rate of 10% per annum, plus in replacement of gas lost from vehicles that had some form of collision or compressor failure.</w:t>
      </w:r>
    </w:p>
    <w:p w:rsidR="00C47FD1" w:rsidRDefault="00073691" w:rsidP="00C47FD1">
      <w:r>
        <w:t xml:space="preserve">Around 6% of bulk imports are consumed in applications that do not form part of the working bank such as foam blowing, fire protection and aerosols. Additionally it is estimated around 110 tonnes of gas is exported, mostly in shipping vessels and pre-charged equipment (i.e. </w:t>
      </w:r>
      <w:r w:rsidR="001A4814" w:rsidRPr="001A4814">
        <w:t>55</w:t>
      </w:r>
      <w:r w:rsidRPr="001A4814">
        <w:t xml:space="preserve"> tonnes in 9</w:t>
      </w:r>
      <w:r w:rsidR="001A4814" w:rsidRPr="001A4814">
        <w:t>0</w:t>
      </w:r>
      <w:r w:rsidRPr="001A4814">
        <w:t>,</w:t>
      </w:r>
      <w:r w:rsidR="001A4814" w:rsidRPr="001A4814">
        <w:t>939</w:t>
      </w:r>
      <w:r w:rsidRPr="001A4814">
        <w:t xml:space="preserve"> motor vehicles</w:t>
      </w:r>
      <w:r w:rsidR="001A4814">
        <w:t xml:space="preserve"> in 2013</w:t>
      </w:r>
      <w:r>
        <w:t>).</w:t>
      </w:r>
      <w:r w:rsidR="00290A9E">
        <w:t xml:space="preserve"> </w:t>
      </w:r>
      <w:r>
        <w:t xml:space="preserve">Each major application sector is discussed in detail in other sections of the report including an outline </w:t>
      </w:r>
      <w:r w:rsidR="00F02568">
        <w:t xml:space="preserve">of </w:t>
      </w:r>
      <w:r>
        <w:t>the</w:t>
      </w:r>
      <w:r w:rsidR="00F02568">
        <w:t xml:space="preserve"> equipment</w:t>
      </w:r>
      <w:r>
        <w:t xml:space="preserve"> types</w:t>
      </w:r>
      <w:r w:rsidR="00F02568">
        <w:t>,</w:t>
      </w:r>
      <w:r w:rsidR="002E6AC8">
        <w:t xml:space="preserve"> </w:t>
      </w:r>
      <w:r>
        <w:t xml:space="preserve">characteristics of equipment employed, a dissection of annual consumption and the bank of working gas in each sub-sector and in some of the main equipment types. </w:t>
      </w:r>
      <w:r w:rsidR="00290A9E" w:rsidRPr="00290A9E">
        <w:rPr>
          <w:i/>
        </w:rPr>
        <w:t xml:space="preserve">Figures </w:t>
      </w:r>
      <w:r w:rsidR="00290A9E">
        <w:rPr>
          <w:i/>
        </w:rPr>
        <w:t>9</w:t>
      </w:r>
      <w:r w:rsidR="00290A9E" w:rsidRPr="00290A9E">
        <w:t xml:space="preserve"> and </w:t>
      </w:r>
      <w:r w:rsidR="00290A9E" w:rsidRPr="00290A9E">
        <w:rPr>
          <w:i/>
        </w:rPr>
        <w:t>1</w:t>
      </w:r>
      <w:r w:rsidR="00290A9E">
        <w:rPr>
          <w:i/>
        </w:rPr>
        <w:t>0</w:t>
      </w:r>
      <w:r w:rsidR="00290A9E" w:rsidRPr="00290A9E">
        <w:t xml:space="preserve"> illustrate the dissection of </w:t>
      </w:r>
      <w:r w:rsidR="00290A9E">
        <w:t xml:space="preserve">service </w:t>
      </w:r>
      <w:r w:rsidR="00290A9E" w:rsidRPr="00290A9E">
        <w:t>consumption and the refrigerant bank for 201</w:t>
      </w:r>
      <w:r w:rsidR="00290A9E">
        <w:t>3</w:t>
      </w:r>
      <w:r w:rsidR="00290A9E" w:rsidRPr="00290A9E">
        <w:t xml:space="preserve"> by </w:t>
      </w:r>
      <w:r w:rsidR="00290A9E">
        <w:t xml:space="preserve">major application </w:t>
      </w:r>
      <w:r w:rsidR="00290A9E" w:rsidRPr="00290A9E">
        <w:t xml:space="preserve">based on tonnes, and </w:t>
      </w:r>
      <w:r w:rsidR="00290A9E" w:rsidRPr="00290A9E">
        <w:rPr>
          <w:i/>
        </w:rPr>
        <w:t>Table 4</w:t>
      </w:r>
      <w:r w:rsidR="00290A9E" w:rsidRPr="00290A9E">
        <w:t xml:space="preserve"> provides summary data.</w:t>
      </w:r>
    </w:p>
    <w:p w:rsidR="00290A9E" w:rsidRPr="00F13FE5" w:rsidRDefault="00290A9E" w:rsidP="00C47FD1">
      <w:pPr>
        <w:rPr>
          <w:rFonts w:cs="Times New Roman"/>
          <w:szCs w:val="2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39"/>
      </w:tblGrid>
      <w:tr w:rsidR="00C47FD1" w:rsidRPr="00613398" w:rsidTr="00354FD8">
        <w:tc>
          <w:tcPr>
            <w:tcW w:w="9639" w:type="dxa"/>
            <w:vAlign w:val="center"/>
          </w:tcPr>
          <w:p w:rsidR="00C47FD1" w:rsidRPr="00613398" w:rsidRDefault="00C47FD1" w:rsidP="00C47FD1">
            <w:pPr>
              <w:spacing w:after="120"/>
              <w:jc w:val="center"/>
              <w:rPr>
                <w:rFonts w:cs="Times New Roman"/>
                <w:b/>
              </w:rPr>
            </w:pPr>
            <w:r w:rsidRPr="00613398">
              <w:rPr>
                <w:rFonts w:cs="Times New Roman"/>
                <w:b/>
              </w:rPr>
              <w:br w:type="page"/>
            </w:r>
            <w:r w:rsidRPr="00C47FD1">
              <w:rPr>
                <w:rFonts w:cs="Times New Roman"/>
                <w:b/>
              </w:rPr>
              <w:t>201</w:t>
            </w:r>
            <w:r>
              <w:rPr>
                <w:rFonts w:cs="Times New Roman"/>
                <w:b/>
              </w:rPr>
              <w:t>3</w:t>
            </w:r>
            <w:r w:rsidRPr="00C47FD1">
              <w:rPr>
                <w:rFonts w:cs="Times New Roman"/>
                <w:b/>
              </w:rPr>
              <w:t xml:space="preserve"> </w:t>
            </w:r>
            <w:r w:rsidR="00E37861">
              <w:rPr>
                <w:rFonts w:cs="Times New Roman"/>
                <w:b/>
              </w:rPr>
              <w:t xml:space="preserve">service </w:t>
            </w:r>
            <w:r w:rsidRPr="00C47FD1">
              <w:rPr>
                <w:rFonts w:cs="Times New Roman"/>
                <w:b/>
              </w:rPr>
              <w:t>consumption by major sector</w:t>
            </w:r>
            <w:r w:rsidR="008373D1">
              <w:rPr>
                <w:rFonts w:cs="Times New Roman"/>
                <w:b/>
              </w:rPr>
              <w:t xml:space="preserve"> (</w:t>
            </w:r>
            <w:r w:rsidR="00D61DF6">
              <w:rPr>
                <w:rFonts w:cs="Times New Roman"/>
                <w:b/>
              </w:rPr>
              <w:t xml:space="preserve">% by </w:t>
            </w:r>
            <w:r w:rsidR="008373D1">
              <w:rPr>
                <w:rFonts w:cs="Times New Roman"/>
                <w:b/>
              </w:rPr>
              <w:t>tonnes)</w:t>
            </w:r>
          </w:p>
        </w:tc>
      </w:tr>
      <w:tr w:rsidR="00C47FD1" w:rsidRPr="00923150" w:rsidTr="00354FD8">
        <w:tc>
          <w:tcPr>
            <w:tcW w:w="9639" w:type="dxa"/>
            <w:vAlign w:val="center"/>
          </w:tcPr>
          <w:p w:rsidR="00C47FD1" w:rsidRDefault="00C47FD1" w:rsidP="00354FD8">
            <w:pPr>
              <w:spacing w:before="0"/>
              <w:jc w:val="center"/>
              <w:rPr>
                <w:sz w:val="16"/>
                <w:szCs w:val="16"/>
              </w:rPr>
            </w:pPr>
          </w:p>
          <w:p w:rsidR="00C47FD1" w:rsidRDefault="00E37861" w:rsidP="00354FD8">
            <w:pPr>
              <w:spacing w:before="0"/>
              <w:jc w:val="center"/>
              <w:rPr>
                <w:sz w:val="16"/>
                <w:szCs w:val="16"/>
              </w:rPr>
            </w:pPr>
            <w:r>
              <w:rPr>
                <w:noProof/>
                <w:lang w:val="en-AU" w:eastAsia="en-AU"/>
              </w:rPr>
              <w:drawing>
                <wp:inline distT="0" distB="0" distL="0" distR="0">
                  <wp:extent cx="4941993" cy="3056467"/>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47FD1" w:rsidRDefault="00C47FD1" w:rsidP="00354FD8">
            <w:pPr>
              <w:spacing w:before="0"/>
              <w:jc w:val="center"/>
              <w:rPr>
                <w:sz w:val="16"/>
                <w:szCs w:val="16"/>
              </w:rPr>
            </w:pPr>
          </w:p>
        </w:tc>
      </w:tr>
      <w:tr w:rsidR="00C47FD1" w:rsidRPr="003F61A2" w:rsidTr="00354FD8">
        <w:tc>
          <w:tcPr>
            <w:tcW w:w="9639" w:type="dxa"/>
            <w:vAlign w:val="center"/>
          </w:tcPr>
          <w:p w:rsidR="00C47FD1" w:rsidRPr="003F61A2" w:rsidRDefault="00374D54" w:rsidP="00DA3408">
            <w:pPr>
              <w:spacing w:before="60" w:after="60"/>
              <w:rPr>
                <w:rFonts w:cs="Times New Roman"/>
                <w:i/>
                <w:sz w:val="20"/>
              </w:rPr>
            </w:pPr>
            <w:bookmarkStart w:id="34" w:name="_Toc257359977"/>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9</w:t>
            </w:r>
            <w:r w:rsidR="00B41499" w:rsidRPr="00F4221A">
              <w:rPr>
                <w:rFonts w:cs="Times New Roman"/>
                <w:i/>
                <w:sz w:val="20"/>
              </w:rPr>
              <w:fldChar w:fldCharType="end"/>
            </w:r>
            <w:r w:rsidRPr="00F4221A">
              <w:rPr>
                <w:rFonts w:cs="Times New Roman"/>
                <w:i/>
                <w:sz w:val="20"/>
              </w:rPr>
              <w:t>:</w:t>
            </w:r>
            <w:r w:rsidR="00C47FD1" w:rsidRPr="00613398">
              <w:rPr>
                <w:rFonts w:cs="Times New Roman"/>
                <w:i/>
                <w:sz w:val="20"/>
              </w:rPr>
              <w:t xml:space="preserve"> </w:t>
            </w:r>
            <w:r w:rsidR="00C47FD1" w:rsidRPr="00C47FD1">
              <w:rPr>
                <w:rFonts w:cs="Times New Roman"/>
                <w:i/>
                <w:sz w:val="20"/>
              </w:rPr>
              <w:t>201</w:t>
            </w:r>
            <w:r w:rsidR="00930EA4">
              <w:rPr>
                <w:rFonts w:cs="Times New Roman"/>
                <w:i/>
                <w:sz w:val="20"/>
              </w:rPr>
              <w:t>3</w:t>
            </w:r>
            <w:r w:rsidR="00C47FD1" w:rsidRPr="00C47FD1">
              <w:rPr>
                <w:rFonts w:cs="Times New Roman"/>
                <w:i/>
                <w:sz w:val="20"/>
              </w:rPr>
              <w:t xml:space="preserve"> </w:t>
            </w:r>
            <w:r w:rsidR="00E37861">
              <w:rPr>
                <w:rFonts w:cs="Times New Roman"/>
                <w:i/>
                <w:sz w:val="20"/>
              </w:rPr>
              <w:t xml:space="preserve">service </w:t>
            </w:r>
            <w:r w:rsidR="00C47FD1" w:rsidRPr="00C47FD1">
              <w:rPr>
                <w:rFonts w:cs="Times New Roman"/>
                <w:i/>
                <w:sz w:val="20"/>
              </w:rPr>
              <w:t>consumption by major sector based on bottom-up analysis of equipment</w:t>
            </w:r>
            <w:r w:rsidR="00DA3408">
              <w:rPr>
                <w:rFonts w:cs="Times New Roman"/>
                <w:i/>
                <w:sz w:val="20"/>
              </w:rPr>
              <w:t>, % share by t</w:t>
            </w:r>
            <w:r w:rsidR="00DA3408" w:rsidRPr="00C47FD1">
              <w:rPr>
                <w:rFonts w:cs="Times New Roman"/>
                <w:i/>
                <w:sz w:val="20"/>
              </w:rPr>
              <w:t>onnes</w:t>
            </w:r>
            <w:r w:rsidR="00C47FD1" w:rsidRPr="00613398">
              <w:rPr>
                <w:rFonts w:cs="Times New Roman"/>
                <w:i/>
                <w:sz w:val="20"/>
              </w:rPr>
              <w:t>.</w:t>
            </w:r>
            <w:bookmarkEnd w:id="34"/>
          </w:p>
        </w:tc>
      </w:tr>
      <w:tr w:rsidR="00C47FD1" w:rsidTr="00354FD8">
        <w:tc>
          <w:tcPr>
            <w:tcW w:w="9639" w:type="dxa"/>
            <w:vAlign w:val="center"/>
          </w:tcPr>
          <w:p w:rsidR="00C47FD1" w:rsidRPr="00C47FD1" w:rsidRDefault="00C47FD1" w:rsidP="00C47FD1">
            <w:pPr>
              <w:spacing w:after="120"/>
              <w:jc w:val="center"/>
              <w:rPr>
                <w:rFonts w:cs="Times New Roman"/>
                <w:b/>
              </w:rPr>
            </w:pPr>
            <w:r w:rsidRPr="00C47FD1">
              <w:rPr>
                <w:rFonts w:cs="Times New Roman"/>
                <w:b/>
              </w:rPr>
              <w:t>201</w:t>
            </w:r>
            <w:r>
              <w:rPr>
                <w:rFonts w:cs="Times New Roman"/>
                <w:b/>
              </w:rPr>
              <w:t>3</w:t>
            </w:r>
            <w:r w:rsidRPr="00C47FD1">
              <w:rPr>
                <w:rFonts w:cs="Times New Roman"/>
                <w:b/>
              </w:rPr>
              <w:t xml:space="preserve"> </w:t>
            </w:r>
            <w:r>
              <w:rPr>
                <w:rFonts w:cs="Times New Roman"/>
                <w:b/>
              </w:rPr>
              <w:t xml:space="preserve">bank </w:t>
            </w:r>
            <w:r w:rsidRPr="00C47FD1">
              <w:rPr>
                <w:rFonts w:cs="Times New Roman"/>
                <w:b/>
              </w:rPr>
              <w:t>by major sector</w:t>
            </w:r>
            <w:r w:rsidR="00E37861">
              <w:rPr>
                <w:rFonts w:cs="Times New Roman"/>
                <w:b/>
              </w:rPr>
              <w:t xml:space="preserve"> (</w:t>
            </w:r>
            <w:r w:rsidR="00D61DF6">
              <w:rPr>
                <w:rFonts w:cs="Times New Roman"/>
                <w:b/>
              </w:rPr>
              <w:t xml:space="preserve">% by </w:t>
            </w:r>
            <w:r w:rsidR="00E37861">
              <w:rPr>
                <w:rFonts w:cs="Times New Roman"/>
                <w:b/>
              </w:rPr>
              <w:t>tonnes)</w:t>
            </w:r>
          </w:p>
        </w:tc>
      </w:tr>
      <w:tr w:rsidR="00C47FD1" w:rsidTr="00354FD8">
        <w:tc>
          <w:tcPr>
            <w:tcW w:w="9639" w:type="dxa"/>
            <w:vAlign w:val="center"/>
          </w:tcPr>
          <w:p w:rsidR="00C47FD1" w:rsidRDefault="00C47FD1" w:rsidP="00354FD8">
            <w:pPr>
              <w:spacing w:before="0"/>
              <w:jc w:val="center"/>
              <w:rPr>
                <w:sz w:val="16"/>
                <w:szCs w:val="16"/>
              </w:rPr>
            </w:pPr>
          </w:p>
          <w:p w:rsidR="00C47FD1" w:rsidRDefault="00E37861" w:rsidP="00354FD8">
            <w:pPr>
              <w:spacing w:before="0"/>
              <w:jc w:val="center"/>
              <w:rPr>
                <w:sz w:val="16"/>
                <w:szCs w:val="16"/>
              </w:rPr>
            </w:pPr>
            <w:r>
              <w:rPr>
                <w:noProof/>
                <w:lang w:val="en-AU" w:eastAsia="en-AU"/>
              </w:rPr>
              <w:drawing>
                <wp:inline distT="0" distB="0" distL="0" distR="0">
                  <wp:extent cx="4772660" cy="30988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C47FD1" w:rsidRDefault="00C47FD1" w:rsidP="00354FD8">
            <w:pPr>
              <w:spacing w:before="0"/>
              <w:jc w:val="center"/>
              <w:rPr>
                <w:sz w:val="16"/>
                <w:szCs w:val="16"/>
              </w:rPr>
            </w:pPr>
          </w:p>
        </w:tc>
      </w:tr>
      <w:tr w:rsidR="00C47FD1" w:rsidRPr="00923150" w:rsidTr="00354FD8">
        <w:tc>
          <w:tcPr>
            <w:tcW w:w="9639" w:type="dxa"/>
            <w:vAlign w:val="center"/>
          </w:tcPr>
          <w:p w:rsidR="00C47FD1" w:rsidRPr="00613398" w:rsidRDefault="00374D54" w:rsidP="00DA3408">
            <w:pPr>
              <w:spacing w:before="60" w:after="60"/>
            </w:pPr>
            <w:bookmarkStart w:id="35" w:name="_Toc257359978"/>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10</w:t>
            </w:r>
            <w:r w:rsidR="00B41499" w:rsidRPr="00F4221A">
              <w:rPr>
                <w:rFonts w:cs="Times New Roman"/>
                <w:i/>
                <w:sz w:val="20"/>
              </w:rPr>
              <w:fldChar w:fldCharType="end"/>
            </w:r>
            <w:r w:rsidRPr="00F4221A">
              <w:rPr>
                <w:rFonts w:cs="Times New Roman"/>
                <w:i/>
                <w:sz w:val="20"/>
              </w:rPr>
              <w:t>:</w:t>
            </w:r>
            <w:r w:rsidR="00C47FD1">
              <w:rPr>
                <w:rFonts w:cs="Times New Roman"/>
                <w:i/>
                <w:sz w:val="20"/>
              </w:rPr>
              <w:t xml:space="preserve"> </w:t>
            </w:r>
            <w:r w:rsidR="00C47FD1" w:rsidRPr="00C47FD1">
              <w:rPr>
                <w:rFonts w:cs="Times New Roman"/>
                <w:i/>
                <w:sz w:val="20"/>
              </w:rPr>
              <w:t>201</w:t>
            </w:r>
            <w:r w:rsidR="00930EA4">
              <w:rPr>
                <w:rFonts w:cs="Times New Roman"/>
                <w:i/>
                <w:sz w:val="20"/>
              </w:rPr>
              <w:t>3</w:t>
            </w:r>
            <w:r w:rsidR="00C47FD1" w:rsidRPr="00C47FD1">
              <w:rPr>
                <w:rFonts w:cs="Times New Roman"/>
                <w:i/>
                <w:sz w:val="20"/>
              </w:rPr>
              <w:t xml:space="preserve"> bank </w:t>
            </w:r>
            <w:r w:rsidR="00DA3408" w:rsidRPr="00C47FD1">
              <w:rPr>
                <w:rFonts w:cs="Times New Roman"/>
                <w:i/>
                <w:sz w:val="20"/>
              </w:rPr>
              <w:t xml:space="preserve">by major sector </w:t>
            </w:r>
            <w:r w:rsidR="00DA3408">
              <w:rPr>
                <w:rFonts w:cs="Times New Roman"/>
                <w:i/>
                <w:sz w:val="20"/>
              </w:rPr>
              <w:t xml:space="preserve">based on </w:t>
            </w:r>
            <w:r w:rsidR="00DA3408" w:rsidRPr="00C47FD1">
              <w:rPr>
                <w:rFonts w:cs="Times New Roman"/>
                <w:i/>
                <w:sz w:val="20"/>
              </w:rPr>
              <w:t>bottom-up analysis of equip</w:t>
            </w:r>
            <w:r w:rsidR="00DA3408">
              <w:rPr>
                <w:rFonts w:cs="Times New Roman"/>
                <w:i/>
                <w:sz w:val="20"/>
              </w:rPr>
              <w:t>ment, % share by t</w:t>
            </w:r>
            <w:r w:rsidR="00C47FD1" w:rsidRPr="00C47FD1">
              <w:rPr>
                <w:rFonts w:cs="Times New Roman"/>
                <w:i/>
                <w:sz w:val="20"/>
              </w:rPr>
              <w:t>onnes</w:t>
            </w:r>
            <w:r w:rsidR="00C47FD1" w:rsidRPr="00613398">
              <w:rPr>
                <w:rFonts w:cs="Times New Roman"/>
                <w:i/>
                <w:sz w:val="20"/>
              </w:rPr>
              <w:t>.</w:t>
            </w:r>
            <w:bookmarkEnd w:id="35"/>
          </w:p>
        </w:tc>
      </w:tr>
    </w:tbl>
    <w:p w:rsidR="00E1328B" w:rsidRDefault="00E1328B" w:rsidP="00DA3408">
      <w:pPr>
        <w:spacing w:before="0"/>
        <w:jc w:val="left"/>
        <w:rPr>
          <w:i/>
          <w:szCs w:val="22"/>
        </w:rPr>
      </w:pPr>
      <w:bookmarkStart w:id="36" w:name="_Toc179623399"/>
    </w:p>
    <w:p w:rsidR="00603850" w:rsidRDefault="00603850">
      <w:pPr>
        <w:spacing w:before="0"/>
        <w:jc w:val="left"/>
        <w:rPr>
          <w:i/>
          <w:szCs w:val="22"/>
        </w:rPr>
      </w:pPr>
      <w:r>
        <w:rPr>
          <w:i/>
          <w:szCs w:val="22"/>
        </w:rPr>
        <w:br w:type="page"/>
      </w:r>
    </w:p>
    <w:p w:rsidR="00C47FD1" w:rsidRPr="00DA3408" w:rsidRDefault="00374D54" w:rsidP="00DA3408">
      <w:pPr>
        <w:spacing w:before="0"/>
        <w:jc w:val="left"/>
        <w:rPr>
          <w:b/>
          <w:sz w:val="20"/>
        </w:rPr>
      </w:pPr>
      <w:bookmarkStart w:id="37" w:name="_Toc257360008"/>
      <w:r w:rsidRPr="00D02806">
        <w:rPr>
          <w:i/>
          <w:szCs w:val="22"/>
        </w:rPr>
        <w:t xml:space="preserve">Table </w:t>
      </w:r>
      <w:r w:rsidR="00B41499" w:rsidRPr="00D02806">
        <w:rPr>
          <w:i/>
          <w:szCs w:val="22"/>
        </w:rPr>
        <w:fldChar w:fldCharType="begin"/>
      </w:r>
      <w:r w:rsidRPr="00D02806">
        <w:rPr>
          <w:i/>
          <w:szCs w:val="22"/>
        </w:rPr>
        <w:instrText xml:space="preserve"> SEQ Table \* ARABIC </w:instrText>
      </w:r>
      <w:r w:rsidR="00B41499" w:rsidRPr="00D02806">
        <w:rPr>
          <w:i/>
          <w:szCs w:val="22"/>
        </w:rPr>
        <w:fldChar w:fldCharType="separate"/>
      </w:r>
      <w:r w:rsidR="008E0DB9">
        <w:rPr>
          <w:i/>
          <w:noProof/>
          <w:szCs w:val="22"/>
        </w:rPr>
        <w:t>4</w:t>
      </w:r>
      <w:r w:rsidR="00B41499" w:rsidRPr="00D02806">
        <w:rPr>
          <w:i/>
          <w:szCs w:val="22"/>
        </w:rPr>
        <w:fldChar w:fldCharType="end"/>
      </w:r>
      <w:r w:rsidRPr="00E705D7">
        <w:rPr>
          <w:i/>
          <w:szCs w:val="22"/>
        </w:rPr>
        <w:t>:</w:t>
      </w:r>
      <w:r w:rsidR="00C47FD1" w:rsidRPr="00E705D7">
        <w:rPr>
          <w:i/>
          <w:szCs w:val="22"/>
        </w:rPr>
        <w:t xml:space="preserve"> Estimates of 2013 gas consumption and refrigerant bank by major sector in tonnes</w:t>
      </w:r>
      <w:bookmarkEnd w:id="36"/>
      <w:r w:rsidR="00E705D7">
        <w:rPr>
          <w:i/>
          <w:szCs w:val="22"/>
        </w:rPr>
        <w:t>.</w:t>
      </w:r>
      <w:bookmarkEnd w:id="3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43"/>
        <w:gridCol w:w="2721"/>
        <w:gridCol w:w="2441"/>
      </w:tblGrid>
      <w:tr w:rsidR="00C47FD1" w:rsidRPr="00923150" w:rsidTr="00C47FD1">
        <w:trPr>
          <w:trHeight w:val="684"/>
        </w:trPr>
        <w:tc>
          <w:tcPr>
            <w:tcW w:w="4443" w:type="dxa"/>
            <w:tcBorders>
              <w:top w:val="single" w:sz="8" w:space="0" w:color="FFFFFF"/>
              <w:left w:val="single" w:sz="8" w:space="0" w:color="auto"/>
              <w:bottom w:val="single" w:sz="8" w:space="0" w:color="FFFFFF"/>
              <w:right w:val="single" w:sz="8" w:space="0" w:color="FFFFFF"/>
            </w:tcBorders>
            <w:shd w:val="clear" w:color="auto" w:fill="000000"/>
            <w:vAlign w:val="center"/>
          </w:tcPr>
          <w:p w:rsidR="00C47FD1" w:rsidRPr="00923150" w:rsidRDefault="00354FD8" w:rsidP="00354FD8">
            <w:pPr>
              <w:spacing w:before="60" w:after="60"/>
              <w:ind w:left="284"/>
            </w:pPr>
            <w:r>
              <w:t>Sector/applications</w:t>
            </w:r>
          </w:p>
        </w:tc>
        <w:tc>
          <w:tcPr>
            <w:tcW w:w="2721" w:type="dxa"/>
            <w:tcBorders>
              <w:top w:val="single" w:sz="8" w:space="0" w:color="FFFFFF"/>
              <w:left w:val="single" w:sz="8" w:space="0" w:color="FFFFFF"/>
              <w:bottom w:val="single" w:sz="8" w:space="0" w:color="FFFFFF"/>
              <w:right w:val="single" w:sz="8" w:space="0" w:color="FFFFFF"/>
            </w:tcBorders>
            <w:shd w:val="clear" w:color="auto" w:fill="000000"/>
            <w:vAlign w:val="center"/>
          </w:tcPr>
          <w:p w:rsidR="00C47FD1" w:rsidRPr="00923150" w:rsidRDefault="00C47FD1" w:rsidP="00354FD8">
            <w:pPr>
              <w:spacing w:before="60" w:after="60"/>
              <w:jc w:val="center"/>
            </w:pPr>
            <w:r w:rsidRPr="00923150">
              <w:t>201</w:t>
            </w:r>
            <w:r>
              <w:t>3</w:t>
            </w:r>
            <w:r w:rsidRPr="00923150">
              <w:t xml:space="preserve"> </w:t>
            </w:r>
            <w:r w:rsidR="00DA3408">
              <w:t xml:space="preserve">total </w:t>
            </w:r>
            <w:r w:rsidRPr="00923150">
              <w:t xml:space="preserve">consumption </w:t>
            </w:r>
          </w:p>
          <w:p w:rsidR="00C47FD1" w:rsidRPr="00923150" w:rsidRDefault="00C47FD1" w:rsidP="00354FD8">
            <w:pPr>
              <w:spacing w:before="60" w:after="60"/>
              <w:jc w:val="center"/>
            </w:pPr>
            <w:r w:rsidRPr="00923150">
              <w:t>(</w:t>
            </w:r>
            <w:r>
              <w:t>tonnes</w:t>
            </w:r>
            <w:r w:rsidRPr="00923150">
              <w:t>)</w:t>
            </w:r>
          </w:p>
        </w:tc>
        <w:tc>
          <w:tcPr>
            <w:tcW w:w="2441" w:type="dxa"/>
            <w:tcBorders>
              <w:top w:val="single" w:sz="8" w:space="0" w:color="FFFFFF"/>
              <w:left w:val="single" w:sz="8" w:space="0" w:color="FFFFFF"/>
              <w:bottom w:val="single" w:sz="8" w:space="0" w:color="FFFFFF"/>
              <w:right w:val="single" w:sz="8" w:space="0" w:color="auto"/>
            </w:tcBorders>
            <w:shd w:val="clear" w:color="auto" w:fill="000000"/>
            <w:vAlign w:val="center"/>
          </w:tcPr>
          <w:p w:rsidR="00C47FD1" w:rsidRPr="00923150" w:rsidRDefault="00C47FD1" w:rsidP="00354FD8">
            <w:pPr>
              <w:spacing w:before="60" w:after="60"/>
              <w:jc w:val="center"/>
            </w:pPr>
            <w:r w:rsidRPr="00923150">
              <w:t>201</w:t>
            </w:r>
            <w:r>
              <w:t>3</w:t>
            </w:r>
            <w:r w:rsidRPr="00923150">
              <w:t xml:space="preserve"> bank </w:t>
            </w:r>
          </w:p>
          <w:p w:rsidR="00C47FD1" w:rsidRPr="00923150" w:rsidRDefault="00C47FD1" w:rsidP="00354FD8">
            <w:pPr>
              <w:spacing w:before="60" w:after="60"/>
              <w:jc w:val="center"/>
            </w:pPr>
            <w:r w:rsidRPr="00923150">
              <w:t>(</w:t>
            </w:r>
            <w:r>
              <w:t>tonnes</w:t>
            </w:r>
            <w:r w:rsidRPr="00923150">
              <w:t>)</w:t>
            </w:r>
          </w:p>
        </w:tc>
      </w:tr>
      <w:tr w:rsidR="00C47FD1" w:rsidRPr="00923150" w:rsidTr="00C47FD1">
        <w:trPr>
          <w:trHeight w:val="456"/>
        </w:trPr>
        <w:tc>
          <w:tcPr>
            <w:tcW w:w="4443" w:type="dxa"/>
            <w:tcBorders>
              <w:top w:val="single" w:sz="8" w:space="0" w:color="FFFFFF"/>
            </w:tcBorders>
            <w:vAlign w:val="center"/>
          </w:tcPr>
          <w:p w:rsidR="00C47FD1" w:rsidRPr="00923150" w:rsidRDefault="00C47FD1" w:rsidP="00354FD8">
            <w:pPr>
              <w:spacing w:before="60" w:after="60"/>
              <w:ind w:left="284"/>
            </w:pPr>
            <w:r w:rsidRPr="00923150">
              <w:t>Domestic refrig</w:t>
            </w:r>
            <w:r>
              <w:t>eration</w:t>
            </w:r>
          </w:p>
        </w:tc>
        <w:tc>
          <w:tcPr>
            <w:tcW w:w="2721" w:type="dxa"/>
            <w:tcBorders>
              <w:top w:val="single" w:sz="8" w:space="0" w:color="FFFFFF"/>
            </w:tcBorders>
            <w:vAlign w:val="center"/>
          </w:tcPr>
          <w:p w:rsidR="00C47FD1" w:rsidRPr="00A27810" w:rsidRDefault="00A27810" w:rsidP="00354FD8">
            <w:pPr>
              <w:spacing w:before="60" w:after="60"/>
              <w:jc w:val="center"/>
              <w:rPr>
                <w:szCs w:val="22"/>
              </w:rPr>
            </w:pPr>
            <w:r>
              <w:rPr>
                <w:szCs w:val="22"/>
              </w:rPr>
              <w:t>25</w:t>
            </w:r>
          </w:p>
        </w:tc>
        <w:tc>
          <w:tcPr>
            <w:tcW w:w="2441" w:type="dxa"/>
            <w:tcBorders>
              <w:top w:val="single" w:sz="8" w:space="0" w:color="FFFFFF"/>
            </w:tcBorders>
            <w:vAlign w:val="center"/>
          </w:tcPr>
          <w:p w:rsidR="00C47FD1" w:rsidRPr="00A27810" w:rsidRDefault="00A27810" w:rsidP="00354FD8">
            <w:pPr>
              <w:spacing w:before="60" w:after="60"/>
              <w:jc w:val="center"/>
              <w:rPr>
                <w:szCs w:val="22"/>
              </w:rPr>
            </w:pPr>
            <w:r>
              <w:rPr>
                <w:szCs w:val="22"/>
              </w:rPr>
              <w:t>2,270</w:t>
            </w:r>
          </w:p>
        </w:tc>
      </w:tr>
      <w:tr w:rsidR="00C47FD1" w:rsidRPr="00923150" w:rsidTr="00C47FD1">
        <w:trPr>
          <w:trHeight w:val="456"/>
        </w:trPr>
        <w:tc>
          <w:tcPr>
            <w:tcW w:w="4443" w:type="dxa"/>
            <w:vAlign w:val="center"/>
          </w:tcPr>
          <w:p w:rsidR="00A27810" w:rsidRPr="00923150" w:rsidRDefault="00A27810" w:rsidP="00A27810">
            <w:pPr>
              <w:spacing w:before="60" w:after="60"/>
              <w:ind w:left="284"/>
            </w:pPr>
            <w:r>
              <w:t>Refrigerated Cold Food Chain</w:t>
            </w:r>
          </w:p>
        </w:tc>
        <w:tc>
          <w:tcPr>
            <w:tcW w:w="2721" w:type="dxa"/>
            <w:vAlign w:val="center"/>
          </w:tcPr>
          <w:p w:rsidR="00C47FD1" w:rsidRPr="00A27810" w:rsidRDefault="00A27810" w:rsidP="00354FD8">
            <w:pPr>
              <w:spacing w:before="60" w:after="60"/>
              <w:jc w:val="center"/>
              <w:rPr>
                <w:szCs w:val="22"/>
              </w:rPr>
            </w:pPr>
            <w:r>
              <w:rPr>
                <w:szCs w:val="22"/>
              </w:rPr>
              <w:t>1,000</w:t>
            </w:r>
          </w:p>
        </w:tc>
        <w:tc>
          <w:tcPr>
            <w:tcW w:w="2441" w:type="dxa"/>
            <w:vAlign w:val="center"/>
          </w:tcPr>
          <w:p w:rsidR="00C47FD1" w:rsidRPr="00A27810" w:rsidRDefault="00A27810" w:rsidP="00354FD8">
            <w:pPr>
              <w:spacing w:before="60" w:after="60"/>
              <w:jc w:val="center"/>
              <w:rPr>
                <w:szCs w:val="22"/>
              </w:rPr>
            </w:pPr>
            <w:r>
              <w:rPr>
                <w:szCs w:val="22"/>
              </w:rPr>
              <w:t>5,070</w:t>
            </w:r>
          </w:p>
        </w:tc>
      </w:tr>
      <w:tr w:rsidR="00C47FD1" w:rsidRPr="00923150" w:rsidTr="00C47FD1">
        <w:trPr>
          <w:trHeight w:val="456"/>
        </w:trPr>
        <w:tc>
          <w:tcPr>
            <w:tcW w:w="4443" w:type="dxa"/>
            <w:vAlign w:val="center"/>
          </w:tcPr>
          <w:p w:rsidR="00C47FD1" w:rsidRPr="00923150" w:rsidRDefault="00C47FD1" w:rsidP="00354FD8">
            <w:pPr>
              <w:spacing w:before="60" w:after="60"/>
              <w:ind w:left="284"/>
            </w:pPr>
            <w:r w:rsidRPr="00923150">
              <w:t>Stationary air conditioning</w:t>
            </w:r>
          </w:p>
        </w:tc>
        <w:tc>
          <w:tcPr>
            <w:tcW w:w="2721" w:type="dxa"/>
            <w:vAlign w:val="center"/>
          </w:tcPr>
          <w:p w:rsidR="00C47FD1" w:rsidRPr="00A27810" w:rsidRDefault="00EC5914" w:rsidP="00374D54">
            <w:pPr>
              <w:spacing w:before="60" w:after="60"/>
              <w:jc w:val="center"/>
              <w:rPr>
                <w:szCs w:val="22"/>
              </w:rPr>
            </w:pPr>
            <w:r>
              <w:rPr>
                <w:szCs w:val="22"/>
              </w:rPr>
              <w:t xml:space="preserve">1,535 </w:t>
            </w:r>
            <w:r w:rsidR="00374D54">
              <w:rPr>
                <w:szCs w:val="22"/>
              </w:rPr>
              <w:t xml:space="preserve">(incl. </w:t>
            </w:r>
            <w:r>
              <w:rPr>
                <w:szCs w:val="22"/>
              </w:rPr>
              <w:t>200 re-use</w:t>
            </w:r>
            <w:r w:rsidR="00374D54">
              <w:rPr>
                <w:szCs w:val="22"/>
              </w:rPr>
              <w:t>)</w:t>
            </w:r>
          </w:p>
        </w:tc>
        <w:tc>
          <w:tcPr>
            <w:tcW w:w="2441" w:type="dxa"/>
            <w:vAlign w:val="center"/>
          </w:tcPr>
          <w:p w:rsidR="00C47FD1" w:rsidRPr="00A27810" w:rsidRDefault="00EC5914" w:rsidP="00354FD8">
            <w:pPr>
              <w:spacing w:before="60" w:after="60"/>
              <w:jc w:val="center"/>
              <w:rPr>
                <w:szCs w:val="22"/>
              </w:rPr>
            </w:pPr>
            <w:r>
              <w:rPr>
                <w:szCs w:val="22"/>
              </w:rPr>
              <w:t>28,680</w:t>
            </w:r>
          </w:p>
        </w:tc>
      </w:tr>
      <w:tr w:rsidR="00C47FD1" w:rsidRPr="00923150" w:rsidTr="00C47FD1">
        <w:trPr>
          <w:trHeight w:val="456"/>
        </w:trPr>
        <w:tc>
          <w:tcPr>
            <w:tcW w:w="4443" w:type="dxa"/>
            <w:vAlign w:val="center"/>
          </w:tcPr>
          <w:p w:rsidR="00C47FD1" w:rsidRPr="00923150" w:rsidRDefault="00C47FD1" w:rsidP="00354FD8">
            <w:pPr>
              <w:spacing w:before="60" w:after="60"/>
              <w:ind w:left="284"/>
            </w:pPr>
            <w:r w:rsidRPr="00923150">
              <w:t>Mobile air conditioning</w:t>
            </w:r>
          </w:p>
        </w:tc>
        <w:tc>
          <w:tcPr>
            <w:tcW w:w="2721" w:type="dxa"/>
            <w:vAlign w:val="center"/>
          </w:tcPr>
          <w:p w:rsidR="00C47FD1" w:rsidRPr="00A27810" w:rsidRDefault="00A27810" w:rsidP="00354FD8">
            <w:pPr>
              <w:spacing w:before="60" w:after="60"/>
              <w:jc w:val="center"/>
              <w:rPr>
                <w:szCs w:val="22"/>
              </w:rPr>
            </w:pPr>
            <w:r>
              <w:rPr>
                <w:szCs w:val="22"/>
              </w:rPr>
              <w:t>1,250</w:t>
            </w:r>
          </w:p>
        </w:tc>
        <w:tc>
          <w:tcPr>
            <w:tcW w:w="2441" w:type="dxa"/>
            <w:vAlign w:val="center"/>
          </w:tcPr>
          <w:p w:rsidR="00C47FD1" w:rsidRPr="00A27810" w:rsidRDefault="00A27810" w:rsidP="00354FD8">
            <w:pPr>
              <w:spacing w:before="60" w:after="60"/>
              <w:jc w:val="center"/>
              <w:rPr>
                <w:szCs w:val="22"/>
              </w:rPr>
            </w:pPr>
            <w:r>
              <w:rPr>
                <w:szCs w:val="22"/>
              </w:rPr>
              <w:t>9,515</w:t>
            </w:r>
          </w:p>
        </w:tc>
      </w:tr>
      <w:tr w:rsidR="00C47FD1" w:rsidRPr="00923150" w:rsidTr="00C47FD1">
        <w:trPr>
          <w:trHeight w:val="456"/>
        </w:trPr>
        <w:tc>
          <w:tcPr>
            <w:tcW w:w="4443" w:type="dxa"/>
            <w:vAlign w:val="center"/>
          </w:tcPr>
          <w:p w:rsidR="00C47FD1" w:rsidRPr="00923150" w:rsidRDefault="00C47FD1" w:rsidP="00354FD8">
            <w:pPr>
              <w:spacing w:before="60" w:after="60"/>
              <w:ind w:left="284"/>
            </w:pPr>
            <w:r w:rsidRPr="00923150">
              <w:t>Foams</w:t>
            </w:r>
          </w:p>
        </w:tc>
        <w:tc>
          <w:tcPr>
            <w:tcW w:w="2721" w:type="dxa"/>
            <w:vAlign w:val="center"/>
          </w:tcPr>
          <w:p w:rsidR="00C47FD1" w:rsidRPr="00A27810" w:rsidRDefault="00A27810" w:rsidP="00354FD8">
            <w:pPr>
              <w:spacing w:before="60" w:after="60"/>
              <w:jc w:val="center"/>
              <w:rPr>
                <w:szCs w:val="22"/>
              </w:rPr>
            </w:pPr>
            <w:r w:rsidRPr="00A27810">
              <w:rPr>
                <w:szCs w:val="22"/>
              </w:rPr>
              <w:t>200</w:t>
            </w:r>
          </w:p>
        </w:tc>
        <w:tc>
          <w:tcPr>
            <w:tcW w:w="2441" w:type="dxa"/>
            <w:vAlign w:val="center"/>
          </w:tcPr>
          <w:p w:rsidR="00C47FD1" w:rsidRPr="00A27810" w:rsidRDefault="00A27810" w:rsidP="00354FD8">
            <w:pPr>
              <w:spacing w:before="60" w:after="60"/>
              <w:jc w:val="center"/>
              <w:rPr>
                <w:szCs w:val="22"/>
              </w:rPr>
            </w:pPr>
            <w:r>
              <w:rPr>
                <w:szCs w:val="22"/>
              </w:rPr>
              <w:t>-</w:t>
            </w:r>
          </w:p>
        </w:tc>
      </w:tr>
      <w:tr w:rsidR="00C47FD1" w:rsidRPr="00923150" w:rsidTr="00C47FD1">
        <w:trPr>
          <w:trHeight w:val="456"/>
        </w:trPr>
        <w:tc>
          <w:tcPr>
            <w:tcW w:w="4443" w:type="dxa"/>
            <w:vAlign w:val="center"/>
          </w:tcPr>
          <w:p w:rsidR="00C47FD1" w:rsidRPr="00923150" w:rsidRDefault="00C47FD1" w:rsidP="00354FD8">
            <w:pPr>
              <w:spacing w:before="60" w:after="60"/>
              <w:ind w:left="284"/>
            </w:pPr>
            <w:r w:rsidRPr="00923150">
              <w:t>Fire protection</w:t>
            </w:r>
          </w:p>
        </w:tc>
        <w:tc>
          <w:tcPr>
            <w:tcW w:w="2721" w:type="dxa"/>
            <w:vAlign w:val="center"/>
          </w:tcPr>
          <w:p w:rsidR="00C47FD1" w:rsidRPr="00A27810" w:rsidRDefault="00A27810" w:rsidP="00354FD8">
            <w:pPr>
              <w:spacing w:before="60" w:after="60"/>
              <w:jc w:val="center"/>
              <w:rPr>
                <w:szCs w:val="22"/>
              </w:rPr>
            </w:pPr>
            <w:r>
              <w:rPr>
                <w:szCs w:val="22"/>
              </w:rPr>
              <w:t>50</w:t>
            </w:r>
          </w:p>
        </w:tc>
        <w:tc>
          <w:tcPr>
            <w:tcW w:w="2441" w:type="dxa"/>
            <w:vAlign w:val="center"/>
          </w:tcPr>
          <w:p w:rsidR="00C47FD1" w:rsidRPr="00A27810" w:rsidRDefault="00A27810" w:rsidP="00354FD8">
            <w:pPr>
              <w:spacing w:before="60" w:after="60"/>
              <w:jc w:val="center"/>
              <w:rPr>
                <w:szCs w:val="22"/>
              </w:rPr>
            </w:pPr>
            <w:r>
              <w:rPr>
                <w:szCs w:val="22"/>
              </w:rPr>
              <w:t>-</w:t>
            </w:r>
          </w:p>
        </w:tc>
      </w:tr>
      <w:tr w:rsidR="00C47FD1" w:rsidRPr="00923150" w:rsidTr="00C47FD1">
        <w:trPr>
          <w:trHeight w:val="456"/>
        </w:trPr>
        <w:tc>
          <w:tcPr>
            <w:tcW w:w="4443" w:type="dxa"/>
            <w:vAlign w:val="center"/>
          </w:tcPr>
          <w:p w:rsidR="00C47FD1" w:rsidRPr="00923150" w:rsidRDefault="00C47FD1" w:rsidP="00EC5914">
            <w:pPr>
              <w:spacing w:before="60" w:after="60"/>
              <w:ind w:left="284"/>
            </w:pPr>
            <w:r w:rsidRPr="00923150">
              <w:t>Aerosols</w:t>
            </w:r>
          </w:p>
        </w:tc>
        <w:tc>
          <w:tcPr>
            <w:tcW w:w="2721" w:type="dxa"/>
            <w:vAlign w:val="center"/>
          </w:tcPr>
          <w:p w:rsidR="00C47FD1" w:rsidRPr="00A27810" w:rsidRDefault="00A27810" w:rsidP="00354FD8">
            <w:pPr>
              <w:spacing w:before="60" w:after="60"/>
              <w:jc w:val="center"/>
              <w:rPr>
                <w:szCs w:val="22"/>
              </w:rPr>
            </w:pPr>
            <w:r>
              <w:rPr>
                <w:szCs w:val="22"/>
              </w:rPr>
              <w:t>40</w:t>
            </w:r>
          </w:p>
        </w:tc>
        <w:tc>
          <w:tcPr>
            <w:tcW w:w="2441" w:type="dxa"/>
            <w:vAlign w:val="center"/>
          </w:tcPr>
          <w:p w:rsidR="00C47FD1" w:rsidRPr="00A27810" w:rsidRDefault="00A27810" w:rsidP="00354FD8">
            <w:pPr>
              <w:spacing w:before="60" w:after="60"/>
              <w:jc w:val="center"/>
              <w:rPr>
                <w:szCs w:val="22"/>
              </w:rPr>
            </w:pPr>
            <w:r>
              <w:rPr>
                <w:szCs w:val="22"/>
              </w:rPr>
              <w:t>-</w:t>
            </w:r>
          </w:p>
        </w:tc>
      </w:tr>
      <w:tr w:rsidR="00C47FD1" w:rsidRPr="00923150" w:rsidTr="00C47FD1">
        <w:trPr>
          <w:trHeight w:val="456"/>
        </w:trPr>
        <w:tc>
          <w:tcPr>
            <w:tcW w:w="4443" w:type="dxa"/>
            <w:vAlign w:val="center"/>
          </w:tcPr>
          <w:p w:rsidR="00C47FD1" w:rsidRPr="00923150" w:rsidRDefault="00C47FD1" w:rsidP="00354FD8">
            <w:pPr>
              <w:spacing w:before="60" w:after="60"/>
              <w:ind w:left="284"/>
            </w:pPr>
            <w:r w:rsidRPr="00923150">
              <w:t>Export</w:t>
            </w:r>
            <w:r w:rsidR="00A27810">
              <w:t xml:space="preserve"> and other</w:t>
            </w:r>
          </w:p>
        </w:tc>
        <w:tc>
          <w:tcPr>
            <w:tcW w:w="2721" w:type="dxa"/>
            <w:vAlign w:val="center"/>
          </w:tcPr>
          <w:p w:rsidR="00C47FD1" w:rsidRPr="00A27810" w:rsidRDefault="00EC5914" w:rsidP="00EC5914">
            <w:pPr>
              <w:spacing w:before="60" w:after="60"/>
              <w:jc w:val="center"/>
              <w:rPr>
                <w:szCs w:val="22"/>
              </w:rPr>
            </w:pPr>
            <w:r>
              <w:rPr>
                <w:szCs w:val="22"/>
              </w:rPr>
              <w:t>~90</w:t>
            </w:r>
          </w:p>
        </w:tc>
        <w:tc>
          <w:tcPr>
            <w:tcW w:w="2441" w:type="dxa"/>
            <w:vAlign w:val="center"/>
          </w:tcPr>
          <w:p w:rsidR="00C47FD1" w:rsidRPr="00A27810" w:rsidRDefault="00A27810" w:rsidP="00354FD8">
            <w:pPr>
              <w:spacing w:before="60" w:after="60"/>
              <w:jc w:val="center"/>
              <w:rPr>
                <w:szCs w:val="22"/>
              </w:rPr>
            </w:pPr>
            <w:r>
              <w:rPr>
                <w:szCs w:val="22"/>
              </w:rPr>
              <w:t>-</w:t>
            </w:r>
          </w:p>
        </w:tc>
      </w:tr>
      <w:tr w:rsidR="00C47FD1" w:rsidRPr="00923150" w:rsidTr="00C47FD1">
        <w:trPr>
          <w:trHeight w:val="456"/>
        </w:trPr>
        <w:tc>
          <w:tcPr>
            <w:tcW w:w="4443" w:type="dxa"/>
            <w:vAlign w:val="center"/>
          </w:tcPr>
          <w:p w:rsidR="00C47FD1" w:rsidRPr="00923150" w:rsidRDefault="00C47FD1" w:rsidP="00354FD8">
            <w:pPr>
              <w:spacing w:before="60" w:after="60"/>
              <w:ind w:left="284"/>
            </w:pPr>
            <w:r w:rsidRPr="00923150">
              <w:t>Total</w:t>
            </w:r>
          </w:p>
        </w:tc>
        <w:tc>
          <w:tcPr>
            <w:tcW w:w="2721" w:type="dxa"/>
            <w:vAlign w:val="center"/>
          </w:tcPr>
          <w:p w:rsidR="00C47FD1" w:rsidRPr="00A27810" w:rsidRDefault="00374D54" w:rsidP="00374D54">
            <w:pPr>
              <w:spacing w:before="60" w:after="60"/>
              <w:jc w:val="center"/>
              <w:rPr>
                <w:szCs w:val="22"/>
              </w:rPr>
            </w:pPr>
            <w:r>
              <w:rPr>
                <w:szCs w:val="22"/>
              </w:rPr>
              <w:t>4</w:t>
            </w:r>
            <w:r w:rsidR="00A27810">
              <w:rPr>
                <w:szCs w:val="22"/>
              </w:rPr>
              <w:t>,</w:t>
            </w:r>
            <w:r>
              <w:rPr>
                <w:szCs w:val="22"/>
              </w:rPr>
              <w:t>1</w:t>
            </w:r>
            <w:r w:rsidR="00A27810">
              <w:rPr>
                <w:szCs w:val="22"/>
              </w:rPr>
              <w:t>90</w:t>
            </w:r>
          </w:p>
        </w:tc>
        <w:tc>
          <w:tcPr>
            <w:tcW w:w="2441" w:type="dxa"/>
            <w:vAlign w:val="center"/>
          </w:tcPr>
          <w:p w:rsidR="00C47FD1" w:rsidRPr="00A27810" w:rsidRDefault="00EC5914" w:rsidP="00354FD8">
            <w:pPr>
              <w:spacing w:before="60" w:after="60"/>
              <w:jc w:val="center"/>
              <w:rPr>
                <w:szCs w:val="22"/>
              </w:rPr>
            </w:pPr>
            <w:r>
              <w:rPr>
                <w:szCs w:val="22"/>
              </w:rPr>
              <w:t>45,535</w:t>
            </w:r>
          </w:p>
        </w:tc>
      </w:tr>
    </w:tbl>
    <w:p w:rsidR="00C47FD1" w:rsidRDefault="00C47FD1" w:rsidP="00C47FD1"/>
    <w:p w:rsidR="00354FD8" w:rsidRPr="00495A95" w:rsidRDefault="00354FD8" w:rsidP="00354FD8">
      <w:pPr>
        <w:pStyle w:val="Heading2"/>
        <w:ind w:left="576"/>
        <w:rPr>
          <w:i w:val="0"/>
        </w:rPr>
      </w:pPr>
      <w:bookmarkStart w:id="38" w:name="_Toc179623895"/>
      <w:bookmarkStart w:id="39" w:name="_Toc257359955"/>
      <w:r w:rsidRPr="00495A95">
        <w:rPr>
          <w:i w:val="0"/>
        </w:rPr>
        <w:t>Dissection by common gas types</w:t>
      </w:r>
      <w:bookmarkEnd w:id="38"/>
      <w:bookmarkEnd w:id="39"/>
    </w:p>
    <w:p w:rsidR="00354FD8" w:rsidRDefault="00354FD8" w:rsidP="00354FD8">
      <w:r w:rsidRPr="006B74AE">
        <w:t xml:space="preserve">The bank of working gas is dominated by </w:t>
      </w:r>
      <w:r>
        <w:t xml:space="preserve">three main </w:t>
      </w:r>
      <w:r w:rsidR="00F02568">
        <w:t xml:space="preserve">gas </w:t>
      </w:r>
      <w:r>
        <w:t>types</w:t>
      </w:r>
      <w:r w:rsidR="00F02568">
        <w:t>:</w:t>
      </w:r>
      <w:r w:rsidRPr="006B74AE">
        <w:t xml:space="preserve"> HFC-134a (</w:t>
      </w:r>
      <w:r>
        <w:t>~1</w:t>
      </w:r>
      <w:r w:rsidR="00D61DF6">
        <w:t>4</w:t>
      </w:r>
      <w:r w:rsidRPr="006B74AE">
        <w:t>,</w:t>
      </w:r>
      <w:r w:rsidR="00D61DF6">
        <w:t>600</w:t>
      </w:r>
      <w:r>
        <w:t xml:space="preserve"> tonnes</w:t>
      </w:r>
      <w:r w:rsidRPr="006B74AE">
        <w:t xml:space="preserve"> or 3</w:t>
      </w:r>
      <w:r w:rsidR="00290A9E">
        <w:t>2</w:t>
      </w:r>
      <w:r>
        <w:t>%</w:t>
      </w:r>
      <w:r w:rsidRPr="006B74AE">
        <w:t>)</w:t>
      </w:r>
      <w:r w:rsidR="00290A9E">
        <w:t>,</w:t>
      </w:r>
      <w:r>
        <w:t xml:space="preserve"> </w:t>
      </w:r>
      <w:r w:rsidRPr="006B74AE">
        <w:t>HCFC-22 (</w:t>
      </w:r>
      <w:r>
        <w:t>~</w:t>
      </w:r>
      <w:r w:rsidR="00290A9E">
        <w:t>9,600</w:t>
      </w:r>
      <w:r>
        <w:t xml:space="preserve"> tonnes or 2</w:t>
      </w:r>
      <w:r w:rsidR="00290A9E">
        <w:t>1</w:t>
      </w:r>
      <w:r>
        <w:t>%) and HFC-410A (~16,700 tonnes or 3</w:t>
      </w:r>
      <w:r w:rsidR="00290A9E">
        <w:t>7</w:t>
      </w:r>
      <w:r>
        <w:t>%).</w:t>
      </w:r>
    </w:p>
    <w:p w:rsidR="00354FD8" w:rsidRDefault="00354FD8" w:rsidP="00354FD8">
      <w:r w:rsidRPr="006B74AE">
        <w:t>HFC-134a is the predominant gas used in mobile air conditioning</w:t>
      </w:r>
      <w:r>
        <w:t xml:space="preserve"> and self-contained refrigeration</w:t>
      </w:r>
      <w:r w:rsidRPr="006B74AE">
        <w:t xml:space="preserve">. </w:t>
      </w:r>
      <w:r>
        <w:t>An estimated 1,7</w:t>
      </w:r>
      <w:r w:rsidR="00290A9E">
        <w:t>00</w:t>
      </w:r>
      <w:r>
        <w:t xml:space="preserve"> tonnes of bulk gas was </w:t>
      </w:r>
      <w:r w:rsidR="00290A9E">
        <w:t>consumed in 2013 with around 64</w:t>
      </w:r>
      <w:r>
        <w:t xml:space="preserve">% consumed servicing existing mobile </w:t>
      </w:r>
      <w:r w:rsidR="00290A9E">
        <w:t xml:space="preserve">air </w:t>
      </w:r>
      <w:r w:rsidRPr="00974916">
        <w:t xml:space="preserve">conditioning systems </w:t>
      </w:r>
      <w:r>
        <w:t>plus replacing</w:t>
      </w:r>
      <w:r w:rsidRPr="00974916">
        <w:t xml:space="preserve"> gas lost from vehicles that had some form of collision or compressor failure.</w:t>
      </w:r>
      <w:r>
        <w:t xml:space="preserve"> HFC-134a has become more widely used in other applications in recent years including medium temperature non-domestic refrigeration, and in liquid chilling for air conditioning and process refrigeration applications.</w:t>
      </w:r>
    </w:p>
    <w:p w:rsidR="00354FD8" w:rsidRDefault="00354FD8" w:rsidP="00354FD8">
      <w:r>
        <w:t xml:space="preserve">The Montreal </w:t>
      </w:r>
      <w:r w:rsidRPr="005E3311">
        <w:t>Protocol sets out a mandatory timetable for the phase out of ozone depleting substances</w:t>
      </w:r>
      <w:r>
        <w:t xml:space="preserve"> (ODS) and earlier analysis (</w:t>
      </w:r>
      <w:r w:rsidRPr="00AF7B34">
        <w:t>ES 200</w:t>
      </w:r>
      <w:r w:rsidR="00DD7E74">
        <w:t>8</w:t>
      </w:r>
      <w:r>
        <w:t>) indicates that Australia has, using Customs declarations and industry import quotas, managed the phase out of bulk imports of HCFCs in accordance with its agreed timetable (</w:t>
      </w:r>
      <w:r w:rsidRPr="007E6FAE">
        <w:t xml:space="preserve">OPSGGMA </w:t>
      </w:r>
      <w:r>
        <w:t>1989). From a peak of importing more than 3,8</w:t>
      </w:r>
      <w:r w:rsidRPr="001B392A">
        <w:t>00</w:t>
      </w:r>
      <w:r>
        <w:t xml:space="preserve"> tonnes</w:t>
      </w:r>
      <w:r w:rsidRPr="001B392A">
        <w:t xml:space="preserve"> in 199</w:t>
      </w:r>
      <w:r>
        <w:t>9</w:t>
      </w:r>
      <w:r w:rsidRPr="001B392A">
        <w:t>,</w:t>
      </w:r>
      <w:r>
        <w:t xml:space="preserve"> in 2006 there were approximately 2,100 tonnes of bulk HCFCs imported. This has since declined by nearly half to less than 1,200 tonnes in 2010, </w:t>
      </w:r>
      <w:r w:rsidR="009D0F1D">
        <w:t>around 766</w:t>
      </w:r>
      <w:r>
        <w:t xml:space="preserve"> tonnes in 2013, and is on target to reach the agreed cap, equivalent to just 45.5 tonnes of HCFC-22 in 2016. </w:t>
      </w:r>
    </w:p>
    <w:p w:rsidR="00354FD8" w:rsidRPr="006B74AE" w:rsidRDefault="00F26E74" w:rsidP="00354FD8">
      <w:r>
        <w:t xml:space="preserve">However </w:t>
      </w:r>
      <w:r w:rsidR="00354FD8" w:rsidRPr="006B74AE">
        <w:t>HCFC</w:t>
      </w:r>
      <w:r w:rsidR="00354FD8">
        <w:t>s</w:t>
      </w:r>
      <w:r>
        <w:t>,</w:t>
      </w:r>
      <w:r w:rsidR="00354FD8">
        <w:t xml:space="preserve"> </w:t>
      </w:r>
      <w:r w:rsidR="00354FD8" w:rsidRPr="006B74AE">
        <w:t>with a GWP</w:t>
      </w:r>
      <w:r w:rsidR="00E25831" w:rsidRPr="00E25831">
        <w:rPr>
          <w:vertAlign w:val="superscript"/>
        </w:rPr>
        <w:t>AR4</w:t>
      </w:r>
      <w:r w:rsidR="00354FD8" w:rsidRPr="006B74AE">
        <w:t xml:space="preserve"> of </w:t>
      </w:r>
      <w:r w:rsidR="00E25831">
        <w:t>around 1810</w:t>
      </w:r>
      <w:r w:rsidR="00171878">
        <w:t>,</w:t>
      </w:r>
      <w:r w:rsidR="00354FD8">
        <w:t xml:space="preserve"> still </w:t>
      </w:r>
      <w:r w:rsidR="00171878">
        <w:t>make up</w:t>
      </w:r>
      <w:r w:rsidR="00354FD8">
        <w:t xml:space="preserve"> a significant portion of the bank of</w:t>
      </w:r>
      <w:r w:rsidR="00354FD8" w:rsidRPr="006B74AE">
        <w:t xml:space="preserve"> working gas </w:t>
      </w:r>
      <w:r w:rsidR="00354FD8">
        <w:t>in stationary air conditioning</w:t>
      </w:r>
      <w:r w:rsidR="00171878">
        <w:t xml:space="preserve"> equipment which can routinely achieve an effective working life of more than 15 years</w:t>
      </w:r>
      <w:r w:rsidR="00354FD8" w:rsidRPr="006B74AE">
        <w:t>.</w:t>
      </w:r>
    </w:p>
    <w:p w:rsidR="00354FD8" w:rsidRDefault="00171878" w:rsidP="00354FD8">
      <w:r>
        <w:t>I</w:t>
      </w:r>
      <w:r w:rsidR="00354FD8" w:rsidRPr="006B74AE">
        <w:t xml:space="preserve">t is expected that this dominance of the working bank will begin to </w:t>
      </w:r>
      <w:r w:rsidR="00354FD8">
        <w:t>decrease</w:t>
      </w:r>
      <w:r w:rsidR="00354FD8" w:rsidRPr="006B74AE">
        <w:t xml:space="preserve"> quite quickly as newer equipment charged with alternative gases replaces older air conditioning equipment. </w:t>
      </w:r>
      <w:r w:rsidR="00354FD8">
        <w:t xml:space="preserve">With an estimated stock of some </w:t>
      </w:r>
      <w:r w:rsidR="00E25831">
        <w:t>10</w:t>
      </w:r>
      <w:r w:rsidR="00354FD8">
        <w:t xml:space="preserve"> million smaller air conditioning units (&lt;20 kWr</w:t>
      </w:r>
      <w:r w:rsidR="00354FD8">
        <w:rPr>
          <w:rStyle w:val="FootnoteReference"/>
        </w:rPr>
        <w:footnoteReference w:id="8"/>
      </w:r>
      <w:r w:rsidR="00354FD8">
        <w:t xml:space="preserve">) in the economy, and annual imports of more than one million units, most equipment containing HCFCs is expected to be replaced within </w:t>
      </w:r>
      <w:r>
        <w:t xml:space="preserve">the next </w:t>
      </w:r>
      <w:r w:rsidR="00354FD8">
        <w:t>five to ten years.</w:t>
      </w:r>
    </w:p>
    <w:p w:rsidR="00354FD8" w:rsidRDefault="00354FD8" w:rsidP="00354FD8">
      <w:r w:rsidRPr="006B74AE">
        <w:t>The proportion of HCFC</w:t>
      </w:r>
      <w:r>
        <w:t>s</w:t>
      </w:r>
      <w:r w:rsidRPr="006B74AE">
        <w:t xml:space="preserve"> in the working bank of gas is already significantly below its share of the bank in 2006</w:t>
      </w:r>
      <w:r>
        <w:t>,</w:t>
      </w:r>
      <w:r w:rsidRPr="006B74AE">
        <w:t xml:space="preserve"> estimated at that time to be </w:t>
      </w:r>
      <w:r>
        <w:t>40% including some CFCs</w:t>
      </w:r>
      <w:r w:rsidRPr="006B74AE">
        <w:t>.</w:t>
      </w:r>
      <w:r>
        <w:t xml:space="preserve"> In the course of the last decade, new gas blends were introduced for use in applications that </w:t>
      </w:r>
      <w:r w:rsidR="0009148C">
        <w:t xml:space="preserve">previously </w:t>
      </w:r>
      <w:r>
        <w:t>would have used HCFCs.</w:t>
      </w:r>
    </w:p>
    <w:p w:rsidR="00354FD8" w:rsidRDefault="00354FD8" w:rsidP="00354FD8">
      <w:r>
        <w:t>HFC-410A (a blend containing 50% HFC-32 and 50% HFC-125 with a GWP of 1725</w:t>
      </w:r>
      <w:r w:rsidR="00DD7E74">
        <w:t>/2088</w:t>
      </w:r>
      <w:r>
        <w:t xml:space="preserve">) was first introduced to Australia in commercial quantities in the early to mid-2000s.  HFC-410A is currently the fastest </w:t>
      </w:r>
      <w:r w:rsidRPr="00567B0F">
        <w:t>growing refrigerant in the bank with more than 1,</w:t>
      </w:r>
      <w:r w:rsidR="00567B0F" w:rsidRPr="00567B0F">
        <w:t>700</w:t>
      </w:r>
      <w:r w:rsidRPr="00567B0F">
        <w:t xml:space="preserve"> tonnes of gas imported in pre-charged equipment in 2013 (</w:t>
      </w:r>
      <w:r w:rsidR="00001AAC" w:rsidRPr="00567B0F">
        <w:t>totalling</w:t>
      </w:r>
      <w:r w:rsidRPr="00567B0F">
        <w:t xml:space="preserve"> around 6</w:t>
      </w:r>
      <w:r w:rsidR="00567B0F" w:rsidRPr="00567B0F">
        <w:t>4</w:t>
      </w:r>
      <w:r w:rsidRPr="00567B0F">
        <w:t>% of all refrigerant imported in equipment that year).</w:t>
      </w:r>
      <w:r>
        <w:t xml:space="preserve"> </w:t>
      </w:r>
    </w:p>
    <w:p w:rsidR="00354FD8" w:rsidRDefault="009D0F1D" w:rsidP="00354FD8">
      <w:r>
        <w:t>Bulk gas consumption</w:t>
      </w:r>
      <w:r w:rsidR="00354FD8">
        <w:t xml:space="preserve"> of HFC-410A in 2013 </w:t>
      </w:r>
      <w:r w:rsidR="0079524E">
        <w:t xml:space="preserve">is </w:t>
      </w:r>
      <w:r w:rsidR="00354FD8">
        <w:t xml:space="preserve">estimated to </w:t>
      </w:r>
      <w:r w:rsidR="00F72EC3">
        <w:t xml:space="preserve">be </w:t>
      </w:r>
      <w:r w:rsidR="00F72EC3" w:rsidRPr="00F72EC3">
        <w:t>around 575</w:t>
      </w:r>
      <w:r w:rsidR="00354FD8" w:rsidRPr="00F72EC3">
        <w:t xml:space="preserve"> tonnes with around </w:t>
      </w:r>
      <w:r w:rsidR="00F72EC3">
        <w:t>180</w:t>
      </w:r>
      <w:r w:rsidR="00354FD8">
        <w:t xml:space="preserve"> tonnes consumed in local manufacturing, mostly stationary air conditioning equipment (i.e. split ducted systems, roof top packaged systems and chillers)</w:t>
      </w:r>
      <w:r w:rsidR="00354FD8" w:rsidRPr="006B74AE">
        <w:t>.</w:t>
      </w:r>
      <w:r w:rsidR="00354FD8">
        <w:t xml:space="preserve"> </w:t>
      </w:r>
    </w:p>
    <w:p w:rsidR="00354FD8" w:rsidRDefault="00354FD8" w:rsidP="00354FD8">
      <w:r>
        <w:t xml:space="preserve">The main class of equipment containing HFC-410A is split air conditioning systems connected to one indoor evaporator unit. These units have an estimated leak rate of </w:t>
      </w:r>
      <w:r w:rsidR="00567B0F">
        <w:t xml:space="preserve">3 to </w:t>
      </w:r>
      <w:r>
        <w:t>4 % per annum, which is a significant improvement on older equipment which, mostly containing HCFC-22, has leak rates typically 8% or more per annum. The improved leak rate is mostly attributed to the dominance of mass produced split air conditioning systems with more reliable components, improved designs delivering better containment, and better installation practices achieved through improved skills, licensing and the increasing experience of the workforce with this equipment.</w:t>
      </w:r>
    </w:p>
    <w:p w:rsidR="00354FD8" w:rsidRDefault="00354FD8" w:rsidP="00354FD8">
      <w:r>
        <w:t>HFC-407C (a blend containing 23% HFC-32, 25% HFC-125 and 52% HFC-134a with a GWP of 1526</w:t>
      </w:r>
      <w:r w:rsidR="00F72EC3">
        <w:t>/1774</w:t>
      </w:r>
      <w:r>
        <w:t>) was introduced in Australia around the same time as HFC-410A for similar applications. HFC-407C was viewed by some local and overseas equipment manufacturers as an opportunity for a simple transition from HCFC-22, as it has similar operating pressures that can use the same components with minimal re-design. The existing bank of HFC-407C is estimated to be around 1,</w:t>
      </w:r>
      <w:r w:rsidR="00567B0F">
        <w:t>250</w:t>
      </w:r>
      <w:r>
        <w:t xml:space="preserve"> tonnes with bulk imports in 2013 estimated to be 1</w:t>
      </w:r>
      <w:r w:rsidR="00F72EC3">
        <w:t>50</w:t>
      </w:r>
      <w:r>
        <w:t xml:space="preserve"> tonnes. Many stationary air conditioning equipment designs have migrated to HFC-410A </w:t>
      </w:r>
      <w:r w:rsidR="001A4814">
        <w:t xml:space="preserve">or </w:t>
      </w:r>
      <w:r>
        <w:t xml:space="preserve">HFC-134a </w:t>
      </w:r>
      <w:r w:rsidR="0086092D">
        <w:t>for</w:t>
      </w:r>
      <w:r>
        <w:t xml:space="preserve"> larger chillers.</w:t>
      </w:r>
    </w:p>
    <w:p w:rsidR="00354FD8" w:rsidRDefault="00354FD8" w:rsidP="00354FD8">
      <w:r>
        <w:t>HFC-404A (a blend containing 44% HFC-125, 4% HFC-134a and 52% HFC-143a with a GWP of 3260</w:t>
      </w:r>
      <w:r w:rsidR="00567B0F">
        <w:t>/3922</w:t>
      </w:r>
      <w:r>
        <w:t>) and HFC-507A, a similar blend in terms of composition, characteristics and applications are both referred to as HFC-404A in this report. The first installation using HFC-404A was in a Coles supermarket in 1990 and was commonly used in refrigeration applications by 1995 when CFCs used in new equipment were banned by law. In 2013 the HFC-404A bank comprises around 3,300 tonnes or around 7% of the volume of the working bank, but closer to 1</w:t>
      </w:r>
      <w:r w:rsidR="006D3424">
        <w:t>5</w:t>
      </w:r>
      <w:r>
        <w:t>% in GWP</w:t>
      </w:r>
      <w:r w:rsidR="006D3424" w:rsidRPr="006D3424">
        <w:rPr>
          <w:vertAlign w:val="superscript"/>
        </w:rPr>
        <w:t>AR4</w:t>
      </w:r>
      <w:r>
        <w:t xml:space="preserve"> terms because of its high GWP. </w:t>
      </w:r>
    </w:p>
    <w:p w:rsidR="00354FD8" w:rsidRDefault="00354FD8" w:rsidP="00354FD8">
      <w:r>
        <w:t xml:space="preserve">The consumption of HFC-404A is very high relative to the size of the bank </w:t>
      </w:r>
      <w:r w:rsidRPr="006B74AE">
        <w:t>(</w:t>
      </w:r>
      <w:r>
        <w:t>7%</w:t>
      </w:r>
      <w:r w:rsidRPr="006B74AE">
        <w:t xml:space="preserve"> of the bank and </w:t>
      </w:r>
      <w:r>
        <w:t>16%</w:t>
      </w:r>
      <w:r w:rsidRPr="006B74AE">
        <w:t xml:space="preserve"> of imports)</w:t>
      </w:r>
      <w:r>
        <w:t xml:space="preserve">. This occurs firstly because </w:t>
      </w:r>
      <w:r w:rsidR="005122F7">
        <w:t xml:space="preserve">new </w:t>
      </w:r>
      <w:r>
        <w:t xml:space="preserve">equipment containing HFC-404A is mostly charged on site. HFC-404A pre-charged equipment represented only 1% of pre-charged imports on average over the last five years, and secondly its common applications exhibit </w:t>
      </w:r>
      <w:r w:rsidRPr="006B74AE">
        <w:t>considerably higher leak rates than mos</w:t>
      </w:r>
      <w:r>
        <w:t xml:space="preserve">t other applications. </w:t>
      </w:r>
      <w:r w:rsidRPr="006B74AE">
        <w:t xml:space="preserve">Notably </w:t>
      </w:r>
      <w:r>
        <w:t>supermarket refrigeration systems, walk in cool</w:t>
      </w:r>
      <w:r w:rsidR="00AC06EA">
        <w:t xml:space="preserve"> </w:t>
      </w:r>
      <w:r>
        <w:t>rooms, beer cooling systems, and mobile refrigeration systems with typical leak rates ranging from 1</w:t>
      </w:r>
      <w:r w:rsidR="006D3424">
        <w:t>0</w:t>
      </w:r>
      <w:r>
        <w:t xml:space="preserve"> % to 25 % or </w:t>
      </w:r>
      <w:r w:rsidR="006D3424">
        <w:t xml:space="preserve">historically </w:t>
      </w:r>
      <w:r>
        <w:t xml:space="preserve">as high as 35% in some marine refrigeration applications. </w:t>
      </w:r>
    </w:p>
    <w:p w:rsidR="00354FD8" w:rsidRPr="00EC496A" w:rsidRDefault="00354FD8" w:rsidP="00354FD8">
      <w:r w:rsidRPr="00290A9E">
        <w:rPr>
          <w:i/>
        </w:rPr>
        <w:t xml:space="preserve">Figures </w:t>
      </w:r>
      <w:r w:rsidR="00290A9E" w:rsidRPr="00290A9E">
        <w:rPr>
          <w:i/>
        </w:rPr>
        <w:t>11</w:t>
      </w:r>
      <w:r w:rsidRPr="00290A9E">
        <w:t xml:space="preserve"> and </w:t>
      </w:r>
      <w:r w:rsidR="00290A9E" w:rsidRPr="00290A9E">
        <w:rPr>
          <w:i/>
        </w:rPr>
        <w:t>12</w:t>
      </w:r>
      <w:r w:rsidRPr="00290A9E">
        <w:t xml:space="preserve"> illustrate the dissection of HFC consumption and the refrigerant bank for 201</w:t>
      </w:r>
      <w:r w:rsidR="00290A9E">
        <w:t>3</w:t>
      </w:r>
      <w:r w:rsidRPr="00290A9E">
        <w:t xml:space="preserve"> by common gas types based on tonnes.</w:t>
      </w:r>
    </w:p>
    <w:p w:rsidR="00354FD8" w:rsidRDefault="00354FD8" w:rsidP="00354FD8">
      <w:pPr>
        <w:rPr>
          <w:rFonts w:cs="Times New Roman"/>
          <w:szCs w:val="22"/>
        </w:rPr>
      </w:pPr>
    </w:p>
    <w:p w:rsidR="009D10DB" w:rsidRDefault="009D10DB" w:rsidP="00354FD8">
      <w:pPr>
        <w:rPr>
          <w:rFonts w:cs="Times New Roman"/>
          <w:szCs w:val="22"/>
        </w:rPr>
      </w:pPr>
    </w:p>
    <w:p w:rsidR="009D10DB" w:rsidRDefault="009D10DB" w:rsidP="00354FD8">
      <w:pPr>
        <w:rPr>
          <w:rFonts w:cs="Times New Roman"/>
          <w:szCs w:val="22"/>
        </w:rPr>
      </w:pPr>
    </w:p>
    <w:p w:rsidR="009D10DB" w:rsidRDefault="009D10DB" w:rsidP="00354FD8">
      <w:pPr>
        <w:rPr>
          <w:rFonts w:cs="Times New Roman"/>
          <w:szCs w:val="22"/>
        </w:rPr>
      </w:pPr>
    </w:p>
    <w:p w:rsidR="009D10DB" w:rsidRDefault="009D10DB" w:rsidP="00354FD8">
      <w:pPr>
        <w:rPr>
          <w:rFonts w:cs="Times New Roman"/>
          <w:szCs w:val="22"/>
        </w:rPr>
      </w:pPr>
    </w:p>
    <w:p w:rsidR="005C09D9" w:rsidRDefault="005C09D9" w:rsidP="00354FD8">
      <w:pPr>
        <w:rPr>
          <w:rFonts w:cs="Times New Roman"/>
          <w:szCs w:val="22"/>
        </w:rPr>
      </w:pPr>
    </w:p>
    <w:p w:rsidR="005C09D9" w:rsidRDefault="005C09D9" w:rsidP="00354FD8">
      <w:pPr>
        <w:rPr>
          <w:rFonts w:cs="Times New Roman"/>
          <w:szCs w:val="2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39"/>
      </w:tblGrid>
      <w:tr w:rsidR="00354FD8" w:rsidRPr="00613398" w:rsidTr="00354FD8">
        <w:tc>
          <w:tcPr>
            <w:tcW w:w="9639" w:type="dxa"/>
            <w:vAlign w:val="center"/>
          </w:tcPr>
          <w:p w:rsidR="00354FD8" w:rsidRPr="00613398" w:rsidRDefault="00354FD8" w:rsidP="009D10DB">
            <w:pPr>
              <w:spacing w:after="120"/>
              <w:jc w:val="center"/>
              <w:rPr>
                <w:rFonts w:cs="Times New Roman"/>
                <w:b/>
              </w:rPr>
            </w:pPr>
            <w:r w:rsidRPr="00613398">
              <w:rPr>
                <w:rFonts w:cs="Times New Roman"/>
                <w:b/>
              </w:rPr>
              <w:br w:type="page"/>
            </w:r>
            <w:r w:rsidRPr="00C47FD1">
              <w:rPr>
                <w:rFonts w:cs="Times New Roman"/>
                <w:b/>
              </w:rPr>
              <w:t>201</w:t>
            </w:r>
            <w:r>
              <w:rPr>
                <w:rFonts w:cs="Times New Roman"/>
                <w:b/>
              </w:rPr>
              <w:t>3</w:t>
            </w:r>
            <w:r w:rsidRPr="00C47FD1">
              <w:rPr>
                <w:rFonts w:cs="Times New Roman"/>
                <w:b/>
              </w:rPr>
              <w:t xml:space="preserve"> consumption by </w:t>
            </w:r>
            <w:r w:rsidR="009D10DB">
              <w:rPr>
                <w:rFonts w:cs="Times New Roman"/>
                <w:b/>
              </w:rPr>
              <w:t>type (tonnes</w:t>
            </w:r>
            <w:r w:rsidR="00D61DF6">
              <w:rPr>
                <w:rFonts w:cs="Times New Roman"/>
                <w:b/>
              </w:rPr>
              <w:t xml:space="preserve"> and %</w:t>
            </w:r>
            <w:r w:rsidR="009D10DB">
              <w:rPr>
                <w:rFonts w:cs="Times New Roman"/>
                <w:b/>
              </w:rPr>
              <w:t>)</w:t>
            </w:r>
          </w:p>
        </w:tc>
      </w:tr>
      <w:tr w:rsidR="00354FD8" w:rsidRPr="00923150" w:rsidTr="00354FD8">
        <w:tc>
          <w:tcPr>
            <w:tcW w:w="9639" w:type="dxa"/>
            <w:vAlign w:val="center"/>
          </w:tcPr>
          <w:p w:rsidR="00354FD8" w:rsidRDefault="00354FD8" w:rsidP="00354FD8">
            <w:pPr>
              <w:spacing w:before="0"/>
              <w:jc w:val="center"/>
              <w:rPr>
                <w:sz w:val="16"/>
                <w:szCs w:val="16"/>
              </w:rPr>
            </w:pPr>
          </w:p>
          <w:p w:rsidR="00354FD8" w:rsidRDefault="00D61DF6" w:rsidP="00354FD8">
            <w:pPr>
              <w:spacing w:before="0"/>
              <w:jc w:val="center"/>
              <w:rPr>
                <w:sz w:val="16"/>
                <w:szCs w:val="16"/>
              </w:rPr>
            </w:pPr>
            <w:r>
              <w:rPr>
                <w:noProof/>
                <w:lang w:val="en-AU" w:eastAsia="en-AU"/>
              </w:rPr>
              <w:drawing>
                <wp:inline distT="0" distB="0" distL="0" distR="0">
                  <wp:extent cx="4781127" cy="3090333"/>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54FD8" w:rsidRDefault="00354FD8" w:rsidP="00354FD8">
            <w:pPr>
              <w:spacing w:before="0"/>
              <w:jc w:val="center"/>
              <w:rPr>
                <w:sz w:val="16"/>
                <w:szCs w:val="16"/>
              </w:rPr>
            </w:pPr>
          </w:p>
        </w:tc>
      </w:tr>
      <w:tr w:rsidR="00354FD8" w:rsidRPr="003F61A2" w:rsidTr="00354FD8">
        <w:tc>
          <w:tcPr>
            <w:tcW w:w="9639" w:type="dxa"/>
            <w:vAlign w:val="center"/>
          </w:tcPr>
          <w:p w:rsidR="00354FD8" w:rsidRPr="003F61A2" w:rsidRDefault="00D61DF6" w:rsidP="00D61DF6">
            <w:pPr>
              <w:spacing w:before="60" w:after="60"/>
              <w:rPr>
                <w:rFonts w:cs="Times New Roman"/>
                <w:i/>
                <w:sz w:val="20"/>
              </w:rPr>
            </w:pPr>
            <w:bookmarkStart w:id="40" w:name="_Toc257359979"/>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11</w:t>
            </w:r>
            <w:r w:rsidR="00B41499" w:rsidRPr="00F4221A">
              <w:rPr>
                <w:rFonts w:cs="Times New Roman"/>
                <w:i/>
                <w:sz w:val="20"/>
              </w:rPr>
              <w:fldChar w:fldCharType="end"/>
            </w:r>
            <w:r w:rsidRPr="00F4221A">
              <w:rPr>
                <w:rFonts w:cs="Times New Roman"/>
                <w:i/>
                <w:sz w:val="20"/>
              </w:rPr>
              <w:t>:</w:t>
            </w:r>
            <w:r w:rsidR="00354FD8" w:rsidRPr="00613398">
              <w:rPr>
                <w:rFonts w:cs="Times New Roman"/>
                <w:i/>
                <w:sz w:val="20"/>
              </w:rPr>
              <w:t xml:space="preserve"> </w:t>
            </w:r>
            <w:r w:rsidR="00354FD8" w:rsidRPr="00C47FD1">
              <w:rPr>
                <w:rFonts w:cs="Times New Roman"/>
                <w:i/>
                <w:sz w:val="20"/>
              </w:rPr>
              <w:t>201</w:t>
            </w:r>
            <w:r>
              <w:rPr>
                <w:rFonts w:cs="Times New Roman"/>
                <w:i/>
                <w:sz w:val="20"/>
              </w:rPr>
              <w:t>3</w:t>
            </w:r>
            <w:r w:rsidR="00354FD8" w:rsidRPr="00C47FD1">
              <w:rPr>
                <w:rFonts w:cs="Times New Roman"/>
                <w:i/>
                <w:sz w:val="20"/>
              </w:rPr>
              <w:t xml:space="preserve"> consumption </w:t>
            </w:r>
            <w:r>
              <w:rPr>
                <w:rFonts w:cs="Times New Roman"/>
                <w:i/>
                <w:sz w:val="20"/>
              </w:rPr>
              <w:t xml:space="preserve">by substance </w:t>
            </w:r>
            <w:r w:rsidR="00354FD8" w:rsidRPr="00C47FD1">
              <w:rPr>
                <w:rFonts w:cs="Times New Roman"/>
                <w:i/>
                <w:sz w:val="20"/>
              </w:rPr>
              <w:t xml:space="preserve">based on bottom-up analysis of </w:t>
            </w:r>
            <w:r>
              <w:rPr>
                <w:rFonts w:cs="Times New Roman"/>
                <w:i/>
                <w:sz w:val="20"/>
              </w:rPr>
              <w:t>applications</w:t>
            </w:r>
            <w:r w:rsidR="00354FD8" w:rsidRPr="00C47FD1">
              <w:rPr>
                <w:rFonts w:cs="Times New Roman"/>
                <w:i/>
                <w:sz w:val="20"/>
              </w:rPr>
              <w:t xml:space="preserve"> in tonnes</w:t>
            </w:r>
            <w:r>
              <w:rPr>
                <w:rFonts w:cs="Times New Roman"/>
                <w:i/>
                <w:sz w:val="20"/>
              </w:rPr>
              <w:t xml:space="preserve"> and %</w:t>
            </w:r>
            <w:r w:rsidR="00354FD8" w:rsidRPr="00613398">
              <w:rPr>
                <w:rFonts w:cs="Times New Roman"/>
                <w:i/>
                <w:sz w:val="20"/>
              </w:rPr>
              <w:t>.</w:t>
            </w:r>
            <w:bookmarkEnd w:id="40"/>
          </w:p>
        </w:tc>
      </w:tr>
      <w:tr w:rsidR="00354FD8" w:rsidTr="00354FD8">
        <w:tc>
          <w:tcPr>
            <w:tcW w:w="9639" w:type="dxa"/>
            <w:vAlign w:val="center"/>
          </w:tcPr>
          <w:p w:rsidR="00354FD8" w:rsidRPr="00C47FD1" w:rsidRDefault="00354FD8" w:rsidP="00D61DF6">
            <w:pPr>
              <w:spacing w:after="120"/>
              <w:jc w:val="center"/>
              <w:rPr>
                <w:rFonts w:cs="Times New Roman"/>
                <w:b/>
              </w:rPr>
            </w:pPr>
            <w:r w:rsidRPr="00C47FD1">
              <w:rPr>
                <w:rFonts w:cs="Times New Roman"/>
                <w:b/>
              </w:rPr>
              <w:t>201</w:t>
            </w:r>
            <w:r>
              <w:rPr>
                <w:rFonts w:cs="Times New Roman"/>
                <w:b/>
              </w:rPr>
              <w:t>3</w:t>
            </w:r>
            <w:r w:rsidRPr="00C47FD1">
              <w:rPr>
                <w:rFonts w:cs="Times New Roman"/>
                <w:b/>
              </w:rPr>
              <w:t xml:space="preserve"> </w:t>
            </w:r>
            <w:r>
              <w:rPr>
                <w:rFonts w:cs="Times New Roman"/>
                <w:b/>
              </w:rPr>
              <w:t xml:space="preserve">bank </w:t>
            </w:r>
            <w:r w:rsidRPr="00C47FD1">
              <w:rPr>
                <w:rFonts w:cs="Times New Roman"/>
                <w:b/>
              </w:rPr>
              <w:t xml:space="preserve">by </w:t>
            </w:r>
            <w:r w:rsidR="009D10DB">
              <w:rPr>
                <w:rFonts w:cs="Times New Roman"/>
                <w:b/>
              </w:rPr>
              <w:t>type (</w:t>
            </w:r>
            <w:r w:rsidR="00D61DF6">
              <w:rPr>
                <w:rFonts w:cs="Times New Roman"/>
                <w:b/>
              </w:rPr>
              <w:t xml:space="preserve">% by </w:t>
            </w:r>
            <w:r w:rsidR="009D10DB">
              <w:rPr>
                <w:rFonts w:cs="Times New Roman"/>
                <w:b/>
              </w:rPr>
              <w:t>tonnes)</w:t>
            </w:r>
          </w:p>
        </w:tc>
      </w:tr>
      <w:tr w:rsidR="00354FD8" w:rsidTr="00354FD8">
        <w:tc>
          <w:tcPr>
            <w:tcW w:w="9639" w:type="dxa"/>
            <w:vAlign w:val="center"/>
          </w:tcPr>
          <w:p w:rsidR="00354FD8" w:rsidRDefault="00354FD8" w:rsidP="00354FD8">
            <w:pPr>
              <w:spacing w:before="0"/>
              <w:jc w:val="center"/>
              <w:rPr>
                <w:sz w:val="16"/>
                <w:szCs w:val="16"/>
              </w:rPr>
            </w:pPr>
          </w:p>
          <w:p w:rsidR="00354FD8" w:rsidRDefault="009D10DB" w:rsidP="00354FD8">
            <w:pPr>
              <w:spacing w:before="0"/>
              <w:jc w:val="center"/>
              <w:rPr>
                <w:sz w:val="16"/>
                <w:szCs w:val="16"/>
              </w:rPr>
            </w:pPr>
            <w:r>
              <w:rPr>
                <w:noProof/>
                <w:lang w:val="en-AU" w:eastAsia="en-AU"/>
              </w:rPr>
              <w:drawing>
                <wp:inline distT="0" distB="0" distL="0" distR="0">
                  <wp:extent cx="4637193" cy="30988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354FD8" w:rsidRDefault="00354FD8" w:rsidP="00354FD8">
            <w:pPr>
              <w:spacing w:before="0"/>
              <w:jc w:val="center"/>
              <w:rPr>
                <w:sz w:val="16"/>
                <w:szCs w:val="16"/>
              </w:rPr>
            </w:pPr>
          </w:p>
        </w:tc>
      </w:tr>
      <w:tr w:rsidR="00354FD8" w:rsidRPr="00923150" w:rsidTr="00354FD8">
        <w:tc>
          <w:tcPr>
            <w:tcW w:w="9639" w:type="dxa"/>
            <w:vAlign w:val="center"/>
          </w:tcPr>
          <w:p w:rsidR="00354FD8" w:rsidRPr="00613398" w:rsidRDefault="00D61DF6" w:rsidP="00B34D35">
            <w:pPr>
              <w:spacing w:before="60" w:after="60"/>
            </w:pPr>
            <w:bookmarkStart w:id="41" w:name="_Toc257359980"/>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12</w:t>
            </w:r>
            <w:r w:rsidR="00B41499" w:rsidRPr="00F4221A">
              <w:rPr>
                <w:rFonts w:cs="Times New Roman"/>
                <w:i/>
                <w:sz w:val="20"/>
              </w:rPr>
              <w:fldChar w:fldCharType="end"/>
            </w:r>
            <w:r w:rsidRPr="00F4221A">
              <w:rPr>
                <w:rFonts w:cs="Times New Roman"/>
                <w:i/>
                <w:sz w:val="20"/>
              </w:rPr>
              <w:t>:</w:t>
            </w:r>
            <w:r w:rsidR="009D10DB">
              <w:rPr>
                <w:rFonts w:cs="Times New Roman"/>
                <w:i/>
                <w:sz w:val="20"/>
              </w:rPr>
              <w:t xml:space="preserve"> </w:t>
            </w:r>
            <w:r w:rsidR="009D10DB" w:rsidRPr="00C47FD1">
              <w:rPr>
                <w:rFonts w:cs="Times New Roman"/>
                <w:i/>
                <w:sz w:val="20"/>
              </w:rPr>
              <w:t>201</w:t>
            </w:r>
            <w:r w:rsidR="009D10DB">
              <w:rPr>
                <w:rFonts w:cs="Times New Roman"/>
                <w:i/>
                <w:sz w:val="20"/>
              </w:rPr>
              <w:t>3</w:t>
            </w:r>
            <w:r w:rsidR="009D10DB" w:rsidRPr="00C47FD1">
              <w:rPr>
                <w:rFonts w:cs="Times New Roman"/>
                <w:i/>
                <w:sz w:val="20"/>
              </w:rPr>
              <w:t xml:space="preserve"> bank by </w:t>
            </w:r>
            <w:r w:rsidR="009D10DB">
              <w:rPr>
                <w:rFonts w:cs="Times New Roman"/>
                <w:i/>
                <w:sz w:val="20"/>
              </w:rPr>
              <w:t xml:space="preserve">refrigerant type based on </w:t>
            </w:r>
            <w:r w:rsidR="009D10DB" w:rsidRPr="00C47FD1">
              <w:rPr>
                <w:rFonts w:cs="Times New Roman"/>
                <w:i/>
                <w:sz w:val="20"/>
              </w:rPr>
              <w:t>bottom-up analysis of equip</w:t>
            </w:r>
            <w:r w:rsidR="009D10DB">
              <w:rPr>
                <w:rFonts w:cs="Times New Roman"/>
                <w:i/>
                <w:sz w:val="20"/>
              </w:rPr>
              <w:t xml:space="preserve">ment, % share by </w:t>
            </w:r>
            <w:r w:rsidR="00B34D35">
              <w:rPr>
                <w:rFonts w:cs="Times New Roman"/>
                <w:i/>
                <w:sz w:val="20"/>
              </w:rPr>
              <w:t>tonnes</w:t>
            </w:r>
            <w:r w:rsidR="009D10DB" w:rsidRPr="00613398">
              <w:rPr>
                <w:rFonts w:cs="Times New Roman"/>
                <w:i/>
                <w:sz w:val="20"/>
              </w:rPr>
              <w:t>.</w:t>
            </w:r>
            <w:bookmarkEnd w:id="41"/>
          </w:p>
        </w:tc>
      </w:tr>
    </w:tbl>
    <w:p w:rsidR="00354FD8" w:rsidRDefault="00354FD8" w:rsidP="00354FD8"/>
    <w:p w:rsidR="00F424A4" w:rsidRDefault="00F424A4">
      <w:pPr>
        <w:spacing w:before="0"/>
        <w:jc w:val="left"/>
        <w:rPr>
          <w:rFonts w:ascii="Calibri" w:eastAsia="Times New Roman" w:hAnsi="Calibri" w:cs="Times New Roman"/>
          <w:b/>
          <w:bCs/>
          <w:kern w:val="32"/>
          <w:sz w:val="32"/>
          <w:szCs w:val="32"/>
          <w:lang w:val="en-US"/>
        </w:rPr>
      </w:pPr>
      <w:r>
        <w:br w:type="page"/>
      </w:r>
    </w:p>
    <w:p w:rsidR="003D5856" w:rsidRPr="00C73C6A" w:rsidRDefault="009A437A" w:rsidP="00C73C6A">
      <w:pPr>
        <w:pStyle w:val="Heading1"/>
        <w:ind w:left="432"/>
      </w:pPr>
      <w:bookmarkStart w:id="42" w:name="_Toc257359956"/>
      <w:r>
        <w:t xml:space="preserve">HFC </w:t>
      </w:r>
      <w:r w:rsidR="003D5856" w:rsidRPr="00C73C6A">
        <w:t>Bulk imports</w:t>
      </w:r>
      <w:bookmarkEnd w:id="42"/>
    </w:p>
    <w:p w:rsidR="004652F0" w:rsidRPr="007F3EA8" w:rsidRDefault="004652F0" w:rsidP="004652F0">
      <w:pPr>
        <w:rPr>
          <w:szCs w:val="22"/>
        </w:rPr>
      </w:pPr>
      <w:r w:rsidRPr="007F3EA8">
        <w:rPr>
          <w:szCs w:val="22"/>
        </w:rPr>
        <w:t>One of the two sources of growth in the bank is via the import of bulk refrigerant gases. Yet a surprising proportion of bulk imports do not add to the working bank, but are instead consumed replacing gas lost through leaks and during equipment service.</w:t>
      </w:r>
    </w:p>
    <w:p w:rsidR="004652F0" w:rsidRDefault="004652F0" w:rsidP="004652F0">
      <w:pPr>
        <w:rPr>
          <w:szCs w:val="22"/>
        </w:rPr>
      </w:pPr>
      <w:r w:rsidRPr="007F3EA8">
        <w:rPr>
          <w:szCs w:val="22"/>
        </w:rPr>
        <w:t>On average around 4,500 tonnes of both HCFCs and HFCs bulk gas were imported per annum from 2006 to 2011, of which it is estimated that around 70</w:t>
      </w:r>
      <w:r w:rsidR="001314F8">
        <w:rPr>
          <w:szCs w:val="22"/>
        </w:rPr>
        <w:t>%</w:t>
      </w:r>
      <w:r w:rsidRPr="007F3EA8">
        <w:rPr>
          <w:szCs w:val="22"/>
        </w:rPr>
        <w:t xml:space="preserve"> (~3,150 tonnes) was consumed to maintain the existing stock of equipment. In other words </w:t>
      </w:r>
      <w:r>
        <w:rPr>
          <w:szCs w:val="22"/>
        </w:rPr>
        <w:t>more than</w:t>
      </w:r>
      <w:r w:rsidRPr="007F3EA8">
        <w:rPr>
          <w:szCs w:val="22"/>
        </w:rPr>
        <w:t xml:space="preserve"> two thirds of annual bulk imports are being used to replace gas that is lost to air from working equipment every year.</w:t>
      </w:r>
    </w:p>
    <w:p w:rsidR="004652F0" w:rsidRPr="007F3EA8" w:rsidRDefault="004652F0" w:rsidP="004652F0">
      <w:pPr>
        <w:rPr>
          <w:szCs w:val="22"/>
        </w:rPr>
      </w:pPr>
      <w:r w:rsidRPr="007F3EA8">
        <w:rPr>
          <w:szCs w:val="22"/>
        </w:rPr>
        <w:t>The rest of the annual bulk imports (around 30</w:t>
      </w:r>
      <w:r w:rsidR="008A2F0D">
        <w:rPr>
          <w:szCs w:val="22"/>
        </w:rPr>
        <w:t>%</w:t>
      </w:r>
      <w:r w:rsidRPr="007F3EA8">
        <w:rPr>
          <w:szCs w:val="22"/>
        </w:rPr>
        <w:t xml:space="preserve">) is used </w:t>
      </w:r>
      <w:r>
        <w:rPr>
          <w:szCs w:val="22"/>
        </w:rPr>
        <w:t>to</w:t>
      </w:r>
      <w:r w:rsidRPr="007F3EA8">
        <w:rPr>
          <w:szCs w:val="22"/>
        </w:rPr>
        <w:t xml:space="preserve"> charg</w:t>
      </w:r>
      <w:r>
        <w:rPr>
          <w:szCs w:val="22"/>
        </w:rPr>
        <w:t>e</w:t>
      </w:r>
      <w:r w:rsidRPr="007F3EA8">
        <w:rPr>
          <w:szCs w:val="22"/>
        </w:rPr>
        <w:t xml:space="preserve"> new equipment manufactured in Australia, </w:t>
      </w:r>
      <w:r>
        <w:rPr>
          <w:szCs w:val="22"/>
        </w:rPr>
        <w:t xml:space="preserve">to charge </w:t>
      </w:r>
      <w:r w:rsidRPr="007F3EA8">
        <w:rPr>
          <w:szCs w:val="22"/>
        </w:rPr>
        <w:t xml:space="preserve">equipment </w:t>
      </w:r>
      <w:r>
        <w:rPr>
          <w:szCs w:val="22"/>
        </w:rPr>
        <w:t xml:space="preserve">imported </w:t>
      </w:r>
      <w:r w:rsidRPr="007F3EA8">
        <w:rPr>
          <w:szCs w:val="22"/>
        </w:rPr>
        <w:t>without a charge of working gas (i</w:t>
      </w:r>
      <w:r>
        <w:rPr>
          <w:szCs w:val="22"/>
        </w:rPr>
        <w:t>.e. pre-charged with nitrogen), or consumed in other applications such as foam blowing, fire protection and aerosols. A small proportion, (~</w:t>
      </w:r>
      <w:r w:rsidR="006D3424">
        <w:rPr>
          <w:szCs w:val="22"/>
        </w:rPr>
        <w:t>3</w:t>
      </w:r>
      <w:r>
        <w:rPr>
          <w:szCs w:val="22"/>
        </w:rPr>
        <w:t xml:space="preserve">0 to </w:t>
      </w:r>
      <w:r w:rsidR="00B34D35">
        <w:rPr>
          <w:szCs w:val="22"/>
        </w:rPr>
        <w:t>50</w:t>
      </w:r>
      <w:r>
        <w:rPr>
          <w:szCs w:val="22"/>
        </w:rPr>
        <w:t xml:space="preserve"> tonnes) is re-exported for servicing shipping vessels and supplying wholesalers located in the Pacific Islands.</w:t>
      </w:r>
    </w:p>
    <w:p w:rsidR="00F424A4" w:rsidRPr="002744A2" w:rsidRDefault="00F424A4" w:rsidP="00F424A4">
      <w:pPr>
        <w:rPr>
          <w:szCs w:val="22"/>
        </w:rPr>
      </w:pPr>
      <w:r w:rsidRPr="002744A2">
        <w:rPr>
          <w:szCs w:val="22"/>
        </w:rPr>
        <w:t xml:space="preserve">While it appears that the working bank of gas has stabilised in recent years, the announcements in mid-2011 of the introduction of the </w:t>
      </w:r>
      <w:r w:rsidR="007D4ED6">
        <w:rPr>
          <w:szCs w:val="22"/>
        </w:rPr>
        <w:t>ECP</w:t>
      </w:r>
      <w:r w:rsidRPr="002744A2">
        <w:rPr>
          <w:szCs w:val="22"/>
        </w:rPr>
        <w:t xml:space="preserve"> resulted in a significant increase in bulk imports in </w:t>
      </w:r>
      <w:r w:rsidR="00696826">
        <w:rPr>
          <w:szCs w:val="22"/>
        </w:rPr>
        <w:t xml:space="preserve">early </w:t>
      </w:r>
      <w:r w:rsidRPr="002744A2">
        <w:rPr>
          <w:szCs w:val="22"/>
        </w:rPr>
        <w:t xml:space="preserve">2012, and strong growth in stocks held by businesses throughout the supply chain. </w:t>
      </w:r>
    </w:p>
    <w:p w:rsidR="00F424A4" w:rsidRPr="002744A2" w:rsidRDefault="00F424A4" w:rsidP="00F424A4">
      <w:pPr>
        <w:rPr>
          <w:szCs w:val="22"/>
        </w:rPr>
      </w:pPr>
      <w:r>
        <w:rPr>
          <w:szCs w:val="22"/>
        </w:rPr>
        <w:t xml:space="preserve">The Department of the Environment </w:t>
      </w:r>
      <w:r w:rsidRPr="002744A2">
        <w:rPr>
          <w:szCs w:val="22"/>
        </w:rPr>
        <w:t>data indicates that total imports of all species of refrigerant gas in 2012 were equivalent to more than two and a half years of average supply of HFCs, or a total of more than 12,511 tonnes of</w:t>
      </w:r>
      <w:r w:rsidR="002402B4">
        <w:rPr>
          <w:szCs w:val="22"/>
        </w:rPr>
        <w:t xml:space="preserve"> bulk gas</w:t>
      </w:r>
      <w:r w:rsidRPr="002744A2">
        <w:rPr>
          <w:szCs w:val="22"/>
        </w:rPr>
        <w:t xml:space="preserve">. </w:t>
      </w:r>
    </w:p>
    <w:p w:rsidR="00F424A4" w:rsidRPr="002744A2" w:rsidRDefault="00F424A4" w:rsidP="00F424A4">
      <w:pPr>
        <w:rPr>
          <w:szCs w:val="22"/>
        </w:rPr>
      </w:pPr>
      <w:r w:rsidRPr="002744A2">
        <w:rPr>
          <w:szCs w:val="22"/>
        </w:rPr>
        <w:t>This was at a time when general activity in the sector was slower than previous years due to cool summers in 2010 and 2011, sluggish economic activity which led to reduced building and construction activity, and a slow-down in spending and investment during the 2011-12 financial year.</w:t>
      </w:r>
    </w:p>
    <w:p w:rsidR="00F424A4" w:rsidRPr="00F424A4" w:rsidRDefault="00F424A4" w:rsidP="004652F0">
      <w:pPr>
        <w:rPr>
          <w:szCs w:val="22"/>
        </w:rPr>
      </w:pPr>
      <w:r>
        <w:rPr>
          <w:szCs w:val="22"/>
        </w:rPr>
        <w:t xml:space="preserve">This stockpiling has greatly affected the volume and mix of HFC bulk imports in 2013. </w:t>
      </w:r>
      <w:r w:rsidR="00977C4A" w:rsidRPr="002E6AC8">
        <w:rPr>
          <w:szCs w:val="22"/>
        </w:rPr>
        <w:t>The total import of HFCs in 2013 was 315 tonnes w</w:t>
      </w:r>
      <w:r w:rsidRPr="00B9597F">
        <w:rPr>
          <w:szCs w:val="22"/>
        </w:rPr>
        <w:t>ith a significant portion (&gt;50%) of imports being those that</w:t>
      </w:r>
      <w:r>
        <w:rPr>
          <w:szCs w:val="22"/>
        </w:rPr>
        <w:t xml:space="preserve"> do not attract the </w:t>
      </w:r>
      <w:r w:rsidR="007D4ED6">
        <w:rPr>
          <w:szCs w:val="22"/>
        </w:rPr>
        <w:t>ECP</w:t>
      </w:r>
      <w:r w:rsidR="00B34D35">
        <w:rPr>
          <w:szCs w:val="22"/>
        </w:rPr>
        <w:t xml:space="preserve"> </w:t>
      </w:r>
      <w:r>
        <w:rPr>
          <w:szCs w:val="22"/>
        </w:rPr>
        <w:t>as they</w:t>
      </w:r>
      <w:r w:rsidR="00171878">
        <w:rPr>
          <w:szCs w:val="22"/>
        </w:rPr>
        <w:t xml:space="preserve"> are not included in the Kyoto Protocol.</w:t>
      </w:r>
      <w:r>
        <w:rPr>
          <w:szCs w:val="22"/>
        </w:rPr>
        <w:t xml:space="preserve"> </w:t>
      </w:r>
    </w:p>
    <w:p w:rsidR="00E72C03" w:rsidRDefault="004652F0" w:rsidP="004652F0">
      <w:pPr>
        <w:rPr>
          <w:szCs w:val="22"/>
        </w:rPr>
      </w:pPr>
      <w:r w:rsidRPr="007F3EA8">
        <w:rPr>
          <w:i/>
          <w:szCs w:val="22"/>
        </w:rPr>
        <w:t xml:space="preserve">Figure </w:t>
      </w:r>
      <w:r w:rsidR="007450BE">
        <w:rPr>
          <w:i/>
          <w:szCs w:val="22"/>
        </w:rPr>
        <w:t>13</w:t>
      </w:r>
      <w:r w:rsidRPr="007F3EA8">
        <w:rPr>
          <w:szCs w:val="22"/>
        </w:rPr>
        <w:t xml:space="preserve"> illustrates the actual mix of HFC species imported in bulk (this chart does not in</w:t>
      </w:r>
      <w:r>
        <w:rPr>
          <w:szCs w:val="22"/>
        </w:rPr>
        <w:t xml:space="preserve">clude imports of HCFCs). </w:t>
      </w:r>
    </w:p>
    <w:p w:rsidR="007F7722" w:rsidRDefault="004652F0" w:rsidP="007F7722">
      <w:r w:rsidRPr="007450BE">
        <w:rPr>
          <w:i/>
          <w:szCs w:val="22"/>
        </w:rPr>
        <w:t xml:space="preserve">Figure </w:t>
      </w:r>
      <w:r w:rsidR="007450BE" w:rsidRPr="007450BE">
        <w:rPr>
          <w:i/>
          <w:szCs w:val="22"/>
        </w:rPr>
        <w:t>14</w:t>
      </w:r>
      <w:r w:rsidRPr="007450BE">
        <w:rPr>
          <w:szCs w:val="22"/>
        </w:rPr>
        <w:t xml:space="preserve"> provides a </w:t>
      </w:r>
      <w:r w:rsidR="00E72C03" w:rsidRPr="007450BE">
        <w:rPr>
          <w:szCs w:val="22"/>
        </w:rPr>
        <w:t>six</w:t>
      </w:r>
      <w:r w:rsidR="00E72C03" w:rsidRPr="007F3EA8">
        <w:rPr>
          <w:szCs w:val="22"/>
        </w:rPr>
        <w:t>-year</w:t>
      </w:r>
      <w:r w:rsidRPr="007F3EA8">
        <w:rPr>
          <w:szCs w:val="22"/>
        </w:rPr>
        <w:t xml:space="preserve"> trend of imports of HFCs in kilo</w:t>
      </w:r>
      <w:r>
        <w:rPr>
          <w:szCs w:val="22"/>
        </w:rPr>
        <w:t xml:space="preserve"> </w:t>
      </w:r>
      <w:r w:rsidRPr="007F3EA8">
        <w:rPr>
          <w:szCs w:val="22"/>
        </w:rPr>
        <w:t>tonnes of CO</w:t>
      </w:r>
      <w:r w:rsidRPr="007F3EA8">
        <w:rPr>
          <w:szCs w:val="22"/>
          <w:vertAlign w:val="subscript"/>
        </w:rPr>
        <w:t>2</w:t>
      </w:r>
      <w:r w:rsidRPr="007F3EA8">
        <w:rPr>
          <w:szCs w:val="22"/>
        </w:rPr>
        <w:t>-e</w:t>
      </w:r>
      <w:r>
        <w:rPr>
          <w:szCs w:val="22"/>
        </w:rPr>
        <w:t>.</w:t>
      </w:r>
      <w:r w:rsidR="00E72C03">
        <w:rPr>
          <w:szCs w:val="22"/>
        </w:rPr>
        <w:t xml:space="preserve"> The </w:t>
      </w:r>
      <w:r w:rsidR="00E72C03" w:rsidRPr="00E72C03">
        <w:rPr>
          <w:szCs w:val="22"/>
        </w:rPr>
        <w:t>bulk import reporting format changed mid way through 2011, and kt CO</w:t>
      </w:r>
      <w:r w:rsidR="00E72C03" w:rsidRPr="00E72C03">
        <w:rPr>
          <w:szCs w:val="22"/>
          <w:vertAlign w:val="subscript"/>
        </w:rPr>
        <w:t>2</w:t>
      </w:r>
      <w:r w:rsidR="00E72C03" w:rsidRPr="00E72C03">
        <w:rPr>
          <w:szCs w:val="22"/>
        </w:rPr>
        <w:t xml:space="preserve">-e calculated </w:t>
      </w:r>
      <w:r w:rsidR="007450BE">
        <w:rPr>
          <w:szCs w:val="22"/>
        </w:rPr>
        <w:t xml:space="preserve">in this chart was </w:t>
      </w:r>
      <w:r w:rsidR="00E72C03" w:rsidRPr="00E72C03">
        <w:rPr>
          <w:szCs w:val="22"/>
        </w:rPr>
        <w:t>based on AR2 GWP values.</w:t>
      </w:r>
      <w:r w:rsidR="007450BE">
        <w:rPr>
          <w:szCs w:val="22"/>
        </w:rPr>
        <w:t xml:space="preserve"> Bulk imports for 2012 and 2013 were not included as they are distorted due to the </w:t>
      </w:r>
      <w:r w:rsidR="007D4ED6">
        <w:rPr>
          <w:szCs w:val="22"/>
        </w:rPr>
        <w:t>ECP</w:t>
      </w:r>
      <w:r w:rsidR="007450BE">
        <w:rPr>
          <w:szCs w:val="22"/>
        </w:rPr>
        <w:t>.</w:t>
      </w:r>
    </w:p>
    <w:p w:rsidR="00E72C03" w:rsidRDefault="00E72C03">
      <w:pPr>
        <w:spacing w:before="0"/>
        <w:jc w:val="left"/>
        <w:rPr>
          <w:rFonts w:cs="Times New Roman"/>
          <w:szCs w:val="22"/>
        </w:rPr>
      </w:pPr>
      <w:r>
        <w:rPr>
          <w:rFonts w:cs="Times New Roman"/>
          <w:szCs w:val="22"/>
        </w:rPr>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39"/>
      </w:tblGrid>
      <w:tr w:rsidR="00E4618B" w:rsidRPr="00613398" w:rsidTr="00E4618B">
        <w:tc>
          <w:tcPr>
            <w:tcW w:w="9639" w:type="dxa"/>
            <w:vAlign w:val="center"/>
          </w:tcPr>
          <w:p w:rsidR="00E4618B" w:rsidRPr="00613398" w:rsidRDefault="00E4618B" w:rsidP="004652F0">
            <w:pPr>
              <w:spacing w:after="120"/>
              <w:jc w:val="center"/>
              <w:rPr>
                <w:rFonts w:cs="Times New Roman"/>
                <w:b/>
              </w:rPr>
            </w:pPr>
            <w:r w:rsidRPr="00613398">
              <w:rPr>
                <w:rFonts w:cs="Times New Roman"/>
                <w:b/>
              </w:rPr>
              <w:br w:type="page"/>
            </w:r>
            <w:r w:rsidRPr="00E4618B">
              <w:rPr>
                <w:rFonts w:cs="Times New Roman"/>
                <w:b/>
              </w:rPr>
              <w:t>201</w:t>
            </w:r>
            <w:r w:rsidR="004652F0">
              <w:rPr>
                <w:rFonts w:cs="Times New Roman"/>
                <w:b/>
              </w:rPr>
              <w:t>3</w:t>
            </w:r>
            <w:r w:rsidRPr="00E4618B">
              <w:rPr>
                <w:rFonts w:cs="Times New Roman"/>
                <w:b/>
              </w:rPr>
              <w:t xml:space="preserve"> HFC bulk imports by species</w:t>
            </w:r>
            <w:r w:rsidRPr="00613398">
              <w:rPr>
                <w:rFonts w:cs="Times New Roman"/>
                <w:b/>
              </w:rPr>
              <w:t xml:space="preserve"> </w:t>
            </w:r>
          </w:p>
        </w:tc>
      </w:tr>
      <w:tr w:rsidR="00E4618B" w:rsidRPr="00923150" w:rsidTr="00E4618B">
        <w:tc>
          <w:tcPr>
            <w:tcW w:w="9639" w:type="dxa"/>
            <w:vAlign w:val="center"/>
          </w:tcPr>
          <w:p w:rsidR="00E4618B" w:rsidRDefault="00E4618B" w:rsidP="00E4618B">
            <w:pPr>
              <w:spacing w:before="0"/>
              <w:jc w:val="center"/>
              <w:rPr>
                <w:sz w:val="16"/>
                <w:szCs w:val="16"/>
              </w:rPr>
            </w:pPr>
          </w:p>
          <w:p w:rsidR="00E4618B" w:rsidRDefault="004652F0" w:rsidP="00E4618B">
            <w:pPr>
              <w:spacing w:before="0"/>
              <w:jc w:val="center"/>
              <w:rPr>
                <w:sz w:val="16"/>
                <w:szCs w:val="16"/>
              </w:rPr>
            </w:pPr>
            <w:r>
              <w:rPr>
                <w:noProof/>
                <w:lang w:val="en-AU" w:eastAsia="en-AU"/>
              </w:rPr>
              <w:drawing>
                <wp:inline distT="0" distB="0" distL="0" distR="0">
                  <wp:extent cx="5872480" cy="3073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4618B" w:rsidRPr="003638F5" w:rsidRDefault="00E4618B" w:rsidP="00E4618B">
            <w:pPr>
              <w:spacing w:before="0"/>
              <w:rPr>
                <w:sz w:val="16"/>
                <w:szCs w:val="16"/>
              </w:rPr>
            </w:pPr>
          </w:p>
        </w:tc>
      </w:tr>
      <w:tr w:rsidR="00E4618B" w:rsidRPr="00923150" w:rsidTr="00E4618B">
        <w:tc>
          <w:tcPr>
            <w:tcW w:w="9639" w:type="dxa"/>
            <w:vAlign w:val="center"/>
          </w:tcPr>
          <w:p w:rsidR="00E4618B" w:rsidRPr="00613398" w:rsidRDefault="00B34D35" w:rsidP="00B34D35">
            <w:pPr>
              <w:spacing w:before="60" w:after="60"/>
            </w:pPr>
            <w:bookmarkStart w:id="43" w:name="_Toc257359981"/>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13</w:t>
            </w:r>
            <w:r w:rsidR="00B41499" w:rsidRPr="00F4221A">
              <w:rPr>
                <w:rFonts w:cs="Times New Roman"/>
                <w:i/>
                <w:sz w:val="20"/>
              </w:rPr>
              <w:fldChar w:fldCharType="end"/>
            </w:r>
            <w:r w:rsidRPr="00F4221A">
              <w:rPr>
                <w:rFonts w:cs="Times New Roman"/>
                <w:i/>
                <w:sz w:val="20"/>
              </w:rPr>
              <w:t>:</w:t>
            </w:r>
            <w:r w:rsidR="00E4618B" w:rsidRPr="00613398">
              <w:rPr>
                <w:rFonts w:cs="Times New Roman"/>
                <w:i/>
                <w:sz w:val="20"/>
              </w:rPr>
              <w:t xml:space="preserve"> </w:t>
            </w:r>
            <w:r w:rsidR="00E4618B" w:rsidRPr="00E4618B">
              <w:rPr>
                <w:rFonts w:cs="Times New Roman"/>
                <w:i/>
                <w:sz w:val="20"/>
              </w:rPr>
              <w:t>Actual 201</w:t>
            </w:r>
            <w:r w:rsidR="004652F0">
              <w:rPr>
                <w:rFonts w:cs="Times New Roman"/>
                <w:i/>
                <w:sz w:val="20"/>
              </w:rPr>
              <w:t>3</w:t>
            </w:r>
            <w:r w:rsidR="00E4618B" w:rsidRPr="00E4618B">
              <w:rPr>
                <w:rFonts w:cs="Times New Roman"/>
                <w:i/>
                <w:sz w:val="20"/>
              </w:rPr>
              <w:t xml:space="preserve"> HFC bulk gas imports by </w:t>
            </w:r>
            <w:r>
              <w:rPr>
                <w:rFonts w:cs="Times New Roman"/>
                <w:i/>
                <w:sz w:val="20"/>
              </w:rPr>
              <w:t xml:space="preserve">type, % by </w:t>
            </w:r>
            <w:r w:rsidR="00E4618B" w:rsidRPr="00E4618B">
              <w:rPr>
                <w:rFonts w:cs="Times New Roman"/>
                <w:i/>
                <w:sz w:val="20"/>
              </w:rPr>
              <w:t>tonnes</w:t>
            </w:r>
            <w:r w:rsidR="00E4618B" w:rsidRPr="00613398">
              <w:rPr>
                <w:rFonts w:cs="Times New Roman"/>
                <w:i/>
                <w:sz w:val="20"/>
              </w:rPr>
              <w:t>.</w:t>
            </w:r>
            <w:bookmarkEnd w:id="43"/>
          </w:p>
        </w:tc>
      </w:tr>
    </w:tbl>
    <w:p w:rsidR="00E4618B" w:rsidRDefault="00E4618B" w:rsidP="007F7722">
      <w:pPr>
        <w:rPr>
          <w:rFonts w:cs="Times New Roman"/>
          <w:szCs w:val="22"/>
        </w:rPr>
        <w:sectPr w:rsidR="00E4618B" w:rsidSect="005C09D9">
          <w:headerReference w:type="even" r:id="rId45"/>
          <w:headerReference w:type="default" r:id="rId46"/>
          <w:footerReference w:type="default" r:id="rId47"/>
          <w:headerReference w:type="first" r:id="rId48"/>
          <w:pgSz w:w="11900" w:h="16840"/>
          <w:pgMar w:top="1105" w:right="1127" w:bottom="1440" w:left="1276" w:header="708" w:footer="708" w:gutter="0"/>
          <w:cols w:space="708"/>
        </w:sectPr>
      </w:pPr>
    </w:p>
    <w:tbl>
      <w:tblPr>
        <w:tblW w:w="1390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05"/>
      </w:tblGrid>
      <w:tr w:rsidR="00F424A4" w:rsidRPr="00CA68EC" w:rsidTr="00F424A4">
        <w:trPr>
          <w:trHeight w:val="260"/>
        </w:trPr>
        <w:tc>
          <w:tcPr>
            <w:tcW w:w="13905" w:type="dxa"/>
            <w:shd w:val="clear" w:color="auto" w:fill="auto"/>
            <w:noWrap/>
            <w:vAlign w:val="center"/>
          </w:tcPr>
          <w:p w:rsidR="00F424A4" w:rsidRPr="00A362C9" w:rsidRDefault="00F424A4" w:rsidP="00F424A4">
            <w:pPr>
              <w:spacing w:after="120"/>
              <w:jc w:val="center"/>
              <w:outlineLvl w:val="0"/>
              <w:rPr>
                <w:color w:val="FFFFFF"/>
                <w:szCs w:val="12"/>
              </w:rPr>
            </w:pPr>
            <w:r w:rsidRPr="0045125B">
              <w:rPr>
                <w:b/>
                <w:sz w:val="24"/>
              </w:rPr>
              <w:t>Trend of HFC bulk imports in kt CO</w:t>
            </w:r>
            <w:r w:rsidRPr="0045125B">
              <w:rPr>
                <w:b/>
                <w:sz w:val="24"/>
                <w:vertAlign w:val="subscript"/>
              </w:rPr>
              <w:t>2</w:t>
            </w:r>
            <w:r w:rsidRPr="0045125B">
              <w:rPr>
                <w:b/>
                <w:sz w:val="24"/>
              </w:rPr>
              <w:t>-e</w:t>
            </w:r>
          </w:p>
        </w:tc>
      </w:tr>
      <w:tr w:rsidR="00F424A4" w:rsidRPr="00F85DFD" w:rsidTr="00F424A4">
        <w:trPr>
          <w:trHeight w:val="260"/>
        </w:trPr>
        <w:tc>
          <w:tcPr>
            <w:tcW w:w="13905" w:type="dxa"/>
            <w:shd w:val="clear" w:color="auto" w:fill="auto"/>
            <w:noWrap/>
            <w:vAlign w:val="center"/>
          </w:tcPr>
          <w:p w:rsidR="00F424A4" w:rsidRDefault="00F424A4" w:rsidP="00F424A4">
            <w:pPr>
              <w:jc w:val="center"/>
              <w:outlineLvl w:val="0"/>
              <w:rPr>
                <w:sz w:val="16"/>
                <w:szCs w:val="16"/>
              </w:rPr>
            </w:pPr>
          </w:p>
          <w:p w:rsidR="00F424A4" w:rsidRDefault="00F424A4" w:rsidP="00F424A4">
            <w:pPr>
              <w:jc w:val="center"/>
              <w:outlineLvl w:val="0"/>
              <w:rPr>
                <w:sz w:val="16"/>
                <w:szCs w:val="16"/>
              </w:rPr>
            </w:pPr>
            <w:r>
              <w:rPr>
                <w:noProof/>
                <w:lang w:val="en-AU" w:eastAsia="en-AU"/>
              </w:rPr>
              <w:drawing>
                <wp:inline distT="0" distB="0" distL="0" distR="0">
                  <wp:extent cx="8585200" cy="254762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F424A4" w:rsidRPr="00F85DFD" w:rsidRDefault="00F424A4" w:rsidP="00F424A4">
            <w:pPr>
              <w:jc w:val="center"/>
              <w:outlineLvl w:val="0"/>
              <w:rPr>
                <w:sz w:val="16"/>
                <w:szCs w:val="16"/>
              </w:rPr>
            </w:pPr>
          </w:p>
        </w:tc>
      </w:tr>
      <w:tr w:rsidR="00E72C03" w:rsidRPr="00CA68EC" w:rsidTr="00F424A4">
        <w:trPr>
          <w:trHeight w:val="260"/>
        </w:trPr>
        <w:tc>
          <w:tcPr>
            <w:tcW w:w="13905" w:type="dxa"/>
            <w:shd w:val="clear" w:color="auto" w:fill="auto"/>
            <w:noWrap/>
          </w:tcPr>
          <w:p w:rsidR="00E72C03" w:rsidRPr="0045125B" w:rsidRDefault="007450BE" w:rsidP="00E72C03">
            <w:pPr>
              <w:spacing w:before="60" w:after="60"/>
              <w:rPr>
                <w:i/>
                <w:sz w:val="20"/>
              </w:rPr>
            </w:pPr>
            <w:bookmarkStart w:id="44" w:name="_Toc257359982"/>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14</w:t>
            </w:r>
            <w:r w:rsidR="00B41499" w:rsidRPr="00F4221A">
              <w:rPr>
                <w:rFonts w:cs="Times New Roman"/>
                <w:i/>
                <w:sz w:val="20"/>
              </w:rPr>
              <w:fldChar w:fldCharType="end"/>
            </w:r>
            <w:r w:rsidRPr="00F4221A">
              <w:rPr>
                <w:rFonts w:cs="Times New Roman"/>
                <w:i/>
                <w:sz w:val="20"/>
              </w:rPr>
              <w:t>:</w:t>
            </w:r>
            <w:r w:rsidR="00E72C03" w:rsidRPr="0045125B">
              <w:rPr>
                <w:i/>
                <w:sz w:val="20"/>
              </w:rPr>
              <w:t xml:space="preserve"> Six year trend of HFC bulk imports as reported in major SGG categories in kt CO</w:t>
            </w:r>
            <w:r w:rsidR="00E72C03" w:rsidRPr="0045125B">
              <w:rPr>
                <w:i/>
                <w:sz w:val="20"/>
                <w:vertAlign w:val="subscript"/>
              </w:rPr>
              <w:t>2</w:t>
            </w:r>
            <w:r w:rsidR="00977C4A" w:rsidRPr="001C7B87">
              <w:rPr>
                <w:i/>
                <w:sz w:val="20"/>
              </w:rPr>
              <w:t>-</w:t>
            </w:r>
            <w:r w:rsidR="00E72C03" w:rsidRPr="0045125B">
              <w:rPr>
                <w:i/>
                <w:sz w:val="20"/>
              </w:rPr>
              <w:t>e</w:t>
            </w:r>
            <w:r w:rsidR="00E72C03">
              <w:rPr>
                <w:i/>
                <w:sz w:val="20"/>
              </w:rPr>
              <w:t>.</w:t>
            </w:r>
            <w:bookmarkEnd w:id="44"/>
          </w:p>
        </w:tc>
      </w:tr>
      <w:tr w:rsidR="00F424A4" w:rsidRPr="00E72C03" w:rsidTr="00F424A4">
        <w:trPr>
          <w:trHeight w:val="260"/>
        </w:trPr>
        <w:tc>
          <w:tcPr>
            <w:tcW w:w="13905" w:type="dxa"/>
            <w:shd w:val="clear" w:color="auto" w:fill="auto"/>
            <w:noWrap/>
          </w:tcPr>
          <w:p w:rsidR="00F424A4" w:rsidRPr="00E72C03" w:rsidRDefault="00E72C03" w:rsidP="00F424A4">
            <w:pPr>
              <w:spacing w:before="60" w:after="60"/>
              <w:rPr>
                <w:sz w:val="20"/>
                <w:szCs w:val="20"/>
              </w:rPr>
            </w:pPr>
            <w:r w:rsidRPr="00E72C03">
              <w:rPr>
                <w:sz w:val="20"/>
                <w:szCs w:val="20"/>
              </w:rPr>
              <w:t>Note: 2011 estimated based on 6 months data as bulk import reporting format changed mid way through 2011, and kt CO</w:t>
            </w:r>
            <w:r w:rsidRPr="00E72C03">
              <w:rPr>
                <w:sz w:val="20"/>
                <w:szCs w:val="20"/>
                <w:vertAlign w:val="subscript"/>
              </w:rPr>
              <w:t>2</w:t>
            </w:r>
            <w:r w:rsidRPr="00E72C03">
              <w:rPr>
                <w:sz w:val="20"/>
                <w:szCs w:val="20"/>
              </w:rPr>
              <w:t>-e calculated based on AR2 GWP values.</w:t>
            </w:r>
          </w:p>
        </w:tc>
      </w:tr>
    </w:tbl>
    <w:p w:rsidR="00F424A4" w:rsidRDefault="00F424A4" w:rsidP="00F424A4">
      <w:pPr>
        <w:spacing w:before="0"/>
        <w:rPr>
          <w:sz w:val="20"/>
          <w:szCs w:val="20"/>
        </w:rPr>
      </w:pPr>
      <w:r w:rsidRPr="00405CD9">
        <w:rPr>
          <w:sz w:val="20"/>
          <w:szCs w:val="20"/>
        </w:rPr>
        <w:t>(Source</w:t>
      </w:r>
      <w:r>
        <w:rPr>
          <w:sz w:val="20"/>
          <w:szCs w:val="20"/>
        </w:rPr>
        <w:t>:</w:t>
      </w:r>
      <w:r w:rsidRPr="00405CD9">
        <w:rPr>
          <w:sz w:val="20"/>
          <w:szCs w:val="20"/>
        </w:rPr>
        <w:t xml:space="preserve"> </w:t>
      </w:r>
      <w:r>
        <w:rPr>
          <w:sz w:val="20"/>
          <w:szCs w:val="20"/>
        </w:rPr>
        <w:t xml:space="preserve">DE </w:t>
      </w:r>
      <w:r w:rsidRPr="00405CD9">
        <w:rPr>
          <w:sz w:val="20"/>
          <w:szCs w:val="20"/>
        </w:rPr>
        <w:t>201</w:t>
      </w:r>
      <w:r>
        <w:rPr>
          <w:sz w:val="20"/>
          <w:szCs w:val="20"/>
        </w:rPr>
        <w:t>4</w:t>
      </w:r>
      <w:r w:rsidRPr="00405CD9">
        <w:rPr>
          <w:sz w:val="20"/>
          <w:szCs w:val="20"/>
        </w:rPr>
        <w:t>)</w:t>
      </w:r>
    </w:p>
    <w:p w:rsidR="00EB6E20" w:rsidRDefault="00F424A4" w:rsidP="007450BE">
      <w:pPr>
        <w:spacing w:before="0"/>
      </w:pPr>
      <w:r w:rsidRPr="00F13FE5">
        <w:rPr>
          <w:rFonts w:cs="Times New Roman"/>
          <w:szCs w:val="22"/>
        </w:rPr>
        <w:t xml:space="preserve"> </w:t>
      </w:r>
    </w:p>
    <w:p w:rsidR="00EB6E20" w:rsidRDefault="00EB6E20" w:rsidP="0034186A"/>
    <w:p w:rsidR="00EB6E20" w:rsidRDefault="00EB6E20" w:rsidP="0034186A">
      <w:pPr>
        <w:sectPr w:rsidR="00EB6E20" w:rsidSect="00EB6E20">
          <w:pgSz w:w="16820" w:h="11900" w:orient="landscape"/>
          <w:pgMar w:top="1127" w:right="1440" w:bottom="1276" w:left="1440" w:header="708" w:footer="708" w:gutter="0"/>
          <w:cols w:space="708"/>
        </w:sectPr>
      </w:pPr>
    </w:p>
    <w:p w:rsidR="00A7211F" w:rsidRDefault="003D5856" w:rsidP="007450BE">
      <w:pPr>
        <w:pStyle w:val="Heading1"/>
        <w:spacing w:before="0"/>
        <w:ind w:left="431" w:hanging="431"/>
      </w:pPr>
      <w:bookmarkStart w:id="45" w:name="_Toc257359957"/>
      <w:r>
        <w:t>Domestic refrigeration</w:t>
      </w:r>
      <w:bookmarkEnd w:id="45"/>
    </w:p>
    <w:p w:rsidR="00171878" w:rsidRPr="00875C28" w:rsidRDefault="00171878" w:rsidP="00171878">
      <w:pPr>
        <w:spacing w:after="120"/>
        <w:rPr>
          <w:rFonts w:cs="Times New Roman"/>
          <w:b/>
          <w:szCs w:val="22"/>
        </w:rPr>
      </w:pPr>
      <w:r w:rsidRPr="00875C28">
        <w:rPr>
          <w:rFonts w:cs="Times New Roman"/>
          <w:b/>
          <w:szCs w:val="22"/>
        </w:rPr>
        <w:t>The bank and annual consumption</w:t>
      </w:r>
    </w:p>
    <w:p w:rsidR="00171878" w:rsidRPr="001A6FC2" w:rsidRDefault="00171878" w:rsidP="00171878">
      <w:pPr>
        <w:rPr>
          <w:rFonts w:cs="Times New Roman"/>
          <w:szCs w:val="22"/>
        </w:rPr>
      </w:pPr>
      <w:r w:rsidRPr="001A6FC2">
        <w:rPr>
          <w:rFonts w:cs="Times New Roman"/>
          <w:szCs w:val="22"/>
        </w:rPr>
        <w:t xml:space="preserve">Domestic refrigeration in Australia is estimated to contain approximately </w:t>
      </w:r>
      <w:r w:rsidRPr="00771933">
        <w:rPr>
          <w:rFonts w:cs="Times New Roman"/>
          <w:szCs w:val="22"/>
        </w:rPr>
        <w:t>2,200</w:t>
      </w:r>
      <w:r w:rsidRPr="001A6FC2">
        <w:rPr>
          <w:rFonts w:cs="Times New Roman"/>
          <w:szCs w:val="22"/>
        </w:rPr>
        <w:t xml:space="preserve"> tonnes of high GWP HFCs, approximately </w:t>
      </w:r>
      <w:r w:rsidR="001F2D12">
        <w:rPr>
          <w:rFonts w:cs="Times New Roman"/>
          <w:szCs w:val="22"/>
        </w:rPr>
        <w:t>5</w:t>
      </w:r>
      <w:r w:rsidRPr="001A6FC2">
        <w:rPr>
          <w:rFonts w:cs="Times New Roman"/>
          <w:szCs w:val="22"/>
        </w:rPr>
        <w:t>% of all high GWP HFCs in the stock of RAC equipment in Australia. Domestic refrigeration is estimate</w:t>
      </w:r>
      <w:r w:rsidR="00436D19">
        <w:rPr>
          <w:rFonts w:cs="Times New Roman"/>
          <w:szCs w:val="22"/>
        </w:rPr>
        <w:t>d</w:t>
      </w:r>
      <w:r w:rsidRPr="001A6FC2">
        <w:rPr>
          <w:rFonts w:cs="Times New Roman"/>
          <w:szCs w:val="22"/>
        </w:rPr>
        <w:t xml:space="preserve"> to consume less </w:t>
      </w:r>
      <w:r w:rsidRPr="001F2D12">
        <w:rPr>
          <w:rFonts w:cs="Times New Roman"/>
          <w:szCs w:val="22"/>
        </w:rPr>
        <w:t>than 0.</w:t>
      </w:r>
      <w:r w:rsidR="001F2D12" w:rsidRPr="001F2D12">
        <w:rPr>
          <w:rFonts w:cs="Times New Roman"/>
          <w:szCs w:val="22"/>
        </w:rPr>
        <w:t>6</w:t>
      </w:r>
      <w:r w:rsidRPr="001F2D12">
        <w:rPr>
          <w:rFonts w:cs="Times New Roman"/>
          <w:szCs w:val="22"/>
        </w:rPr>
        <w:t>%</w:t>
      </w:r>
      <w:r w:rsidRPr="001A6FC2">
        <w:rPr>
          <w:rFonts w:cs="Times New Roman"/>
          <w:szCs w:val="22"/>
        </w:rPr>
        <w:t xml:space="preserve"> (~25 tonnes) of annual bulk imports of synthetic refrigerant consumption. </w:t>
      </w:r>
    </w:p>
    <w:p w:rsidR="00171878" w:rsidRPr="001A6FC2" w:rsidRDefault="00171878" w:rsidP="00171878">
      <w:pPr>
        <w:rPr>
          <w:rFonts w:cs="Times New Roman"/>
          <w:szCs w:val="22"/>
        </w:rPr>
      </w:pPr>
      <w:r w:rsidRPr="001A6FC2">
        <w:rPr>
          <w:rFonts w:cs="Times New Roman"/>
          <w:szCs w:val="22"/>
        </w:rPr>
        <w:t xml:space="preserve">The main refrigerants used in domestic refrigeration are HFC-134a (GWP </w:t>
      </w:r>
      <w:r w:rsidR="00436D19">
        <w:rPr>
          <w:rFonts w:cs="Times New Roman"/>
          <w:szCs w:val="22"/>
        </w:rPr>
        <w:t xml:space="preserve">of </w:t>
      </w:r>
      <w:r w:rsidRPr="001A6FC2">
        <w:rPr>
          <w:rFonts w:cs="Times New Roman"/>
          <w:szCs w:val="22"/>
        </w:rPr>
        <w:t>1300/1430), and hydrocarbon HC-600a (</w:t>
      </w:r>
      <w:r w:rsidR="00436D19">
        <w:rPr>
          <w:rFonts w:cs="Times New Roman"/>
          <w:szCs w:val="22"/>
        </w:rPr>
        <w:t>I</w:t>
      </w:r>
      <w:r w:rsidRPr="001A6FC2">
        <w:rPr>
          <w:rFonts w:cs="Times New Roman"/>
          <w:szCs w:val="22"/>
        </w:rPr>
        <w:t xml:space="preserve">sobutene, GWP of 3). The large majority of the existing stock of appliances contains HFC-134a (&gt;90%). Some very old products manufactured prior to the early 1990s contain CFC-12. </w:t>
      </w:r>
    </w:p>
    <w:p w:rsidR="00171878" w:rsidRPr="001A6FC2" w:rsidRDefault="00171878" w:rsidP="00171878">
      <w:pPr>
        <w:rPr>
          <w:rFonts w:cs="Times New Roman"/>
          <w:szCs w:val="22"/>
        </w:rPr>
      </w:pPr>
      <w:r w:rsidRPr="001A6FC2">
        <w:rPr>
          <w:rFonts w:cs="Times New Roman"/>
          <w:szCs w:val="22"/>
        </w:rPr>
        <w:t xml:space="preserve">In Australia about </w:t>
      </w:r>
      <w:r w:rsidRPr="00771933">
        <w:rPr>
          <w:rFonts w:cs="Times New Roman"/>
          <w:szCs w:val="22"/>
        </w:rPr>
        <w:t>8</w:t>
      </w:r>
      <w:r w:rsidRPr="001A6FC2">
        <w:rPr>
          <w:rFonts w:cs="Times New Roman"/>
          <w:szCs w:val="22"/>
        </w:rPr>
        <w:t>% of domestic refrigerators are estimated to contain HC-600a compared to around 2% globally.</w:t>
      </w:r>
    </w:p>
    <w:p w:rsidR="00171878" w:rsidRPr="00F414F6" w:rsidRDefault="00171878" w:rsidP="001A4814"/>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57"/>
      </w:tblGrid>
      <w:tr w:rsidR="00A7211F" w:rsidRPr="00613398" w:rsidTr="001A6FC2">
        <w:tc>
          <w:tcPr>
            <w:tcW w:w="9639" w:type="dxa"/>
            <w:vAlign w:val="center"/>
          </w:tcPr>
          <w:p w:rsidR="00A7211F" w:rsidRPr="00613398" w:rsidRDefault="00A7211F" w:rsidP="00540E05">
            <w:pPr>
              <w:spacing w:after="120"/>
              <w:jc w:val="center"/>
              <w:rPr>
                <w:rFonts w:cs="Times New Roman"/>
                <w:b/>
              </w:rPr>
            </w:pPr>
            <w:r w:rsidRPr="00613398">
              <w:rPr>
                <w:rFonts w:cs="Times New Roman"/>
                <w:b/>
              </w:rPr>
              <w:br w:type="page"/>
              <w:t xml:space="preserve">2013 bank and consumption </w:t>
            </w:r>
            <w:r w:rsidR="00540E05">
              <w:rPr>
                <w:rFonts w:cs="Times New Roman"/>
                <w:b/>
              </w:rPr>
              <w:t>(tonnes)</w:t>
            </w:r>
            <w:r w:rsidRPr="00613398">
              <w:rPr>
                <w:rFonts w:cs="Times New Roman"/>
                <w:b/>
              </w:rPr>
              <w:t xml:space="preserve"> </w:t>
            </w:r>
          </w:p>
        </w:tc>
      </w:tr>
      <w:tr w:rsidR="00A7211F" w:rsidRPr="00923150" w:rsidTr="001A6FC2">
        <w:tc>
          <w:tcPr>
            <w:tcW w:w="9639" w:type="dxa"/>
            <w:vAlign w:val="center"/>
          </w:tcPr>
          <w:p w:rsidR="00A7211F" w:rsidRDefault="00A7211F" w:rsidP="001F2D12">
            <w:pPr>
              <w:spacing w:before="0"/>
              <w:jc w:val="center"/>
              <w:rPr>
                <w:sz w:val="16"/>
                <w:szCs w:val="16"/>
              </w:rPr>
            </w:pPr>
          </w:p>
          <w:p w:rsidR="001F2D12" w:rsidRDefault="003B1471" w:rsidP="001F2D12">
            <w:pPr>
              <w:spacing w:before="0"/>
              <w:jc w:val="center"/>
              <w:rPr>
                <w:sz w:val="16"/>
                <w:szCs w:val="16"/>
              </w:rPr>
            </w:pPr>
            <w:r>
              <w:rPr>
                <w:noProof/>
                <w:lang w:val="en-AU" w:eastAsia="en-AU"/>
              </w:rPr>
              <w:drawing>
                <wp:inline distT="0" distB="0" distL="0" distR="0">
                  <wp:extent cx="5983393" cy="2710180"/>
                  <wp:effectExtent l="0" t="0" r="11430" b="762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1F2D12" w:rsidRPr="003638F5" w:rsidRDefault="001F2D12" w:rsidP="001F2D12">
            <w:pPr>
              <w:spacing w:before="0"/>
              <w:jc w:val="center"/>
              <w:rPr>
                <w:sz w:val="16"/>
                <w:szCs w:val="16"/>
              </w:rPr>
            </w:pPr>
          </w:p>
        </w:tc>
      </w:tr>
      <w:tr w:rsidR="00A7211F" w:rsidRPr="00923150" w:rsidTr="001A6FC2">
        <w:tc>
          <w:tcPr>
            <w:tcW w:w="9639" w:type="dxa"/>
            <w:vAlign w:val="center"/>
          </w:tcPr>
          <w:p w:rsidR="00A7211F" w:rsidRPr="00613398" w:rsidRDefault="008317A1" w:rsidP="008317A1">
            <w:pPr>
              <w:spacing w:before="60" w:after="60"/>
            </w:pPr>
            <w:bookmarkStart w:id="46" w:name="_Toc179623621"/>
            <w:bookmarkStart w:id="47" w:name="_Toc257359983"/>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15</w:t>
            </w:r>
            <w:r w:rsidR="00B41499" w:rsidRPr="00F4221A">
              <w:rPr>
                <w:rFonts w:cs="Times New Roman"/>
                <w:i/>
                <w:sz w:val="20"/>
              </w:rPr>
              <w:fldChar w:fldCharType="end"/>
            </w:r>
            <w:r w:rsidRPr="00F4221A">
              <w:rPr>
                <w:rFonts w:cs="Times New Roman"/>
                <w:i/>
                <w:sz w:val="20"/>
              </w:rPr>
              <w:t>:</w:t>
            </w:r>
            <w:r w:rsidRPr="0045125B">
              <w:rPr>
                <w:i/>
                <w:sz w:val="20"/>
              </w:rPr>
              <w:t xml:space="preserve"> </w:t>
            </w:r>
            <w:r w:rsidR="00A7211F" w:rsidRPr="00613398">
              <w:rPr>
                <w:rFonts w:cs="Times New Roman"/>
                <w:i/>
                <w:sz w:val="20"/>
              </w:rPr>
              <w:t xml:space="preserve">Domestic refrigeration refrigerant bank and </w:t>
            </w:r>
            <w:r w:rsidR="003638F5">
              <w:rPr>
                <w:rFonts w:cs="Times New Roman"/>
                <w:i/>
                <w:sz w:val="20"/>
              </w:rPr>
              <w:t xml:space="preserve">HFC </w:t>
            </w:r>
            <w:r w:rsidR="00A7211F" w:rsidRPr="00613398">
              <w:rPr>
                <w:rFonts w:cs="Times New Roman"/>
                <w:i/>
                <w:sz w:val="20"/>
              </w:rPr>
              <w:t xml:space="preserve">consumption in </w:t>
            </w:r>
            <w:r w:rsidR="00A7211F">
              <w:rPr>
                <w:rFonts w:cs="Times New Roman"/>
                <w:i/>
                <w:sz w:val="20"/>
              </w:rPr>
              <w:t xml:space="preserve">2013 in </w:t>
            </w:r>
            <w:r w:rsidR="00A7211F" w:rsidRPr="00613398">
              <w:rPr>
                <w:rFonts w:cs="Times New Roman"/>
                <w:i/>
                <w:sz w:val="20"/>
              </w:rPr>
              <w:t>tonnes</w:t>
            </w:r>
            <w:bookmarkEnd w:id="46"/>
            <w:r w:rsidR="00A7211F" w:rsidRPr="00613398">
              <w:rPr>
                <w:rFonts w:cs="Times New Roman"/>
                <w:i/>
                <w:sz w:val="20"/>
              </w:rPr>
              <w:t>.</w:t>
            </w:r>
            <w:bookmarkEnd w:id="47"/>
          </w:p>
        </w:tc>
      </w:tr>
    </w:tbl>
    <w:p w:rsidR="00A7211F" w:rsidRPr="00875C28" w:rsidRDefault="00A7211F" w:rsidP="00C47165">
      <w:pPr>
        <w:spacing w:before="360" w:after="120"/>
        <w:rPr>
          <w:rFonts w:cs="Times New Roman"/>
          <w:b/>
          <w:szCs w:val="22"/>
        </w:rPr>
      </w:pPr>
      <w:r w:rsidRPr="00875C28">
        <w:rPr>
          <w:rFonts w:cs="Times New Roman"/>
          <w:b/>
          <w:szCs w:val="22"/>
        </w:rPr>
        <w:t xml:space="preserve">The stock of equipment, annual sales, industry trends </w:t>
      </w:r>
    </w:p>
    <w:p w:rsidR="001A6FC2" w:rsidRPr="001A6FC2" w:rsidRDefault="001A6FC2" w:rsidP="001A6FC2">
      <w:pPr>
        <w:rPr>
          <w:rFonts w:cs="Times New Roman"/>
          <w:szCs w:val="22"/>
        </w:rPr>
      </w:pPr>
      <w:r w:rsidRPr="001A6FC2">
        <w:rPr>
          <w:rFonts w:cs="Times New Roman"/>
          <w:szCs w:val="22"/>
        </w:rPr>
        <w:t>In 2013 there w</w:t>
      </w:r>
      <w:r w:rsidR="00001AAC">
        <w:rPr>
          <w:rFonts w:cs="Times New Roman"/>
          <w:szCs w:val="22"/>
        </w:rPr>
        <w:t>ere</w:t>
      </w:r>
      <w:r w:rsidRPr="001A6FC2">
        <w:rPr>
          <w:rFonts w:cs="Times New Roman"/>
          <w:szCs w:val="22"/>
        </w:rPr>
        <w:t xml:space="preserve"> an estimated </w:t>
      </w:r>
      <w:r w:rsidRPr="003637B0">
        <w:rPr>
          <w:rFonts w:cs="Times New Roman"/>
          <w:szCs w:val="22"/>
        </w:rPr>
        <w:t>17.1 million</w:t>
      </w:r>
      <w:r w:rsidRPr="001A6FC2">
        <w:rPr>
          <w:rFonts w:cs="Times New Roman"/>
          <w:szCs w:val="22"/>
        </w:rPr>
        <w:t xml:space="preserve"> domestic refrigerators </w:t>
      </w:r>
      <w:r w:rsidR="0042439C">
        <w:rPr>
          <w:rFonts w:cs="Times New Roman"/>
          <w:szCs w:val="22"/>
        </w:rPr>
        <w:t xml:space="preserve">and freezers </w:t>
      </w:r>
      <w:r w:rsidRPr="001A6FC2">
        <w:rPr>
          <w:rFonts w:cs="Times New Roman"/>
          <w:szCs w:val="22"/>
        </w:rPr>
        <w:t xml:space="preserve">in Australia, a figure that is growing at an estimated </w:t>
      </w:r>
      <w:r w:rsidR="007506DD" w:rsidRPr="007506DD">
        <w:rPr>
          <w:rFonts w:cs="Times New Roman"/>
          <w:szCs w:val="22"/>
        </w:rPr>
        <w:t>2</w:t>
      </w:r>
      <w:r w:rsidR="003637B0">
        <w:rPr>
          <w:rFonts w:cs="Times New Roman"/>
          <w:szCs w:val="22"/>
        </w:rPr>
        <w:t>.7</w:t>
      </w:r>
      <w:r w:rsidRPr="007506DD">
        <w:rPr>
          <w:rFonts w:cs="Times New Roman"/>
          <w:szCs w:val="22"/>
        </w:rPr>
        <w:t>% per annum</w:t>
      </w:r>
      <w:r w:rsidRPr="001A6FC2">
        <w:rPr>
          <w:rFonts w:cs="Times New Roman"/>
          <w:szCs w:val="22"/>
        </w:rPr>
        <w:t xml:space="preserve">. New sales including portable refrigerators </w:t>
      </w:r>
      <w:r w:rsidR="0079524E">
        <w:rPr>
          <w:rFonts w:cs="Times New Roman"/>
          <w:szCs w:val="22"/>
        </w:rPr>
        <w:t>are</w:t>
      </w:r>
      <w:r w:rsidR="0079524E" w:rsidRPr="001A6FC2">
        <w:rPr>
          <w:rFonts w:cs="Times New Roman"/>
          <w:szCs w:val="22"/>
        </w:rPr>
        <w:t xml:space="preserve"> </w:t>
      </w:r>
      <w:r w:rsidRPr="001A6FC2">
        <w:rPr>
          <w:rFonts w:cs="Times New Roman"/>
          <w:szCs w:val="22"/>
        </w:rPr>
        <w:t xml:space="preserve">estimated at </w:t>
      </w:r>
      <w:r w:rsidRPr="003637B0">
        <w:rPr>
          <w:rFonts w:cs="Times New Roman"/>
          <w:szCs w:val="22"/>
        </w:rPr>
        <w:t xml:space="preserve">around </w:t>
      </w:r>
      <w:r w:rsidR="003637B0" w:rsidRPr="003637B0">
        <w:rPr>
          <w:rFonts w:cs="Times New Roman"/>
          <w:szCs w:val="22"/>
        </w:rPr>
        <w:t>1.4</w:t>
      </w:r>
      <w:r w:rsidRPr="001A6FC2">
        <w:rPr>
          <w:rFonts w:cs="Times New Roman"/>
          <w:szCs w:val="22"/>
        </w:rPr>
        <w:t xml:space="preserve"> million units in 2013, outstripping annual retirements of old and broken down equipment in that year by around </w:t>
      </w:r>
      <w:r w:rsidRPr="00B44793">
        <w:rPr>
          <w:rFonts w:cs="Times New Roman"/>
          <w:szCs w:val="22"/>
        </w:rPr>
        <w:t>475,000 units.</w:t>
      </w:r>
      <w:r w:rsidRPr="001A6FC2">
        <w:rPr>
          <w:rFonts w:cs="Times New Roman"/>
          <w:szCs w:val="22"/>
        </w:rPr>
        <w:t xml:space="preserve"> The average life of domestic refrigerators-freezers ranges from 9 to 20 years and the stock is modelled based on an average of 15 years for refrigerators and 17 years for freezers with a standard deviation of 2 years.</w:t>
      </w:r>
    </w:p>
    <w:p w:rsidR="001A6FC2" w:rsidRPr="001A6FC2" w:rsidRDefault="001A6FC2" w:rsidP="001A6FC2">
      <w:pPr>
        <w:rPr>
          <w:rFonts w:cs="Times New Roman"/>
          <w:szCs w:val="22"/>
        </w:rPr>
      </w:pPr>
      <w:r w:rsidRPr="001A6FC2">
        <w:rPr>
          <w:rFonts w:cs="Times New Roman"/>
          <w:szCs w:val="22"/>
        </w:rPr>
        <w:t>A typical product contains a factory-assembled, hermetically sealed, vapour-compression refrigeration system with refrigerant charges ranging from less than 50 g</w:t>
      </w:r>
      <w:r w:rsidR="00436D19">
        <w:rPr>
          <w:rFonts w:cs="Times New Roman"/>
          <w:szCs w:val="22"/>
        </w:rPr>
        <w:t>rams</w:t>
      </w:r>
      <w:r w:rsidRPr="001A6FC2">
        <w:rPr>
          <w:rFonts w:cs="Times New Roman"/>
          <w:szCs w:val="22"/>
        </w:rPr>
        <w:t xml:space="preserve"> to more than 250 g</w:t>
      </w:r>
      <w:r w:rsidR="00436D19">
        <w:rPr>
          <w:rFonts w:cs="Times New Roman"/>
          <w:szCs w:val="22"/>
        </w:rPr>
        <w:t>rams</w:t>
      </w:r>
      <w:r w:rsidRPr="001A6FC2">
        <w:rPr>
          <w:rFonts w:cs="Times New Roman"/>
          <w:szCs w:val="22"/>
        </w:rPr>
        <w:t xml:space="preserve">. Typical storage volumes can range from 20 litre portable refrigerators to large 850 litre units with ice and beverage dispensing features. The average size of the domestic fridge-freezer is increasing, however machines with beverage dispensing capability only represent a </w:t>
      </w:r>
      <w:r>
        <w:rPr>
          <w:rFonts w:cs="Times New Roman"/>
          <w:szCs w:val="22"/>
        </w:rPr>
        <w:t xml:space="preserve">relatively </w:t>
      </w:r>
      <w:r w:rsidRPr="001A6FC2">
        <w:rPr>
          <w:rFonts w:cs="Times New Roman"/>
          <w:szCs w:val="22"/>
        </w:rPr>
        <w:t xml:space="preserve">small fraction of existing stock. </w:t>
      </w:r>
    </w:p>
    <w:p w:rsidR="001A6FC2" w:rsidRPr="001A6FC2" w:rsidRDefault="001A6FC2" w:rsidP="001A6FC2">
      <w:pPr>
        <w:rPr>
          <w:rFonts w:cs="Times New Roman"/>
          <w:szCs w:val="22"/>
        </w:rPr>
      </w:pPr>
      <w:r w:rsidRPr="001A6FC2">
        <w:rPr>
          <w:rFonts w:cs="Times New Roman"/>
          <w:szCs w:val="22"/>
        </w:rPr>
        <w:t>Portable systems and passenger vehicle refrigerators include 240VAC/12VDC chest style fridge-freezers through to freestanding upright products suitable for caravans, camper trailers, motor homes, boats, buses, four wheel drives, etc. More than 100,000 portable and passenger vehicle refrigerators are imported each year; major suppliers include Dometic Group (Waeco brand) and Engle Australia. Evercool, Norcoast and OzeFridge manufacture small quantities of portable 12V refrigerators in Australia.</w:t>
      </w:r>
      <w:r w:rsidR="0042439C">
        <w:rPr>
          <w:rFonts w:cs="Times New Roman"/>
          <w:szCs w:val="22"/>
        </w:rPr>
        <w:t xml:space="preserve"> There is in the order of 550,000 of portable devices in the economy.</w:t>
      </w:r>
    </w:p>
    <w:p w:rsidR="001A6FC2" w:rsidRPr="001A6FC2" w:rsidRDefault="001A6FC2" w:rsidP="001A6FC2">
      <w:pPr>
        <w:rPr>
          <w:rFonts w:cs="Times New Roman"/>
          <w:szCs w:val="22"/>
        </w:rPr>
      </w:pPr>
      <w:r w:rsidRPr="001A6FC2">
        <w:rPr>
          <w:rFonts w:cs="Times New Roman"/>
          <w:szCs w:val="22"/>
        </w:rPr>
        <w:t xml:space="preserve">Consumption of bulk HFC-134a from the only remaining Australian refrigerator manufacturer, Electrolux Appliances based in Orange NSW, has declined from 50 to 60 tonnes per annum five years ago to virtual zero as the conversion to HC-600a of all major product lines was finalised in 2013. </w:t>
      </w:r>
    </w:p>
    <w:p w:rsidR="001A6FC2" w:rsidRPr="001A6FC2" w:rsidRDefault="001A6FC2" w:rsidP="001A6FC2">
      <w:pPr>
        <w:rPr>
          <w:rFonts w:cs="Times New Roman"/>
          <w:szCs w:val="22"/>
        </w:rPr>
      </w:pPr>
      <w:r w:rsidRPr="001A6FC2">
        <w:rPr>
          <w:rFonts w:cs="Times New Roman"/>
          <w:szCs w:val="22"/>
        </w:rPr>
        <w:t>Electrolux has recently (January 2014) announced its intention to close down its manufacturing in 2016. As a result, given the fact that it is unlikely any new refrigeration manufacturer is likely to establish operations in Australia before that time, or in the foreseeable future, Australia is likely to be entirely dependent on imports of all domestic refrigeration systems from that time onwards.</w:t>
      </w:r>
    </w:p>
    <w:p w:rsidR="00A7211F" w:rsidRPr="00875C28" w:rsidRDefault="00A7211F" w:rsidP="007506DD">
      <w:pPr>
        <w:spacing w:before="240"/>
        <w:rPr>
          <w:rFonts w:cs="Times New Roman"/>
          <w:b/>
          <w:szCs w:val="22"/>
        </w:rPr>
      </w:pPr>
      <w:r w:rsidRPr="00875C28">
        <w:rPr>
          <w:rFonts w:cs="Times New Roman"/>
          <w:b/>
          <w:szCs w:val="22"/>
        </w:rPr>
        <w:t>Lower and no GWP alternatives and barriers to transition</w:t>
      </w:r>
    </w:p>
    <w:p w:rsidR="001A6FC2" w:rsidRDefault="001A6FC2" w:rsidP="007506DD">
      <w:pPr>
        <w:rPr>
          <w:rFonts w:cs="Times New Roman"/>
          <w:szCs w:val="22"/>
        </w:rPr>
      </w:pPr>
      <w:r w:rsidRPr="00875C28">
        <w:rPr>
          <w:rFonts w:cs="Times New Roman"/>
          <w:szCs w:val="22"/>
        </w:rPr>
        <w:t xml:space="preserve">There are presently no significant barriers to transition to low GWP working gases in this technology segment. </w:t>
      </w:r>
    </w:p>
    <w:p w:rsidR="001A6FC2" w:rsidRPr="00875C28" w:rsidRDefault="001A6FC2" w:rsidP="007506DD">
      <w:pPr>
        <w:rPr>
          <w:rFonts w:cs="Times New Roman"/>
          <w:b/>
          <w:szCs w:val="22"/>
        </w:rPr>
      </w:pPr>
      <w:r w:rsidRPr="00875C28">
        <w:rPr>
          <w:rFonts w:cs="Times New Roman"/>
          <w:szCs w:val="22"/>
        </w:rPr>
        <w:t xml:space="preserve">Widespread global adoption of HC-600a is the most likely outcome predicted at this time, as evidenced by the existence of more than 500 million domestic </w:t>
      </w:r>
      <w:r>
        <w:rPr>
          <w:rFonts w:cs="Times New Roman"/>
          <w:szCs w:val="22"/>
        </w:rPr>
        <w:t xml:space="preserve">refrigerators containing HC-600a </w:t>
      </w:r>
      <w:r w:rsidRPr="00875C28">
        <w:rPr>
          <w:rFonts w:cs="Times New Roman"/>
          <w:szCs w:val="22"/>
        </w:rPr>
        <w:t>in the global market to date (UNEP 2013c, p57)</w:t>
      </w:r>
      <w:r>
        <w:rPr>
          <w:rFonts w:cs="Times New Roman"/>
          <w:szCs w:val="22"/>
        </w:rPr>
        <w:t>.</w:t>
      </w:r>
    </w:p>
    <w:p w:rsidR="001A6FC2" w:rsidRPr="00784F17" w:rsidRDefault="001A6FC2" w:rsidP="00784F17">
      <w:pPr>
        <w:rPr>
          <w:rFonts w:cs="Times New Roman"/>
          <w:szCs w:val="22"/>
        </w:rPr>
      </w:pPr>
      <w:r w:rsidRPr="00784F17">
        <w:rPr>
          <w:rFonts w:cs="Times New Roman"/>
          <w:szCs w:val="22"/>
        </w:rPr>
        <w:t>More than 50% of current new global production of domestic refrigeration systems employs HC-600a, the remainder uses HFC-134a. Worldwide over 50 million appliances each year are being produced with HC-600a (UNEP 2013c, p58).</w:t>
      </w:r>
    </w:p>
    <w:p w:rsidR="001A6FC2" w:rsidRPr="00784F17" w:rsidRDefault="001A6FC2" w:rsidP="00784F17">
      <w:pPr>
        <w:rPr>
          <w:rFonts w:cs="Times New Roman"/>
          <w:szCs w:val="22"/>
        </w:rPr>
      </w:pPr>
      <w:r w:rsidRPr="00784F17">
        <w:rPr>
          <w:rFonts w:cs="Times New Roman"/>
          <w:szCs w:val="22"/>
        </w:rPr>
        <w:t>HC-600a continues to be effectively the only commercial alternative to HFC-134a. Concerns with the high flammability of HC-600a no longer exist for appliances with very low charges, and no new alternative has matured to become energy-efficient and cost-competitive.</w:t>
      </w:r>
    </w:p>
    <w:p w:rsidR="001A6FC2" w:rsidRPr="00875C28" w:rsidRDefault="001A6FC2" w:rsidP="00784F17">
      <w:r w:rsidRPr="00784F17">
        <w:rPr>
          <w:rFonts w:cs="Times New Roman"/>
          <w:szCs w:val="22"/>
        </w:rPr>
        <w:t>The transition in domestic refrigeration technology from HFC-134a to HC-600a began in</w:t>
      </w:r>
      <w:r w:rsidRPr="00875C28">
        <w:t xml:space="preserve"> Europe and Japan in the early 2000’s</w:t>
      </w:r>
      <w:r>
        <w:t>.</w:t>
      </w:r>
      <w:r w:rsidRPr="00875C28">
        <w:t xml:space="preserve"> </w:t>
      </w:r>
      <w:r>
        <w:t xml:space="preserve">As a result the </w:t>
      </w:r>
      <w:r w:rsidRPr="00875C28">
        <w:t xml:space="preserve">technology using HC-600a is quite mature (UNEP 2011d). </w:t>
      </w:r>
      <w:r>
        <w:t>T</w:t>
      </w:r>
      <w:r w:rsidRPr="00875C28">
        <w:t xml:space="preserve">his transition commenced in earnest in Australia in the course of the last </w:t>
      </w:r>
      <w:r>
        <w:t xml:space="preserve">three </w:t>
      </w:r>
      <w:r w:rsidRPr="00875C28">
        <w:t xml:space="preserve">to </w:t>
      </w:r>
      <w:r>
        <w:t>four</w:t>
      </w:r>
      <w:r w:rsidRPr="00875C28">
        <w:t xml:space="preserve"> years, and </w:t>
      </w:r>
      <w:r>
        <w:t xml:space="preserve">initially </w:t>
      </w:r>
      <w:r w:rsidRPr="00875C28">
        <w:t>with premium models and chest freezers.</w:t>
      </w:r>
    </w:p>
    <w:p w:rsidR="001A6FC2" w:rsidRPr="00875C28" w:rsidRDefault="001A6FC2" w:rsidP="007506DD">
      <w:pPr>
        <w:rPr>
          <w:rFonts w:cs="Times New Roman"/>
          <w:szCs w:val="22"/>
        </w:rPr>
      </w:pPr>
      <w:r w:rsidRPr="00875C28">
        <w:rPr>
          <w:rFonts w:cs="Times New Roman"/>
          <w:szCs w:val="22"/>
        </w:rPr>
        <w:t>There are many obvious benefits in migrating from HFC-134a to HC-600a in domestic refrigeration equipment including:</w:t>
      </w:r>
    </w:p>
    <w:p w:rsidR="001A6FC2" w:rsidRPr="00875C28" w:rsidRDefault="001A6FC2" w:rsidP="00E97935">
      <w:pPr>
        <w:pStyle w:val="ColorfulShading-Accent31"/>
        <w:numPr>
          <w:ilvl w:val="0"/>
          <w:numId w:val="12"/>
        </w:numPr>
        <w:spacing w:before="120"/>
        <w:ind w:left="357" w:hanging="357"/>
        <w:contextualSpacing w:val="0"/>
        <w:jc w:val="both"/>
        <w:rPr>
          <w:rFonts w:ascii="Times New Roman" w:hAnsi="Times New Roman"/>
          <w:sz w:val="22"/>
          <w:szCs w:val="22"/>
        </w:rPr>
      </w:pPr>
      <w:r w:rsidRPr="00875C28">
        <w:rPr>
          <w:rFonts w:ascii="Times New Roman" w:hAnsi="Times New Roman"/>
          <w:sz w:val="22"/>
          <w:szCs w:val="22"/>
        </w:rPr>
        <w:t>Improvements in the energy efficiency of appliances charged with HC-600a in the order of 7</w:t>
      </w:r>
      <w:r w:rsidR="00CA55FB">
        <w:rPr>
          <w:rFonts w:ascii="Times New Roman" w:hAnsi="Times New Roman"/>
          <w:sz w:val="22"/>
          <w:szCs w:val="22"/>
        </w:rPr>
        <w:t>%</w:t>
      </w:r>
      <w:r w:rsidRPr="00875C28">
        <w:rPr>
          <w:rFonts w:ascii="Times New Roman" w:hAnsi="Times New Roman"/>
          <w:sz w:val="22"/>
          <w:szCs w:val="22"/>
        </w:rPr>
        <w:t> (an attribute that could assist in the long term programs to improve household energy efficiency in Australia);</w:t>
      </w:r>
      <w:r w:rsidRPr="00875C28">
        <w:rPr>
          <w:rStyle w:val="FootnoteReference"/>
          <w:rFonts w:ascii="Times New Roman" w:hAnsi="Times New Roman"/>
          <w:szCs w:val="22"/>
        </w:rPr>
        <w:footnoteReference w:id="9"/>
      </w:r>
    </w:p>
    <w:p w:rsidR="001A6FC2" w:rsidRDefault="001A6FC2" w:rsidP="00E97935">
      <w:pPr>
        <w:pStyle w:val="ColorfulShading-Accent31"/>
        <w:numPr>
          <w:ilvl w:val="0"/>
          <w:numId w:val="12"/>
        </w:numPr>
        <w:spacing w:before="120"/>
        <w:ind w:left="357" w:hanging="357"/>
        <w:contextualSpacing w:val="0"/>
        <w:jc w:val="both"/>
        <w:rPr>
          <w:rFonts w:ascii="Times New Roman" w:hAnsi="Times New Roman"/>
          <w:sz w:val="22"/>
          <w:szCs w:val="22"/>
        </w:rPr>
      </w:pPr>
      <w:r w:rsidRPr="00875C28">
        <w:rPr>
          <w:rFonts w:ascii="Times New Roman" w:hAnsi="Times New Roman"/>
          <w:sz w:val="22"/>
          <w:szCs w:val="22"/>
        </w:rPr>
        <w:t>Reduced refrigerant charge required for effective operation of the appliances (i.e. based on an equal molar basis, 100</w:t>
      </w:r>
      <w:r w:rsidR="00436D19">
        <w:rPr>
          <w:rFonts w:ascii="Times New Roman" w:hAnsi="Times New Roman"/>
          <w:sz w:val="22"/>
          <w:szCs w:val="22"/>
        </w:rPr>
        <w:t xml:space="preserve"> grams </w:t>
      </w:r>
      <w:r w:rsidRPr="00875C28">
        <w:rPr>
          <w:rFonts w:ascii="Times New Roman" w:hAnsi="Times New Roman"/>
          <w:sz w:val="22"/>
          <w:szCs w:val="22"/>
        </w:rPr>
        <w:t>of HFC-134a is required to do the equivalent work that just 57</w:t>
      </w:r>
      <w:r w:rsidR="00436D19">
        <w:rPr>
          <w:rFonts w:ascii="Times New Roman" w:hAnsi="Times New Roman"/>
          <w:sz w:val="22"/>
          <w:szCs w:val="22"/>
        </w:rPr>
        <w:t xml:space="preserve"> </w:t>
      </w:r>
      <w:r w:rsidRPr="00875C28">
        <w:rPr>
          <w:rFonts w:ascii="Times New Roman" w:hAnsi="Times New Roman"/>
          <w:sz w:val="22"/>
          <w:szCs w:val="22"/>
        </w:rPr>
        <w:t>g</w:t>
      </w:r>
      <w:r w:rsidR="00436D19">
        <w:rPr>
          <w:rFonts w:ascii="Times New Roman" w:hAnsi="Times New Roman"/>
          <w:sz w:val="22"/>
          <w:szCs w:val="22"/>
        </w:rPr>
        <w:t>rams</w:t>
      </w:r>
      <w:r w:rsidRPr="00875C28">
        <w:rPr>
          <w:rFonts w:ascii="Times New Roman" w:hAnsi="Times New Roman"/>
          <w:sz w:val="22"/>
          <w:szCs w:val="22"/>
        </w:rPr>
        <w:t xml:space="preserve"> of HC-600a can do);</w:t>
      </w:r>
    </w:p>
    <w:p w:rsidR="001A6FC2" w:rsidRPr="00875C28" w:rsidRDefault="001A6FC2" w:rsidP="00E97935">
      <w:pPr>
        <w:pStyle w:val="ColorfulShading-Accent31"/>
        <w:numPr>
          <w:ilvl w:val="0"/>
          <w:numId w:val="12"/>
        </w:numPr>
        <w:spacing w:before="120"/>
        <w:ind w:left="357" w:hanging="357"/>
        <w:contextualSpacing w:val="0"/>
        <w:jc w:val="both"/>
        <w:rPr>
          <w:rFonts w:ascii="Times New Roman" w:hAnsi="Times New Roman"/>
          <w:sz w:val="22"/>
          <w:szCs w:val="22"/>
        </w:rPr>
      </w:pPr>
      <w:r>
        <w:rPr>
          <w:rFonts w:ascii="Times New Roman" w:hAnsi="Times New Roman"/>
          <w:sz w:val="22"/>
          <w:szCs w:val="22"/>
        </w:rPr>
        <w:t>Re</w:t>
      </w:r>
      <w:r w:rsidRPr="00875C28">
        <w:rPr>
          <w:rFonts w:ascii="Times New Roman" w:hAnsi="Times New Roman"/>
          <w:sz w:val="22"/>
          <w:szCs w:val="22"/>
        </w:rPr>
        <w:t>duc</w:t>
      </w:r>
      <w:r>
        <w:rPr>
          <w:rFonts w:ascii="Times New Roman" w:hAnsi="Times New Roman"/>
          <w:sz w:val="22"/>
          <w:szCs w:val="22"/>
        </w:rPr>
        <w:t xml:space="preserve">tion in the </w:t>
      </w:r>
      <w:r w:rsidRPr="00875C28">
        <w:rPr>
          <w:rFonts w:ascii="Times New Roman" w:hAnsi="Times New Roman"/>
          <w:sz w:val="22"/>
          <w:szCs w:val="22"/>
        </w:rPr>
        <w:t xml:space="preserve">noise level of the </w:t>
      </w:r>
      <w:r>
        <w:rPr>
          <w:rFonts w:ascii="Times New Roman" w:hAnsi="Times New Roman"/>
          <w:sz w:val="22"/>
          <w:szCs w:val="22"/>
        </w:rPr>
        <w:t>appliance;</w:t>
      </w:r>
      <w:r w:rsidRPr="00875C28">
        <w:rPr>
          <w:rFonts w:ascii="Times New Roman" w:hAnsi="Times New Roman"/>
          <w:sz w:val="22"/>
          <w:szCs w:val="22"/>
        </w:rPr>
        <w:t xml:space="preserve"> and, </w:t>
      </w:r>
    </w:p>
    <w:p w:rsidR="001A6FC2" w:rsidRPr="004277AD" w:rsidRDefault="001A6FC2" w:rsidP="00E97935">
      <w:pPr>
        <w:pStyle w:val="ColorfulShading-Accent31"/>
        <w:numPr>
          <w:ilvl w:val="0"/>
          <w:numId w:val="12"/>
        </w:numPr>
        <w:spacing w:before="120"/>
        <w:ind w:left="357" w:hanging="357"/>
        <w:contextualSpacing w:val="0"/>
        <w:jc w:val="both"/>
        <w:rPr>
          <w:szCs w:val="22"/>
        </w:rPr>
      </w:pPr>
      <w:r w:rsidRPr="004277AD">
        <w:rPr>
          <w:rFonts w:ascii="Times New Roman" w:hAnsi="Times New Roman"/>
          <w:sz w:val="22"/>
          <w:szCs w:val="22"/>
        </w:rPr>
        <w:t>Eliminating the need for end of life recovery of residual charge (or loss to air) of the HFCs.</w:t>
      </w:r>
    </w:p>
    <w:p w:rsidR="001A6FC2" w:rsidRPr="00875C28" w:rsidRDefault="001A6FC2" w:rsidP="007506DD">
      <w:pPr>
        <w:rPr>
          <w:rFonts w:cs="Times New Roman"/>
          <w:szCs w:val="22"/>
        </w:rPr>
      </w:pPr>
      <w:r w:rsidRPr="00875C28">
        <w:rPr>
          <w:rFonts w:cs="Times New Roman"/>
          <w:szCs w:val="22"/>
          <w:lang w:val="en-US"/>
        </w:rPr>
        <w:t xml:space="preserve">According to a </w:t>
      </w:r>
      <w:r>
        <w:rPr>
          <w:rFonts w:cs="Times New Roman"/>
          <w:szCs w:val="22"/>
          <w:lang w:val="en-US"/>
        </w:rPr>
        <w:t xml:space="preserve">2011 </w:t>
      </w:r>
      <w:r w:rsidRPr="00875C28">
        <w:rPr>
          <w:rFonts w:cs="Times New Roman"/>
          <w:szCs w:val="22"/>
          <w:lang w:val="en-US"/>
        </w:rPr>
        <w:t>study for a review of the European Regulation on fluorinated greenhouse gases</w:t>
      </w:r>
      <w:r>
        <w:rPr>
          <w:rFonts w:cs="Times New Roman"/>
          <w:szCs w:val="22"/>
          <w:lang w:val="en-US"/>
        </w:rPr>
        <w:t xml:space="preserve"> </w:t>
      </w:r>
      <w:r w:rsidRPr="00875C28">
        <w:rPr>
          <w:rFonts w:cs="Times New Roman"/>
          <w:szCs w:val="22"/>
          <w:lang w:val="en-US"/>
        </w:rPr>
        <w:t>(</w:t>
      </w:r>
      <w:r>
        <w:rPr>
          <w:rFonts w:cs="Times New Roman"/>
          <w:szCs w:val="22"/>
          <w:lang w:val="en-US"/>
        </w:rPr>
        <w:t>EC 2011a</w:t>
      </w:r>
      <w:r w:rsidRPr="00875C28">
        <w:rPr>
          <w:rFonts w:cs="Times New Roman"/>
          <w:szCs w:val="22"/>
          <w:lang w:val="en-US"/>
        </w:rPr>
        <w:t>), the investment cost for domestic refrigeration HC-600a equipment is 1.7% higher than for HFC-134a</w:t>
      </w:r>
      <w:r w:rsidRPr="00875C28">
        <w:rPr>
          <w:rFonts w:cs="Times New Roman"/>
          <w:szCs w:val="22"/>
        </w:rPr>
        <w:t>,</w:t>
      </w:r>
      <w:r w:rsidRPr="00875C28">
        <w:rPr>
          <w:rFonts w:cs="Times New Roman"/>
          <w:szCs w:val="22"/>
          <w:lang w:val="en-US"/>
        </w:rPr>
        <w:t xml:space="preserve"> which in real terms represents less than $20 additional cost to an Australian imported product. This increased cost is basically </w:t>
      </w:r>
      <w:r w:rsidRPr="00875C28">
        <w:rPr>
          <w:rFonts w:cs="Times New Roman"/>
          <w:szCs w:val="22"/>
        </w:rPr>
        <w:t>due to the larger size of compressors and higher production cost related to the requirements for safety systems</w:t>
      </w:r>
      <w:r w:rsidRPr="00875C28">
        <w:rPr>
          <w:rFonts w:cs="Times New Roman"/>
          <w:szCs w:val="22"/>
          <w:lang w:val="en-US"/>
        </w:rPr>
        <w:t xml:space="preserve">. However annual running costs and lifetime cost of HC-600a equipment are lower, resulting in overall negative cost differential in </w:t>
      </w:r>
      <w:r>
        <w:rPr>
          <w:rFonts w:cs="Times New Roman"/>
          <w:szCs w:val="22"/>
          <w:lang w:val="en-US"/>
        </w:rPr>
        <w:t xml:space="preserve">the </w:t>
      </w:r>
      <w:r w:rsidRPr="00875C28">
        <w:rPr>
          <w:rFonts w:cs="Times New Roman"/>
          <w:szCs w:val="22"/>
          <w:lang w:val="en-US"/>
        </w:rPr>
        <w:t>case of HC-600a</w:t>
      </w:r>
      <w:r w:rsidRPr="00875C28">
        <w:rPr>
          <w:rFonts w:cs="Times New Roman"/>
          <w:szCs w:val="22"/>
        </w:rPr>
        <w:t xml:space="preserve"> (UNEP 2013c, p57, 9)</w:t>
      </w:r>
      <w:r>
        <w:rPr>
          <w:rFonts w:cs="Times New Roman"/>
          <w:szCs w:val="22"/>
        </w:rPr>
        <w:t>. With increasing economies of scale the additional production cost is likely to diminish.</w:t>
      </w:r>
    </w:p>
    <w:p w:rsidR="00A7211F" w:rsidRPr="00875C28" w:rsidRDefault="00436D19" w:rsidP="007506DD">
      <w:pPr>
        <w:rPr>
          <w:rFonts w:cs="Times New Roman"/>
          <w:szCs w:val="22"/>
        </w:rPr>
      </w:pPr>
      <w:r>
        <w:rPr>
          <w:rFonts w:cs="Times New Roman"/>
          <w:szCs w:val="22"/>
        </w:rPr>
        <w:t>It is feasible to use HFO</w:t>
      </w:r>
      <w:r w:rsidR="001A6FC2" w:rsidRPr="00875C28">
        <w:rPr>
          <w:rFonts w:cs="Times New Roman"/>
          <w:szCs w:val="22"/>
        </w:rPr>
        <w:t>-1234yf in domestic refrigerators and freezers</w:t>
      </w:r>
      <w:r w:rsidR="001A6FC2">
        <w:rPr>
          <w:rFonts w:cs="Times New Roman"/>
          <w:szCs w:val="22"/>
        </w:rPr>
        <w:t xml:space="preserve"> as it </w:t>
      </w:r>
      <w:r w:rsidR="001A6FC2" w:rsidRPr="00875C28">
        <w:rPr>
          <w:rFonts w:cs="Times New Roman"/>
          <w:szCs w:val="22"/>
        </w:rPr>
        <w:t>has demonstrated the potential for comparable efficiency to HFC-134a.</w:t>
      </w:r>
      <w:r w:rsidR="001A6FC2">
        <w:rPr>
          <w:rFonts w:cs="Times New Roman"/>
          <w:szCs w:val="22"/>
        </w:rPr>
        <w:t xml:space="preserve"> I</w:t>
      </w:r>
      <w:r w:rsidR="001A6FC2" w:rsidRPr="00875C28">
        <w:rPr>
          <w:rFonts w:cs="Times New Roman"/>
          <w:szCs w:val="22"/>
        </w:rPr>
        <w:t>nitial developments to asse</w:t>
      </w:r>
      <w:r>
        <w:rPr>
          <w:rFonts w:cs="Times New Roman"/>
          <w:szCs w:val="22"/>
        </w:rPr>
        <w:t>ss HFC-134a replacement with HFO</w:t>
      </w:r>
      <w:r w:rsidR="001A6FC2" w:rsidRPr="00875C28">
        <w:rPr>
          <w:rFonts w:cs="Times New Roman"/>
          <w:szCs w:val="22"/>
        </w:rPr>
        <w:t xml:space="preserve">-1234yf have begun, but are not being pursued as a high priority. </w:t>
      </w:r>
      <w:r w:rsidR="001A6FC2">
        <w:rPr>
          <w:rFonts w:cs="Times New Roman"/>
          <w:szCs w:val="22"/>
        </w:rPr>
        <w:t>CO</w:t>
      </w:r>
      <w:r w:rsidR="001A6FC2" w:rsidRPr="001A6FC2">
        <w:rPr>
          <w:rFonts w:cs="Times New Roman"/>
          <w:szCs w:val="22"/>
          <w:vertAlign w:val="subscript"/>
        </w:rPr>
        <w:t>2</w:t>
      </w:r>
      <w:r w:rsidR="001A6FC2">
        <w:rPr>
          <w:rFonts w:cs="Times New Roman"/>
          <w:szCs w:val="22"/>
        </w:rPr>
        <w:t xml:space="preserve"> (</w:t>
      </w:r>
      <w:r w:rsidR="001A6FC2" w:rsidRPr="00875C28">
        <w:rPr>
          <w:rFonts w:cs="Times New Roman"/>
          <w:szCs w:val="22"/>
        </w:rPr>
        <w:t>R744</w:t>
      </w:r>
      <w:r w:rsidR="001A6FC2">
        <w:rPr>
          <w:rFonts w:cs="Times New Roman"/>
          <w:szCs w:val="22"/>
        </w:rPr>
        <w:t>)</w:t>
      </w:r>
      <w:r w:rsidR="001A6FC2" w:rsidRPr="00875C28">
        <w:rPr>
          <w:rFonts w:cs="Times New Roman"/>
          <w:szCs w:val="22"/>
        </w:rPr>
        <w:t xml:space="preserve"> is also being evaluated, but its application implies additional costs (UNEP 2013c, p1)</w:t>
      </w:r>
      <w:r w:rsidR="001A6FC2">
        <w:rPr>
          <w:rFonts w:cs="Times New Roman"/>
          <w:szCs w:val="22"/>
        </w:rPr>
        <w:t>, and there is little environmental, commercial or technical reason for perusing this option.</w:t>
      </w:r>
    </w:p>
    <w:p w:rsidR="00A7211F" w:rsidRPr="00875C28" w:rsidRDefault="00A7211F" w:rsidP="001A6FC2">
      <w:pPr>
        <w:spacing w:before="240" w:after="120"/>
        <w:rPr>
          <w:rFonts w:cs="Times New Roman"/>
          <w:szCs w:val="22"/>
        </w:rPr>
      </w:pPr>
      <w:r w:rsidRPr="00875C28">
        <w:rPr>
          <w:rFonts w:cs="Times New Roman"/>
          <w:b/>
          <w:szCs w:val="22"/>
        </w:rPr>
        <w:t>Scope for Australian industry to transition</w:t>
      </w:r>
    </w:p>
    <w:p w:rsidR="001A6FC2" w:rsidRPr="001A6FC2" w:rsidRDefault="001A6FC2" w:rsidP="001A6FC2">
      <w:pPr>
        <w:rPr>
          <w:rFonts w:cs="Times New Roman"/>
          <w:szCs w:val="22"/>
        </w:rPr>
      </w:pPr>
      <w:r w:rsidRPr="001A6FC2">
        <w:rPr>
          <w:rFonts w:cs="Times New Roman"/>
          <w:szCs w:val="22"/>
        </w:rPr>
        <w:t>A quite rapid transition of domestic refrigeration equipment sold in Australia to HC-600a charged systems is already underway.</w:t>
      </w:r>
    </w:p>
    <w:p w:rsidR="001A6FC2" w:rsidRPr="001A6FC2" w:rsidRDefault="001A6FC2" w:rsidP="001A6FC2">
      <w:pPr>
        <w:rPr>
          <w:rFonts w:cs="Times New Roman"/>
          <w:szCs w:val="22"/>
        </w:rPr>
      </w:pPr>
      <w:r w:rsidRPr="001A6FC2">
        <w:rPr>
          <w:rFonts w:cs="Times New Roman"/>
          <w:szCs w:val="22"/>
        </w:rPr>
        <w:t xml:space="preserve">A small survey of 66 fridge-freezers on display of a large retail outlet was undertaken in 2010. At that time </w:t>
      </w:r>
      <w:r w:rsidR="00321FDA">
        <w:rPr>
          <w:rFonts w:cs="Times New Roman"/>
          <w:szCs w:val="22"/>
        </w:rPr>
        <w:t>51</w:t>
      </w:r>
      <w:r w:rsidRPr="001A6FC2">
        <w:rPr>
          <w:rFonts w:cs="Times New Roman"/>
          <w:szCs w:val="22"/>
        </w:rPr>
        <w:t xml:space="preserve"> products (76%) were found that contained HFC-134a (Fisher &amp; Paykel, Samsung, LG, Kelvinator and Westinghouse). </w:t>
      </w:r>
      <w:r w:rsidR="002E6AC8">
        <w:rPr>
          <w:rFonts w:cs="Times New Roman"/>
          <w:szCs w:val="22"/>
        </w:rPr>
        <w:t>1</w:t>
      </w:r>
      <w:r w:rsidR="00321FDA">
        <w:rPr>
          <w:rFonts w:cs="Times New Roman"/>
          <w:szCs w:val="22"/>
        </w:rPr>
        <w:t>5</w:t>
      </w:r>
      <w:r w:rsidR="00321FDA" w:rsidRPr="001A6FC2">
        <w:rPr>
          <w:rFonts w:cs="Times New Roman"/>
          <w:szCs w:val="22"/>
        </w:rPr>
        <w:t xml:space="preserve"> </w:t>
      </w:r>
      <w:r w:rsidRPr="001A6FC2">
        <w:rPr>
          <w:rFonts w:cs="Times New Roman"/>
          <w:szCs w:val="22"/>
        </w:rPr>
        <w:t xml:space="preserve">products (23%) contained HC-600a (Electrolux, Westinghouse, Hisense and some larger LG models). </w:t>
      </w:r>
    </w:p>
    <w:p w:rsidR="001A6FC2" w:rsidRPr="001A6FC2" w:rsidRDefault="001A6FC2" w:rsidP="001A6FC2">
      <w:pPr>
        <w:rPr>
          <w:rFonts w:cs="Times New Roman"/>
          <w:szCs w:val="22"/>
        </w:rPr>
      </w:pPr>
      <w:r w:rsidRPr="001A6FC2">
        <w:rPr>
          <w:rFonts w:cs="Times New Roman"/>
          <w:szCs w:val="22"/>
        </w:rPr>
        <w:t xml:space="preserve">This survey was repeated again in 2013 when 76 products were inspected </w:t>
      </w:r>
      <w:r w:rsidR="00BC2CC2">
        <w:rPr>
          <w:rFonts w:cs="Times New Roman"/>
          <w:szCs w:val="22"/>
        </w:rPr>
        <w:t>at</w:t>
      </w:r>
      <w:r w:rsidR="00BC2CC2" w:rsidRPr="001A6FC2">
        <w:rPr>
          <w:rFonts w:cs="Times New Roman"/>
          <w:szCs w:val="22"/>
        </w:rPr>
        <w:t xml:space="preserve"> </w:t>
      </w:r>
      <w:r w:rsidRPr="001A6FC2">
        <w:rPr>
          <w:rFonts w:cs="Times New Roman"/>
          <w:szCs w:val="22"/>
        </w:rPr>
        <w:t>which time only 35 products (46%) were charged with HFC-134a and 41 products (54%) were charged with HC-600a.</w:t>
      </w:r>
    </w:p>
    <w:p w:rsidR="001A6FC2" w:rsidRPr="001A6FC2" w:rsidRDefault="001A6FC2" w:rsidP="001A6FC2">
      <w:pPr>
        <w:rPr>
          <w:rFonts w:cs="Times New Roman"/>
          <w:szCs w:val="22"/>
        </w:rPr>
      </w:pPr>
      <w:r w:rsidRPr="001A6FC2">
        <w:rPr>
          <w:rFonts w:cs="Times New Roman"/>
          <w:szCs w:val="22"/>
        </w:rPr>
        <w:t xml:space="preserve">A January 2014 survey of 95 products has demonstrated how quickly the trend is progressing with only 28 products (30%) being charged with HFC-134a and the balance (67 products, 70%) being charged with HC-600a. </w:t>
      </w:r>
    </w:p>
    <w:p w:rsidR="00881B85" w:rsidRDefault="00881B85">
      <w:pPr>
        <w:spacing w:before="0"/>
        <w:jc w:val="left"/>
      </w:pPr>
    </w:p>
    <w:p w:rsidR="00A7211F" w:rsidRDefault="00A7211F" w:rsidP="00A7211F"/>
    <w:p w:rsidR="00881B85" w:rsidRDefault="00881B85" w:rsidP="00A7211F"/>
    <w:p w:rsidR="00881B85" w:rsidRDefault="00881B85" w:rsidP="00A7211F"/>
    <w:p w:rsidR="00881B85" w:rsidRDefault="00881B85">
      <w:pPr>
        <w:spacing w:before="0"/>
        <w:jc w:val="left"/>
      </w:pPr>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05"/>
      </w:tblGrid>
      <w:tr w:rsidR="00A7211F" w:rsidRPr="000532E0" w:rsidTr="007506DD">
        <w:tc>
          <w:tcPr>
            <w:tcW w:w="9605" w:type="dxa"/>
            <w:vAlign w:val="center"/>
          </w:tcPr>
          <w:p w:rsidR="00A7211F" w:rsidRPr="000532E0" w:rsidRDefault="00A7211F" w:rsidP="003C099D">
            <w:pPr>
              <w:spacing w:after="120"/>
              <w:jc w:val="center"/>
              <w:rPr>
                <w:rFonts w:cs="Times New Roman"/>
                <w:b/>
              </w:rPr>
            </w:pPr>
            <w:r w:rsidRPr="000532E0">
              <w:rPr>
                <w:rFonts w:cs="Times New Roman"/>
                <w:b/>
              </w:rPr>
              <w:br w:type="page"/>
              <w:t>Predicted transition of bank and consumption</w:t>
            </w:r>
            <w:r w:rsidR="00881B85">
              <w:rPr>
                <w:rFonts w:cs="Times New Roman"/>
                <w:b/>
              </w:rPr>
              <w:t xml:space="preserve"> (tonnes)</w:t>
            </w:r>
          </w:p>
        </w:tc>
      </w:tr>
      <w:tr w:rsidR="00A7211F" w:rsidRPr="00BD20BC" w:rsidTr="007506DD">
        <w:tc>
          <w:tcPr>
            <w:tcW w:w="9605" w:type="dxa"/>
            <w:vAlign w:val="center"/>
          </w:tcPr>
          <w:p w:rsidR="00A7211F" w:rsidRDefault="00A7211F" w:rsidP="00E16D5A">
            <w:pPr>
              <w:spacing w:before="0"/>
              <w:jc w:val="center"/>
              <w:rPr>
                <w:sz w:val="16"/>
                <w:szCs w:val="16"/>
              </w:rPr>
            </w:pPr>
          </w:p>
          <w:p w:rsidR="00E16D5A" w:rsidRDefault="001F2D12" w:rsidP="00E16D5A">
            <w:pPr>
              <w:spacing w:before="0"/>
              <w:jc w:val="center"/>
              <w:rPr>
                <w:sz w:val="16"/>
                <w:szCs w:val="16"/>
              </w:rPr>
            </w:pPr>
            <w:r>
              <w:rPr>
                <w:noProof/>
                <w:lang w:val="en-AU" w:eastAsia="en-AU"/>
              </w:rPr>
              <w:drawing>
                <wp:inline distT="0" distB="0" distL="0" distR="0">
                  <wp:extent cx="5941060" cy="2633133"/>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E16D5A" w:rsidRPr="00BD20BC" w:rsidRDefault="00E16D5A" w:rsidP="00E16D5A">
            <w:pPr>
              <w:spacing w:before="0"/>
              <w:jc w:val="center"/>
              <w:rPr>
                <w:sz w:val="16"/>
                <w:szCs w:val="16"/>
              </w:rPr>
            </w:pPr>
          </w:p>
        </w:tc>
      </w:tr>
      <w:tr w:rsidR="00A7211F" w:rsidRPr="00042727" w:rsidTr="007506DD">
        <w:tc>
          <w:tcPr>
            <w:tcW w:w="9605" w:type="dxa"/>
            <w:vAlign w:val="center"/>
          </w:tcPr>
          <w:p w:rsidR="00A7211F" w:rsidRPr="000532E0" w:rsidRDefault="008317A1" w:rsidP="008317A1">
            <w:pPr>
              <w:spacing w:before="60" w:after="60"/>
              <w:rPr>
                <w:rFonts w:cs="Times New Roman"/>
                <w:i/>
              </w:rPr>
            </w:pPr>
            <w:bookmarkStart w:id="48" w:name="_Toc257359984"/>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16</w:t>
            </w:r>
            <w:r w:rsidR="00B41499" w:rsidRPr="00F4221A">
              <w:rPr>
                <w:rFonts w:cs="Times New Roman"/>
                <w:i/>
                <w:sz w:val="20"/>
              </w:rPr>
              <w:fldChar w:fldCharType="end"/>
            </w:r>
            <w:r w:rsidRPr="00F4221A">
              <w:rPr>
                <w:rFonts w:cs="Times New Roman"/>
                <w:i/>
                <w:sz w:val="20"/>
              </w:rPr>
              <w:t>:</w:t>
            </w:r>
            <w:r w:rsidRPr="0045125B">
              <w:rPr>
                <w:i/>
                <w:sz w:val="20"/>
              </w:rPr>
              <w:t xml:space="preserve"> </w:t>
            </w:r>
            <w:r w:rsidR="00A7211F">
              <w:rPr>
                <w:rFonts w:cs="Times New Roman"/>
                <w:i/>
                <w:sz w:val="20"/>
              </w:rPr>
              <w:t xml:space="preserve">Domestic refrigeration - predicted bank </w:t>
            </w:r>
            <w:r w:rsidR="00881B85">
              <w:rPr>
                <w:rFonts w:cs="Times New Roman"/>
                <w:i/>
                <w:sz w:val="20"/>
              </w:rPr>
              <w:t xml:space="preserve">in tonnes </w:t>
            </w:r>
            <w:r w:rsidR="00A7211F">
              <w:rPr>
                <w:rFonts w:cs="Times New Roman"/>
                <w:i/>
                <w:sz w:val="20"/>
              </w:rPr>
              <w:t>by refrigerant type from 2013 to 2025.</w:t>
            </w:r>
            <w:bookmarkEnd w:id="48"/>
          </w:p>
        </w:tc>
      </w:tr>
      <w:tr w:rsidR="00A7211F" w:rsidRPr="00BD20BC" w:rsidTr="007506DD">
        <w:tc>
          <w:tcPr>
            <w:tcW w:w="9605" w:type="dxa"/>
            <w:vAlign w:val="center"/>
          </w:tcPr>
          <w:p w:rsidR="00E16D5A" w:rsidRDefault="00E16D5A" w:rsidP="00E16D5A">
            <w:pPr>
              <w:spacing w:before="0"/>
              <w:jc w:val="center"/>
              <w:rPr>
                <w:sz w:val="16"/>
                <w:szCs w:val="16"/>
              </w:rPr>
            </w:pPr>
          </w:p>
          <w:p w:rsidR="00A7211F" w:rsidRDefault="001F2D12" w:rsidP="00E16D5A">
            <w:pPr>
              <w:spacing w:before="0"/>
              <w:jc w:val="center"/>
              <w:rPr>
                <w:sz w:val="16"/>
                <w:szCs w:val="16"/>
              </w:rPr>
            </w:pPr>
            <w:r>
              <w:rPr>
                <w:noProof/>
                <w:lang w:val="en-AU" w:eastAsia="en-AU"/>
              </w:rPr>
              <w:drawing>
                <wp:inline distT="0" distB="0" distL="0" distR="0">
                  <wp:extent cx="5864860" cy="2734733"/>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E16D5A" w:rsidRPr="00BD20BC" w:rsidRDefault="00E16D5A" w:rsidP="00E16D5A">
            <w:pPr>
              <w:spacing w:before="0"/>
              <w:jc w:val="center"/>
              <w:rPr>
                <w:sz w:val="16"/>
                <w:szCs w:val="16"/>
              </w:rPr>
            </w:pPr>
          </w:p>
        </w:tc>
      </w:tr>
      <w:tr w:rsidR="00A7211F" w:rsidRPr="00923150" w:rsidTr="007506DD">
        <w:tc>
          <w:tcPr>
            <w:tcW w:w="9605" w:type="dxa"/>
            <w:vAlign w:val="center"/>
          </w:tcPr>
          <w:p w:rsidR="00A7211F" w:rsidRPr="005D159D" w:rsidRDefault="008317A1" w:rsidP="008317A1">
            <w:pPr>
              <w:spacing w:before="60" w:after="60"/>
              <w:rPr>
                <w:i/>
              </w:rPr>
            </w:pPr>
            <w:bookmarkStart w:id="49" w:name="_Toc257359985"/>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17</w:t>
            </w:r>
            <w:r w:rsidR="00B41499" w:rsidRPr="00F4221A">
              <w:rPr>
                <w:rFonts w:cs="Times New Roman"/>
                <w:i/>
                <w:sz w:val="20"/>
              </w:rPr>
              <w:fldChar w:fldCharType="end"/>
            </w:r>
            <w:r w:rsidRPr="00F4221A">
              <w:rPr>
                <w:rFonts w:cs="Times New Roman"/>
                <w:i/>
                <w:sz w:val="20"/>
              </w:rPr>
              <w:t>:</w:t>
            </w:r>
            <w:r w:rsidRPr="0045125B">
              <w:rPr>
                <w:i/>
                <w:sz w:val="20"/>
              </w:rPr>
              <w:t xml:space="preserve"> </w:t>
            </w:r>
            <w:r w:rsidR="00A7211F">
              <w:rPr>
                <w:rFonts w:cs="Times New Roman"/>
                <w:i/>
                <w:sz w:val="20"/>
              </w:rPr>
              <w:t xml:space="preserve">Domestic refrigeration - predicted consumption </w:t>
            </w:r>
            <w:r w:rsidR="00881B85">
              <w:rPr>
                <w:rFonts w:cs="Times New Roman"/>
                <w:i/>
                <w:sz w:val="20"/>
              </w:rPr>
              <w:t xml:space="preserve">in tonnes </w:t>
            </w:r>
            <w:r w:rsidR="00A7211F">
              <w:rPr>
                <w:rFonts w:cs="Times New Roman"/>
                <w:i/>
                <w:sz w:val="20"/>
              </w:rPr>
              <w:t>by refrigerant type from 2013 to 2025.</w:t>
            </w:r>
            <w:bookmarkEnd w:id="49"/>
          </w:p>
        </w:tc>
      </w:tr>
    </w:tbl>
    <w:p w:rsidR="00881B85" w:rsidRDefault="00881B85" w:rsidP="007506DD">
      <w:pPr>
        <w:spacing w:after="120"/>
        <w:rPr>
          <w:rFonts w:cs="Times New Roman"/>
          <w:szCs w:val="22"/>
        </w:rPr>
      </w:pPr>
    </w:p>
    <w:p w:rsidR="00881B85" w:rsidRDefault="00881B85">
      <w:pPr>
        <w:spacing w:before="0"/>
        <w:jc w:val="left"/>
        <w:rPr>
          <w:rFonts w:cs="Times New Roman"/>
          <w:szCs w:val="22"/>
        </w:rPr>
      </w:pPr>
      <w:r>
        <w:rPr>
          <w:rFonts w:cs="Times New Roman"/>
          <w:szCs w:val="22"/>
        </w:rPr>
        <w:br w:type="page"/>
      </w:r>
    </w:p>
    <w:p w:rsidR="007506DD" w:rsidRPr="007506DD" w:rsidRDefault="007506DD" w:rsidP="007506DD">
      <w:pPr>
        <w:spacing w:after="120"/>
        <w:rPr>
          <w:rFonts w:cs="Times New Roman"/>
          <w:szCs w:val="22"/>
        </w:rPr>
      </w:pPr>
      <w:r w:rsidRPr="007506DD">
        <w:rPr>
          <w:rFonts w:cs="Times New Roman"/>
          <w:szCs w:val="22"/>
        </w:rPr>
        <w:t xml:space="preserve">The transition </w:t>
      </w:r>
      <w:r w:rsidR="00F86D39">
        <w:rPr>
          <w:rFonts w:cs="Times New Roman"/>
          <w:szCs w:val="22"/>
        </w:rPr>
        <w:t xml:space="preserve">model </w:t>
      </w:r>
      <w:r w:rsidR="009D0F1D">
        <w:rPr>
          <w:rFonts w:cs="Times New Roman"/>
          <w:szCs w:val="22"/>
        </w:rPr>
        <w:t xml:space="preserve">predicts </w:t>
      </w:r>
      <w:r w:rsidRPr="007506DD">
        <w:rPr>
          <w:rFonts w:cs="Times New Roman"/>
          <w:szCs w:val="22"/>
        </w:rPr>
        <w:t xml:space="preserve">that by 2025 all domestic refrigerators will be charged with gases with a GWP &lt;10. It is likely that the last new refrigerators charged with HFC-134a will be imported and sold by 2021 by which time there will be more than 20.6 million devices in total, with 48% of them carrying a charge of HFC-134a. </w:t>
      </w:r>
    </w:p>
    <w:p w:rsidR="007506DD" w:rsidRPr="007506DD" w:rsidRDefault="007506DD" w:rsidP="007506DD">
      <w:pPr>
        <w:spacing w:after="120"/>
        <w:rPr>
          <w:rFonts w:cs="Times New Roman"/>
          <w:szCs w:val="22"/>
        </w:rPr>
      </w:pPr>
      <w:r w:rsidRPr="007506DD">
        <w:rPr>
          <w:rFonts w:cs="Times New Roman"/>
          <w:szCs w:val="22"/>
        </w:rPr>
        <w:t xml:space="preserve">While the entire stock of appliances will take some 15 to 20 years to reach end of life the total demand from this stock for bulk imports is expected to only be in the vicinity of 16 tonnes per annum at the time the last devices </w:t>
      </w:r>
      <w:r w:rsidR="0079524E">
        <w:rPr>
          <w:rFonts w:cs="Times New Roman"/>
          <w:szCs w:val="22"/>
        </w:rPr>
        <w:t>are</w:t>
      </w:r>
      <w:r w:rsidR="0079524E" w:rsidRPr="007506DD">
        <w:rPr>
          <w:rFonts w:cs="Times New Roman"/>
          <w:szCs w:val="22"/>
        </w:rPr>
        <w:t xml:space="preserve"> </w:t>
      </w:r>
      <w:r w:rsidRPr="007506DD">
        <w:rPr>
          <w:rFonts w:cs="Times New Roman"/>
          <w:szCs w:val="22"/>
        </w:rPr>
        <w:t xml:space="preserve">sold, and declining steadily from that point, as domestic refrigerators have a very limited service requirement. </w:t>
      </w:r>
    </w:p>
    <w:p w:rsidR="00A7211F" w:rsidRDefault="007506DD" w:rsidP="00A7211F">
      <w:pPr>
        <w:spacing w:after="120"/>
        <w:rPr>
          <w:rFonts w:cs="Times New Roman"/>
          <w:szCs w:val="22"/>
        </w:rPr>
      </w:pPr>
      <w:r w:rsidRPr="007506DD">
        <w:rPr>
          <w:rFonts w:cs="Times New Roman"/>
          <w:szCs w:val="22"/>
        </w:rPr>
        <w:t>The effect of this now apparently inevitable migration of the entire stock of domestic refrigeration would be to remove at least that amount (16 tonnes) from annual bulk import demand between now and 2025. Although any concerted HFC-134a recovery program of any part of the HFC-134a contained in end of life domestic appliances every year could conceivably reduce demand even further if the gas recovered is able to be recycled back into the market. The transition model predicts that more than 10 million domestic refrigerators charged with a total of more than 1,500 tonnes of HFC-134a, will reach end of life between 2013 and 2025.</w:t>
      </w:r>
    </w:p>
    <w:p w:rsidR="00A7211F" w:rsidRPr="002755E8" w:rsidRDefault="00A7211F" w:rsidP="00EF0A81">
      <w:pPr>
        <w:spacing w:before="240"/>
        <w:rPr>
          <w:rFonts w:cs="Times New Roman"/>
          <w:b/>
          <w:szCs w:val="22"/>
        </w:rPr>
      </w:pPr>
      <w:r w:rsidRPr="002755E8">
        <w:rPr>
          <w:rFonts w:cs="Times New Roman"/>
          <w:b/>
          <w:szCs w:val="22"/>
        </w:rPr>
        <w:t>Assumptions of modelling and level of confidence</w:t>
      </w:r>
    </w:p>
    <w:p w:rsidR="007506DD" w:rsidRDefault="003637B0" w:rsidP="00E97935">
      <w:pPr>
        <w:pStyle w:val="ColorfulShading-Accent31"/>
        <w:numPr>
          <w:ilvl w:val="0"/>
          <w:numId w:val="12"/>
        </w:numPr>
        <w:spacing w:before="120"/>
        <w:ind w:left="357" w:hanging="357"/>
        <w:contextualSpacing w:val="0"/>
        <w:jc w:val="both"/>
        <w:rPr>
          <w:rFonts w:ascii="Times New Roman" w:hAnsi="Times New Roman"/>
          <w:sz w:val="22"/>
          <w:szCs w:val="22"/>
        </w:rPr>
      </w:pPr>
      <w:r>
        <w:rPr>
          <w:rFonts w:ascii="Times New Roman" w:hAnsi="Times New Roman"/>
          <w:sz w:val="22"/>
          <w:szCs w:val="22"/>
        </w:rPr>
        <w:t>Sales g</w:t>
      </w:r>
      <w:r w:rsidR="007506DD" w:rsidRPr="002755E8">
        <w:rPr>
          <w:rFonts w:ascii="Times New Roman" w:hAnsi="Times New Roman"/>
          <w:sz w:val="22"/>
          <w:szCs w:val="22"/>
        </w:rPr>
        <w:t>rowth rate of domestic refrigerators and freezers post 2010 through to 2025 is 1.5% per annum.</w:t>
      </w:r>
    </w:p>
    <w:p w:rsidR="007506DD" w:rsidRPr="002755E8" w:rsidRDefault="007506DD" w:rsidP="00E97935">
      <w:pPr>
        <w:pStyle w:val="ColorfulShading-Accent31"/>
        <w:numPr>
          <w:ilvl w:val="0"/>
          <w:numId w:val="12"/>
        </w:numPr>
        <w:spacing w:before="120"/>
        <w:ind w:left="357" w:hanging="357"/>
        <w:contextualSpacing w:val="0"/>
        <w:jc w:val="both"/>
        <w:rPr>
          <w:rFonts w:ascii="Times New Roman" w:hAnsi="Times New Roman"/>
          <w:sz w:val="22"/>
          <w:szCs w:val="22"/>
        </w:rPr>
      </w:pPr>
      <w:r w:rsidRPr="002755E8">
        <w:rPr>
          <w:rFonts w:ascii="Times New Roman" w:hAnsi="Times New Roman"/>
          <w:sz w:val="22"/>
          <w:szCs w:val="22"/>
        </w:rPr>
        <w:t xml:space="preserve">Last OEM </w:t>
      </w:r>
      <w:r w:rsidR="00EF0A81">
        <w:rPr>
          <w:rFonts w:ascii="Times New Roman" w:hAnsi="Times New Roman"/>
          <w:sz w:val="22"/>
          <w:szCs w:val="22"/>
        </w:rPr>
        <w:t xml:space="preserve">is </w:t>
      </w:r>
      <w:r w:rsidRPr="002755E8">
        <w:rPr>
          <w:rFonts w:ascii="Times New Roman" w:hAnsi="Times New Roman"/>
          <w:sz w:val="22"/>
          <w:szCs w:val="22"/>
        </w:rPr>
        <w:t>scheduled to close operations in 2016.</w:t>
      </w:r>
    </w:p>
    <w:p w:rsidR="007506DD" w:rsidRDefault="007506DD" w:rsidP="00E97935">
      <w:pPr>
        <w:pStyle w:val="ColorfulShading-Accent31"/>
        <w:numPr>
          <w:ilvl w:val="0"/>
          <w:numId w:val="12"/>
        </w:numPr>
        <w:spacing w:before="120"/>
        <w:ind w:left="357" w:hanging="357"/>
        <w:contextualSpacing w:val="0"/>
        <w:jc w:val="both"/>
        <w:rPr>
          <w:rFonts w:ascii="Times New Roman" w:hAnsi="Times New Roman"/>
          <w:sz w:val="22"/>
          <w:szCs w:val="22"/>
        </w:rPr>
      </w:pPr>
      <w:r w:rsidRPr="002755E8">
        <w:rPr>
          <w:rFonts w:ascii="Times New Roman" w:hAnsi="Times New Roman"/>
          <w:sz w:val="22"/>
          <w:szCs w:val="22"/>
        </w:rPr>
        <w:t>The average charge remains constant at 150 g</w:t>
      </w:r>
      <w:r w:rsidR="00EF0A81">
        <w:rPr>
          <w:rFonts w:ascii="Times New Roman" w:hAnsi="Times New Roman"/>
          <w:sz w:val="22"/>
          <w:szCs w:val="22"/>
        </w:rPr>
        <w:t>rams</w:t>
      </w:r>
      <w:r w:rsidRPr="002755E8">
        <w:rPr>
          <w:rFonts w:ascii="Times New Roman" w:hAnsi="Times New Roman"/>
          <w:sz w:val="22"/>
          <w:szCs w:val="22"/>
        </w:rPr>
        <w:t xml:space="preserve">, which relates to the amount of high GWP refrigerant that will be displaced, not the actual charge of HC-600a which can be up to 50% less. </w:t>
      </w:r>
    </w:p>
    <w:p w:rsidR="007506DD" w:rsidRDefault="007506DD" w:rsidP="00E97935">
      <w:pPr>
        <w:pStyle w:val="ColorfulShading-Accent31"/>
        <w:numPr>
          <w:ilvl w:val="0"/>
          <w:numId w:val="12"/>
        </w:numPr>
        <w:spacing w:before="120"/>
        <w:ind w:left="357" w:hanging="357"/>
        <w:contextualSpacing w:val="0"/>
        <w:jc w:val="both"/>
        <w:rPr>
          <w:rFonts w:ascii="Times New Roman" w:hAnsi="Times New Roman"/>
          <w:sz w:val="22"/>
          <w:szCs w:val="22"/>
        </w:rPr>
      </w:pPr>
      <w:r w:rsidRPr="002755E8">
        <w:rPr>
          <w:rFonts w:ascii="Times New Roman" w:hAnsi="Times New Roman"/>
          <w:sz w:val="22"/>
          <w:szCs w:val="22"/>
        </w:rPr>
        <w:t>The average leak rate remains constant at 1% per annum from 2013 to 2025.</w:t>
      </w:r>
    </w:p>
    <w:p w:rsidR="007506DD" w:rsidRDefault="007506DD" w:rsidP="00E97935">
      <w:pPr>
        <w:pStyle w:val="ListParagraph"/>
        <w:numPr>
          <w:ilvl w:val="0"/>
          <w:numId w:val="12"/>
        </w:numPr>
        <w:spacing w:before="120" w:after="0" w:line="240" w:lineRule="auto"/>
        <w:contextualSpacing w:val="0"/>
        <w:jc w:val="both"/>
        <w:rPr>
          <w:rFonts w:ascii="Times New Roman" w:hAnsi="Times New Roman"/>
        </w:rPr>
      </w:pPr>
      <w:r w:rsidRPr="000A3B35">
        <w:rPr>
          <w:rFonts w:ascii="Times New Roman" w:hAnsi="Times New Roman"/>
        </w:rPr>
        <w:t>The transition will be complete by 202</w:t>
      </w:r>
      <w:r>
        <w:rPr>
          <w:rFonts w:ascii="Times New Roman" w:hAnsi="Times New Roman"/>
        </w:rPr>
        <w:t>1</w:t>
      </w:r>
      <w:r w:rsidRPr="000A3B35">
        <w:rPr>
          <w:rFonts w:ascii="Times New Roman" w:hAnsi="Times New Roman"/>
        </w:rPr>
        <w:t xml:space="preserve">, and possibly </w:t>
      </w:r>
      <w:r w:rsidR="00F86D39">
        <w:rPr>
          <w:rFonts w:ascii="Times New Roman" w:hAnsi="Times New Roman"/>
        </w:rPr>
        <w:t>earlier</w:t>
      </w:r>
      <w:r w:rsidR="00171878">
        <w:rPr>
          <w:rFonts w:ascii="Times New Roman" w:hAnsi="Times New Roman"/>
        </w:rPr>
        <w:t>,</w:t>
      </w:r>
      <w:r w:rsidRPr="000A3B35">
        <w:rPr>
          <w:rFonts w:ascii="Times New Roman" w:hAnsi="Times New Roman"/>
        </w:rPr>
        <w:t xml:space="preserve"> depending on the rate of the global transition or import restriction measures imposed by Australia.</w:t>
      </w:r>
    </w:p>
    <w:p w:rsidR="00EF0A81" w:rsidRPr="00EF0A81" w:rsidRDefault="00EF0A81" w:rsidP="00EF0A81"/>
    <w:p w:rsidR="00A7211F" w:rsidRPr="004277AD" w:rsidRDefault="008763B4" w:rsidP="00A7211F">
      <w:pPr>
        <w:pStyle w:val="ColorfulShading-Accent31"/>
        <w:spacing w:before="120"/>
        <w:ind w:left="0"/>
        <w:contextualSpacing w:val="0"/>
        <w:jc w:val="both"/>
        <w:rPr>
          <w:rFonts w:ascii="Times New Roman" w:hAnsi="Times New Roman"/>
          <w:i/>
          <w:sz w:val="22"/>
          <w:szCs w:val="22"/>
        </w:rPr>
      </w:pPr>
      <w:bookmarkStart w:id="50" w:name="_Toc257360009"/>
      <w:r w:rsidRPr="008763B4">
        <w:rPr>
          <w:rFonts w:ascii="Times New Roman" w:hAnsi="Times New Roman"/>
          <w:i/>
          <w:sz w:val="22"/>
          <w:szCs w:val="22"/>
        </w:rPr>
        <w:t xml:space="preserve">Table </w:t>
      </w:r>
      <w:r w:rsidR="00B41499" w:rsidRPr="008763B4">
        <w:rPr>
          <w:rFonts w:ascii="Times New Roman" w:hAnsi="Times New Roman"/>
          <w:i/>
          <w:sz w:val="22"/>
          <w:szCs w:val="22"/>
        </w:rPr>
        <w:fldChar w:fldCharType="begin"/>
      </w:r>
      <w:r w:rsidRPr="008763B4">
        <w:rPr>
          <w:rFonts w:ascii="Times New Roman" w:hAnsi="Times New Roman"/>
          <w:i/>
          <w:sz w:val="22"/>
          <w:szCs w:val="22"/>
        </w:rPr>
        <w:instrText xml:space="preserve"> SEQ Table \* ARABIC </w:instrText>
      </w:r>
      <w:r w:rsidR="00B41499" w:rsidRPr="008763B4">
        <w:rPr>
          <w:rFonts w:ascii="Times New Roman" w:hAnsi="Times New Roman"/>
          <w:i/>
          <w:sz w:val="22"/>
          <w:szCs w:val="22"/>
        </w:rPr>
        <w:fldChar w:fldCharType="separate"/>
      </w:r>
      <w:r w:rsidR="008E0DB9">
        <w:rPr>
          <w:rFonts w:ascii="Times New Roman" w:hAnsi="Times New Roman"/>
          <w:i/>
          <w:noProof/>
          <w:sz w:val="22"/>
          <w:szCs w:val="22"/>
        </w:rPr>
        <w:t>5</w:t>
      </w:r>
      <w:r w:rsidR="00B41499" w:rsidRPr="008763B4">
        <w:rPr>
          <w:rFonts w:ascii="Times New Roman" w:hAnsi="Times New Roman"/>
          <w:i/>
          <w:sz w:val="22"/>
          <w:szCs w:val="22"/>
        </w:rPr>
        <w:fldChar w:fldCharType="end"/>
      </w:r>
      <w:r w:rsidR="00A7211F" w:rsidRPr="008763B4">
        <w:rPr>
          <w:rFonts w:ascii="Times New Roman" w:hAnsi="Times New Roman"/>
          <w:i/>
          <w:sz w:val="22"/>
          <w:szCs w:val="22"/>
        </w:rPr>
        <w:t>: Predicted</w:t>
      </w:r>
      <w:r w:rsidR="00A7211F" w:rsidRPr="004277AD">
        <w:rPr>
          <w:rFonts w:ascii="Times New Roman" w:hAnsi="Times New Roman"/>
          <w:i/>
          <w:sz w:val="22"/>
          <w:szCs w:val="22"/>
        </w:rPr>
        <w:t xml:space="preserve"> transition scenario for domestic refrigeration sector</w:t>
      </w:r>
      <w:r w:rsidR="004277AD" w:rsidRPr="004277AD">
        <w:rPr>
          <w:rFonts w:ascii="Times New Roman" w:hAnsi="Times New Roman"/>
          <w:i/>
          <w:sz w:val="22"/>
          <w:szCs w:val="22"/>
        </w:rPr>
        <w:t>.</w:t>
      </w:r>
      <w:bookmarkEnd w:id="50"/>
    </w:p>
    <w:tbl>
      <w:tblPr>
        <w:tblStyle w:val="TableGrid"/>
        <w:tblW w:w="0" w:type="auto"/>
        <w:tblInd w:w="108" w:type="dxa"/>
        <w:tblLook w:val="04A0"/>
      </w:tblPr>
      <w:tblGrid>
        <w:gridCol w:w="1370"/>
        <w:gridCol w:w="3285"/>
        <w:gridCol w:w="3753"/>
      </w:tblGrid>
      <w:tr w:rsidR="00A7211F" w:rsidTr="003C099D">
        <w:tc>
          <w:tcPr>
            <w:tcW w:w="1370" w:type="dxa"/>
            <w:vMerge w:val="restart"/>
            <w:tcBorders>
              <w:right w:val="single" w:sz="4" w:space="0" w:color="FFFFFF" w:themeColor="background1"/>
            </w:tcBorders>
            <w:shd w:val="clear" w:color="auto" w:fill="0C0C0C"/>
          </w:tcPr>
          <w:p w:rsidR="00A7211F" w:rsidRDefault="00A7211F" w:rsidP="003C099D">
            <w:pPr>
              <w:spacing w:after="120"/>
              <w:rPr>
                <w:szCs w:val="22"/>
              </w:rPr>
            </w:pPr>
          </w:p>
        </w:tc>
        <w:tc>
          <w:tcPr>
            <w:tcW w:w="7038" w:type="dxa"/>
            <w:gridSpan w:val="2"/>
            <w:tcBorders>
              <w:left w:val="single" w:sz="4" w:space="0" w:color="FFFFFF" w:themeColor="background1"/>
              <w:bottom w:val="single" w:sz="4" w:space="0" w:color="FFFFFF" w:themeColor="background1"/>
            </w:tcBorders>
            <w:shd w:val="clear" w:color="auto" w:fill="0C0C0C"/>
          </w:tcPr>
          <w:p w:rsidR="00A7211F" w:rsidRDefault="00A7211F" w:rsidP="003C099D">
            <w:pPr>
              <w:spacing w:after="120"/>
              <w:rPr>
                <w:szCs w:val="22"/>
              </w:rPr>
            </w:pPr>
            <w:r>
              <w:rPr>
                <w:szCs w:val="22"/>
              </w:rPr>
              <w:t>Predicted proportion of refrigerant contained in new products by volume</w:t>
            </w:r>
          </w:p>
        </w:tc>
      </w:tr>
      <w:tr w:rsidR="00A7211F" w:rsidTr="003C099D">
        <w:tc>
          <w:tcPr>
            <w:tcW w:w="1370" w:type="dxa"/>
            <w:vMerge/>
            <w:tcBorders>
              <w:right w:val="single" w:sz="4" w:space="0" w:color="FFFFFF" w:themeColor="background1"/>
            </w:tcBorders>
          </w:tcPr>
          <w:p w:rsidR="00A7211F" w:rsidRDefault="00A7211F" w:rsidP="003C099D">
            <w:pPr>
              <w:spacing w:before="60" w:after="60"/>
              <w:rPr>
                <w:szCs w:val="22"/>
              </w:rPr>
            </w:pPr>
          </w:p>
        </w:tc>
        <w:tc>
          <w:tcPr>
            <w:tcW w:w="328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C0C0C"/>
          </w:tcPr>
          <w:p w:rsidR="00A7211F" w:rsidRDefault="00A7211F" w:rsidP="003C099D">
            <w:pPr>
              <w:spacing w:before="60" w:after="60"/>
              <w:jc w:val="center"/>
              <w:rPr>
                <w:szCs w:val="22"/>
              </w:rPr>
            </w:pPr>
            <w:r>
              <w:rPr>
                <w:szCs w:val="22"/>
              </w:rPr>
              <w:t>2020</w:t>
            </w:r>
          </w:p>
        </w:tc>
        <w:tc>
          <w:tcPr>
            <w:tcW w:w="3753" w:type="dxa"/>
            <w:tcBorders>
              <w:top w:val="single" w:sz="4" w:space="0" w:color="FFFFFF" w:themeColor="background1"/>
              <w:left w:val="single" w:sz="4" w:space="0" w:color="FFFFFF" w:themeColor="background1"/>
              <w:bottom w:val="single" w:sz="4" w:space="0" w:color="auto"/>
            </w:tcBorders>
            <w:shd w:val="clear" w:color="auto" w:fill="0C0C0C"/>
          </w:tcPr>
          <w:p w:rsidR="00A7211F" w:rsidRDefault="00A7211F" w:rsidP="003C099D">
            <w:pPr>
              <w:spacing w:before="60" w:after="60"/>
              <w:jc w:val="center"/>
              <w:rPr>
                <w:szCs w:val="22"/>
              </w:rPr>
            </w:pPr>
            <w:r>
              <w:rPr>
                <w:szCs w:val="22"/>
              </w:rPr>
              <w:t>2025</w:t>
            </w:r>
          </w:p>
        </w:tc>
      </w:tr>
      <w:tr w:rsidR="00A7211F" w:rsidTr="003C099D">
        <w:tc>
          <w:tcPr>
            <w:tcW w:w="1370" w:type="dxa"/>
          </w:tcPr>
          <w:p w:rsidR="00A7211F" w:rsidRDefault="00A7211F" w:rsidP="003C099D">
            <w:pPr>
              <w:spacing w:before="60" w:after="60"/>
              <w:rPr>
                <w:szCs w:val="22"/>
              </w:rPr>
            </w:pPr>
            <w:r>
              <w:rPr>
                <w:szCs w:val="22"/>
              </w:rPr>
              <w:t>HFC-134a</w:t>
            </w:r>
          </w:p>
        </w:tc>
        <w:tc>
          <w:tcPr>
            <w:tcW w:w="3285" w:type="dxa"/>
            <w:tcBorders>
              <w:top w:val="single" w:sz="4" w:space="0" w:color="auto"/>
            </w:tcBorders>
          </w:tcPr>
          <w:p w:rsidR="00A7211F" w:rsidRDefault="00A7211F" w:rsidP="003C099D">
            <w:pPr>
              <w:spacing w:before="60" w:after="60"/>
              <w:jc w:val="center"/>
              <w:rPr>
                <w:szCs w:val="22"/>
              </w:rPr>
            </w:pPr>
            <w:r>
              <w:rPr>
                <w:szCs w:val="22"/>
              </w:rPr>
              <w:t>5%</w:t>
            </w:r>
          </w:p>
        </w:tc>
        <w:tc>
          <w:tcPr>
            <w:tcW w:w="3753" w:type="dxa"/>
            <w:tcBorders>
              <w:top w:val="single" w:sz="4" w:space="0" w:color="auto"/>
            </w:tcBorders>
          </w:tcPr>
          <w:p w:rsidR="00A7211F" w:rsidRDefault="00A7211F" w:rsidP="003C099D">
            <w:pPr>
              <w:spacing w:before="60" w:after="60"/>
              <w:jc w:val="center"/>
              <w:rPr>
                <w:szCs w:val="22"/>
              </w:rPr>
            </w:pPr>
            <w:r>
              <w:rPr>
                <w:szCs w:val="22"/>
              </w:rPr>
              <w:t>0%</w:t>
            </w:r>
          </w:p>
        </w:tc>
      </w:tr>
      <w:tr w:rsidR="00A7211F" w:rsidTr="003C099D">
        <w:tc>
          <w:tcPr>
            <w:tcW w:w="1370" w:type="dxa"/>
          </w:tcPr>
          <w:p w:rsidR="00A7211F" w:rsidRDefault="00A7211F" w:rsidP="003C099D">
            <w:pPr>
              <w:spacing w:before="60" w:after="60"/>
              <w:rPr>
                <w:szCs w:val="22"/>
              </w:rPr>
            </w:pPr>
            <w:r>
              <w:rPr>
                <w:szCs w:val="22"/>
              </w:rPr>
              <w:t>GWP &lt;10</w:t>
            </w:r>
          </w:p>
        </w:tc>
        <w:tc>
          <w:tcPr>
            <w:tcW w:w="3285" w:type="dxa"/>
          </w:tcPr>
          <w:p w:rsidR="00A7211F" w:rsidRDefault="00A7211F" w:rsidP="003C099D">
            <w:pPr>
              <w:spacing w:before="60" w:after="60"/>
              <w:jc w:val="center"/>
              <w:rPr>
                <w:szCs w:val="22"/>
              </w:rPr>
            </w:pPr>
            <w:r>
              <w:rPr>
                <w:szCs w:val="22"/>
              </w:rPr>
              <w:t>95%</w:t>
            </w:r>
          </w:p>
        </w:tc>
        <w:tc>
          <w:tcPr>
            <w:tcW w:w="3753" w:type="dxa"/>
          </w:tcPr>
          <w:p w:rsidR="00A7211F" w:rsidRDefault="00A7211F" w:rsidP="003C099D">
            <w:pPr>
              <w:spacing w:before="60" w:after="60"/>
              <w:jc w:val="center"/>
              <w:rPr>
                <w:szCs w:val="22"/>
              </w:rPr>
            </w:pPr>
            <w:r>
              <w:rPr>
                <w:szCs w:val="22"/>
              </w:rPr>
              <w:t>100%</w:t>
            </w:r>
          </w:p>
        </w:tc>
      </w:tr>
      <w:tr w:rsidR="00A7211F" w:rsidTr="003C099D">
        <w:tc>
          <w:tcPr>
            <w:tcW w:w="8408" w:type="dxa"/>
            <w:gridSpan w:val="3"/>
          </w:tcPr>
          <w:p w:rsidR="00A7211F" w:rsidRDefault="00833483" w:rsidP="002842FC">
            <w:pPr>
              <w:spacing w:before="60" w:after="60"/>
              <w:rPr>
                <w:szCs w:val="22"/>
              </w:rPr>
            </w:pPr>
            <w:r w:rsidRPr="00833483">
              <w:rPr>
                <w:szCs w:val="22"/>
              </w:rPr>
              <w:t>Predicted scenario has a high</w:t>
            </w:r>
            <w:r w:rsidR="002842FC">
              <w:rPr>
                <w:szCs w:val="22"/>
              </w:rPr>
              <w:t xml:space="preserve"> level of confidence</w:t>
            </w:r>
            <w:r w:rsidRPr="00833483">
              <w:rPr>
                <w:szCs w:val="22"/>
              </w:rPr>
              <w:t>, and a low level of complexity.</w:t>
            </w:r>
          </w:p>
        </w:tc>
      </w:tr>
    </w:tbl>
    <w:p w:rsidR="00A7211F" w:rsidRPr="00875C28" w:rsidRDefault="00A7211F" w:rsidP="00C47165">
      <w:pPr>
        <w:spacing w:before="360" w:after="120"/>
        <w:rPr>
          <w:rFonts w:cs="Times New Roman"/>
          <w:b/>
          <w:szCs w:val="22"/>
        </w:rPr>
      </w:pPr>
      <w:r w:rsidRPr="00875C28">
        <w:rPr>
          <w:rFonts w:cs="Times New Roman"/>
          <w:b/>
          <w:szCs w:val="22"/>
        </w:rPr>
        <w:t xml:space="preserve">Potential actions to support a smooth transition </w:t>
      </w:r>
    </w:p>
    <w:p w:rsidR="007506DD" w:rsidRPr="00875C28" w:rsidRDefault="007506DD" w:rsidP="007506DD">
      <w:pPr>
        <w:rPr>
          <w:rFonts w:cs="Times New Roman"/>
          <w:szCs w:val="22"/>
        </w:rPr>
      </w:pPr>
      <w:r w:rsidRPr="00875C28">
        <w:rPr>
          <w:rFonts w:cs="Times New Roman"/>
          <w:szCs w:val="22"/>
        </w:rPr>
        <w:t xml:space="preserve">Given the lead being taken by the global manufacturing industry in this segment it may be considered to be unnecessary to take any further action. However it is likely that the trend could be accelerated with some simple communication strategies. At present it would appear that there are </w:t>
      </w:r>
      <w:r>
        <w:rPr>
          <w:rFonts w:cs="Times New Roman"/>
          <w:szCs w:val="22"/>
        </w:rPr>
        <w:t xml:space="preserve">no </w:t>
      </w:r>
      <w:r w:rsidRPr="00875C28">
        <w:rPr>
          <w:rFonts w:cs="Times New Roman"/>
          <w:szCs w:val="22"/>
        </w:rPr>
        <w:t xml:space="preserve">marketing efforts </w:t>
      </w:r>
      <w:r>
        <w:rPr>
          <w:rFonts w:cs="Times New Roman"/>
          <w:szCs w:val="22"/>
        </w:rPr>
        <w:t xml:space="preserve">by any brands </w:t>
      </w:r>
      <w:r w:rsidR="002402B4">
        <w:rPr>
          <w:rFonts w:cs="Times New Roman"/>
          <w:szCs w:val="22"/>
        </w:rPr>
        <w:t xml:space="preserve">promoting </w:t>
      </w:r>
      <w:r w:rsidRPr="00875C28">
        <w:rPr>
          <w:rFonts w:cs="Times New Roman"/>
          <w:szCs w:val="22"/>
        </w:rPr>
        <w:t xml:space="preserve">the use of </w:t>
      </w:r>
      <w:r w:rsidR="00635328">
        <w:rPr>
          <w:rFonts w:cs="Times New Roman"/>
          <w:szCs w:val="22"/>
        </w:rPr>
        <w:t>hydrocarbon</w:t>
      </w:r>
      <w:r w:rsidRPr="00875C28">
        <w:rPr>
          <w:rFonts w:cs="Times New Roman"/>
          <w:szCs w:val="22"/>
        </w:rPr>
        <w:t xml:space="preserve"> charges in product to distinguish </w:t>
      </w:r>
      <w:r w:rsidR="002402B4">
        <w:rPr>
          <w:rFonts w:cs="Times New Roman"/>
          <w:szCs w:val="22"/>
        </w:rPr>
        <w:t xml:space="preserve">appliances </w:t>
      </w:r>
      <w:r w:rsidRPr="00875C28">
        <w:rPr>
          <w:rFonts w:cs="Times New Roman"/>
          <w:szCs w:val="22"/>
        </w:rPr>
        <w:t>from HFC-134a product.</w:t>
      </w:r>
      <w:r w:rsidR="002402B4">
        <w:rPr>
          <w:rFonts w:cs="Times New Roman"/>
          <w:szCs w:val="22"/>
        </w:rPr>
        <w:t xml:space="preserve"> However it has long been known that consumers use energy ratings as part of the purchasing decision making process and as such it can be assumed that the improved efficiency of </w:t>
      </w:r>
      <w:r w:rsidR="00635328">
        <w:rPr>
          <w:rFonts w:cs="Times New Roman"/>
          <w:szCs w:val="22"/>
        </w:rPr>
        <w:t xml:space="preserve">hydrocarbon </w:t>
      </w:r>
      <w:r w:rsidR="002402B4">
        <w:rPr>
          <w:rFonts w:cs="Times New Roman"/>
          <w:szCs w:val="22"/>
        </w:rPr>
        <w:t>charged product will be directly influencing sales volumes.</w:t>
      </w:r>
      <w:r w:rsidRPr="00875C28">
        <w:rPr>
          <w:rFonts w:cs="Times New Roman"/>
          <w:szCs w:val="22"/>
        </w:rPr>
        <w:t xml:space="preserve"> </w:t>
      </w:r>
    </w:p>
    <w:p w:rsidR="007506DD" w:rsidRDefault="007506DD" w:rsidP="007506DD">
      <w:pPr>
        <w:rPr>
          <w:rFonts w:cs="Times New Roman"/>
          <w:szCs w:val="22"/>
        </w:rPr>
      </w:pPr>
      <w:r w:rsidRPr="00875C28">
        <w:rPr>
          <w:rFonts w:cs="Times New Roman"/>
          <w:szCs w:val="22"/>
        </w:rPr>
        <w:t>The Queensland Government, Department of Mines and Energy maintains a register of approved hydrocarbon refrigerant appliances, which lists a</w:t>
      </w:r>
      <w:r>
        <w:rPr>
          <w:rFonts w:cs="Times New Roman"/>
          <w:szCs w:val="22"/>
        </w:rPr>
        <w:t xml:space="preserve">n extensive number </w:t>
      </w:r>
      <w:r w:rsidRPr="00875C28">
        <w:rPr>
          <w:rFonts w:cs="Times New Roman"/>
          <w:szCs w:val="22"/>
        </w:rPr>
        <w:t xml:space="preserve">of domestic refrigerators and freezers, including models from </w:t>
      </w:r>
      <w:r>
        <w:rPr>
          <w:rFonts w:cs="Times New Roman"/>
          <w:szCs w:val="22"/>
        </w:rPr>
        <w:t xml:space="preserve">Blessington, </w:t>
      </w:r>
      <w:r w:rsidRPr="00875C28">
        <w:rPr>
          <w:rFonts w:cs="Times New Roman"/>
          <w:szCs w:val="22"/>
        </w:rPr>
        <w:t xml:space="preserve">Bosch, Siemens, Changhong Electric, Electrolux, </w:t>
      </w:r>
      <w:r>
        <w:rPr>
          <w:rFonts w:cs="Times New Roman"/>
          <w:szCs w:val="22"/>
        </w:rPr>
        <w:t xml:space="preserve">GAF, </w:t>
      </w:r>
      <w:r w:rsidRPr="007506DD">
        <w:rPr>
          <w:rFonts w:cs="Times New Roman"/>
          <w:szCs w:val="22"/>
        </w:rPr>
        <w:t>Hafele</w:t>
      </w:r>
      <w:r>
        <w:rPr>
          <w:rFonts w:cs="Times New Roman"/>
          <w:szCs w:val="22"/>
        </w:rPr>
        <w:t>,</w:t>
      </w:r>
      <w:r w:rsidRPr="007506DD">
        <w:rPr>
          <w:rFonts w:cs="Times New Roman"/>
          <w:szCs w:val="22"/>
        </w:rPr>
        <w:t xml:space="preserve"> </w:t>
      </w:r>
      <w:r w:rsidRPr="00875C28">
        <w:rPr>
          <w:rFonts w:cs="Times New Roman"/>
          <w:szCs w:val="22"/>
        </w:rPr>
        <w:t xml:space="preserve">Haier, Miele, </w:t>
      </w:r>
      <w:r>
        <w:rPr>
          <w:rFonts w:cs="Times New Roman"/>
          <w:szCs w:val="22"/>
        </w:rPr>
        <w:t xml:space="preserve">Mitsubishi Electric, Panasonic, Samsung, </w:t>
      </w:r>
      <w:r w:rsidRPr="00875C28">
        <w:rPr>
          <w:rFonts w:cs="Times New Roman"/>
          <w:szCs w:val="22"/>
        </w:rPr>
        <w:t xml:space="preserve">Sharp, </w:t>
      </w:r>
      <w:r>
        <w:rPr>
          <w:rFonts w:cs="Times New Roman"/>
          <w:szCs w:val="22"/>
        </w:rPr>
        <w:t xml:space="preserve">SMEG, Think Appliances, Unileaver, Vintech, </w:t>
      </w:r>
      <w:r w:rsidRPr="00875C28">
        <w:rPr>
          <w:rFonts w:cs="Times New Roman"/>
          <w:szCs w:val="22"/>
        </w:rPr>
        <w:t xml:space="preserve">Vintec </w:t>
      </w:r>
      <w:r w:rsidRPr="00A4458E">
        <w:rPr>
          <w:rFonts w:cs="Times New Roman"/>
          <w:szCs w:val="22"/>
        </w:rPr>
        <w:t>and Whirlpool (</w:t>
      </w:r>
      <w:r w:rsidR="00881B85" w:rsidRPr="00A4458E">
        <w:rPr>
          <w:rFonts w:cs="Times New Roman"/>
          <w:szCs w:val="22"/>
        </w:rPr>
        <w:t>QGDME</w:t>
      </w:r>
      <w:r w:rsidRPr="00A4458E">
        <w:rPr>
          <w:rFonts w:cs="Times New Roman"/>
          <w:szCs w:val="22"/>
        </w:rPr>
        <w:t xml:space="preserve"> 2014).</w:t>
      </w:r>
      <w:r w:rsidRPr="00875C28">
        <w:rPr>
          <w:rFonts w:cs="Times New Roman"/>
          <w:szCs w:val="22"/>
        </w:rPr>
        <w:t xml:space="preserve"> </w:t>
      </w:r>
    </w:p>
    <w:p w:rsidR="007506DD" w:rsidRPr="00875C28" w:rsidRDefault="007506DD" w:rsidP="007506DD">
      <w:pPr>
        <w:rPr>
          <w:rFonts w:cs="Times New Roman"/>
          <w:szCs w:val="22"/>
        </w:rPr>
      </w:pPr>
      <w:r w:rsidRPr="00875C28">
        <w:rPr>
          <w:rFonts w:cs="Times New Roman"/>
          <w:szCs w:val="22"/>
        </w:rPr>
        <w:t>A low cost strategy for the Federal Government</w:t>
      </w:r>
      <w:r w:rsidR="00B91AEA">
        <w:rPr>
          <w:rFonts w:cs="Times New Roman"/>
          <w:szCs w:val="22"/>
        </w:rPr>
        <w:t xml:space="preserve"> would be</w:t>
      </w:r>
      <w:r w:rsidR="00696826">
        <w:rPr>
          <w:rFonts w:cs="Times New Roman"/>
          <w:szCs w:val="22"/>
        </w:rPr>
        <w:t xml:space="preserve"> to liaise with</w:t>
      </w:r>
      <w:r w:rsidRPr="00875C28">
        <w:rPr>
          <w:rFonts w:cs="Times New Roman"/>
          <w:szCs w:val="22"/>
        </w:rPr>
        <w:t xml:space="preserve"> the Queensland Government to ensure that the website is regularly updated and comprehensive,</w:t>
      </w:r>
      <w:r w:rsidR="00696826">
        <w:rPr>
          <w:rFonts w:cs="Times New Roman"/>
          <w:szCs w:val="22"/>
        </w:rPr>
        <w:t xml:space="preserve"> as well as considering some broader communication strategy for use of </w:t>
      </w:r>
      <w:r w:rsidR="00635328">
        <w:rPr>
          <w:rFonts w:cs="Times New Roman"/>
          <w:szCs w:val="22"/>
        </w:rPr>
        <w:t xml:space="preserve">hydrocarbon </w:t>
      </w:r>
      <w:r w:rsidR="00696826">
        <w:rPr>
          <w:rFonts w:cs="Times New Roman"/>
          <w:szCs w:val="22"/>
        </w:rPr>
        <w:t>appliances</w:t>
      </w:r>
      <w:r w:rsidR="002402B4">
        <w:rPr>
          <w:rFonts w:cs="Times New Roman"/>
          <w:szCs w:val="22"/>
        </w:rPr>
        <w:t xml:space="preserve">, for instance highlighting the general improvement in energy efficiency that </w:t>
      </w:r>
      <w:r w:rsidR="00635328">
        <w:rPr>
          <w:rFonts w:cs="Times New Roman"/>
          <w:szCs w:val="22"/>
        </w:rPr>
        <w:t xml:space="preserve">hydrocarbon </w:t>
      </w:r>
      <w:r w:rsidR="002402B4">
        <w:rPr>
          <w:rFonts w:cs="Times New Roman"/>
          <w:szCs w:val="22"/>
        </w:rPr>
        <w:t>refrigerants can deliver</w:t>
      </w:r>
      <w:r w:rsidR="00696826">
        <w:rPr>
          <w:rFonts w:cs="Times New Roman"/>
          <w:szCs w:val="22"/>
        </w:rPr>
        <w:t>.</w:t>
      </w:r>
      <w:r w:rsidRPr="00875C28">
        <w:rPr>
          <w:rFonts w:cs="Times New Roman"/>
          <w:szCs w:val="22"/>
        </w:rPr>
        <w:t xml:space="preserve"> Once consumers are aware of the environmental benefits and are enquiring about these products when doing price comparisons, major retailers will soon pick up on the trend and start to promote the lower GWP gases</w:t>
      </w:r>
      <w:r w:rsidR="00916E12">
        <w:rPr>
          <w:rFonts w:cs="Times New Roman"/>
          <w:szCs w:val="22"/>
        </w:rPr>
        <w:t xml:space="preserve">, associated with improved energy efficiency, </w:t>
      </w:r>
      <w:r w:rsidRPr="00875C28">
        <w:rPr>
          <w:rFonts w:cs="Times New Roman"/>
          <w:szCs w:val="22"/>
        </w:rPr>
        <w:t>for a period at least.</w:t>
      </w:r>
    </w:p>
    <w:p w:rsidR="007506DD" w:rsidRDefault="007506DD" w:rsidP="007506DD">
      <w:pPr>
        <w:rPr>
          <w:rFonts w:cs="Times New Roman"/>
          <w:szCs w:val="22"/>
        </w:rPr>
      </w:pPr>
      <w:r w:rsidRPr="00E72FA8">
        <w:rPr>
          <w:rFonts w:cs="Times New Roman"/>
          <w:szCs w:val="22"/>
        </w:rPr>
        <w:t>A further step</w:t>
      </w:r>
      <w:r w:rsidR="00E72FA8" w:rsidRPr="00E72FA8">
        <w:rPr>
          <w:rFonts w:cs="Times New Roman"/>
          <w:szCs w:val="22"/>
        </w:rPr>
        <w:t>,</w:t>
      </w:r>
      <w:r w:rsidRPr="00E72FA8">
        <w:rPr>
          <w:rFonts w:cs="Times New Roman"/>
          <w:szCs w:val="22"/>
        </w:rPr>
        <w:t xml:space="preserve"> if the Government w</w:t>
      </w:r>
      <w:r w:rsidR="00916E12" w:rsidRPr="00E72FA8">
        <w:rPr>
          <w:rFonts w:cs="Times New Roman"/>
          <w:szCs w:val="22"/>
        </w:rPr>
        <w:t>as</w:t>
      </w:r>
      <w:r w:rsidRPr="00E72FA8">
        <w:rPr>
          <w:rFonts w:cs="Times New Roman"/>
          <w:szCs w:val="22"/>
        </w:rPr>
        <w:t xml:space="preserve"> committed to accelerating this well established trend</w:t>
      </w:r>
      <w:r w:rsidR="00E72FA8" w:rsidRPr="00E72FA8">
        <w:rPr>
          <w:rFonts w:cs="Times New Roman"/>
          <w:szCs w:val="22"/>
        </w:rPr>
        <w:t>,</w:t>
      </w:r>
      <w:r w:rsidRPr="00E72FA8">
        <w:rPr>
          <w:rFonts w:cs="Times New Roman"/>
          <w:szCs w:val="22"/>
        </w:rPr>
        <w:t xml:space="preserve"> would be to introduce a ban on imports of HFC-134a pre-charged domestic refrigeration equipment or a GWP limit of &lt;150 GWP for this class of equipment. A number of established regulatory models and system could be used to bring such a ban about</w:t>
      </w:r>
      <w:r w:rsidRPr="00875C28">
        <w:rPr>
          <w:rFonts w:cs="Times New Roman"/>
          <w:szCs w:val="22"/>
        </w:rPr>
        <w:t>.</w:t>
      </w:r>
    </w:p>
    <w:p w:rsidR="007506DD" w:rsidRPr="00875C28" w:rsidRDefault="007506DD" w:rsidP="007506DD">
      <w:pPr>
        <w:rPr>
          <w:rFonts w:cs="Times New Roman"/>
          <w:szCs w:val="22"/>
        </w:rPr>
      </w:pPr>
      <w:r w:rsidRPr="00875C28">
        <w:rPr>
          <w:rFonts w:cs="Times New Roman"/>
          <w:szCs w:val="22"/>
        </w:rPr>
        <w:t>Given the generally small charge of refrigerant gas likely to be found in each appliance (as little as 50</w:t>
      </w:r>
      <w:r w:rsidR="00C052E4">
        <w:rPr>
          <w:rFonts w:cs="Times New Roman"/>
          <w:szCs w:val="22"/>
        </w:rPr>
        <w:t xml:space="preserve"> </w:t>
      </w:r>
      <w:r w:rsidR="00436D19">
        <w:rPr>
          <w:rFonts w:cs="Times New Roman"/>
          <w:szCs w:val="22"/>
        </w:rPr>
        <w:t>grams</w:t>
      </w:r>
      <w:r w:rsidR="00C052E4">
        <w:rPr>
          <w:rFonts w:cs="Times New Roman"/>
          <w:szCs w:val="22"/>
        </w:rPr>
        <w:t xml:space="preserve"> i</w:t>
      </w:r>
      <w:r w:rsidRPr="00875C28">
        <w:rPr>
          <w:rFonts w:cs="Times New Roman"/>
          <w:szCs w:val="22"/>
        </w:rPr>
        <w:t>n some cases and up to around 250 g</w:t>
      </w:r>
      <w:r w:rsidR="00C052E4">
        <w:rPr>
          <w:rFonts w:cs="Times New Roman"/>
          <w:szCs w:val="22"/>
        </w:rPr>
        <w:t>rams</w:t>
      </w:r>
      <w:r w:rsidRPr="00875C28">
        <w:rPr>
          <w:rFonts w:cs="Times New Roman"/>
          <w:szCs w:val="22"/>
        </w:rPr>
        <w:t>) and the very large number of appliances in operation, moving this broad class of domestic technology to such a low GWP working gas would eventually eliminate the present issue of end of life gas collection and simplify the process of other materials recovery and metals recycling from domestic refrigeration.</w:t>
      </w:r>
      <w:r w:rsidR="00C052E4">
        <w:rPr>
          <w:rFonts w:cs="Times New Roman"/>
          <w:szCs w:val="22"/>
        </w:rPr>
        <w:t xml:space="preserve"> The cost of abatement for appliances with small refrigerant charges is very high (&gt;$100 per kg) so there is merit in reducing this legacy.</w:t>
      </w:r>
    </w:p>
    <w:p w:rsidR="00A7211F" w:rsidRPr="00875C28" w:rsidRDefault="007506DD" w:rsidP="007506DD">
      <w:pPr>
        <w:rPr>
          <w:rFonts w:cs="Times New Roman"/>
          <w:b/>
          <w:szCs w:val="22"/>
        </w:rPr>
      </w:pPr>
      <w:r w:rsidRPr="00875C28">
        <w:rPr>
          <w:rFonts w:cs="Times New Roman"/>
          <w:szCs w:val="22"/>
        </w:rPr>
        <w:t>However such a move should not detract from efforts to capture and dest</w:t>
      </w:r>
      <w:r>
        <w:rPr>
          <w:rFonts w:cs="Times New Roman"/>
          <w:szCs w:val="22"/>
        </w:rPr>
        <w:t>roy or re</w:t>
      </w:r>
      <w:r w:rsidR="00DD1402">
        <w:rPr>
          <w:rFonts w:cs="Times New Roman"/>
          <w:szCs w:val="22"/>
        </w:rPr>
        <w:t>-</w:t>
      </w:r>
      <w:r>
        <w:rPr>
          <w:rFonts w:cs="Times New Roman"/>
          <w:szCs w:val="22"/>
        </w:rPr>
        <w:t>use the significant bank of high GWP HFCs</w:t>
      </w:r>
      <w:r w:rsidRPr="00875C28">
        <w:rPr>
          <w:rFonts w:cs="Times New Roman"/>
          <w:szCs w:val="22"/>
        </w:rPr>
        <w:t xml:space="preserve"> that </w:t>
      </w:r>
      <w:r w:rsidR="00696826">
        <w:rPr>
          <w:rFonts w:cs="Times New Roman"/>
          <w:szCs w:val="22"/>
        </w:rPr>
        <w:t>is</w:t>
      </w:r>
      <w:r w:rsidR="00696826" w:rsidRPr="00875C28">
        <w:rPr>
          <w:rFonts w:cs="Times New Roman"/>
          <w:szCs w:val="22"/>
        </w:rPr>
        <w:t xml:space="preserve"> </w:t>
      </w:r>
      <w:r w:rsidRPr="00875C28">
        <w:rPr>
          <w:rFonts w:cs="Times New Roman"/>
          <w:szCs w:val="22"/>
        </w:rPr>
        <w:t xml:space="preserve">already employed in domestic refrigeration systems, estimated to be approximately </w:t>
      </w:r>
      <w:r>
        <w:rPr>
          <w:rFonts w:cs="Times New Roman"/>
          <w:szCs w:val="22"/>
        </w:rPr>
        <w:t>2,</w:t>
      </w:r>
      <w:r w:rsidR="00E16D5A">
        <w:rPr>
          <w:rFonts w:cs="Times New Roman"/>
          <w:szCs w:val="22"/>
        </w:rPr>
        <w:t>200</w:t>
      </w:r>
      <w:r w:rsidRPr="00BD2346">
        <w:rPr>
          <w:rFonts w:cs="Times New Roman"/>
          <w:szCs w:val="22"/>
        </w:rPr>
        <w:t xml:space="preserve"> t</w:t>
      </w:r>
      <w:r w:rsidR="00E16D5A">
        <w:rPr>
          <w:rFonts w:cs="Times New Roman"/>
          <w:szCs w:val="22"/>
        </w:rPr>
        <w:t>onnes</w:t>
      </w:r>
      <w:r w:rsidRPr="00BD2346">
        <w:rPr>
          <w:rFonts w:cs="Times New Roman"/>
          <w:szCs w:val="22"/>
        </w:rPr>
        <w:t xml:space="preserve"> of HFC-134a</w:t>
      </w:r>
      <w:r w:rsidRPr="00875C28">
        <w:rPr>
          <w:rFonts w:cs="Times New Roman"/>
          <w:szCs w:val="22"/>
        </w:rPr>
        <w:t xml:space="preserve"> equivalent to more than </w:t>
      </w:r>
      <w:r w:rsidRPr="00540E05">
        <w:rPr>
          <w:rFonts w:cs="Times New Roman"/>
          <w:szCs w:val="22"/>
        </w:rPr>
        <w:t>2.</w:t>
      </w:r>
      <w:r w:rsidR="0000582A">
        <w:rPr>
          <w:rFonts w:cs="Times New Roman"/>
          <w:szCs w:val="22"/>
        </w:rPr>
        <w:t>9/3.2</w:t>
      </w:r>
      <w:r w:rsidRPr="00540E05">
        <w:rPr>
          <w:rFonts w:cs="Times New Roman"/>
          <w:szCs w:val="22"/>
        </w:rPr>
        <w:t xml:space="preserve"> </w:t>
      </w:r>
      <w:r w:rsidR="00540E05" w:rsidRPr="00540E05">
        <w:rPr>
          <w:rFonts w:cs="Times New Roman"/>
          <w:szCs w:val="22"/>
        </w:rPr>
        <w:t xml:space="preserve">(AR2/AR4) </w:t>
      </w:r>
      <w:r w:rsidRPr="00540E05">
        <w:rPr>
          <w:rFonts w:cs="Times New Roman"/>
          <w:szCs w:val="22"/>
        </w:rPr>
        <w:t>Mt of CO</w:t>
      </w:r>
      <w:r w:rsidRPr="00540E05">
        <w:rPr>
          <w:rFonts w:cs="Times New Roman"/>
          <w:szCs w:val="22"/>
          <w:vertAlign w:val="subscript"/>
        </w:rPr>
        <w:t>2</w:t>
      </w:r>
      <w:r w:rsidRPr="00540E05">
        <w:rPr>
          <w:rFonts w:cs="Times New Roman"/>
          <w:szCs w:val="22"/>
        </w:rPr>
        <w:t>-e.</w:t>
      </w:r>
    </w:p>
    <w:p w:rsidR="00A7211F" w:rsidRDefault="00A7211F" w:rsidP="0034186A"/>
    <w:p w:rsidR="00A7211F" w:rsidRDefault="00A7211F" w:rsidP="0034186A"/>
    <w:p w:rsidR="00A7211F" w:rsidRDefault="00A7211F" w:rsidP="0034186A"/>
    <w:p w:rsidR="00A7211F" w:rsidRDefault="00A7211F" w:rsidP="0034186A"/>
    <w:p w:rsidR="00A7211F" w:rsidRDefault="00A7211F" w:rsidP="0034186A"/>
    <w:p w:rsidR="00A7211F" w:rsidRDefault="00A7211F" w:rsidP="0034186A"/>
    <w:p w:rsidR="00881B85" w:rsidRDefault="00881B85">
      <w:pPr>
        <w:spacing w:before="0"/>
        <w:jc w:val="left"/>
        <w:rPr>
          <w:rFonts w:ascii="Calibri" w:eastAsia="Times New Roman" w:hAnsi="Calibri" w:cs="Times New Roman"/>
          <w:b/>
          <w:bCs/>
          <w:kern w:val="32"/>
          <w:sz w:val="32"/>
          <w:szCs w:val="32"/>
          <w:lang w:val="en-US"/>
        </w:rPr>
      </w:pPr>
      <w:r>
        <w:br w:type="page"/>
      </w:r>
    </w:p>
    <w:p w:rsidR="003D5856" w:rsidRDefault="00EF5AFB" w:rsidP="00C73C6A">
      <w:pPr>
        <w:pStyle w:val="Heading1"/>
        <w:ind w:left="432"/>
      </w:pPr>
      <w:bookmarkStart w:id="51" w:name="_Toc257359958"/>
      <w:r>
        <w:t>Refrigerated cold food chain</w:t>
      </w:r>
      <w:bookmarkEnd w:id="51"/>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56"/>
      </w:tblGrid>
      <w:tr w:rsidR="00EF5AFB" w:rsidRPr="00613398" w:rsidTr="00EF5AFB">
        <w:tc>
          <w:tcPr>
            <w:tcW w:w="9639" w:type="dxa"/>
            <w:vAlign w:val="center"/>
          </w:tcPr>
          <w:p w:rsidR="00EF5AFB" w:rsidRPr="00613398" w:rsidRDefault="00EF5AFB" w:rsidP="00CD54B0">
            <w:pPr>
              <w:spacing w:after="120"/>
              <w:jc w:val="center"/>
              <w:rPr>
                <w:rFonts w:cs="Times New Roman"/>
                <w:b/>
              </w:rPr>
            </w:pPr>
            <w:r w:rsidRPr="00613398">
              <w:rPr>
                <w:rFonts w:cs="Times New Roman"/>
                <w:b/>
              </w:rPr>
              <w:br w:type="page"/>
              <w:t xml:space="preserve">2013 bank and consumption </w:t>
            </w:r>
            <w:r w:rsidR="00CD54B0">
              <w:rPr>
                <w:rFonts w:cs="Times New Roman"/>
                <w:b/>
              </w:rPr>
              <w:t>(tonnes)</w:t>
            </w:r>
            <w:r w:rsidRPr="00613398">
              <w:rPr>
                <w:rFonts w:cs="Times New Roman"/>
                <w:b/>
              </w:rPr>
              <w:t xml:space="preserve"> </w:t>
            </w:r>
          </w:p>
        </w:tc>
      </w:tr>
      <w:tr w:rsidR="00EF5AFB" w:rsidRPr="00200416" w:rsidTr="00EF5AFB">
        <w:tc>
          <w:tcPr>
            <w:tcW w:w="9639" w:type="dxa"/>
            <w:vAlign w:val="center"/>
          </w:tcPr>
          <w:p w:rsidR="00EF5AFB" w:rsidRDefault="00EF5AFB" w:rsidP="00200416">
            <w:pPr>
              <w:spacing w:before="0"/>
              <w:jc w:val="center"/>
              <w:rPr>
                <w:sz w:val="16"/>
                <w:szCs w:val="16"/>
              </w:rPr>
            </w:pPr>
          </w:p>
          <w:p w:rsidR="00200416" w:rsidRDefault="003B1471" w:rsidP="00200416">
            <w:pPr>
              <w:spacing w:before="0"/>
              <w:jc w:val="center"/>
              <w:rPr>
                <w:sz w:val="16"/>
                <w:szCs w:val="16"/>
              </w:rPr>
            </w:pPr>
            <w:r>
              <w:rPr>
                <w:noProof/>
                <w:lang w:val="en-AU" w:eastAsia="en-AU"/>
              </w:rPr>
              <w:drawing>
                <wp:inline distT="0" distB="0" distL="0" distR="0">
                  <wp:extent cx="5991860" cy="2660015"/>
                  <wp:effectExtent l="0" t="0" r="2540" b="698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00416" w:rsidRPr="00200416" w:rsidRDefault="00200416" w:rsidP="00200416">
            <w:pPr>
              <w:spacing w:before="0"/>
              <w:jc w:val="center"/>
              <w:rPr>
                <w:sz w:val="16"/>
                <w:szCs w:val="16"/>
              </w:rPr>
            </w:pPr>
          </w:p>
        </w:tc>
      </w:tr>
      <w:tr w:rsidR="00EF5AFB" w:rsidRPr="00923150" w:rsidTr="00EF5AFB">
        <w:tc>
          <w:tcPr>
            <w:tcW w:w="9639" w:type="dxa"/>
            <w:vAlign w:val="center"/>
          </w:tcPr>
          <w:p w:rsidR="00EF5AFB" w:rsidRPr="00613398" w:rsidRDefault="008317A1" w:rsidP="008317A1">
            <w:pPr>
              <w:spacing w:before="60" w:after="60"/>
            </w:pPr>
            <w:bookmarkStart w:id="52" w:name="_Toc257359986"/>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18</w:t>
            </w:r>
            <w:r w:rsidR="00B41499" w:rsidRPr="00F4221A">
              <w:rPr>
                <w:rFonts w:cs="Times New Roman"/>
                <w:i/>
                <w:sz w:val="20"/>
              </w:rPr>
              <w:fldChar w:fldCharType="end"/>
            </w:r>
            <w:r w:rsidRPr="00F4221A">
              <w:rPr>
                <w:rFonts w:cs="Times New Roman"/>
                <w:i/>
                <w:sz w:val="20"/>
              </w:rPr>
              <w:t>:</w:t>
            </w:r>
            <w:r w:rsidRPr="0045125B">
              <w:rPr>
                <w:i/>
                <w:sz w:val="20"/>
              </w:rPr>
              <w:t xml:space="preserve"> </w:t>
            </w:r>
            <w:r w:rsidR="00EF5AFB">
              <w:rPr>
                <w:rFonts w:cs="Times New Roman"/>
                <w:i/>
                <w:sz w:val="20"/>
              </w:rPr>
              <w:t xml:space="preserve">Refrigerated cold food chain </w:t>
            </w:r>
            <w:r w:rsidR="00EF5AFB" w:rsidRPr="00613398">
              <w:rPr>
                <w:rFonts w:cs="Times New Roman"/>
                <w:i/>
                <w:sz w:val="20"/>
              </w:rPr>
              <w:t xml:space="preserve">refrigerant bank and consumption in </w:t>
            </w:r>
            <w:r w:rsidR="00EF5AFB">
              <w:rPr>
                <w:rFonts w:cs="Times New Roman"/>
                <w:i/>
                <w:sz w:val="20"/>
              </w:rPr>
              <w:t xml:space="preserve">2013 in </w:t>
            </w:r>
            <w:r w:rsidR="00EF5AFB" w:rsidRPr="00613398">
              <w:rPr>
                <w:rFonts w:cs="Times New Roman"/>
                <w:i/>
                <w:sz w:val="20"/>
              </w:rPr>
              <w:t>tonnes.</w:t>
            </w:r>
            <w:bookmarkEnd w:id="52"/>
          </w:p>
        </w:tc>
      </w:tr>
    </w:tbl>
    <w:p w:rsidR="00EF5AFB" w:rsidRPr="007F343E" w:rsidRDefault="00EF5AFB" w:rsidP="00C47165">
      <w:pPr>
        <w:spacing w:before="360"/>
        <w:outlineLvl w:val="0"/>
        <w:rPr>
          <w:rFonts w:cs="Times New Roman"/>
          <w:b/>
          <w:szCs w:val="22"/>
        </w:rPr>
      </w:pPr>
      <w:r w:rsidRPr="007F343E">
        <w:rPr>
          <w:rFonts w:cs="Times New Roman"/>
          <w:b/>
          <w:szCs w:val="22"/>
        </w:rPr>
        <w:t>Introduction</w:t>
      </w:r>
    </w:p>
    <w:p w:rsidR="00EF5AFB" w:rsidRPr="007F343E" w:rsidRDefault="00EF5AFB" w:rsidP="00EF5AFB">
      <w:pPr>
        <w:rPr>
          <w:rFonts w:cs="Times New Roman"/>
          <w:szCs w:val="22"/>
        </w:rPr>
      </w:pPr>
      <w:r w:rsidRPr="007F343E">
        <w:rPr>
          <w:rFonts w:cs="Times New Roman"/>
          <w:szCs w:val="22"/>
        </w:rPr>
        <w:t>This diverse sector, including tens of thousands of major individual pieces of equipment, comprises what is often referred to as the cold food chain, the backbone of the fresh and processed foods distribution network.</w:t>
      </w:r>
    </w:p>
    <w:p w:rsidR="00EF5AFB" w:rsidRPr="007F343E" w:rsidRDefault="00EF5AFB" w:rsidP="00EF5AFB">
      <w:pPr>
        <w:rPr>
          <w:rFonts w:cs="Times New Roman"/>
          <w:szCs w:val="22"/>
        </w:rPr>
      </w:pPr>
      <w:r w:rsidRPr="007F343E">
        <w:rPr>
          <w:rFonts w:cs="Times New Roman"/>
          <w:szCs w:val="22"/>
        </w:rPr>
        <w:t xml:space="preserve">Non-domestic refrigeration devices have to store and display food and beverages at different levels of temperature for chilled and frozen food. The refrigerating capacities of equipment vary from hundreds of Watts up (fractional horsepower rated units) to 1.5 MW. </w:t>
      </w:r>
    </w:p>
    <w:p w:rsidR="00EF5AFB" w:rsidRPr="007F343E" w:rsidRDefault="00EF5AFB" w:rsidP="00EF5AFB">
      <w:pPr>
        <w:rPr>
          <w:rFonts w:cs="Times New Roman"/>
          <w:szCs w:val="22"/>
        </w:rPr>
      </w:pPr>
      <w:r w:rsidRPr="007F343E">
        <w:rPr>
          <w:rFonts w:cs="Times New Roman"/>
          <w:szCs w:val="22"/>
        </w:rPr>
        <w:t xml:space="preserve">There are three main categories of equipment found in the refrigerated cold food chain: </w:t>
      </w:r>
    </w:p>
    <w:p w:rsidR="00EF5AFB" w:rsidRPr="007F343E" w:rsidRDefault="00EF5AFB" w:rsidP="00E97935">
      <w:pPr>
        <w:pStyle w:val="ListParagraph"/>
        <w:numPr>
          <w:ilvl w:val="0"/>
          <w:numId w:val="21"/>
        </w:numPr>
        <w:spacing w:before="120" w:after="0" w:line="240" w:lineRule="auto"/>
        <w:ind w:left="357" w:hanging="357"/>
        <w:contextualSpacing w:val="0"/>
        <w:jc w:val="both"/>
        <w:rPr>
          <w:rFonts w:ascii="Times New Roman" w:hAnsi="Times New Roman"/>
        </w:rPr>
      </w:pPr>
      <w:r w:rsidRPr="007F343E">
        <w:rPr>
          <w:rFonts w:ascii="Times New Roman" w:hAnsi="Times New Roman"/>
        </w:rPr>
        <w:t>Stand-alone equipment often referred to as ‘self-contained’ equipment;</w:t>
      </w:r>
    </w:p>
    <w:p w:rsidR="00EF5AFB" w:rsidRPr="007F343E" w:rsidRDefault="00EF5AFB" w:rsidP="00E97935">
      <w:pPr>
        <w:pStyle w:val="ListParagraph"/>
        <w:numPr>
          <w:ilvl w:val="0"/>
          <w:numId w:val="21"/>
        </w:numPr>
        <w:spacing w:before="120" w:after="0" w:line="240" w:lineRule="auto"/>
        <w:ind w:left="357" w:hanging="357"/>
        <w:contextualSpacing w:val="0"/>
        <w:jc w:val="both"/>
        <w:rPr>
          <w:rFonts w:ascii="Times New Roman" w:hAnsi="Times New Roman"/>
        </w:rPr>
      </w:pPr>
      <w:r w:rsidRPr="007F343E">
        <w:rPr>
          <w:rFonts w:ascii="Times New Roman" w:hAnsi="Times New Roman"/>
        </w:rPr>
        <w:t xml:space="preserve">Remote condensing units; and, </w:t>
      </w:r>
    </w:p>
    <w:p w:rsidR="00EF5AFB" w:rsidRPr="007F343E" w:rsidRDefault="00EF5AFB" w:rsidP="00E97935">
      <w:pPr>
        <w:pStyle w:val="ListParagraph"/>
        <w:numPr>
          <w:ilvl w:val="0"/>
          <w:numId w:val="21"/>
        </w:numPr>
        <w:spacing w:before="120" w:after="0" w:line="240" w:lineRule="auto"/>
        <w:ind w:left="357" w:hanging="357"/>
        <w:contextualSpacing w:val="0"/>
        <w:jc w:val="both"/>
        <w:rPr>
          <w:rFonts w:ascii="Times New Roman" w:hAnsi="Times New Roman"/>
        </w:rPr>
      </w:pPr>
      <w:r w:rsidRPr="007F343E">
        <w:rPr>
          <w:rFonts w:ascii="Times New Roman" w:hAnsi="Times New Roman"/>
        </w:rPr>
        <w:t>Supermarket systems sometimes referred to as centralised systems as they are found in plant rooms.</w:t>
      </w:r>
    </w:p>
    <w:p w:rsidR="00EF5AFB" w:rsidRPr="007F343E" w:rsidRDefault="00EF5AFB" w:rsidP="00EF5AFB">
      <w:pPr>
        <w:rPr>
          <w:rFonts w:cs="Times New Roman"/>
          <w:szCs w:val="22"/>
        </w:rPr>
      </w:pPr>
      <w:r w:rsidRPr="007F343E">
        <w:rPr>
          <w:rFonts w:cs="Times New Roman"/>
          <w:szCs w:val="22"/>
        </w:rPr>
        <w:t>This sector also includes mobile refrigeration systems that provide the temperature controlled transport links between producers, suppliers, wholesalers and retailers. A further important sub-sector is the speciali</w:t>
      </w:r>
      <w:r w:rsidR="009966DB">
        <w:rPr>
          <w:rFonts w:cs="Times New Roman"/>
          <w:szCs w:val="22"/>
        </w:rPr>
        <w:t>s</w:t>
      </w:r>
      <w:r w:rsidRPr="007F343E">
        <w:rPr>
          <w:rFonts w:cs="Times New Roman"/>
          <w:szCs w:val="22"/>
        </w:rPr>
        <w:t>ed area of industrial refrigeration commonly found in large cold storage and distribution centres, and food manufacturing processes.</w:t>
      </w:r>
    </w:p>
    <w:p w:rsidR="00EF5AFB" w:rsidRPr="007F343E" w:rsidRDefault="00EF5AFB" w:rsidP="00EF5AFB">
      <w:pPr>
        <w:rPr>
          <w:rFonts w:cs="Times New Roman"/>
          <w:szCs w:val="22"/>
        </w:rPr>
      </w:pPr>
      <w:r w:rsidRPr="007F343E">
        <w:rPr>
          <w:rFonts w:cs="Times New Roman"/>
          <w:szCs w:val="22"/>
        </w:rPr>
        <w:t>Refrigerant choices with non-domestic refrigeration are often determined by the two main levels of temperatures necessary for the conservation of fresh food and beverages (referred to in industry as medium temperature where produce is refrigerated to temperatures above zero degrees Celsius), and frozen food (low temperature, refrigerated to zero degrees and below).</w:t>
      </w:r>
    </w:p>
    <w:p w:rsidR="00C47165" w:rsidRDefault="00C47165">
      <w:pPr>
        <w:spacing w:before="0"/>
        <w:jc w:val="left"/>
        <w:rPr>
          <w:rFonts w:cs="Times New Roman"/>
          <w:b/>
          <w:szCs w:val="22"/>
        </w:rPr>
      </w:pPr>
      <w:r>
        <w:rPr>
          <w:rFonts w:cs="Times New Roman"/>
          <w:b/>
          <w:szCs w:val="22"/>
        </w:rPr>
        <w:br w:type="page"/>
      </w:r>
    </w:p>
    <w:p w:rsidR="00EF5AFB" w:rsidRPr="007F343E" w:rsidRDefault="00EF5AFB" w:rsidP="00EF5AFB">
      <w:pPr>
        <w:spacing w:before="240"/>
        <w:outlineLvl w:val="0"/>
        <w:rPr>
          <w:rFonts w:cs="Times New Roman"/>
          <w:b/>
          <w:szCs w:val="22"/>
        </w:rPr>
      </w:pPr>
      <w:r w:rsidRPr="007F343E">
        <w:rPr>
          <w:rFonts w:cs="Times New Roman"/>
          <w:b/>
          <w:szCs w:val="22"/>
        </w:rPr>
        <w:t>The bank and annual consumption</w:t>
      </w:r>
    </w:p>
    <w:p w:rsidR="00EF5AFB" w:rsidRPr="007F343E" w:rsidRDefault="00EF5AFB" w:rsidP="00EF5AFB">
      <w:pPr>
        <w:rPr>
          <w:rFonts w:cs="Times New Roman"/>
          <w:szCs w:val="22"/>
        </w:rPr>
      </w:pPr>
      <w:r w:rsidRPr="007F343E">
        <w:rPr>
          <w:rFonts w:cs="Times New Roman"/>
          <w:szCs w:val="22"/>
        </w:rPr>
        <w:t xml:space="preserve">The refrigerated cold food chain is estimated to contain a </w:t>
      </w:r>
      <w:r w:rsidRPr="00CD54B0">
        <w:rPr>
          <w:rFonts w:cs="Times New Roman"/>
          <w:szCs w:val="22"/>
        </w:rPr>
        <w:t>bank of some 5,</w:t>
      </w:r>
      <w:r w:rsidR="00CD54B0" w:rsidRPr="00CD54B0">
        <w:rPr>
          <w:rFonts w:cs="Times New Roman"/>
          <w:szCs w:val="22"/>
        </w:rPr>
        <w:t>07</w:t>
      </w:r>
      <w:r w:rsidRPr="00CD54B0">
        <w:rPr>
          <w:rFonts w:cs="Times New Roman"/>
          <w:szCs w:val="22"/>
        </w:rPr>
        <w:t>0 tonnes of refrigerants</w:t>
      </w:r>
      <w:r w:rsidRPr="007F343E">
        <w:rPr>
          <w:rFonts w:cs="Times New Roman"/>
          <w:szCs w:val="22"/>
        </w:rPr>
        <w:t xml:space="preserve">, of which </w:t>
      </w:r>
      <w:r w:rsidR="001E26C7">
        <w:rPr>
          <w:rFonts w:cs="Times New Roman"/>
          <w:szCs w:val="22"/>
        </w:rPr>
        <w:t>around 3,300</w:t>
      </w:r>
      <w:r w:rsidRPr="007F343E">
        <w:rPr>
          <w:rFonts w:cs="Times New Roman"/>
          <w:szCs w:val="22"/>
        </w:rPr>
        <w:t xml:space="preserve"> tonnes is high </w:t>
      </w:r>
      <w:r w:rsidR="001E26C7">
        <w:rPr>
          <w:rFonts w:cs="Times New Roman"/>
          <w:szCs w:val="22"/>
        </w:rPr>
        <w:t xml:space="preserve">HFC-404A with a </w:t>
      </w:r>
      <w:r w:rsidRPr="007F343E">
        <w:rPr>
          <w:rFonts w:cs="Times New Roman"/>
          <w:szCs w:val="22"/>
        </w:rPr>
        <w:t>GWP</w:t>
      </w:r>
      <w:r w:rsidR="001E26C7" w:rsidRPr="001E26C7">
        <w:rPr>
          <w:rFonts w:cs="Times New Roman"/>
          <w:szCs w:val="22"/>
          <w:vertAlign w:val="superscript"/>
        </w:rPr>
        <w:t>AR4</w:t>
      </w:r>
      <w:r w:rsidR="001E26C7">
        <w:rPr>
          <w:rFonts w:cs="Times New Roman"/>
          <w:szCs w:val="22"/>
        </w:rPr>
        <w:t xml:space="preserve"> of 3922</w:t>
      </w:r>
      <w:r w:rsidRPr="007F343E">
        <w:rPr>
          <w:rFonts w:cs="Times New Roman"/>
          <w:szCs w:val="22"/>
        </w:rPr>
        <w:t xml:space="preserve">, or </w:t>
      </w:r>
      <w:r w:rsidRPr="001E26C7">
        <w:rPr>
          <w:rFonts w:cs="Times New Roman"/>
          <w:szCs w:val="22"/>
        </w:rPr>
        <w:t xml:space="preserve">about </w:t>
      </w:r>
      <w:r w:rsidR="001E26C7" w:rsidRPr="001E26C7">
        <w:rPr>
          <w:rFonts w:cs="Times New Roman"/>
          <w:szCs w:val="22"/>
        </w:rPr>
        <w:t>11</w:t>
      </w:r>
      <w:r w:rsidRPr="001E26C7">
        <w:rPr>
          <w:rFonts w:cs="Times New Roman"/>
          <w:szCs w:val="22"/>
        </w:rPr>
        <w:t>% of all</w:t>
      </w:r>
      <w:r w:rsidRPr="007F343E">
        <w:rPr>
          <w:rFonts w:cs="Times New Roman"/>
          <w:szCs w:val="22"/>
        </w:rPr>
        <w:t xml:space="preserve"> high GWP HFCs employed in Australia.</w:t>
      </w:r>
    </w:p>
    <w:p w:rsidR="00EF5AFB" w:rsidRPr="007F343E" w:rsidRDefault="00EF5AFB" w:rsidP="00EF5AFB">
      <w:pPr>
        <w:rPr>
          <w:rFonts w:cs="Times New Roman"/>
          <w:szCs w:val="22"/>
        </w:rPr>
      </w:pPr>
      <w:r w:rsidRPr="007F343E">
        <w:rPr>
          <w:rFonts w:cs="Times New Roman"/>
          <w:szCs w:val="22"/>
        </w:rPr>
        <w:t xml:space="preserve">Notably, running third behind both </w:t>
      </w:r>
      <w:r w:rsidR="00A45241">
        <w:rPr>
          <w:rFonts w:cs="Times New Roman"/>
          <w:szCs w:val="22"/>
        </w:rPr>
        <w:t>mobile</w:t>
      </w:r>
      <w:r w:rsidRPr="007F343E">
        <w:rPr>
          <w:rFonts w:cs="Times New Roman"/>
          <w:szCs w:val="22"/>
        </w:rPr>
        <w:t xml:space="preserve"> and </w:t>
      </w:r>
      <w:r w:rsidR="00A45241">
        <w:rPr>
          <w:rFonts w:cs="Times New Roman"/>
          <w:szCs w:val="22"/>
        </w:rPr>
        <w:t>s</w:t>
      </w:r>
      <w:r w:rsidRPr="007F343E">
        <w:rPr>
          <w:rFonts w:cs="Times New Roman"/>
          <w:szCs w:val="22"/>
        </w:rPr>
        <w:t xml:space="preserve">tationary AC in terms of the total bank employed, this sector consumes approximately </w:t>
      </w:r>
      <w:r w:rsidR="001E26C7">
        <w:rPr>
          <w:rFonts w:cs="Times New Roman"/>
          <w:szCs w:val="22"/>
        </w:rPr>
        <w:t>1,000</w:t>
      </w:r>
      <w:r w:rsidRPr="007F343E">
        <w:rPr>
          <w:rFonts w:cs="Times New Roman"/>
          <w:szCs w:val="22"/>
        </w:rPr>
        <w:t xml:space="preserve"> tonnes per annum, or </w:t>
      </w:r>
      <w:r w:rsidRPr="001E26C7">
        <w:rPr>
          <w:rFonts w:cs="Times New Roman"/>
          <w:szCs w:val="22"/>
        </w:rPr>
        <w:t>around 2</w:t>
      </w:r>
      <w:r w:rsidR="001E26C7" w:rsidRPr="001E26C7">
        <w:rPr>
          <w:rFonts w:cs="Times New Roman"/>
          <w:szCs w:val="22"/>
        </w:rPr>
        <w:t>5</w:t>
      </w:r>
      <w:r w:rsidRPr="001E26C7">
        <w:rPr>
          <w:rFonts w:cs="Times New Roman"/>
          <w:szCs w:val="22"/>
        </w:rPr>
        <w:t>%</w:t>
      </w:r>
      <w:r w:rsidRPr="007F343E">
        <w:rPr>
          <w:rFonts w:cs="Times New Roman"/>
          <w:szCs w:val="22"/>
        </w:rPr>
        <w:t xml:space="preserve"> of all annual consumption, second only to </w:t>
      </w:r>
      <w:r w:rsidR="00A45241">
        <w:rPr>
          <w:rFonts w:cs="Times New Roman"/>
          <w:szCs w:val="22"/>
        </w:rPr>
        <w:t xml:space="preserve">mobile </w:t>
      </w:r>
      <w:r w:rsidRPr="007F343E">
        <w:rPr>
          <w:rFonts w:cs="Times New Roman"/>
          <w:szCs w:val="22"/>
        </w:rPr>
        <w:t>ACs.</w:t>
      </w:r>
    </w:p>
    <w:p w:rsidR="00EF5AFB" w:rsidRPr="007F343E" w:rsidRDefault="00EF5AFB" w:rsidP="00EF5AFB">
      <w:pPr>
        <w:rPr>
          <w:rFonts w:cs="Times New Roman"/>
          <w:szCs w:val="22"/>
        </w:rPr>
      </w:pPr>
      <w:r w:rsidRPr="007F343E">
        <w:rPr>
          <w:rFonts w:cs="Times New Roman"/>
          <w:szCs w:val="22"/>
        </w:rPr>
        <w:t>Consumption of bulk HFCs, as compared to the split of the bank, across the three main categories of non-domestic refrigeration varies considerably as a result of the differing characteristics of the technology.</w:t>
      </w:r>
    </w:p>
    <w:p w:rsidR="00EF5AFB" w:rsidRPr="007F343E" w:rsidRDefault="00EF5AFB" w:rsidP="00EF5AFB">
      <w:pPr>
        <w:rPr>
          <w:rFonts w:cs="Times New Roman"/>
          <w:szCs w:val="22"/>
        </w:rPr>
      </w:pPr>
      <w:r w:rsidRPr="007F343E">
        <w:rPr>
          <w:rFonts w:cs="Times New Roman"/>
          <w:szCs w:val="22"/>
        </w:rPr>
        <w:t xml:space="preserve">The numerous stand-alone systems with small refrigerant charges, that are typically hermetically sealed, contain a bank of approximately </w:t>
      </w:r>
      <w:r w:rsidR="001E26C7">
        <w:rPr>
          <w:rFonts w:cs="Times New Roman"/>
          <w:szCs w:val="22"/>
        </w:rPr>
        <w:t>900</w:t>
      </w:r>
      <w:r w:rsidRPr="007F343E">
        <w:rPr>
          <w:rFonts w:cs="Times New Roman"/>
          <w:szCs w:val="22"/>
        </w:rPr>
        <w:t xml:space="preserve"> tonnes (around 2% of the total bank), and have an annual leak rate of between 3% and 6%, requiring just under around 8</w:t>
      </w:r>
      <w:r w:rsidR="001E26C7">
        <w:rPr>
          <w:rFonts w:cs="Times New Roman"/>
          <w:szCs w:val="22"/>
        </w:rPr>
        <w:t>7</w:t>
      </w:r>
      <w:r w:rsidRPr="007F343E">
        <w:rPr>
          <w:rFonts w:cs="Times New Roman"/>
          <w:szCs w:val="22"/>
        </w:rPr>
        <w:t xml:space="preserve"> tonnes of bulk imported HFCs to replace lost gas in 2013 and small OEMs. </w:t>
      </w:r>
    </w:p>
    <w:p w:rsidR="00EF5AFB" w:rsidRPr="007F343E" w:rsidRDefault="00EF5AFB" w:rsidP="00EF5AFB">
      <w:pPr>
        <w:rPr>
          <w:rFonts w:cs="Times New Roman"/>
          <w:szCs w:val="22"/>
        </w:rPr>
      </w:pPr>
      <w:r w:rsidRPr="007F343E">
        <w:rPr>
          <w:rFonts w:cs="Times New Roman"/>
          <w:szCs w:val="22"/>
        </w:rPr>
        <w:t>On the other hand refrigeration systems</w:t>
      </w:r>
      <w:r w:rsidR="001E26C7">
        <w:rPr>
          <w:rFonts w:cs="Times New Roman"/>
          <w:szCs w:val="22"/>
        </w:rPr>
        <w:t xml:space="preserve"> with remote condensing units</w:t>
      </w:r>
      <w:r w:rsidRPr="007F343E">
        <w:rPr>
          <w:rFonts w:cs="Times New Roman"/>
          <w:szCs w:val="22"/>
        </w:rPr>
        <w:t xml:space="preserve">, which are generally hard working systems, with often long exposed refrigeration lines operating in areas such as loading bays, distribution centres and the packing areas of farms, with a bank of about </w:t>
      </w:r>
      <w:r w:rsidR="001E26C7">
        <w:rPr>
          <w:rFonts w:cs="Times New Roman"/>
          <w:szCs w:val="22"/>
        </w:rPr>
        <w:t>3,040</w:t>
      </w:r>
      <w:r w:rsidRPr="007F343E">
        <w:rPr>
          <w:rFonts w:cs="Times New Roman"/>
          <w:szCs w:val="22"/>
        </w:rPr>
        <w:t xml:space="preserve"> tonnes of high GWP HFCs </w:t>
      </w:r>
      <w:r w:rsidRPr="001E26C7">
        <w:rPr>
          <w:rFonts w:cs="Times New Roman"/>
          <w:szCs w:val="22"/>
        </w:rPr>
        <w:t>(around 7%</w:t>
      </w:r>
      <w:r w:rsidRPr="007F343E">
        <w:rPr>
          <w:rFonts w:cs="Times New Roman"/>
          <w:szCs w:val="22"/>
        </w:rPr>
        <w:t xml:space="preserve"> of the bank), have an annual leak rate of about </w:t>
      </w:r>
      <w:r w:rsidRPr="001E26C7">
        <w:rPr>
          <w:rFonts w:cs="Times New Roman"/>
          <w:szCs w:val="22"/>
        </w:rPr>
        <w:t>15%,</w:t>
      </w:r>
      <w:r w:rsidRPr="007F343E">
        <w:rPr>
          <w:rFonts w:cs="Times New Roman"/>
          <w:szCs w:val="22"/>
        </w:rPr>
        <w:t xml:space="preserve"> requiring more than </w:t>
      </w:r>
      <w:r w:rsidR="001E26C7">
        <w:rPr>
          <w:rFonts w:cs="Times New Roman"/>
          <w:szCs w:val="22"/>
        </w:rPr>
        <w:t>456</w:t>
      </w:r>
      <w:r w:rsidRPr="007F343E">
        <w:rPr>
          <w:rFonts w:cs="Times New Roman"/>
          <w:szCs w:val="22"/>
        </w:rPr>
        <w:t xml:space="preserve"> tonnes of bulk imported HFCs in 2013 (</w:t>
      </w:r>
      <w:r w:rsidRPr="006E719A">
        <w:rPr>
          <w:rFonts w:cs="Times New Roman"/>
          <w:szCs w:val="22"/>
        </w:rPr>
        <w:t>more than 11% of total consumption</w:t>
      </w:r>
      <w:r w:rsidRPr="007F343E">
        <w:rPr>
          <w:rFonts w:cs="Times New Roman"/>
          <w:szCs w:val="22"/>
        </w:rPr>
        <w:t xml:space="preserve"> of bulk imported high GWP HFCs in 2013). A further 204 tonnes of bulk high GWP HFCs were imported to charge new equipment with remote condensing units.</w:t>
      </w:r>
    </w:p>
    <w:p w:rsidR="00EF5AFB" w:rsidRPr="007F343E" w:rsidRDefault="00EF5AFB" w:rsidP="00EF5AFB">
      <w:pPr>
        <w:rPr>
          <w:rFonts w:cs="Times New Roman"/>
          <w:szCs w:val="22"/>
        </w:rPr>
      </w:pPr>
      <w:r w:rsidRPr="007F343E">
        <w:rPr>
          <w:rFonts w:cs="Times New Roman"/>
          <w:szCs w:val="22"/>
        </w:rPr>
        <w:t xml:space="preserve">The equally hard working but often better maintained supermarket systems are estimated to contain some </w:t>
      </w:r>
      <w:r w:rsidRPr="006E719A">
        <w:rPr>
          <w:rFonts w:cs="Times New Roman"/>
          <w:szCs w:val="22"/>
        </w:rPr>
        <w:t>1,130 tonnes of</w:t>
      </w:r>
      <w:r w:rsidRPr="007F343E">
        <w:rPr>
          <w:rFonts w:cs="Times New Roman"/>
          <w:szCs w:val="22"/>
        </w:rPr>
        <w:t xml:space="preserve"> high GWP HFCs (around 3% of the bank) and, with a leak rate of around 12%, required </w:t>
      </w:r>
      <w:r w:rsidRPr="006E719A">
        <w:rPr>
          <w:rFonts w:cs="Times New Roman"/>
          <w:szCs w:val="22"/>
        </w:rPr>
        <w:t>some 14</w:t>
      </w:r>
      <w:r w:rsidR="006E719A" w:rsidRPr="006E719A">
        <w:rPr>
          <w:rFonts w:cs="Times New Roman"/>
          <w:szCs w:val="22"/>
        </w:rPr>
        <w:t>1</w:t>
      </w:r>
      <w:r w:rsidRPr="006E719A">
        <w:rPr>
          <w:rFonts w:cs="Times New Roman"/>
          <w:szCs w:val="22"/>
        </w:rPr>
        <w:t xml:space="preserve"> tonnes of bulk imported HFCs to replace losses (or approximately 4.4% of annual consumption). A further 112 tonnes of bulk high GWP HFCs was imported for charging new equipment in the supermarket sector</w:t>
      </w:r>
      <w:r w:rsidRPr="007F343E">
        <w:rPr>
          <w:rFonts w:cs="Times New Roman"/>
          <w:szCs w:val="22"/>
        </w:rPr>
        <w:t>.</w:t>
      </w:r>
    </w:p>
    <w:p w:rsidR="00EF5AFB" w:rsidRPr="007F343E" w:rsidRDefault="00EF5AFB" w:rsidP="00EF5AFB">
      <w:pPr>
        <w:spacing w:before="240"/>
        <w:outlineLvl w:val="0"/>
        <w:rPr>
          <w:rFonts w:cs="Times New Roman"/>
          <w:b/>
          <w:szCs w:val="22"/>
        </w:rPr>
      </w:pPr>
      <w:r w:rsidRPr="007F343E">
        <w:rPr>
          <w:rFonts w:cs="Times New Roman"/>
          <w:b/>
          <w:szCs w:val="22"/>
        </w:rPr>
        <w:t xml:space="preserve">The stock of equipment, annual sales, industry trends </w:t>
      </w:r>
    </w:p>
    <w:p w:rsidR="00EF5AFB" w:rsidRPr="007F343E" w:rsidRDefault="00EF5AFB" w:rsidP="00EF5AFB">
      <w:pPr>
        <w:outlineLvl w:val="0"/>
        <w:rPr>
          <w:rFonts w:cs="Times New Roman"/>
          <w:szCs w:val="22"/>
          <w:u w:val="single"/>
        </w:rPr>
      </w:pPr>
      <w:r w:rsidRPr="007F343E">
        <w:rPr>
          <w:rFonts w:cs="Times New Roman"/>
          <w:szCs w:val="22"/>
          <w:u w:val="single"/>
        </w:rPr>
        <w:t>Small RCFC:</w:t>
      </w:r>
      <w:r w:rsidRPr="007F343E">
        <w:rPr>
          <w:rFonts w:cs="Times New Roman"/>
          <w:b/>
          <w:szCs w:val="22"/>
        </w:rPr>
        <w:t xml:space="preserve"> </w:t>
      </w:r>
      <w:r w:rsidRPr="007F343E">
        <w:rPr>
          <w:rFonts w:cs="Times New Roman"/>
          <w:szCs w:val="22"/>
          <w:u w:val="single"/>
        </w:rPr>
        <w:t>Self-contained equipment (charge &lt;1.5kg)</w:t>
      </w:r>
    </w:p>
    <w:p w:rsidR="00EF5AFB" w:rsidRPr="007F343E" w:rsidRDefault="00EF5AFB" w:rsidP="00EF5AFB">
      <w:pPr>
        <w:outlineLvl w:val="0"/>
        <w:rPr>
          <w:rFonts w:cs="Times New Roman"/>
          <w:szCs w:val="22"/>
        </w:rPr>
      </w:pPr>
      <w:r w:rsidRPr="007F343E">
        <w:rPr>
          <w:rFonts w:cs="Times New Roman"/>
          <w:szCs w:val="22"/>
        </w:rPr>
        <w:t xml:space="preserve">Demand from stand-alone commercial refrigeration is estimated to result in the import of approximately 83 tonnes of high GWP HFCs or approximately 2.5% of total bulk imports in 2013. </w:t>
      </w:r>
    </w:p>
    <w:p w:rsidR="00EF5AFB" w:rsidRPr="007F343E" w:rsidRDefault="00EF5AFB" w:rsidP="00EF5AFB">
      <w:pPr>
        <w:outlineLvl w:val="0"/>
        <w:rPr>
          <w:rFonts w:eastAsia="Times New Roman" w:cs="Times New Roman"/>
          <w:spacing w:val="-1"/>
          <w:szCs w:val="22"/>
          <w:lang w:val="en-US"/>
        </w:rPr>
      </w:pPr>
      <w:r w:rsidRPr="007F343E">
        <w:rPr>
          <w:rFonts w:cs="Times New Roman"/>
          <w:szCs w:val="22"/>
        </w:rPr>
        <w:t>Stand alone commercial refrigeration equipment typically contains a factory-assembled, hermetically sealed, vapour-compression refrigeration system with relatively small refrigerant charges ranging from 40</w:t>
      </w:r>
      <w:r w:rsidR="008C6F9E">
        <w:rPr>
          <w:rFonts w:cs="Times New Roman"/>
          <w:szCs w:val="22"/>
        </w:rPr>
        <w:t xml:space="preserve"> </w:t>
      </w:r>
      <w:r w:rsidR="00436D19">
        <w:rPr>
          <w:rFonts w:cs="Times New Roman"/>
          <w:szCs w:val="22"/>
        </w:rPr>
        <w:t>grams</w:t>
      </w:r>
      <w:r w:rsidR="008C6F9E">
        <w:rPr>
          <w:rFonts w:cs="Times New Roman"/>
          <w:szCs w:val="22"/>
        </w:rPr>
        <w:t xml:space="preserve"> </w:t>
      </w:r>
      <w:r w:rsidRPr="007F343E">
        <w:rPr>
          <w:rFonts w:cs="Times New Roman"/>
          <w:szCs w:val="22"/>
        </w:rPr>
        <w:t>in a bottle water cooler to up to 1.5 kg in a refrigerated display case</w:t>
      </w:r>
      <w:r w:rsidRPr="007F343E">
        <w:rPr>
          <w:rFonts w:eastAsia="Times New Roman" w:cs="Times New Roman"/>
          <w:spacing w:val="-1"/>
          <w:szCs w:val="22"/>
          <w:lang w:val="en-US"/>
        </w:rPr>
        <w:t>.</w:t>
      </w:r>
    </w:p>
    <w:p w:rsidR="00EF5AFB" w:rsidRPr="007F343E" w:rsidRDefault="00EF5AFB" w:rsidP="00EF5AFB">
      <w:pPr>
        <w:rPr>
          <w:rFonts w:cs="Times New Roman"/>
          <w:szCs w:val="22"/>
        </w:rPr>
      </w:pPr>
      <w:r w:rsidRPr="007F343E">
        <w:rPr>
          <w:rFonts w:cs="Times New Roman"/>
          <w:szCs w:val="22"/>
        </w:rPr>
        <w:t>Stand alone refrigeration is used in a diverse range of equipment and applications. It is estimated that there are approximately 810,000 pieces of stand</w:t>
      </w:r>
      <w:r w:rsidR="00DB1BD1">
        <w:rPr>
          <w:rFonts w:cs="Times New Roman"/>
          <w:szCs w:val="22"/>
        </w:rPr>
        <w:t>-</w:t>
      </w:r>
      <w:r w:rsidRPr="007F343E">
        <w:rPr>
          <w:rFonts w:cs="Times New Roman"/>
          <w:szCs w:val="22"/>
        </w:rPr>
        <w:t xml:space="preserve">alone commercial refrigeration equipment operating in Australia of which more than 730,000 are charged with high GWP HFCs in such applications as: </w:t>
      </w:r>
    </w:p>
    <w:p w:rsidR="00EF5AFB" w:rsidRPr="007F343E" w:rsidRDefault="00EF5AFB" w:rsidP="00E97935">
      <w:pPr>
        <w:numPr>
          <w:ilvl w:val="0"/>
          <w:numId w:val="20"/>
        </w:numPr>
        <w:rPr>
          <w:rFonts w:cs="Times New Roman"/>
          <w:szCs w:val="22"/>
        </w:rPr>
      </w:pPr>
      <w:r w:rsidRPr="007F343E">
        <w:rPr>
          <w:rFonts w:cs="Times New Roman"/>
          <w:szCs w:val="22"/>
        </w:rPr>
        <w:t>Refrigerated display cabinets covering plug-in-type food retail and supermarket cabinets; sandwich-pizza preparation and display counters; kitchen and foodservice storage and preparation equipment; glass door merchandisers and upright cabinets; chest cabinets commonly used for ice cream display; ice cream makers; blast chiller freezers; wine, drink and glass chilling cabinets for bars, restaurants and hotels, and various speciali</w:t>
      </w:r>
      <w:r w:rsidR="009966DB">
        <w:rPr>
          <w:rFonts w:cs="Times New Roman"/>
          <w:szCs w:val="22"/>
        </w:rPr>
        <w:t>s</w:t>
      </w:r>
      <w:r w:rsidRPr="007F343E">
        <w:rPr>
          <w:rFonts w:cs="Times New Roman"/>
          <w:szCs w:val="22"/>
        </w:rPr>
        <w:t>ed cabinets for food catering and pharmaceutical applications;</w:t>
      </w:r>
    </w:p>
    <w:p w:rsidR="00EF5AFB" w:rsidRPr="007F343E" w:rsidRDefault="00EF5AFB" w:rsidP="00E97935">
      <w:pPr>
        <w:numPr>
          <w:ilvl w:val="0"/>
          <w:numId w:val="20"/>
        </w:numPr>
        <w:rPr>
          <w:rFonts w:cs="Times New Roman"/>
          <w:szCs w:val="22"/>
        </w:rPr>
      </w:pPr>
      <w:r w:rsidRPr="007F343E">
        <w:rPr>
          <w:rFonts w:cs="Times New Roman"/>
          <w:szCs w:val="22"/>
        </w:rPr>
        <w:t>Bottle water coolers and water dispensers for offices, factories, gymnasiums, etc.;</w:t>
      </w:r>
    </w:p>
    <w:p w:rsidR="00EF5AFB" w:rsidRPr="007F343E" w:rsidRDefault="00EF5AFB" w:rsidP="00E97935">
      <w:pPr>
        <w:numPr>
          <w:ilvl w:val="0"/>
          <w:numId w:val="20"/>
        </w:numPr>
        <w:rPr>
          <w:rFonts w:cs="Times New Roman"/>
          <w:szCs w:val="22"/>
        </w:rPr>
      </w:pPr>
      <w:r w:rsidRPr="007F343E">
        <w:rPr>
          <w:rFonts w:cs="Times New Roman"/>
          <w:szCs w:val="22"/>
        </w:rPr>
        <w:t>Refrigerated beverage vending machines often purchased by major food manufacturers such as Coca-Cola, Pepsi and Schweppes, and also independent vending suppliers located at airports, railway stations, offices, factories, warehouses, universities and schools, etc;</w:t>
      </w:r>
    </w:p>
    <w:p w:rsidR="00EF5AFB" w:rsidRPr="007F343E" w:rsidRDefault="00EF5AFB" w:rsidP="00E97935">
      <w:pPr>
        <w:numPr>
          <w:ilvl w:val="0"/>
          <w:numId w:val="20"/>
        </w:numPr>
        <w:rPr>
          <w:rFonts w:cs="Times New Roman"/>
          <w:szCs w:val="22"/>
        </w:rPr>
      </w:pPr>
      <w:r w:rsidRPr="007F343E">
        <w:rPr>
          <w:rFonts w:cs="Times New Roman"/>
          <w:szCs w:val="22"/>
        </w:rPr>
        <w:t>Ice makers commonly used in cafes, hotels/bars and food courts. These are generally packaged freestanding, bench-top or under-bench units, and may have a small storage basket or bin with access door, or dispense ice and beverages automatically;</w:t>
      </w:r>
    </w:p>
    <w:p w:rsidR="00EF5AFB" w:rsidRPr="007F343E" w:rsidRDefault="00EF5AFB" w:rsidP="00E97935">
      <w:pPr>
        <w:numPr>
          <w:ilvl w:val="0"/>
          <w:numId w:val="20"/>
        </w:numPr>
        <w:rPr>
          <w:rFonts w:cs="Times New Roman"/>
          <w:szCs w:val="22"/>
        </w:rPr>
      </w:pPr>
      <w:r w:rsidRPr="007F343E">
        <w:rPr>
          <w:rFonts w:cs="Times New Roman"/>
          <w:szCs w:val="22"/>
        </w:rPr>
        <w:t>Post-mix beverage cooling and dispensing equipment that transforms concentrated syrup, typically supplied in ‘bag-in-box’ casks, mixed with water that is circulated through an ice bank cooler to serve carbonated drinks in all sorts of hospitality venues including pubs, clubs, hotels, large restaurants with bars and entertainment venues;</w:t>
      </w:r>
    </w:p>
    <w:p w:rsidR="00EF5AFB" w:rsidRPr="007F343E" w:rsidRDefault="00EF5AFB" w:rsidP="00E97935">
      <w:pPr>
        <w:numPr>
          <w:ilvl w:val="0"/>
          <w:numId w:val="20"/>
        </w:numPr>
        <w:rPr>
          <w:rFonts w:cs="Times New Roman"/>
          <w:szCs w:val="22"/>
        </w:rPr>
      </w:pPr>
      <w:r w:rsidRPr="007F343E">
        <w:rPr>
          <w:rFonts w:cs="Times New Roman"/>
          <w:szCs w:val="22"/>
        </w:rPr>
        <w:t>Drop-in and slide-in packaged refrigeration units used in small walk-in coolrooms extensively used throughout the food chain to refrigerate fresh, chilled and frozen produce; and,</w:t>
      </w:r>
    </w:p>
    <w:p w:rsidR="00EF5AFB" w:rsidRPr="007F343E" w:rsidRDefault="00EF5AFB" w:rsidP="00E97935">
      <w:pPr>
        <w:numPr>
          <w:ilvl w:val="0"/>
          <w:numId w:val="20"/>
        </w:numPr>
        <w:rPr>
          <w:rFonts w:cs="Times New Roman"/>
          <w:szCs w:val="22"/>
        </w:rPr>
      </w:pPr>
      <w:r w:rsidRPr="007F343E">
        <w:rPr>
          <w:rFonts w:cs="Times New Roman"/>
          <w:szCs w:val="22"/>
        </w:rPr>
        <w:t>Small packaged liquid chillers used in a wide variety of applications in laboratories and industry.</w:t>
      </w:r>
    </w:p>
    <w:p w:rsidR="00EF5AFB" w:rsidRPr="007F343E" w:rsidRDefault="00EF5AFB" w:rsidP="00EF5AFB">
      <w:pPr>
        <w:rPr>
          <w:rFonts w:cs="Times New Roman"/>
          <w:szCs w:val="22"/>
        </w:rPr>
      </w:pPr>
      <w:r w:rsidRPr="007F343E">
        <w:rPr>
          <w:rFonts w:cs="Times New Roman"/>
          <w:szCs w:val="22"/>
        </w:rPr>
        <w:t xml:space="preserve">Consumption of bulk import synthetic refrigerant is declining in this technology segment, mostly as more and more equipment is imported as pre-charged equipment containing synthetic refrigerants. The main local manufacturers include Williams Refrigeration, Hoshizaki Lancer, IMI Cornellius, Zip Industries, Aquacooler, Stoddart Manufacturing and others. The 2010 closure of Orford Refrigeration’s commercial refrigeration manufacturing operations in </w:t>
      </w:r>
      <w:r w:rsidR="009B4376" w:rsidRPr="007F343E">
        <w:rPr>
          <w:rFonts w:cs="Times New Roman"/>
          <w:szCs w:val="22"/>
        </w:rPr>
        <w:t>Toowoomba</w:t>
      </w:r>
      <w:r w:rsidRPr="007F343E">
        <w:rPr>
          <w:rFonts w:cs="Times New Roman"/>
          <w:szCs w:val="22"/>
        </w:rPr>
        <w:t>, Queensland and Frigrite Refrigeration in Victoria switched at least 15 mt of HFC-134a from bulk imports per annum to pre-charged imports in the future.</w:t>
      </w:r>
    </w:p>
    <w:p w:rsidR="00EF5AFB" w:rsidRPr="007F343E" w:rsidRDefault="00EF5AFB" w:rsidP="00EF5AFB">
      <w:pPr>
        <w:spacing w:before="240"/>
        <w:rPr>
          <w:rFonts w:cs="Times New Roman"/>
          <w:szCs w:val="22"/>
          <w:u w:val="single"/>
        </w:rPr>
      </w:pPr>
      <w:r w:rsidRPr="007F343E">
        <w:rPr>
          <w:rFonts w:cs="Times New Roman"/>
          <w:szCs w:val="22"/>
          <w:u w:val="single"/>
        </w:rPr>
        <w:t>Medium RCFC: Remote condensing units</w:t>
      </w:r>
    </w:p>
    <w:p w:rsidR="00EF5AFB" w:rsidRPr="007F343E" w:rsidRDefault="00EF5AFB" w:rsidP="00EF5AFB">
      <w:pPr>
        <w:rPr>
          <w:rFonts w:cs="Times New Roman"/>
          <w:szCs w:val="22"/>
        </w:rPr>
      </w:pPr>
      <w:r w:rsidRPr="007F343E">
        <w:rPr>
          <w:rFonts w:cs="Times New Roman"/>
          <w:szCs w:val="22"/>
        </w:rPr>
        <w:t xml:space="preserve">Remote condensing units employ a bank of approximately around </w:t>
      </w:r>
      <w:r w:rsidR="00C60424">
        <w:rPr>
          <w:rFonts w:cs="Times New Roman"/>
          <w:szCs w:val="22"/>
        </w:rPr>
        <w:t>3,040</w:t>
      </w:r>
      <w:r w:rsidRPr="007F343E">
        <w:rPr>
          <w:rFonts w:cs="Times New Roman"/>
          <w:szCs w:val="22"/>
        </w:rPr>
        <w:t xml:space="preserve"> tonnes of high GWP HFCs, or </w:t>
      </w:r>
      <w:r w:rsidRPr="00C60424">
        <w:rPr>
          <w:rFonts w:cs="Times New Roman"/>
          <w:szCs w:val="22"/>
        </w:rPr>
        <w:t xml:space="preserve">about </w:t>
      </w:r>
      <w:r w:rsidR="00C60424" w:rsidRPr="00C60424">
        <w:rPr>
          <w:rFonts w:cs="Times New Roman"/>
          <w:szCs w:val="22"/>
        </w:rPr>
        <w:t>7</w:t>
      </w:r>
      <w:r w:rsidRPr="00C60424">
        <w:rPr>
          <w:rFonts w:cs="Times New Roman"/>
          <w:szCs w:val="22"/>
        </w:rPr>
        <w:t>%</w:t>
      </w:r>
      <w:r w:rsidRPr="007F343E">
        <w:rPr>
          <w:rFonts w:cs="Times New Roman"/>
          <w:szCs w:val="22"/>
        </w:rPr>
        <w:t xml:space="preserve"> of the bank. Demand for servicing and charging new remote condensing units is estimated to result in the import of approximately </w:t>
      </w:r>
      <w:r w:rsidR="00C60424">
        <w:rPr>
          <w:rFonts w:cs="Times New Roman"/>
          <w:szCs w:val="22"/>
        </w:rPr>
        <w:t>660</w:t>
      </w:r>
      <w:r w:rsidRPr="007F343E">
        <w:rPr>
          <w:rFonts w:cs="Times New Roman"/>
          <w:szCs w:val="22"/>
        </w:rPr>
        <w:t xml:space="preserve"> tonnes of high GWP HFCs or approximately </w:t>
      </w:r>
      <w:r w:rsidR="00C60424">
        <w:rPr>
          <w:rFonts w:cs="Times New Roman"/>
          <w:szCs w:val="22"/>
        </w:rPr>
        <w:t>16</w:t>
      </w:r>
      <w:r w:rsidRPr="007F343E">
        <w:rPr>
          <w:rFonts w:cs="Times New Roman"/>
          <w:szCs w:val="22"/>
        </w:rPr>
        <w:t xml:space="preserve">% of total bulk imports in 2013. </w:t>
      </w:r>
    </w:p>
    <w:p w:rsidR="00EF5AFB" w:rsidRPr="007F343E" w:rsidRDefault="00EF5AFB" w:rsidP="00EF5AFB">
      <w:pPr>
        <w:rPr>
          <w:rFonts w:cs="Times New Roman"/>
          <w:szCs w:val="22"/>
        </w:rPr>
      </w:pPr>
      <w:r w:rsidRPr="007F343E">
        <w:rPr>
          <w:rFonts w:cs="Times New Roman"/>
          <w:szCs w:val="22"/>
        </w:rPr>
        <w:t>Remote condensing units typically range from 1 kWr to 20 kWr in refrigerating capacity, are composed of either one or two compressors, one condenser, and one receiver and are assembled into a ‘condensing unit’, which is typically located outdoors or ‘remote’ from the trading floor or refrigerated space.</w:t>
      </w:r>
    </w:p>
    <w:p w:rsidR="00EF5AFB" w:rsidRPr="007F343E" w:rsidRDefault="00EF5AFB" w:rsidP="00EF5AFB">
      <w:pPr>
        <w:rPr>
          <w:rFonts w:cs="Times New Roman"/>
          <w:szCs w:val="22"/>
        </w:rPr>
      </w:pPr>
      <w:r w:rsidRPr="007F343E">
        <w:rPr>
          <w:rFonts w:cs="Times New Roman"/>
          <w:szCs w:val="22"/>
        </w:rPr>
        <w:t>Nearly 300,000 refrigeration systems with remote condensing units are used in a variety of applications including on refrigerated display cabinets, walk-in cool rooms, beverage cooling (beer), milk vat refrigeration on dairy farms and chilling and fre</w:t>
      </w:r>
      <w:r>
        <w:rPr>
          <w:rFonts w:cs="Times New Roman"/>
          <w:szCs w:val="22"/>
        </w:rPr>
        <w:t>ezing applications in industry with less than 0.5% containing refrigerants with a GWP &lt;10.</w:t>
      </w:r>
      <w:r w:rsidRPr="007F343E">
        <w:rPr>
          <w:rFonts w:cs="Times New Roman"/>
          <w:szCs w:val="22"/>
        </w:rPr>
        <w:t xml:space="preserve"> </w:t>
      </w:r>
    </w:p>
    <w:p w:rsidR="00EF5AFB" w:rsidRPr="007F343E" w:rsidRDefault="00EF5AFB" w:rsidP="00EF5AFB">
      <w:pPr>
        <w:rPr>
          <w:rFonts w:cs="Times New Roman"/>
          <w:szCs w:val="22"/>
        </w:rPr>
      </w:pPr>
      <w:r w:rsidRPr="007F343E">
        <w:rPr>
          <w:rFonts w:cs="Times New Roman"/>
          <w:szCs w:val="22"/>
        </w:rPr>
        <w:t>These medium sized and very hard working systems, often situated in high traffic areas of food processing, wholesaling and retailing operations, are estimated to have</w:t>
      </w:r>
      <w:r>
        <w:rPr>
          <w:rFonts w:cs="Times New Roman"/>
          <w:szCs w:val="22"/>
        </w:rPr>
        <w:t xml:space="preserve"> an </w:t>
      </w:r>
      <w:r w:rsidRPr="00885AF5">
        <w:rPr>
          <w:rFonts w:cs="Times New Roman"/>
          <w:szCs w:val="22"/>
        </w:rPr>
        <w:t>average leak</w:t>
      </w:r>
      <w:r w:rsidRPr="007F343E">
        <w:rPr>
          <w:rFonts w:cs="Times New Roman"/>
          <w:szCs w:val="22"/>
        </w:rPr>
        <w:t xml:space="preserve"> rates in the vicinity of 15% per annum, making them one of the largest consumers of bulk imports of HFCs. These systems are also an essential element of the cold food chain employed from farm to factory, in retail and hospitality.</w:t>
      </w:r>
    </w:p>
    <w:p w:rsidR="00EF5AFB" w:rsidRPr="007F343E" w:rsidRDefault="00EF5AFB" w:rsidP="00EF5AFB">
      <w:pPr>
        <w:rPr>
          <w:rFonts w:cs="Times New Roman"/>
          <w:szCs w:val="22"/>
        </w:rPr>
      </w:pPr>
      <w:r w:rsidRPr="007F343E">
        <w:rPr>
          <w:rFonts w:cs="Times New Roman"/>
          <w:szCs w:val="22"/>
        </w:rPr>
        <w:t xml:space="preserve">The largest stocks of equipment in this diverse class can be found </w:t>
      </w:r>
      <w:r>
        <w:rPr>
          <w:rFonts w:cs="Times New Roman"/>
          <w:szCs w:val="22"/>
        </w:rPr>
        <w:t xml:space="preserve">driving refrigeration cabinets, </w:t>
      </w:r>
      <w:r w:rsidRPr="007F343E">
        <w:rPr>
          <w:rFonts w:cs="Times New Roman"/>
          <w:szCs w:val="22"/>
        </w:rPr>
        <w:t>walk-in cool rooms</w:t>
      </w:r>
      <w:r>
        <w:rPr>
          <w:rFonts w:cs="Times New Roman"/>
          <w:szCs w:val="22"/>
        </w:rPr>
        <w:t>,</w:t>
      </w:r>
      <w:r w:rsidRPr="007F343E">
        <w:rPr>
          <w:rFonts w:cs="Times New Roman"/>
          <w:szCs w:val="22"/>
        </w:rPr>
        <w:t xml:space="preserve"> beverage cooling, </w:t>
      </w:r>
      <w:r>
        <w:rPr>
          <w:rFonts w:cs="Times New Roman"/>
          <w:szCs w:val="22"/>
        </w:rPr>
        <w:t xml:space="preserve">and </w:t>
      </w:r>
      <w:r w:rsidRPr="007F343E">
        <w:rPr>
          <w:rFonts w:cs="Times New Roman"/>
          <w:szCs w:val="22"/>
        </w:rPr>
        <w:t>milk vats</w:t>
      </w:r>
      <w:r>
        <w:rPr>
          <w:rFonts w:cs="Times New Roman"/>
          <w:szCs w:val="22"/>
        </w:rPr>
        <w:t>.</w:t>
      </w:r>
    </w:p>
    <w:p w:rsidR="00EF5AFB" w:rsidRPr="007F343E" w:rsidRDefault="00EF5AFB" w:rsidP="00EF5AFB">
      <w:pPr>
        <w:rPr>
          <w:rFonts w:cs="Times New Roman"/>
          <w:szCs w:val="22"/>
        </w:rPr>
      </w:pPr>
      <w:r w:rsidRPr="007F343E">
        <w:rPr>
          <w:rFonts w:cs="Times New Roman"/>
          <w:szCs w:val="22"/>
        </w:rPr>
        <w:t>The term walk-in cool</w:t>
      </w:r>
      <w:r w:rsidR="00E72FA8">
        <w:rPr>
          <w:rFonts w:cs="Times New Roman"/>
          <w:szCs w:val="22"/>
        </w:rPr>
        <w:t xml:space="preserve"> </w:t>
      </w:r>
      <w:r w:rsidRPr="007F343E">
        <w:rPr>
          <w:rFonts w:cs="Times New Roman"/>
          <w:szCs w:val="22"/>
        </w:rPr>
        <w:t xml:space="preserve">room is used to describe an enclosed storage space that is either refrigerated to temperatures above zero degrees Celsius (walk-in-cooler), or is refrigerated to zero degrees and below (walk-in freezer). Some older walk-in-coolers use HCFC-22, however HFC-404A has been the refrigerant of choice for both walk-in-coolers and freezers for more than a decade. Smaller walk-in-coolers typically with self-contained systems are inclined to use HFC-134a. </w:t>
      </w:r>
    </w:p>
    <w:p w:rsidR="00EF5AFB" w:rsidRDefault="00EF5AFB" w:rsidP="00EF5AFB">
      <w:pPr>
        <w:rPr>
          <w:rFonts w:cs="Times New Roman"/>
          <w:szCs w:val="22"/>
        </w:rPr>
      </w:pPr>
      <w:r w:rsidRPr="007F343E">
        <w:rPr>
          <w:rFonts w:cs="Times New Roman"/>
          <w:szCs w:val="22"/>
        </w:rPr>
        <w:t>Walk in cool</w:t>
      </w:r>
      <w:r w:rsidR="00E72FA8">
        <w:rPr>
          <w:rFonts w:cs="Times New Roman"/>
          <w:szCs w:val="22"/>
        </w:rPr>
        <w:t xml:space="preserve"> </w:t>
      </w:r>
      <w:r w:rsidRPr="007F343E">
        <w:rPr>
          <w:rFonts w:cs="Times New Roman"/>
          <w:szCs w:val="22"/>
        </w:rPr>
        <w:t xml:space="preserve">rooms are estimated to </w:t>
      </w:r>
      <w:r w:rsidRPr="002F744A">
        <w:rPr>
          <w:rFonts w:cs="Times New Roman"/>
          <w:szCs w:val="22"/>
        </w:rPr>
        <w:t xml:space="preserve">account for around </w:t>
      </w:r>
      <w:r w:rsidR="002F744A" w:rsidRPr="002F744A">
        <w:rPr>
          <w:rFonts w:cs="Times New Roman"/>
          <w:szCs w:val="22"/>
        </w:rPr>
        <w:t>970</w:t>
      </w:r>
      <w:r w:rsidRPr="002F744A">
        <w:rPr>
          <w:rFonts w:cs="Times New Roman"/>
          <w:szCs w:val="22"/>
        </w:rPr>
        <w:t xml:space="preserve"> </w:t>
      </w:r>
      <w:r w:rsidR="002F744A" w:rsidRPr="002F744A">
        <w:rPr>
          <w:rFonts w:cs="Times New Roman"/>
          <w:szCs w:val="22"/>
        </w:rPr>
        <w:t>tonnes</w:t>
      </w:r>
      <w:r w:rsidRPr="002F744A">
        <w:rPr>
          <w:rFonts w:cs="Times New Roman"/>
          <w:szCs w:val="22"/>
        </w:rPr>
        <w:t xml:space="preserve"> of the refrigerant</w:t>
      </w:r>
      <w:r w:rsidRPr="007F343E">
        <w:rPr>
          <w:rFonts w:cs="Times New Roman"/>
          <w:szCs w:val="22"/>
        </w:rPr>
        <w:t xml:space="preserve"> bank and with a leak rate ranging </w:t>
      </w:r>
      <w:r w:rsidRPr="002F744A">
        <w:rPr>
          <w:rFonts w:cs="Times New Roman"/>
          <w:szCs w:val="22"/>
        </w:rPr>
        <w:t xml:space="preserve">between </w:t>
      </w:r>
      <w:r w:rsidR="002F744A" w:rsidRPr="002F744A">
        <w:rPr>
          <w:rFonts w:cs="Times New Roman"/>
          <w:szCs w:val="22"/>
        </w:rPr>
        <w:t>15</w:t>
      </w:r>
      <w:r w:rsidRPr="002F744A">
        <w:rPr>
          <w:rFonts w:cs="Times New Roman"/>
          <w:szCs w:val="22"/>
        </w:rPr>
        <w:t xml:space="preserve">% and </w:t>
      </w:r>
      <w:r w:rsidR="002F744A" w:rsidRPr="002F744A">
        <w:rPr>
          <w:rFonts w:cs="Times New Roman"/>
          <w:szCs w:val="22"/>
        </w:rPr>
        <w:t>20</w:t>
      </w:r>
      <w:r w:rsidRPr="002F744A">
        <w:rPr>
          <w:rFonts w:cs="Times New Roman"/>
          <w:szCs w:val="22"/>
        </w:rPr>
        <w:t>% consume approximately 1</w:t>
      </w:r>
      <w:r w:rsidR="002F744A" w:rsidRPr="002F744A">
        <w:rPr>
          <w:rFonts w:cs="Times New Roman"/>
          <w:szCs w:val="22"/>
        </w:rPr>
        <w:t>6</w:t>
      </w:r>
      <w:r w:rsidRPr="002F744A">
        <w:rPr>
          <w:rFonts w:cs="Times New Roman"/>
          <w:szCs w:val="22"/>
        </w:rPr>
        <w:t>0 to 1</w:t>
      </w:r>
      <w:r w:rsidR="002F744A" w:rsidRPr="002F744A">
        <w:rPr>
          <w:rFonts w:cs="Times New Roman"/>
          <w:szCs w:val="22"/>
        </w:rPr>
        <w:t>8</w:t>
      </w:r>
      <w:r w:rsidRPr="002F744A">
        <w:rPr>
          <w:rFonts w:cs="Times New Roman"/>
          <w:szCs w:val="22"/>
        </w:rPr>
        <w:t xml:space="preserve">0 </w:t>
      </w:r>
      <w:r w:rsidR="002F744A" w:rsidRPr="002F744A">
        <w:rPr>
          <w:rFonts w:cs="Times New Roman"/>
          <w:szCs w:val="22"/>
        </w:rPr>
        <w:t>tonnes</w:t>
      </w:r>
      <w:r w:rsidRPr="002F744A">
        <w:rPr>
          <w:rFonts w:cs="Times New Roman"/>
          <w:szCs w:val="22"/>
        </w:rPr>
        <w:t xml:space="preserve"> of synthetic refrigerant per annum.</w:t>
      </w:r>
    </w:p>
    <w:p w:rsidR="00EF5AFB" w:rsidRPr="007F343E" w:rsidRDefault="00EF5AFB" w:rsidP="00EF5AFB">
      <w:pPr>
        <w:rPr>
          <w:rFonts w:cs="Times New Roman"/>
          <w:szCs w:val="22"/>
        </w:rPr>
      </w:pPr>
      <w:r w:rsidRPr="007F343E">
        <w:rPr>
          <w:rFonts w:cs="Times New Roman"/>
          <w:szCs w:val="22"/>
        </w:rPr>
        <w:t xml:space="preserve">Beverage cooling </w:t>
      </w:r>
      <w:r>
        <w:rPr>
          <w:rFonts w:cs="Times New Roman"/>
          <w:szCs w:val="22"/>
        </w:rPr>
        <w:t xml:space="preserve">applications </w:t>
      </w:r>
      <w:r w:rsidRPr="007F343E">
        <w:rPr>
          <w:rFonts w:cs="Times New Roman"/>
          <w:szCs w:val="22"/>
        </w:rPr>
        <w:t xml:space="preserve">generally employ a large gas charge, mostly due to the large refrigerant charge required for beer chilling applications where an average application can have 40 kg of refrigerant. Older systems use HCFC-22, however HFC-404A has been the refrigerant of choice for more than a decade with a small portion of systems operating on HFC-134a. Beverage cooling systems are estimated to have a </w:t>
      </w:r>
      <w:r w:rsidRPr="002F744A">
        <w:rPr>
          <w:rFonts w:cs="Times New Roman"/>
          <w:szCs w:val="22"/>
        </w:rPr>
        <w:t xml:space="preserve">service demand of </w:t>
      </w:r>
      <w:r w:rsidR="002F744A" w:rsidRPr="002F744A">
        <w:rPr>
          <w:rFonts w:cs="Times New Roman"/>
          <w:szCs w:val="22"/>
        </w:rPr>
        <w:t>75</w:t>
      </w:r>
      <w:r w:rsidRPr="002F744A">
        <w:rPr>
          <w:rFonts w:cs="Times New Roman"/>
          <w:szCs w:val="22"/>
        </w:rPr>
        <w:t xml:space="preserve"> tonnes per</w:t>
      </w:r>
      <w:r w:rsidR="002F744A">
        <w:rPr>
          <w:rFonts w:cs="Times New Roman"/>
          <w:szCs w:val="22"/>
        </w:rPr>
        <w:t xml:space="preserve"> annum.</w:t>
      </w:r>
    </w:p>
    <w:p w:rsidR="00EF5AFB" w:rsidRPr="007F343E" w:rsidRDefault="00EF5AFB" w:rsidP="00EF5AFB">
      <w:pPr>
        <w:rPr>
          <w:rFonts w:cs="Times New Roman"/>
          <w:szCs w:val="22"/>
        </w:rPr>
      </w:pPr>
      <w:r w:rsidRPr="007F343E">
        <w:rPr>
          <w:rFonts w:cs="Times New Roman"/>
          <w:szCs w:val="22"/>
        </w:rPr>
        <w:t xml:space="preserve">Milk vat refrigeration units are used by dairy farmers to chill fresh milk from 34°C to 4°C prior to pick up by bulk tankers. There are two common milk </w:t>
      </w:r>
      <w:r>
        <w:rPr>
          <w:rFonts w:cs="Times New Roman"/>
          <w:szCs w:val="22"/>
        </w:rPr>
        <w:t xml:space="preserve">chilling technologies </w:t>
      </w:r>
      <w:r w:rsidRPr="007F343E">
        <w:rPr>
          <w:rFonts w:cs="Times New Roman"/>
          <w:szCs w:val="22"/>
        </w:rPr>
        <w:t>used on dairy farms, ‘direct expansion’ cooling and ‘indirect cooling’ systems which are a speciali</w:t>
      </w:r>
      <w:r w:rsidR="009966DB">
        <w:rPr>
          <w:rFonts w:cs="Times New Roman"/>
          <w:szCs w:val="22"/>
        </w:rPr>
        <w:t>s</w:t>
      </w:r>
      <w:r w:rsidRPr="007F343E">
        <w:rPr>
          <w:rFonts w:cs="Times New Roman"/>
          <w:szCs w:val="22"/>
        </w:rPr>
        <w:t>ed chiller. A significant portion (</w:t>
      </w:r>
      <w:r>
        <w:rPr>
          <w:rFonts w:cs="Times New Roman"/>
          <w:szCs w:val="22"/>
        </w:rPr>
        <w:t>around 5</w:t>
      </w:r>
      <w:r w:rsidRPr="007F343E">
        <w:rPr>
          <w:rFonts w:cs="Times New Roman"/>
          <w:szCs w:val="22"/>
        </w:rPr>
        <w:t xml:space="preserve">0%) of the existing fleet of direct expansion milk vat units uses very old belt drive technology charged with HCFC refrigerants. These systems employ drive shaft seals that exhibit high refrigerant leak rates of </w:t>
      </w:r>
      <w:r>
        <w:rPr>
          <w:rFonts w:cs="Times New Roman"/>
          <w:szCs w:val="22"/>
        </w:rPr>
        <w:t xml:space="preserve">20% </w:t>
      </w:r>
      <w:r w:rsidRPr="007F343E">
        <w:rPr>
          <w:rFonts w:cs="Times New Roman"/>
          <w:szCs w:val="22"/>
        </w:rPr>
        <w:t xml:space="preserve">or more per annum. Milk vat refrigeration units are estimated to equate to </w:t>
      </w:r>
      <w:r w:rsidRPr="002F744A">
        <w:rPr>
          <w:rFonts w:cs="Times New Roman"/>
          <w:szCs w:val="22"/>
        </w:rPr>
        <w:t xml:space="preserve">around </w:t>
      </w:r>
      <w:r w:rsidR="002F744A" w:rsidRPr="002F744A">
        <w:rPr>
          <w:rFonts w:cs="Times New Roman"/>
          <w:szCs w:val="22"/>
        </w:rPr>
        <w:t>2</w:t>
      </w:r>
      <w:r w:rsidRPr="002F744A">
        <w:rPr>
          <w:rFonts w:cs="Times New Roman"/>
          <w:szCs w:val="22"/>
        </w:rPr>
        <w:t xml:space="preserve">70 </w:t>
      </w:r>
      <w:r w:rsidR="002F744A" w:rsidRPr="002F744A">
        <w:rPr>
          <w:rFonts w:cs="Times New Roman"/>
          <w:szCs w:val="22"/>
        </w:rPr>
        <w:t>tonnes</w:t>
      </w:r>
      <w:r w:rsidRPr="002F744A">
        <w:rPr>
          <w:rFonts w:cs="Times New Roman"/>
          <w:szCs w:val="22"/>
        </w:rPr>
        <w:t xml:space="preserve"> and consume</w:t>
      </w:r>
      <w:r w:rsidRPr="007F343E">
        <w:rPr>
          <w:rFonts w:cs="Times New Roman"/>
          <w:szCs w:val="22"/>
        </w:rPr>
        <w:t xml:space="preserve"> approximately </w:t>
      </w:r>
      <w:r w:rsidR="002F744A">
        <w:rPr>
          <w:rFonts w:cs="Times New Roman"/>
          <w:szCs w:val="22"/>
        </w:rPr>
        <w:t>40 to 60 tonnes</w:t>
      </w:r>
      <w:r w:rsidRPr="007F343E">
        <w:rPr>
          <w:rFonts w:cs="Times New Roman"/>
          <w:szCs w:val="22"/>
        </w:rPr>
        <w:t>.</w:t>
      </w:r>
    </w:p>
    <w:p w:rsidR="00EF5AFB" w:rsidRPr="007F343E" w:rsidRDefault="00EF5AFB" w:rsidP="00EF5AFB">
      <w:pPr>
        <w:spacing w:before="240"/>
        <w:rPr>
          <w:rFonts w:cs="Times New Roman"/>
          <w:szCs w:val="22"/>
          <w:u w:val="single"/>
        </w:rPr>
      </w:pPr>
      <w:r w:rsidRPr="007F343E">
        <w:rPr>
          <w:rFonts w:cs="Times New Roman"/>
          <w:szCs w:val="22"/>
          <w:u w:val="single"/>
        </w:rPr>
        <w:t>Large RCFC: Supermarkets</w:t>
      </w:r>
    </w:p>
    <w:p w:rsidR="00EF5AFB" w:rsidRPr="007F343E" w:rsidRDefault="00EF5AFB" w:rsidP="00EF5AFB">
      <w:pPr>
        <w:rPr>
          <w:rFonts w:cs="Times New Roman"/>
          <w:szCs w:val="22"/>
        </w:rPr>
      </w:pPr>
      <w:r w:rsidRPr="007F343E">
        <w:rPr>
          <w:rFonts w:cs="Times New Roman"/>
          <w:szCs w:val="22"/>
        </w:rPr>
        <w:t xml:space="preserve">In Australia </w:t>
      </w:r>
      <w:r>
        <w:rPr>
          <w:rFonts w:cs="Times New Roman"/>
          <w:szCs w:val="22"/>
        </w:rPr>
        <w:t xml:space="preserve">there are </w:t>
      </w:r>
      <w:r w:rsidRPr="007F343E">
        <w:rPr>
          <w:rFonts w:cs="Times New Roman"/>
          <w:szCs w:val="22"/>
        </w:rPr>
        <w:t>nearly 3,500 supermarket</w:t>
      </w:r>
      <w:r>
        <w:rPr>
          <w:rFonts w:cs="Times New Roman"/>
          <w:szCs w:val="22"/>
        </w:rPr>
        <w:t>s</w:t>
      </w:r>
      <w:r w:rsidRPr="007F343E">
        <w:rPr>
          <w:rFonts w:cs="Times New Roman"/>
          <w:szCs w:val="22"/>
        </w:rPr>
        <w:t xml:space="preserve"> </w:t>
      </w:r>
      <w:r>
        <w:rPr>
          <w:rFonts w:cs="Times New Roman"/>
          <w:szCs w:val="22"/>
        </w:rPr>
        <w:t>(trading floor &gt;</w:t>
      </w:r>
      <w:r w:rsidR="002F744A">
        <w:rPr>
          <w:rFonts w:cs="Times New Roman"/>
          <w:szCs w:val="22"/>
        </w:rPr>
        <w:t>400</w:t>
      </w:r>
      <w:r>
        <w:rPr>
          <w:rFonts w:cs="Times New Roman"/>
          <w:szCs w:val="22"/>
        </w:rPr>
        <w:t xml:space="preserve"> m</w:t>
      </w:r>
      <w:r w:rsidRPr="002F744A">
        <w:rPr>
          <w:rFonts w:cs="Times New Roman"/>
          <w:szCs w:val="22"/>
          <w:vertAlign w:val="superscript"/>
        </w:rPr>
        <w:t>2</w:t>
      </w:r>
      <w:r>
        <w:rPr>
          <w:rFonts w:cs="Times New Roman"/>
          <w:szCs w:val="22"/>
        </w:rPr>
        <w:t xml:space="preserve">) </w:t>
      </w:r>
      <w:r w:rsidRPr="007F343E">
        <w:rPr>
          <w:rFonts w:cs="Times New Roman"/>
          <w:szCs w:val="22"/>
        </w:rPr>
        <w:t xml:space="preserve">which </w:t>
      </w:r>
      <w:r>
        <w:rPr>
          <w:rFonts w:cs="Times New Roman"/>
          <w:szCs w:val="22"/>
        </w:rPr>
        <w:t xml:space="preserve">contain </w:t>
      </w:r>
      <w:r w:rsidRPr="007F343E">
        <w:rPr>
          <w:rFonts w:cs="Times New Roman"/>
          <w:szCs w:val="22"/>
        </w:rPr>
        <w:t xml:space="preserve">around </w:t>
      </w:r>
      <w:r w:rsidR="002F744A">
        <w:rPr>
          <w:rFonts w:cs="Times New Roman"/>
          <w:szCs w:val="22"/>
        </w:rPr>
        <w:t>1</w:t>
      </w:r>
      <w:r w:rsidR="00FB3974">
        <w:rPr>
          <w:rFonts w:cs="Times New Roman"/>
          <w:szCs w:val="22"/>
        </w:rPr>
        <w:t>,</w:t>
      </w:r>
      <w:r w:rsidR="002F744A">
        <w:rPr>
          <w:rFonts w:cs="Times New Roman"/>
          <w:szCs w:val="22"/>
        </w:rPr>
        <w:t>130 tonnes</w:t>
      </w:r>
      <w:r w:rsidRPr="007F343E">
        <w:rPr>
          <w:rFonts w:cs="Times New Roman"/>
          <w:szCs w:val="22"/>
        </w:rPr>
        <w:t xml:space="preserve"> of high GWP </w:t>
      </w:r>
      <w:r w:rsidRPr="002F744A">
        <w:rPr>
          <w:rFonts w:cs="Times New Roman"/>
          <w:szCs w:val="22"/>
        </w:rPr>
        <w:t>HFCs, or about 3% of the</w:t>
      </w:r>
      <w:r w:rsidRPr="007F343E">
        <w:rPr>
          <w:rFonts w:cs="Times New Roman"/>
          <w:szCs w:val="22"/>
        </w:rPr>
        <w:t xml:space="preserve"> bank. Demand for servicing and charging of new supermarket systems is estimated to result in the </w:t>
      </w:r>
      <w:r w:rsidRPr="002F744A">
        <w:rPr>
          <w:rFonts w:cs="Times New Roman"/>
          <w:szCs w:val="22"/>
        </w:rPr>
        <w:t>import of approximately 253 tonnes of high GWP HFCs</w:t>
      </w:r>
      <w:r w:rsidRPr="007F343E">
        <w:rPr>
          <w:rFonts w:cs="Times New Roman"/>
          <w:szCs w:val="22"/>
        </w:rPr>
        <w:t xml:space="preserve"> or </w:t>
      </w:r>
      <w:r w:rsidRPr="002F744A">
        <w:rPr>
          <w:rFonts w:cs="Times New Roman"/>
          <w:szCs w:val="22"/>
        </w:rPr>
        <w:t>approximately 7% of total bulk</w:t>
      </w:r>
      <w:r w:rsidRPr="007F343E">
        <w:rPr>
          <w:rFonts w:cs="Times New Roman"/>
          <w:szCs w:val="22"/>
        </w:rPr>
        <w:t xml:space="preserve"> imports in 2013. </w:t>
      </w:r>
    </w:p>
    <w:p w:rsidR="00EF5AFB" w:rsidRPr="002F744A" w:rsidRDefault="00FB3974" w:rsidP="00EF5AFB">
      <w:pPr>
        <w:pStyle w:val="BodyText"/>
        <w:tabs>
          <w:tab w:val="left" w:pos="8080"/>
        </w:tabs>
        <w:spacing w:before="120"/>
        <w:ind w:right="78"/>
        <w:rPr>
          <w:rFonts w:ascii="Times New Roman" w:eastAsiaTheme="minorEastAsia" w:hAnsi="Times New Roman"/>
          <w:szCs w:val="22"/>
          <w:lang w:val="en-GB"/>
        </w:rPr>
      </w:pPr>
      <w:r>
        <w:rPr>
          <w:rFonts w:ascii="Times New Roman" w:eastAsiaTheme="minorEastAsia" w:hAnsi="Times New Roman"/>
          <w:szCs w:val="22"/>
          <w:lang w:val="en-GB"/>
        </w:rPr>
        <w:t>Around 141</w:t>
      </w:r>
      <w:r w:rsidR="00EF5AFB" w:rsidRPr="002F744A">
        <w:rPr>
          <w:rFonts w:ascii="Times New Roman" w:eastAsiaTheme="minorEastAsia" w:hAnsi="Times New Roman"/>
          <w:szCs w:val="22"/>
          <w:lang w:val="en-GB"/>
        </w:rPr>
        <w:t xml:space="preserve"> tonnes of high GWP bulk imports per annum (approximately 4.4% of total HFC imports in 2013) are required to service existing equipment and replace gas lost to leaks. Another 112 tonnes are imported (around 3% of 2013 imports) for use in new supermarket</w:t>
      </w:r>
      <w:r w:rsidR="009B4376" w:rsidRPr="002F744A">
        <w:rPr>
          <w:rFonts w:ascii="Times New Roman" w:eastAsiaTheme="minorEastAsia" w:hAnsi="Times New Roman"/>
          <w:szCs w:val="22"/>
          <w:lang w:val="en-GB"/>
        </w:rPr>
        <w:t xml:space="preserve"> </w:t>
      </w:r>
      <w:r w:rsidR="00EF5AFB" w:rsidRPr="002F744A">
        <w:rPr>
          <w:rFonts w:ascii="Times New Roman" w:eastAsiaTheme="minorEastAsia" w:hAnsi="Times New Roman"/>
          <w:szCs w:val="22"/>
          <w:lang w:val="en-GB"/>
        </w:rPr>
        <w:t>equipment.</w:t>
      </w:r>
    </w:p>
    <w:p w:rsidR="00EF5AFB" w:rsidRPr="007F343E" w:rsidRDefault="00EF5AFB" w:rsidP="00EF5AFB">
      <w:pPr>
        <w:rPr>
          <w:rFonts w:cs="Times New Roman"/>
          <w:szCs w:val="22"/>
        </w:rPr>
      </w:pPr>
      <w:r w:rsidRPr="007F343E">
        <w:rPr>
          <w:rFonts w:cs="Times New Roman"/>
          <w:szCs w:val="22"/>
        </w:rPr>
        <w:t xml:space="preserve">Supermarkets can contain a variety of refrigeration equipment including central plant (rack system), remote condensing units servicing display cases and walk-in coolrooms, and self-contained merchandisers located throughout the store. However the discussion here relates only to the large centralised systems that </w:t>
      </w:r>
      <w:r w:rsidR="00D44295">
        <w:rPr>
          <w:rFonts w:cs="Times New Roman"/>
          <w:szCs w:val="22"/>
        </w:rPr>
        <w:t>are</w:t>
      </w:r>
      <w:r w:rsidR="00D44295" w:rsidRPr="007F343E">
        <w:rPr>
          <w:rFonts w:cs="Times New Roman"/>
          <w:szCs w:val="22"/>
        </w:rPr>
        <w:t xml:space="preserve"> </w:t>
      </w:r>
      <w:r w:rsidRPr="007F343E">
        <w:rPr>
          <w:rFonts w:cs="Times New Roman"/>
          <w:szCs w:val="22"/>
        </w:rPr>
        <w:t xml:space="preserve">commonly used to deliver refrigeration to the large display cases and low temperature glass fronted displays used throughout supermarkets. </w:t>
      </w:r>
    </w:p>
    <w:p w:rsidR="00EF5AFB" w:rsidRPr="007F343E" w:rsidRDefault="00EF5AFB" w:rsidP="00EF5AFB">
      <w:pPr>
        <w:rPr>
          <w:rFonts w:cs="Times New Roman"/>
          <w:szCs w:val="22"/>
        </w:rPr>
      </w:pPr>
      <w:r w:rsidRPr="007F343E">
        <w:rPr>
          <w:rFonts w:cs="Times New Roman"/>
          <w:szCs w:val="22"/>
        </w:rPr>
        <w:t>A centralised supermarket refrigeration system will typically include 8 to 12 compressors ranging in capacity from 7.5 to 22.5 kWr serving both low and medium temperatures, built onto a rack system located in a separate plant room. Large supermarkets employ centrali</w:t>
      </w:r>
      <w:r w:rsidR="009966DB">
        <w:rPr>
          <w:rFonts w:cs="Times New Roman"/>
          <w:szCs w:val="22"/>
        </w:rPr>
        <w:t>s</w:t>
      </w:r>
      <w:r w:rsidRPr="007F343E">
        <w:rPr>
          <w:rFonts w:cs="Times New Roman"/>
          <w:szCs w:val="22"/>
        </w:rPr>
        <w:t>ed equipment requiring refrigerant charges greater than 900 kg, with medium and small supermarkets generally requiring 600 kg and 160 kg of gas on average respectively.</w:t>
      </w:r>
    </w:p>
    <w:p w:rsidR="00EF5AFB" w:rsidRPr="007F343E" w:rsidRDefault="00FB3974" w:rsidP="00EF5AFB">
      <w:pPr>
        <w:rPr>
          <w:rFonts w:cs="Times New Roman"/>
          <w:szCs w:val="22"/>
        </w:rPr>
      </w:pPr>
      <w:r>
        <w:rPr>
          <w:rFonts w:cs="Times New Roman"/>
          <w:szCs w:val="22"/>
        </w:rPr>
        <w:t xml:space="preserve">In 2010 the </w:t>
      </w:r>
      <w:r w:rsidR="00EF5AFB" w:rsidRPr="007F343E">
        <w:rPr>
          <w:rFonts w:cs="Times New Roman"/>
          <w:szCs w:val="22"/>
        </w:rPr>
        <w:t xml:space="preserve">large majority (i.e. 85 to 90 %) of refrigerant in supermarkets </w:t>
      </w:r>
      <w:r>
        <w:rPr>
          <w:rFonts w:cs="Times New Roman"/>
          <w:szCs w:val="22"/>
        </w:rPr>
        <w:t xml:space="preserve">was </w:t>
      </w:r>
      <w:r w:rsidR="00EF5AFB" w:rsidRPr="007F343E">
        <w:rPr>
          <w:rFonts w:cs="Times New Roman"/>
          <w:szCs w:val="22"/>
        </w:rPr>
        <w:t>HFC-404A, however the supermarket industry and many other medium temperature refrigeration applications are switching from HFC-404A to HFC-134a, where practical, partly because of the lower GWP of the HFC-134a refrigerant.</w:t>
      </w:r>
    </w:p>
    <w:p w:rsidR="00EF5AFB" w:rsidRPr="007F343E" w:rsidRDefault="00EF5AFB" w:rsidP="00EF5AFB">
      <w:pPr>
        <w:rPr>
          <w:rFonts w:cs="Times New Roman"/>
          <w:b/>
          <w:szCs w:val="22"/>
        </w:rPr>
      </w:pPr>
      <w:r w:rsidRPr="007F343E">
        <w:rPr>
          <w:rFonts w:cs="Times New Roman"/>
          <w:szCs w:val="22"/>
        </w:rPr>
        <w:t>The main local manufacturers of refrigeration rack systems include Bitzer and supermarket contractors including McAlpine Hussmann (a subsidiary of Ingersoll Rand), Austral Refrigeration (a division of the Hastie Group) and regional players such as John A Gordon, Contract Refrigeration, A.J. Baker and Alkar. Other relatively recent changes in the industry include the closure of a major supermarket contractor Frigrite Refrigeration in 200</w:t>
      </w:r>
      <w:r>
        <w:rPr>
          <w:rFonts w:cs="Times New Roman"/>
          <w:szCs w:val="22"/>
        </w:rPr>
        <w:t>9</w:t>
      </w:r>
      <w:r w:rsidRPr="007F343E">
        <w:rPr>
          <w:rFonts w:cs="Times New Roman"/>
          <w:szCs w:val="22"/>
        </w:rPr>
        <w:t xml:space="preserve"> and the relocation of Heatcraft condensing unit manufacturing operations to China in 20</w:t>
      </w:r>
      <w:r>
        <w:rPr>
          <w:rFonts w:cs="Times New Roman"/>
          <w:szCs w:val="22"/>
        </w:rPr>
        <w:t>11</w:t>
      </w:r>
      <w:r w:rsidRPr="007F343E">
        <w:rPr>
          <w:rFonts w:cs="Times New Roman"/>
          <w:szCs w:val="22"/>
        </w:rPr>
        <w:t>.</w:t>
      </w:r>
    </w:p>
    <w:p w:rsidR="00EF5AFB" w:rsidRPr="007F343E" w:rsidRDefault="00EF5AFB" w:rsidP="001D1740">
      <w:pPr>
        <w:spacing w:before="240"/>
        <w:rPr>
          <w:rFonts w:cs="Times New Roman"/>
          <w:b/>
          <w:szCs w:val="22"/>
        </w:rPr>
      </w:pPr>
      <w:r w:rsidRPr="007F343E">
        <w:rPr>
          <w:rFonts w:cs="Times New Roman"/>
          <w:b/>
          <w:szCs w:val="22"/>
        </w:rPr>
        <w:t>Lower and no GWP alternatives and barriers to transition</w:t>
      </w:r>
    </w:p>
    <w:p w:rsidR="00EF5AFB" w:rsidRPr="007F343E" w:rsidRDefault="00EF5AFB" w:rsidP="00EF5AFB">
      <w:pPr>
        <w:outlineLvl w:val="0"/>
        <w:rPr>
          <w:rFonts w:cs="Times New Roman"/>
          <w:szCs w:val="22"/>
          <w:u w:val="single"/>
        </w:rPr>
      </w:pPr>
      <w:r w:rsidRPr="007F343E">
        <w:rPr>
          <w:rFonts w:cs="Times New Roman"/>
          <w:szCs w:val="22"/>
          <w:u w:val="single"/>
        </w:rPr>
        <w:t>Small RCFC: Self-contained equipment (charge &lt;1.5kg)</w:t>
      </w:r>
    </w:p>
    <w:p w:rsidR="00EF5AFB" w:rsidRPr="007F343E" w:rsidRDefault="00EF5AFB" w:rsidP="00EF5AFB">
      <w:pPr>
        <w:rPr>
          <w:rFonts w:cs="Times New Roman"/>
          <w:szCs w:val="22"/>
        </w:rPr>
      </w:pPr>
      <w:r w:rsidRPr="007F343E">
        <w:rPr>
          <w:rFonts w:cs="Times New Roman"/>
          <w:szCs w:val="22"/>
        </w:rPr>
        <w:t xml:space="preserve">The majority of the existing stock of stand-alone commercial refrigeration contains HFC-134a with a portion operating on HFC-404A, mostly in low temperature applications or when greater refrigerating intensity is required. </w:t>
      </w:r>
    </w:p>
    <w:p w:rsidR="00EF5AFB" w:rsidRDefault="00EF5AFB" w:rsidP="00EF5AFB">
      <w:pPr>
        <w:rPr>
          <w:rFonts w:cs="Times New Roman"/>
          <w:szCs w:val="22"/>
        </w:rPr>
      </w:pPr>
      <w:r w:rsidRPr="007F343E">
        <w:rPr>
          <w:rFonts w:cs="Times New Roman"/>
          <w:szCs w:val="22"/>
        </w:rPr>
        <w:t>The use of hydrocarbons (HC-600a, HC-290 and HC-436) and carbon dioxide refrigerants is emerging slowly in new equipment in Australia, however the installed base is very small, estimated to be 2% at most in some equipment classes, and non</w:t>
      </w:r>
      <w:r w:rsidR="002E6AC8">
        <w:rPr>
          <w:rFonts w:cs="Times New Roman"/>
          <w:szCs w:val="22"/>
        </w:rPr>
        <w:t>-</w:t>
      </w:r>
      <w:r w:rsidRPr="007F343E">
        <w:rPr>
          <w:rFonts w:cs="Times New Roman"/>
          <w:szCs w:val="22"/>
        </w:rPr>
        <w:t>existent in others. Examples of equipment using hydrocarbon refrigerants can be found on the Queensland Government, Department of Mines and Energy register of approved hydrocarbon refrigerant appliances. They include a freezer cabinet</w:t>
      </w:r>
      <w:r>
        <w:rPr>
          <w:rFonts w:cs="Times New Roman"/>
          <w:szCs w:val="22"/>
        </w:rPr>
        <w:t>s</w:t>
      </w:r>
      <w:r w:rsidRPr="007F343E">
        <w:rPr>
          <w:rFonts w:cs="Times New Roman"/>
          <w:szCs w:val="22"/>
        </w:rPr>
        <w:t xml:space="preserve"> commonly used in Aldi supermarkets, wine coolers, chest freezers and commercial refrigerators (QGDME, 2014).</w:t>
      </w:r>
    </w:p>
    <w:p w:rsidR="00156E8D" w:rsidRPr="007F343E" w:rsidRDefault="00156E8D" w:rsidP="00EF5AFB">
      <w:pPr>
        <w:rPr>
          <w:rFonts w:cs="Times New Roman"/>
          <w:szCs w:val="22"/>
        </w:rPr>
      </w:pPr>
      <w:r w:rsidRPr="004F2E46">
        <w:rPr>
          <w:szCs w:val="22"/>
        </w:rPr>
        <w:t xml:space="preserve">At present the largest installed base of </w:t>
      </w:r>
      <w:r w:rsidR="00635328">
        <w:rPr>
          <w:szCs w:val="22"/>
        </w:rPr>
        <w:t>hydrocarbon</w:t>
      </w:r>
      <w:r w:rsidR="00635328" w:rsidRPr="004F2E46">
        <w:rPr>
          <w:szCs w:val="22"/>
        </w:rPr>
        <w:t xml:space="preserve"> </w:t>
      </w:r>
      <w:r w:rsidRPr="004F2E46">
        <w:rPr>
          <w:szCs w:val="22"/>
        </w:rPr>
        <w:t xml:space="preserve">units </w:t>
      </w:r>
      <w:r>
        <w:rPr>
          <w:szCs w:val="22"/>
        </w:rPr>
        <w:t xml:space="preserve">are thought to be those owned by Unilever, the owner of brands such as </w:t>
      </w:r>
      <w:r w:rsidR="002A2420">
        <w:rPr>
          <w:szCs w:val="22"/>
        </w:rPr>
        <w:t>Streets</w:t>
      </w:r>
      <w:r>
        <w:rPr>
          <w:szCs w:val="22"/>
        </w:rPr>
        <w:t xml:space="preserve"> Ice Cream</w:t>
      </w:r>
      <w:r w:rsidR="002A2420">
        <w:rPr>
          <w:szCs w:val="22"/>
        </w:rPr>
        <w:t xml:space="preserve"> </w:t>
      </w:r>
      <w:r>
        <w:rPr>
          <w:szCs w:val="22"/>
        </w:rPr>
        <w:t>whose branded small systems are provided to thousands of small grocery stores and</w:t>
      </w:r>
      <w:r w:rsidRPr="004F2E46">
        <w:rPr>
          <w:szCs w:val="22"/>
        </w:rPr>
        <w:t xml:space="preserve"> supermarkets.</w:t>
      </w:r>
      <w:r w:rsidR="002A2420">
        <w:rPr>
          <w:szCs w:val="22"/>
        </w:rPr>
        <w:t xml:space="preserve"> ALDI supermarkets with over 300 stores nationally have </w:t>
      </w:r>
      <w:r w:rsidR="00635328">
        <w:rPr>
          <w:szCs w:val="22"/>
        </w:rPr>
        <w:t xml:space="preserve">hydrocarbon </w:t>
      </w:r>
      <w:r w:rsidR="002A2420">
        <w:rPr>
          <w:szCs w:val="22"/>
        </w:rPr>
        <w:t>charged refrigeration display cases operating on low and medium temperature</w:t>
      </w:r>
      <w:r w:rsidR="00C6767D">
        <w:rPr>
          <w:szCs w:val="22"/>
        </w:rPr>
        <w:t>s</w:t>
      </w:r>
      <w:r w:rsidR="002A2420">
        <w:rPr>
          <w:szCs w:val="22"/>
        </w:rPr>
        <w:t xml:space="preserve"> in most stores. </w:t>
      </w:r>
    </w:p>
    <w:p w:rsidR="00EF5AFB" w:rsidRPr="007F343E" w:rsidRDefault="00EF5AFB" w:rsidP="00EF5AFB">
      <w:pPr>
        <w:pStyle w:val="BodyText"/>
        <w:spacing w:before="120"/>
        <w:ind w:right="-64"/>
      </w:pPr>
      <w:r w:rsidRPr="007F343E">
        <w:rPr>
          <w:spacing w:val="-1"/>
        </w:rPr>
        <w:t>HFC-134a</w:t>
      </w:r>
      <w:r w:rsidRPr="007F343E">
        <w:t xml:space="preserve"> and HFC</w:t>
      </w:r>
      <w:r w:rsidRPr="007F343E">
        <w:rPr>
          <w:spacing w:val="-1"/>
        </w:rPr>
        <w:t xml:space="preserve">-404A </w:t>
      </w:r>
      <w:r w:rsidRPr="007F343E">
        <w:t>are still</w:t>
      </w:r>
      <w:r w:rsidRPr="007F343E">
        <w:rPr>
          <w:spacing w:val="1"/>
        </w:rPr>
        <w:t xml:space="preserve"> </w:t>
      </w:r>
      <w:r w:rsidRPr="007F343E">
        <w:t xml:space="preserve">the </w:t>
      </w:r>
      <w:r w:rsidRPr="007F343E">
        <w:rPr>
          <w:spacing w:val="-1"/>
        </w:rPr>
        <w:t>dominant</w:t>
      </w:r>
      <w:r w:rsidRPr="007F343E">
        <w:rPr>
          <w:spacing w:val="1"/>
        </w:rPr>
        <w:t xml:space="preserve"> </w:t>
      </w:r>
      <w:r w:rsidRPr="007F343E">
        <w:t xml:space="preserve">refrigerants for </w:t>
      </w:r>
      <w:r w:rsidRPr="007F343E">
        <w:rPr>
          <w:spacing w:val="-1"/>
        </w:rPr>
        <w:t>self-contained</w:t>
      </w:r>
      <w:r w:rsidRPr="007F343E">
        <w:t xml:space="preserve"> </w:t>
      </w:r>
      <w:r w:rsidRPr="007F343E">
        <w:rPr>
          <w:spacing w:val="-1"/>
        </w:rPr>
        <w:t>equipment.</w:t>
      </w:r>
    </w:p>
    <w:p w:rsidR="00EF5AFB" w:rsidRPr="007F343E" w:rsidRDefault="00EF5AFB" w:rsidP="00EF5AFB">
      <w:pPr>
        <w:pStyle w:val="BodyText"/>
        <w:tabs>
          <w:tab w:val="left" w:pos="8300"/>
        </w:tabs>
        <w:spacing w:before="120"/>
        <w:ind w:right="236"/>
      </w:pPr>
      <w:r w:rsidRPr="007F343E">
        <w:rPr>
          <w:spacing w:val="-1"/>
        </w:rPr>
        <w:t>There are three possible replacements available now</w:t>
      </w:r>
      <w:r w:rsidRPr="007F343E">
        <w:t xml:space="preserve"> for </w:t>
      </w:r>
      <w:r w:rsidRPr="007F343E">
        <w:rPr>
          <w:spacing w:val="-1"/>
        </w:rPr>
        <w:t>HFC-134a in these small stand-alone applications, with a fourth potential replacement in development:</w:t>
      </w:r>
    </w:p>
    <w:p w:rsidR="00EF5AFB" w:rsidRPr="00EF5AFB" w:rsidRDefault="00EF5AFB" w:rsidP="00E97935">
      <w:pPr>
        <w:pStyle w:val="BodyText"/>
        <w:widowControl w:val="0"/>
        <w:numPr>
          <w:ilvl w:val="0"/>
          <w:numId w:val="22"/>
        </w:numPr>
        <w:tabs>
          <w:tab w:val="left" w:pos="821"/>
          <w:tab w:val="left" w:pos="8300"/>
        </w:tabs>
        <w:spacing w:before="120" w:after="0"/>
        <w:jc w:val="left"/>
        <w:rPr>
          <w:rFonts w:ascii="Times New Roman" w:hAnsi="Times New Roman"/>
        </w:rPr>
      </w:pPr>
      <w:r w:rsidRPr="00EF5AFB">
        <w:rPr>
          <w:rFonts w:ascii="Times New Roman" w:hAnsi="Times New Roman"/>
          <w:spacing w:val="-1"/>
        </w:rPr>
        <w:t>Class</w:t>
      </w:r>
      <w:r w:rsidRPr="00EF5AFB">
        <w:rPr>
          <w:rFonts w:ascii="Times New Roman" w:hAnsi="Times New Roman"/>
        </w:rPr>
        <w:t xml:space="preserve"> 3 flammable refrigerants such as </w:t>
      </w:r>
      <w:r w:rsidRPr="00EF5AFB">
        <w:rPr>
          <w:rFonts w:ascii="Times New Roman" w:hAnsi="Times New Roman"/>
          <w:spacing w:val="-1"/>
        </w:rPr>
        <w:t>HC-600a, HC-290 and various hydrocarbon blends;</w:t>
      </w:r>
    </w:p>
    <w:p w:rsidR="00EF5AFB" w:rsidRPr="00EF5AFB" w:rsidRDefault="00EF5AFB" w:rsidP="00E97935">
      <w:pPr>
        <w:pStyle w:val="BodyText"/>
        <w:widowControl w:val="0"/>
        <w:numPr>
          <w:ilvl w:val="0"/>
          <w:numId w:val="22"/>
        </w:numPr>
        <w:tabs>
          <w:tab w:val="left" w:pos="821"/>
          <w:tab w:val="left" w:pos="8300"/>
        </w:tabs>
        <w:spacing w:before="120" w:after="0"/>
        <w:jc w:val="left"/>
        <w:rPr>
          <w:rFonts w:ascii="Times New Roman" w:hAnsi="Times New Roman"/>
        </w:rPr>
      </w:pPr>
      <w:r w:rsidRPr="00EF5AFB">
        <w:rPr>
          <w:rFonts w:ascii="Times New Roman" w:hAnsi="Times New Roman"/>
          <w:spacing w:val="-1"/>
        </w:rPr>
        <w:t>CO</w:t>
      </w:r>
      <w:r w:rsidRPr="00EF5AFB">
        <w:rPr>
          <w:rFonts w:ascii="Times New Roman" w:hAnsi="Times New Roman"/>
          <w:spacing w:val="-1"/>
          <w:vertAlign w:val="subscript"/>
        </w:rPr>
        <w:t>2</w:t>
      </w:r>
      <w:r w:rsidRPr="00EF5AFB">
        <w:rPr>
          <w:rFonts w:ascii="Times New Roman" w:hAnsi="Times New Roman"/>
          <w:spacing w:val="-1"/>
        </w:rPr>
        <w:t xml:space="preserve"> (R744) in relation to the supply of small self-contained vending machines;</w:t>
      </w:r>
    </w:p>
    <w:p w:rsidR="00EF5AFB" w:rsidRPr="00EF5AFB" w:rsidRDefault="00EF5AFB" w:rsidP="00E97935">
      <w:pPr>
        <w:pStyle w:val="BodyText"/>
        <w:widowControl w:val="0"/>
        <w:numPr>
          <w:ilvl w:val="0"/>
          <w:numId w:val="22"/>
        </w:numPr>
        <w:tabs>
          <w:tab w:val="left" w:pos="821"/>
          <w:tab w:val="left" w:pos="8300"/>
        </w:tabs>
        <w:spacing w:before="120" w:after="0"/>
        <w:jc w:val="left"/>
        <w:rPr>
          <w:rFonts w:ascii="Times New Roman" w:hAnsi="Times New Roman"/>
        </w:rPr>
      </w:pPr>
      <w:r w:rsidRPr="00EF5AFB">
        <w:rPr>
          <w:rFonts w:ascii="Times New Roman" w:hAnsi="Times New Roman"/>
          <w:spacing w:val="-1"/>
        </w:rPr>
        <w:t>Class</w:t>
      </w:r>
      <w:r w:rsidRPr="00EF5AFB">
        <w:rPr>
          <w:rFonts w:ascii="Times New Roman" w:hAnsi="Times New Roman"/>
        </w:rPr>
        <w:t xml:space="preserve"> 2L </w:t>
      </w:r>
      <w:r w:rsidRPr="00EF5AFB">
        <w:rPr>
          <w:rFonts w:ascii="Times New Roman" w:hAnsi="Times New Roman"/>
          <w:spacing w:val="-1"/>
        </w:rPr>
        <w:t>flammable</w:t>
      </w:r>
      <w:r w:rsidRPr="00EF5AFB">
        <w:rPr>
          <w:rFonts w:ascii="Times New Roman" w:hAnsi="Times New Roman"/>
        </w:rPr>
        <w:t xml:space="preserve"> refrigerants such as </w:t>
      </w:r>
      <w:r w:rsidRPr="00EF5AFB">
        <w:rPr>
          <w:rFonts w:ascii="Times New Roman" w:hAnsi="Times New Roman"/>
          <w:spacing w:val="-1"/>
        </w:rPr>
        <w:t>HFO-1234yf</w:t>
      </w:r>
      <w:r w:rsidRPr="00EF5AFB">
        <w:rPr>
          <w:rFonts w:ascii="Times New Roman" w:hAnsi="Times New Roman"/>
        </w:rPr>
        <w:t xml:space="preserve"> and</w:t>
      </w:r>
      <w:r w:rsidRPr="00EF5AFB">
        <w:rPr>
          <w:rFonts w:ascii="Times New Roman" w:hAnsi="Times New Roman"/>
          <w:spacing w:val="1"/>
        </w:rPr>
        <w:t xml:space="preserve"> </w:t>
      </w:r>
      <w:r w:rsidRPr="00EF5AFB">
        <w:rPr>
          <w:rFonts w:ascii="Times New Roman" w:hAnsi="Times New Roman"/>
          <w:spacing w:val="-1"/>
        </w:rPr>
        <w:t>HFO-1234ze(E); and</w:t>
      </w:r>
    </w:p>
    <w:p w:rsidR="00EF5AFB" w:rsidRPr="00EF5AFB" w:rsidRDefault="00EF5AFB" w:rsidP="00E97935">
      <w:pPr>
        <w:pStyle w:val="BodyText"/>
        <w:widowControl w:val="0"/>
        <w:numPr>
          <w:ilvl w:val="0"/>
          <w:numId w:val="22"/>
        </w:numPr>
        <w:tabs>
          <w:tab w:val="left" w:pos="821"/>
          <w:tab w:val="left" w:pos="8300"/>
        </w:tabs>
        <w:spacing w:before="120" w:after="0"/>
        <w:rPr>
          <w:rFonts w:ascii="Times New Roman" w:hAnsi="Times New Roman"/>
        </w:rPr>
      </w:pPr>
      <w:r w:rsidRPr="00EF5AFB">
        <w:rPr>
          <w:rFonts w:ascii="Times New Roman" w:hAnsi="Times New Roman"/>
          <w:spacing w:val="-1"/>
        </w:rPr>
        <w:t>Non-flammable</w:t>
      </w:r>
      <w:r w:rsidRPr="00EF5AFB">
        <w:rPr>
          <w:rFonts w:ascii="Times New Roman" w:hAnsi="Times New Roman"/>
        </w:rPr>
        <w:t xml:space="preserve"> options on the horizon such as </w:t>
      </w:r>
      <w:r w:rsidRPr="00EF5AFB">
        <w:rPr>
          <w:rFonts w:ascii="Times New Roman" w:hAnsi="Times New Roman"/>
          <w:spacing w:val="-1"/>
        </w:rPr>
        <w:t>N-13</w:t>
      </w:r>
      <w:r w:rsidRPr="00EF5AFB">
        <w:rPr>
          <w:rFonts w:ascii="Times New Roman" w:hAnsi="Times New Roman"/>
        </w:rPr>
        <w:t xml:space="preserve"> and </w:t>
      </w:r>
      <w:r w:rsidRPr="00EF5AFB">
        <w:rPr>
          <w:rFonts w:ascii="Times New Roman" w:hAnsi="Times New Roman"/>
          <w:spacing w:val="-1"/>
        </w:rPr>
        <w:t>XP-10;</w:t>
      </w:r>
    </w:p>
    <w:p w:rsidR="00EF5AFB" w:rsidRPr="00EF5AFB" w:rsidRDefault="00EF5AFB" w:rsidP="00EF5AFB">
      <w:pPr>
        <w:pStyle w:val="BodyText"/>
        <w:spacing w:before="120"/>
        <w:ind w:right="236"/>
        <w:rPr>
          <w:rFonts w:ascii="Times New Roman" w:hAnsi="Times New Roman"/>
        </w:rPr>
      </w:pPr>
      <w:r w:rsidRPr="00EF5AFB">
        <w:rPr>
          <w:rFonts w:ascii="Times New Roman" w:hAnsi="Times New Roman"/>
        </w:rPr>
        <w:t xml:space="preserve">There is one possible </w:t>
      </w:r>
      <w:r w:rsidRPr="00EF5AFB">
        <w:rPr>
          <w:rFonts w:ascii="Times New Roman" w:hAnsi="Times New Roman"/>
          <w:spacing w:val="-1"/>
        </w:rPr>
        <w:t>replacement</w:t>
      </w:r>
      <w:r w:rsidRPr="00EF5AFB">
        <w:rPr>
          <w:rFonts w:ascii="Times New Roman" w:hAnsi="Times New Roman"/>
        </w:rPr>
        <w:t xml:space="preserve"> for HFC</w:t>
      </w:r>
      <w:r w:rsidRPr="00EF5AFB">
        <w:rPr>
          <w:rFonts w:ascii="Times New Roman" w:hAnsi="Times New Roman"/>
          <w:spacing w:val="-1"/>
        </w:rPr>
        <w:t>-404A, with two more potential replacements on the near horizon:</w:t>
      </w:r>
    </w:p>
    <w:p w:rsidR="00EF5AFB" w:rsidRPr="00EF5AFB" w:rsidRDefault="00EF5AFB" w:rsidP="00E97935">
      <w:pPr>
        <w:pStyle w:val="BodyText"/>
        <w:widowControl w:val="0"/>
        <w:numPr>
          <w:ilvl w:val="0"/>
          <w:numId w:val="23"/>
        </w:numPr>
        <w:tabs>
          <w:tab w:val="left" w:pos="821"/>
        </w:tabs>
        <w:spacing w:before="120" w:after="0"/>
        <w:rPr>
          <w:rFonts w:ascii="Times New Roman" w:hAnsi="Times New Roman"/>
          <w:spacing w:val="-1"/>
        </w:rPr>
      </w:pPr>
      <w:r w:rsidRPr="00EF5AFB">
        <w:rPr>
          <w:rFonts w:ascii="Times New Roman" w:hAnsi="Times New Roman"/>
          <w:spacing w:val="-1"/>
        </w:rPr>
        <w:t>HFC-407F, which is an intermediate solution with a GWP of 18</w:t>
      </w:r>
      <w:r w:rsidR="005C6F3D">
        <w:rPr>
          <w:rFonts w:ascii="Times New Roman" w:hAnsi="Times New Roman"/>
          <w:spacing w:val="-1"/>
        </w:rPr>
        <w:t>24/2107</w:t>
      </w:r>
      <w:r w:rsidRPr="00EF5AFB">
        <w:rPr>
          <w:rFonts w:ascii="Times New Roman" w:hAnsi="Times New Roman"/>
          <w:spacing w:val="-1"/>
        </w:rPr>
        <w:t>, i.e. half the GWP of HFC-404A, or other similar lower GWP blends of saturated HFCs (such as HFC-407A);</w:t>
      </w:r>
    </w:p>
    <w:p w:rsidR="00EF5AFB" w:rsidRPr="00EF5AFB" w:rsidRDefault="00EF5AFB" w:rsidP="00E97935">
      <w:pPr>
        <w:pStyle w:val="BodyText"/>
        <w:widowControl w:val="0"/>
        <w:numPr>
          <w:ilvl w:val="0"/>
          <w:numId w:val="23"/>
        </w:numPr>
        <w:tabs>
          <w:tab w:val="left" w:pos="821"/>
        </w:tabs>
        <w:spacing w:before="120" w:after="0"/>
        <w:rPr>
          <w:rFonts w:ascii="Times New Roman" w:hAnsi="Times New Roman"/>
          <w:spacing w:val="-1"/>
        </w:rPr>
      </w:pPr>
      <w:r w:rsidRPr="00EF5AFB">
        <w:rPr>
          <w:rFonts w:ascii="Times New Roman" w:hAnsi="Times New Roman"/>
          <w:spacing w:val="-1"/>
        </w:rPr>
        <w:t>Non-flammable options among the new low GWP HFC blends such as N-40 and DR-33;</w:t>
      </w:r>
    </w:p>
    <w:p w:rsidR="00EF5AFB" w:rsidRPr="007F343E" w:rsidRDefault="00EF5AFB" w:rsidP="00E97935">
      <w:pPr>
        <w:pStyle w:val="BodyText"/>
        <w:widowControl w:val="0"/>
        <w:numPr>
          <w:ilvl w:val="0"/>
          <w:numId w:val="23"/>
        </w:numPr>
        <w:tabs>
          <w:tab w:val="left" w:pos="821"/>
        </w:tabs>
        <w:spacing w:before="120" w:after="0"/>
        <w:rPr>
          <w:spacing w:val="-1"/>
        </w:rPr>
      </w:pPr>
      <w:r w:rsidRPr="00EF5AFB">
        <w:rPr>
          <w:rFonts w:ascii="Times New Roman" w:hAnsi="Times New Roman"/>
          <w:spacing w:val="-1"/>
        </w:rPr>
        <w:t>Low flammable refrigerant blends such as L-40 or DR-7, which enable a further reduction of the</w:t>
      </w:r>
      <w:r w:rsidRPr="007F343E">
        <w:rPr>
          <w:spacing w:val="-1"/>
        </w:rPr>
        <w:t xml:space="preserve"> refrigerant GWP.</w:t>
      </w:r>
    </w:p>
    <w:p w:rsidR="00EF5AFB" w:rsidRPr="007F343E" w:rsidRDefault="00EF5AFB" w:rsidP="00EF5AFB">
      <w:pPr>
        <w:rPr>
          <w:rFonts w:cs="Times New Roman"/>
          <w:szCs w:val="22"/>
        </w:rPr>
      </w:pPr>
      <w:r w:rsidRPr="007F343E">
        <w:rPr>
          <w:rFonts w:cs="Times New Roman"/>
          <w:szCs w:val="22"/>
        </w:rPr>
        <w:t>HC-600a and HC-290 are the two main hydrocarbons used for small commercial equipment. HC-600a is chosen for smaller refrigeration capacities. For bottle coolers both refrigerants can be used. Ice machines and small display cases use HC-290. The energy efficiency of hydrocarbon based systems is generally as good or even better compared to HFCs as commonly used in those applications. The small additional cost associated with additional engineering required to ensure safety is integrated in the price, increasing the price a small amount (&lt;15% compared to HFC equipment).</w:t>
      </w:r>
    </w:p>
    <w:p w:rsidR="00EF5AFB" w:rsidRPr="007F343E" w:rsidRDefault="00EF5AFB" w:rsidP="00EF5AFB">
      <w:pPr>
        <w:rPr>
          <w:rFonts w:cs="Times New Roman"/>
          <w:szCs w:val="22"/>
        </w:rPr>
      </w:pPr>
      <w:r w:rsidRPr="007F343E">
        <w:rPr>
          <w:rFonts w:cs="Times New Roman"/>
          <w:szCs w:val="22"/>
        </w:rPr>
        <w:t xml:space="preserve">The </w:t>
      </w:r>
      <w:r w:rsidRPr="007F343E">
        <w:rPr>
          <w:rFonts w:cs="Times New Roman"/>
          <w:i/>
          <w:szCs w:val="22"/>
        </w:rPr>
        <w:t>EN 378</w:t>
      </w:r>
      <w:r w:rsidRPr="007F343E">
        <w:rPr>
          <w:rFonts w:cs="Times New Roman"/>
          <w:szCs w:val="22"/>
        </w:rPr>
        <w:t xml:space="preserve"> </w:t>
      </w:r>
      <w:r w:rsidRPr="005136DC">
        <w:rPr>
          <w:rFonts w:cs="Times New Roman"/>
          <w:i/>
          <w:szCs w:val="22"/>
        </w:rPr>
        <w:t>Refrigerating systems and heat pumps: Safety and environmental requirements</w:t>
      </w:r>
      <w:r w:rsidRPr="007F343E">
        <w:rPr>
          <w:rFonts w:cs="Times New Roman"/>
          <w:szCs w:val="22"/>
        </w:rPr>
        <w:t xml:space="preserve"> </w:t>
      </w:r>
      <w:r>
        <w:rPr>
          <w:rFonts w:cs="Times New Roman"/>
          <w:szCs w:val="22"/>
        </w:rPr>
        <w:t xml:space="preserve">the technical </w:t>
      </w:r>
      <w:r w:rsidRPr="007F343E">
        <w:rPr>
          <w:rFonts w:cs="Times New Roman"/>
          <w:szCs w:val="22"/>
        </w:rPr>
        <w:t xml:space="preserve">standard in Europe allows the use of HCs up to 1.5 kg in public areas if the volume of the room is sufficiently large. </w:t>
      </w:r>
      <w:r>
        <w:rPr>
          <w:rFonts w:cs="Times New Roman"/>
          <w:szCs w:val="22"/>
        </w:rPr>
        <w:t>Additional momentum in this market has come from some l</w:t>
      </w:r>
      <w:r w:rsidRPr="007F343E">
        <w:rPr>
          <w:rFonts w:cs="Times New Roman"/>
          <w:szCs w:val="22"/>
        </w:rPr>
        <w:t xml:space="preserve">arge global food companies </w:t>
      </w:r>
      <w:r>
        <w:rPr>
          <w:rFonts w:cs="Times New Roman"/>
          <w:szCs w:val="22"/>
        </w:rPr>
        <w:t xml:space="preserve">that </w:t>
      </w:r>
      <w:r w:rsidRPr="007F343E">
        <w:rPr>
          <w:rFonts w:cs="Times New Roman"/>
          <w:szCs w:val="22"/>
        </w:rPr>
        <w:t xml:space="preserve">have </w:t>
      </w:r>
      <w:r>
        <w:rPr>
          <w:rFonts w:cs="Times New Roman"/>
          <w:szCs w:val="22"/>
        </w:rPr>
        <w:t>decided</w:t>
      </w:r>
      <w:r w:rsidRPr="007F343E">
        <w:rPr>
          <w:rFonts w:cs="Times New Roman"/>
          <w:szCs w:val="22"/>
        </w:rPr>
        <w:t xml:space="preserve"> not </w:t>
      </w:r>
      <w:r>
        <w:rPr>
          <w:rFonts w:cs="Times New Roman"/>
          <w:szCs w:val="22"/>
        </w:rPr>
        <w:t>to use HFCs in their new systems. A</w:t>
      </w:r>
      <w:r w:rsidRPr="007F343E">
        <w:rPr>
          <w:rFonts w:cs="Times New Roman"/>
          <w:szCs w:val="22"/>
        </w:rPr>
        <w:t xml:space="preserve">s a result </w:t>
      </w:r>
      <w:r>
        <w:rPr>
          <w:rFonts w:cs="Times New Roman"/>
          <w:szCs w:val="22"/>
        </w:rPr>
        <w:t>of these two factors, the adoption</w:t>
      </w:r>
      <w:r w:rsidRPr="007F343E">
        <w:rPr>
          <w:rFonts w:cs="Times New Roman"/>
          <w:szCs w:val="22"/>
        </w:rPr>
        <w:t xml:space="preserve"> of HCs in small commercial equipment with refrigerant charges varying from 15</w:t>
      </w:r>
      <w:r w:rsidR="005C6F3D">
        <w:rPr>
          <w:rFonts w:cs="Times New Roman"/>
          <w:szCs w:val="22"/>
        </w:rPr>
        <w:t xml:space="preserve">0 </w:t>
      </w:r>
      <w:r w:rsidR="00436D19">
        <w:rPr>
          <w:rFonts w:cs="Times New Roman"/>
          <w:szCs w:val="22"/>
        </w:rPr>
        <w:t>grams</w:t>
      </w:r>
      <w:r w:rsidR="005C6F3D">
        <w:rPr>
          <w:rFonts w:cs="Times New Roman"/>
          <w:szCs w:val="22"/>
        </w:rPr>
        <w:t xml:space="preserve"> </w:t>
      </w:r>
      <w:r w:rsidRPr="007F343E">
        <w:rPr>
          <w:rFonts w:cs="Times New Roman"/>
          <w:szCs w:val="22"/>
        </w:rPr>
        <w:t xml:space="preserve">to 1.5 kg </w:t>
      </w:r>
      <w:r>
        <w:rPr>
          <w:rFonts w:cs="Times New Roman"/>
          <w:szCs w:val="22"/>
        </w:rPr>
        <w:t xml:space="preserve">in </w:t>
      </w:r>
      <w:r w:rsidRPr="007F343E">
        <w:rPr>
          <w:rFonts w:cs="Times New Roman"/>
          <w:szCs w:val="22"/>
        </w:rPr>
        <w:t>international markets is significant.</w:t>
      </w:r>
    </w:p>
    <w:p w:rsidR="00EF5AFB" w:rsidRPr="007F343E" w:rsidRDefault="00EF5AFB" w:rsidP="00EF5AFB">
      <w:pPr>
        <w:rPr>
          <w:rFonts w:cs="Times New Roman"/>
          <w:szCs w:val="22"/>
        </w:rPr>
      </w:pPr>
      <w:r w:rsidRPr="007F343E">
        <w:rPr>
          <w:rFonts w:cs="Times New Roman"/>
          <w:szCs w:val="22"/>
        </w:rPr>
        <w:t>CO</w:t>
      </w:r>
      <w:r w:rsidRPr="007F343E">
        <w:rPr>
          <w:rFonts w:cs="Times New Roman"/>
          <w:szCs w:val="22"/>
          <w:vertAlign w:val="subscript"/>
        </w:rPr>
        <w:t>2</w:t>
      </w:r>
      <w:r w:rsidRPr="007F343E">
        <w:rPr>
          <w:rFonts w:cs="Times New Roman"/>
          <w:szCs w:val="22"/>
        </w:rPr>
        <w:t xml:space="preserve"> (R744) is mainly used in vending mac</w:t>
      </w:r>
      <w:r>
        <w:rPr>
          <w:rFonts w:cs="Times New Roman"/>
          <w:szCs w:val="22"/>
        </w:rPr>
        <w:t>hines,</w:t>
      </w:r>
      <w:r w:rsidRPr="007F343E">
        <w:rPr>
          <w:rFonts w:cs="Times New Roman"/>
          <w:szCs w:val="22"/>
        </w:rPr>
        <w:t xml:space="preserve"> refrigeration display cases, </w:t>
      </w:r>
      <w:r>
        <w:rPr>
          <w:rFonts w:cs="Times New Roman"/>
          <w:szCs w:val="22"/>
        </w:rPr>
        <w:t>and some bottle coolers</w:t>
      </w:r>
      <w:r w:rsidRPr="007F343E">
        <w:rPr>
          <w:rFonts w:cs="Times New Roman"/>
          <w:szCs w:val="22"/>
        </w:rPr>
        <w:t>. The energy efficiency of the vending machine cassettes is found to be similar to HFC-134a machines</w:t>
      </w:r>
      <w:r>
        <w:rPr>
          <w:rFonts w:cs="Times New Roman"/>
          <w:szCs w:val="22"/>
        </w:rPr>
        <w:t>, although</w:t>
      </w:r>
      <w:r w:rsidRPr="007F343E">
        <w:rPr>
          <w:rFonts w:cs="Times New Roman"/>
          <w:szCs w:val="22"/>
        </w:rPr>
        <w:t xml:space="preserve"> with an energy penalty at high ambient temperature conditions. The cost is </w:t>
      </w:r>
      <w:r>
        <w:rPr>
          <w:rFonts w:cs="Times New Roman"/>
          <w:szCs w:val="22"/>
        </w:rPr>
        <w:t xml:space="preserve">also noticeably higher for </w:t>
      </w:r>
      <w:r w:rsidR="005C6F3D" w:rsidRPr="007F343E">
        <w:rPr>
          <w:rFonts w:cs="Times New Roman"/>
          <w:szCs w:val="22"/>
        </w:rPr>
        <w:t>CO</w:t>
      </w:r>
      <w:r w:rsidR="005C6F3D" w:rsidRPr="007F343E">
        <w:rPr>
          <w:rFonts w:cs="Times New Roman"/>
          <w:szCs w:val="22"/>
          <w:vertAlign w:val="subscript"/>
        </w:rPr>
        <w:t>2</w:t>
      </w:r>
      <w:r>
        <w:rPr>
          <w:rFonts w:cs="Times New Roman"/>
          <w:szCs w:val="22"/>
        </w:rPr>
        <w:t xml:space="preserve"> (</w:t>
      </w:r>
      <w:r w:rsidRPr="007F343E">
        <w:rPr>
          <w:rFonts w:cs="Times New Roman"/>
          <w:szCs w:val="22"/>
        </w:rPr>
        <w:t>&gt;15%</w:t>
      </w:r>
      <w:r>
        <w:rPr>
          <w:rFonts w:cs="Times New Roman"/>
          <w:szCs w:val="22"/>
        </w:rPr>
        <w:t>)</w:t>
      </w:r>
      <w:r w:rsidRPr="007F343E">
        <w:rPr>
          <w:rFonts w:cs="Times New Roman"/>
          <w:szCs w:val="22"/>
        </w:rPr>
        <w:t xml:space="preserve"> v</w:t>
      </w:r>
      <w:r>
        <w:rPr>
          <w:rFonts w:cs="Times New Roman"/>
          <w:szCs w:val="22"/>
        </w:rPr>
        <w:t>ersus HFC-134a models.</w:t>
      </w:r>
      <w:r w:rsidRPr="007F343E">
        <w:rPr>
          <w:rFonts w:cs="Times New Roman"/>
          <w:szCs w:val="22"/>
        </w:rPr>
        <w:t xml:space="preserve"> </w:t>
      </w:r>
      <w:r>
        <w:rPr>
          <w:rFonts w:cs="Times New Roman"/>
          <w:szCs w:val="22"/>
        </w:rPr>
        <w:t xml:space="preserve">However Coca-Cola, </w:t>
      </w:r>
      <w:r w:rsidRPr="007F343E">
        <w:rPr>
          <w:rFonts w:cs="Times New Roman"/>
          <w:szCs w:val="22"/>
        </w:rPr>
        <w:t xml:space="preserve">the </w:t>
      </w:r>
      <w:r>
        <w:rPr>
          <w:rFonts w:cs="Times New Roman"/>
          <w:szCs w:val="22"/>
        </w:rPr>
        <w:t xml:space="preserve">one </w:t>
      </w:r>
      <w:r w:rsidRPr="007F343E">
        <w:rPr>
          <w:rFonts w:cs="Times New Roman"/>
          <w:szCs w:val="22"/>
        </w:rPr>
        <w:t xml:space="preserve">global </w:t>
      </w:r>
      <w:r>
        <w:rPr>
          <w:rFonts w:cs="Times New Roman"/>
          <w:szCs w:val="22"/>
        </w:rPr>
        <w:t>beverage company</w:t>
      </w:r>
      <w:r w:rsidRPr="007F343E">
        <w:rPr>
          <w:rFonts w:cs="Times New Roman"/>
          <w:szCs w:val="22"/>
        </w:rPr>
        <w:t xml:space="preserve"> so far orde</w:t>
      </w:r>
      <w:r>
        <w:rPr>
          <w:rFonts w:cs="Times New Roman"/>
          <w:szCs w:val="22"/>
        </w:rPr>
        <w:t>ring this type of equipment, has</w:t>
      </w:r>
      <w:r w:rsidRPr="007F343E">
        <w:rPr>
          <w:rFonts w:cs="Times New Roman"/>
          <w:szCs w:val="22"/>
        </w:rPr>
        <w:t xml:space="preserve"> made a political and</w:t>
      </w:r>
      <w:r>
        <w:rPr>
          <w:rFonts w:cs="Times New Roman"/>
          <w:szCs w:val="22"/>
        </w:rPr>
        <w:t xml:space="preserve"> environmental choice, specifying </w:t>
      </w:r>
      <w:r w:rsidRPr="007F343E">
        <w:rPr>
          <w:rFonts w:cs="Times New Roman"/>
          <w:szCs w:val="22"/>
        </w:rPr>
        <w:t>CO</w:t>
      </w:r>
      <w:r w:rsidRPr="007F343E">
        <w:rPr>
          <w:rFonts w:cs="Times New Roman"/>
          <w:szCs w:val="22"/>
          <w:vertAlign w:val="subscript"/>
        </w:rPr>
        <w:t>2</w:t>
      </w:r>
      <w:r w:rsidRPr="007F343E">
        <w:rPr>
          <w:rFonts w:cs="Times New Roman"/>
          <w:szCs w:val="22"/>
        </w:rPr>
        <w:t xml:space="preserve"> instead of hydrocarbons</w:t>
      </w:r>
      <w:r>
        <w:rPr>
          <w:rFonts w:cs="Times New Roman"/>
          <w:szCs w:val="22"/>
        </w:rPr>
        <w:t xml:space="preserve"> for all their vending machines</w:t>
      </w:r>
      <w:r w:rsidRPr="007F343E">
        <w:rPr>
          <w:rFonts w:cs="Times New Roman"/>
          <w:szCs w:val="22"/>
        </w:rPr>
        <w:t>. The high technological level of expertise required to manufacture these systems possibly forms something of a barrier to</w:t>
      </w:r>
      <w:r w:rsidR="0076243A">
        <w:rPr>
          <w:rFonts w:cs="Times New Roman"/>
          <w:szCs w:val="22"/>
        </w:rPr>
        <w:t xml:space="preserve"> market</w:t>
      </w:r>
      <w:r w:rsidRPr="007F343E">
        <w:rPr>
          <w:rFonts w:cs="Times New Roman"/>
          <w:szCs w:val="22"/>
        </w:rPr>
        <w:t xml:space="preserve"> entry </w:t>
      </w:r>
      <w:r w:rsidR="0076243A">
        <w:rPr>
          <w:rFonts w:cs="Times New Roman"/>
          <w:szCs w:val="22"/>
        </w:rPr>
        <w:t>of</w:t>
      </w:r>
      <w:r w:rsidRPr="007F343E">
        <w:rPr>
          <w:rFonts w:cs="Times New Roman"/>
          <w:szCs w:val="22"/>
        </w:rPr>
        <w:t xml:space="preserve"> this application</w:t>
      </w:r>
      <w:r>
        <w:rPr>
          <w:rFonts w:cs="Times New Roman"/>
          <w:szCs w:val="22"/>
        </w:rPr>
        <w:t>, however there is no doubt that customer support will continue and increase the availability of this technology</w:t>
      </w:r>
      <w:r w:rsidRPr="007F343E">
        <w:rPr>
          <w:rFonts w:cs="Times New Roman"/>
          <w:szCs w:val="22"/>
        </w:rPr>
        <w:t>.</w:t>
      </w:r>
    </w:p>
    <w:p w:rsidR="00EF5AFB" w:rsidRPr="007F343E" w:rsidRDefault="00EF5AFB" w:rsidP="00EF5AFB">
      <w:pPr>
        <w:rPr>
          <w:rFonts w:cs="Times New Roman"/>
          <w:szCs w:val="22"/>
        </w:rPr>
      </w:pPr>
      <w:r w:rsidRPr="007F343E">
        <w:rPr>
          <w:rFonts w:cs="Times New Roman"/>
          <w:szCs w:val="22"/>
        </w:rPr>
        <w:t xml:space="preserve">HFO-1234yf can replace HFC-134a in any application but the availability of HFO-1234yf is limited, and therefore there is no large amount of equipment available charged with HFO-1234yf. The energy efficiency of HFO-1234yf will be in the same range as HFC-134a. There are reciprocating compressors that are already approved for the use of HFO-1234yf. Vending machines using this refrigerant have already been introduced in Japan. To some extent, the additional cost of the chemical would increase the cost of the equipment </w:t>
      </w:r>
      <w:r w:rsidR="00EE744A">
        <w:rPr>
          <w:rFonts w:cs="Times New Roman"/>
          <w:szCs w:val="22"/>
        </w:rPr>
        <w:t xml:space="preserve">by </w:t>
      </w:r>
      <w:r w:rsidRPr="007F343E">
        <w:rPr>
          <w:rFonts w:cs="Times New Roman"/>
          <w:szCs w:val="22"/>
        </w:rPr>
        <w:t>a small amount.</w:t>
      </w:r>
    </w:p>
    <w:p w:rsidR="00EF5AFB" w:rsidRPr="007F343E" w:rsidRDefault="00EF5AFB" w:rsidP="00EF5AFB">
      <w:pPr>
        <w:rPr>
          <w:rFonts w:cs="Times New Roman"/>
          <w:szCs w:val="22"/>
        </w:rPr>
      </w:pPr>
      <w:r w:rsidRPr="007F343E">
        <w:rPr>
          <w:rFonts w:cs="Times New Roman"/>
          <w:szCs w:val="22"/>
        </w:rPr>
        <w:t xml:space="preserve">It can be expected that, until the price of HFOs fall sufficiently, and become widely available, Australia will see more </w:t>
      </w:r>
      <w:r w:rsidR="00635328">
        <w:rPr>
          <w:rFonts w:cs="Times New Roman"/>
          <w:szCs w:val="22"/>
        </w:rPr>
        <w:t>hydrocarbon</w:t>
      </w:r>
      <w:r w:rsidR="00635328" w:rsidRPr="007F343E">
        <w:rPr>
          <w:rFonts w:cs="Times New Roman"/>
          <w:szCs w:val="22"/>
        </w:rPr>
        <w:t xml:space="preserve"> </w:t>
      </w:r>
      <w:r>
        <w:rPr>
          <w:rFonts w:cs="Times New Roman"/>
          <w:szCs w:val="22"/>
        </w:rPr>
        <w:t>and CO</w:t>
      </w:r>
      <w:r w:rsidRPr="005004F7">
        <w:rPr>
          <w:rFonts w:cs="Times New Roman"/>
          <w:szCs w:val="22"/>
          <w:vertAlign w:val="subscript"/>
        </w:rPr>
        <w:t>2</w:t>
      </w:r>
      <w:r>
        <w:rPr>
          <w:rFonts w:cs="Times New Roman"/>
          <w:szCs w:val="22"/>
        </w:rPr>
        <w:t xml:space="preserve"> </w:t>
      </w:r>
      <w:r w:rsidRPr="007F343E">
        <w:rPr>
          <w:rFonts w:cs="Times New Roman"/>
          <w:szCs w:val="22"/>
        </w:rPr>
        <w:t>charged equipment in this small equipment class.</w:t>
      </w:r>
    </w:p>
    <w:p w:rsidR="005C09D9" w:rsidRDefault="005C09D9">
      <w:pPr>
        <w:spacing w:before="0"/>
        <w:jc w:val="left"/>
        <w:rPr>
          <w:rFonts w:cs="Times New Roman"/>
          <w:szCs w:val="22"/>
          <w:u w:val="single"/>
        </w:rPr>
      </w:pPr>
      <w:r>
        <w:rPr>
          <w:rFonts w:cs="Times New Roman"/>
          <w:szCs w:val="22"/>
          <w:u w:val="single"/>
        </w:rPr>
        <w:br w:type="page"/>
      </w:r>
    </w:p>
    <w:p w:rsidR="00EF5AFB" w:rsidRPr="007F343E" w:rsidRDefault="00EF5AFB" w:rsidP="00EF5AFB">
      <w:pPr>
        <w:spacing w:before="240"/>
        <w:rPr>
          <w:rFonts w:cs="Times New Roman"/>
          <w:szCs w:val="22"/>
          <w:u w:val="single"/>
        </w:rPr>
      </w:pPr>
      <w:r w:rsidRPr="007F343E">
        <w:rPr>
          <w:rFonts w:cs="Times New Roman"/>
          <w:szCs w:val="22"/>
          <w:u w:val="single"/>
        </w:rPr>
        <w:t>Medium RCRC: Remote condensing units</w:t>
      </w:r>
    </w:p>
    <w:p w:rsidR="00EF5AFB" w:rsidRPr="007F343E" w:rsidRDefault="00EF5AFB" w:rsidP="00EF5AFB">
      <w:pPr>
        <w:rPr>
          <w:rFonts w:cs="Times New Roman"/>
          <w:szCs w:val="22"/>
        </w:rPr>
      </w:pPr>
      <w:r w:rsidRPr="007F343E">
        <w:rPr>
          <w:rFonts w:cs="Times New Roman"/>
          <w:szCs w:val="22"/>
        </w:rPr>
        <w:t xml:space="preserve">HFC-134a and HFC-404A are the working gases of choice for remote condensing units. HFC-134a is typically chosen for small capacities and </w:t>
      </w:r>
      <w:r>
        <w:rPr>
          <w:rFonts w:cs="Times New Roman"/>
          <w:szCs w:val="22"/>
        </w:rPr>
        <w:t xml:space="preserve">medium temperature applications </w:t>
      </w:r>
      <w:r w:rsidRPr="007F343E">
        <w:rPr>
          <w:rFonts w:cs="Times New Roman"/>
          <w:szCs w:val="22"/>
        </w:rPr>
        <w:t>whereas HFC-404A is chosen for refrigeration intensive applications</w:t>
      </w:r>
      <w:r>
        <w:rPr>
          <w:rFonts w:cs="Times New Roman"/>
          <w:szCs w:val="22"/>
        </w:rPr>
        <w:t xml:space="preserve">, </w:t>
      </w:r>
      <w:r w:rsidRPr="007F343E">
        <w:rPr>
          <w:rFonts w:cs="Times New Roman"/>
          <w:szCs w:val="22"/>
        </w:rPr>
        <w:t xml:space="preserve">larger capacities </w:t>
      </w:r>
      <w:r>
        <w:rPr>
          <w:rFonts w:cs="Times New Roman"/>
          <w:szCs w:val="22"/>
        </w:rPr>
        <w:t>and all refrigeration temperatures down to -35</w:t>
      </w:r>
      <w:r w:rsidRPr="005136DC">
        <w:rPr>
          <w:rFonts w:cs="Times New Roman"/>
          <w:szCs w:val="22"/>
          <w:vertAlign w:val="superscript"/>
        </w:rPr>
        <w:t>o</w:t>
      </w:r>
      <w:r>
        <w:rPr>
          <w:rFonts w:cs="Times New Roman"/>
          <w:szCs w:val="22"/>
        </w:rPr>
        <w:t>C</w:t>
      </w:r>
      <w:r w:rsidRPr="007F343E">
        <w:rPr>
          <w:rFonts w:cs="Times New Roman"/>
          <w:szCs w:val="22"/>
        </w:rPr>
        <w:t>. These HFCs form the energy efficiency references for benchmarking emerging refrigerant alternatives.</w:t>
      </w:r>
    </w:p>
    <w:p w:rsidR="00EF5AFB" w:rsidRPr="007F343E" w:rsidRDefault="00EF5AFB" w:rsidP="00EF5AFB">
      <w:pPr>
        <w:rPr>
          <w:rFonts w:cs="Times New Roman"/>
          <w:szCs w:val="22"/>
        </w:rPr>
      </w:pPr>
      <w:r w:rsidRPr="007F343E">
        <w:rPr>
          <w:rFonts w:cs="Times New Roman"/>
          <w:szCs w:val="22"/>
        </w:rPr>
        <w:t>Some new CO</w:t>
      </w:r>
      <w:r w:rsidRPr="007F343E">
        <w:rPr>
          <w:rFonts w:cs="Times New Roman"/>
          <w:szCs w:val="22"/>
          <w:vertAlign w:val="subscript"/>
        </w:rPr>
        <w:t>2</w:t>
      </w:r>
      <w:r w:rsidRPr="007F343E">
        <w:rPr>
          <w:rFonts w:cs="Times New Roman"/>
          <w:szCs w:val="22"/>
        </w:rPr>
        <w:t xml:space="preserve"> (R744) based condensing units (micro-cascade) are sold in Australia and Northern Europe, but t</w:t>
      </w:r>
      <w:r w:rsidR="0060717D">
        <w:rPr>
          <w:rFonts w:cs="Times New Roman"/>
          <w:szCs w:val="22"/>
        </w:rPr>
        <w:t xml:space="preserve">he market penetration is low. </w:t>
      </w:r>
      <w:r w:rsidR="00CD4BAA" w:rsidRPr="007F343E">
        <w:rPr>
          <w:rFonts w:cs="Times New Roman"/>
          <w:szCs w:val="22"/>
        </w:rPr>
        <w:t>CO</w:t>
      </w:r>
      <w:r w:rsidR="00CD4BAA" w:rsidRPr="007F343E">
        <w:rPr>
          <w:rFonts w:cs="Times New Roman"/>
          <w:szCs w:val="22"/>
          <w:vertAlign w:val="subscript"/>
        </w:rPr>
        <w:t>2</w:t>
      </w:r>
      <w:r w:rsidRPr="007F343E">
        <w:rPr>
          <w:rFonts w:cs="Times New Roman"/>
          <w:szCs w:val="22"/>
        </w:rPr>
        <w:t xml:space="preserve"> systems require a double-stage (cascade) design if high ambient temperatures occur frequently. Single-stage systems are designed for cold climates which have limited scope in Australia until the technology matures. The additional cost for a cascade system is significant and is the main barrier for these CO</w:t>
      </w:r>
      <w:r w:rsidRPr="007F343E">
        <w:rPr>
          <w:rFonts w:cs="Times New Roman"/>
          <w:szCs w:val="22"/>
          <w:vertAlign w:val="subscript"/>
        </w:rPr>
        <w:t>2</w:t>
      </w:r>
      <w:r w:rsidRPr="007F343E">
        <w:rPr>
          <w:rFonts w:cs="Times New Roman"/>
          <w:szCs w:val="22"/>
        </w:rPr>
        <w:t xml:space="preserve"> systems. Further development is possible if there was a wide consensus adopted to not employ HCs in this application. However, even if that were to occur, it is likely that the future market share will be relatively limited.</w:t>
      </w:r>
    </w:p>
    <w:p w:rsidR="00EF5AFB" w:rsidRPr="007F343E" w:rsidRDefault="00EF5AFB" w:rsidP="00EF5AFB">
      <w:pPr>
        <w:rPr>
          <w:rFonts w:cs="Times New Roman"/>
          <w:szCs w:val="22"/>
        </w:rPr>
      </w:pPr>
      <w:r w:rsidRPr="007F343E">
        <w:rPr>
          <w:rFonts w:cs="Times New Roman"/>
          <w:szCs w:val="22"/>
        </w:rPr>
        <w:t xml:space="preserve">Several indirect condensing units with HC-290 or HC-1270 are operating in Europe with typical refrigerant charges varying from 1 to 20 kg and delivering good energy efficiency. The indirect system energy penalty is limited if the secondary loop is well designed, with larger heat-exchanger areas. Costs for these </w:t>
      </w:r>
      <w:r w:rsidR="00635328">
        <w:rPr>
          <w:rFonts w:cs="Times New Roman"/>
          <w:szCs w:val="22"/>
        </w:rPr>
        <w:t>hydrocarbon</w:t>
      </w:r>
      <w:r w:rsidR="00635328" w:rsidRPr="007F343E">
        <w:rPr>
          <w:rFonts w:cs="Times New Roman"/>
          <w:szCs w:val="22"/>
        </w:rPr>
        <w:t xml:space="preserve"> </w:t>
      </w:r>
      <w:r w:rsidRPr="007F343E">
        <w:rPr>
          <w:rFonts w:cs="Times New Roman"/>
          <w:szCs w:val="22"/>
        </w:rPr>
        <w:t xml:space="preserve">based systems are typically 5 to 15% higher compared to HFC systems (UNEP 2013c, p2). </w:t>
      </w:r>
    </w:p>
    <w:p w:rsidR="00EF5AFB" w:rsidRPr="007F343E" w:rsidRDefault="00EF5AFB" w:rsidP="00EF5AFB">
      <w:pPr>
        <w:rPr>
          <w:rFonts w:cs="Times New Roman"/>
          <w:szCs w:val="22"/>
        </w:rPr>
      </w:pPr>
      <w:r w:rsidRPr="007F343E">
        <w:rPr>
          <w:rFonts w:cs="Times New Roman"/>
          <w:szCs w:val="22"/>
        </w:rPr>
        <w:t xml:space="preserve">EcoChill, a NZ based company is promoting indirect systems containing hydrocarbon in the region, and several hydrocarbon suppliers have retrofitted </w:t>
      </w:r>
      <w:r w:rsidR="009D0F1D">
        <w:rPr>
          <w:rFonts w:cs="Times New Roman"/>
          <w:szCs w:val="22"/>
        </w:rPr>
        <w:t xml:space="preserve">hydrocarbons </w:t>
      </w:r>
      <w:r w:rsidR="00B179C3">
        <w:rPr>
          <w:rFonts w:cs="Times New Roman"/>
          <w:szCs w:val="22"/>
        </w:rPr>
        <w:t xml:space="preserve"> </w:t>
      </w:r>
      <w:r w:rsidR="009D0F1D">
        <w:rPr>
          <w:rFonts w:cs="Times New Roman"/>
          <w:szCs w:val="22"/>
        </w:rPr>
        <w:t xml:space="preserve">to </w:t>
      </w:r>
      <w:r w:rsidRPr="007F343E">
        <w:rPr>
          <w:rFonts w:cs="Times New Roman"/>
          <w:szCs w:val="22"/>
        </w:rPr>
        <w:t xml:space="preserve">HCFC-22 systems in chilling applications in wineries, for instance Engas at Naturaliste Vinters as part of the Australian Government’s Clean Technology Food and Foundries Investment Program. </w:t>
      </w:r>
    </w:p>
    <w:p w:rsidR="00EF5AFB" w:rsidRPr="007F343E" w:rsidRDefault="00EF5AFB" w:rsidP="00EF5AFB">
      <w:pPr>
        <w:rPr>
          <w:rFonts w:cs="Times New Roman"/>
          <w:szCs w:val="22"/>
        </w:rPr>
      </w:pPr>
      <w:r w:rsidRPr="007F343E">
        <w:rPr>
          <w:rFonts w:cs="Times New Roman"/>
          <w:szCs w:val="22"/>
        </w:rPr>
        <w:t xml:space="preserve">Other projects recently completed in Australia that demonstrate the potential for larger vapour compression systems </w:t>
      </w:r>
      <w:r>
        <w:rPr>
          <w:rFonts w:cs="Times New Roman"/>
          <w:szCs w:val="22"/>
        </w:rPr>
        <w:t>using</w:t>
      </w:r>
      <w:r w:rsidR="00635328">
        <w:rPr>
          <w:rFonts w:cs="Times New Roman"/>
          <w:szCs w:val="22"/>
        </w:rPr>
        <w:t xml:space="preserve"> hydrocarbons</w:t>
      </w:r>
      <w:r>
        <w:rPr>
          <w:rFonts w:cs="Times New Roman"/>
          <w:szCs w:val="22"/>
        </w:rPr>
        <w:t xml:space="preserve"> </w:t>
      </w:r>
      <w:r w:rsidRPr="007F343E">
        <w:rPr>
          <w:rFonts w:cs="Times New Roman"/>
          <w:szCs w:val="22"/>
        </w:rPr>
        <w:t xml:space="preserve">include: </w:t>
      </w:r>
    </w:p>
    <w:p w:rsidR="00EF5AFB" w:rsidRPr="007F343E" w:rsidRDefault="00EF5AFB" w:rsidP="00E97935">
      <w:pPr>
        <w:pStyle w:val="ListParagraph"/>
        <w:numPr>
          <w:ilvl w:val="0"/>
          <w:numId w:val="25"/>
        </w:numPr>
        <w:spacing w:before="120" w:after="0" w:line="240" w:lineRule="auto"/>
        <w:contextualSpacing w:val="0"/>
        <w:jc w:val="both"/>
        <w:rPr>
          <w:rFonts w:ascii="Times New Roman" w:hAnsi="Times New Roman"/>
        </w:rPr>
      </w:pPr>
      <w:r w:rsidRPr="007F343E">
        <w:rPr>
          <w:rFonts w:ascii="Times New Roman" w:hAnsi="Times New Roman"/>
        </w:rPr>
        <w:t>Cool rooms and a freezer room at the Elite Food Company in Perth, a location that experiences very high ambient summer temperatures. This installation uses a proprietary hydrocarbon refrigerant, Engas M50, which is a hydrocarbon blend with a secondary loop using Glycol;</w:t>
      </w:r>
    </w:p>
    <w:p w:rsidR="00EF5AFB" w:rsidRPr="007F343E" w:rsidRDefault="00EF5AFB" w:rsidP="00E97935">
      <w:pPr>
        <w:pStyle w:val="ListParagraph"/>
        <w:numPr>
          <w:ilvl w:val="0"/>
          <w:numId w:val="25"/>
        </w:numPr>
        <w:spacing w:before="120" w:after="0" w:line="240" w:lineRule="auto"/>
        <w:contextualSpacing w:val="0"/>
        <w:jc w:val="both"/>
        <w:rPr>
          <w:rFonts w:ascii="Times New Roman" w:hAnsi="Times New Roman"/>
        </w:rPr>
      </w:pPr>
      <w:r w:rsidRPr="007F343E">
        <w:rPr>
          <w:rFonts w:ascii="Times New Roman" w:hAnsi="Times New Roman"/>
        </w:rPr>
        <w:t xml:space="preserve">A 110 kWr self-contained weatherproof fluid chiller installed for </w:t>
      </w:r>
      <w:r w:rsidR="00635328">
        <w:rPr>
          <w:rFonts w:ascii="Times New Roman" w:hAnsi="Times New Roman"/>
        </w:rPr>
        <w:t>AC</w:t>
      </w:r>
      <w:r w:rsidRPr="007F343E">
        <w:rPr>
          <w:rFonts w:ascii="Times New Roman" w:hAnsi="Times New Roman"/>
        </w:rPr>
        <w:t xml:space="preserve"> clean rooms at a pharmaceutical manufacturing facility using Engas M60 refrigerant. This is a also a blended hydrocarbon refrigerant that replaces HFC-410A;   </w:t>
      </w:r>
    </w:p>
    <w:p w:rsidR="00EF5AFB" w:rsidRPr="007F343E" w:rsidRDefault="00EF5AFB" w:rsidP="00E97935">
      <w:pPr>
        <w:pStyle w:val="ListParagraph"/>
        <w:numPr>
          <w:ilvl w:val="0"/>
          <w:numId w:val="25"/>
        </w:numPr>
        <w:spacing w:before="120" w:after="0" w:line="240" w:lineRule="auto"/>
        <w:contextualSpacing w:val="0"/>
        <w:jc w:val="both"/>
        <w:rPr>
          <w:rFonts w:ascii="Times New Roman" w:hAnsi="Times New Roman"/>
        </w:rPr>
      </w:pPr>
      <w:r w:rsidRPr="007F343E">
        <w:rPr>
          <w:rFonts w:ascii="Times New Roman" w:hAnsi="Times New Roman"/>
        </w:rPr>
        <w:t xml:space="preserve">A 650 kWr fluid chiller at a private hospital in Western Australia; and, </w:t>
      </w:r>
    </w:p>
    <w:p w:rsidR="00EF5AFB" w:rsidRPr="007F343E" w:rsidRDefault="00EF5AFB" w:rsidP="00E97935">
      <w:pPr>
        <w:pStyle w:val="ListParagraph"/>
        <w:numPr>
          <w:ilvl w:val="0"/>
          <w:numId w:val="25"/>
        </w:numPr>
        <w:spacing w:before="120" w:after="0" w:line="240" w:lineRule="auto"/>
        <w:contextualSpacing w:val="0"/>
        <w:jc w:val="both"/>
        <w:rPr>
          <w:rFonts w:ascii="Times New Roman" w:hAnsi="Times New Roman"/>
        </w:rPr>
      </w:pPr>
      <w:r w:rsidRPr="007F343E">
        <w:rPr>
          <w:rFonts w:ascii="Times New Roman" w:hAnsi="Times New Roman"/>
        </w:rPr>
        <w:t>A secondary loop heat pump system designed for heating an Olympic size pool.</w:t>
      </w:r>
    </w:p>
    <w:p w:rsidR="00EF5AFB" w:rsidRPr="007F343E" w:rsidRDefault="00D44295" w:rsidP="00EF5AFB">
      <w:pPr>
        <w:rPr>
          <w:rFonts w:cs="Times New Roman"/>
          <w:szCs w:val="22"/>
        </w:rPr>
      </w:pPr>
      <w:r>
        <w:rPr>
          <w:rFonts w:cs="Times New Roman"/>
          <w:szCs w:val="22"/>
        </w:rPr>
        <w:t>F</w:t>
      </w:r>
      <w:r w:rsidR="00EF5AFB" w:rsidRPr="007F343E">
        <w:rPr>
          <w:rFonts w:cs="Times New Roman"/>
          <w:szCs w:val="22"/>
        </w:rPr>
        <w:t>urther commercial development of hydrocarbons for condensing units depends, in part, on the outcome of the competition with future low GWP HFCs. Hydrocarbons are seen as one possible long-term solution but in general require better refrigerant management during maintenance. It may be that the perceived safety and actual safety issues of using hydrocarbons in remote condensing units, and the need for changed management in the supply chain, could be sufficient obstacles to uptake that only relatively slow market uptake will be seen in the near term and will eventually be overtaken when suitable HFO blends become more widely available.</w:t>
      </w:r>
    </w:p>
    <w:p w:rsidR="00EF5AFB" w:rsidRPr="007F343E" w:rsidRDefault="00EF5AFB" w:rsidP="00EF5AFB">
      <w:pPr>
        <w:rPr>
          <w:rFonts w:cs="Times New Roman"/>
          <w:szCs w:val="22"/>
        </w:rPr>
      </w:pPr>
      <w:r w:rsidRPr="007F343E">
        <w:rPr>
          <w:rFonts w:cs="Times New Roman"/>
          <w:szCs w:val="22"/>
        </w:rPr>
        <w:t xml:space="preserve">A number of possible low GWP HFO blends have been developed and are being tested, however, so far there are no commercially available options in this sub-sector. Most of the activities are at the level of trials by manufacturers and the </w:t>
      </w:r>
      <w:r w:rsidRPr="00F82A25">
        <w:rPr>
          <w:rFonts w:cs="Times New Roman"/>
          <w:szCs w:val="22"/>
        </w:rPr>
        <w:t>AHRI Low-GWP Alternative Refrigerants Evaluation Program</w:t>
      </w:r>
      <w:r w:rsidRPr="007F343E">
        <w:rPr>
          <w:rFonts w:cs="Times New Roman"/>
          <w:szCs w:val="22"/>
        </w:rPr>
        <w:t xml:space="preserve">. </w:t>
      </w:r>
    </w:p>
    <w:p w:rsidR="00EF5AFB" w:rsidRPr="007F343E" w:rsidRDefault="00EF5AFB" w:rsidP="00EF5AFB">
      <w:pPr>
        <w:rPr>
          <w:rFonts w:cs="Times New Roman"/>
          <w:szCs w:val="22"/>
        </w:rPr>
      </w:pPr>
      <w:r w:rsidRPr="007F343E">
        <w:rPr>
          <w:rFonts w:cs="Times New Roman"/>
          <w:szCs w:val="22"/>
        </w:rPr>
        <w:t>While HFC-407F and to a lesser extent HFC-407A are the intermediate lower GWP alternative options to HFC-404A at present, XP-10, N-40, DR-33, L-40, DR-7 and other blends under development may all be future options.</w:t>
      </w:r>
    </w:p>
    <w:p w:rsidR="00EF5AFB" w:rsidRPr="007F343E" w:rsidRDefault="00EF5AFB" w:rsidP="00EF5AFB">
      <w:pPr>
        <w:spacing w:before="240"/>
        <w:rPr>
          <w:rFonts w:cs="Times New Roman"/>
          <w:szCs w:val="22"/>
          <w:u w:val="single"/>
        </w:rPr>
      </w:pPr>
      <w:r w:rsidRPr="007F343E">
        <w:rPr>
          <w:rFonts w:cs="Times New Roman"/>
          <w:szCs w:val="22"/>
          <w:u w:val="single"/>
        </w:rPr>
        <w:t>Large RCFC: Supermarkets</w:t>
      </w:r>
    </w:p>
    <w:p w:rsidR="00EF5AFB" w:rsidRPr="007F343E" w:rsidRDefault="00EF5AFB" w:rsidP="00EF5AFB">
      <w:pPr>
        <w:rPr>
          <w:rFonts w:cs="Times New Roman"/>
          <w:szCs w:val="22"/>
        </w:rPr>
      </w:pPr>
      <w:r w:rsidRPr="007F343E">
        <w:rPr>
          <w:rFonts w:cs="Times New Roman"/>
          <w:szCs w:val="22"/>
        </w:rPr>
        <w:t>Supermarket systems operate with racks of compressors installed in a machinery room. Two main design options are used, i.e., direct and indirect systems. Direct systems are the most widespread. The refrigerant circulates from the machinery room to the sales area, where it evaporates in display-case heat exchangers, and then returns in the vapour phase to the suction headers of the compressor racks. The supermarket co</w:t>
      </w:r>
      <w:r>
        <w:rPr>
          <w:rFonts w:cs="Times New Roman"/>
          <w:szCs w:val="22"/>
        </w:rPr>
        <w:t>o</w:t>
      </w:r>
      <w:r w:rsidRPr="007F343E">
        <w:rPr>
          <w:rFonts w:cs="Times New Roman"/>
          <w:szCs w:val="22"/>
        </w:rPr>
        <w:t xml:space="preserve">l rooms </w:t>
      </w:r>
      <w:r>
        <w:rPr>
          <w:rFonts w:cs="Times New Roman"/>
          <w:szCs w:val="22"/>
        </w:rPr>
        <w:t xml:space="preserve">and freezers </w:t>
      </w:r>
      <w:r w:rsidRPr="007F343E">
        <w:rPr>
          <w:rFonts w:cs="Times New Roman"/>
          <w:szCs w:val="22"/>
        </w:rPr>
        <w:t>are cooled similarly.</w:t>
      </w:r>
    </w:p>
    <w:p w:rsidR="00EF5AFB" w:rsidRPr="007F343E" w:rsidRDefault="00EF5AFB" w:rsidP="00EF5AFB">
      <w:pPr>
        <w:rPr>
          <w:rFonts w:cs="Times New Roman"/>
          <w:szCs w:val="22"/>
        </w:rPr>
      </w:pPr>
      <w:r>
        <w:rPr>
          <w:rFonts w:cs="Times New Roman"/>
          <w:szCs w:val="22"/>
        </w:rPr>
        <w:t xml:space="preserve">Increasing </w:t>
      </w:r>
      <w:r w:rsidRPr="007F343E">
        <w:rPr>
          <w:rFonts w:cs="Times New Roman"/>
          <w:szCs w:val="22"/>
        </w:rPr>
        <w:t xml:space="preserve">numbers </w:t>
      </w:r>
      <w:r>
        <w:rPr>
          <w:rFonts w:cs="Times New Roman"/>
          <w:szCs w:val="22"/>
        </w:rPr>
        <w:t xml:space="preserve">(&gt;100 systems) </w:t>
      </w:r>
      <w:r w:rsidRPr="007F343E">
        <w:rPr>
          <w:rFonts w:cs="Times New Roman"/>
          <w:szCs w:val="22"/>
        </w:rPr>
        <w:t xml:space="preserve">of </w:t>
      </w:r>
      <w:r>
        <w:rPr>
          <w:rFonts w:cs="Times New Roman"/>
          <w:szCs w:val="22"/>
        </w:rPr>
        <w:t>CO</w:t>
      </w:r>
      <w:r w:rsidRPr="00DE1369">
        <w:rPr>
          <w:rFonts w:cs="Times New Roman"/>
          <w:szCs w:val="22"/>
          <w:vertAlign w:val="subscript"/>
        </w:rPr>
        <w:t>2</w:t>
      </w:r>
      <w:r>
        <w:rPr>
          <w:rFonts w:cs="Times New Roman"/>
          <w:szCs w:val="22"/>
        </w:rPr>
        <w:t xml:space="preserve"> (</w:t>
      </w:r>
      <w:r w:rsidRPr="007F343E">
        <w:rPr>
          <w:rFonts w:cs="Times New Roman"/>
          <w:szCs w:val="22"/>
        </w:rPr>
        <w:t>R-744</w:t>
      </w:r>
      <w:r>
        <w:rPr>
          <w:rFonts w:cs="Times New Roman"/>
          <w:szCs w:val="22"/>
        </w:rPr>
        <w:t>)</w:t>
      </w:r>
      <w:r w:rsidRPr="007F343E">
        <w:rPr>
          <w:rFonts w:cs="Times New Roman"/>
          <w:szCs w:val="22"/>
        </w:rPr>
        <w:t xml:space="preserve"> systems are in use in Australia, applied in either cascading systems (several </w:t>
      </w:r>
      <w:r>
        <w:rPr>
          <w:rFonts w:cs="Times New Roman"/>
          <w:szCs w:val="22"/>
        </w:rPr>
        <w:t xml:space="preserve">refrigerant </w:t>
      </w:r>
      <w:r w:rsidRPr="007F343E">
        <w:rPr>
          <w:rFonts w:cs="Times New Roman"/>
          <w:szCs w:val="22"/>
        </w:rPr>
        <w:t>options) or in trans</w:t>
      </w:r>
      <w:r>
        <w:rPr>
          <w:rFonts w:cs="Times New Roman"/>
          <w:szCs w:val="22"/>
        </w:rPr>
        <w:t>-critical systems</w:t>
      </w:r>
      <w:r w:rsidRPr="007F343E">
        <w:rPr>
          <w:rFonts w:cs="Times New Roman"/>
          <w:szCs w:val="22"/>
        </w:rPr>
        <w:t>.</w:t>
      </w:r>
    </w:p>
    <w:p w:rsidR="00EF5AFB" w:rsidRPr="007F343E" w:rsidRDefault="00EF5AFB" w:rsidP="00EF5AFB">
      <w:pPr>
        <w:rPr>
          <w:rFonts w:cs="Times New Roman"/>
          <w:szCs w:val="22"/>
        </w:rPr>
      </w:pPr>
      <w:r>
        <w:rPr>
          <w:rFonts w:cs="Times New Roman"/>
          <w:szCs w:val="22"/>
        </w:rPr>
        <w:t>CO</w:t>
      </w:r>
      <w:r w:rsidRPr="00DE1369">
        <w:rPr>
          <w:rFonts w:cs="Times New Roman"/>
          <w:szCs w:val="22"/>
          <w:vertAlign w:val="subscript"/>
        </w:rPr>
        <w:t>2</w:t>
      </w:r>
      <w:r>
        <w:rPr>
          <w:rFonts w:cs="Times New Roman"/>
          <w:szCs w:val="22"/>
        </w:rPr>
        <w:t xml:space="preserve"> </w:t>
      </w:r>
      <w:r w:rsidRPr="007F343E">
        <w:rPr>
          <w:rFonts w:cs="Times New Roman"/>
          <w:szCs w:val="22"/>
        </w:rPr>
        <w:t xml:space="preserve">is </w:t>
      </w:r>
      <w:r>
        <w:rPr>
          <w:rFonts w:cs="Times New Roman"/>
          <w:szCs w:val="22"/>
        </w:rPr>
        <w:t xml:space="preserve">an </w:t>
      </w:r>
      <w:r w:rsidRPr="007F343E">
        <w:rPr>
          <w:rFonts w:cs="Times New Roman"/>
          <w:szCs w:val="22"/>
        </w:rPr>
        <w:t xml:space="preserve">efficient </w:t>
      </w:r>
      <w:r>
        <w:rPr>
          <w:rFonts w:cs="Times New Roman"/>
          <w:szCs w:val="22"/>
        </w:rPr>
        <w:t xml:space="preserve">alternative </w:t>
      </w:r>
      <w:r w:rsidRPr="007F343E">
        <w:rPr>
          <w:rFonts w:cs="Times New Roman"/>
          <w:szCs w:val="22"/>
        </w:rPr>
        <w:t>for a condensing temperature below 25°C. Based on this energy efficiency in moderate climate zones, two stage transcritical systems have seen a significant expansion in Northern Europe with more than 1</w:t>
      </w:r>
      <w:r>
        <w:rPr>
          <w:rFonts w:cs="Times New Roman"/>
          <w:szCs w:val="22"/>
        </w:rPr>
        <w:t>,</w:t>
      </w:r>
      <w:r w:rsidRPr="007F343E">
        <w:rPr>
          <w:rFonts w:cs="Times New Roman"/>
          <w:szCs w:val="22"/>
        </w:rPr>
        <w:t>300 centralised systems of various cooling ca</w:t>
      </w:r>
      <w:r>
        <w:rPr>
          <w:rFonts w:cs="Times New Roman"/>
          <w:szCs w:val="22"/>
        </w:rPr>
        <w:t>pacities in 2011 (Shecco 2013).</w:t>
      </w:r>
    </w:p>
    <w:p w:rsidR="00EF5AFB" w:rsidRPr="007F343E" w:rsidRDefault="00EF5AFB" w:rsidP="00EF5AFB">
      <w:pPr>
        <w:rPr>
          <w:rFonts w:cs="Times New Roman"/>
          <w:szCs w:val="22"/>
        </w:rPr>
      </w:pPr>
      <w:r w:rsidRPr="007F343E">
        <w:rPr>
          <w:rFonts w:cs="Times New Roman"/>
          <w:szCs w:val="22"/>
        </w:rPr>
        <w:t xml:space="preserve">However the trans-critical cycle is likely to create a significant energy penalty at high ambient temperatures, although developments are on-going to make the </w:t>
      </w:r>
      <w:r>
        <w:rPr>
          <w:rFonts w:cs="Times New Roman"/>
          <w:szCs w:val="22"/>
        </w:rPr>
        <w:t>CO</w:t>
      </w:r>
      <w:r w:rsidRPr="00DE1369">
        <w:rPr>
          <w:rFonts w:cs="Times New Roman"/>
          <w:szCs w:val="22"/>
          <w:vertAlign w:val="subscript"/>
        </w:rPr>
        <w:t>2</w:t>
      </w:r>
      <w:r>
        <w:rPr>
          <w:rFonts w:cs="Times New Roman"/>
          <w:szCs w:val="22"/>
        </w:rPr>
        <w:t xml:space="preserve"> </w:t>
      </w:r>
      <w:r w:rsidRPr="007F343E">
        <w:rPr>
          <w:rFonts w:cs="Times New Roman"/>
          <w:szCs w:val="22"/>
        </w:rPr>
        <w:t xml:space="preserve">technology more energy-competitive under these conditions. The additional cost of these systems is estimated to be 10 to 15%, however the lower energy efficiency for high ambient temperatures forms a barrier. The high pressure under which </w:t>
      </w:r>
      <w:r>
        <w:rPr>
          <w:rFonts w:cs="Times New Roman"/>
          <w:szCs w:val="22"/>
        </w:rPr>
        <w:t>CO</w:t>
      </w:r>
      <w:r w:rsidRPr="00DE1369">
        <w:rPr>
          <w:rFonts w:cs="Times New Roman"/>
          <w:szCs w:val="22"/>
          <w:vertAlign w:val="subscript"/>
        </w:rPr>
        <w:t>2</w:t>
      </w:r>
      <w:r>
        <w:rPr>
          <w:rFonts w:cs="Times New Roman"/>
          <w:szCs w:val="22"/>
        </w:rPr>
        <w:t xml:space="preserve"> </w:t>
      </w:r>
      <w:r w:rsidR="00580882">
        <w:rPr>
          <w:rFonts w:cs="Times New Roman"/>
          <w:szCs w:val="22"/>
        </w:rPr>
        <w:t>o</w:t>
      </w:r>
      <w:r w:rsidRPr="007F343E">
        <w:rPr>
          <w:rFonts w:cs="Times New Roman"/>
          <w:szCs w:val="22"/>
        </w:rPr>
        <w:t xml:space="preserve">perates also requires a higher brazing quality than used for the usual HFC design. </w:t>
      </w:r>
    </w:p>
    <w:p w:rsidR="00EF5AFB" w:rsidRPr="007F343E" w:rsidRDefault="00EF5AFB" w:rsidP="00EF5AFB">
      <w:pPr>
        <w:rPr>
          <w:rFonts w:cs="Times New Roman"/>
          <w:szCs w:val="22"/>
        </w:rPr>
      </w:pPr>
      <w:r w:rsidRPr="007F343E">
        <w:rPr>
          <w:rFonts w:cs="Times New Roman"/>
          <w:szCs w:val="22"/>
        </w:rPr>
        <w:t xml:space="preserve">Nonetheless </w:t>
      </w:r>
      <w:r>
        <w:rPr>
          <w:rFonts w:cs="Times New Roman"/>
          <w:szCs w:val="22"/>
        </w:rPr>
        <w:t>CO</w:t>
      </w:r>
      <w:r w:rsidRPr="00DE1369">
        <w:rPr>
          <w:rFonts w:cs="Times New Roman"/>
          <w:szCs w:val="22"/>
          <w:vertAlign w:val="subscript"/>
        </w:rPr>
        <w:t>2</w:t>
      </w:r>
      <w:r>
        <w:rPr>
          <w:rFonts w:cs="Times New Roman"/>
          <w:szCs w:val="22"/>
        </w:rPr>
        <w:t xml:space="preserve"> </w:t>
      </w:r>
      <w:r w:rsidRPr="007F343E">
        <w:rPr>
          <w:rFonts w:cs="Times New Roman"/>
          <w:szCs w:val="22"/>
        </w:rPr>
        <w:t xml:space="preserve">is seen as a long-term solution for low temperatures in cascade with a medium-temperature refrigerant. The preferred option is HFC-134a at the medium temperature level (-10 to -15°C) cascading with a </w:t>
      </w:r>
      <w:r>
        <w:rPr>
          <w:rFonts w:cs="Times New Roman"/>
          <w:szCs w:val="22"/>
        </w:rPr>
        <w:t>CO</w:t>
      </w:r>
      <w:r w:rsidRPr="00DE1369">
        <w:rPr>
          <w:rFonts w:cs="Times New Roman"/>
          <w:szCs w:val="22"/>
          <w:vertAlign w:val="subscript"/>
        </w:rPr>
        <w:t>2</w:t>
      </w:r>
      <w:r>
        <w:rPr>
          <w:rFonts w:cs="Times New Roman"/>
          <w:szCs w:val="22"/>
        </w:rPr>
        <w:t xml:space="preserve"> </w:t>
      </w:r>
      <w:r w:rsidRPr="007F343E">
        <w:rPr>
          <w:rFonts w:cs="Times New Roman"/>
          <w:szCs w:val="22"/>
        </w:rPr>
        <w:t>direct system for the low temperature (-35 to -38°C), since this is a global option, applicable in all climates</w:t>
      </w:r>
      <w:r>
        <w:rPr>
          <w:rFonts w:cs="Times New Roman"/>
          <w:szCs w:val="22"/>
        </w:rPr>
        <w:t xml:space="preserve"> (UNEP 2013c, </w:t>
      </w:r>
      <w:r w:rsidR="005261F0">
        <w:rPr>
          <w:rFonts w:cs="Times New Roman"/>
          <w:szCs w:val="22"/>
        </w:rPr>
        <w:t>p61</w:t>
      </w:r>
      <w:r>
        <w:rPr>
          <w:rFonts w:cs="Times New Roman"/>
          <w:szCs w:val="22"/>
        </w:rPr>
        <w:t>)</w:t>
      </w:r>
      <w:r w:rsidRPr="007F343E">
        <w:rPr>
          <w:rFonts w:cs="Times New Roman"/>
          <w:szCs w:val="22"/>
        </w:rPr>
        <w:t>.</w:t>
      </w:r>
    </w:p>
    <w:p w:rsidR="00EF5AFB" w:rsidRPr="007F343E" w:rsidRDefault="00EF5AFB" w:rsidP="00EF5AFB">
      <w:pPr>
        <w:rPr>
          <w:rFonts w:cs="Times New Roman"/>
          <w:szCs w:val="22"/>
        </w:rPr>
      </w:pPr>
      <w:r w:rsidRPr="007F343E">
        <w:rPr>
          <w:rFonts w:cs="Times New Roman"/>
          <w:szCs w:val="22"/>
        </w:rPr>
        <w:t xml:space="preserve">HC-290 or HC-1270 is efficient in both medium and low temperature stages of commercial refrigeration equipment. However refrigerant charge limits, directly associated with regulations and standards, is a significant barrier to adoption in commercial refrigeration systems. The competition with </w:t>
      </w:r>
      <w:r>
        <w:rPr>
          <w:rFonts w:cs="Times New Roman"/>
          <w:szCs w:val="22"/>
        </w:rPr>
        <w:t>CO</w:t>
      </w:r>
      <w:r w:rsidRPr="00DE1369">
        <w:rPr>
          <w:rFonts w:cs="Times New Roman"/>
          <w:szCs w:val="22"/>
          <w:vertAlign w:val="subscript"/>
        </w:rPr>
        <w:t>2</w:t>
      </w:r>
      <w:r>
        <w:rPr>
          <w:rFonts w:cs="Times New Roman"/>
          <w:szCs w:val="22"/>
        </w:rPr>
        <w:t xml:space="preserve"> </w:t>
      </w:r>
      <w:r w:rsidRPr="007F343E">
        <w:rPr>
          <w:rFonts w:cs="Times New Roman"/>
          <w:szCs w:val="22"/>
        </w:rPr>
        <w:t>as a low GWP option has limited the expansion of HCs in centralised systems. In summary, HCs in large centralised systems will have a limited market share mainly due to safety issues.</w:t>
      </w:r>
    </w:p>
    <w:p w:rsidR="00EF5AFB" w:rsidRPr="007F343E" w:rsidRDefault="00EF5AFB" w:rsidP="00EF5AFB">
      <w:pPr>
        <w:rPr>
          <w:rFonts w:cs="Times New Roman"/>
          <w:szCs w:val="22"/>
        </w:rPr>
      </w:pPr>
      <w:r w:rsidRPr="007F343E">
        <w:rPr>
          <w:rFonts w:cs="Times New Roman"/>
          <w:szCs w:val="22"/>
        </w:rPr>
        <w:t xml:space="preserve">For low GWP HFCs, the situation is similar to what has been previously mentioned; there is no available single low GWP HFC currently proposed for centralised systems. Non-flammable options such as the blends N-40 and DR-33, which can be used for retrofit of existing systems, may improve energy-efficiency </w:t>
      </w:r>
      <w:r>
        <w:rPr>
          <w:rFonts w:cs="Times New Roman"/>
          <w:szCs w:val="22"/>
        </w:rPr>
        <w:t xml:space="preserve">by approximately </w:t>
      </w:r>
      <w:r w:rsidRPr="007F343E">
        <w:rPr>
          <w:rFonts w:cs="Times New Roman"/>
          <w:szCs w:val="22"/>
        </w:rPr>
        <w:t xml:space="preserve">7% </w:t>
      </w:r>
      <w:r w:rsidRPr="00CD4BAA">
        <w:rPr>
          <w:rFonts w:cs="Times New Roman"/>
          <w:szCs w:val="22"/>
        </w:rPr>
        <w:t>(UNEP 2013</w:t>
      </w:r>
      <w:r w:rsidR="00CD4BAA" w:rsidRPr="00CD4BAA">
        <w:rPr>
          <w:rFonts w:cs="Times New Roman"/>
          <w:szCs w:val="22"/>
        </w:rPr>
        <w:t>c</w:t>
      </w:r>
      <w:r w:rsidRPr="00CD4BAA">
        <w:rPr>
          <w:rFonts w:cs="Times New Roman"/>
          <w:szCs w:val="22"/>
        </w:rPr>
        <w:t>, p61).</w:t>
      </w:r>
      <w:r w:rsidRPr="007F343E">
        <w:rPr>
          <w:rFonts w:cs="Times New Roman"/>
          <w:szCs w:val="22"/>
        </w:rPr>
        <w:t xml:space="preserve"> </w:t>
      </w:r>
    </w:p>
    <w:p w:rsidR="00EF5AFB" w:rsidRPr="007F343E" w:rsidRDefault="00EF5AFB" w:rsidP="00EF5AFB">
      <w:pPr>
        <w:rPr>
          <w:rFonts w:cs="Times New Roman"/>
          <w:szCs w:val="22"/>
        </w:rPr>
      </w:pPr>
      <w:r w:rsidRPr="007F343E">
        <w:rPr>
          <w:rFonts w:cs="Times New Roman"/>
          <w:szCs w:val="22"/>
        </w:rPr>
        <w:t>Lower flammability refrigerants such as L-40 can be used in indirect systems such as with brine or pumped CO</w:t>
      </w:r>
      <w:r w:rsidRPr="007F343E">
        <w:rPr>
          <w:rFonts w:cs="Times New Roman"/>
          <w:szCs w:val="22"/>
          <w:vertAlign w:val="subscript"/>
        </w:rPr>
        <w:t>2</w:t>
      </w:r>
      <w:r w:rsidRPr="007F343E">
        <w:rPr>
          <w:rFonts w:cs="Times New Roman"/>
          <w:szCs w:val="22"/>
        </w:rPr>
        <w:t xml:space="preserve"> where the flammability can be addressed. For HFC-134a, there are additional replacements. Non-flammable options such as N-13 and XP-10 can be used for the retrofit of existing systems. Furthermore, lower flamm</w:t>
      </w:r>
      <w:r w:rsidR="0006760D">
        <w:rPr>
          <w:rFonts w:cs="Times New Roman"/>
          <w:szCs w:val="22"/>
        </w:rPr>
        <w:t>ability refrigerants such as HFO-1234yf and HFO</w:t>
      </w:r>
      <w:r w:rsidRPr="007F343E">
        <w:rPr>
          <w:rFonts w:cs="Times New Roman"/>
          <w:szCs w:val="22"/>
        </w:rPr>
        <w:t>-1234ze(E) could be applied in cascade systems at the medium temperature level.</w:t>
      </w:r>
    </w:p>
    <w:p w:rsidR="00EF5AFB" w:rsidRPr="007F343E" w:rsidRDefault="00EF5AFB" w:rsidP="00EF5AFB">
      <w:pPr>
        <w:rPr>
          <w:rFonts w:cs="Times New Roman"/>
          <w:szCs w:val="22"/>
        </w:rPr>
      </w:pPr>
      <w:r w:rsidRPr="007F343E">
        <w:rPr>
          <w:rFonts w:cs="Times New Roman"/>
          <w:szCs w:val="22"/>
        </w:rPr>
        <w:t xml:space="preserve">Ammonia is an efficient refrigerant however, because of the use of steel instead of copper, there are additional costs in the range of 10 to 15% compared to indirect systems using HFCs and </w:t>
      </w:r>
      <w:r>
        <w:rPr>
          <w:rFonts w:cs="Times New Roman"/>
          <w:szCs w:val="22"/>
        </w:rPr>
        <w:t>CO</w:t>
      </w:r>
      <w:r w:rsidRPr="00DE1369">
        <w:rPr>
          <w:rFonts w:cs="Times New Roman"/>
          <w:szCs w:val="22"/>
          <w:vertAlign w:val="subscript"/>
        </w:rPr>
        <w:t>2</w:t>
      </w:r>
      <w:r w:rsidRPr="007F343E">
        <w:rPr>
          <w:rFonts w:cs="Times New Roman"/>
          <w:szCs w:val="22"/>
        </w:rPr>
        <w:t>. At capacities larger than several hundred kW</w:t>
      </w:r>
      <w:r w:rsidR="005261F0">
        <w:rPr>
          <w:rFonts w:cs="Times New Roman"/>
          <w:szCs w:val="22"/>
        </w:rPr>
        <w:t>r</w:t>
      </w:r>
      <w:r w:rsidRPr="007F343E">
        <w:rPr>
          <w:rFonts w:cs="Times New Roman"/>
          <w:szCs w:val="22"/>
        </w:rPr>
        <w:t xml:space="preserve">, economies of scale generally make ammonia systems more competitive. Ammonia competes with HFCs, hydrocarbons and even with </w:t>
      </w:r>
      <w:r w:rsidR="00B179C3">
        <w:rPr>
          <w:rFonts w:cs="Times New Roman"/>
          <w:szCs w:val="22"/>
        </w:rPr>
        <w:t>CO</w:t>
      </w:r>
      <w:r w:rsidR="00B179C3" w:rsidRPr="00DE1369">
        <w:rPr>
          <w:rFonts w:cs="Times New Roman"/>
          <w:szCs w:val="22"/>
          <w:vertAlign w:val="subscript"/>
        </w:rPr>
        <w:t>2</w:t>
      </w:r>
      <w:r w:rsidR="002E6AC8">
        <w:rPr>
          <w:rFonts w:cs="Times New Roman"/>
          <w:szCs w:val="22"/>
        </w:rPr>
        <w:t xml:space="preserve"> i</w:t>
      </w:r>
      <w:r w:rsidRPr="007F343E">
        <w:rPr>
          <w:rFonts w:cs="Times New Roman"/>
          <w:szCs w:val="22"/>
        </w:rPr>
        <w:t>n cold climates, however, ammonia will remain dependent on the user preference, largely to do with safety and handling issues</w:t>
      </w:r>
      <w:r>
        <w:rPr>
          <w:rFonts w:cs="Times New Roman"/>
          <w:szCs w:val="22"/>
        </w:rPr>
        <w:t>, and proximity of the general public</w:t>
      </w:r>
      <w:r w:rsidRPr="007F343E">
        <w:rPr>
          <w:rFonts w:cs="Times New Roman"/>
          <w:szCs w:val="22"/>
        </w:rPr>
        <w:t>.</w:t>
      </w:r>
    </w:p>
    <w:p w:rsidR="00EF5AFB" w:rsidRPr="007F343E" w:rsidRDefault="00EF5AFB" w:rsidP="00EF5AFB">
      <w:pPr>
        <w:spacing w:before="240"/>
        <w:outlineLvl w:val="0"/>
        <w:rPr>
          <w:rFonts w:cs="Times New Roman"/>
          <w:szCs w:val="22"/>
          <w:u w:val="single"/>
        </w:rPr>
      </w:pPr>
      <w:r w:rsidRPr="007F343E">
        <w:rPr>
          <w:rFonts w:cs="Times New Roman"/>
          <w:szCs w:val="22"/>
          <w:u w:val="single"/>
        </w:rPr>
        <w:t>Mobile refrigeration</w:t>
      </w:r>
      <w:r>
        <w:rPr>
          <w:rFonts w:cs="Times New Roman"/>
          <w:szCs w:val="22"/>
          <w:u w:val="single"/>
        </w:rPr>
        <w:t xml:space="preserve">: </w:t>
      </w:r>
      <w:r w:rsidRPr="007F343E">
        <w:rPr>
          <w:rFonts w:cs="Times New Roman"/>
          <w:szCs w:val="22"/>
          <w:u w:val="single"/>
        </w:rPr>
        <w:t>Road transport</w:t>
      </w:r>
    </w:p>
    <w:p w:rsidR="00EF5AFB" w:rsidRPr="007F343E" w:rsidRDefault="00EF5AFB" w:rsidP="00EF5AFB">
      <w:pPr>
        <w:rPr>
          <w:rFonts w:cs="Times New Roman"/>
          <w:szCs w:val="22"/>
        </w:rPr>
      </w:pPr>
      <w:r w:rsidRPr="007F343E">
        <w:rPr>
          <w:rFonts w:cs="Times New Roman"/>
          <w:szCs w:val="22"/>
        </w:rPr>
        <w:t xml:space="preserve">The majority of mobile refrigeration includes road, rail and intermodal containers, commonly referred to as ‘transport refrigeration’; or ‘marine’, which is primarily located on fishing vessels. </w:t>
      </w:r>
    </w:p>
    <w:p w:rsidR="00EF5AFB" w:rsidRPr="007F343E" w:rsidRDefault="00EF5AFB" w:rsidP="00EF5AFB">
      <w:pPr>
        <w:rPr>
          <w:rFonts w:cs="Times New Roman"/>
          <w:szCs w:val="22"/>
        </w:rPr>
      </w:pPr>
      <w:r w:rsidRPr="007F343E">
        <w:rPr>
          <w:rFonts w:cs="Times New Roman"/>
          <w:szCs w:val="22"/>
        </w:rPr>
        <w:t xml:space="preserve">The transport </w:t>
      </w:r>
      <w:r w:rsidRPr="00FB3974">
        <w:rPr>
          <w:rFonts w:cs="Times New Roman"/>
          <w:szCs w:val="22"/>
        </w:rPr>
        <w:t>refrigeration bank is estimated to comprise less than 0.</w:t>
      </w:r>
      <w:r w:rsidR="00FB3974">
        <w:rPr>
          <w:rFonts w:cs="Times New Roman"/>
          <w:szCs w:val="22"/>
        </w:rPr>
        <w:t>4%</w:t>
      </w:r>
      <w:r w:rsidRPr="00FB3974">
        <w:rPr>
          <w:rFonts w:cs="Times New Roman"/>
          <w:szCs w:val="22"/>
        </w:rPr>
        <w:t xml:space="preserve"> (~</w:t>
      </w:r>
      <w:r w:rsidR="00FB3974">
        <w:rPr>
          <w:rFonts w:cs="Times New Roman"/>
          <w:szCs w:val="22"/>
        </w:rPr>
        <w:t>170</w:t>
      </w:r>
      <w:r w:rsidR="00FB3974" w:rsidRPr="00FB3974">
        <w:rPr>
          <w:rFonts w:cs="Times New Roman"/>
          <w:szCs w:val="22"/>
        </w:rPr>
        <w:t xml:space="preserve"> tonnes</w:t>
      </w:r>
      <w:r w:rsidRPr="00FB3974">
        <w:rPr>
          <w:rFonts w:cs="Times New Roman"/>
          <w:szCs w:val="22"/>
        </w:rPr>
        <w:t xml:space="preserve">) of the refrigerant bank and consumes approximately </w:t>
      </w:r>
      <w:r w:rsidR="00FB3974">
        <w:rPr>
          <w:rFonts w:cs="Times New Roman"/>
          <w:szCs w:val="22"/>
        </w:rPr>
        <w:t>0.7% (~3</w:t>
      </w:r>
      <w:r w:rsidRPr="00FB3974">
        <w:rPr>
          <w:rFonts w:cs="Times New Roman"/>
          <w:szCs w:val="22"/>
        </w:rPr>
        <w:t>0 mt) of annual synthetic refrigerant consumption, mostly in service and replenishment following system failures.</w:t>
      </w:r>
      <w:r w:rsidRPr="007F343E">
        <w:rPr>
          <w:rFonts w:cs="Times New Roman"/>
          <w:szCs w:val="22"/>
        </w:rPr>
        <w:t xml:space="preserve"> </w:t>
      </w:r>
    </w:p>
    <w:p w:rsidR="00EF5AFB" w:rsidRPr="007F343E" w:rsidRDefault="00EF5AFB" w:rsidP="00EF5AFB">
      <w:pPr>
        <w:rPr>
          <w:rFonts w:cs="Times New Roman"/>
          <w:szCs w:val="22"/>
        </w:rPr>
      </w:pPr>
      <w:r w:rsidRPr="007F343E">
        <w:rPr>
          <w:rFonts w:cs="Times New Roman"/>
          <w:szCs w:val="22"/>
        </w:rPr>
        <w:t>Transport refrigeration technology is made up of:</w:t>
      </w:r>
    </w:p>
    <w:p w:rsidR="00EF5AFB" w:rsidRPr="007F343E" w:rsidRDefault="00EF5AFB" w:rsidP="00E97935">
      <w:pPr>
        <w:numPr>
          <w:ilvl w:val="0"/>
          <w:numId w:val="24"/>
        </w:numPr>
        <w:rPr>
          <w:rFonts w:cs="Times New Roman"/>
          <w:szCs w:val="22"/>
        </w:rPr>
      </w:pPr>
      <w:r w:rsidRPr="007F343E">
        <w:rPr>
          <w:rFonts w:cs="Times New Roman"/>
          <w:szCs w:val="22"/>
        </w:rPr>
        <w:t xml:space="preserve">The transport refrigeration units used on articulated trucks and trailers or intermodal (road or rail) containers described as the trailer/intermodal segment; </w:t>
      </w:r>
    </w:p>
    <w:p w:rsidR="00EF5AFB" w:rsidRPr="007F343E" w:rsidRDefault="00EF5AFB" w:rsidP="00E97935">
      <w:pPr>
        <w:numPr>
          <w:ilvl w:val="0"/>
          <w:numId w:val="24"/>
        </w:numPr>
        <w:rPr>
          <w:rFonts w:cs="Times New Roman"/>
          <w:szCs w:val="22"/>
        </w:rPr>
      </w:pPr>
      <w:r w:rsidRPr="007F343E">
        <w:rPr>
          <w:rFonts w:cs="Times New Roman"/>
          <w:szCs w:val="22"/>
        </w:rPr>
        <w:t>The diesel drive segment largely comprising rigid trucks with a gross vehicle mass of 3 to 8 tonnes; and,</w:t>
      </w:r>
    </w:p>
    <w:p w:rsidR="00EF5AFB" w:rsidRPr="007F343E" w:rsidRDefault="00EF5AFB" w:rsidP="00E97935">
      <w:pPr>
        <w:numPr>
          <w:ilvl w:val="0"/>
          <w:numId w:val="24"/>
        </w:numPr>
        <w:rPr>
          <w:rFonts w:cs="Times New Roman"/>
          <w:szCs w:val="22"/>
        </w:rPr>
      </w:pPr>
      <w:r w:rsidRPr="007F343E">
        <w:rPr>
          <w:rFonts w:cs="Times New Roman"/>
          <w:szCs w:val="22"/>
        </w:rPr>
        <w:t xml:space="preserve">Off-engine vehicle powered refrigeration units used on small trucks and vans. </w:t>
      </w:r>
    </w:p>
    <w:p w:rsidR="00EF5AFB" w:rsidRPr="007F343E" w:rsidRDefault="00EF5AFB" w:rsidP="00EF5AFB">
      <w:pPr>
        <w:rPr>
          <w:rFonts w:cs="Times New Roman"/>
          <w:szCs w:val="22"/>
        </w:rPr>
      </w:pPr>
      <w:r w:rsidRPr="007F343E">
        <w:rPr>
          <w:rFonts w:cs="Times New Roman"/>
          <w:szCs w:val="22"/>
        </w:rPr>
        <w:t>Transport refrigeration units are extremely complex systems, powered by dedicated diesel internal combustion engines designed to refrigerate fresh and frozen perishable products. These systems have to operate over a wide range of ambient conditions and insulation specifications.</w:t>
      </w:r>
    </w:p>
    <w:p w:rsidR="00EF5AFB" w:rsidRPr="007F343E" w:rsidRDefault="00EF5AFB" w:rsidP="00EF5AFB">
      <w:pPr>
        <w:rPr>
          <w:rFonts w:cs="Times New Roman"/>
          <w:szCs w:val="22"/>
        </w:rPr>
      </w:pPr>
      <w:r w:rsidRPr="007F343E">
        <w:rPr>
          <w:rFonts w:cs="Times New Roman"/>
          <w:szCs w:val="22"/>
        </w:rPr>
        <w:t>The large majority of equipment in service has shaft seals and vibra-sorber hoses (i.e. stainless steel braided flexible hoses). Over the equipment’s lifespan it is typical to see at least one compressor replacement, shaft seal failure and a vibra-sorber failure. The shaft seal and hose would most likely result in the total loss of refrigerant charge. Compressor replacement would typically involve reclaim and re</w:t>
      </w:r>
      <w:r w:rsidR="00DD1402">
        <w:rPr>
          <w:rFonts w:cs="Times New Roman"/>
          <w:szCs w:val="22"/>
        </w:rPr>
        <w:t>-</w:t>
      </w:r>
      <w:r w:rsidRPr="007F343E">
        <w:rPr>
          <w:rFonts w:cs="Times New Roman"/>
          <w:szCs w:val="22"/>
        </w:rPr>
        <w:t>use.</w:t>
      </w:r>
    </w:p>
    <w:p w:rsidR="00EF5AFB" w:rsidRPr="007F343E" w:rsidRDefault="00EF5AFB" w:rsidP="00EF5AFB">
      <w:pPr>
        <w:rPr>
          <w:rFonts w:cs="Times New Roman"/>
          <w:szCs w:val="22"/>
        </w:rPr>
      </w:pPr>
      <w:r w:rsidRPr="007F343E">
        <w:rPr>
          <w:rFonts w:cs="Times New Roman"/>
          <w:szCs w:val="22"/>
        </w:rPr>
        <w:t xml:space="preserve">The trailer/intermodal and diesel drive units are imported fully charged, tested and ready to be fitted. Off-engine units are imported with a nitrogen holding charge to keep the system pressurised and clean as they have to be ‘plumbed’ up with piping and a compressor by the installer. Refrigeration systems for trucks, trailers and intermodal are predominantly charged with HFC-404A with a typical charge of between 6 and 10 kg. Some smaller systems can use HFC-134a with charges below 4 kg. </w:t>
      </w:r>
    </w:p>
    <w:p w:rsidR="00EF5AFB" w:rsidRPr="007F343E" w:rsidRDefault="00EF5AFB" w:rsidP="00EF5AFB">
      <w:pPr>
        <w:rPr>
          <w:rFonts w:cs="Times New Roman"/>
          <w:szCs w:val="22"/>
        </w:rPr>
      </w:pPr>
      <w:r w:rsidRPr="007F343E">
        <w:rPr>
          <w:rFonts w:cs="Times New Roman"/>
          <w:szCs w:val="22"/>
        </w:rPr>
        <w:t>The existing stock is prone to high leak rates estimated at around 20% per annum, however much attention in recent designs has been focused on the elimination of as many joints as possible. As a result fully sealed systems without shaft seals or flexible hoses are now available.</w:t>
      </w:r>
    </w:p>
    <w:p w:rsidR="00EF5AFB" w:rsidRPr="007F343E" w:rsidRDefault="00EF5AFB" w:rsidP="00EF5AFB">
      <w:pPr>
        <w:rPr>
          <w:rFonts w:cs="Times New Roman"/>
          <w:szCs w:val="22"/>
        </w:rPr>
      </w:pPr>
      <w:r w:rsidRPr="007F343E">
        <w:rPr>
          <w:rFonts w:cs="Times New Roman"/>
          <w:szCs w:val="22"/>
        </w:rPr>
        <w:t>The use of hydrocarbons (mainly HC-290) in transport refrigeration units has been tested. This would be the preferred choice because it can provide lower energy consumption in the order of 20% or more. HF</w:t>
      </w:r>
      <w:r w:rsidR="0006760D">
        <w:rPr>
          <w:rFonts w:cs="Times New Roman"/>
          <w:szCs w:val="22"/>
        </w:rPr>
        <w:t>O</w:t>
      </w:r>
      <w:r w:rsidRPr="007F343E">
        <w:rPr>
          <w:rFonts w:cs="Times New Roman"/>
          <w:szCs w:val="22"/>
        </w:rPr>
        <w:t>-1234yf could also be an effective alternative to HFC-134a in transport refrigeration systems due to its lower discharge temperature (UNEP 2013c, p2).</w:t>
      </w:r>
    </w:p>
    <w:p w:rsidR="00E44FF4" w:rsidRDefault="00EF5AFB" w:rsidP="00EF5AFB">
      <w:pPr>
        <w:rPr>
          <w:rFonts w:cs="Times New Roman"/>
          <w:szCs w:val="22"/>
        </w:rPr>
      </w:pPr>
      <w:r w:rsidRPr="007F343E">
        <w:rPr>
          <w:rFonts w:cs="Times New Roman"/>
          <w:szCs w:val="22"/>
        </w:rPr>
        <w:t xml:space="preserve">Refrigerated shipping containers, commonly known as </w:t>
      </w:r>
      <w:r w:rsidR="00D879F2">
        <w:rPr>
          <w:rFonts w:cs="Times New Roman"/>
          <w:szCs w:val="22"/>
        </w:rPr>
        <w:t>‘</w:t>
      </w:r>
      <w:r w:rsidRPr="007F343E">
        <w:rPr>
          <w:rFonts w:cs="Times New Roman"/>
          <w:szCs w:val="22"/>
        </w:rPr>
        <w:t>Reefers</w:t>
      </w:r>
      <w:r w:rsidR="00D879F2">
        <w:rPr>
          <w:rFonts w:cs="Times New Roman"/>
          <w:szCs w:val="22"/>
        </w:rPr>
        <w:t>’</w:t>
      </w:r>
      <w:r w:rsidRPr="007F343E">
        <w:rPr>
          <w:rFonts w:cs="Times New Roman"/>
          <w:szCs w:val="22"/>
        </w:rPr>
        <w:t>, have been excluded from this report as the associated refrigerant consumption in manufacturing</w:t>
      </w:r>
      <w:r w:rsidR="00D879F2">
        <w:rPr>
          <w:rFonts w:cs="Times New Roman"/>
          <w:szCs w:val="22"/>
        </w:rPr>
        <w:t xml:space="preserve"> </w:t>
      </w:r>
      <w:r w:rsidRPr="007F343E">
        <w:rPr>
          <w:rFonts w:cs="Times New Roman"/>
          <w:szCs w:val="22"/>
        </w:rPr>
        <w:t>generally occurs overseas</w:t>
      </w:r>
      <w:r w:rsidR="00E44FF4">
        <w:rPr>
          <w:rFonts w:cs="Times New Roman"/>
          <w:szCs w:val="22"/>
        </w:rPr>
        <w:t xml:space="preserve"> and data on service levels is not presently available</w:t>
      </w:r>
      <w:r w:rsidRPr="007F343E">
        <w:rPr>
          <w:rFonts w:cs="Times New Roman"/>
          <w:szCs w:val="22"/>
        </w:rPr>
        <w:t xml:space="preserve">. </w:t>
      </w:r>
    </w:p>
    <w:p w:rsidR="00EF5AFB" w:rsidRPr="007F343E" w:rsidRDefault="00EF5AFB" w:rsidP="00EF5AFB">
      <w:pPr>
        <w:rPr>
          <w:rFonts w:cs="Times New Roman"/>
          <w:szCs w:val="22"/>
        </w:rPr>
      </w:pPr>
      <w:r w:rsidRPr="007F343E">
        <w:rPr>
          <w:rFonts w:cs="Times New Roman"/>
          <w:szCs w:val="22"/>
        </w:rPr>
        <w:t>Some shipping companies</w:t>
      </w:r>
      <w:r w:rsidR="00E44FF4">
        <w:rPr>
          <w:rFonts w:cs="Times New Roman"/>
          <w:szCs w:val="22"/>
        </w:rPr>
        <w:t>,</w:t>
      </w:r>
      <w:r w:rsidRPr="007F343E">
        <w:rPr>
          <w:rFonts w:cs="Times New Roman"/>
          <w:szCs w:val="22"/>
        </w:rPr>
        <w:t xml:space="preserve"> such as Wiltrading provide support services for ships entering Australian ports. </w:t>
      </w:r>
      <w:r w:rsidR="00E44FF4">
        <w:rPr>
          <w:rFonts w:cs="Times New Roman"/>
          <w:szCs w:val="22"/>
        </w:rPr>
        <w:t>An uncertain quantity of refrigerant is consumed in the service of reefers while on shore. While it is thought to be a relatively small quantity in aggregate, there is simply no reliable data to make an informed judgement at this time.</w:t>
      </w:r>
      <w:r w:rsidR="00E44FF4">
        <w:rPr>
          <w:rStyle w:val="FootnoteReference"/>
          <w:rFonts w:cs="Times New Roman"/>
          <w:szCs w:val="22"/>
        </w:rPr>
        <w:footnoteReference w:id="10"/>
      </w:r>
      <w:r w:rsidR="00E44FF4">
        <w:rPr>
          <w:rFonts w:cs="Times New Roman"/>
          <w:szCs w:val="22"/>
        </w:rPr>
        <w:t xml:space="preserve"> </w:t>
      </w:r>
    </w:p>
    <w:p w:rsidR="00EF5AFB" w:rsidRPr="007F343E" w:rsidRDefault="00EF5AFB" w:rsidP="00EF5AFB">
      <w:pPr>
        <w:rPr>
          <w:rFonts w:cs="Times New Roman"/>
          <w:szCs w:val="22"/>
        </w:rPr>
      </w:pPr>
      <w:r w:rsidRPr="007F343E">
        <w:rPr>
          <w:rFonts w:cs="Times New Roman"/>
          <w:szCs w:val="22"/>
        </w:rPr>
        <w:t xml:space="preserve">The refrigerant of choice for transport refrigeration systems is HFC-404A which has become a preferred choice for practically all trailers and large trucks. HFC-134a is used in small trucks and vans as well as reefer containers. Testing of low-GWP HFC and non-HFC alternatives are in progress, but not one option seems viable in the short term. </w:t>
      </w:r>
    </w:p>
    <w:p w:rsidR="00EF5AFB" w:rsidRPr="007F343E" w:rsidRDefault="00EF5AFB" w:rsidP="00EF5AFB">
      <w:pPr>
        <w:rPr>
          <w:rFonts w:cs="Times New Roman"/>
          <w:szCs w:val="22"/>
        </w:rPr>
      </w:pPr>
      <w:r w:rsidRPr="007F343E">
        <w:rPr>
          <w:rFonts w:cs="Times New Roman"/>
          <w:szCs w:val="22"/>
        </w:rPr>
        <w:t xml:space="preserve">The main issue is that the performance of </w:t>
      </w:r>
      <w:r w:rsidR="000D6A26">
        <w:rPr>
          <w:rFonts w:cs="Times New Roman"/>
          <w:szCs w:val="22"/>
        </w:rPr>
        <w:t>HFC</w:t>
      </w:r>
      <w:r w:rsidRPr="007F343E">
        <w:rPr>
          <w:rFonts w:cs="Times New Roman"/>
          <w:szCs w:val="22"/>
        </w:rPr>
        <w:t xml:space="preserve">-404A is difficult to meet. Current and previous tests with trucks using </w:t>
      </w:r>
      <w:r w:rsidR="000D6A26">
        <w:rPr>
          <w:rFonts w:cs="Times New Roman"/>
          <w:szCs w:val="22"/>
        </w:rPr>
        <w:t>CO</w:t>
      </w:r>
      <w:r w:rsidR="000D6A26" w:rsidRPr="00DE1369">
        <w:rPr>
          <w:rFonts w:cs="Times New Roman"/>
          <w:szCs w:val="22"/>
          <w:vertAlign w:val="subscript"/>
        </w:rPr>
        <w:t>2</w:t>
      </w:r>
      <w:r w:rsidR="000D6A26">
        <w:rPr>
          <w:rFonts w:cs="Times New Roman"/>
          <w:szCs w:val="22"/>
          <w:vertAlign w:val="subscript"/>
        </w:rPr>
        <w:t xml:space="preserve"> </w:t>
      </w:r>
      <w:r w:rsidRPr="007F343E">
        <w:rPr>
          <w:rFonts w:cs="Times New Roman"/>
          <w:szCs w:val="22"/>
        </w:rPr>
        <w:t xml:space="preserve">suggest that introduction of </w:t>
      </w:r>
      <w:r w:rsidR="000D6A26">
        <w:rPr>
          <w:rFonts w:cs="Times New Roman"/>
          <w:szCs w:val="22"/>
        </w:rPr>
        <w:t>CO</w:t>
      </w:r>
      <w:r w:rsidR="000D6A26" w:rsidRPr="00DE1369">
        <w:rPr>
          <w:rFonts w:cs="Times New Roman"/>
          <w:szCs w:val="22"/>
          <w:vertAlign w:val="subscript"/>
        </w:rPr>
        <w:t>2</w:t>
      </w:r>
      <w:r w:rsidRPr="007F343E">
        <w:rPr>
          <w:rFonts w:cs="Times New Roman"/>
          <w:szCs w:val="22"/>
        </w:rPr>
        <w:t xml:space="preserve"> will be possible when more efficient compressors with more than one compression stage, are commercially available. These dual stage compressors are under development.</w:t>
      </w:r>
    </w:p>
    <w:p w:rsidR="00EF5AFB" w:rsidRPr="007F343E" w:rsidRDefault="00EF5AFB" w:rsidP="00EF5AFB">
      <w:pPr>
        <w:spacing w:before="240"/>
        <w:outlineLvl w:val="0"/>
        <w:rPr>
          <w:rFonts w:cs="Times New Roman"/>
          <w:szCs w:val="22"/>
          <w:u w:val="single"/>
        </w:rPr>
      </w:pPr>
      <w:r w:rsidRPr="007F343E">
        <w:rPr>
          <w:rFonts w:cs="Times New Roman"/>
          <w:szCs w:val="22"/>
          <w:u w:val="single"/>
        </w:rPr>
        <w:t>M</w:t>
      </w:r>
      <w:r w:rsidR="00171878">
        <w:rPr>
          <w:rFonts w:cs="Times New Roman"/>
          <w:szCs w:val="22"/>
          <w:u w:val="single"/>
        </w:rPr>
        <w:t>arine</w:t>
      </w:r>
      <w:r w:rsidRPr="007F343E">
        <w:rPr>
          <w:rFonts w:cs="Times New Roman"/>
          <w:szCs w:val="22"/>
          <w:u w:val="single"/>
        </w:rPr>
        <w:t xml:space="preserve"> refrigeration</w:t>
      </w:r>
    </w:p>
    <w:p w:rsidR="00EF5AFB" w:rsidRPr="007F343E" w:rsidRDefault="00EF5AFB" w:rsidP="00EF5AFB">
      <w:pPr>
        <w:rPr>
          <w:rFonts w:cs="Times New Roman"/>
          <w:szCs w:val="22"/>
        </w:rPr>
      </w:pPr>
      <w:r w:rsidRPr="007F343E">
        <w:rPr>
          <w:rFonts w:cs="Times New Roman"/>
          <w:szCs w:val="22"/>
        </w:rPr>
        <w:t xml:space="preserve">Marine refrigeration is </w:t>
      </w:r>
      <w:r w:rsidRPr="007829D8">
        <w:rPr>
          <w:rFonts w:cs="Times New Roman"/>
          <w:szCs w:val="22"/>
        </w:rPr>
        <w:t>estimated to comprise less than 1</w:t>
      </w:r>
      <w:r w:rsidR="00B179C3">
        <w:rPr>
          <w:rFonts w:cs="Times New Roman"/>
          <w:szCs w:val="22"/>
        </w:rPr>
        <w:t>%</w:t>
      </w:r>
      <w:r w:rsidRPr="007829D8">
        <w:rPr>
          <w:rFonts w:cs="Times New Roman"/>
          <w:szCs w:val="22"/>
        </w:rPr>
        <w:t xml:space="preserve"> (~</w:t>
      </w:r>
      <w:r w:rsidR="007829D8" w:rsidRPr="007829D8">
        <w:rPr>
          <w:rFonts w:cs="Times New Roman"/>
          <w:szCs w:val="22"/>
        </w:rPr>
        <w:t>40</w:t>
      </w:r>
      <w:r w:rsidRPr="007829D8">
        <w:rPr>
          <w:rFonts w:cs="Times New Roman"/>
          <w:szCs w:val="22"/>
        </w:rPr>
        <w:t xml:space="preserve"> </w:t>
      </w:r>
      <w:r w:rsidR="000D6A26" w:rsidRPr="007829D8">
        <w:rPr>
          <w:rFonts w:cs="Times New Roman"/>
          <w:szCs w:val="22"/>
        </w:rPr>
        <w:t>tonnes</w:t>
      </w:r>
      <w:r w:rsidRPr="007829D8">
        <w:rPr>
          <w:rFonts w:cs="Times New Roman"/>
          <w:szCs w:val="22"/>
        </w:rPr>
        <w:t xml:space="preserve">) of the refrigerant bank yet high annual consumption of </w:t>
      </w:r>
      <w:r w:rsidR="007829D8" w:rsidRPr="007829D8">
        <w:rPr>
          <w:rFonts w:cs="Times New Roman"/>
          <w:szCs w:val="22"/>
        </w:rPr>
        <w:t>10</w:t>
      </w:r>
      <w:r w:rsidRPr="007829D8">
        <w:rPr>
          <w:rFonts w:cs="Times New Roman"/>
          <w:szCs w:val="22"/>
        </w:rPr>
        <w:t xml:space="preserve"> </w:t>
      </w:r>
      <w:r w:rsidR="000D6A26" w:rsidRPr="007829D8">
        <w:rPr>
          <w:rFonts w:cs="Times New Roman"/>
          <w:szCs w:val="22"/>
        </w:rPr>
        <w:t>tonnes</w:t>
      </w:r>
      <w:r w:rsidRPr="007829D8">
        <w:rPr>
          <w:rFonts w:cs="Times New Roman"/>
          <w:szCs w:val="22"/>
        </w:rPr>
        <w:t xml:space="preserve"> as a result of the extremely high leak rates that exist in fishing vessels of between 25 and 30 % per annum.</w:t>
      </w:r>
      <w:r w:rsidRPr="007F343E">
        <w:rPr>
          <w:rFonts w:cs="Times New Roman"/>
          <w:szCs w:val="22"/>
        </w:rPr>
        <w:t xml:space="preserve"> </w:t>
      </w:r>
    </w:p>
    <w:p w:rsidR="00EF5AFB" w:rsidRPr="007F343E" w:rsidRDefault="00EF5AFB" w:rsidP="00EF5AFB">
      <w:pPr>
        <w:rPr>
          <w:rFonts w:cs="Times New Roman"/>
          <w:szCs w:val="22"/>
        </w:rPr>
      </w:pPr>
      <w:r w:rsidRPr="007F343E">
        <w:rPr>
          <w:rFonts w:cs="Times New Roman"/>
          <w:szCs w:val="22"/>
        </w:rPr>
        <w:t>Marine refrigeration as defined in this report is for fishing vessels that contain speciali</w:t>
      </w:r>
      <w:r w:rsidR="009966DB">
        <w:rPr>
          <w:rFonts w:cs="Times New Roman"/>
          <w:szCs w:val="22"/>
        </w:rPr>
        <w:t>s</w:t>
      </w:r>
      <w:r w:rsidRPr="007F343E">
        <w:rPr>
          <w:rFonts w:cs="Times New Roman"/>
          <w:szCs w:val="22"/>
        </w:rPr>
        <w:t>ed chilling and blast freezing equipment on vessels typically over 20 metres in length, however some refrigeration can be found on vessels of between 10 and 20 metres long.</w:t>
      </w:r>
    </w:p>
    <w:p w:rsidR="00EF5AFB" w:rsidRPr="007F343E" w:rsidRDefault="00EF5AFB" w:rsidP="00EF5AFB">
      <w:pPr>
        <w:rPr>
          <w:rFonts w:cs="Times New Roman"/>
          <w:szCs w:val="22"/>
        </w:rPr>
      </w:pPr>
      <w:r w:rsidRPr="007F343E">
        <w:rPr>
          <w:rFonts w:cs="Times New Roman"/>
          <w:szCs w:val="22"/>
        </w:rPr>
        <w:t>On vessels, hydrocarbons are technically feasible, but the strict safety concerns currently do not favour application of flammable refrigerants aboard. Natural refrigerants have been commercialised to a small extent aboard marine vessels worldwide. For large European fishing vessels highly efficient ammonia-CO</w:t>
      </w:r>
      <w:r w:rsidRPr="007F343E">
        <w:rPr>
          <w:rFonts w:cs="Times New Roman"/>
          <w:szCs w:val="22"/>
          <w:vertAlign w:val="subscript"/>
        </w:rPr>
        <w:t>2</w:t>
      </w:r>
      <w:r w:rsidRPr="007F343E">
        <w:rPr>
          <w:rFonts w:cs="Times New Roman"/>
          <w:szCs w:val="22"/>
        </w:rPr>
        <w:t xml:space="preserve"> cascade systems are the systems of choice (UNEP 2013c, p2). Australian vessels however are generally much smaller and operate</w:t>
      </w:r>
      <w:r w:rsidR="009D0F1D">
        <w:rPr>
          <w:rFonts w:cs="Times New Roman"/>
          <w:szCs w:val="22"/>
        </w:rPr>
        <w:t xml:space="preserve"> in higher ambient temperatures.</w:t>
      </w:r>
    </w:p>
    <w:p w:rsidR="00EF5AFB" w:rsidRPr="007F343E" w:rsidRDefault="00EF5AFB" w:rsidP="00EF5AFB">
      <w:pPr>
        <w:outlineLvl w:val="0"/>
        <w:rPr>
          <w:rFonts w:cs="Times New Roman"/>
          <w:szCs w:val="22"/>
        </w:rPr>
      </w:pPr>
      <w:r w:rsidRPr="007F343E">
        <w:rPr>
          <w:rFonts w:cs="Times New Roman"/>
          <w:szCs w:val="22"/>
        </w:rPr>
        <w:t>A recent study by Expert Group (EG 2013a) for one of Australia’s largest fisheries identified that there were no easy, off-the-shelf, low GWP technology options available for the fleet to move to today that are suitable from both a technical (mission critical) or safety point of view for use on the small fishing vessels that are typical for Australian fisheries.</w:t>
      </w:r>
    </w:p>
    <w:p w:rsidR="00EF5AFB" w:rsidRPr="007F343E" w:rsidRDefault="00EF5AFB" w:rsidP="00EF5AFB">
      <w:pPr>
        <w:spacing w:before="240"/>
        <w:outlineLvl w:val="0"/>
        <w:rPr>
          <w:rFonts w:cs="Times New Roman"/>
          <w:szCs w:val="22"/>
          <w:u w:val="single"/>
        </w:rPr>
      </w:pPr>
      <w:r w:rsidRPr="007F343E">
        <w:rPr>
          <w:rFonts w:cs="Times New Roman"/>
          <w:szCs w:val="22"/>
          <w:u w:val="single"/>
        </w:rPr>
        <w:t>Industrial refrigeration</w:t>
      </w:r>
    </w:p>
    <w:p w:rsidR="00EF5AFB" w:rsidRPr="007F343E" w:rsidRDefault="00EF5AFB" w:rsidP="00EF5AFB">
      <w:pPr>
        <w:rPr>
          <w:rFonts w:cs="Times New Roman"/>
          <w:szCs w:val="22"/>
        </w:rPr>
      </w:pPr>
      <w:r w:rsidRPr="007F343E">
        <w:rPr>
          <w:rFonts w:cs="Times New Roman"/>
          <w:szCs w:val="22"/>
        </w:rPr>
        <w:t xml:space="preserve">More than 90% of the large industrial refrigeration installations in Australia use ammonia (R717). The energy efficiency of </w:t>
      </w:r>
      <w:r>
        <w:rPr>
          <w:rFonts w:cs="Times New Roman"/>
          <w:szCs w:val="22"/>
        </w:rPr>
        <w:t xml:space="preserve">ammonia </w:t>
      </w:r>
      <w:r w:rsidRPr="007F343E">
        <w:rPr>
          <w:rFonts w:cs="Times New Roman"/>
          <w:szCs w:val="22"/>
        </w:rPr>
        <w:t xml:space="preserve">in these large installations is in general 15% better than HFCs systems. </w:t>
      </w:r>
      <w:r>
        <w:rPr>
          <w:rFonts w:cs="Times New Roman"/>
          <w:szCs w:val="22"/>
        </w:rPr>
        <w:t xml:space="preserve">As this application segment has already transitioned to low GWP refrigerants it was not modelled in the high GWP bank. </w:t>
      </w:r>
    </w:p>
    <w:p w:rsidR="00EF5AFB" w:rsidRPr="007F343E" w:rsidRDefault="00EF5AFB" w:rsidP="00EF5AFB">
      <w:pPr>
        <w:rPr>
          <w:rFonts w:cs="Times New Roman"/>
          <w:szCs w:val="22"/>
        </w:rPr>
      </w:pPr>
      <w:r w:rsidRPr="007F343E">
        <w:rPr>
          <w:rFonts w:cs="Times New Roman"/>
          <w:szCs w:val="22"/>
        </w:rPr>
        <w:t xml:space="preserve">Hydrocarbons are not widely used, other than in situations where safety measures are already required, </w:t>
      </w:r>
      <w:r w:rsidR="00D26FF4">
        <w:rPr>
          <w:rFonts w:cs="Times New Roman"/>
          <w:szCs w:val="22"/>
        </w:rPr>
        <w:t xml:space="preserve">for example </w:t>
      </w:r>
      <w:r w:rsidRPr="007F343E">
        <w:rPr>
          <w:rFonts w:cs="Times New Roman"/>
          <w:szCs w:val="22"/>
        </w:rPr>
        <w:t>in a petrochemical plant or in compact chillers (UNEP 2013c, p3). This is similar in Australia.</w:t>
      </w:r>
    </w:p>
    <w:p w:rsidR="00EF5AFB" w:rsidRPr="007F343E" w:rsidRDefault="00EF5AFB" w:rsidP="00EF5AFB">
      <w:pPr>
        <w:rPr>
          <w:rFonts w:cs="Times New Roman"/>
          <w:szCs w:val="22"/>
        </w:rPr>
      </w:pPr>
      <w:r w:rsidRPr="007F343E">
        <w:rPr>
          <w:rFonts w:cs="Times New Roman"/>
          <w:szCs w:val="22"/>
        </w:rPr>
        <w:t>It is considered likely that all large industrial systems in Australia will be ammonia charged where sa</w:t>
      </w:r>
      <w:r>
        <w:rPr>
          <w:rFonts w:cs="Times New Roman"/>
          <w:szCs w:val="22"/>
        </w:rPr>
        <w:t>fety concerns can be addressed and ammonia-CO</w:t>
      </w:r>
      <w:r w:rsidRPr="003141D0">
        <w:rPr>
          <w:rFonts w:cs="Times New Roman"/>
          <w:szCs w:val="22"/>
          <w:vertAlign w:val="subscript"/>
        </w:rPr>
        <w:t>2</w:t>
      </w:r>
      <w:r>
        <w:rPr>
          <w:rFonts w:cs="Times New Roman"/>
          <w:szCs w:val="22"/>
        </w:rPr>
        <w:t xml:space="preserve"> cascade refrigeration systems are an option where the charge is significantly reduced to mitigate the risk.</w:t>
      </w:r>
    </w:p>
    <w:p w:rsidR="00EF5AFB" w:rsidRPr="007F343E" w:rsidRDefault="00EF5AFB" w:rsidP="001D1740">
      <w:pPr>
        <w:spacing w:before="240" w:after="120"/>
        <w:outlineLvl w:val="0"/>
        <w:rPr>
          <w:rFonts w:cs="Times New Roman"/>
          <w:szCs w:val="22"/>
        </w:rPr>
      </w:pPr>
      <w:r w:rsidRPr="007F343E">
        <w:rPr>
          <w:rFonts w:cs="Times New Roman"/>
          <w:b/>
          <w:szCs w:val="22"/>
        </w:rPr>
        <w:t>Scope for Australian industry to transition</w:t>
      </w:r>
    </w:p>
    <w:p w:rsidR="00EF5AFB" w:rsidRPr="007F343E" w:rsidRDefault="00EF5AFB" w:rsidP="00EF5AFB">
      <w:pPr>
        <w:outlineLvl w:val="0"/>
        <w:rPr>
          <w:rFonts w:cs="Times New Roman"/>
          <w:szCs w:val="22"/>
        </w:rPr>
      </w:pPr>
      <w:r w:rsidRPr="007F343E">
        <w:rPr>
          <w:rFonts w:cs="Times New Roman"/>
          <w:szCs w:val="22"/>
        </w:rPr>
        <w:t xml:space="preserve">Small </w:t>
      </w:r>
      <w:r>
        <w:rPr>
          <w:rFonts w:cs="Times New Roman"/>
          <w:szCs w:val="22"/>
        </w:rPr>
        <w:t>self-contained</w:t>
      </w:r>
      <w:r w:rsidRPr="007F343E">
        <w:rPr>
          <w:rFonts w:cs="Times New Roman"/>
          <w:szCs w:val="22"/>
        </w:rPr>
        <w:t xml:space="preserve"> equipment is likely to migrate entirely to low GWP refrigerants as the existing stock of equipment reaches end of life and is replaced with new equipment. Their relatively small contribution to demand for bulk high GWP HFC imports is likely to decrease steadily throughout the period of the projection. The transition model projects import demand from this sub-sector falling from approximately </w:t>
      </w:r>
      <w:r w:rsidR="00D26FF4" w:rsidRPr="00D26FF4">
        <w:rPr>
          <w:rFonts w:cs="Times New Roman"/>
          <w:szCs w:val="22"/>
        </w:rPr>
        <w:t>87</w:t>
      </w:r>
      <w:r w:rsidRPr="00D26FF4">
        <w:rPr>
          <w:rFonts w:cs="Times New Roman"/>
          <w:szCs w:val="22"/>
        </w:rPr>
        <w:t xml:space="preserve"> tonnes in</w:t>
      </w:r>
      <w:r w:rsidRPr="007F343E">
        <w:rPr>
          <w:rFonts w:cs="Times New Roman"/>
          <w:szCs w:val="22"/>
        </w:rPr>
        <w:t xml:space="preserve"> </w:t>
      </w:r>
      <w:r>
        <w:rPr>
          <w:rFonts w:cs="Times New Roman"/>
          <w:szCs w:val="22"/>
        </w:rPr>
        <w:t>20</w:t>
      </w:r>
      <w:r w:rsidRPr="007F343E">
        <w:rPr>
          <w:rFonts w:cs="Times New Roman"/>
          <w:szCs w:val="22"/>
        </w:rPr>
        <w:t xml:space="preserve">13 to around </w:t>
      </w:r>
      <w:r w:rsidR="00D26FF4">
        <w:rPr>
          <w:rFonts w:cs="Times New Roman"/>
          <w:szCs w:val="22"/>
        </w:rPr>
        <w:t>42</w:t>
      </w:r>
      <w:r w:rsidRPr="007F343E">
        <w:rPr>
          <w:rFonts w:cs="Times New Roman"/>
          <w:szCs w:val="22"/>
        </w:rPr>
        <w:t xml:space="preserve"> tonnes in 2025. New equipment is projected to be charged with hydrocarbons</w:t>
      </w:r>
      <w:r>
        <w:rPr>
          <w:rFonts w:cs="Times New Roman"/>
          <w:szCs w:val="22"/>
        </w:rPr>
        <w:t xml:space="preserve"> and </w:t>
      </w:r>
      <w:r w:rsidRPr="007F343E">
        <w:rPr>
          <w:rFonts w:cs="Times New Roman"/>
          <w:szCs w:val="22"/>
        </w:rPr>
        <w:t>CO</w:t>
      </w:r>
      <w:r w:rsidRPr="007F343E">
        <w:rPr>
          <w:rFonts w:cs="Times New Roman"/>
          <w:szCs w:val="22"/>
          <w:vertAlign w:val="subscript"/>
        </w:rPr>
        <w:t>2</w:t>
      </w:r>
      <w:r w:rsidRPr="007F343E">
        <w:rPr>
          <w:rFonts w:cs="Times New Roman"/>
          <w:szCs w:val="22"/>
        </w:rPr>
        <w:t xml:space="preserve"> </w:t>
      </w:r>
      <w:r>
        <w:rPr>
          <w:rFonts w:cs="Times New Roman"/>
          <w:szCs w:val="22"/>
        </w:rPr>
        <w:t>(R744)</w:t>
      </w:r>
      <w:r w:rsidRPr="007F343E">
        <w:rPr>
          <w:rFonts w:cs="Times New Roman"/>
          <w:szCs w:val="22"/>
        </w:rPr>
        <w:t>, both growing steadily of</w:t>
      </w:r>
      <w:r>
        <w:rPr>
          <w:rFonts w:cs="Times New Roman"/>
          <w:szCs w:val="22"/>
        </w:rPr>
        <w:t>f</w:t>
      </w:r>
      <w:r w:rsidRPr="007F343E">
        <w:rPr>
          <w:rFonts w:cs="Times New Roman"/>
          <w:szCs w:val="22"/>
        </w:rPr>
        <w:t xml:space="preserve"> a low base at present, with larger numbers of equipment charged with HFOs entering the market after </w:t>
      </w:r>
      <w:r>
        <w:rPr>
          <w:rFonts w:cs="Times New Roman"/>
          <w:szCs w:val="22"/>
        </w:rPr>
        <w:t xml:space="preserve">around </w:t>
      </w:r>
      <w:r w:rsidRPr="007F343E">
        <w:rPr>
          <w:rFonts w:cs="Times New Roman"/>
          <w:szCs w:val="22"/>
        </w:rPr>
        <w:t>2016 and growing strongly.</w:t>
      </w:r>
    </w:p>
    <w:p w:rsidR="00EF5AFB" w:rsidRPr="007F343E" w:rsidRDefault="00EF5AFB" w:rsidP="00EF5AFB">
      <w:pPr>
        <w:outlineLvl w:val="0"/>
        <w:rPr>
          <w:rFonts w:cs="Times New Roman"/>
          <w:szCs w:val="22"/>
        </w:rPr>
      </w:pPr>
      <w:r w:rsidRPr="007F343E">
        <w:rPr>
          <w:rFonts w:cs="Times New Roman"/>
          <w:szCs w:val="22"/>
        </w:rPr>
        <w:t xml:space="preserve">Remote condensing units are a very high consumer of high GWP HFC bulk imports. The transition model projects growth in overall numbers of remote condensing units from around 300,000 in 2013 to more than 375,000 units in 2025, while demand for import of high GWP HFCs in bulk in this sub-sector falls from an </w:t>
      </w:r>
      <w:r w:rsidRPr="00D26FF4">
        <w:rPr>
          <w:rFonts w:cs="Times New Roman"/>
          <w:szCs w:val="22"/>
        </w:rPr>
        <w:t xml:space="preserve">estimated </w:t>
      </w:r>
      <w:r w:rsidR="00D26FF4" w:rsidRPr="00D26FF4">
        <w:rPr>
          <w:rFonts w:cs="Times New Roman"/>
          <w:szCs w:val="22"/>
        </w:rPr>
        <w:t>660</w:t>
      </w:r>
      <w:r w:rsidRPr="00D26FF4">
        <w:rPr>
          <w:rFonts w:cs="Times New Roman"/>
          <w:szCs w:val="22"/>
        </w:rPr>
        <w:t xml:space="preserve"> tonnes in 2013 to 38</w:t>
      </w:r>
      <w:r w:rsidR="00D26FF4" w:rsidRPr="00D26FF4">
        <w:rPr>
          <w:rFonts w:cs="Times New Roman"/>
          <w:szCs w:val="22"/>
        </w:rPr>
        <w:t>6</w:t>
      </w:r>
      <w:r w:rsidRPr="00D26FF4">
        <w:rPr>
          <w:rFonts w:cs="Times New Roman"/>
          <w:szCs w:val="22"/>
        </w:rPr>
        <w:t xml:space="preserve"> tonnes in</w:t>
      </w:r>
      <w:r w:rsidRPr="007F343E">
        <w:rPr>
          <w:rFonts w:cs="Times New Roman"/>
          <w:szCs w:val="22"/>
        </w:rPr>
        <w:t xml:space="preserve"> 2025. </w:t>
      </w:r>
    </w:p>
    <w:p w:rsidR="00EF5AFB" w:rsidRPr="007F343E" w:rsidRDefault="00EF5AFB" w:rsidP="00EF5AFB">
      <w:pPr>
        <w:outlineLvl w:val="0"/>
        <w:rPr>
          <w:rFonts w:cs="Times New Roman"/>
          <w:szCs w:val="22"/>
        </w:rPr>
      </w:pPr>
      <w:r w:rsidRPr="007F343E">
        <w:rPr>
          <w:rFonts w:cs="Times New Roman"/>
          <w:szCs w:val="22"/>
        </w:rPr>
        <w:t xml:space="preserve">During this period the large stock of </w:t>
      </w:r>
      <w:r>
        <w:rPr>
          <w:rFonts w:cs="Times New Roman"/>
          <w:szCs w:val="22"/>
        </w:rPr>
        <w:t xml:space="preserve">remote condensing units </w:t>
      </w:r>
      <w:r w:rsidRPr="007F343E">
        <w:rPr>
          <w:rFonts w:cs="Times New Roman"/>
          <w:szCs w:val="22"/>
        </w:rPr>
        <w:t xml:space="preserve">charged with HFC-404A is expected to decline steadily from </w:t>
      </w:r>
      <w:r w:rsidR="009D7391">
        <w:rPr>
          <w:rFonts w:cs="Times New Roman"/>
          <w:szCs w:val="22"/>
        </w:rPr>
        <w:t>more than</w:t>
      </w:r>
      <w:r>
        <w:rPr>
          <w:rFonts w:cs="Times New Roman"/>
          <w:szCs w:val="22"/>
        </w:rPr>
        <w:t xml:space="preserve"> </w:t>
      </w:r>
      <w:r w:rsidR="009D7391">
        <w:rPr>
          <w:rFonts w:cs="Times New Roman"/>
          <w:szCs w:val="22"/>
        </w:rPr>
        <w:t>19</w:t>
      </w:r>
      <w:r>
        <w:rPr>
          <w:rFonts w:cs="Times New Roman"/>
          <w:szCs w:val="22"/>
        </w:rPr>
        <w:t>0</w:t>
      </w:r>
      <w:r w:rsidRPr="007F343E">
        <w:rPr>
          <w:rFonts w:cs="Times New Roman"/>
          <w:szCs w:val="22"/>
        </w:rPr>
        <w:t xml:space="preserve">,000 units in 2013 to about </w:t>
      </w:r>
      <w:r w:rsidR="00FE4555">
        <w:rPr>
          <w:rFonts w:cs="Times New Roman"/>
          <w:szCs w:val="22"/>
        </w:rPr>
        <w:t xml:space="preserve">140,000 units </w:t>
      </w:r>
      <w:r w:rsidRPr="007F343E">
        <w:rPr>
          <w:rFonts w:cs="Times New Roman"/>
          <w:szCs w:val="22"/>
        </w:rPr>
        <w:t xml:space="preserve">in 2025. At the same time units charged with HFC-134a are expected to increase from around </w:t>
      </w:r>
      <w:r w:rsidR="00FE4555">
        <w:rPr>
          <w:rFonts w:cs="Times New Roman"/>
          <w:szCs w:val="22"/>
        </w:rPr>
        <w:t>48,</w:t>
      </w:r>
      <w:r w:rsidRPr="007F343E">
        <w:rPr>
          <w:rFonts w:cs="Times New Roman"/>
          <w:szCs w:val="22"/>
        </w:rPr>
        <w:t xml:space="preserve">000 units now to </w:t>
      </w:r>
      <w:r w:rsidR="00FE4555">
        <w:rPr>
          <w:rFonts w:cs="Times New Roman"/>
          <w:szCs w:val="22"/>
        </w:rPr>
        <w:t xml:space="preserve">nearly 90,000 units </w:t>
      </w:r>
      <w:r w:rsidRPr="007F343E">
        <w:rPr>
          <w:rFonts w:cs="Times New Roman"/>
          <w:szCs w:val="22"/>
        </w:rPr>
        <w:t>in 2025</w:t>
      </w:r>
      <w:r w:rsidR="00FE4555">
        <w:rPr>
          <w:rFonts w:cs="Times New Roman"/>
          <w:szCs w:val="22"/>
        </w:rPr>
        <w:t>.</w:t>
      </w:r>
      <w:r w:rsidRPr="007F343E">
        <w:rPr>
          <w:rFonts w:cs="Times New Roman"/>
          <w:szCs w:val="22"/>
        </w:rPr>
        <w:t xml:space="preserve"> CO</w:t>
      </w:r>
      <w:r w:rsidRPr="007F343E">
        <w:rPr>
          <w:rFonts w:cs="Times New Roman"/>
          <w:szCs w:val="22"/>
          <w:vertAlign w:val="subscript"/>
        </w:rPr>
        <w:t>2</w:t>
      </w:r>
      <w:r w:rsidRPr="007F343E">
        <w:rPr>
          <w:rFonts w:cs="Times New Roman"/>
          <w:szCs w:val="22"/>
        </w:rPr>
        <w:t xml:space="preserve"> and </w:t>
      </w:r>
      <w:r w:rsidR="00635328">
        <w:rPr>
          <w:rFonts w:cs="Times New Roman"/>
          <w:szCs w:val="22"/>
        </w:rPr>
        <w:t>hydrocarbon</w:t>
      </w:r>
      <w:r w:rsidR="00635328" w:rsidRPr="007F343E">
        <w:rPr>
          <w:rFonts w:cs="Times New Roman"/>
          <w:szCs w:val="22"/>
        </w:rPr>
        <w:t xml:space="preserve"> </w:t>
      </w:r>
      <w:r w:rsidRPr="007F343E">
        <w:rPr>
          <w:rFonts w:cs="Times New Roman"/>
          <w:szCs w:val="22"/>
        </w:rPr>
        <w:t>charged systems will grow steadily from their present low base. HFO charged units, projected to first become available after 2016, are expected to grow strongly.</w:t>
      </w:r>
      <w:r>
        <w:rPr>
          <w:rFonts w:cs="Times New Roman"/>
          <w:szCs w:val="22"/>
        </w:rPr>
        <w:t xml:space="preserve"> By 2025 the transition model projects that around 20% of the stock of remote condensing units will be charged with a refrigerant gas with a GWP &lt;10. </w:t>
      </w:r>
    </w:p>
    <w:p w:rsidR="00EF5AFB" w:rsidRPr="007F343E" w:rsidRDefault="00EF5AFB" w:rsidP="00EF5AFB">
      <w:pPr>
        <w:outlineLvl w:val="0"/>
        <w:rPr>
          <w:rFonts w:cs="Times New Roman"/>
          <w:szCs w:val="22"/>
        </w:rPr>
      </w:pPr>
      <w:r w:rsidRPr="007F343E">
        <w:rPr>
          <w:rFonts w:cs="Times New Roman"/>
          <w:szCs w:val="22"/>
        </w:rPr>
        <w:t>Given the relatively high levels of consumption of bulk imports in this sector, relative to the size of the bank,</w:t>
      </w:r>
      <w:r w:rsidR="00744F34">
        <w:rPr>
          <w:rFonts w:cs="Times New Roman"/>
          <w:szCs w:val="22"/>
        </w:rPr>
        <w:t xml:space="preserve"> a focus on prevention, early detection and repair of leaks can make a real contribution to reducing demand from this sector. In general</w:t>
      </w:r>
      <w:r w:rsidRPr="007F343E">
        <w:rPr>
          <w:rFonts w:cs="Times New Roman"/>
          <w:szCs w:val="22"/>
        </w:rPr>
        <w:t xml:space="preserve"> it is important for the RAC industry to maintain a focus on both leak reduction, refrigerant recovery and re</w:t>
      </w:r>
      <w:r w:rsidR="00DD1402">
        <w:rPr>
          <w:rFonts w:cs="Times New Roman"/>
          <w:szCs w:val="22"/>
        </w:rPr>
        <w:t>-</w:t>
      </w:r>
      <w:r w:rsidRPr="007F343E">
        <w:rPr>
          <w:rFonts w:cs="Times New Roman"/>
          <w:szCs w:val="22"/>
        </w:rPr>
        <w:t xml:space="preserve">use, and viable options to migrate any of the applications and products in this </w:t>
      </w:r>
      <w:r w:rsidR="00744F34">
        <w:rPr>
          <w:rFonts w:cs="Times New Roman"/>
          <w:szCs w:val="22"/>
        </w:rPr>
        <w:t xml:space="preserve">diverse and challenging </w:t>
      </w:r>
      <w:r w:rsidRPr="007F343E">
        <w:rPr>
          <w:rFonts w:cs="Times New Roman"/>
          <w:szCs w:val="22"/>
        </w:rPr>
        <w:t>sector to low GWP refrigerants.</w:t>
      </w:r>
    </w:p>
    <w:p w:rsidR="00EF5AFB" w:rsidRPr="007F343E" w:rsidRDefault="00EF5AFB" w:rsidP="00EF5AFB">
      <w:pPr>
        <w:outlineLvl w:val="0"/>
        <w:rPr>
          <w:rFonts w:cs="Times New Roman"/>
          <w:szCs w:val="22"/>
        </w:rPr>
      </w:pPr>
      <w:r w:rsidRPr="007F343E">
        <w:rPr>
          <w:rFonts w:cs="Times New Roman"/>
          <w:szCs w:val="22"/>
        </w:rPr>
        <w:t>While overall numbers of supermarkets are expe</w:t>
      </w:r>
      <w:r w:rsidR="00D26FF4">
        <w:rPr>
          <w:rFonts w:cs="Times New Roman"/>
          <w:szCs w:val="22"/>
        </w:rPr>
        <w:t>cted to increase from around 3,4</w:t>
      </w:r>
      <w:r w:rsidRPr="007F343E">
        <w:rPr>
          <w:rFonts w:cs="Times New Roman"/>
          <w:szCs w:val="22"/>
        </w:rPr>
        <w:t xml:space="preserve">00 units now to as many as 4,300 in 2025, demand for bulk imports of high GWP HFCs from supermarkets are predicted to fall strongly from around 253 tonnes in 2013 to just 61 tonnes in 2025. During the period HFC-404A units are predicted to fall strongly from 2,400 units in 2013 to just 700 units in 2025. However HFC-134a units are expected to increase from around </w:t>
      </w:r>
      <w:r w:rsidR="007829D8">
        <w:rPr>
          <w:rFonts w:cs="Times New Roman"/>
          <w:szCs w:val="22"/>
        </w:rPr>
        <w:t>560</w:t>
      </w:r>
      <w:r w:rsidRPr="007F343E">
        <w:rPr>
          <w:rFonts w:cs="Times New Roman"/>
          <w:szCs w:val="22"/>
        </w:rPr>
        <w:t>0 units now to a peak of 1,120 in 2022 before beginning to decline. At the same time systems employing CO</w:t>
      </w:r>
      <w:r w:rsidRPr="007B5CEE">
        <w:rPr>
          <w:rFonts w:cs="Times New Roman"/>
          <w:szCs w:val="22"/>
          <w:vertAlign w:val="subscript"/>
        </w:rPr>
        <w:t>2</w:t>
      </w:r>
      <w:r>
        <w:rPr>
          <w:rFonts w:cs="Times New Roman"/>
          <w:szCs w:val="22"/>
        </w:rPr>
        <w:t xml:space="preserve"> are projected</w:t>
      </w:r>
      <w:r w:rsidRPr="007F343E">
        <w:rPr>
          <w:rFonts w:cs="Times New Roman"/>
          <w:szCs w:val="22"/>
        </w:rPr>
        <w:t xml:space="preserve"> to rise to more than 1,100 in 2025. Hydrocarbon c</w:t>
      </w:r>
      <w:r>
        <w:rPr>
          <w:rFonts w:cs="Times New Roman"/>
          <w:szCs w:val="22"/>
        </w:rPr>
        <w:t>harged systems are also projected</w:t>
      </w:r>
      <w:r w:rsidRPr="007F343E">
        <w:rPr>
          <w:rFonts w:cs="Times New Roman"/>
          <w:szCs w:val="22"/>
        </w:rPr>
        <w:t xml:space="preserve"> to increase steadily off a low base to more, while HFO charged systems are predicted to first become available after 2016 </w:t>
      </w:r>
      <w:r>
        <w:rPr>
          <w:rFonts w:cs="Times New Roman"/>
          <w:szCs w:val="22"/>
        </w:rPr>
        <w:t xml:space="preserve">and </w:t>
      </w:r>
      <w:r w:rsidRPr="007F343E">
        <w:rPr>
          <w:rFonts w:cs="Times New Roman"/>
          <w:szCs w:val="22"/>
        </w:rPr>
        <w:t>are expected to grow strongly.</w:t>
      </w:r>
      <w:r>
        <w:rPr>
          <w:rFonts w:cs="Times New Roman"/>
          <w:szCs w:val="22"/>
        </w:rPr>
        <w:t xml:space="preserve"> Overall, while the mix of final technology employed may diverge from the projections due to other influences in the period, the transition model projects that around 44% of supermarkets will employ refrigerant with a GWP &lt;10 in these large systems by 2025.</w:t>
      </w:r>
    </w:p>
    <w:p w:rsidR="00EF5AFB" w:rsidRPr="007F343E" w:rsidRDefault="00EF5AFB" w:rsidP="00EF5AFB">
      <w:pPr>
        <w:rPr>
          <w:rFonts w:cs="Times New Roman"/>
        </w:rPr>
      </w:pPr>
    </w:p>
    <w:p w:rsidR="00EF5AFB" w:rsidRDefault="00EF5AFB">
      <w:pPr>
        <w:spacing w:before="0"/>
        <w:jc w:val="left"/>
        <w:rPr>
          <w:rFonts w:cs="Times New Roman"/>
        </w:rPr>
      </w:pPr>
      <w:r>
        <w:rPr>
          <w:rFonts w:cs="Times New Roman"/>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05"/>
      </w:tblGrid>
      <w:tr w:rsidR="00EF5AFB" w:rsidRPr="007F343E" w:rsidTr="00EF5AFB">
        <w:tc>
          <w:tcPr>
            <w:tcW w:w="9605" w:type="dxa"/>
            <w:vAlign w:val="center"/>
          </w:tcPr>
          <w:p w:rsidR="00EF5AFB" w:rsidRPr="007F343E" w:rsidRDefault="00EF5AFB" w:rsidP="00604C40">
            <w:pPr>
              <w:spacing w:after="120"/>
              <w:jc w:val="center"/>
              <w:rPr>
                <w:rFonts w:cs="Times New Roman"/>
                <w:b/>
              </w:rPr>
            </w:pPr>
            <w:r w:rsidRPr="007F343E">
              <w:rPr>
                <w:rFonts w:cs="Times New Roman"/>
                <w:b/>
              </w:rPr>
              <w:br w:type="page"/>
              <w:t>Predicted transition of bank and consumption</w:t>
            </w:r>
            <w:r>
              <w:rPr>
                <w:rFonts w:cs="Times New Roman"/>
                <w:b/>
              </w:rPr>
              <w:t xml:space="preserve"> (tonnes)</w:t>
            </w:r>
          </w:p>
        </w:tc>
      </w:tr>
      <w:tr w:rsidR="00EF5AFB" w:rsidRPr="007F343E" w:rsidTr="00EF5AFB">
        <w:tc>
          <w:tcPr>
            <w:tcW w:w="9605" w:type="dxa"/>
            <w:vAlign w:val="center"/>
          </w:tcPr>
          <w:p w:rsidR="00EF5AFB" w:rsidRPr="007F343E" w:rsidRDefault="00EF5AFB" w:rsidP="00EF5AFB">
            <w:pPr>
              <w:spacing w:before="0"/>
              <w:jc w:val="center"/>
              <w:rPr>
                <w:rFonts w:cs="Times New Roman"/>
                <w:sz w:val="16"/>
                <w:szCs w:val="16"/>
              </w:rPr>
            </w:pPr>
          </w:p>
          <w:p w:rsidR="00EF5AFB" w:rsidRPr="007F343E" w:rsidRDefault="0021575F" w:rsidP="00EF5AFB">
            <w:pPr>
              <w:spacing w:before="0"/>
              <w:jc w:val="center"/>
              <w:rPr>
                <w:rFonts w:cs="Times New Roman"/>
                <w:sz w:val="16"/>
                <w:szCs w:val="16"/>
              </w:rPr>
            </w:pPr>
            <w:r>
              <w:rPr>
                <w:noProof/>
                <w:lang w:val="en-AU" w:eastAsia="en-AU"/>
              </w:rPr>
              <w:drawing>
                <wp:inline distT="0" distB="0" distL="0" distR="0">
                  <wp:extent cx="5867400" cy="2700867"/>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EF5AFB" w:rsidRPr="007F343E" w:rsidRDefault="00EF5AFB" w:rsidP="00EF5AFB">
            <w:pPr>
              <w:spacing w:before="0"/>
              <w:jc w:val="center"/>
              <w:rPr>
                <w:rFonts w:cs="Times New Roman"/>
                <w:sz w:val="16"/>
                <w:szCs w:val="16"/>
              </w:rPr>
            </w:pPr>
          </w:p>
        </w:tc>
      </w:tr>
      <w:tr w:rsidR="00EF5AFB" w:rsidRPr="007F343E" w:rsidTr="00EF5AFB">
        <w:tc>
          <w:tcPr>
            <w:tcW w:w="9605" w:type="dxa"/>
            <w:vAlign w:val="center"/>
          </w:tcPr>
          <w:p w:rsidR="00EF5AFB" w:rsidRPr="007F343E" w:rsidRDefault="008317A1" w:rsidP="008317A1">
            <w:pPr>
              <w:spacing w:before="60" w:after="60"/>
              <w:rPr>
                <w:rFonts w:cs="Times New Roman"/>
                <w:i/>
              </w:rPr>
            </w:pPr>
            <w:bookmarkStart w:id="53" w:name="_Toc257359987"/>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19</w:t>
            </w:r>
            <w:r w:rsidR="00B41499" w:rsidRPr="00F4221A">
              <w:rPr>
                <w:rFonts w:cs="Times New Roman"/>
                <w:i/>
                <w:sz w:val="20"/>
              </w:rPr>
              <w:fldChar w:fldCharType="end"/>
            </w:r>
            <w:r w:rsidRPr="00F4221A">
              <w:rPr>
                <w:rFonts w:cs="Times New Roman"/>
                <w:i/>
                <w:sz w:val="20"/>
              </w:rPr>
              <w:t>:</w:t>
            </w:r>
            <w:r w:rsidR="00EF5AFB" w:rsidRPr="007F343E">
              <w:rPr>
                <w:rFonts w:cs="Times New Roman"/>
                <w:i/>
                <w:sz w:val="20"/>
              </w:rPr>
              <w:t xml:space="preserve"> Small </w:t>
            </w:r>
            <w:r w:rsidR="00EF5AFB">
              <w:rPr>
                <w:rFonts w:cs="Times New Roman"/>
                <w:i/>
                <w:sz w:val="20"/>
              </w:rPr>
              <w:t>RCFC</w:t>
            </w:r>
            <w:r w:rsidR="00EF5AFB" w:rsidRPr="007F343E">
              <w:rPr>
                <w:rFonts w:cs="Times New Roman"/>
                <w:i/>
                <w:sz w:val="20"/>
              </w:rPr>
              <w:t xml:space="preserve"> - predicted </w:t>
            </w:r>
            <w:r w:rsidR="00AC1EE6">
              <w:rPr>
                <w:rFonts w:cs="Times New Roman"/>
                <w:i/>
                <w:sz w:val="20"/>
              </w:rPr>
              <w:t>bank</w:t>
            </w:r>
            <w:r w:rsidR="002E3EAF" w:rsidRPr="007F343E">
              <w:rPr>
                <w:rFonts w:cs="Times New Roman"/>
                <w:i/>
                <w:sz w:val="20"/>
              </w:rPr>
              <w:t xml:space="preserve"> </w:t>
            </w:r>
            <w:r w:rsidR="00EF5AFB">
              <w:rPr>
                <w:rFonts w:cs="Times New Roman"/>
                <w:i/>
                <w:sz w:val="20"/>
              </w:rPr>
              <w:t xml:space="preserve">in tonnes </w:t>
            </w:r>
            <w:r w:rsidR="00EF5AFB" w:rsidRPr="007F343E">
              <w:rPr>
                <w:rFonts w:cs="Times New Roman"/>
                <w:i/>
                <w:sz w:val="20"/>
              </w:rPr>
              <w:t>by refrigerant type from 2013 to 2025.</w:t>
            </w:r>
            <w:bookmarkEnd w:id="53"/>
          </w:p>
        </w:tc>
      </w:tr>
      <w:tr w:rsidR="00EF5AFB" w:rsidRPr="007F343E" w:rsidTr="00EF5AFB">
        <w:tc>
          <w:tcPr>
            <w:tcW w:w="9605" w:type="dxa"/>
            <w:vAlign w:val="center"/>
          </w:tcPr>
          <w:p w:rsidR="00EF5AFB" w:rsidRPr="007F343E" w:rsidRDefault="00EF5AFB" w:rsidP="00604C40">
            <w:pPr>
              <w:spacing w:before="0"/>
              <w:jc w:val="center"/>
              <w:rPr>
                <w:rFonts w:cs="Times New Roman"/>
                <w:sz w:val="16"/>
                <w:szCs w:val="16"/>
              </w:rPr>
            </w:pPr>
          </w:p>
          <w:p w:rsidR="00EF5AFB" w:rsidRPr="007F343E" w:rsidRDefault="0021575F" w:rsidP="00604C40">
            <w:pPr>
              <w:spacing w:before="0"/>
              <w:jc w:val="center"/>
              <w:rPr>
                <w:rFonts w:cs="Times New Roman"/>
                <w:sz w:val="16"/>
                <w:szCs w:val="16"/>
              </w:rPr>
            </w:pPr>
            <w:r>
              <w:rPr>
                <w:noProof/>
                <w:lang w:val="en-AU" w:eastAsia="en-AU"/>
              </w:rPr>
              <w:drawing>
                <wp:inline distT="0" distB="0" distL="0" distR="0">
                  <wp:extent cx="5873327" cy="273431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EF5AFB" w:rsidRPr="007F343E" w:rsidRDefault="00EF5AFB" w:rsidP="00604C40">
            <w:pPr>
              <w:spacing w:before="0"/>
              <w:jc w:val="center"/>
              <w:rPr>
                <w:rFonts w:cs="Times New Roman"/>
                <w:sz w:val="16"/>
                <w:szCs w:val="16"/>
              </w:rPr>
            </w:pPr>
          </w:p>
        </w:tc>
      </w:tr>
      <w:tr w:rsidR="00EF5AFB" w:rsidRPr="007F343E" w:rsidTr="00EF5AFB">
        <w:tc>
          <w:tcPr>
            <w:tcW w:w="9605" w:type="dxa"/>
            <w:vAlign w:val="center"/>
          </w:tcPr>
          <w:p w:rsidR="00EF5AFB" w:rsidRPr="007F343E" w:rsidRDefault="008763B4" w:rsidP="008763B4">
            <w:pPr>
              <w:spacing w:before="60" w:after="60"/>
              <w:rPr>
                <w:rFonts w:cs="Times New Roman"/>
                <w:i/>
              </w:rPr>
            </w:pPr>
            <w:bookmarkStart w:id="54" w:name="_Toc257359988"/>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20</w:t>
            </w:r>
            <w:r w:rsidR="00B41499" w:rsidRPr="00F4221A">
              <w:rPr>
                <w:rFonts w:cs="Times New Roman"/>
                <w:i/>
                <w:sz w:val="20"/>
              </w:rPr>
              <w:fldChar w:fldCharType="end"/>
            </w:r>
            <w:r w:rsidRPr="00F4221A">
              <w:rPr>
                <w:rFonts w:cs="Times New Roman"/>
                <w:i/>
                <w:sz w:val="20"/>
              </w:rPr>
              <w:t>:</w:t>
            </w:r>
            <w:r w:rsidR="00EF5AFB" w:rsidRPr="007F343E">
              <w:rPr>
                <w:rFonts w:cs="Times New Roman"/>
                <w:i/>
                <w:sz w:val="20"/>
              </w:rPr>
              <w:t xml:space="preserve"> Small RCFC - predicted consumption </w:t>
            </w:r>
            <w:r w:rsidR="00EF5AFB">
              <w:rPr>
                <w:rFonts w:cs="Times New Roman"/>
                <w:i/>
                <w:sz w:val="20"/>
              </w:rPr>
              <w:t xml:space="preserve">in tonnes </w:t>
            </w:r>
            <w:r w:rsidR="00EF5AFB" w:rsidRPr="007F343E">
              <w:rPr>
                <w:rFonts w:cs="Times New Roman"/>
                <w:i/>
                <w:sz w:val="20"/>
              </w:rPr>
              <w:t>by refrigerant type from 2013 to 2025.</w:t>
            </w:r>
            <w:bookmarkEnd w:id="54"/>
          </w:p>
        </w:tc>
      </w:tr>
    </w:tbl>
    <w:p w:rsidR="00EF5AFB" w:rsidRDefault="00EF5AFB" w:rsidP="00EF5AFB">
      <w:pPr>
        <w:spacing w:after="120"/>
        <w:rPr>
          <w:rFonts w:cs="Times New Roman"/>
          <w:szCs w:val="22"/>
        </w:rPr>
      </w:pPr>
    </w:p>
    <w:p w:rsidR="00EF5AFB" w:rsidRDefault="00EF5AFB">
      <w:pPr>
        <w:spacing w:before="0"/>
        <w:jc w:val="left"/>
        <w:rPr>
          <w:rFonts w:cs="Times New Roman"/>
          <w:szCs w:val="22"/>
        </w:rPr>
      </w:pPr>
      <w:r>
        <w:rPr>
          <w:rFonts w:cs="Times New Roman"/>
          <w:szCs w:val="22"/>
        </w:rPr>
        <w:br w:type="page"/>
      </w:r>
    </w:p>
    <w:tbl>
      <w:tblPr>
        <w:tblW w:w="9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92"/>
      </w:tblGrid>
      <w:tr w:rsidR="00EF5AFB" w:rsidRPr="007F343E" w:rsidTr="00603850">
        <w:tc>
          <w:tcPr>
            <w:tcW w:w="9692" w:type="dxa"/>
            <w:vAlign w:val="center"/>
          </w:tcPr>
          <w:p w:rsidR="00EF5AFB" w:rsidRPr="007F343E" w:rsidRDefault="00EF5AFB" w:rsidP="00604C40">
            <w:pPr>
              <w:spacing w:after="120"/>
              <w:jc w:val="center"/>
              <w:rPr>
                <w:rFonts w:cs="Times New Roman"/>
                <w:b/>
              </w:rPr>
            </w:pPr>
            <w:r w:rsidRPr="007F343E">
              <w:rPr>
                <w:rFonts w:cs="Times New Roman"/>
                <w:b/>
              </w:rPr>
              <w:br w:type="page"/>
              <w:t>Predicted transition of bank and consumption</w:t>
            </w:r>
            <w:r w:rsidR="00015E06">
              <w:rPr>
                <w:rFonts w:cs="Times New Roman"/>
                <w:b/>
              </w:rPr>
              <w:t xml:space="preserve"> (tonnes)</w:t>
            </w:r>
          </w:p>
        </w:tc>
      </w:tr>
      <w:tr w:rsidR="00EF5AFB" w:rsidRPr="007F343E" w:rsidTr="00603850">
        <w:tc>
          <w:tcPr>
            <w:tcW w:w="9692" w:type="dxa"/>
            <w:vAlign w:val="center"/>
          </w:tcPr>
          <w:p w:rsidR="00EF5AFB" w:rsidRDefault="00EF5AFB" w:rsidP="00EF5AFB">
            <w:pPr>
              <w:spacing w:before="0"/>
              <w:jc w:val="center"/>
              <w:rPr>
                <w:rFonts w:cs="Times New Roman"/>
                <w:sz w:val="16"/>
                <w:szCs w:val="16"/>
              </w:rPr>
            </w:pPr>
          </w:p>
          <w:p w:rsidR="00EF5AFB" w:rsidRDefault="00572B70" w:rsidP="00EF5AFB">
            <w:pPr>
              <w:spacing w:before="0"/>
              <w:jc w:val="center"/>
              <w:rPr>
                <w:rFonts w:cs="Times New Roman"/>
                <w:sz w:val="16"/>
                <w:szCs w:val="16"/>
              </w:rPr>
            </w:pPr>
            <w:r>
              <w:rPr>
                <w:noProof/>
                <w:lang w:val="en-AU" w:eastAsia="en-AU"/>
              </w:rPr>
              <w:drawing>
                <wp:inline distT="0" distB="0" distL="0" distR="0">
                  <wp:extent cx="5994400" cy="2396067"/>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EF5AFB" w:rsidRPr="007F343E" w:rsidRDefault="00EF5AFB" w:rsidP="00EF5AFB">
            <w:pPr>
              <w:spacing w:before="0"/>
              <w:jc w:val="center"/>
              <w:rPr>
                <w:rFonts w:cs="Times New Roman"/>
                <w:sz w:val="16"/>
                <w:szCs w:val="16"/>
              </w:rPr>
            </w:pPr>
          </w:p>
        </w:tc>
      </w:tr>
      <w:tr w:rsidR="00EF5AFB" w:rsidRPr="007F343E" w:rsidTr="00603850">
        <w:tc>
          <w:tcPr>
            <w:tcW w:w="9692" w:type="dxa"/>
            <w:vAlign w:val="center"/>
          </w:tcPr>
          <w:p w:rsidR="00EF5AFB" w:rsidRPr="007F343E" w:rsidRDefault="008763B4" w:rsidP="008763B4">
            <w:pPr>
              <w:spacing w:before="60" w:after="60"/>
              <w:rPr>
                <w:rFonts w:cs="Times New Roman"/>
                <w:i/>
              </w:rPr>
            </w:pPr>
            <w:bookmarkStart w:id="55" w:name="_Toc257359989"/>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21</w:t>
            </w:r>
            <w:r w:rsidR="00B41499" w:rsidRPr="00F4221A">
              <w:rPr>
                <w:rFonts w:cs="Times New Roman"/>
                <w:i/>
                <w:sz w:val="20"/>
              </w:rPr>
              <w:fldChar w:fldCharType="end"/>
            </w:r>
            <w:r w:rsidRPr="00F4221A">
              <w:rPr>
                <w:rFonts w:cs="Times New Roman"/>
                <w:i/>
                <w:sz w:val="20"/>
              </w:rPr>
              <w:t>:</w:t>
            </w:r>
            <w:r w:rsidR="00EF5AFB" w:rsidRPr="007F343E">
              <w:rPr>
                <w:rFonts w:cs="Times New Roman"/>
                <w:i/>
                <w:sz w:val="20"/>
              </w:rPr>
              <w:t xml:space="preserve"> Medium RCFC - predicted bank</w:t>
            </w:r>
            <w:r w:rsidR="00EF5AFB">
              <w:rPr>
                <w:rFonts w:cs="Times New Roman"/>
                <w:i/>
                <w:sz w:val="20"/>
              </w:rPr>
              <w:t xml:space="preserve"> in tonnes</w:t>
            </w:r>
            <w:r w:rsidR="00EF5AFB" w:rsidRPr="007F343E">
              <w:rPr>
                <w:rFonts w:cs="Times New Roman"/>
                <w:i/>
                <w:sz w:val="20"/>
              </w:rPr>
              <w:t xml:space="preserve"> by refrigerant type from 2013 to 2025.</w:t>
            </w:r>
            <w:bookmarkEnd w:id="55"/>
          </w:p>
        </w:tc>
      </w:tr>
      <w:tr w:rsidR="00EF5AFB" w:rsidRPr="007F343E" w:rsidTr="00603850">
        <w:tc>
          <w:tcPr>
            <w:tcW w:w="9692" w:type="dxa"/>
            <w:vAlign w:val="center"/>
          </w:tcPr>
          <w:p w:rsidR="00EF5AFB" w:rsidRDefault="00EF5AFB" w:rsidP="00EF5AFB">
            <w:pPr>
              <w:spacing w:before="0"/>
              <w:jc w:val="center"/>
              <w:rPr>
                <w:rFonts w:cs="Times New Roman"/>
                <w:sz w:val="16"/>
                <w:szCs w:val="16"/>
              </w:rPr>
            </w:pPr>
          </w:p>
          <w:p w:rsidR="00EF5AFB" w:rsidRDefault="00572B70" w:rsidP="00EF5AFB">
            <w:pPr>
              <w:spacing w:before="0"/>
              <w:jc w:val="center"/>
              <w:rPr>
                <w:rFonts w:cs="Times New Roman"/>
                <w:sz w:val="16"/>
                <w:szCs w:val="16"/>
              </w:rPr>
            </w:pPr>
            <w:r>
              <w:rPr>
                <w:noProof/>
                <w:lang w:val="en-AU" w:eastAsia="en-AU"/>
              </w:rPr>
              <w:drawing>
                <wp:inline distT="0" distB="0" distL="0" distR="0">
                  <wp:extent cx="6017260" cy="2429933"/>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EF5AFB" w:rsidRPr="007F343E" w:rsidRDefault="00EF5AFB" w:rsidP="00EF5AFB">
            <w:pPr>
              <w:spacing w:before="0"/>
              <w:jc w:val="center"/>
              <w:rPr>
                <w:rFonts w:cs="Times New Roman"/>
                <w:sz w:val="16"/>
                <w:szCs w:val="16"/>
              </w:rPr>
            </w:pPr>
          </w:p>
        </w:tc>
      </w:tr>
      <w:tr w:rsidR="00EF5AFB" w:rsidRPr="007F343E" w:rsidTr="00603850">
        <w:tc>
          <w:tcPr>
            <w:tcW w:w="9692" w:type="dxa"/>
            <w:vAlign w:val="center"/>
          </w:tcPr>
          <w:p w:rsidR="00EF5AFB" w:rsidRPr="007F343E" w:rsidRDefault="008763B4" w:rsidP="008763B4">
            <w:pPr>
              <w:spacing w:before="60" w:after="60"/>
              <w:rPr>
                <w:rFonts w:cs="Times New Roman"/>
                <w:i/>
              </w:rPr>
            </w:pPr>
            <w:bookmarkStart w:id="56" w:name="_Toc257359990"/>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22</w:t>
            </w:r>
            <w:r w:rsidR="00B41499" w:rsidRPr="00F4221A">
              <w:rPr>
                <w:rFonts w:cs="Times New Roman"/>
                <w:i/>
                <w:sz w:val="20"/>
              </w:rPr>
              <w:fldChar w:fldCharType="end"/>
            </w:r>
            <w:r w:rsidRPr="00F4221A">
              <w:rPr>
                <w:rFonts w:cs="Times New Roman"/>
                <w:i/>
                <w:sz w:val="20"/>
              </w:rPr>
              <w:t>:</w:t>
            </w:r>
            <w:r w:rsidR="00EF5AFB" w:rsidRPr="007F343E">
              <w:rPr>
                <w:rFonts w:cs="Times New Roman"/>
                <w:i/>
                <w:sz w:val="20"/>
              </w:rPr>
              <w:t xml:space="preserve"> Medium RCFC - predicted consumption </w:t>
            </w:r>
            <w:r w:rsidR="00EF5AFB">
              <w:rPr>
                <w:rFonts w:cs="Times New Roman"/>
                <w:i/>
                <w:sz w:val="20"/>
              </w:rPr>
              <w:t xml:space="preserve">in tonnes </w:t>
            </w:r>
            <w:r w:rsidR="00EF5AFB" w:rsidRPr="007F343E">
              <w:rPr>
                <w:rFonts w:cs="Times New Roman"/>
                <w:i/>
                <w:sz w:val="20"/>
              </w:rPr>
              <w:t>by refrigerant type from 2013 to 2025.</w:t>
            </w:r>
            <w:bookmarkEnd w:id="56"/>
          </w:p>
        </w:tc>
      </w:tr>
    </w:tbl>
    <w:p w:rsidR="00EF5AFB" w:rsidRPr="007F343E" w:rsidRDefault="00EF5AFB" w:rsidP="00EF5AFB">
      <w:pPr>
        <w:spacing w:after="120"/>
        <w:rPr>
          <w:rFonts w:cs="Times New Roman"/>
          <w:szCs w:val="22"/>
        </w:rPr>
      </w:pPr>
    </w:p>
    <w:p w:rsidR="00EF5AFB" w:rsidRDefault="00EF5AFB">
      <w:pPr>
        <w:spacing w:before="0"/>
        <w:jc w:val="left"/>
        <w:rPr>
          <w:rFonts w:cs="Times New Roman"/>
        </w:rPr>
      </w:pPr>
      <w:r>
        <w:rPr>
          <w:rFonts w:cs="Times New Roman"/>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05"/>
      </w:tblGrid>
      <w:tr w:rsidR="00EF5AFB" w:rsidRPr="007F343E" w:rsidTr="00603850">
        <w:tc>
          <w:tcPr>
            <w:tcW w:w="9605" w:type="dxa"/>
            <w:vAlign w:val="center"/>
          </w:tcPr>
          <w:p w:rsidR="00EF5AFB" w:rsidRPr="007F343E" w:rsidRDefault="00EF5AFB" w:rsidP="00604C40">
            <w:pPr>
              <w:spacing w:after="120"/>
              <w:jc w:val="center"/>
              <w:rPr>
                <w:rFonts w:cs="Times New Roman"/>
                <w:b/>
              </w:rPr>
            </w:pPr>
            <w:r w:rsidRPr="007F343E">
              <w:rPr>
                <w:rFonts w:cs="Times New Roman"/>
                <w:b/>
              </w:rPr>
              <w:br w:type="page"/>
              <w:t>Predicted transition of bank and consumption</w:t>
            </w:r>
            <w:r w:rsidR="00015E06">
              <w:rPr>
                <w:rFonts w:cs="Times New Roman"/>
                <w:b/>
              </w:rPr>
              <w:t xml:space="preserve"> (tonnes)</w:t>
            </w:r>
          </w:p>
        </w:tc>
      </w:tr>
      <w:tr w:rsidR="00EF5AFB" w:rsidRPr="00EF5AFB" w:rsidTr="00603850">
        <w:tc>
          <w:tcPr>
            <w:tcW w:w="9605" w:type="dxa"/>
            <w:vAlign w:val="center"/>
          </w:tcPr>
          <w:p w:rsidR="00EF5AFB" w:rsidRPr="007F343E" w:rsidRDefault="00EF5AFB" w:rsidP="00EF5AFB">
            <w:pPr>
              <w:spacing w:before="0"/>
              <w:jc w:val="center"/>
              <w:rPr>
                <w:rFonts w:cs="Times New Roman"/>
                <w:sz w:val="16"/>
                <w:szCs w:val="16"/>
              </w:rPr>
            </w:pPr>
          </w:p>
          <w:p w:rsidR="00EF5AFB" w:rsidRDefault="00572B70" w:rsidP="00EF5AFB">
            <w:pPr>
              <w:spacing w:before="0"/>
              <w:jc w:val="center"/>
              <w:rPr>
                <w:rFonts w:cs="Times New Roman"/>
                <w:sz w:val="16"/>
                <w:szCs w:val="16"/>
              </w:rPr>
            </w:pPr>
            <w:r>
              <w:rPr>
                <w:noProof/>
                <w:lang w:val="en-AU" w:eastAsia="en-AU"/>
              </w:rPr>
              <w:drawing>
                <wp:inline distT="0" distB="0" distL="0" distR="0">
                  <wp:extent cx="5864860" cy="2472267"/>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EF5AFB" w:rsidRPr="007F343E" w:rsidRDefault="00EF5AFB" w:rsidP="00EF5AFB">
            <w:pPr>
              <w:spacing w:before="0"/>
              <w:jc w:val="center"/>
              <w:rPr>
                <w:rFonts w:cs="Times New Roman"/>
                <w:sz w:val="16"/>
                <w:szCs w:val="16"/>
              </w:rPr>
            </w:pPr>
          </w:p>
        </w:tc>
      </w:tr>
      <w:tr w:rsidR="00EF5AFB" w:rsidRPr="007F343E" w:rsidTr="00603850">
        <w:tc>
          <w:tcPr>
            <w:tcW w:w="9605" w:type="dxa"/>
            <w:vAlign w:val="center"/>
          </w:tcPr>
          <w:p w:rsidR="00EF5AFB" w:rsidRPr="007F343E" w:rsidRDefault="008763B4" w:rsidP="008763B4">
            <w:pPr>
              <w:spacing w:before="60" w:after="60"/>
              <w:rPr>
                <w:rFonts w:cs="Times New Roman"/>
                <w:i/>
              </w:rPr>
            </w:pPr>
            <w:bookmarkStart w:id="57" w:name="_Toc257359991"/>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23</w:t>
            </w:r>
            <w:r w:rsidR="00B41499" w:rsidRPr="00F4221A">
              <w:rPr>
                <w:rFonts w:cs="Times New Roman"/>
                <w:i/>
                <w:sz w:val="20"/>
              </w:rPr>
              <w:fldChar w:fldCharType="end"/>
            </w:r>
            <w:r w:rsidRPr="00F4221A">
              <w:rPr>
                <w:rFonts w:cs="Times New Roman"/>
                <w:i/>
                <w:sz w:val="20"/>
              </w:rPr>
              <w:t>:</w:t>
            </w:r>
            <w:r w:rsidRPr="0045125B">
              <w:rPr>
                <w:i/>
                <w:sz w:val="20"/>
              </w:rPr>
              <w:t xml:space="preserve"> </w:t>
            </w:r>
            <w:r w:rsidR="00EF5AFB" w:rsidRPr="007F343E">
              <w:rPr>
                <w:rFonts w:cs="Times New Roman"/>
                <w:i/>
                <w:sz w:val="20"/>
              </w:rPr>
              <w:t>Large RCFC - predicted bank</w:t>
            </w:r>
            <w:r w:rsidR="00EF5AFB">
              <w:rPr>
                <w:rFonts w:cs="Times New Roman"/>
                <w:i/>
                <w:sz w:val="20"/>
              </w:rPr>
              <w:t xml:space="preserve"> in tonnes</w:t>
            </w:r>
            <w:r w:rsidR="00EF5AFB" w:rsidRPr="007F343E">
              <w:rPr>
                <w:rFonts w:cs="Times New Roman"/>
                <w:i/>
                <w:sz w:val="20"/>
              </w:rPr>
              <w:t xml:space="preserve"> by refrigerant type from 2013 to 2025.</w:t>
            </w:r>
            <w:bookmarkEnd w:id="57"/>
          </w:p>
        </w:tc>
      </w:tr>
      <w:tr w:rsidR="00EF5AFB" w:rsidRPr="00EF5AFB" w:rsidTr="00603850">
        <w:tc>
          <w:tcPr>
            <w:tcW w:w="9605" w:type="dxa"/>
            <w:vAlign w:val="center"/>
          </w:tcPr>
          <w:p w:rsidR="00EF5AFB" w:rsidRPr="007F343E" w:rsidRDefault="00EF5AFB" w:rsidP="00EF5AFB">
            <w:pPr>
              <w:spacing w:before="0"/>
              <w:jc w:val="center"/>
              <w:rPr>
                <w:rFonts w:cs="Times New Roman"/>
                <w:sz w:val="16"/>
                <w:szCs w:val="16"/>
              </w:rPr>
            </w:pPr>
          </w:p>
          <w:p w:rsidR="00EF5AFB" w:rsidRDefault="00572B70" w:rsidP="00EF5AFB">
            <w:pPr>
              <w:spacing w:before="0"/>
              <w:jc w:val="center"/>
              <w:rPr>
                <w:rFonts w:cs="Times New Roman"/>
                <w:sz w:val="16"/>
                <w:szCs w:val="16"/>
              </w:rPr>
            </w:pPr>
            <w:r>
              <w:rPr>
                <w:noProof/>
                <w:lang w:val="en-AU" w:eastAsia="en-AU"/>
              </w:rPr>
              <w:drawing>
                <wp:inline distT="0" distB="0" distL="0" distR="0">
                  <wp:extent cx="5864860" cy="2505710"/>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EF5AFB" w:rsidRPr="007F343E" w:rsidRDefault="00EF5AFB" w:rsidP="00EF5AFB">
            <w:pPr>
              <w:spacing w:before="0"/>
              <w:jc w:val="center"/>
              <w:rPr>
                <w:rFonts w:cs="Times New Roman"/>
                <w:sz w:val="16"/>
                <w:szCs w:val="16"/>
              </w:rPr>
            </w:pPr>
          </w:p>
        </w:tc>
      </w:tr>
      <w:tr w:rsidR="00EF5AFB" w:rsidRPr="007F343E" w:rsidTr="00603850">
        <w:tc>
          <w:tcPr>
            <w:tcW w:w="9605" w:type="dxa"/>
            <w:vAlign w:val="center"/>
          </w:tcPr>
          <w:p w:rsidR="00EF5AFB" w:rsidRPr="007F343E" w:rsidRDefault="008763B4" w:rsidP="008763B4">
            <w:pPr>
              <w:spacing w:before="60" w:after="60"/>
              <w:rPr>
                <w:rFonts w:cs="Times New Roman"/>
                <w:i/>
              </w:rPr>
            </w:pPr>
            <w:bookmarkStart w:id="58" w:name="_Toc257359992"/>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24</w:t>
            </w:r>
            <w:r w:rsidR="00B41499" w:rsidRPr="00F4221A">
              <w:rPr>
                <w:rFonts w:cs="Times New Roman"/>
                <w:i/>
                <w:sz w:val="20"/>
              </w:rPr>
              <w:fldChar w:fldCharType="end"/>
            </w:r>
            <w:r w:rsidRPr="00F4221A">
              <w:rPr>
                <w:rFonts w:cs="Times New Roman"/>
                <w:i/>
                <w:sz w:val="20"/>
              </w:rPr>
              <w:t>:</w:t>
            </w:r>
            <w:r w:rsidRPr="0045125B">
              <w:rPr>
                <w:i/>
                <w:sz w:val="20"/>
              </w:rPr>
              <w:t xml:space="preserve"> </w:t>
            </w:r>
            <w:r w:rsidR="00EF5AFB" w:rsidRPr="007F343E">
              <w:rPr>
                <w:rFonts w:cs="Times New Roman"/>
                <w:i/>
                <w:sz w:val="20"/>
              </w:rPr>
              <w:t xml:space="preserve">Large RCFC - predicted consumption </w:t>
            </w:r>
            <w:r w:rsidR="00EF5AFB">
              <w:rPr>
                <w:rFonts w:cs="Times New Roman"/>
                <w:i/>
                <w:sz w:val="20"/>
              </w:rPr>
              <w:t xml:space="preserve">in tonnes </w:t>
            </w:r>
            <w:r w:rsidR="00EF5AFB" w:rsidRPr="007F343E">
              <w:rPr>
                <w:rFonts w:cs="Times New Roman"/>
                <w:i/>
                <w:sz w:val="20"/>
              </w:rPr>
              <w:t>by refrigerant type from 2013 to 2025.</w:t>
            </w:r>
            <w:bookmarkEnd w:id="58"/>
          </w:p>
        </w:tc>
      </w:tr>
    </w:tbl>
    <w:p w:rsidR="00EF5AFB" w:rsidRPr="007F343E" w:rsidRDefault="00EF5AFB" w:rsidP="001D1740">
      <w:pPr>
        <w:spacing w:before="360" w:after="120"/>
        <w:outlineLvl w:val="0"/>
        <w:rPr>
          <w:rFonts w:cs="Times New Roman"/>
          <w:b/>
          <w:szCs w:val="22"/>
        </w:rPr>
      </w:pPr>
      <w:r w:rsidRPr="007F343E">
        <w:rPr>
          <w:rFonts w:cs="Times New Roman"/>
          <w:b/>
          <w:szCs w:val="22"/>
        </w:rPr>
        <w:t>Assumptions of modelling and level of confidence</w:t>
      </w:r>
    </w:p>
    <w:p w:rsidR="00EF5AFB" w:rsidRPr="007F343E" w:rsidRDefault="00EF5AFB" w:rsidP="00E97935">
      <w:pPr>
        <w:pStyle w:val="ColorfulShading-Accent31"/>
        <w:numPr>
          <w:ilvl w:val="0"/>
          <w:numId w:val="12"/>
        </w:numPr>
        <w:spacing w:after="120"/>
        <w:ind w:left="357" w:hanging="357"/>
        <w:contextualSpacing w:val="0"/>
        <w:jc w:val="both"/>
        <w:rPr>
          <w:rFonts w:ascii="Times New Roman" w:hAnsi="Times New Roman"/>
          <w:sz w:val="22"/>
          <w:szCs w:val="22"/>
        </w:rPr>
      </w:pPr>
      <w:r w:rsidRPr="007F343E">
        <w:rPr>
          <w:rFonts w:ascii="Times New Roman" w:hAnsi="Times New Roman"/>
          <w:sz w:val="22"/>
          <w:szCs w:val="22"/>
        </w:rPr>
        <w:t>New remote condensing units and supermarket systems will continue to be charged from refrigerant bulk imports.</w:t>
      </w:r>
    </w:p>
    <w:p w:rsidR="00EF5AFB" w:rsidRPr="007F343E" w:rsidRDefault="00EF5AFB" w:rsidP="00E97935">
      <w:pPr>
        <w:pStyle w:val="ColorfulShading-Accent31"/>
        <w:numPr>
          <w:ilvl w:val="0"/>
          <w:numId w:val="12"/>
        </w:numPr>
        <w:spacing w:after="120"/>
        <w:ind w:left="357" w:hanging="357"/>
        <w:contextualSpacing w:val="0"/>
        <w:jc w:val="both"/>
        <w:rPr>
          <w:rFonts w:ascii="Times New Roman" w:hAnsi="Times New Roman"/>
          <w:sz w:val="22"/>
          <w:szCs w:val="22"/>
        </w:rPr>
      </w:pPr>
      <w:r w:rsidRPr="007F343E">
        <w:rPr>
          <w:rFonts w:ascii="Times New Roman" w:hAnsi="Times New Roman"/>
          <w:sz w:val="22"/>
          <w:szCs w:val="22"/>
        </w:rPr>
        <w:t>Growth rate of sales of equipment in the refrigerated cold food chain post 2013 through to 2025 is 2% per annum.</w:t>
      </w:r>
    </w:p>
    <w:p w:rsidR="00EF5AFB" w:rsidRPr="007F343E" w:rsidRDefault="00EF5AFB" w:rsidP="00E97935">
      <w:pPr>
        <w:pStyle w:val="ColorfulShading-Accent31"/>
        <w:numPr>
          <w:ilvl w:val="0"/>
          <w:numId w:val="12"/>
        </w:numPr>
        <w:spacing w:after="120"/>
        <w:ind w:left="357" w:hanging="357"/>
        <w:contextualSpacing w:val="0"/>
        <w:jc w:val="both"/>
        <w:rPr>
          <w:rFonts w:ascii="Times New Roman" w:hAnsi="Times New Roman"/>
          <w:sz w:val="22"/>
          <w:szCs w:val="22"/>
        </w:rPr>
      </w:pPr>
      <w:r w:rsidRPr="007F343E">
        <w:rPr>
          <w:rFonts w:ascii="Times New Roman" w:hAnsi="Times New Roman"/>
          <w:sz w:val="22"/>
          <w:szCs w:val="22"/>
        </w:rPr>
        <w:t xml:space="preserve">HFC-404A and HFC-134a will be phased out of use in new </w:t>
      </w:r>
      <w:r w:rsidRPr="00BF7D57">
        <w:rPr>
          <w:rFonts w:ascii="Times New Roman" w:hAnsi="Times New Roman"/>
          <w:sz w:val="22"/>
          <w:szCs w:val="22"/>
        </w:rPr>
        <w:t xml:space="preserve">equipment (except </w:t>
      </w:r>
      <w:r w:rsidR="00BF7D57" w:rsidRPr="00BF7D57">
        <w:rPr>
          <w:rFonts w:ascii="Times New Roman" w:hAnsi="Times New Roman"/>
          <w:sz w:val="22"/>
          <w:szCs w:val="22"/>
        </w:rPr>
        <w:t>where equipment designs struggle to overcome high glides found in emerging blends)</w:t>
      </w:r>
      <w:r w:rsidRPr="00BF7D57">
        <w:rPr>
          <w:rFonts w:ascii="Times New Roman" w:hAnsi="Times New Roman"/>
          <w:sz w:val="22"/>
          <w:szCs w:val="22"/>
        </w:rPr>
        <w:t xml:space="preserve"> and replaced with refriger</w:t>
      </w:r>
      <w:r w:rsidRPr="007F343E">
        <w:rPr>
          <w:rFonts w:ascii="Times New Roman" w:hAnsi="Times New Roman"/>
          <w:sz w:val="22"/>
          <w:szCs w:val="22"/>
        </w:rPr>
        <w:t>ants with lower GWP refrigerants by 2025.</w:t>
      </w:r>
    </w:p>
    <w:p w:rsidR="00EF5AFB" w:rsidRPr="007F343E" w:rsidRDefault="00EF5AFB" w:rsidP="00E97935">
      <w:pPr>
        <w:pStyle w:val="ColorfulShading-Accent31"/>
        <w:numPr>
          <w:ilvl w:val="0"/>
          <w:numId w:val="12"/>
        </w:numPr>
        <w:spacing w:after="120"/>
        <w:ind w:left="357" w:hanging="357"/>
        <w:contextualSpacing w:val="0"/>
        <w:jc w:val="both"/>
        <w:rPr>
          <w:rFonts w:ascii="Times New Roman" w:hAnsi="Times New Roman"/>
          <w:sz w:val="22"/>
          <w:szCs w:val="22"/>
        </w:rPr>
      </w:pPr>
      <w:r w:rsidRPr="007F343E">
        <w:rPr>
          <w:rFonts w:ascii="Times New Roman" w:hAnsi="Times New Roman"/>
          <w:sz w:val="22"/>
          <w:szCs w:val="22"/>
        </w:rPr>
        <w:t>Linear growth trend for all substitutes to 2025. With HFC-404A making up the balance.</w:t>
      </w:r>
    </w:p>
    <w:p w:rsidR="00EF5AFB" w:rsidRPr="002A11E1" w:rsidRDefault="00BF7D57" w:rsidP="00E97935">
      <w:pPr>
        <w:pStyle w:val="ColorfulShading-Accent31"/>
        <w:numPr>
          <w:ilvl w:val="0"/>
          <w:numId w:val="12"/>
        </w:numPr>
        <w:spacing w:after="120"/>
        <w:ind w:left="357" w:hanging="357"/>
        <w:contextualSpacing w:val="0"/>
        <w:jc w:val="both"/>
        <w:rPr>
          <w:rFonts w:ascii="Times New Roman" w:hAnsi="Times New Roman"/>
          <w:sz w:val="22"/>
          <w:szCs w:val="22"/>
        </w:rPr>
      </w:pPr>
      <w:r w:rsidRPr="002A11E1">
        <w:rPr>
          <w:rFonts w:ascii="Times New Roman" w:hAnsi="Times New Roman"/>
          <w:sz w:val="22"/>
          <w:szCs w:val="22"/>
        </w:rPr>
        <w:t xml:space="preserve">The aggregate leak rates of small RCFC </w:t>
      </w:r>
      <w:r w:rsidR="00517FB4" w:rsidRPr="002A11E1">
        <w:rPr>
          <w:rFonts w:ascii="Times New Roman" w:hAnsi="Times New Roman"/>
          <w:sz w:val="22"/>
          <w:szCs w:val="22"/>
        </w:rPr>
        <w:t>devi</w:t>
      </w:r>
      <w:r w:rsidR="00517FB4">
        <w:rPr>
          <w:rFonts w:ascii="Times New Roman" w:hAnsi="Times New Roman"/>
          <w:sz w:val="22"/>
          <w:szCs w:val="22"/>
        </w:rPr>
        <w:t>c</w:t>
      </w:r>
      <w:r w:rsidR="00517FB4" w:rsidRPr="002A11E1">
        <w:rPr>
          <w:rFonts w:ascii="Times New Roman" w:hAnsi="Times New Roman"/>
          <w:sz w:val="22"/>
          <w:szCs w:val="22"/>
        </w:rPr>
        <w:t xml:space="preserve">es </w:t>
      </w:r>
      <w:r w:rsidR="00413320" w:rsidRPr="002A11E1">
        <w:rPr>
          <w:rFonts w:ascii="Times New Roman" w:hAnsi="Times New Roman"/>
          <w:sz w:val="22"/>
          <w:szCs w:val="22"/>
        </w:rPr>
        <w:t>was 6% with remote condensing units 15%, and supermarket l</w:t>
      </w:r>
      <w:r w:rsidR="00EF5AFB" w:rsidRPr="002A11E1">
        <w:rPr>
          <w:rFonts w:ascii="Times New Roman" w:hAnsi="Times New Roman"/>
          <w:sz w:val="22"/>
          <w:szCs w:val="22"/>
        </w:rPr>
        <w:t>eak rates improv</w:t>
      </w:r>
      <w:r w:rsidR="00413320" w:rsidRPr="002A11E1">
        <w:rPr>
          <w:rFonts w:ascii="Times New Roman" w:hAnsi="Times New Roman"/>
          <w:sz w:val="22"/>
          <w:szCs w:val="22"/>
        </w:rPr>
        <w:t xml:space="preserve">ing </w:t>
      </w:r>
      <w:r w:rsidR="00EF5AFB" w:rsidRPr="002A11E1">
        <w:rPr>
          <w:rFonts w:ascii="Times New Roman" w:hAnsi="Times New Roman"/>
          <w:sz w:val="22"/>
          <w:szCs w:val="22"/>
        </w:rPr>
        <w:t xml:space="preserve">from </w:t>
      </w:r>
      <w:r w:rsidR="00413320" w:rsidRPr="002A11E1">
        <w:rPr>
          <w:rFonts w:ascii="Times New Roman" w:hAnsi="Times New Roman"/>
          <w:sz w:val="22"/>
          <w:szCs w:val="22"/>
        </w:rPr>
        <w:t>12.5%</w:t>
      </w:r>
      <w:r w:rsidR="00EF5AFB" w:rsidRPr="002A11E1">
        <w:rPr>
          <w:rFonts w:ascii="Times New Roman" w:hAnsi="Times New Roman"/>
          <w:sz w:val="22"/>
          <w:szCs w:val="22"/>
        </w:rPr>
        <w:t xml:space="preserve"> to </w:t>
      </w:r>
      <w:r w:rsidR="00413320" w:rsidRPr="002A11E1">
        <w:rPr>
          <w:rFonts w:ascii="Times New Roman" w:hAnsi="Times New Roman"/>
          <w:sz w:val="22"/>
          <w:szCs w:val="22"/>
        </w:rPr>
        <w:t>9.8</w:t>
      </w:r>
      <w:r w:rsidR="00EF5AFB" w:rsidRPr="002A11E1">
        <w:rPr>
          <w:rFonts w:ascii="Times New Roman" w:hAnsi="Times New Roman"/>
          <w:sz w:val="22"/>
          <w:szCs w:val="22"/>
        </w:rPr>
        <w:t>% per annum in 2025.</w:t>
      </w:r>
    </w:p>
    <w:p w:rsidR="00EF5AFB" w:rsidRPr="007F343E" w:rsidRDefault="00EF5AFB" w:rsidP="00E97935">
      <w:pPr>
        <w:pStyle w:val="ColorfulShading-Accent31"/>
        <w:numPr>
          <w:ilvl w:val="0"/>
          <w:numId w:val="12"/>
        </w:numPr>
        <w:spacing w:after="120"/>
        <w:ind w:left="357" w:hanging="357"/>
        <w:contextualSpacing w:val="0"/>
        <w:jc w:val="both"/>
        <w:rPr>
          <w:rFonts w:ascii="Times New Roman" w:hAnsi="Times New Roman"/>
          <w:sz w:val="22"/>
          <w:szCs w:val="22"/>
        </w:rPr>
      </w:pPr>
      <w:r w:rsidRPr="007F343E">
        <w:rPr>
          <w:rFonts w:ascii="Times New Roman" w:hAnsi="Times New Roman"/>
          <w:sz w:val="22"/>
          <w:szCs w:val="22"/>
        </w:rPr>
        <w:t>The average charge of refrigeration equipment remains constant for each equipment class. Whereas in practice charges are expected to decline in the order of 25% or more between 2013 and 2025 depending on the equipment class.</w:t>
      </w:r>
    </w:p>
    <w:p w:rsidR="00EF5AFB" w:rsidRPr="002E2FCB" w:rsidRDefault="00EF5AFB" w:rsidP="002E2FCB">
      <w:pPr>
        <w:spacing w:after="120"/>
        <w:rPr>
          <w:i/>
        </w:rPr>
      </w:pPr>
      <w:r w:rsidRPr="002E2FCB">
        <w:t xml:space="preserve">Efforts to project the rate and success of commercialisation of alternative technologies that are currently ‘under development’ will always carry greater uncertainties than those for which commercial supply is already established. These uncertainties can be both in terms of available quantities and timing or market release. The eventual price of a product under development is always a considerable source of uncertainty which will always be impacted by a range of issues such as the scale of investment in initial production, the rate of adoption, and the development of supply lines against incumbent competition and technologies, all of which go towards changing the dynamics of the supply/demand relationship.      </w:t>
      </w:r>
    </w:p>
    <w:p w:rsidR="00EF5AFB" w:rsidRPr="007F343E" w:rsidRDefault="00EF5AFB" w:rsidP="00EF5AFB">
      <w:pPr>
        <w:spacing w:after="120"/>
        <w:rPr>
          <w:rFonts w:cs="Times New Roman"/>
          <w:szCs w:val="22"/>
        </w:rPr>
      </w:pPr>
    </w:p>
    <w:p w:rsidR="00EF5AFB" w:rsidRPr="007F343E" w:rsidRDefault="008763B4" w:rsidP="00EF5AFB">
      <w:pPr>
        <w:pStyle w:val="ColorfulShading-Accent31"/>
        <w:spacing w:before="120"/>
        <w:ind w:left="0"/>
        <w:contextualSpacing w:val="0"/>
        <w:jc w:val="both"/>
        <w:outlineLvl w:val="0"/>
        <w:rPr>
          <w:rFonts w:ascii="Times New Roman" w:hAnsi="Times New Roman"/>
          <w:i/>
          <w:sz w:val="22"/>
          <w:szCs w:val="22"/>
        </w:rPr>
      </w:pPr>
      <w:bookmarkStart w:id="59" w:name="_Toc257360010"/>
      <w:r w:rsidRPr="008763B4">
        <w:rPr>
          <w:rFonts w:ascii="Times New Roman" w:hAnsi="Times New Roman"/>
          <w:i/>
          <w:sz w:val="22"/>
          <w:szCs w:val="22"/>
        </w:rPr>
        <w:t xml:space="preserve">Table </w:t>
      </w:r>
      <w:r w:rsidR="00B41499" w:rsidRPr="008763B4">
        <w:rPr>
          <w:rFonts w:ascii="Times New Roman" w:hAnsi="Times New Roman"/>
          <w:i/>
          <w:sz w:val="22"/>
          <w:szCs w:val="22"/>
        </w:rPr>
        <w:fldChar w:fldCharType="begin"/>
      </w:r>
      <w:r w:rsidRPr="008763B4">
        <w:rPr>
          <w:rFonts w:ascii="Times New Roman" w:hAnsi="Times New Roman"/>
          <w:i/>
          <w:sz w:val="22"/>
          <w:szCs w:val="22"/>
        </w:rPr>
        <w:instrText xml:space="preserve"> SEQ Table \* ARABIC </w:instrText>
      </w:r>
      <w:r w:rsidR="00B41499" w:rsidRPr="008763B4">
        <w:rPr>
          <w:rFonts w:ascii="Times New Roman" w:hAnsi="Times New Roman"/>
          <w:i/>
          <w:sz w:val="22"/>
          <w:szCs w:val="22"/>
        </w:rPr>
        <w:fldChar w:fldCharType="separate"/>
      </w:r>
      <w:r w:rsidR="008E0DB9">
        <w:rPr>
          <w:rFonts w:ascii="Times New Roman" w:hAnsi="Times New Roman"/>
          <w:i/>
          <w:noProof/>
          <w:sz w:val="22"/>
          <w:szCs w:val="22"/>
        </w:rPr>
        <w:t>6</w:t>
      </w:r>
      <w:r w:rsidR="00B41499" w:rsidRPr="008763B4">
        <w:rPr>
          <w:rFonts w:ascii="Times New Roman" w:hAnsi="Times New Roman"/>
          <w:i/>
          <w:sz w:val="22"/>
          <w:szCs w:val="22"/>
        </w:rPr>
        <w:fldChar w:fldCharType="end"/>
      </w:r>
      <w:r w:rsidR="00EF5AFB" w:rsidRPr="008763B4">
        <w:rPr>
          <w:rFonts w:ascii="Times New Roman" w:hAnsi="Times New Roman"/>
          <w:i/>
          <w:sz w:val="22"/>
          <w:szCs w:val="22"/>
        </w:rPr>
        <w:t>: Predicted transition</w:t>
      </w:r>
      <w:r w:rsidR="00EF5AFB" w:rsidRPr="007F343E">
        <w:rPr>
          <w:rFonts w:ascii="Times New Roman" w:hAnsi="Times New Roman"/>
          <w:i/>
          <w:sz w:val="22"/>
          <w:szCs w:val="22"/>
        </w:rPr>
        <w:t xml:space="preserve"> scenario for refrigerated cold food chain sector.</w:t>
      </w:r>
      <w:bookmarkEnd w:id="59"/>
    </w:p>
    <w:tbl>
      <w:tblPr>
        <w:tblStyle w:val="TableGrid"/>
        <w:tblW w:w="0" w:type="auto"/>
        <w:tblInd w:w="108" w:type="dxa"/>
        <w:tblLook w:val="04A0"/>
      </w:tblPr>
      <w:tblGrid>
        <w:gridCol w:w="1370"/>
        <w:gridCol w:w="3285"/>
        <w:gridCol w:w="3753"/>
      </w:tblGrid>
      <w:tr w:rsidR="00EF5AFB" w:rsidRPr="007F343E" w:rsidTr="00604C40">
        <w:tc>
          <w:tcPr>
            <w:tcW w:w="1370" w:type="dxa"/>
            <w:vMerge w:val="restart"/>
            <w:tcBorders>
              <w:right w:val="single" w:sz="4" w:space="0" w:color="FFFFFF" w:themeColor="background1"/>
            </w:tcBorders>
            <w:shd w:val="clear" w:color="auto" w:fill="0C0C0C"/>
          </w:tcPr>
          <w:p w:rsidR="00EF5AFB" w:rsidRPr="007F343E" w:rsidRDefault="00EF5AFB" w:rsidP="00604C40">
            <w:pPr>
              <w:spacing w:after="120"/>
              <w:rPr>
                <w:szCs w:val="22"/>
              </w:rPr>
            </w:pPr>
          </w:p>
        </w:tc>
        <w:tc>
          <w:tcPr>
            <w:tcW w:w="7038" w:type="dxa"/>
            <w:gridSpan w:val="2"/>
            <w:tcBorders>
              <w:left w:val="single" w:sz="4" w:space="0" w:color="FFFFFF" w:themeColor="background1"/>
              <w:bottom w:val="single" w:sz="4" w:space="0" w:color="FFFFFF" w:themeColor="background1"/>
            </w:tcBorders>
            <w:shd w:val="clear" w:color="auto" w:fill="0C0C0C"/>
          </w:tcPr>
          <w:p w:rsidR="00EF5AFB" w:rsidRPr="007F343E" w:rsidRDefault="00EF5AFB" w:rsidP="00604C40">
            <w:pPr>
              <w:spacing w:after="120"/>
              <w:rPr>
                <w:szCs w:val="22"/>
              </w:rPr>
            </w:pPr>
            <w:r w:rsidRPr="007F343E">
              <w:rPr>
                <w:szCs w:val="22"/>
              </w:rPr>
              <w:t>Predicted proportion of refrigerant contained in new products by volume</w:t>
            </w:r>
          </w:p>
        </w:tc>
      </w:tr>
      <w:tr w:rsidR="00EF5AFB" w:rsidRPr="007F343E" w:rsidTr="00604C40">
        <w:tc>
          <w:tcPr>
            <w:tcW w:w="1370" w:type="dxa"/>
            <w:vMerge/>
            <w:tcBorders>
              <w:right w:val="single" w:sz="4" w:space="0" w:color="FFFFFF" w:themeColor="background1"/>
            </w:tcBorders>
          </w:tcPr>
          <w:p w:rsidR="00EF5AFB" w:rsidRPr="007F343E" w:rsidRDefault="00EF5AFB" w:rsidP="00604C40">
            <w:pPr>
              <w:spacing w:before="60" w:after="60"/>
              <w:rPr>
                <w:szCs w:val="22"/>
              </w:rPr>
            </w:pPr>
          </w:p>
        </w:tc>
        <w:tc>
          <w:tcPr>
            <w:tcW w:w="328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C0C0C"/>
          </w:tcPr>
          <w:p w:rsidR="00EF5AFB" w:rsidRPr="007F343E" w:rsidRDefault="00EF5AFB" w:rsidP="00604C40">
            <w:pPr>
              <w:spacing w:before="60" w:after="60"/>
              <w:jc w:val="center"/>
              <w:rPr>
                <w:szCs w:val="22"/>
              </w:rPr>
            </w:pPr>
            <w:r w:rsidRPr="007F343E">
              <w:rPr>
                <w:szCs w:val="22"/>
              </w:rPr>
              <w:t>2020</w:t>
            </w:r>
          </w:p>
        </w:tc>
        <w:tc>
          <w:tcPr>
            <w:tcW w:w="3753" w:type="dxa"/>
            <w:tcBorders>
              <w:top w:val="single" w:sz="4" w:space="0" w:color="FFFFFF" w:themeColor="background1"/>
              <w:left w:val="single" w:sz="4" w:space="0" w:color="FFFFFF" w:themeColor="background1"/>
              <w:bottom w:val="single" w:sz="4" w:space="0" w:color="auto"/>
            </w:tcBorders>
            <w:shd w:val="clear" w:color="auto" w:fill="0C0C0C"/>
          </w:tcPr>
          <w:p w:rsidR="00EF5AFB" w:rsidRPr="007F343E" w:rsidRDefault="00EF5AFB" w:rsidP="00604C40">
            <w:pPr>
              <w:spacing w:before="60" w:after="60"/>
              <w:jc w:val="center"/>
              <w:rPr>
                <w:szCs w:val="22"/>
              </w:rPr>
            </w:pPr>
            <w:r w:rsidRPr="007F343E">
              <w:rPr>
                <w:szCs w:val="22"/>
              </w:rPr>
              <w:t>2025</w:t>
            </w:r>
          </w:p>
        </w:tc>
      </w:tr>
      <w:tr w:rsidR="00EF5AFB" w:rsidRPr="007F343E" w:rsidTr="00604C40">
        <w:tc>
          <w:tcPr>
            <w:tcW w:w="8408" w:type="dxa"/>
            <w:gridSpan w:val="3"/>
            <w:vAlign w:val="center"/>
          </w:tcPr>
          <w:p w:rsidR="00EF5AFB" w:rsidRPr="007F343E" w:rsidRDefault="00EF5AFB" w:rsidP="002A11E1">
            <w:pPr>
              <w:spacing w:after="60"/>
              <w:rPr>
                <w:b/>
                <w:szCs w:val="22"/>
              </w:rPr>
            </w:pPr>
            <w:r w:rsidRPr="007F343E">
              <w:rPr>
                <w:b/>
                <w:szCs w:val="22"/>
              </w:rPr>
              <w:t>Small RCFC: Self-contained equipment</w:t>
            </w:r>
          </w:p>
        </w:tc>
      </w:tr>
      <w:tr w:rsidR="00EF5AFB" w:rsidRPr="007F343E" w:rsidTr="00604C40">
        <w:tc>
          <w:tcPr>
            <w:tcW w:w="1370" w:type="dxa"/>
          </w:tcPr>
          <w:p w:rsidR="00EF5AFB" w:rsidRPr="007F343E" w:rsidRDefault="00EF5AFB" w:rsidP="00604C40">
            <w:pPr>
              <w:spacing w:before="60" w:after="60"/>
              <w:rPr>
                <w:szCs w:val="22"/>
              </w:rPr>
            </w:pPr>
            <w:r w:rsidRPr="007F343E">
              <w:rPr>
                <w:szCs w:val="22"/>
              </w:rPr>
              <w:t>HFC-404A</w:t>
            </w:r>
          </w:p>
        </w:tc>
        <w:tc>
          <w:tcPr>
            <w:tcW w:w="3285" w:type="dxa"/>
            <w:tcBorders>
              <w:top w:val="single" w:sz="4" w:space="0" w:color="auto"/>
            </w:tcBorders>
          </w:tcPr>
          <w:p w:rsidR="00EF5AFB" w:rsidRPr="007F343E" w:rsidRDefault="00EF5AFB" w:rsidP="00604C40">
            <w:pPr>
              <w:spacing w:before="60" w:after="60"/>
              <w:jc w:val="center"/>
              <w:rPr>
                <w:szCs w:val="22"/>
              </w:rPr>
            </w:pPr>
            <w:r>
              <w:rPr>
                <w:szCs w:val="22"/>
              </w:rPr>
              <w:t>27</w:t>
            </w:r>
            <w:r w:rsidRPr="007F343E">
              <w:rPr>
                <w:szCs w:val="22"/>
              </w:rPr>
              <w:t>%</w:t>
            </w:r>
          </w:p>
        </w:tc>
        <w:tc>
          <w:tcPr>
            <w:tcW w:w="3753" w:type="dxa"/>
            <w:tcBorders>
              <w:top w:val="single" w:sz="4" w:space="0" w:color="auto"/>
            </w:tcBorders>
          </w:tcPr>
          <w:p w:rsidR="00EF5AFB" w:rsidRPr="007F343E" w:rsidRDefault="00EF5AFB" w:rsidP="00604C40">
            <w:pPr>
              <w:spacing w:before="60" w:after="60"/>
              <w:jc w:val="center"/>
              <w:rPr>
                <w:szCs w:val="22"/>
              </w:rPr>
            </w:pPr>
            <w:r>
              <w:rPr>
                <w:szCs w:val="22"/>
              </w:rPr>
              <w:t>5</w:t>
            </w:r>
            <w:r w:rsidRPr="007F343E">
              <w:rPr>
                <w:szCs w:val="22"/>
              </w:rPr>
              <w:t>%</w:t>
            </w:r>
          </w:p>
        </w:tc>
      </w:tr>
      <w:tr w:rsidR="00EF5AFB" w:rsidRPr="007F343E" w:rsidTr="00604C40">
        <w:tc>
          <w:tcPr>
            <w:tcW w:w="1370" w:type="dxa"/>
          </w:tcPr>
          <w:p w:rsidR="00EF5AFB" w:rsidRPr="007F343E" w:rsidRDefault="00EF5AFB" w:rsidP="00604C40">
            <w:pPr>
              <w:spacing w:before="60" w:after="60"/>
              <w:rPr>
                <w:szCs w:val="22"/>
              </w:rPr>
            </w:pPr>
            <w:r w:rsidRPr="007F343E">
              <w:rPr>
                <w:szCs w:val="22"/>
              </w:rPr>
              <w:t>HFC-134a</w:t>
            </w:r>
          </w:p>
        </w:tc>
        <w:tc>
          <w:tcPr>
            <w:tcW w:w="3285" w:type="dxa"/>
            <w:tcBorders>
              <w:top w:val="single" w:sz="4" w:space="0" w:color="auto"/>
            </w:tcBorders>
          </w:tcPr>
          <w:p w:rsidR="00EF5AFB" w:rsidRPr="007F343E" w:rsidRDefault="00EF5AFB" w:rsidP="00604C40">
            <w:pPr>
              <w:spacing w:before="60" w:after="60"/>
              <w:jc w:val="center"/>
              <w:rPr>
                <w:szCs w:val="22"/>
              </w:rPr>
            </w:pPr>
            <w:r w:rsidRPr="007F343E">
              <w:rPr>
                <w:szCs w:val="22"/>
              </w:rPr>
              <w:t>25%</w:t>
            </w:r>
          </w:p>
        </w:tc>
        <w:tc>
          <w:tcPr>
            <w:tcW w:w="3753" w:type="dxa"/>
            <w:tcBorders>
              <w:top w:val="single" w:sz="4" w:space="0" w:color="auto"/>
            </w:tcBorders>
          </w:tcPr>
          <w:p w:rsidR="00EF5AFB" w:rsidRPr="007F343E" w:rsidRDefault="00EF5AFB" w:rsidP="00604C40">
            <w:pPr>
              <w:spacing w:before="60" w:after="60"/>
              <w:jc w:val="center"/>
              <w:rPr>
                <w:szCs w:val="22"/>
              </w:rPr>
            </w:pPr>
            <w:r w:rsidRPr="007F343E">
              <w:rPr>
                <w:szCs w:val="22"/>
              </w:rPr>
              <w:t>0%</w:t>
            </w:r>
          </w:p>
        </w:tc>
      </w:tr>
      <w:tr w:rsidR="00EF5AFB" w:rsidRPr="007F343E" w:rsidTr="00604C40">
        <w:tc>
          <w:tcPr>
            <w:tcW w:w="1370" w:type="dxa"/>
          </w:tcPr>
          <w:p w:rsidR="00EF5AFB" w:rsidRPr="007F343E" w:rsidRDefault="00EF5AFB" w:rsidP="00604C40">
            <w:pPr>
              <w:spacing w:before="60" w:after="60"/>
              <w:rPr>
                <w:szCs w:val="22"/>
              </w:rPr>
            </w:pPr>
            <w:r w:rsidRPr="007F343E">
              <w:rPr>
                <w:szCs w:val="22"/>
              </w:rPr>
              <w:t>GWP &lt;2150</w:t>
            </w:r>
          </w:p>
        </w:tc>
        <w:tc>
          <w:tcPr>
            <w:tcW w:w="3285" w:type="dxa"/>
            <w:tcBorders>
              <w:top w:val="single" w:sz="4" w:space="0" w:color="auto"/>
            </w:tcBorders>
          </w:tcPr>
          <w:p w:rsidR="00EF5AFB" w:rsidRPr="007F343E" w:rsidRDefault="00EF5AFB" w:rsidP="00604C40">
            <w:pPr>
              <w:spacing w:before="60" w:after="60"/>
              <w:jc w:val="center"/>
              <w:rPr>
                <w:szCs w:val="22"/>
              </w:rPr>
            </w:pPr>
            <w:r w:rsidRPr="007F343E">
              <w:rPr>
                <w:szCs w:val="22"/>
              </w:rPr>
              <w:t>10%</w:t>
            </w:r>
          </w:p>
        </w:tc>
        <w:tc>
          <w:tcPr>
            <w:tcW w:w="3753" w:type="dxa"/>
            <w:tcBorders>
              <w:top w:val="single" w:sz="4" w:space="0" w:color="auto"/>
            </w:tcBorders>
          </w:tcPr>
          <w:p w:rsidR="00EF5AFB" w:rsidRPr="007F343E" w:rsidRDefault="00EF5AFB" w:rsidP="00604C40">
            <w:pPr>
              <w:spacing w:before="60" w:after="60"/>
              <w:jc w:val="center"/>
              <w:rPr>
                <w:szCs w:val="22"/>
              </w:rPr>
            </w:pPr>
            <w:r w:rsidRPr="007F343E">
              <w:rPr>
                <w:szCs w:val="22"/>
              </w:rPr>
              <w:t>1</w:t>
            </w:r>
            <w:r>
              <w:rPr>
                <w:szCs w:val="22"/>
              </w:rPr>
              <w:t>0</w:t>
            </w:r>
            <w:r w:rsidRPr="007F343E">
              <w:rPr>
                <w:szCs w:val="22"/>
              </w:rPr>
              <w:t>%</w:t>
            </w:r>
          </w:p>
        </w:tc>
      </w:tr>
      <w:tr w:rsidR="00EF5AFB" w:rsidRPr="007F343E" w:rsidTr="00604C40">
        <w:tc>
          <w:tcPr>
            <w:tcW w:w="1370" w:type="dxa"/>
          </w:tcPr>
          <w:p w:rsidR="00EF5AFB" w:rsidRPr="007F343E" w:rsidRDefault="00EF5AFB" w:rsidP="00604C40">
            <w:pPr>
              <w:spacing w:before="60" w:after="60"/>
              <w:rPr>
                <w:szCs w:val="22"/>
              </w:rPr>
            </w:pPr>
            <w:r w:rsidRPr="007F343E">
              <w:rPr>
                <w:szCs w:val="22"/>
              </w:rPr>
              <w:t>GWP &lt;1000</w:t>
            </w:r>
          </w:p>
        </w:tc>
        <w:tc>
          <w:tcPr>
            <w:tcW w:w="3285" w:type="dxa"/>
            <w:tcBorders>
              <w:top w:val="single" w:sz="4" w:space="0" w:color="auto"/>
            </w:tcBorders>
          </w:tcPr>
          <w:p w:rsidR="00EF5AFB" w:rsidRPr="007F343E" w:rsidRDefault="00EF5AFB" w:rsidP="00604C40">
            <w:pPr>
              <w:spacing w:before="60" w:after="60"/>
              <w:jc w:val="center"/>
              <w:rPr>
                <w:szCs w:val="22"/>
              </w:rPr>
            </w:pPr>
            <w:r w:rsidRPr="007F343E">
              <w:rPr>
                <w:szCs w:val="22"/>
              </w:rPr>
              <w:t>10%</w:t>
            </w:r>
          </w:p>
        </w:tc>
        <w:tc>
          <w:tcPr>
            <w:tcW w:w="3753" w:type="dxa"/>
            <w:tcBorders>
              <w:top w:val="single" w:sz="4" w:space="0" w:color="auto"/>
            </w:tcBorders>
          </w:tcPr>
          <w:p w:rsidR="00EF5AFB" w:rsidRPr="007F343E" w:rsidRDefault="00EF5AFB" w:rsidP="00604C40">
            <w:pPr>
              <w:spacing w:before="60" w:after="60"/>
              <w:jc w:val="center"/>
              <w:rPr>
                <w:szCs w:val="22"/>
              </w:rPr>
            </w:pPr>
            <w:r w:rsidRPr="007F343E">
              <w:rPr>
                <w:szCs w:val="22"/>
              </w:rPr>
              <w:t>20%</w:t>
            </w:r>
          </w:p>
        </w:tc>
      </w:tr>
      <w:tr w:rsidR="00EF5AFB" w:rsidRPr="007F343E" w:rsidTr="00604C40">
        <w:tc>
          <w:tcPr>
            <w:tcW w:w="1370" w:type="dxa"/>
          </w:tcPr>
          <w:p w:rsidR="00EF5AFB" w:rsidRPr="007F343E" w:rsidRDefault="00EF5AFB" w:rsidP="00604C40">
            <w:pPr>
              <w:spacing w:before="60" w:after="60"/>
              <w:rPr>
                <w:szCs w:val="22"/>
              </w:rPr>
            </w:pPr>
            <w:r w:rsidRPr="007F343E">
              <w:rPr>
                <w:szCs w:val="22"/>
              </w:rPr>
              <w:t>GWP &lt;10</w:t>
            </w:r>
          </w:p>
        </w:tc>
        <w:tc>
          <w:tcPr>
            <w:tcW w:w="3285" w:type="dxa"/>
            <w:tcBorders>
              <w:top w:val="single" w:sz="4" w:space="0" w:color="auto"/>
            </w:tcBorders>
          </w:tcPr>
          <w:p w:rsidR="00EF5AFB" w:rsidRPr="007F343E" w:rsidRDefault="00EF5AFB" w:rsidP="00604C40">
            <w:pPr>
              <w:spacing w:before="60" w:after="60"/>
              <w:jc w:val="center"/>
              <w:rPr>
                <w:szCs w:val="22"/>
              </w:rPr>
            </w:pPr>
            <w:r>
              <w:rPr>
                <w:szCs w:val="22"/>
              </w:rPr>
              <w:t>28</w:t>
            </w:r>
            <w:r w:rsidRPr="007F343E">
              <w:rPr>
                <w:szCs w:val="22"/>
              </w:rPr>
              <w:t>%</w:t>
            </w:r>
          </w:p>
        </w:tc>
        <w:tc>
          <w:tcPr>
            <w:tcW w:w="3753" w:type="dxa"/>
            <w:tcBorders>
              <w:top w:val="single" w:sz="4" w:space="0" w:color="auto"/>
            </w:tcBorders>
          </w:tcPr>
          <w:p w:rsidR="00EF5AFB" w:rsidRPr="007F343E" w:rsidRDefault="00EF5AFB" w:rsidP="00604C40">
            <w:pPr>
              <w:spacing w:before="60" w:after="60"/>
              <w:jc w:val="center"/>
              <w:rPr>
                <w:szCs w:val="22"/>
              </w:rPr>
            </w:pPr>
            <w:r w:rsidRPr="007F343E">
              <w:rPr>
                <w:szCs w:val="22"/>
              </w:rPr>
              <w:t>65%</w:t>
            </w:r>
          </w:p>
        </w:tc>
      </w:tr>
      <w:tr w:rsidR="00EF5AFB" w:rsidRPr="008F1349" w:rsidTr="00604C40">
        <w:tc>
          <w:tcPr>
            <w:tcW w:w="8408" w:type="dxa"/>
            <w:gridSpan w:val="3"/>
            <w:vAlign w:val="center"/>
          </w:tcPr>
          <w:p w:rsidR="00EF5AFB" w:rsidRPr="008F1349" w:rsidRDefault="008F1349" w:rsidP="00604C40">
            <w:pPr>
              <w:spacing w:before="60" w:after="60"/>
              <w:rPr>
                <w:szCs w:val="22"/>
              </w:rPr>
            </w:pPr>
            <w:r w:rsidRPr="008F1349">
              <w:rPr>
                <w:szCs w:val="22"/>
              </w:rPr>
              <w:t>Predicted scenario has a medium level of confidence, and low level of complexity.</w:t>
            </w:r>
          </w:p>
        </w:tc>
      </w:tr>
      <w:tr w:rsidR="00EF5AFB" w:rsidRPr="007F343E" w:rsidTr="00604C40">
        <w:tc>
          <w:tcPr>
            <w:tcW w:w="8408" w:type="dxa"/>
            <w:gridSpan w:val="3"/>
            <w:vAlign w:val="center"/>
          </w:tcPr>
          <w:p w:rsidR="00EF5AFB" w:rsidRPr="007F343E" w:rsidRDefault="00EF5AFB" w:rsidP="002A11E1">
            <w:pPr>
              <w:spacing w:after="60"/>
              <w:rPr>
                <w:b/>
                <w:szCs w:val="22"/>
              </w:rPr>
            </w:pPr>
            <w:r w:rsidRPr="007F343E">
              <w:rPr>
                <w:b/>
                <w:szCs w:val="22"/>
              </w:rPr>
              <w:t>Medium RCFC: Remote condensing units</w:t>
            </w:r>
          </w:p>
        </w:tc>
      </w:tr>
      <w:tr w:rsidR="00EF5AFB" w:rsidRPr="007F343E" w:rsidTr="00604C40">
        <w:tc>
          <w:tcPr>
            <w:tcW w:w="1370" w:type="dxa"/>
          </w:tcPr>
          <w:p w:rsidR="00EF5AFB" w:rsidRPr="007F343E" w:rsidRDefault="00EF5AFB" w:rsidP="00604C40">
            <w:pPr>
              <w:spacing w:before="60" w:after="60"/>
              <w:rPr>
                <w:szCs w:val="22"/>
              </w:rPr>
            </w:pPr>
            <w:r w:rsidRPr="007F343E">
              <w:rPr>
                <w:szCs w:val="22"/>
              </w:rPr>
              <w:t>HFC-404A</w:t>
            </w:r>
          </w:p>
        </w:tc>
        <w:tc>
          <w:tcPr>
            <w:tcW w:w="3285" w:type="dxa"/>
            <w:tcBorders>
              <w:top w:val="single" w:sz="4" w:space="0" w:color="auto"/>
            </w:tcBorders>
          </w:tcPr>
          <w:p w:rsidR="00EF5AFB" w:rsidRPr="00475E42" w:rsidRDefault="00EF5AFB" w:rsidP="00604C40">
            <w:pPr>
              <w:spacing w:before="60" w:after="60"/>
              <w:jc w:val="center"/>
              <w:rPr>
                <w:szCs w:val="22"/>
              </w:rPr>
            </w:pPr>
            <w:r w:rsidRPr="00475E42">
              <w:rPr>
                <w:szCs w:val="22"/>
              </w:rPr>
              <w:t>33%</w:t>
            </w:r>
          </w:p>
        </w:tc>
        <w:tc>
          <w:tcPr>
            <w:tcW w:w="3753" w:type="dxa"/>
            <w:tcBorders>
              <w:top w:val="single" w:sz="4" w:space="0" w:color="auto"/>
            </w:tcBorders>
          </w:tcPr>
          <w:p w:rsidR="00EF5AFB" w:rsidRPr="00475E42" w:rsidRDefault="00EF5AFB" w:rsidP="00604C40">
            <w:pPr>
              <w:spacing w:before="60" w:after="60"/>
              <w:jc w:val="center"/>
              <w:rPr>
                <w:szCs w:val="22"/>
              </w:rPr>
            </w:pPr>
            <w:r w:rsidRPr="00475E42">
              <w:rPr>
                <w:szCs w:val="22"/>
              </w:rPr>
              <w:t>5%</w:t>
            </w:r>
          </w:p>
        </w:tc>
      </w:tr>
      <w:tr w:rsidR="00EF5AFB" w:rsidRPr="007F343E" w:rsidTr="00604C40">
        <w:tc>
          <w:tcPr>
            <w:tcW w:w="1370" w:type="dxa"/>
          </w:tcPr>
          <w:p w:rsidR="00EF5AFB" w:rsidRPr="007F343E" w:rsidRDefault="00EF5AFB" w:rsidP="00604C40">
            <w:pPr>
              <w:spacing w:before="60" w:after="60"/>
              <w:rPr>
                <w:szCs w:val="22"/>
              </w:rPr>
            </w:pPr>
            <w:r w:rsidRPr="007F343E">
              <w:rPr>
                <w:szCs w:val="22"/>
              </w:rPr>
              <w:t>HFC-134a</w:t>
            </w:r>
          </w:p>
        </w:tc>
        <w:tc>
          <w:tcPr>
            <w:tcW w:w="3285" w:type="dxa"/>
            <w:tcBorders>
              <w:top w:val="single" w:sz="4" w:space="0" w:color="auto"/>
            </w:tcBorders>
          </w:tcPr>
          <w:p w:rsidR="00EF5AFB" w:rsidRPr="00475E42" w:rsidRDefault="00EF5AFB" w:rsidP="00604C40">
            <w:pPr>
              <w:spacing w:before="60" w:after="60"/>
              <w:jc w:val="center"/>
              <w:rPr>
                <w:szCs w:val="22"/>
              </w:rPr>
            </w:pPr>
            <w:r w:rsidRPr="00475E42">
              <w:rPr>
                <w:szCs w:val="22"/>
              </w:rPr>
              <w:t>25%</w:t>
            </w:r>
          </w:p>
        </w:tc>
        <w:tc>
          <w:tcPr>
            <w:tcW w:w="3753" w:type="dxa"/>
            <w:tcBorders>
              <w:top w:val="single" w:sz="4" w:space="0" w:color="auto"/>
            </w:tcBorders>
          </w:tcPr>
          <w:p w:rsidR="00EF5AFB" w:rsidRPr="00475E42" w:rsidRDefault="00EF5AFB" w:rsidP="00604C40">
            <w:pPr>
              <w:spacing w:before="60" w:after="60"/>
              <w:jc w:val="center"/>
              <w:rPr>
                <w:szCs w:val="22"/>
              </w:rPr>
            </w:pPr>
            <w:r w:rsidRPr="00475E42">
              <w:rPr>
                <w:szCs w:val="22"/>
              </w:rPr>
              <w:t>5%</w:t>
            </w:r>
          </w:p>
        </w:tc>
      </w:tr>
      <w:tr w:rsidR="00EF5AFB" w:rsidRPr="007F343E" w:rsidTr="00604C40">
        <w:tc>
          <w:tcPr>
            <w:tcW w:w="1370" w:type="dxa"/>
          </w:tcPr>
          <w:p w:rsidR="00EF5AFB" w:rsidRPr="007F343E" w:rsidRDefault="00EF5AFB" w:rsidP="00604C40">
            <w:pPr>
              <w:spacing w:before="60" w:after="60"/>
              <w:rPr>
                <w:szCs w:val="22"/>
              </w:rPr>
            </w:pPr>
            <w:r w:rsidRPr="007F343E">
              <w:rPr>
                <w:szCs w:val="22"/>
              </w:rPr>
              <w:t>GWP &lt;2150</w:t>
            </w:r>
          </w:p>
        </w:tc>
        <w:tc>
          <w:tcPr>
            <w:tcW w:w="3285" w:type="dxa"/>
            <w:tcBorders>
              <w:top w:val="single" w:sz="4" w:space="0" w:color="auto"/>
            </w:tcBorders>
          </w:tcPr>
          <w:p w:rsidR="00EF5AFB" w:rsidRPr="00475E42" w:rsidRDefault="00EF5AFB" w:rsidP="00604C40">
            <w:pPr>
              <w:spacing w:before="60" w:after="60"/>
              <w:jc w:val="center"/>
              <w:rPr>
                <w:szCs w:val="22"/>
              </w:rPr>
            </w:pPr>
            <w:r w:rsidRPr="00475E42">
              <w:rPr>
                <w:szCs w:val="22"/>
              </w:rPr>
              <w:t>10%</w:t>
            </w:r>
          </w:p>
        </w:tc>
        <w:tc>
          <w:tcPr>
            <w:tcW w:w="3753" w:type="dxa"/>
            <w:tcBorders>
              <w:top w:val="single" w:sz="4" w:space="0" w:color="auto"/>
            </w:tcBorders>
          </w:tcPr>
          <w:p w:rsidR="00EF5AFB" w:rsidRPr="00475E42" w:rsidRDefault="00EF5AFB" w:rsidP="00604C40">
            <w:pPr>
              <w:spacing w:before="60" w:after="60"/>
              <w:jc w:val="center"/>
              <w:rPr>
                <w:szCs w:val="22"/>
              </w:rPr>
            </w:pPr>
            <w:r w:rsidRPr="00475E42">
              <w:rPr>
                <w:szCs w:val="22"/>
              </w:rPr>
              <w:t>25%</w:t>
            </w:r>
          </w:p>
        </w:tc>
      </w:tr>
      <w:tr w:rsidR="00EF5AFB" w:rsidRPr="007F343E" w:rsidTr="00604C40">
        <w:tc>
          <w:tcPr>
            <w:tcW w:w="1370" w:type="dxa"/>
          </w:tcPr>
          <w:p w:rsidR="00EF5AFB" w:rsidRPr="007F343E" w:rsidRDefault="00EF5AFB" w:rsidP="00604C40">
            <w:pPr>
              <w:spacing w:before="60" w:after="60"/>
              <w:rPr>
                <w:szCs w:val="22"/>
              </w:rPr>
            </w:pPr>
            <w:r w:rsidRPr="007F343E">
              <w:rPr>
                <w:szCs w:val="22"/>
              </w:rPr>
              <w:t>GWP &lt;1000</w:t>
            </w:r>
          </w:p>
        </w:tc>
        <w:tc>
          <w:tcPr>
            <w:tcW w:w="3285" w:type="dxa"/>
            <w:tcBorders>
              <w:top w:val="single" w:sz="4" w:space="0" w:color="auto"/>
            </w:tcBorders>
          </w:tcPr>
          <w:p w:rsidR="00EF5AFB" w:rsidRPr="00475E42" w:rsidRDefault="00EF5AFB" w:rsidP="00604C40">
            <w:pPr>
              <w:spacing w:before="60" w:after="60"/>
              <w:jc w:val="center"/>
              <w:rPr>
                <w:szCs w:val="22"/>
              </w:rPr>
            </w:pPr>
            <w:r w:rsidRPr="00475E42">
              <w:rPr>
                <w:szCs w:val="22"/>
              </w:rPr>
              <w:t>10%</w:t>
            </w:r>
          </w:p>
        </w:tc>
        <w:tc>
          <w:tcPr>
            <w:tcW w:w="3753" w:type="dxa"/>
            <w:tcBorders>
              <w:top w:val="single" w:sz="4" w:space="0" w:color="auto"/>
            </w:tcBorders>
          </w:tcPr>
          <w:p w:rsidR="00EF5AFB" w:rsidRPr="00475E42" w:rsidRDefault="00EF5AFB" w:rsidP="00604C40">
            <w:pPr>
              <w:spacing w:before="60" w:after="60"/>
              <w:jc w:val="center"/>
              <w:rPr>
                <w:szCs w:val="22"/>
              </w:rPr>
            </w:pPr>
            <w:r w:rsidRPr="00475E42">
              <w:rPr>
                <w:szCs w:val="22"/>
              </w:rPr>
              <w:t>20%</w:t>
            </w:r>
          </w:p>
        </w:tc>
      </w:tr>
      <w:tr w:rsidR="00EF5AFB" w:rsidRPr="007F343E" w:rsidTr="00604C40">
        <w:tc>
          <w:tcPr>
            <w:tcW w:w="1370" w:type="dxa"/>
          </w:tcPr>
          <w:p w:rsidR="00EF5AFB" w:rsidRPr="007F343E" w:rsidRDefault="00EF5AFB" w:rsidP="00604C40">
            <w:pPr>
              <w:spacing w:before="60" w:after="60"/>
              <w:rPr>
                <w:szCs w:val="22"/>
              </w:rPr>
            </w:pPr>
            <w:r w:rsidRPr="007F343E">
              <w:rPr>
                <w:szCs w:val="22"/>
              </w:rPr>
              <w:t>GWP &lt;10</w:t>
            </w:r>
          </w:p>
        </w:tc>
        <w:tc>
          <w:tcPr>
            <w:tcW w:w="3285" w:type="dxa"/>
            <w:tcBorders>
              <w:top w:val="single" w:sz="4" w:space="0" w:color="auto"/>
            </w:tcBorders>
          </w:tcPr>
          <w:p w:rsidR="00EF5AFB" w:rsidRPr="00475E42" w:rsidRDefault="00EF5AFB" w:rsidP="00604C40">
            <w:pPr>
              <w:spacing w:before="60" w:after="60"/>
              <w:jc w:val="center"/>
              <w:rPr>
                <w:szCs w:val="22"/>
              </w:rPr>
            </w:pPr>
            <w:r w:rsidRPr="00475E42">
              <w:rPr>
                <w:szCs w:val="22"/>
              </w:rPr>
              <w:t>22%</w:t>
            </w:r>
          </w:p>
        </w:tc>
        <w:tc>
          <w:tcPr>
            <w:tcW w:w="3753" w:type="dxa"/>
            <w:tcBorders>
              <w:top w:val="single" w:sz="4" w:space="0" w:color="auto"/>
            </w:tcBorders>
          </w:tcPr>
          <w:p w:rsidR="00EF5AFB" w:rsidRPr="00475E42" w:rsidRDefault="00EF5AFB" w:rsidP="00604C40">
            <w:pPr>
              <w:spacing w:before="60" w:after="60"/>
              <w:jc w:val="center"/>
              <w:rPr>
                <w:szCs w:val="22"/>
              </w:rPr>
            </w:pPr>
            <w:r w:rsidRPr="00475E42">
              <w:rPr>
                <w:szCs w:val="22"/>
              </w:rPr>
              <w:t>45%</w:t>
            </w:r>
          </w:p>
        </w:tc>
      </w:tr>
      <w:tr w:rsidR="00EF5AFB" w:rsidRPr="007F343E" w:rsidTr="00604C40">
        <w:tc>
          <w:tcPr>
            <w:tcW w:w="8408" w:type="dxa"/>
            <w:gridSpan w:val="3"/>
          </w:tcPr>
          <w:p w:rsidR="00EF5AFB" w:rsidRPr="007F343E" w:rsidRDefault="008F1349" w:rsidP="00604C40">
            <w:pPr>
              <w:spacing w:before="60" w:after="60"/>
              <w:rPr>
                <w:szCs w:val="22"/>
                <w:highlight w:val="yellow"/>
              </w:rPr>
            </w:pPr>
            <w:r w:rsidRPr="008F1349">
              <w:rPr>
                <w:szCs w:val="22"/>
              </w:rPr>
              <w:t>Predicted scenario has a low level of confidence, and high level of complexity.</w:t>
            </w:r>
          </w:p>
        </w:tc>
      </w:tr>
      <w:tr w:rsidR="00EF5AFB" w:rsidRPr="007F343E" w:rsidTr="00604C40">
        <w:tc>
          <w:tcPr>
            <w:tcW w:w="8408" w:type="dxa"/>
            <w:gridSpan w:val="3"/>
          </w:tcPr>
          <w:p w:rsidR="00EF5AFB" w:rsidRPr="007F343E" w:rsidRDefault="00EF5AFB" w:rsidP="002A11E1">
            <w:pPr>
              <w:spacing w:after="60"/>
              <w:rPr>
                <w:szCs w:val="22"/>
                <w:highlight w:val="yellow"/>
              </w:rPr>
            </w:pPr>
            <w:r w:rsidRPr="007F343E">
              <w:rPr>
                <w:b/>
                <w:szCs w:val="22"/>
              </w:rPr>
              <w:t>Large RCFC: Supermarket</w:t>
            </w:r>
          </w:p>
        </w:tc>
      </w:tr>
      <w:tr w:rsidR="00EF5AFB" w:rsidRPr="007F343E" w:rsidTr="00604C40">
        <w:tc>
          <w:tcPr>
            <w:tcW w:w="1370" w:type="dxa"/>
          </w:tcPr>
          <w:p w:rsidR="00EF5AFB" w:rsidRPr="007F343E" w:rsidRDefault="00EF5AFB" w:rsidP="00604C40">
            <w:pPr>
              <w:spacing w:before="60" w:after="60"/>
              <w:rPr>
                <w:szCs w:val="22"/>
              </w:rPr>
            </w:pPr>
            <w:r w:rsidRPr="007F343E">
              <w:rPr>
                <w:szCs w:val="22"/>
              </w:rPr>
              <w:t>HFC-404A</w:t>
            </w:r>
          </w:p>
        </w:tc>
        <w:tc>
          <w:tcPr>
            <w:tcW w:w="3285" w:type="dxa"/>
            <w:tcBorders>
              <w:top w:val="single" w:sz="4" w:space="0" w:color="auto"/>
            </w:tcBorders>
          </w:tcPr>
          <w:p w:rsidR="00EF5AFB" w:rsidRPr="007F343E" w:rsidRDefault="00EF5AFB" w:rsidP="00604C40">
            <w:pPr>
              <w:spacing w:before="60" w:after="60"/>
              <w:jc w:val="center"/>
              <w:rPr>
                <w:szCs w:val="22"/>
                <w:highlight w:val="yellow"/>
              </w:rPr>
            </w:pPr>
            <w:r w:rsidRPr="007F343E">
              <w:rPr>
                <w:szCs w:val="22"/>
              </w:rPr>
              <w:t>10%</w:t>
            </w:r>
          </w:p>
        </w:tc>
        <w:tc>
          <w:tcPr>
            <w:tcW w:w="3753" w:type="dxa"/>
            <w:tcBorders>
              <w:top w:val="single" w:sz="4" w:space="0" w:color="auto"/>
            </w:tcBorders>
          </w:tcPr>
          <w:p w:rsidR="00EF5AFB" w:rsidRPr="007F343E" w:rsidRDefault="00EF5AFB" w:rsidP="00604C40">
            <w:pPr>
              <w:spacing w:before="60" w:after="60"/>
              <w:jc w:val="center"/>
              <w:rPr>
                <w:szCs w:val="22"/>
                <w:highlight w:val="yellow"/>
              </w:rPr>
            </w:pPr>
            <w:r w:rsidRPr="007F343E">
              <w:rPr>
                <w:szCs w:val="22"/>
              </w:rPr>
              <w:t>0%</w:t>
            </w:r>
          </w:p>
        </w:tc>
      </w:tr>
      <w:tr w:rsidR="00EF5AFB" w:rsidRPr="007F343E" w:rsidTr="00604C40">
        <w:tc>
          <w:tcPr>
            <w:tcW w:w="1370" w:type="dxa"/>
          </w:tcPr>
          <w:p w:rsidR="00EF5AFB" w:rsidRPr="007F343E" w:rsidRDefault="00EF5AFB" w:rsidP="00604C40">
            <w:pPr>
              <w:spacing w:before="60" w:after="60"/>
              <w:rPr>
                <w:szCs w:val="22"/>
              </w:rPr>
            </w:pPr>
            <w:r w:rsidRPr="007F343E">
              <w:rPr>
                <w:szCs w:val="22"/>
              </w:rPr>
              <w:t>HFC-134a</w:t>
            </w:r>
          </w:p>
        </w:tc>
        <w:tc>
          <w:tcPr>
            <w:tcW w:w="3285" w:type="dxa"/>
            <w:tcBorders>
              <w:top w:val="single" w:sz="4" w:space="0" w:color="auto"/>
            </w:tcBorders>
          </w:tcPr>
          <w:p w:rsidR="00EF5AFB" w:rsidRPr="007F343E" w:rsidRDefault="00EF5AFB" w:rsidP="00604C40">
            <w:pPr>
              <w:spacing w:before="60" w:after="60"/>
              <w:jc w:val="center"/>
              <w:rPr>
                <w:szCs w:val="22"/>
                <w:highlight w:val="yellow"/>
              </w:rPr>
            </w:pPr>
            <w:r w:rsidRPr="007F343E">
              <w:rPr>
                <w:szCs w:val="22"/>
              </w:rPr>
              <w:t>25%</w:t>
            </w:r>
          </w:p>
        </w:tc>
        <w:tc>
          <w:tcPr>
            <w:tcW w:w="3753" w:type="dxa"/>
            <w:tcBorders>
              <w:top w:val="single" w:sz="4" w:space="0" w:color="auto"/>
            </w:tcBorders>
          </w:tcPr>
          <w:p w:rsidR="00EF5AFB" w:rsidRPr="007F343E" w:rsidRDefault="00EF5AFB" w:rsidP="00604C40">
            <w:pPr>
              <w:spacing w:before="60" w:after="60"/>
              <w:jc w:val="center"/>
              <w:rPr>
                <w:szCs w:val="22"/>
                <w:highlight w:val="yellow"/>
              </w:rPr>
            </w:pPr>
            <w:r w:rsidRPr="007F343E">
              <w:rPr>
                <w:szCs w:val="22"/>
              </w:rPr>
              <w:t>0%</w:t>
            </w:r>
          </w:p>
        </w:tc>
      </w:tr>
      <w:tr w:rsidR="00EF5AFB" w:rsidRPr="007F343E" w:rsidTr="00604C40">
        <w:tc>
          <w:tcPr>
            <w:tcW w:w="1370" w:type="dxa"/>
          </w:tcPr>
          <w:p w:rsidR="00EF5AFB" w:rsidRPr="007F343E" w:rsidRDefault="00EF5AFB" w:rsidP="00604C40">
            <w:pPr>
              <w:spacing w:before="60" w:after="60"/>
              <w:rPr>
                <w:szCs w:val="22"/>
              </w:rPr>
            </w:pPr>
            <w:r w:rsidRPr="007F343E">
              <w:rPr>
                <w:szCs w:val="22"/>
              </w:rPr>
              <w:t>GWP &lt;2150</w:t>
            </w:r>
          </w:p>
        </w:tc>
        <w:tc>
          <w:tcPr>
            <w:tcW w:w="3285" w:type="dxa"/>
            <w:tcBorders>
              <w:top w:val="single" w:sz="4" w:space="0" w:color="auto"/>
            </w:tcBorders>
          </w:tcPr>
          <w:p w:rsidR="00EF5AFB" w:rsidRPr="007F343E" w:rsidRDefault="00EF5AFB" w:rsidP="00604C40">
            <w:pPr>
              <w:spacing w:before="60" w:after="60"/>
              <w:jc w:val="center"/>
              <w:rPr>
                <w:szCs w:val="22"/>
                <w:highlight w:val="yellow"/>
              </w:rPr>
            </w:pPr>
            <w:r w:rsidRPr="007F343E">
              <w:rPr>
                <w:szCs w:val="22"/>
              </w:rPr>
              <w:t>10%</w:t>
            </w:r>
          </w:p>
        </w:tc>
        <w:tc>
          <w:tcPr>
            <w:tcW w:w="3753" w:type="dxa"/>
            <w:tcBorders>
              <w:top w:val="single" w:sz="4" w:space="0" w:color="auto"/>
            </w:tcBorders>
          </w:tcPr>
          <w:p w:rsidR="00EF5AFB" w:rsidRPr="007F343E" w:rsidRDefault="00EF5AFB" w:rsidP="00604C40">
            <w:pPr>
              <w:spacing w:before="60" w:after="60"/>
              <w:jc w:val="center"/>
              <w:rPr>
                <w:szCs w:val="22"/>
                <w:highlight w:val="yellow"/>
              </w:rPr>
            </w:pPr>
            <w:r w:rsidRPr="007F343E">
              <w:rPr>
                <w:szCs w:val="22"/>
              </w:rPr>
              <w:t>15%</w:t>
            </w:r>
          </w:p>
        </w:tc>
      </w:tr>
      <w:tr w:rsidR="00EF5AFB" w:rsidRPr="007F343E" w:rsidTr="00604C40">
        <w:tc>
          <w:tcPr>
            <w:tcW w:w="1370" w:type="dxa"/>
          </w:tcPr>
          <w:p w:rsidR="00EF5AFB" w:rsidRPr="007F343E" w:rsidRDefault="00EF5AFB" w:rsidP="00604C40">
            <w:pPr>
              <w:spacing w:before="60" w:after="60"/>
              <w:rPr>
                <w:szCs w:val="22"/>
              </w:rPr>
            </w:pPr>
            <w:r w:rsidRPr="007F343E">
              <w:rPr>
                <w:szCs w:val="22"/>
              </w:rPr>
              <w:t>GWP &lt;1000</w:t>
            </w:r>
          </w:p>
        </w:tc>
        <w:tc>
          <w:tcPr>
            <w:tcW w:w="3285" w:type="dxa"/>
            <w:tcBorders>
              <w:top w:val="single" w:sz="4" w:space="0" w:color="auto"/>
            </w:tcBorders>
          </w:tcPr>
          <w:p w:rsidR="00EF5AFB" w:rsidRPr="007F343E" w:rsidRDefault="00EF5AFB" w:rsidP="00604C40">
            <w:pPr>
              <w:spacing w:before="60" w:after="60"/>
              <w:jc w:val="center"/>
              <w:rPr>
                <w:szCs w:val="22"/>
                <w:highlight w:val="yellow"/>
              </w:rPr>
            </w:pPr>
            <w:r w:rsidRPr="007F343E">
              <w:rPr>
                <w:szCs w:val="22"/>
              </w:rPr>
              <w:t>10%</w:t>
            </w:r>
          </w:p>
        </w:tc>
        <w:tc>
          <w:tcPr>
            <w:tcW w:w="3753" w:type="dxa"/>
            <w:tcBorders>
              <w:top w:val="single" w:sz="4" w:space="0" w:color="auto"/>
            </w:tcBorders>
          </w:tcPr>
          <w:p w:rsidR="00EF5AFB" w:rsidRPr="007F343E" w:rsidRDefault="00EF5AFB" w:rsidP="00604C40">
            <w:pPr>
              <w:spacing w:before="60" w:after="60"/>
              <w:jc w:val="center"/>
              <w:rPr>
                <w:szCs w:val="22"/>
                <w:highlight w:val="yellow"/>
              </w:rPr>
            </w:pPr>
            <w:r w:rsidRPr="007F343E">
              <w:rPr>
                <w:szCs w:val="22"/>
              </w:rPr>
              <w:t>20%</w:t>
            </w:r>
          </w:p>
        </w:tc>
      </w:tr>
      <w:tr w:rsidR="00EF5AFB" w:rsidRPr="007F343E" w:rsidTr="00604C40">
        <w:tc>
          <w:tcPr>
            <w:tcW w:w="1370" w:type="dxa"/>
          </w:tcPr>
          <w:p w:rsidR="00EF5AFB" w:rsidRPr="007F343E" w:rsidRDefault="00EF5AFB" w:rsidP="00604C40">
            <w:pPr>
              <w:spacing w:before="60" w:after="60"/>
              <w:rPr>
                <w:szCs w:val="22"/>
              </w:rPr>
            </w:pPr>
            <w:r w:rsidRPr="007F343E">
              <w:rPr>
                <w:szCs w:val="22"/>
              </w:rPr>
              <w:t>GWP &lt;10</w:t>
            </w:r>
          </w:p>
        </w:tc>
        <w:tc>
          <w:tcPr>
            <w:tcW w:w="3285" w:type="dxa"/>
            <w:tcBorders>
              <w:top w:val="single" w:sz="4" w:space="0" w:color="auto"/>
            </w:tcBorders>
          </w:tcPr>
          <w:p w:rsidR="00EF5AFB" w:rsidRPr="007F343E" w:rsidRDefault="00EF5AFB" w:rsidP="00604C40">
            <w:pPr>
              <w:spacing w:before="60" w:after="60"/>
              <w:jc w:val="center"/>
              <w:rPr>
                <w:szCs w:val="22"/>
              </w:rPr>
            </w:pPr>
            <w:r w:rsidRPr="007F343E">
              <w:rPr>
                <w:szCs w:val="22"/>
              </w:rPr>
              <w:t>45%</w:t>
            </w:r>
          </w:p>
        </w:tc>
        <w:tc>
          <w:tcPr>
            <w:tcW w:w="3753" w:type="dxa"/>
            <w:tcBorders>
              <w:top w:val="single" w:sz="4" w:space="0" w:color="auto"/>
            </w:tcBorders>
          </w:tcPr>
          <w:p w:rsidR="00EF5AFB" w:rsidRPr="007F343E" w:rsidRDefault="00EF5AFB" w:rsidP="00604C40">
            <w:pPr>
              <w:spacing w:before="60" w:after="60"/>
              <w:jc w:val="center"/>
              <w:rPr>
                <w:szCs w:val="22"/>
              </w:rPr>
            </w:pPr>
            <w:r w:rsidRPr="007F343E">
              <w:rPr>
                <w:szCs w:val="22"/>
              </w:rPr>
              <w:t>65%</w:t>
            </w:r>
          </w:p>
        </w:tc>
      </w:tr>
      <w:tr w:rsidR="00EF5AFB" w:rsidRPr="007F343E" w:rsidTr="00604C40">
        <w:tc>
          <w:tcPr>
            <w:tcW w:w="8408" w:type="dxa"/>
            <w:gridSpan w:val="3"/>
          </w:tcPr>
          <w:p w:rsidR="00EF5AFB" w:rsidRPr="007F343E" w:rsidRDefault="008F1349" w:rsidP="00604C40">
            <w:pPr>
              <w:spacing w:before="60" w:after="60"/>
              <w:rPr>
                <w:szCs w:val="22"/>
              </w:rPr>
            </w:pPr>
            <w:r w:rsidRPr="008F1349">
              <w:rPr>
                <w:szCs w:val="22"/>
              </w:rPr>
              <w:t>Predicted scenario has a medium to high level of confidence, and high level of complexity.</w:t>
            </w:r>
          </w:p>
        </w:tc>
      </w:tr>
    </w:tbl>
    <w:p w:rsidR="003D5856" w:rsidRDefault="003D5856" w:rsidP="00C73C6A">
      <w:pPr>
        <w:pStyle w:val="Heading1"/>
        <w:ind w:left="432"/>
      </w:pPr>
      <w:bookmarkStart w:id="60" w:name="_Toc257359959"/>
      <w:r>
        <w:t>Stationary air conditioning</w:t>
      </w:r>
      <w:bookmarkEnd w:id="60"/>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39"/>
      </w:tblGrid>
      <w:tr w:rsidR="00431595" w:rsidRPr="00613398" w:rsidTr="00431595">
        <w:tc>
          <w:tcPr>
            <w:tcW w:w="9639" w:type="dxa"/>
            <w:vAlign w:val="center"/>
          </w:tcPr>
          <w:p w:rsidR="00431595" w:rsidRPr="00613398" w:rsidRDefault="00431595" w:rsidP="00403616">
            <w:pPr>
              <w:spacing w:after="120"/>
              <w:jc w:val="center"/>
              <w:rPr>
                <w:rFonts w:cs="Times New Roman"/>
                <w:b/>
              </w:rPr>
            </w:pPr>
            <w:r w:rsidRPr="00613398">
              <w:rPr>
                <w:rFonts w:cs="Times New Roman"/>
                <w:b/>
              </w:rPr>
              <w:br w:type="page"/>
              <w:t xml:space="preserve">2013 bank and consumption </w:t>
            </w:r>
            <w:r w:rsidR="00403616">
              <w:rPr>
                <w:rFonts w:cs="Times New Roman"/>
                <w:b/>
              </w:rPr>
              <w:t>(tonnes)</w:t>
            </w:r>
            <w:r w:rsidRPr="00613398">
              <w:rPr>
                <w:rFonts w:cs="Times New Roman"/>
                <w:b/>
              </w:rPr>
              <w:t xml:space="preserve"> </w:t>
            </w:r>
          </w:p>
        </w:tc>
      </w:tr>
      <w:tr w:rsidR="00431595" w:rsidRPr="001B0A95" w:rsidTr="00431595">
        <w:tc>
          <w:tcPr>
            <w:tcW w:w="9639" w:type="dxa"/>
            <w:vAlign w:val="center"/>
          </w:tcPr>
          <w:p w:rsidR="00431595" w:rsidRPr="001B0A95" w:rsidRDefault="00431595" w:rsidP="00403616">
            <w:pPr>
              <w:spacing w:before="0"/>
              <w:jc w:val="center"/>
              <w:rPr>
                <w:sz w:val="16"/>
                <w:szCs w:val="16"/>
              </w:rPr>
            </w:pPr>
          </w:p>
          <w:p w:rsidR="00431595" w:rsidRPr="001B0A95" w:rsidRDefault="003B1471" w:rsidP="00403616">
            <w:pPr>
              <w:spacing w:before="0"/>
              <w:jc w:val="center"/>
              <w:rPr>
                <w:sz w:val="16"/>
                <w:szCs w:val="16"/>
              </w:rPr>
            </w:pPr>
            <w:r>
              <w:rPr>
                <w:noProof/>
                <w:lang w:val="en-AU" w:eastAsia="en-AU"/>
              </w:rPr>
              <w:drawing>
                <wp:inline distT="0" distB="0" distL="0" distR="0">
                  <wp:extent cx="5932593" cy="2693035"/>
                  <wp:effectExtent l="0" t="0" r="1143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403616" w:rsidRPr="001B0A95" w:rsidRDefault="00403616" w:rsidP="00403616">
            <w:pPr>
              <w:spacing w:before="0"/>
              <w:jc w:val="center"/>
              <w:rPr>
                <w:sz w:val="16"/>
                <w:szCs w:val="16"/>
              </w:rPr>
            </w:pPr>
          </w:p>
        </w:tc>
      </w:tr>
      <w:tr w:rsidR="00431595" w:rsidRPr="00923150" w:rsidTr="00431595">
        <w:tc>
          <w:tcPr>
            <w:tcW w:w="9639" w:type="dxa"/>
            <w:vAlign w:val="center"/>
          </w:tcPr>
          <w:p w:rsidR="00431595" w:rsidRPr="00613398" w:rsidRDefault="008763B4" w:rsidP="008763B4">
            <w:pPr>
              <w:spacing w:before="60" w:after="60"/>
            </w:pPr>
            <w:bookmarkStart w:id="61" w:name="_Toc257359993"/>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25</w:t>
            </w:r>
            <w:r w:rsidR="00B41499" w:rsidRPr="00F4221A">
              <w:rPr>
                <w:rFonts w:cs="Times New Roman"/>
                <w:i/>
                <w:sz w:val="20"/>
              </w:rPr>
              <w:fldChar w:fldCharType="end"/>
            </w:r>
            <w:r w:rsidRPr="00F4221A">
              <w:rPr>
                <w:rFonts w:cs="Times New Roman"/>
                <w:i/>
                <w:sz w:val="20"/>
              </w:rPr>
              <w:t>:</w:t>
            </w:r>
            <w:r w:rsidRPr="0045125B">
              <w:rPr>
                <w:i/>
                <w:sz w:val="20"/>
              </w:rPr>
              <w:t xml:space="preserve"> </w:t>
            </w:r>
            <w:r w:rsidR="00431595">
              <w:rPr>
                <w:rFonts w:cs="Times New Roman"/>
                <w:i/>
                <w:sz w:val="20"/>
              </w:rPr>
              <w:t xml:space="preserve">Stationary air conditioning </w:t>
            </w:r>
            <w:r w:rsidR="00431595" w:rsidRPr="00613398">
              <w:rPr>
                <w:rFonts w:cs="Times New Roman"/>
                <w:i/>
                <w:sz w:val="20"/>
              </w:rPr>
              <w:t xml:space="preserve">refrigerant bank and consumption in </w:t>
            </w:r>
            <w:r w:rsidR="00431595">
              <w:rPr>
                <w:rFonts w:cs="Times New Roman"/>
                <w:i/>
                <w:sz w:val="20"/>
              </w:rPr>
              <w:t xml:space="preserve">2013 in </w:t>
            </w:r>
            <w:r w:rsidR="00431595" w:rsidRPr="00613398">
              <w:rPr>
                <w:rFonts w:cs="Times New Roman"/>
                <w:i/>
                <w:sz w:val="20"/>
              </w:rPr>
              <w:t>tonnes.</w:t>
            </w:r>
            <w:bookmarkEnd w:id="61"/>
          </w:p>
        </w:tc>
      </w:tr>
    </w:tbl>
    <w:p w:rsidR="00431595" w:rsidRPr="00137CF8" w:rsidRDefault="00431595" w:rsidP="001D1740">
      <w:pPr>
        <w:spacing w:before="360" w:after="120"/>
        <w:outlineLvl w:val="0"/>
        <w:rPr>
          <w:rFonts w:cs="Times New Roman"/>
          <w:b/>
          <w:szCs w:val="22"/>
        </w:rPr>
      </w:pPr>
      <w:r w:rsidRPr="00137CF8">
        <w:rPr>
          <w:rFonts w:cs="Times New Roman"/>
          <w:b/>
          <w:szCs w:val="22"/>
        </w:rPr>
        <w:t>The bank and annual consumption</w:t>
      </w:r>
    </w:p>
    <w:p w:rsidR="009F3EF5" w:rsidRDefault="009F3EF5" w:rsidP="009F3EF5">
      <w:pPr>
        <w:rPr>
          <w:szCs w:val="22"/>
        </w:rPr>
      </w:pPr>
      <w:r w:rsidRPr="00137CF8">
        <w:rPr>
          <w:szCs w:val="22"/>
        </w:rPr>
        <w:t xml:space="preserve">Stationary </w:t>
      </w:r>
      <w:r w:rsidR="00E07856">
        <w:rPr>
          <w:szCs w:val="22"/>
        </w:rPr>
        <w:t>AC</w:t>
      </w:r>
      <w:r w:rsidRPr="00137CF8">
        <w:rPr>
          <w:szCs w:val="22"/>
        </w:rPr>
        <w:t xml:space="preserve"> equipment </w:t>
      </w:r>
      <w:r>
        <w:rPr>
          <w:szCs w:val="22"/>
        </w:rPr>
        <w:t xml:space="preserve">in Australia </w:t>
      </w:r>
      <w:r w:rsidRPr="00137CF8">
        <w:rPr>
          <w:szCs w:val="22"/>
        </w:rPr>
        <w:t>contains the lar</w:t>
      </w:r>
      <w:r>
        <w:rPr>
          <w:szCs w:val="22"/>
        </w:rPr>
        <w:t>gest portion of the total bank of refrigerant gases (&gt;28,700 metric tonnes) operating in an</w:t>
      </w:r>
      <w:r w:rsidRPr="00137CF8">
        <w:rPr>
          <w:szCs w:val="22"/>
        </w:rPr>
        <w:t xml:space="preserve"> estimated 12 million stationary AC devices</w:t>
      </w:r>
      <w:r>
        <w:rPr>
          <w:szCs w:val="22"/>
        </w:rPr>
        <w:t>. With over 1,500 tonnes of refrigerant required for service, charging new equipment and use by OEMs each year.</w:t>
      </w:r>
    </w:p>
    <w:p w:rsidR="009F3EF5" w:rsidRDefault="009F3EF5" w:rsidP="009F3EF5">
      <w:pPr>
        <w:rPr>
          <w:szCs w:val="22"/>
        </w:rPr>
      </w:pPr>
      <w:r>
        <w:rPr>
          <w:szCs w:val="22"/>
        </w:rPr>
        <w:t xml:space="preserve">Around </w:t>
      </w:r>
      <w:r>
        <w:rPr>
          <w:rFonts w:cs="Times New Roman"/>
          <w:szCs w:val="22"/>
        </w:rPr>
        <w:t xml:space="preserve">8,900 </w:t>
      </w:r>
      <w:r>
        <w:rPr>
          <w:szCs w:val="22"/>
        </w:rPr>
        <w:t>tonnes or 31% of the working gases found in stationary AC equipment are HCFCs.</w:t>
      </w:r>
      <w:r w:rsidR="00685F4D">
        <w:rPr>
          <w:szCs w:val="22"/>
        </w:rPr>
        <w:t xml:space="preserve"> </w:t>
      </w:r>
      <w:r w:rsidR="00685F4D" w:rsidRPr="00137CF8">
        <w:rPr>
          <w:rFonts w:cs="Times New Roman"/>
          <w:szCs w:val="22"/>
        </w:rPr>
        <w:t>From the early 1990’s until the early years of the century nearly all stationary AC was either imported pre-charged with HCFC-22 or was manufactured in Australia and then charged with it. As the restrictions on HCFCs under the Montreal Protocol took effect, the new generation of HFCs began to replace HCFCs. By 2006 only about 30</w:t>
      </w:r>
      <w:r w:rsidR="00B01568">
        <w:rPr>
          <w:rFonts w:cs="Times New Roman"/>
          <w:szCs w:val="22"/>
        </w:rPr>
        <w:t>%</w:t>
      </w:r>
      <w:r w:rsidR="00685F4D" w:rsidRPr="00137CF8">
        <w:rPr>
          <w:rFonts w:cs="Times New Roman"/>
          <w:szCs w:val="22"/>
        </w:rPr>
        <w:t xml:space="preserve"> of refrigerant imported in pre-charged equipment was HCFC-22. More recently, the combined effects of technological advances, minimum energy performance regulations, and the ban on HCFC pre-charged </w:t>
      </w:r>
      <w:r w:rsidR="00B01568">
        <w:rPr>
          <w:rFonts w:cs="Times New Roman"/>
          <w:szCs w:val="22"/>
        </w:rPr>
        <w:t>AC</w:t>
      </w:r>
      <w:r w:rsidR="005D194F">
        <w:rPr>
          <w:rFonts w:cs="Times New Roman"/>
          <w:szCs w:val="22"/>
        </w:rPr>
        <w:t>s</w:t>
      </w:r>
      <w:r w:rsidR="00685F4D" w:rsidRPr="00137CF8">
        <w:rPr>
          <w:rFonts w:cs="Times New Roman"/>
          <w:szCs w:val="22"/>
        </w:rPr>
        <w:t xml:space="preserve"> in 2010 reduced the proportion of </w:t>
      </w:r>
      <w:r w:rsidR="00685F4D" w:rsidRPr="00563E73">
        <w:rPr>
          <w:rFonts w:cs="Times New Roman"/>
          <w:szCs w:val="22"/>
        </w:rPr>
        <w:t>HCFC refrigerant imported in equipment to around 3</w:t>
      </w:r>
      <w:r w:rsidR="009A11F6">
        <w:rPr>
          <w:rFonts w:cs="Times New Roman"/>
          <w:szCs w:val="22"/>
        </w:rPr>
        <w:t>%</w:t>
      </w:r>
      <w:r w:rsidR="00685F4D" w:rsidRPr="00563E73">
        <w:rPr>
          <w:rFonts w:cs="Times New Roman"/>
          <w:szCs w:val="22"/>
        </w:rPr>
        <w:t> in 2010</w:t>
      </w:r>
      <w:r w:rsidR="00685F4D" w:rsidRPr="00137CF8">
        <w:rPr>
          <w:rFonts w:cs="Times New Roman"/>
          <w:szCs w:val="22"/>
        </w:rPr>
        <w:t>.</w:t>
      </w:r>
    </w:p>
    <w:p w:rsidR="00685F4D" w:rsidRPr="00137CF8" w:rsidRDefault="00685F4D" w:rsidP="00685F4D">
      <w:pPr>
        <w:rPr>
          <w:rFonts w:cs="Times New Roman"/>
          <w:szCs w:val="22"/>
        </w:rPr>
      </w:pPr>
      <w:r>
        <w:rPr>
          <w:szCs w:val="22"/>
        </w:rPr>
        <w:t xml:space="preserve">Today, the very large majority of AC equipment installed contains HFC-410A with small amounts of HFC-407C. </w:t>
      </w:r>
      <w:r w:rsidRPr="00137CF8">
        <w:rPr>
          <w:rFonts w:cs="Times New Roman"/>
          <w:szCs w:val="22"/>
        </w:rPr>
        <w:t>HFC-134a and to a lesser extent HCFC-123 are the most common refrigerant used in various capacities of centrifugal and screw chillers.</w:t>
      </w:r>
      <w:r>
        <w:rPr>
          <w:rFonts w:cs="Times New Roman"/>
          <w:szCs w:val="22"/>
        </w:rPr>
        <w:t xml:space="preserve"> </w:t>
      </w:r>
      <w:r w:rsidRPr="00137CF8">
        <w:rPr>
          <w:rFonts w:cs="Times New Roman"/>
          <w:szCs w:val="22"/>
        </w:rPr>
        <w:t xml:space="preserve">HFC-134a is </w:t>
      </w:r>
      <w:r>
        <w:rPr>
          <w:rFonts w:cs="Times New Roman"/>
          <w:szCs w:val="22"/>
        </w:rPr>
        <w:t xml:space="preserve">also </w:t>
      </w:r>
      <w:r w:rsidRPr="00137CF8">
        <w:rPr>
          <w:rFonts w:cs="Times New Roman"/>
          <w:szCs w:val="22"/>
        </w:rPr>
        <w:t>used by all local manufacturers of hot water heat pumps in Australia, although the total volume of HFCs consumed in locally manufactured heat pu</w:t>
      </w:r>
      <w:r>
        <w:rPr>
          <w:rFonts w:cs="Times New Roman"/>
          <w:szCs w:val="22"/>
        </w:rPr>
        <w:t>mps is estimated to be around</w:t>
      </w:r>
      <w:r w:rsidRPr="00137CF8">
        <w:rPr>
          <w:rFonts w:cs="Times New Roman"/>
          <w:szCs w:val="22"/>
        </w:rPr>
        <w:t xml:space="preserve"> 22 tonnes per annum, a very small contributor to total annual consumption.</w:t>
      </w:r>
    </w:p>
    <w:p w:rsidR="00685F4D" w:rsidRDefault="00685F4D" w:rsidP="00685F4D">
      <w:r>
        <w:rPr>
          <w:szCs w:val="22"/>
        </w:rPr>
        <w:t xml:space="preserve">The bank of HFC-410A is estimated at </w:t>
      </w:r>
      <w:r>
        <w:t>16,700 tonnes</w:t>
      </w:r>
      <w:r w:rsidR="00B2434E">
        <w:t xml:space="preserve">, 58% of the </w:t>
      </w:r>
      <w:r w:rsidR="00635328">
        <w:t>AC</w:t>
      </w:r>
      <w:r w:rsidR="00B2434E">
        <w:t xml:space="preserve"> bank and</w:t>
      </w:r>
      <w:r>
        <w:t xml:space="preserve"> 37% of the total</w:t>
      </w:r>
      <w:r w:rsidR="00B2434E">
        <w:t xml:space="preserve"> bank, followed by 1,950 tonnes of HFC-134a and over a 1,000 tonnes of HFC-407C. </w:t>
      </w:r>
    </w:p>
    <w:p w:rsidR="00431595" w:rsidRPr="00137CF8" w:rsidRDefault="00431595" w:rsidP="001D1740">
      <w:pPr>
        <w:spacing w:before="240"/>
        <w:outlineLvl w:val="0"/>
        <w:rPr>
          <w:rFonts w:cs="Times New Roman"/>
          <w:b/>
          <w:szCs w:val="22"/>
        </w:rPr>
      </w:pPr>
      <w:r w:rsidRPr="00137CF8">
        <w:rPr>
          <w:rFonts w:cs="Times New Roman"/>
          <w:b/>
          <w:szCs w:val="22"/>
        </w:rPr>
        <w:t xml:space="preserve">The stock of equipment, annual sales, industry trends </w:t>
      </w:r>
    </w:p>
    <w:p w:rsidR="00431595" w:rsidRPr="00137CF8" w:rsidRDefault="00431595" w:rsidP="00431595">
      <w:pPr>
        <w:rPr>
          <w:rFonts w:cs="Times New Roman"/>
          <w:szCs w:val="22"/>
        </w:rPr>
      </w:pPr>
      <w:r w:rsidRPr="00137CF8">
        <w:rPr>
          <w:rFonts w:cs="Times New Roman"/>
          <w:szCs w:val="22"/>
        </w:rPr>
        <w:t xml:space="preserve">Stationary </w:t>
      </w:r>
      <w:r w:rsidR="00B01568">
        <w:rPr>
          <w:rFonts w:cs="Times New Roman"/>
          <w:szCs w:val="22"/>
        </w:rPr>
        <w:t>AC</w:t>
      </w:r>
      <w:r w:rsidRPr="00137CF8">
        <w:rPr>
          <w:rFonts w:cs="Times New Roman"/>
          <w:szCs w:val="22"/>
        </w:rPr>
        <w:t xml:space="preserve"> as a broad class of equipment includes all forms of stationary </w:t>
      </w:r>
      <w:r w:rsidR="005D194F">
        <w:rPr>
          <w:rFonts w:cs="Times New Roman"/>
          <w:szCs w:val="22"/>
        </w:rPr>
        <w:t>AC</w:t>
      </w:r>
      <w:r w:rsidRPr="00137CF8">
        <w:rPr>
          <w:rFonts w:cs="Times New Roman"/>
          <w:szCs w:val="22"/>
        </w:rPr>
        <w:t xml:space="preserve"> equipment that use the vapour compression cycle to provide human comfort, mainly in homes and commercial properties, and to provide close temperature control in data processing areas.</w:t>
      </w:r>
    </w:p>
    <w:p w:rsidR="00431595" w:rsidRPr="00137CF8" w:rsidRDefault="00431595" w:rsidP="00431595">
      <w:pPr>
        <w:rPr>
          <w:rFonts w:cs="Times New Roman"/>
          <w:szCs w:val="22"/>
        </w:rPr>
      </w:pPr>
      <w:r w:rsidRPr="00137CF8">
        <w:rPr>
          <w:rFonts w:cs="Times New Roman"/>
          <w:szCs w:val="22"/>
        </w:rPr>
        <w:t xml:space="preserve">The equipment types in this sector can be reverse-cycle (heating and cooling) or cooling only, single phase or three phase and range in size from a small 2 kWr domestic portable </w:t>
      </w:r>
      <w:r w:rsidR="00B01568">
        <w:rPr>
          <w:rFonts w:cs="Times New Roman"/>
          <w:szCs w:val="22"/>
        </w:rPr>
        <w:t>AC</w:t>
      </w:r>
      <w:r w:rsidRPr="00137CF8">
        <w:rPr>
          <w:rFonts w:cs="Times New Roman"/>
          <w:szCs w:val="22"/>
        </w:rPr>
        <w:t>, with a refrigerant charge of less than 600 g</w:t>
      </w:r>
      <w:r w:rsidR="00B3459B">
        <w:rPr>
          <w:rFonts w:cs="Times New Roman"/>
          <w:szCs w:val="22"/>
        </w:rPr>
        <w:t>rams</w:t>
      </w:r>
      <w:r w:rsidRPr="00137CF8">
        <w:rPr>
          <w:rFonts w:cs="Times New Roman"/>
          <w:szCs w:val="22"/>
        </w:rPr>
        <w:t xml:space="preserve">, to large 4,000 kWr commercial chillers containing more than a tonne of refrigerant. </w:t>
      </w:r>
    </w:p>
    <w:p w:rsidR="00431595" w:rsidRPr="00137CF8" w:rsidRDefault="00431595" w:rsidP="00431595">
      <w:pPr>
        <w:rPr>
          <w:rFonts w:cs="Times New Roman"/>
          <w:szCs w:val="22"/>
        </w:rPr>
      </w:pPr>
      <w:r w:rsidRPr="00137CF8">
        <w:rPr>
          <w:rFonts w:cs="Times New Roman"/>
          <w:szCs w:val="22"/>
        </w:rPr>
        <w:t xml:space="preserve">The main product formats include: </w:t>
      </w:r>
    </w:p>
    <w:p w:rsidR="00431595" w:rsidRPr="00137CF8" w:rsidRDefault="00431595" w:rsidP="00E97935">
      <w:pPr>
        <w:pStyle w:val="ListParagraph"/>
        <w:numPr>
          <w:ilvl w:val="0"/>
          <w:numId w:val="19"/>
        </w:numPr>
        <w:spacing w:before="120" w:after="0" w:line="240" w:lineRule="auto"/>
        <w:ind w:left="567" w:hanging="567"/>
        <w:contextualSpacing w:val="0"/>
        <w:jc w:val="both"/>
        <w:rPr>
          <w:rFonts w:ascii="Times New Roman" w:hAnsi="Times New Roman"/>
        </w:rPr>
      </w:pPr>
      <w:r w:rsidRPr="00137CF8">
        <w:rPr>
          <w:rFonts w:ascii="Times New Roman" w:hAnsi="Times New Roman"/>
        </w:rPr>
        <w:t xml:space="preserve">Portable </w:t>
      </w:r>
      <w:r w:rsidR="00635328">
        <w:rPr>
          <w:rFonts w:ascii="Times New Roman" w:hAnsi="Times New Roman"/>
        </w:rPr>
        <w:t>AC</w:t>
      </w:r>
      <w:r w:rsidRPr="00137CF8">
        <w:rPr>
          <w:rFonts w:ascii="Times New Roman" w:hAnsi="Times New Roman"/>
        </w:rPr>
        <w:t xml:space="preserve"> for domestic use; </w:t>
      </w:r>
    </w:p>
    <w:p w:rsidR="00431595" w:rsidRPr="00137CF8" w:rsidRDefault="00431595" w:rsidP="00E97935">
      <w:pPr>
        <w:pStyle w:val="ListParagraph"/>
        <w:numPr>
          <w:ilvl w:val="0"/>
          <w:numId w:val="19"/>
        </w:numPr>
        <w:spacing w:before="120" w:after="0" w:line="240" w:lineRule="auto"/>
        <w:ind w:left="567" w:hanging="567"/>
        <w:contextualSpacing w:val="0"/>
        <w:jc w:val="both"/>
        <w:rPr>
          <w:rFonts w:ascii="Times New Roman" w:hAnsi="Times New Roman"/>
        </w:rPr>
      </w:pPr>
      <w:r w:rsidRPr="00137CF8">
        <w:rPr>
          <w:rFonts w:ascii="Times New Roman" w:hAnsi="Times New Roman"/>
        </w:rPr>
        <w:t xml:space="preserve">Packaged room </w:t>
      </w:r>
      <w:r w:rsidR="00033BDF">
        <w:rPr>
          <w:rFonts w:ascii="Times New Roman" w:hAnsi="Times New Roman"/>
        </w:rPr>
        <w:t>AC</w:t>
      </w:r>
      <w:r w:rsidRPr="00137CF8">
        <w:rPr>
          <w:rFonts w:ascii="Times New Roman" w:hAnsi="Times New Roman"/>
        </w:rPr>
        <w:t xml:space="preserve"> units intended to be inserted through a hole in a wall or through a window aperture of a home, shop or worksite demountable, now predominately a replacement market and generally referred to as ‘window/wall’ units;</w:t>
      </w:r>
    </w:p>
    <w:p w:rsidR="00431595" w:rsidRPr="00137CF8" w:rsidRDefault="00431595" w:rsidP="00E97935">
      <w:pPr>
        <w:pStyle w:val="ListParagraph"/>
        <w:numPr>
          <w:ilvl w:val="0"/>
          <w:numId w:val="19"/>
        </w:numPr>
        <w:spacing w:before="120" w:after="0" w:line="240" w:lineRule="auto"/>
        <w:ind w:left="567" w:hanging="567"/>
        <w:contextualSpacing w:val="0"/>
        <w:jc w:val="both"/>
        <w:rPr>
          <w:rFonts w:ascii="Times New Roman" w:hAnsi="Times New Roman"/>
        </w:rPr>
      </w:pPr>
      <w:r w:rsidRPr="00137CF8">
        <w:rPr>
          <w:rFonts w:ascii="Times New Roman" w:hAnsi="Times New Roman"/>
        </w:rPr>
        <w:t>Hot water and swimming pool heat pumps for domestic and commercial applications;</w:t>
      </w:r>
    </w:p>
    <w:p w:rsidR="00431595" w:rsidRPr="00137CF8" w:rsidRDefault="00431595" w:rsidP="00E97935">
      <w:pPr>
        <w:pStyle w:val="ListParagraph"/>
        <w:numPr>
          <w:ilvl w:val="0"/>
          <w:numId w:val="19"/>
        </w:numPr>
        <w:spacing w:before="120" w:after="0" w:line="240" w:lineRule="auto"/>
        <w:ind w:left="567" w:hanging="567"/>
        <w:contextualSpacing w:val="0"/>
        <w:jc w:val="both"/>
        <w:rPr>
          <w:rFonts w:ascii="Times New Roman" w:hAnsi="Times New Roman"/>
        </w:rPr>
      </w:pPr>
      <w:r w:rsidRPr="00137CF8">
        <w:rPr>
          <w:rFonts w:ascii="Times New Roman" w:hAnsi="Times New Roman"/>
        </w:rPr>
        <w:t xml:space="preserve">Portable space coolers for spot cooling in commercial and industrial applications, or to provide temporary relief where normal </w:t>
      </w:r>
      <w:r w:rsidR="00033BDF">
        <w:rPr>
          <w:rFonts w:ascii="Times New Roman" w:hAnsi="Times New Roman"/>
        </w:rPr>
        <w:t>AC</w:t>
      </w:r>
      <w:r w:rsidRPr="00137CF8">
        <w:rPr>
          <w:rFonts w:ascii="Times New Roman" w:hAnsi="Times New Roman"/>
        </w:rPr>
        <w:t xml:space="preserve"> systems are inadequate or have broken down;</w:t>
      </w:r>
    </w:p>
    <w:p w:rsidR="00431595" w:rsidRPr="00137CF8" w:rsidRDefault="00431595" w:rsidP="00E97935">
      <w:pPr>
        <w:pStyle w:val="ListParagraph"/>
        <w:numPr>
          <w:ilvl w:val="0"/>
          <w:numId w:val="19"/>
        </w:numPr>
        <w:spacing w:before="120" w:after="0" w:line="240" w:lineRule="auto"/>
        <w:ind w:left="567" w:hanging="567"/>
        <w:contextualSpacing w:val="0"/>
        <w:jc w:val="both"/>
        <w:rPr>
          <w:rFonts w:ascii="Times New Roman" w:hAnsi="Times New Roman"/>
        </w:rPr>
      </w:pPr>
      <w:r w:rsidRPr="00137CF8">
        <w:rPr>
          <w:rFonts w:ascii="Times New Roman" w:hAnsi="Times New Roman"/>
        </w:rPr>
        <w:t>Non ducted split systems covering a broad class of equipment including single or multiple indoor units in a variety of styles such as wall hung, cassette, console and under ceiling, all designed for different applications;</w:t>
      </w:r>
    </w:p>
    <w:p w:rsidR="00431595" w:rsidRPr="00137CF8" w:rsidRDefault="00431595" w:rsidP="00E97935">
      <w:pPr>
        <w:pStyle w:val="ListParagraph"/>
        <w:numPr>
          <w:ilvl w:val="0"/>
          <w:numId w:val="19"/>
        </w:numPr>
        <w:spacing w:before="120" w:after="0" w:line="240" w:lineRule="auto"/>
        <w:ind w:left="567" w:hanging="567"/>
        <w:contextualSpacing w:val="0"/>
        <w:jc w:val="both"/>
        <w:rPr>
          <w:rFonts w:ascii="Times New Roman" w:hAnsi="Times New Roman"/>
        </w:rPr>
      </w:pPr>
      <w:r w:rsidRPr="00137CF8">
        <w:rPr>
          <w:rFonts w:ascii="Times New Roman" w:hAnsi="Times New Roman"/>
        </w:rPr>
        <w:t>Ducted split systems used in domestic and light commercial applications where the indoor unit is connected to rigid or flexible duct which is ducted around the building to supply air to the conditioned space;</w:t>
      </w:r>
    </w:p>
    <w:p w:rsidR="00431595" w:rsidRPr="00137CF8" w:rsidRDefault="00431595" w:rsidP="00E97935">
      <w:pPr>
        <w:pStyle w:val="ListParagraph"/>
        <w:numPr>
          <w:ilvl w:val="0"/>
          <w:numId w:val="19"/>
        </w:numPr>
        <w:spacing w:before="120" w:after="0" w:line="240" w:lineRule="auto"/>
        <w:ind w:left="567" w:hanging="567"/>
        <w:contextualSpacing w:val="0"/>
        <w:jc w:val="both"/>
        <w:rPr>
          <w:rFonts w:ascii="Times New Roman" w:hAnsi="Times New Roman"/>
        </w:rPr>
      </w:pPr>
      <w:r w:rsidRPr="00137CF8">
        <w:rPr>
          <w:rFonts w:ascii="Times New Roman" w:hAnsi="Times New Roman"/>
        </w:rPr>
        <w:t>Variable refrigerant volume split systems with multiple indoor units, which is emerging as the preferred technology option for medium sized commercial buildings;</w:t>
      </w:r>
    </w:p>
    <w:p w:rsidR="00431595" w:rsidRPr="00137CF8" w:rsidRDefault="00431595" w:rsidP="00E97935">
      <w:pPr>
        <w:pStyle w:val="ListParagraph"/>
        <w:numPr>
          <w:ilvl w:val="0"/>
          <w:numId w:val="19"/>
        </w:numPr>
        <w:spacing w:before="120" w:after="0" w:line="240" w:lineRule="auto"/>
        <w:ind w:left="567" w:hanging="567"/>
        <w:contextualSpacing w:val="0"/>
        <w:jc w:val="both"/>
        <w:rPr>
          <w:rFonts w:ascii="Times New Roman" w:hAnsi="Times New Roman"/>
        </w:rPr>
      </w:pPr>
      <w:r w:rsidRPr="00137CF8">
        <w:rPr>
          <w:rFonts w:ascii="Times New Roman" w:hAnsi="Times New Roman"/>
        </w:rPr>
        <w:t xml:space="preserve">Close control or precision </w:t>
      </w:r>
      <w:r w:rsidR="00033BDF">
        <w:rPr>
          <w:rFonts w:ascii="Times New Roman" w:hAnsi="Times New Roman"/>
        </w:rPr>
        <w:t>AC</w:t>
      </w:r>
      <w:r w:rsidRPr="00137CF8">
        <w:rPr>
          <w:rFonts w:ascii="Times New Roman" w:hAnsi="Times New Roman"/>
        </w:rPr>
        <w:t xml:space="preserve"> systems employed in applications where air quality requirements are specified such as in computer rooms, data processing centres, telecommunication facilities, medical technology, clean rooms for production of electronic components and pharmaceuticals, and other industrial process areas;</w:t>
      </w:r>
    </w:p>
    <w:p w:rsidR="00431595" w:rsidRPr="00137CF8" w:rsidRDefault="00431595" w:rsidP="00E97935">
      <w:pPr>
        <w:pStyle w:val="ListParagraph"/>
        <w:numPr>
          <w:ilvl w:val="0"/>
          <w:numId w:val="19"/>
        </w:numPr>
        <w:spacing w:before="120" w:after="0" w:line="240" w:lineRule="auto"/>
        <w:ind w:left="567" w:hanging="567"/>
        <w:contextualSpacing w:val="0"/>
        <w:jc w:val="both"/>
        <w:rPr>
          <w:rFonts w:ascii="Times New Roman" w:hAnsi="Times New Roman"/>
        </w:rPr>
      </w:pPr>
      <w:r w:rsidRPr="00137CF8">
        <w:rPr>
          <w:rFonts w:ascii="Times New Roman" w:hAnsi="Times New Roman"/>
        </w:rPr>
        <w:t xml:space="preserve">Roof top packaged </w:t>
      </w:r>
      <w:r w:rsidR="00033BDF">
        <w:rPr>
          <w:rFonts w:ascii="Times New Roman" w:hAnsi="Times New Roman"/>
        </w:rPr>
        <w:t>AC</w:t>
      </w:r>
      <w:r w:rsidRPr="00137CF8">
        <w:rPr>
          <w:rFonts w:ascii="Times New Roman" w:hAnsi="Times New Roman"/>
        </w:rPr>
        <w:t xml:space="preserve"> systems that use high static pressure fans which allow long duct runs, (these systems are mostly sold now only as replacements for existing units roof top packaged systems already installed in commercial buildings with suspended tile ceilings); and,</w:t>
      </w:r>
    </w:p>
    <w:p w:rsidR="00431595" w:rsidRPr="00137CF8" w:rsidRDefault="00431595" w:rsidP="00E97935">
      <w:pPr>
        <w:pStyle w:val="ListParagraph"/>
        <w:numPr>
          <w:ilvl w:val="0"/>
          <w:numId w:val="19"/>
        </w:numPr>
        <w:spacing w:before="120" w:after="0" w:line="240" w:lineRule="auto"/>
        <w:ind w:left="567" w:hanging="567"/>
        <w:contextualSpacing w:val="0"/>
        <w:jc w:val="both"/>
        <w:rPr>
          <w:rFonts w:ascii="Times New Roman" w:hAnsi="Times New Roman"/>
        </w:rPr>
      </w:pPr>
      <w:r w:rsidRPr="00137CF8">
        <w:rPr>
          <w:rFonts w:ascii="Times New Roman" w:hAnsi="Times New Roman"/>
        </w:rPr>
        <w:t>Chillers for space cooling in large commercial buildings.</w:t>
      </w:r>
    </w:p>
    <w:p w:rsidR="00431595" w:rsidRPr="00137CF8" w:rsidRDefault="00431595" w:rsidP="00431595">
      <w:pPr>
        <w:rPr>
          <w:rFonts w:cs="Times New Roman"/>
          <w:szCs w:val="22"/>
        </w:rPr>
      </w:pPr>
      <w:r w:rsidRPr="00137CF8">
        <w:rPr>
          <w:rFonts w:cs="Times New Roman"/>
          <w:szCs w:val="22"/>
        </w:rPr>
        <w:t>For the purposes of this study, partly because of the limitations and characteristics of the technology, and the opportunities that presents for alternative working gases, the stationary AC sector is being dealt with in three broad categories;</w:t>
      </w:r>
    </w:p>
    <w:p w:rsidR="00431595" w:rsidRPr="00137CF8" w:rsidRDefault="00431595" w:rsidP="00E97935">
      <w:pPr>
        <w:pStyle w:val="ListParagraph"/>
        <w:numPr>
          <w:ilvl w:val="0"/>
          <w:numId w:val="18"/>
        </w:numPr>
        <w:spacing w:before="120" w:after="0" w:line="240" w:lineRule="auto"/>
        <w:contextualSpacing w:val="0"/>
        <w:jc w:val="both"/>
        <w:rPr>
          <w:rFonts w:ascii="Times New Roman" w:hAnsi="Times New Roman"/>
        </w:rPr>
      </w:pPr>
      <w:r w:rsidRPr="00137CF8">
        <w:rPr>
          <w:rFonts w:ascii="Times New Roman" w:hAnsi="Times New Roman"/>
        </w:rPr>
        <w:t>Small self-contained AC – broadly covering produ</w:t>
      </w:r>
      <w:r w:rsidR="00B3459B">
        <w:rPr>
          <w:rFonts w:ascii="Times New Roman" w:hAnsi="Times New Roman"/>
        </w:rPr>
        <w:t xml:space="preserve">cts listed in (i) to (iv) above, except </w:t>
      </w:r>
      <w:r w:rsidR="00B3459B" w:rsidRPr="00137CF8">
        <w:rPr>
          <w:rFonts w:ascii="Times New Roman" w:hAnsi="Times New Roman"/>
        </w:rPr>
        <w:t xml:space="preserve">swimming pool heat pumps </w:t>
      </w:r>
      <w:r w:rsidR="00B3459B">
        <w:rPr>
          <w:rFonts w:ascii="Times New Roman" w:hAnsi="Times New Roman"/>
        </w:rPr>
        <w:t>are covered in Medium AC;</w:t>
      </w:r>
    </w:p>
    <w:p w:rsidR="00431595" w:rsidRPr="00137CF8" w:rsidRDefault="00431595" w:rsidP="00E97935">
      <w:pPr>
        <w:pStyle w:val="ListParagraph"/>
        <w:numPr>
          <w:ilvl w:val="0"/>
          <w:numId w:val="18"/>
        </w:numPr>
        <w:spacing w:before="120" w:after="0" w:line="240" w:lineRule="auto"/>
        <w:contextualSpacing w:val="0"/>
        <w:jc w:val="both"/>
        <w:rPr>
          <w:rFonts w:ascii="Times New Roman" w:hAnsi="Times New Roman"/>
        </w:rPr>
      </w:pPr>
      <w:r w:rsidRPr="00137CF8">
        <w:rPr>
          <w:rFonts w:ascii="Times New Roman" w:hAnsi="Times New Roman"/>
        </w:rPr>
        <w:t>Medium AC, Split Systems and Light Commercial – including products listed in (v) to (ix) above; and,</w:t>
      </w:r>
    </w:p>
    <w:p w:rsidR="00431595" w:rsidRPr="00137CF8" w:rsidRDefault="00431595" w:rsidP="00E97935">
      <w:pPr>
        <w:pStyle w:val="ListParagraph"/>
        <w:numPr>
          <w:ilvl w:val="0"/>
          <w:numId w:val="18"/>
        </w:numPr>
        <w:spacing w:before="120" w:after="0" w:line="240" w:lineRule="auto"/>
        <w:contextualSpacing w:val="0"/>
        <w:jc w:val="both"/>
        <w:rPr>
          <w:rFonts w:ascii="Times New Roman" w:hAnsi="Times New Roman"/>
        </w:rPr>
      </w:pPr>
      <w:r w:rsidRPr="00137CF8">
        <w:rPr>
          <w:rFonts w:ascii="Times New Roman" w:hAnsi="Times New Roman"/>
        </w:rPr>
        <w:t>Large AC, primarily chillers.</w:t>
      </w:r>
    </w:p>
    <w:p w:rsidR="00431595" w:rsidRPr="00137CF8" w:rsidRDefault="00431595" w:rsidP="00431595">
      <w:pPr>
        <w:rPr>
          <w:rFonts w:cs="Times New Roman"/>
          <w:szCs w:val="22"/>
        </w:rPr>
      </w:pPr>
      <w:r w:rsidRPr="00137CF8">
        <w:rPr>
          <w:rFonts w:cs="Times New Roman"/>
          <w:szCs w:val="22"/>
        </w:rPr>
        <w:t xml:space="preserve">Australia is largely a ‘technology taker’ of </w:t>
      </w:r>
      <w:r w:rsidR="00B01568">
        <w:rPr>
          <w:rFonts w:cs="Times New Roman"/>
          <w:szCs w:val="22"/>
        </w:rPr>
        <w:t>AC</w:t>
      </w:r>
      <w:r w:rsidRPr="00137CF8">
        <w:rPr>
          <w:rFonts w:cs="Times New Roman"/>
          <w:szCs w:val="22"/>
        </w:rPr>
        <w:t xml:space="preserve"> equipment, driven by innovation and product development from overseas manufacturers and suppliers. The vast majority of new equipment in any year (90% by refrigerant volume) is imported. </w:t>
      </w:r>
    </w:p>
    <w:p w:rsidR="00431595" w:rsidRPr="00137CF8" w:rsidRDefault="00431595" w:rsidP="00431595">
      <w:pPr>
        <w:rPr>
          <w:rFonts w:cs="Times New Roman"/>
          <w:szCs w:val="22"/>
        </w:rPr>
      </w:pPr>
      <w:r w:rsidRPr="00137CF8">
        <w:rPr>
          <w:rFonts w:cs="Times New Roman"/>
          <w:szCs w:val="22"/>
        </w:rPr>
        <w:t xml:space="preserve">Trends and developments in the international market are therefore reflected in changes in the Australia stock of equipment and bank of working gases. </w:t>
      </w:r>
    </w:p>
    <w:p w:rsidR="00431595" w:rsidRPr="00137CF8" w:rsidRDefault="00431595" w:rsidP="00431595">
      <w:pPr>
        <w:rPr>
          <w:rFonts w:cs="Times New Roman"/>
          <w:szCs w:val="22"/>
        </w:rPr>
      </w:pPr>
      <w:r w:rsidRPr="00137CF8">
        <w:rPr>
          <w:rFonts w:cs="Times New Roman"/>
          <w:szCs w:val="22"/>
        </w:rPr>
        <w:t xml:space="preserve">In this sector the changes brought by the Montreal Protocol, combined with rapid development of the smaller and domestic </w:t>
      </w:r>
      <w:r w:rsidR="00B01568">
        <w:rPr>
          <w:rFonts w:cs="Times New Roman"/>
          <w:szCs w:val="22"/>
        </w:rPr>
        <w:t>AC</w:t>
      </w:r>
      <w:r w:rsidRPr="00137CF8">
        <w:rPr>
          <w:rFonts w:cs="Times New Roman"/>
          <w:szCs w:val="22"/>
        </w:rPr>
        <w:t xml:space="preserve"> products in the last two decades means that Australia still has a considerable legacy of HCFC charged equipment, and a large stock of relatively new HFC charged equipment. The main HFCs employed are </w:t>
      </w:r>
      <w:r w:rsidR="00B3459B" w:rsidRPr="00137CF8">
        <w:rPr>
          <w:rFonts w:cs="Times New Roman"/>
          <w:szCs w:val="22"/>
        </w:rPr>
        <w:t>HFC-410A</w:t>
      </w:r>
      <w:r w:rsidR="00B3459B">
        <w:rPr>
          <w:rFonts w:cs="Times New Roman"/>
          <w:szCs w:val="22"/>
        </w:rPr>
        <w:t xml:space="preserve">, </w:t>
      </w:r>
      <w:r w:rsidRPr="00137CF8">
        <w:rPr>
          <w:rFonts w:cs="Times New Roman"/>
          <w:szCs w:val="22"/>
        </w:rPr>
        <w:t xml:space="preserve">HFC-407C and HFC-134a. </w:t>
      </w:r>
    </w:p>
    <w:p w:rsidR="00244F2A" w:rsidRPr="00244F2A" w:rsidRDefault="00B01568" w:rsidP="00244F2A">
      <w:pPr>
        <w:numPr>
          <w:ilvl w:val="0"/>
          <w:numId w:val="16"/>
        </w:numPr>
        <w:rPr>
          <w:rFonts w:cs="Times New Roman"/>
          <w:szCs w:val="22"/>
        </w:rPr>
      </w:pPr>
      <w:r>
        <w:rPr>
          <w:rFonts w:cs="Times New Roman"/>
          <w:szCs w:val="22"/>
        </w:rPr>
        <w:t>AC</w:t>
      </w:r>
      <w:r w:rsidR="00431595" w:rsidRPr="00244F2A">
        <w:rPr>
          <w:rFonts w:cs="Times New Roman"/>
          <w:szCs w:val="22"/>
        </w:rPr>
        <w:t xml:space="preserve"> units charged with HFC-410A has been the fastest growing segment with more than 1,</w:t>
      </w:r>
      <w:r w:rsidR="00244F2A" w:rsidRPr="00244F2A">
        <w:rPr>
          <w:rFonts w:cs="Times New Roman"/>
          <w:szCs w:val="22"/>
        </w:rPr>
        <w:t>7</w:t>
      </w:r>
      <w:r w:rsidR="00431595" w:rsidRPr="00244F2A">
        <w:rPr>
          <w:rFonts w:cs="Times New Roman"/>
          <w:szCs w:val="22"/>
        </w:rPr>
        <w:t xml:space="preserve">00 </w:t>
      </w:r>
      <w:r w:rsidR="00B3459B" w:rsidRPr="00244F2A">
        <w:rPr>
          <w:rFonts w:cs="Times New Roman"/>
          <w:szCs w:val="22"/>
        </w:rPr>
        <w:t xml:space="preserve">tonnes </w:t>
      </w:r>
      <w:r w:rsidR="00431595" w:rsidRPr="00244F2A">
        <w:rPr>
          <w:rFonts w:cs="Times New Roman"/>
          <w:szCs w:val="22"/>
        </w:rPr>
        <w:t>of HFC-410A gas imported in pre-charged equipment in 201</w:t>
      </w:r>
      <w:r w:rsidR="00244F2A" w:rsidRPr="00244F2A">
        <w:rPr>
          <w:rFonts w:cs="Times New Roman"/>
          <w:szCs w:val="22"/>
        </w:rPr>
        <w:t>3</w:t>
      </w:r>
      <w:r w:rsidR="00431595" w:rsidRPr="00244F2A">
        <w:rPr>
          <w:rFonts w:cs="Times New Roman"/>
          <w:szCs w:val="22"/>
        </w:rPr>
        <w:t xml:space="preserve"> </w:t>
      </w:r>
      <w:r w:rsidR="00244F2A" w:rsidRPr="00244F2A">
        <w:t>(totalling around 64% of all refrigerant imported in equipment that year).</w:t>
      </w:r>
    </w:p>
    <w:p w:rsidR="00431595" w:rsidRPr="00137CF8" w:rsidRDefault="00431595" w:rsidP="00E97935">
      <w:pPr>
        <w:numPr>
          <w:ilvl w:val="0"/>
          <w:numId w:val="16"/>
        </w:numPr>
        <w:rPr>
          <w:rFonts w:cs="Times New Roman"/>
          <w:szCs w:val="22"/>
        </w:rPr>
      </w:pPr>
      <w:r w:rsidRPr="00137CF8">
        <w:rPr>
          <w:rFonts w:cs="Times New Roman"/>
          <w:szCs w:val="22"/>
        </w:rPr>
        <w:t xml:space="preserve">Bulk </w:t>
      </w:r>
      <w:r w:rsidR="00244F2A">
        <w:rPr>
          <w:rFonts w:cs="Times New Roman"/>
          <w:szCs w:val="22"/>
        </w:rPr>
        <w:t xml:space="preserve">consumption </w:t>
      </w:r>
      <w:r w:rsidRPr="00137CF8">
        <w:rPr>
          <w:rFonts w:cs="Times New Roman"/>
          <w:szCs w:val="22"/>
        </w:rPr>
        <w:t xml:space="preserve">of HFC-410A are estimated to be </w:t>
      </w:r>
      <w:r>
        <w:rPr>
          <w:rFonts w:cs="Times New Roman"/>
          <w:szCs w:val="22"/>
        </w:rPr>
        <w:t>57</w:t>
      </w:r>
      <w:r w:rsidR="00E1358E">
        <w:rPr>
          <w:rFonts w:cs="Times New Roman"/>
          <w:szCs w:val="22"/>
        </w:rPr>
        <w:t>5</w:t>
      </w:r>
      <w:r>
        <w:rPr>
          <w:rFonts w:cs="Times New Roman"/>
          <w:szCs w:val="22"/>
        </w:rPr>
        <w:t xml:space="preserve"> tonne</w:t>
      </w:r>
      <w:r w:rsidR="00E350E3">
        <w:rPr>
          <w:rFonts w:cs="Times New Roman"/>
          <w:szCs w:val="22"/>
        </w:rPr>
        <w:t>s</w:t>
      </w:r>
      <w:r>
        <w:rPr>
          <w:rFonts w:cs="Times New Roman"/>
          <w:szCs w:val="22"/>
        </w:rPr>
        <w:t xml:space="preserve"> in 2013</w:t>
      </w:r>
      <w:r w:rsidRPr="00137CF8">
        <w:rPr>
          <w:rFonts w:cs="Times New Roman"/>
          <w:szCs w:val="22"/>
        </w:rPr>
        <w:t xml:space="preserve">, which suggest the leak rates of HFC-410A split </w:t>
      </w:r>
      <w:r w:rsidR="00B01568">
        <w:rPr>
          <w:rFonts w:cs="Times New Roman"/>
          <w:szCs w:val="22"/>
        </w:rPr>
        <w:t>AC</w:t>
      </w:r>
      <w:r w:rsidRPr="00137CF8">
        <w:rPr>
          <w:rFonts w:cs="Times New Roman"/>
          <w:szCs w:val="22"/>
        </w:rPr>
        <w:t xml:space="preserve"> equipment </w:t>
      </w:r>
      <w:r w:rsidR="00E350E3">
        <w:rPr>
          <w:rFonts w:cs="Times New Roman"/>
          <w:szCs w:val="22"/>
        </w:rPr>
        <w:t>are</w:t>
      </w:r>
      <w:r w:rsidRPr="00137CF8">
        <w:rPr>
          <w:rFonts w:cs="Times New Roman"/>
          <w:szCs w:val="22"/>
        </w:rPr>
        <w:t xml:space="preserve"> around</w:t>
      </w:r>
      <w:r w:rsidR="00E1358E">
        <w:rPr>
          <w:rFonts w:cs="Times New Roman"/>
          <w:szCs w:val="22"/>
        </w:rPr>
        <w:t xml:space="preserve"> 3</w:t>
      </w:r>
      <w:r w:rsidR="009A11F6">
        <w:rPr>
          <w:rFonts w:cs="Times New Roman"/>
          <w:szCs w:val="22"/>
        </w:rPr>
        <w:t>%</w:t>
      </w:r>
      <w:r w:rsidRPr="00137CF8">
        <w:rPr>
          <w:rFonts w:cs="Times New Roman"/>
          <w:szCs w:val="22"/>
        </w:rPr>
        <w:t xml:space="preserve"> per annum, compared to 8</w:t>
      </w:r>
      <w:r w:rsidR="00B01568">
        <w:rPr>
          <w:rFonts w:cs="Times New Roman"/>
          <w:szCs w:val="22"/>
        </w:rPr>
        <w:t>%</w:t>
      </w:r>
      <w:r w:rsidRPr="00137CF8">
        <w:rPr>
          <w:rFonts w:cs="Times New Roman"/>
          <w:szCs w:val="22"/>
        </w:rPr>
        <w:t xml:space="preserve"> annum or more on similar but older equipment;</w:t>
      </w:r>
    </w:p>
    <w:p w:rsidR="00431595" w:rsidRPr="00244F2A" w:rsidRDefault="00431595" w:rsidP="00E97935">
      <w:pPr>
        <w:numPr>
          <w:ilvl w:val="0"/>
          <w:numId w:val="16"/>
        </w:numPr>
        <w:rPr>
          <w:rFonts w:cs="Times New Roman"/>
          <w:szCs w:val="22"/>
        </w:rPr>
      </w:pPr>
      <w:r w:rsidRPr="00137CF8">
        <w:rPr>
          <w:rFonts w:cs="Times New Roman"/>
          <w:szCs w:val="22"/>
        </w:rPr>
        <w:t xml:space="preserve">HFC-407C pre-charged equipment imports are in </w:t>
      </w:r>
      <w:r w:rsidRPr="00244F2A">
        <w:rPr>
          <w:rFonts w:cs="Times New Roman"/>
          <w:szCs w:val="22"/>
        </w:rPr>
        <w:t>decline</w:t>
      </w:r>
      <w:r w:rsidR="00FA4429">
        <w:rPr>
          <w:rFonts w:cs="Times New Roman"/>
          <w:szCs w:val="22"/>
        </w:rPr>
        <w:t xml:space="preserve"> and totalled 39 tonnes in 2013 (</w:t>
      </w:r>
      <w:r w:rsidR="00E1358E">
        <w:rPr>
          <w:rFonts w:cs="Times New Roman"/>
          <w:szCs w:val="22"/>
        </w:rPr>
        <w:t>only 1.5%</w:t>
      </w:r>
      <w:r w:rsidR="00E1358E" w:rsidRPr="00244F2A">
        <w:t xml:space="preserve"> of all refrigerant imported in equipment that year</w:t>
      </w:r>
      <w:r w:rsidR="00E1358E">
        <w:t>)</w:t>
      </w:r>
      <w:r w:rsidRPr="00244F2A">
        <w:rPr>
          <w:rFonts w:cs="Times New Roman"/>
          <w:szCs w:val="22"/>
        </w:rPr>
        <w:t xml:space="preserve">, with a slight increase in bulk </w:t>
      </w:r>
      <w:r w:rsidR="00E1358E">
        <w:rPr>
          <w:rFonts w:cs="Times New Roman"/>
          <w:szCs w:val="22"/>
        </w:rPr>
        <w:t xml:space="preserve">consumption to 150 tonnes </w:t>
      </w:r>
      <w:r w:rsidRPr="00244F2A">
        <w:rPr>
          <w:rFonts w:cs="Times New Roman"/>
          <w:szCs w:val="22"/>
        </w:rPr>
        <w:t>to service existing stock and new installations;</w:t>
      </w:r>
    </w:p>
    <w:p w:rsidR="00431595" w:rsidRPr="00E1358E" w:rsidRDefault="00431595" w:rsidP="00E97935">
      <w:pPr>
        <w:numPr>
          <w:ilvl w:val="0"/>
          <w:numId w:val="16"/>
        </w:numPr>
        <w:rPr>
          <w:rFonts w:cs="Times New Roman"/>
          <w:szCs w:val="22"/>
        </w:rPr>
      </w:pPr>
      <w:r w:rsidRPr="00E1358E">
        <w:rPr>
          <w:rFonts w:cs="Times New Roman"/>
          <w:szCs w:val="22"/>
        </w:rPr>
        <w:t xml:space="preserve">Local </w:t>
      </w:r>
      <w:r w:rsidR="00B01568">
        <w:rPr>
          <w:rFonts w:cs="Times New Roman"/>
          <w:szCs w:val="22"/>
        </w:rPr>
        <w:t>AC</w:t>
      </w:r>
      <w:r w:rsidRPr="00E1358E">
        <w:rPr>
          <w:rFonts w:cs="Times New Roman"/>
          <w:szCs w:val="22"/>
        </w:rPr>
        <w:t xml:space="preserve"> unit manufacturers (</w:t>
      </w:r>
      <w:r w:rsidR="00E1358E" w:rsidRPr="00E1358E">
        <w:rPr>
          <w:rFonts w:cs="Times New Roman"/>
          <w:szCs w:val="22"/>
        </w:rPr>
        <w:t xml:space="preserve">Powerpax, </w:t>
      </w:r>
      <w:r w:rsidRPr="00E1358E">
        <w:rPr>
          <w:rFonts w:cs="Times New Roman"/>
          <w:szCs w:val="22"/>
        </w:rPr>
        <w:t>Actron Air, Accent Air, Temperzone, GWA-Brivis, Air-Change</w:t>
      </w:r>
      <w:r w:rsidR="00E1358E" w:rsidRPr="00E1358E">
        <w:rPr>
          <w:rFonts w:cs="Times New Roman"/>
          <w:szCs w:val="22"/>
        </w:rPr>
        <w:t xml:space="preserve">, Comm Air and Specialised Engineering, </w:t>
      </w:r>
      <w:r w:rsidRPr="00E1358E">
        <w:rPr>
          <w:rFonts w:cs="Times New Roman"/>
          <w:szCs w:val="22"/>
        </w:rPr>
        <w:t xml:space="preserve">and a few others) </w:t>
      </w:r>
      <w:r w:rsidR="00E1358E" w:rsidRPr="00E1358E">
        <w:rPr>
          <w:rFonts w:cs="Times New Roman"/>
          <w:szCs w:val="22"/>
        </w:rPr>
        <w:t xml:space="preserve">collectively </w:t>
      </w:r>
      <w:r w:rsidRPr="00E1358E">
        <w:rPr>
          <w:rFonts w:cs="Times New Roman"/>
          <w:szCs w:val="22"/>
        </w:rPr>
        <w:t xml:space="preserve">consume </w:t>
      </w:r>
      <w:r w:rsidR="00E1358E" w:rsidRPr="00E1358E">
        <w:rPr>
          <w:rFonts w:cs="Times New Roman"/>
          <w:szCs w:val="22"/>
        </w:rPr>
        <w:t>over 3</w:t>
      </w:r>
      <w:r w:rsidRPr="00E1358E">
        <w:rPr>
          <w:rFonts w:cs="Times New Roman"/>
          <w:szCs w:val="22"/>
        </w:rPr>
        <w:t>00 tonnes of refrigerant per annum, mostly HFC-410A</w:t>
      </w:r>
      <w:r w:rsidR="00E1358E" w:rsidRPr="00E1358E">
        <w:rPr>
          <w:rFonts w:cs="Times New Roman"/>
          <w:szCs w:val="22"/>
        </w:rPr>
        <w:t>, HFC-134a</w:t>
      </w:r>
      <w:r w:rsidRPr="00E1358E">
        <w:rPr>
          <w:rFonts w:cs="Times New Roman"/>
          <w:szCs w:val="22"/>
        </w:rPr>
        <w:t xml:space="preserve"> with some HFC-407C;</w:t>
      </w:r>
    </w:p>
    <w:p w:rsidR="00431595" w:rsidRPr="00137CF8" w:rsidRDefault="00431595" w:rsidP="00E97935">
      <w:pPr>
        <w:numPr>
          <w:ilvl w:val="0"/>
          <w:numId w:val="16"/>
        </w:numPr>
        <w:rPr>
          <w:rFonts w:cs="Times New Roman"/>
          <w:szCs w:val="22"/>
        </w:rPr>
      </w:pPr>
      <w:r w:rsidRPr="00137CF8">
        <w:rPr>
          <w:rFonts w:cs="Times New Roman"/>
          <w:szCs w:val="22"/>
        </w:rPr>
        <w:t xml:space="preserve">Local hot water heat pump manufacturers (Rheem, DUX and </w:t>
      </w:r>
      <w:r w:rsidRPr="003B37F9">
        <w:rPr>
          <w:rFonts w:cs="Times New Roman"/>
          <w:szCs w:val="22"/>
        </w:rPr>
        <w:t xml:space="preserve">Quantum, and a few others) manufactured around </w:t>
      </w:r>
      <w:r w:rsidR="009F3EF5">
        <w:rPr>
          <w:rFonts w:cs="Times New Roman"/>
          <w:szCs w:val="22"/>
        </w:rPr>
        <w:t xml:space="preserve">20,000 to </w:t>
      </w:r>
      <w:r w:rsidRPr="003B37F9">
        <w:rPr>
          <w:rFonts w:cs="Times New Roman"/>
          <w:szCs w:val="22"/>
        </w:rPr>
        <w:t>25,000 units in 2013 (requiring around 2</w:t>
      </w:r>
      <w:r w:rsidR="009F3EF5">
        <w:rPr>
          <w:rFonts w:cs="Times New Roman"/>
          <w:szCs w:val="22"/>
        </w:rPr>
        <w:t>0</w:t>
      </w:r>
      <w:r w:rsidRPr="003B37F9">
        <w:rPr>
          <w:rFonts w:cs="Times New Roman"/>
          <w:szCs w:val="22"/>
        </w:rPr>
        <w:t xml:space="preserve"> tonne of HFC-134a</w:t>
      </w:r>
      <w:r w:rsidRPr="00137CF8">
        <w:rPr>
          <w:rFonts w:cs="Times New Roman"/>
          <w:szCs w:val="22"/>
        </w:rPr>
        <w:t>). Hot water heat pump annual sales peaked at over 66,000 units per annum and have recently declined due to changes to R</w:t>
      </w:r>
      <w:r w:rsidR="00C26629">
        <w:rPr>
          <w:rFonts w:cs="Times New Roman"/>
          <w:szCs w:val="22"/>
        </w:rPr>
        <w:t xml:space="preserve">enewable </w:t>
      </w:r>
      <w:r w:rsidRPr="00137CF8">
        <w:rPr>
          <w:rFonts w:cs="Times New Roman"/>
          <w:szCs w:val="22"/>
        </w:rPr>
        <w:t>E</w:t>
      </w:r>
      <w:r w:rsidR="00C26629">
        <w:rPr>
          <w:rFonts w:cs="Times New Roman"/>
          <w:szCs w:val="22"/>
        </w:rPr>
        <w:t xml:space="preserve">nergy </w:t>
      </w:r>
      <w:r w:rsidRPr="00137CF8">
        <w:rPr>
          <w:rFonts w:cs="Times New Roman"/>
          <w:szCs w:val="22"/>
        </w:rPr>
        <w:t>C</w:t>
      </w:r>
      <w:r w:rsidR="00C26629">
        <w:rPr>
          <w:rFonts w:cs="Times New Roman"/>
          <w:szCs w:val="22"/>
        </w:rPr>
        <w:t xml:space="preserve">ertificate </w:t>
      </w:r>
      <w:r w:rsidRPr="00137CF8">
        <w:rPr>
          <w:rFonts w:cs="Times New Roman"/>
          <w:szCs w:val="22"/>
        </w:rPr>
        <w:t>S</w:t>
      </w:r>
      <w:r w:rsidR="00C26629">
        <w:rPr>
          <w:rFonts w:cs="Times New Roman"/>
          <w:szCs w:val="22"/>
        </w:rPr>
        <w:t>cheme</w:t>
      </w:r>
      <w:r w:rsidRPr="00137CF8">
        <w:rPr>
          <w:rFonts w:cs="Times New Roman"/>
          <w:szCs w:val="22"/>
        </w:rPr>
        <w:t xml:space="preserve"> </w:t>
      </w:r>
      <w:r w:rsidR="00C26629">
        <w:rPr>
          <w:rFonts w:cs="Times New Roman"/>
          <w:szCs w:val="22"/>
        </w:rPr>
        <w:t xml:space="preserve">(RECS) </w:t>
      </w:r>
      <w:r w:rsidRPr="00137CF8">
        <w:rPr>
          <w:rFonts w:cs="Times New Roman"/>
          <w:szCs w:val="22"/>
        </w:rPr>
        <w:t>allowances, product reliability issues and customer perception issues (i.e. not delivering hot enough water in low temperature climates). This decline in sales also contributed to Saxon Industries in Queensland going into voluntary liquidation in 2010.</w:t>
      </w:r>
    </w:p>
    <w:p w:rsidR="00431595" w:rsidRPr="00137CF8" w:rsidRDefault="00431595" w:rsidP="001D1740">
      <w:pPr>
        <w:spacing w:before="240" w:after="120"/>
        <w:outlineLvl w:val="0"/>
        <w:rPr>
          <w:rFonts w:cs="Times New Roman"/>
          <w:b/>
          <w:szCs w:val="22"/>
        </w:rPr>
      </w:pPr>
      <w:r w:rsidRPr="00137CF8">
        <w:rPr>
          <w:rFonts w:cs="Times New Roman"/>
          <w:b/>
          <w:szCs w:val="22"/>
        </w:rPr>
        <w:t>Lower and no GWP alternatives and barriers to transition</w:t>
      </w:r>
    </w:p>
    <w:p w:rsidR="00431595" w:rsidRPr="00137CF8" w:rsidRDefault="00431595" w:rsidP="00431595">
      <w:pPr>
        <w:spacing w:after="120"/>
        <w:outlineLvl w:val="0"/>
        <w:rPr>
          <w:rFonts w:cs="Times New Roman"/>
          <w:szCs w:val="22"/>
          <w:u w:val="single"/>
        </w:rPr>
      </w:pPr>
      <w:r w:rsidRPr="00137CF8">
        <w:rPr>
          <w:rFonts w:cs="Times New Roman"/>
          <w:szCs w:val="22"/>
          <w:u w:val="single"/>
        </w:rPr>
        <w:t>Small AC</w:t>
      </w:r>
    </w:p>
    <w:p w:rsidR="00431595" w:rsidRDefault="00431595" w:rsidP="00431595">
      <w:pPr>
        <w:spacing w:after="120"/>
        <w:rPr>
          <w:rFonts w:cs="Times New Roman"/>
          <w:szCs w:val="22"/>
        </w:rPr>
      </w:pPr>
      <w:r>
        <w:rPr>
          <w:rFonts w:cs="Times New Roman"/>
          <w:szCs w:val="22"/>
        </w:rPr>
        <w:t>T</w:t>
      </w:r>
      <w:r w:rsidRPr="00137CF8">
        <w:rPr>
          <w:rFonts w:cs="Times New Roman"/>
          <w:szCs w:val="22"/>
        </w:rPr>
        <w:t>here is a large stock of small AC equipment in the eco</w:t>
      </w:r>
      <w:r>
        <w:rPr>
          <w:rFonts w:cs="Times New Roman"/>
          <w:szCs w:val="22"/>
        </w:rPr>
        <w:t xml:space="preserve">nomy, estimated to contain </w:t>
      </w:r>
      <w:r w:rsidRPr="00137CF8">
        <w:rPr>
          <w:rFonts w:cs="Times New Roman"/>
          <w:szCs w:val="22"/>
        </w:rPr>
        <w:t xml:space="preserve">close to </w:t>
      </w:r>
      <w:r w:rsidRPr="00AC2504">
        <w:rPr>
          <w:rFonts w:cs="Times New Roman"/>
          <w:szCs w:val="22"/>
        </w:rPr>
        <w:t>1,700</w:t>
      </w:r>
      <w:r w:rsidRPr="00137CF8">
        <w:rPr>
          <w:rFonts w:cs="Times New Roman"/>
          <w:szCs w:val="22"/>
        </w:rPr>
        <w:t xml:space="preserve"> tonnes of high GWP</w:t>
      </w:r>
      <w:r>
        <w:rPr>
          <w:rFonts w:cs="Times New Roman"/>
          <w:szCs w:val="22"/>
        </w:rPr>
        <w:t xml:space="preserve"> refrigerant gases, although more than 1,100 tonnes of that is HCFCs</w:t>
      </w:r>
      <w:r w:rsidRPr="00137CF8">
        <w:rPr>
          <w:rFonts w:cs="Times New Roman"/>
          <w:szCs w:val="22"/>
        </w:rPr>
        <w:t xml:space="preserve">. </w:t>
      </w:r>
    </w:p>
    <w:p w:rsidR="00431595" w:rsidRPr="00137CF8" w:rsidRDefault="00431595" w:rsidP="00431595">
      <w:pPr>
        <w:spacing w:after="120"/>
        <w:rPr>
          <w:rFonts w:cs="Times New Roman"/>
          <w:szCs w:val="22"/>
        </w:rPr>
      </w:pPr>
      <w:r w:rsidRPr="00137CF8">
        <w:rPr>
          <w:rFonts w:cs="Times New Roman"/>
          <w:szCs w:val="22"/>
        </w:rPr>
        <w:t xml:space="preserve">Total demand for bulk </w:t>
      </w:r>
      <w:r>
        <w:rPr>
          <w:rFonts w:cs="Times New Roman"/>
          <w:szCs w:val="22"/>
        </w:rPr>
        <w:t xml:space="preserve">imported </w:t>
      </w:r>
      <w:r w:rsidR="00604C40">
        <w:rPr>
          <w:rFonts w:cs="Times New Roman"/>
          <w:szCs w:val="22"/>
        </w:rPr>
        <w:t xml:space="preserve">gas </w:t>
      </w:r>
      <w:r>
        <w:rPr>
          <w:rFonts w:cs="Times New Roman"/>
          <w:szCs w:val="22"/>
        </w:rPr>
        <w:t xml:space="preserve">to service the </w:t>
      </w:r>
      <w:r w:rsidRPr="00137CF8">
        <w:rPr>
          <w:rFonts w:cs="Times New Roman"/>
          <w:szCs w:val="22"/>
        </w:rPr>
        <w:t xml:space="preserve">stock of equipment is an estimated </w:t>
      </w:r>
      <w:r w:rsidR="00B2434E">
        <w:rPr>
          <w:rFonts w:cs="Times New Roman"/>
          <w:szCs w:val="22"/>
        </w:rPr>
        <w:t>55</w:t>
      </w:r>
      <w:r w:rsidRPr="00137CF8">
        <w:rPr>
          <w:rFonts w:cs="Times New Roman"/>
          <w:szCs w:val="22"/>
        </w:rPr>
        <w:t xml:space="preserve"> tonnes in 2013.</w:t>
      </w:r>
    </w:p>
    <w:p w:rsidR="00431595" w:rsidRPr="00137CF8" w:rsidRDefault="00431595" w:rsidP="00431595">
      <w:pPr>
        <w:spacing w:after="120"/>
        <w:rPr>
          <w:rFonts w:cs="Times New Roman"/>
          <w:szCs w:val="22"/>
        </w:rPr>
      </w:pPr>
      <w:r w:rsidRPr="00137CF8">
        <w:rPr>
          <w:rFonts w:cs="Times New Roman"/>
          <w:szCs w:val="22"/>
        </w:rPr>
        <w:t xml:space="preserve">Opportunities for a transition to lower GWP working gases in the small AC appliances are limited to equipment replacement. </w:t>
      </w:r>
      <w:r>
        <w:rPr>
          <w:rFonts w:cs="Times New Roman"/>
          <w:szCs w:val="22"/>
        </w:rPr>
        <w:t>Viable and commercially available low GWP options in new equipment are available now.</w:t>
      </w:r>
    </w:p>
    <w:p w:rsidR="00431595" w:rsidRPr="00137CF8" w:rsidRDefault="00431595" w:rsidP="00431595">
      <w:pPr>
        <w:spacing w:after="120"/>
        <w:rPr>
          <w:rFonts w:cs="Times New Roman"/>
          <w:szCs w:val="22"/>
        </w:rPr>
      </w:pPr>
      <w:r>
        <w:rPr>
          <w:rFonts w:cs="Times New Roman"/>
          <w:szCs w:val="22"/>
        </w:rPr>
        <w:t>Nonetheless i</w:t>
      </w:r>
      <w:r w:rsidRPr="00137CF8">
        <w:rPr>
          <w:rFonts w:cs="Times New Roman"/>
          <w:szCs w:val="22"/>
        </w:rPr>
        <w:t>mports of small AC appliances pre-charged with high GWP HFCs are continuing and will increase service demand somewhat in the next 5 years.</w:t>
      </w:r>
    </w:p>
    <w:p w:rsidR="00431595" w:rsidRPr="00137CF8" w:rsidRDefault="00431595" w:rsidP="00431595">
      <w:pPr>
        <w:spacing w:after="120"/>
        <w:rPr>
          <w:rFonts w:cs="Times New Roman"/>
          <w:szCs w:val="22"/>
        </w:rPr>
      </w:pPr>
      <w:r w:rsidRPr="00137CF8">
        <w:rPr>
          <w:rFonts w:cs="Times New Roman"/>
          <w:szCs w:val="22"/>
        </w:rPr>
        <w:t>The majority of all equipment classified as small AC are Window/Wall units</w:t>
      </w:r>
      <w:r w:rsidR="00ED57BE">
        <w:rPr>
          <w:rFonts w:cs="Times New Roman"/>
          <w:szCs w:val="22"/>
        </w:rPr>
        <w:t>, many</w:t>
      </w:r>
      <w:r w:rsidRPr="00137CF8">
        <w:rPr>
          <w:rFonts w:cs="Times New Roman"/>
          <w:szCs w:val="22"/>
        </w:rPr>
        <w:t xml:space="preserve"> charged with HCFCs.  Of the approximately </w:t>
      </w:r>
      <w:r w:rsidRPr="00AC2504">
        <w:rPr>
          <w:rFonts w:cs="Times New Roman"/>
          <w:szCs w:val="22"/>
        </w:rPr>
        <w:t>2.4</w:t>
      </w:r>
      <w:r w:rsidRPr="00137CF8">
        <w:rPr>
          <w:rFonts w:cs="Times New Roman"/>
          <w:szCs w:val="22"/>
        </w:rPr>
        <w:t xml:space="preserve"> million window/wall and portable AC units estimated to be in operation, more than </w:t>
      </w:r>
      <w:r w:rsidRPr="00AC2504">
        <w:rPr>
          <w:rFonts w:cs="Times New Roman"/>
          <w:szCs w:val="22"/>
        </w:rPr>
        <w:t>1.5</w:t>
      </w:r>
      <w:r w:rsidRPr="00137CF8">
        <w:rPr>
          <w:rFonts w:cs="Times New Roman"/>
          <w:szCs w:val="22"/>
        </w:rPr>
        <w:t xml:space="preserve"> million are charged with HCFCs representing a bank of some </w:t>
      </w:r>
      <w:r w:rsidRPr="00AC2504">
        <w:rPr>
          <w:rFonts w:cs="Times New Roman"/>
          <w:szCs w:val="22"/>
        </w:rPr>
        <w:t>1,100</w:t>
      </w:r>
      <w:r w:rsidRPr="00137CF8">
        <w:rPr>
          <w:rFonts w:cs="Times New Roman"/>
          <w:szCs w:val="22"/>
        </w:rPr>
        <w:t xml:space="preserve"> tonnes of HCFC. With a leak rate of around </w:t>
      </w:r>
      <w:r w:rsidRPr="00AC2504">
        <w:rPr>
          <w:rFonts w:cs="Times New Roman"/>
          <w:szCs w:val="22"/>
        </w:rPr>
        <w:t>3%</w:t>
      </w:r>
      <w:r w:rsidRPr="00137CF8">
        <w:rPr>
          <w:rFonts w:cs="Times New Roman"/>
          <w:szCs w:val="22"/>
        </w:rPr>
        <w:t xml:space="preserve"> this bank required around 33 tonnes of HCFCs in 2013 to service equipment.</w:t>
      </w:r>
    </w:p>
    <w:p w:rsidR="00431595" w:rsidRPr="00137CF8" w:rsidRDefault="00431595" w:rsidP="00431595">
      <w:pPr>
        <w:spacing w:after="120"/>
        <w:rPr>
          <w:rFonts w:cs="Times New Roman"/>
          <w:szCs w:val="22"/>
        </w:rPr>
      </w:pPr>
      <w:r w:rsidRPr="00137CF8">
        <w:rPr>
          <w:rFonts w:cs="Times New Roman"/>
          <w:szCs w:val="22"/>
        </w:rPr>
        <w:t>This stock of HCFC charged equipment is not being replenished and as such is declining rapidly. It is estimated that by 2025 it will be virtually non-existent.</w:t>
      </w:r>
    </w:p>
    <w:p w:rsidR="00431595" w:rsidRPr="00137CF8" w:rsidRDefault="00431595" w:rsidP="00431595">
      <w:pPr>
        <w:spacing w:after="120"/>
        <w:rPr>
          <w:rFonts w:cs="Times New Roman"/>
          <w:szCs w:val="22"/>
        </w:rPr>
      </w:pPr>
      <w:r w:rsidRPr="00137CF8">
        <w:rPr>
          <w:rFonts w:cs="Times New Roman"/>
          <w:szCs w:val="22"/>
        </w:rPr>
        <w:t>Approximately 6</w:t>
      </w:r>
      <w:r w:rsidR="00ED57BE">
        <w:rPr>
          <w:rFonts w:cs="Times New Roman"/>
          <w:szCs w:val="22"/>
        </w:rPr>
        <w:t>80</w:t>
      </w:r>
      <w:r w:rsidRPr="00137CF8">
        <w:rPr>
          <w:rFonts w:cs="Times New Roman"/>
          <w:szCs w:val="22"/>
        </w:rPr>
        <w:t>,000 units charged with HFC-410A contain some 4</w:t>
      </w:r>
      <w:r w:rsidR="00ED57BE">
        <w:rPr>
          <w:rFonts w:cs="Times New Roman"/>
          <w:szCs w:val="22"/>
        </w:rPr>
        <w:t>90</w:t>
      </w:r>
      <w:r w:rsidRPr="00137CF8">
        <w:rPr>
          <w:rFonts w:cs="Times New Roman"/>
          <w:szCs w:val="22"/>
        </w:rPr>
        <w:t xml:space="preserve"> tonnes of this high GWP HFC. On present projections this number will double, growing to a peak of about 1.3 million units by 2020, requiring about 28 tonnes of bulk imports of HFC-410A in that year (up from around 14 tonnes per annum now) to service the equipment.</w:t>
      </w:r>
    </w:p>
    <w:p w:rsidR="00431595" w:rsidRPr="00137CF8" w:rsidRDefault="00431595" w:rsidP="00431595">
      <w:pPr>
        <w:spacing w:after="120"/>
        <w:rPr>
          <w:rFonts w:cs="Times New Roman"/>
          <w:szCs w:val="22"/>
        </w:rPr>
      </w:pPr>
      <w:r w:rsidRPr="00137CF8">
        <w:rPr>
          <w:rFonts w:cs="Times New Roman"/>
          <w:szCs w:val="22"/>
        </w:rPr>
        <w:t>After 2020 the HFC-410A stock of small AC equipment is expected to decline, gradually at first, but more rapidly by 2025 as older equipment reaches end of life. In 2025 the transition model predicts that this equipment will still create demand for some 18 tonnes of bulk imports for service.</w:t>
      </w:r>
    </w:p>
    <w:p w:rsidR="00431595" w:rsidRPr="00137CF8" w:rsidRDefault="00431595" w:rsidP="00431595">
      <w:pPr>
        <w:spacing w:after="120"/>
        <w:rPr>
          <w:rFonts w:cs="Times New Roman"/>
          <w:szCs w:val="22"/>
        </w:rPr>
      </w:pPr>
      <w:r w:rsidRPr="00137CF8">
        <w:rPr>
          <w:rFonts w:cs="Times New Roman"/>
          <w:szCs w:val="22"/>
        </w:rPr>
        <w:t xml:space="preserve">A smaller population of HFC-407C charged small AC, of around </w:t>
      </w:r>
      <w:r>
        <w:rPr>
          <w:rFonts w:cs="Times New Roman"/>
          <w:szCs w:val="22"/>
        </w:rPr>
        <w:t>13</w:t>
      </w:r>
      <w:r w:rsidR="00ED57BE">
        <w:rPr>
          <w:rFonts w:cs="Times New Roman"/>
          <w:szCs w:val="22"/>
        </w:rPr>
        <w:t>0</w:t>
      </w:r>
      <w:r w:rsidRPr="00AC2504">
        <w:rPr>
          <w:rFonts w:cs="Times New Roman"/>
          <w:szCs w:val="22"/>
        </w:rPr>
        <w:t>,000</w:t>
      </w:r>
      <w:r w:rsidRPr="00137CF8">
        <w:rPr>
          <w:rFonts w:cs="Times New Roman"/>
          <w:szCs w:val="22"/>
        </w:rPr>
        <w:t xml:space="preserve"> appliances containing an estimated </w:t>
      </w:r>
      <w:r w:rsidRPr="00F7122C">
        <w:rPr>
          <w:rFonts w:cs="Times New Roman"/>
          <w:szCs w:val="22"/>
        </w:rPr>
        <w:t>95</w:t>
      </w:r>
      <w:r w:rsidRPr="00137CF8">
        <w:rPr>
          <w:rFonts w:cs="Times New Roman"/>
          <w:szCs w:val="22"/>
        </w:rPr>
        <w:t xml:space="preserve"> tonnes of this high GWP HFC was estimated to have required about </w:t>
      </w:r>
      <w:r w:rsidRPr="00F7122C">
        <w:rPr>
          <w:rFonts w:cs="Times New Roman"/>
          <w:szCs w:val="22"/>
        </w:rPr>
        <w:t>3</w:t>
      </w:r>
      <w:r w:rsidRPr="00137CF8">
        <w:rPr>
          <w:rFonts w:cs="Times New Roman"/>
          <w:szCs w:val="22"/>
        </w:rPr>
        <w:t xml:space="preserve"> tonnes of bulk imports for service needs in 2013. This stock of equipment is expected to decline reasonably rapidly until it is essentially gone from the economy by 2025.</w:t>
      </w:r>
    </w:p>
    <w:p w:rsidR="00431595" w:rsidRPr="00137CF8" w:rsidRDefault="00431595" w:rsidP="00431595">
      <w:pPr>
        <w:spacing w:after="120"/>
        <w:rPr>
          <w:rFonts w:cs="Times New Roman"/>
          <w:szCs w:val="22"/>
        </w:rPr>
      </w:pPr>
      <w:r w:rsidRPr="00137CF8">
        <w:rPr>
          <w:rFonts w:cs="Times New Roman"/>
          <w:szCs w:val="22"/>
        </w:rPr>
        <w:t xml:space="preserve">The total stock of small AC equipment from 2014 to 2025 is expected to decrease overall from around </w:t>
      </w:r>
      <w:r w:rsidRPr="00F7122C">
        <w:rPr>
          <w:rFonts w:cs="Times New Roman"/>
          <w:szCs w:val="22"/>
        </w:rPr>
        <w:t>2.4</w:t>
      </w:r>
      <w:r w:rsidRPr="00137CF8">
        <w:rPr>
          <w:rFonts w:cs="Times New Roman"/>
          <w:szCs w:val="22"/>
        </w:rPr>
        <w:t xml:space="preserve"> million units now to around </w:t>
      </w:r>
      <w:r w:rsidR="00ED57BE">
        <w:rPr>
          <w:rFonts w:cs="Times New Roman"/>
          <w:szCs w:val="22"/>
        </w:rPr>
        <w:t>1.44</w:t>
      </w:r>
      <w:r w:rsidRPr="00F7122C">
        <w:rPr>
          <w:rFonts w:cs="Times New Roman"/>
          <w:szCs w:val="22"/>
        </w:rPr>
        <w:t xml:space="preserve"> million</w:t>
      </w:r>
      <w:r w:rsidRPr="00137CF8">
        <w:rPr>
          <w:rFonts w:cs="Times New Roman"/>
          <w:szCs w:val="22"/>
        </w:rPr>
        <w:t xml:space="preserve"> units as window/wall units reach end of life and are replaced by modern and more efficient wall hung split systems.</w:t>
      </w:r>
    </w:p>
    <w:p w:rsidR="00431595" w:rsidRPr="00137CF8" w:rsidRDefault="00431595" w:rsidP="00431595">
      <w:pPr>
        <w:spacing w:after="120"/>
        <w:rPr>
          <w:rFonts w:cs="Times New Roman"/>
          <w:szCs w:val="22"/>
        </w:rPr>
      </w:pPr>
      <w:r w:rsidRPr="00137CF8">
        <w:rPr>
          <w:rFonts w:cs="Times New Roman"/>
          <w:szCs w:val="22"/>
        </w:rPr>
        <w:t>Generally speaking, like refrigerators, when appliances from this class of small AC are disposed of it is because they have stopped working, many of them because of either compressor failure or loss of refrigerant charge. This fact, combined with the very small charges in small AC at any rate, makes end-of-life recovery of HFCs from small AC economically challenging. As a result many will contain very little residual charge, so the existing stock of equipment that is charged with HFCs is not likely to provide much material for recovery that might reduce demand for bulk imports for some other equipment type.</w:t>
      </w:r>
    </w:p>
    <w:p w:rsidR="00431595" w:rsidRPr="00137CF8" w:rsidRDefault="00431595" w:rsidP="00431595">
      <w:pPr>
        <w:spacing w:after="120"/>
        <w:rPr>
          <w:rFonts w:cs="Times New Roman"/>
          <w:szCs w:val="22"/>
        </w:rPr>
      </w:pPr>
      <w:r w:rsidRPr="00137CF8">
        <w:rPr>
          <w:rFonts w:cs="Times New Roman"/>
          <w:szCs w:val="22"/>
        </w:rPr>
        <w:t xml:space="preserve">New small AC equipment charged with low GWP refrigerants is readily available. HC-290 seems to be preferred over HC-1270 for smaller capacity systems (UNEP 2013c, p3). As an example, in Australia DeLonghi has been importing portable </w:t>
      </w:r>
      <w:r w:rsidR="004B0648">
        <w:rPr>
          <w:rFonts w:cs="Times New Roman"/>
          <w:szCs w:val="22"/>
        </w:rPr>
        <w:t>AC</w:t>
      </w:r>
      <w:r w:rsidRPr="00137CF8">
        <w:rPr>
          <w:rFonts w:cs="Times New Roman"/>
          <w:szCs w:val="22"/>
        </w:rPr>
        <w:t xml:space="preserve"> units in commercial volumes containing HC-290 for three to four years. Several other companies are producing small portable systems charged with HCs that are sold into other markets.</w:t>
      </w:r>
    </w:p>
    <w:p w:rsidR="00431595" w:rsidRDefault="00431595" w:rsidP="00431595">
      <w:pPr>
        <w:spacing w:after="120"/>
        <w:rPr>
          <w:rFonts w:cs="Times New Roman"/>
          <w:szCs w:val="22"/>
        </w:rPr>
      </w:pPr>
      <w:r w:rsidRPr="00137CF8">
        <w:rPr>
          <w:rFonts w:cs="Times New Roman"/>
          <w:szCs w:val="22"/>
        </w:rPr>
        <w:t xml:space="preserve">HC-290 charged window units are under development and available in some overseas markets, and are expected to emerge as a technically and commercially feasible option in Australia. </w:t>
      </w:r>
    </w:p>
    <w:p w:rsidR="00431595" w:rsidRDefault="00431595" w:rsidP="00431595">
      <w:pPr>
        <w:spacing w:after="120"/>
        <w:rPr>
          <w:rFonts w:cs="Times New Roman"/>
          <w:szCs w:val="22"/>
        </w:rPr>
      </w:pPr>
      <w:r>
        <w:rPr>
          <w:rFonts w:cs="Times New Roman"/>
          <w:szCs w:val="22"/>
        </w:rPr>
        <w:t>Small AC units charged with less than 1</w:t>
      </w:r>
      <w:r w:rsidR="00ED57BE">
        <w:rPr>
          <w:rFonts w:cs="Times New Roman"/>
          <w:szCs w:val="22"/>
        </w:rPr>
        <w:t xml:space="preserve"> </w:t>
      </w:r>
      <w:r>
        <w:rPr>
          <w:rFonts w:cs="Times New Roman"/>
          <w:szCs w:val="22"/>
        </w:rPr>
        <w:t>kg of HCs are expected to grow steadily from their present low base to reach more than 190,000 units in 2025</w:t>
      </w:r>
      <w:r w:rsidR="00C04912">
        <w:rPr>
          <w:rFonts w:cs="Times New Roman"/>
          <w:szCs w:val="22"/>
        </w:rPr>
        <w:t xml:space="preserve">, equal to </w:t>
      </w:r>
      <w:r w:rsidR="00ED57BE">
        <w:rPr>
          <w:rFonts w:cs="Times New Roman"/>
          <w:szCs w:val="22"/>
        </w:rPr>
        <w:t>13%</w:t>
      </w:r>
      <w:r w:rsidR="00C04912">
        <w:rPr>
          <w:rFonts w:cs="Times New Roman"/>
          <w:szCs w:val="22"/>
        </w:rPr>
        <w:t xml:space="preserve"> (by equivalent refrigerant volume) of the total stock of equipment in this class</w:t>
      </w:r>
      <w:r>
        <w:rPr>
          <w:rFonts w:cs="Times New Roman"/>
          <w:szCs w:val="22"/>
        </w:rPr>
        <w:t>.</w:t>
      </w:r>
    </w:p>
    <w:p w:rsidR="00431595" w:rsidRDefault="00431595" w:rsidP="00431595">
      <w:pPr>
        <w:spacing w:after="120"/>
        <w:rPr>
          <w:rFonts w:cs="Times New Roman"/>
          <w:szCs w:val="22"/>
        </w:rPr>
      </w:pPr>
      <w:r>
        <w:rPr>
          <w:rFonts w:cs="Times New Roman"/>
          <w:szCs w:val="22"/>
        </w:rPr>
        <w:t>HFC-32 models are in advanced stages of</w:t>
      </w:r>
      <w:r w:rsidRPr="00137CF8">
        <w:rPr>
          <w:rFonts w:cs="Times New Roman"/>
          <w:szCs w:val="22"/>
        </w:rPr>
        <w:t xml:space="preserve"> development and are expected to b</w:t>
      </w:r>
      <w:r>
        <w:rPr>
          <w:rFonts w:cs="Times New Roman"/>
          <w:szCs w:val="22"/>
        </w:rPr>
        <w:t>e available in Australia in 2015</w:t>
      </w:r>
      <w:r w:rsidRPr="00137CF8">
        <w:rPr>
          <w:rFonts w:cs="Times New Roman"/>
          <w:szCs w:val="22"/>
        </w:rPr>
        <w:t>.</w:t>
      </w:r>
      <w:r>
        <w:rPr>
          <w:rFonts w:cs="Times New Roman"/>
          <w:szCs w:val="22"/>
        </w:rPr>
        <w:t xml:space="preserve"> Small AC appliances charged with HFC-32 are expected to grow strongly from 2015 reaching a total stock greater than 4</w:t>
      </w:r>
      <w:r w:rsidR="00136426">
        <w:rPr>
          <w:rFonts w:cs="Times New Roman"/>
          <w:szCs w:val="22"/>
        </w:rPr>
        <w:t>2</w:t>
      </w:r>
      <w:r>
        <w:rPr>
          <w:rFonts w:cs="Times New Roman"/>
          <w:szCs w:val="22"/>
        </w:rPr>
        <w:t>0,000 units by 2025.</w:t>
      </w:r>
    </w:p>
    <w:p w:rsidR="00431595" w:rsidRPr="00137CF8" w:rsidRDefault="00431595" w:rsidP="00431595">
      <w:pPr>
        <w:spacing w:after="120"/>
        <w:rPr>
          <w:rFonts w:cs="Times New Roman"/>
          <w:szCs w:val="22"/>
        </w:rPr>
      </w:pPr>
      <w:r>
        <w:rPr>
          <w:rFonts w:cs="Times New Roman"/>
          <w:szCs w:val="22"/>
        </w:rPr>
        <w:t>HFO blends affordable enough to be suitable for small AC are expected to be commercially available after 2020 and are predicted to grow slowly as a late entrant into this relatively small market.</w:t>
      </w:r>
    </w:p>
    <w:p w:rsidR="00431595" w:rsidRPr="00137CF8" w:rsidRDefault="00431595" w:rsidP="00431595">
      <w:pPr>
        <w:spacing w:after="120"/>
        <w:rPr>
          <w:rFonts w:cs="Times New Roman"/>
          <w:szCs w:val="22"/>
        </w:rPr>
      </w:pPr>
      <w:r w:rsidRPr="00137CF8">
        <w:rPr>
          <w:rFonts w:cs="Times New Roman"/>
          <w:szCs w:val="22"/>
        </w:rPr>
        <w:t xml:space="preserve">Ammonia (R717) has so far not been used in these systems due to limitations on its use in occupied spaces related to safety and toxicity concerns, and commercial barriers (cannot construct with copper or copper alloys). </w:t>
      </w:r>
    </w:p>
    <w:p w:rsidR="00431595" w:rsidRPr="00137CF8" w:rsidRDefault="00431595" w:rsidP="00431595">
      <w:pPr>
        <w:spacing w:after="120"/>
        <w:rPr>
          <w:rFonts w:cs="Times New Roman"/>
          <w:szCs w:val="22"/>
        </w:rPr>
      </w:pPr>
      <w:r w:rsidRPr="00137CF8">
        <w:rPr>
          <w:rFonts w:cs="Times New Roman"/>
          <w:szCs w:val="22"/>
        </w:rPr>
        <w:t>CO</w:t>
      </w:r>
      <w:r w:rsidRPr="00137CF8">
        <w:rPr>
          <w:rFonts w:cs="Times New Roman"/>
          <w:szCs w:val="22"/>
          <w:vertAlign w:val="subscript"/>
        </w:rPr>
        <w:t>2</w:t>
      </w:r>
      <w:r w:rsidRPr="00137CF8">
        <w:rPr>
          <w:rFonts w:cs="Times New Roman"/>
          <w:szCs w:val="22"/>
        </w:rPr>
        <w:t xml:space="preserve"> (R744) is not widely considered for use in small AC. The main barriers are related to efficiency and the cost implications of its very high operating pressure. However, there is development work underway on units for specific purposes, where both cooling and heating is needed (UNEP 2013c, p3).</w:t>
      </w:r>
    </w:p>
    <w:p w:rsidR="00431595" w:rsidRPr="00137CF8" w:rsidRDefault="00431595" w:rsidP="00431595">
      <w:pPr>
        <w:spacing w:before="240"/>
        <w:outlineLvl w:val="0"/>
        <w:rPr>
          <w:rFonts w:cs="Times New Roman"/>
          <w:szCs w:val="22"/>
          <w:u w:val="single"/>
        </w:rPr>
      </w:pPr>
      <w:r w:rsidRPr="00137CF8">
        <w:rPr>
          <w:rFonts w:cs="Times New Roman"/>
          <w:b/>
          <w:szCs w:val="22"/>
          <w:u w:val="single"/>
        </w:rPr>
        <w:t>Medium AC</w:t>
      </w:r>
      <w:r w:rsidRPr="00137CF8">
        <w:rPr>
          <w:rFonts w:cs="Times New Roman"/>
          <w:szCs w:val="22"/>
          <w:u w:val="single"/>
        </w:rPr>
        <w:t>: Split systems including wall hung, ducted and VRF, and roof top packaged systems</w:t>
      </w:r>
    </w:p>
    <w:p w:rsidR="00431595" w:rsidRPr="00137CF8" w:rsidRDefault="00431595" w:rsidP="00431595">
      <w:pPr>
        <w:rPr>
          <w:rFonts w:cs="Times New Roman"/>
          <w:szCs w:val="22"/>
        </w:rPr>
      </w:pPr>
      <w:r w:rsidRPr="00137CF8">
        <w:rPr>
          <w:rFonts w:cs="Times New Roman"/>
          <w:szCs w:val="22"/>
        </w:rPr>
        <w:t xml:space="preserve">By far the largest group numerically, containing the largest aggregate bank of working gas, and requiring </w:t>
      </w:r>
      <w:r>
        <w:rPr>
          <w:rFonts w:cs="Times New Roman"/>
          <w:szCs w:val="22"/>
        </w:rPr>
        <w:t xml:space="preserve">a significant </w:t>
      </w:r>
      <w:r w:rsidRPr="00137CF8">
        <w:rPr>
          <w:rFonts w:cs="Times New Roman"/>
          <w:szCs w:val="22"/>
        </w:rPr>
        <w:t xml:space="preserve">volume of </w:t>
      </w:r>
      <w:r>
        <w:rPr>
          <w:rFonts w:cs="Times New Roman"/>
          <w:szCs w:val="22"/>
        </w:rPr>
        <w:t xml:space="preserve">all </w:t>
      </w:r>
      <w:r w:rsidRPr="00137CF8">
        <w:rPr>
          <w:rFonts w:cs="Times New Roman"/>
          <w:szCs w:val="22"/>
        </w:rPr>
        <w:t>annual HFC bulk imports to service it, the medium AC class o</w:t>
      </w:r>
      <w:r>
        <w:rPr>
          <w:rFonts w:cs="Times New Roman"/>
          <w:szCs w:val="22"/>
        </w:rPr>
        <w:t>f equipment has a number of</w:t>
      </w:r>
      <w:r w:rsidRPr="00137CF8">
        <w:rPr>
          <w:rFonts w:cs="Times New Roman"/>
          <w:szCs w:val="22"/>
        </w:rPr>
        <w:t xml:space="preserve"> demonstrated and rapidly emerging options to shift away from hig</w:t>
      </w:r>
      <w:r>
        <w:rPr>
          <w:rFonts w:cs="Times New Roman"/>
          <w:szCs w:val="22"/>
        </w:rPr>
        <w:t>h GWP working gases, at least for</w:t>
      </w:r>
      <w:r w:rsidRPr="00137CF8">
        <w:rPr>
          <w:rFonts w:cs="Times New Roman"/>
          <w:szCs w:val="22"/>
        </w:rPr>
        <w:t xml:space="preserve"> new equipment. HFC-32 particularly is likely to rapidly </w:t>
      </w:r>
      <w:r>
        <w:rPr>
          <w:rFonts w:cs="Times New Roman"/>
          <w:szCs w:val="22"/>
        </w:rPr>
        <w:t xml:space="preserve">grow a substantial share of </w:t>
      </w:r>
      <w:r w:rsidRPr="00137CF8">
        <w:rPr>
          <w:rFonts w:cs="Times New Roman"/>
          <w:szCs w:val="22"/>
        </w:rPr>
        <w:t>this class of equipment as the predominant high GWP HFCs are phased out.</w:t>
      </w:r>
    </w:p>
    <w:p w:rsidR="00431595" w:rsidRPr="00137CF8" w:rsidRDefault="00431595" w:rsidP="00431595">
      <w:pPr>
        <w:rPr>
          <w:rFonts w:cs="Times New Roman"/>
          <w:szCs w:val="22"/>
        </w:rPr>
      </w:pPr>
      <w:r w:rsidRPr="00137CF8">
        <w:rPr>
          <w:rFonts w:cs="Times New Roman"/>
          <w:szCs w:val="22"/>
        </w:rPr>
        <w:t>With an estimated total stock of</w:t>
      </w:r>
      <w:r w:rsidR="00136426">
        <w:rPr>
          <w:rFonts w:cs="Times New Roman"/>
          <w:szCs w:val="22"/>
        </w:rPr>
        <w:t xml:space="preserve"> equipment in 2013 of around 9.4</w:t>
      </w:r>
      <w:r w:rsidRPr="00137CF8">
        <w:rPr>
          <w:rFonts w:cs="Times New Roman"/>
          <w:szCs w:val="22"/>
        </w:rPr>
        <w:t xml:space="preserve"> million pieces, containi</w:t>
      </w:r>
      <w:r w:rsidR="00136426">
        <w:rPr>
          <w:rFonts w:cs="Times New Roman"/>
          <w:szCs w:val="22"/>
        </w:rPr>
        <w:t>ng a total of approximately 23,5</w:t>
      </w:r>
      <w:r w:rsidRPr="00137CF8">
        <w:rPr>
          <w:rFonts w:cs="Times New Roman"/>
          <w:szCs w:val="22"/>
        </w:rPr>
        <w:t>00 tonnes o</w:t>
      </w:r>
      <w:r w:rsidR="00136426">
        <w:rPr>
          <w:rFonts w:cs="Times New Roman"/>
          <w:szCs w:val="22"/>
        </w:rPr>
        <w:t>f refrigerant gases (around 16,9</w:t>
      </w:r>
      <w:r w:rsidRPr="00137CF8">
        <w:rPr>
          <w:rFonts w:cs="Times New Roman"/>
          <w:szCs w:val="22"/>
        </w:rPr>
        <w:t xml:space="preserve">00 tonnes of HFC, and </w:t>
      </w:r>
      <w:r w:rsidR="00136426">
        <w:rPr>
          <w:rFonts w:cs="Times New Roman"/>
          <w:szCs w:val="22"/>
        </w:rPr>
        <w:t>6,600</w:t>
      </w:r>
      <w:r w:rsidRPr="00137CF8">
        <w:rPr>
          <w:rFonts w:cs="Times New Roman"/>
          <w:szCs w:val="22"/>
        </w:rPr>
        <w:t xml:space="preserve"> tonnes of HCFCs), this class of equipment presently result</w:t>
      </w:r>
      <w:r>
        <w:rPr>
          <w:rFonts w:cs="Times New Roman"/>
          <w:szCs w:val="22"/>
        </w:rPr>
        <w:t xml:space="preserve">s in the import of more than </w:t>
      </w:r>
      <w:r w:rsidR="00136426">
        <w:rPr>
          <w:rFonts w:cs="Times New Roman"/>
          <w:szCs w:val="22"/>
        </w:rPr>
        <w:t>480</w:t>
      </w:r>
      <w:r w:rsidRPr="00137CF8">
        <w:rPr>
          <w:rFonts w:cs="Times New Roman"/>
          <w:szCs w:val="22"/>
        </w:rPr>
        <w:t xml:space="preserve"> tonnes of bulk HFCs every year to service leaks, and a further </w:t>
      </w:r>
      <w:r w:rsidR="00136426">
        <w:rPr>
          <w:rFonts w:cs="Times New Roman"/>
          <w:szCs w:val="22"/>
        </w:rPr>
        <w:t>164</w:t>
      </w:r>
      <w:r w:rsidRPr="00137CF8">
        <w:rPr>
          <w:rFonts w:cs="Times New Roman"/>
          <w:szCs w:val="22"/>
        </w:rPr>
        <w:t xml:space="preserve"> tonnes per annum for use by OEMs</w:t>
      </w:r>
      <w:r>
        <w:rPr>
          <w:rFonts w:cs="Times New Roman"/>
          <w:szCs w:val="22"/>
        </w:rPr>
        <w:t xml:space="preserve"> </w:t>
      </w:r>
      <w:r w:rsidR="00136426">
        <w:rPr>
          <w:rFonts w:cs="Times New Roman"/>
          <w:szCs w:val="22"/>
        </w:rPr>
        <w:t xml:space="preserve">and charging new equipment </w:t>
      </w:r>
      <w:r>
        <w:rPr>
          <w:rFonts w:cs="Times New Roman"/>
          <w:szCs w:val="22"/>
        </w:rPr>
        <w:t xml:space="preserve">(together a total of some </w:t>
      </w:r>
      <w:r w:rsidR="00136426">
        <w:rPr>
          <w:rFonts w:cs="Times New Roman"/>
          <w:szCs w:val="22"/>
        </w:rPr>
        <w:t>670</w:t>
      </w:r>
      <w:r w:rsidRPr="00137CF8">
        <w:rPr>
          <w:rFonts w:cs="Times New Roman"/>
          <w:szCs w:val="22"/>
        </w:rPr>
        <w:t xml:space="preserve"> tonnes of bulk HFCs or </w:t>
      </w:r>
      <w:r w:rsidR="00136426">
        <w:rPr>
          <w:rFonts w:cs="Times New Roman"/>
          <w:szCs w:val="22"/>
        </w:rPr>
        <w:t>more than 17</w:t>
      </w:r>
      <w:r w:rsidRPr="00451F62">
        <w:rPr>
          <w:rFonts w:cs="Times New Roman"/>
          <w:szCs w:val="22"/>
        </w:rPr>
        <w:t>% of</w:t>
      </w:r>
      <w:r w:rsidRPr="00137CF8">
        <w:rPr>
          <w:rFonts w:cs="Times New Roman"/>
          <w:szCs w:val="22"/>
        </w:rPr>
        <w:t xml:space="preserve"> all </w:t>
      </w:r>
      <w:r w:rsidR="00136426">
        <w:rPr>
          <w:rFonts w:cs="Times New Roman"/>
          <w:szCs w:val="22"/>
        </w:rPr>
        <w:t xml:space="preserve">consumption </w:t>
      </w:r>
      <w:r w:rsidRPr="00137CF8">
        <w:rPr>
          <w:rFonts w:cs="Times New Roman"/>
          <w:szCs w:val="22"/>
        </w:rPr>
        <w:t>in 2013).</w:t>
      </w:r>
    </w:p>
    <w:p w:rsidR="00431595" w:rsidRPr="00137CF8" w:rsidRDefault="00431595" w:rsidP="00431595">
      <w:pPr>
        <w:rPr>
          <w:rFonts w:cs="Times New Roman"/>
          <w:szCs w:val="22"/>
        </w:rPr>
      </w:pPr>
      <w:r w:rsidRPr="00137CF8">
        <w:rPr>
          <w:rFonts w:cs="Times New Roman"/>
          <w:szCs w:val="22"/>
        </w:rPr>
        <w:t>Overall</w:t>
      </w:r>
      <w:r>
        <w:rPr>
          <w:rFonts w:cs="Times New Roman"/>
          <w:szCs w:val="22"/>
        </w:rPr>
        <w:t>, compared to the extraordinary market growth witnessed in the decade to 2012,</w:t>
      </w:r>
      <w:r w:rsidRPr="00137CF8">
        <w:rPr>
          <w:rFonts w:cs="Times New Roman"/>
          <w:szCs w:val="22"/>
        </w:rPr>
        <w:t xml:space="preserve"> the transition model is projecting this class of medium AC to grow at a relatively modest </w:t>
      </w:r>
      <w:r w:rsidR="00136426">
        <w:rPr>
          <w:rFonts w:cs="Times New Roman"/>
          <w:szCs w:val="22"/>
        </w:rPr>
        <w:t>rate from the total of about 9.4</w:t>
      </w:r>
      <w:r w:rsidRPr="00137CF8">
        <w:rPr>
          <w:rFonts w:cs="Times New Roman"/>
          <w:szCs w:val="22"/>
        </w:rPr>
        <w:t xml:space="preserve"> million units now to around 12.1 million units in 2025.</w:t>
      </w:r>
    </w:p>
    <w:p w:rsidR="00431595" w:rsidRPr="00137CF8" w:rsidRDefault="00136426" w:rsidP="00431595">
      <w:pPr>
        <w:rPr>
          <w:rFonts w:cs="Times New Roman"/>
          <w:szCs w:val="22"/>
        </w:rPr>
      </w:pPr>
      <w:r>
        <w:rPr>
          <w:rFonts w:cs="Times New Roman"/>
          <w:szCs w:val="22"/>
        </w:rPr>
        <w:t>Of the estimated 6.6</w:t>
      </w:r>
      <w:r w:rsidR="00431595" w:rsidRPr="00137CF8">
        <w:rPr>
          <w:rFonts w:cs="Times New Roman"/>
          <w:szCs w:val="22"/>
        </w:rPr>
        <w:t xml:space="preserve"> million units charged with high GWP HFCs in 2013 the majority (around 6.5 million) are charged with HFC-410A.</w:t>
      </w:r>
    </w:p>
    <w:p w:rsidR="00431595" w:rsidRPr="00137CF8" w:rsidRDefault="00431595" w:rsidP="00431595">
      <w:pPr>
        <w:rPr>
          <w:rFonts w:cs="Times New Roman"/>
          <w:szCs w:val="22"/>
        </w:rPr>
      </w:pPr>
      <w:r w:rsidRPr="00137CF8">
        <w:rPr>
          <w:rFonts w:cs="Times New Roman"/>
          <w:szCs w:val="22"/>
        </w:rPr>
        <w:t>This predominance of HFC-410A was a result of its rapid adoption from 2003, particularly for mini-split air conditioners, as HCFC-22 was phased out. In a period of 8 years up to 2010 HFC-410A charged systems have grown from being approximately 1% of new units installed to comprising approximately 97% of all systems in the medium AC class.</w:t>
      </w:r>
    </w:p>
    <w:p w:rsidR="00431595" w:rsidRPr="00137CF8" w:rsidRDefault="00431595" w:rsidP="00431595">
      <w:pPr>
        <w:rPr>
          <w:rFonts w:cs="Times New Roman"/>
          <w:szCs w:val="22"/>
        </w:rPr>
      </w:pPr>
      <w:r w:rsidRPr="00137CF8">
        <w:rPr>
          <w:rFonts w:cs="Times New Roman"/>
          <w:szCs w:val="22"/>
        </w:rPr>
        <w:t>The transition model projects that the stock of HFC-410A charged equipment will grow substantially to around 9.</w:t>
      </w:r>
      <w:r w:rsidR="0071756C">
        <w:rPr>
          <w:rFonts w:cs="Times New Roman"/>
          <w:szCs w:val="22"/>
        </w:rPr>
        <w:t xml:space="preserve">5 </w:t>
      </w:r>
      <w:r w:rsidRPr="00137CF8">
        <w:rPr>
          <w:rFonts w:cs="Times New Roman"/>
          <w:szCs w:val="22"/>
        </w:rPr>
        <w:t>million units in 2019 with containing approximately 2</w:t>
      </w:r>
      <w:r w:rsidR="0071756C">
        <w:rPr>
          <w:rFonts w:cs="Times New Roman"/>
          <w:szCs w:val="22"/>
        </w:rPr>
        <w:t>4</w:t>
      </w:r>
      <w:r w:rsidRPr="00137CF8">
        <w:rPr>
          <w:rFonts w:cs="Times New Roman"/>
          <w:szCs w:val="22"/>
        </w:rPr>
        <w:t>,000 tonnes of refrigerant. This stock is then predicted to decline rapidly to some 5.8 million units containing around 1</w:t>
      </w:r>
      <w:r w:rsidR="0071756C">
        <w:rPr>
          <w:rFonts w:cs="Times New Roman"/>
          <w:szCs w:val="22"/>
        </w:rPr>
        <w:t>6</w:t>
      </w:r>
      <w:r w:rsidRPr="00137CF8">
        <w:rPr>
          <w:rFonts w:cs="Times New Roman"/>
          <w:szCs w:val="22"/>
        </w:rPr>
        <w:t>,</w:t>
      </w:r>
      <w:r w:rsidR="0071756C">
        <w:rPr>
          <w:rFonts w:cs="Times New Roman"/>
          <w:szCs w:val="22"/>
        </w:rPr>
        <w:t>5</w:t>
      </w:r>
      <w:r w:rsidRPr="00137CF8">
        <w:rPr>
          <w:rFonts w:cs="Times New Roman"/>
          <w:szCs w:val="22"/>
        </w:rPr>
        <w:t>00 tonnes of HFC-410A in 2025 as the first generation of this equipment reaches end-of-life and is retired. The potential for gas recovered from end-of-life equipment to be re</w:t>
      </w:r>
      <w:r w:rsidR="00DD1402">
        <w:rPr>
          <w:rFonts w:cs="Times New Roman"/>
          <w:szCs w:val="22"/>
        </w:rPr>
        <w:t>-</w:t>
      </w:r>
      <w:r w:rsidRPr="00137CF8">
        <w:rPr>
          <w:rFonts w:cs="Times New Roman"/>
          <w:szCs w:val="22"/>
        </w:rPr>
        <w:t>used in the market and reduce imports has not been modelled, although it is apparent that the sum of gas in end-of-life equipment in the period is substantial as compared to total bulk HFC imports to service this equipment.</w:t>
      </w:r>
    </w:p>
    <w:p w:rsidR="00431595" w:rsidRPr="00137CF8" w:rsidRDefault="00431595" w:rsidP="00431595">
      <w:pPr>
        <w:rPr>
          <w:rFonts w:cs="Times New Roman"/>
          <w:szCs w:val="22"/>
        </w:rPr>
      </w:pPr>
      <w:r w:rsidRPr="00137CF8">
        <w:rPr>
          <w:rFonts w:cs="Times New Roman"/>
          <w:szCs w:val="22"/>
        </w:rPr>
        <w:t>During the same period the still significant stock of H</w:t>
      </w:r>
      <w:r w:rsidR="009F5BD8">
        <w:rPr>
          <w:rFonts w:cs="Times New Roman"/>
          <w:szCs w:val="22"/>
        </w:rPr>
        <w:t>CFC-22 equipment of some 2.6</w:t>
      </w:r>
      <w:r w:rsidRPr="00137CF8">
        <w:rPr>
          <w:rFonts w:cs="Times New Roman"/>
          <w:szCs w:val="22"/>
        </w:rPr>
        <w:t xml:space="preserve"> million units now, is expected to decline precipitously to just a few thousand units in 2025. Similarly the much smaller stock of HFC-407C charged equipment is predicted to fall from around </w:t>
      </w:r>
      <w:r w:rsidR="009F5BD8">
        <w:rPr>
          <w:rFonts w:cs="Times New Roman"/>
          <w:szCs w:val="22"/>
        </w:rPr>
        <w:t>300</w:t>
      </w:r>
      <w:r w:rsidRPr="00137CF8">
        <w:rPr>
          <w:rFonts w:cs="Times New Roman"/>
          <w:szCs w:val="22"/>
        </w:rPr>
        <w:t xml:space="preserve">,000 units now to just </w:t>
      </w:r>
      <w:r w:rsidR="009F5BD8">
        <w:rPr>
          <w:rFonts w:cs="Times New Roman"/>
          <w:szCs w:val="22"/>
        </w:rPr>
        <w:t xml:space="preserve">40,000 </w:t>
      </w:r>
      <w:r w:rsidRPr="00137CF8">
        <w:rPr>
          <w:rFonts w:cs="Times New Roman"/>
          <w:szCs w:val="22"/>
        </w:rPr>
        <w:t>units by 2025.</w:t>
      </w:r>
    </w:p>
    <w:p w:rsidR="00BB6AF5" w:rsidRDefault="00431595" w:rsidP="00431595">
      <w:pPr>
        <w:rPr>
          <w:rFonts w:cs="Times New Roman"/>
          <w:szCs w:val="22"/>
        </w:rPr>
      </w:pPr>
      <w:r w:rsidRPr="00137CF8">
        <w:rPr>
          <w:rFonts w:cs="Times New Roman"/>
          <w:szCs w:val="22"/>
        </w:rPr>
        <w:t>Low</w:t>
      </w:r>
      <w:r w:rsidR="00BB6AF5">
        <w:rPr>
          <w:rFonts w:cs="Times New Roman"/>
          <w:szCs w:val="22"/>
        </w:rPr>
        <w:t>er</w:t>
      </w:r>
      <w:r w:rsidRPr="00137CF8">
        <w:rPr>
          <w:rFonts w:cs="Times New Roman"/>
          <w:szCs w:val="22"/>
        </w:rPr>
        <w:t xml:space="preserve"> GWP gas alternatives are available on the market now for some applications in this medium AC class of equipment</w:t>
      </w:r>
      <w:r w:rsidR="00BB6AF5">
        <w:rPr>
          <w:rFonts w:cs="Times New Roman"/>
          <w:szCs w:val="22"/>
        </w:rPr>
        <w:t xml:space="preserve"> and predictions for transition in the smaller end of this sector are relatively rapid, although the most prospective alternative, HFC-32, is classified as an A2L mildly flammable refrigerant. </w:t>
      </w:r>
    </w:p>
    <w:p w:rsidR="00BB6AF5" w:rsidRPr="00137CF8" w:rsidRDefault="00BB6AF5" w:rsidP="00BB6AF5">
      <w:pPr>
        <w:rPr>
          <w:rFonts w:cs="Times New Roman"/>
          <w:szCs w:val="22"/>
        </w:rPr>
      </w:pPr>
      <w:r>
        <w:rPr>
          <w:rFonts w:cs="Times New Roman"/>
          <w:szCs w:val="22"/>
        </w:rPr>
        <w:t xml:space="preserve">Irrespective of whether a refrigerant is classified as mildly flammable like HFC-32, or classified as flammable such as HC-290, should the robust rate of change </w:t>
      </w:r>
      <w:r w:rsidRPr="00137CF8">
        <w:rPr>
          <w:rFonts w:cs="Times New Roman"/>
          <w:szCs w:val="22"/>
        </w:rPr>
        <w:t xml:space="preserve">come to pass, </w:t>
      </w:r>
      <w:r>
        <w:rPr>
          <w:rFonts w:cs="Times New Roman"/>
          <w:szCs w:val="22"/>
        </w:rPr>
        <w:t xml:space="preserve">it </w:t>
      </w:r>
      <w:r w:rsidRPr="00137CF8">
        <w:rPr>
          <w:rFonts w:cs="Times New Roman"/>
          <w:szCs w:val="22"/>
        </w:rPr>
        <w:t xml:space="preserve">would not be without potential problems for the Australian industry. While </w:t>
      </w:r>
      <w:r>
        <w:rPr>
          <w:rFonts w:cs="Times New Roman"/>
          <w:szCs w:val="22"/>
        </w:rPr>
        <w:t xml:space="preserve">both </w:t>
      </w:r>
      <w:r w:rsidRPr="00137CF8">
        <w:rPr>
          <w:rFonts w:cs="Times New Roman"/>
          <w:szCs w:val="22"/>
        </w:rPr>
        <w:t xml:space="preserve">HFC-32 </w:t>
      </w:r>
      <w:r>
        <w:rPr>
          <w:rFonts w:cs="Times New Roman"/>
          <w:szCs w:val="22"/>
        </w:rPr>
        <w:t>and HC-290 have</w:t>
      </w:r>
      <w:r w:rsidRPr="00137CF8">
        <w:rPr>
          <w:rFonts w:cs="Times New Roman"/>
          <w:szCs w:val="22"/>
        </w:rPr>
        <w:t xml:space="preserve"> some commen</w:t>
      </w:r>
      <w:r>
        <w:rPr>
          <w:rFonts w:cs="Times New Roman"/>
          <w:szCs w:val="22"/>
        </w:rPr>
        <w:t>dable properties in terms of</w:t>
      </w:r>
      <w:r w:rsidRPr="00137CF8">
        <w:rPr>
          <w:rFonts w:cs="Times New Roman"/>
          <w:szCs w:val="22"/>
        </w:rPr>
        <w:t xml:space="preserve"> lower GWP, </w:t>
      </w:r>
      <w:r>
        <w:rPr>
          <w:rFonts w:cs="Times New Roman"/>
          <w:szCs w:val="22"/>
        </w:rPr>
        <w:t xml:space="preserve">higher </w:t>
      </w:r>
      <w:r w:rsidRPr="00137CF8">
        <w:rPr>
          <w:rFonts w:cs="Times New Roman"/>
          <w:szCs w:val="22"/>
        </w:rPr>
        <w:t>ef</w:t>
      </w:r>
      <w:r>
        <w:rPr>
          <w:rFonts w:cs="Times New Roman"/>
          <w:szCs w:val="22"/>
        </w:rPr>
        <w:t xml:space="preserve">ficiency as </w:t>
      </w:r>
      <w:r w:rsidRPr="00137CF8">
        <w:rPr>
          <w:rFonts w:cs="Times New Roman"/>
          <w:szCs w:val="22"/>
        </w:rPr>
        <w:t>refrigerant</w:t>
      </w:r>
      <w:r>
        <w:rPr>
          <w:rFonts w:cs="Times New Roman"/>
          <w:szCs w:val="22"/>
        </w:rPr>
        <w:t>s</w:t>
      </w:r>
      <w:r w:rsidRPr="00137CF8">
        <w:rPr>
          <w:rFonts w:cs="Times New Roman"/>
          <w:szCs w:val="22"/>
        </w:rPr>
        <w:t xml:space="preserve"> and competitive price, wide use will effectively mean that the entire industry has to develop and hone its capacity to deal with flammable substances.</w:t>
      </w:r>
      <w:r w:rsidR="00C04912">
        <w:rPr>
          <w:rFonts w:cs="Times New Roman"/>
          <w:szCs w:val="22"/>
        </w:rPr>
        <w:t xml:space="preserve"> Hydrocarbons are projected to achieve a 5% share </w:t>
      </w:r>
      <w:r w:rsidR="009F5BD8">
        <w:rPr>
          <w:rFonts w:cs="Times New Roman"/>
          <w:szCs w:val="22"/>
        </w:rPr>
        <w:t xml:space="preserve">of new equipment </w:t>
      </w:r>
      <w:r w:rsidR="00C04912">
        <w:rPr>
          <w:rFonts w:cs="Times New Roman"/>
          <w:szCs w:val="22"/>
        </w:rPr>
        <w:t>(by equivalent refrigerant volume) in this class by 2025.</w:t>
      </w:r>
    </w:p>
    <w:p w:rsidR="00BB6AF5" w:rsidRPr="00137CF8" w:rsidRDefault="00BB6AF5" w:rsidP="00BB6AF5">
      <w:pPr>
        <w:rPr>
          <w:rFonts w:cs="Times New Roman"/>
          <w:szCs w:val="22"/>
        </w:rPr>
      </w:pPr>
      <w:r w:rsidRPr="00137CF8">
        <w:rPr>
          <w:rFonts w:cs="Times New Roman"/>
          <w:szCs w:val="22"/>
        </w:rPr>
        <w:t xml:space="preserve">When the </w:t>
      </w:r>
      <w:r w:rsidR="004B0648">
        <w:rPr>
          <w:rFonts w:cs="Times New Roman"/>
          <w:szCs w:val="22"/>
        </w:rPr>
        <w:t>AC</w:t>
      </w:r>
      <w:r w:rsidRPr="00137CF8">
        <w:rPr>
          <w:rFonts w:cs="Times New Roman"/>
          <w:szCs w:val="22"/>
        </w:rPr>
        <w:t xml:space="preserve"> industry migrated from HCFC-22 to higher pressure HFC-410A, there were accidents resulting in personal injury. Major equipment suppliers went to great lengths to ensure their customers were adequately trained to handle the new refrigerant, which minimised corporate risk and exposure to litigation. </w:t>
      </w:r>
    </w:p>
    <w:p w:rsidR="00BB6AF5" w:rsidRPr="00137CF8" w:rsidRDefault="00BB6AF5" w:rsidP="00BB6AF5">
      <w:pPr>
        <w:rPr>
          <w:rFonts w:cs="Times New Roman"/>
          <w:szCs w:val="22"/>
        </w:rPr>
      </w:pPr>
      <w:r w:rsidRPr="00137CF8">
        <w:rPr>
          <w:rFonts w:cs="Times New Roman"/>
          <w:szCs w:val="22"/>
        </w:rPr>
        <w:t>It is unclear to what extent potential liabilities of personal injury to installers, or owners of equipment might create barriers for mildly flammable refrigerants</w:t>
      </w:r>
      <w:r>
        <w:rPr>
          <w:rFonts w:cs="Times New Roman"/>
          <w:szCs w:val="22"/>
        </w:rPr>
        <w:t xml:space="preserve"> including </w:t>
      </w:r>
      <w:r w:rsidRPr="00137CF8">
        <w:rPr>
          <w:rFonts w:cs="Times New Roman"/>
          <w:szCs w:val="22"/>
        </w:rPr>
        <w:t xml:space="preserve">possibly future HFO blends developed for </w:t>
      </w:r>
      <w:r w:rsidR="00635328">
        <w:rPr>
          <w:rFonts w:cs="Times New Roman"/>
          <w:szCs w:val="22"/>
        </w:rPr>
        <w:t>AC</w:t>
      </w:r>
      <w:r w:rsidRPr="00137CF8">
        <w:rPr>
          <w:rFonts w:cs="Times New Roman"/>
          <w:szCs w:val="22"/>
        </w:rPr>
        <w:t xml:space="preserve"> applications. </w:t>
      </w:r>
    </w:p>
    <w:p w:rsidR="00BB6AF5" w:rsidRPr="00137CF8" w:rsidRDefault="00BB6AF5" w:rsidP="00BB6AF5">
      <w:pPr>
        <w:rPr>
          <w:rFonts w:cs="Times New Roman"/>
          <w:szCs w:val="22"/>
        </w:rPr>
      </w:pPr>
      <w:r w:rsidRPr="00137CF8">
        <w:rPr>
          <w:rFonts w:cs="Times New Roman"/>
          <w:szCs w:val="22"/>
        </w:rPr>
        <w:t xml:space="preserve">To some extent, setting aside the impact of possible regulatory hurdles or incentives, the prospects of mildly or highly flammable refrigerants used in stationary </w:t>
      </w:r>
      <w:r w:rsidR="004B0648">
        <w:rPr>
          <w:rFonts w:cs="Times New Roman"/>
          <w:szCs w:val="22"/>
        </w:rPr>
        <w:t>AC</w:t>
      </w:r>
      <w:r w:rsidRPr="00137CF8">
        <w:rPr>
          <w:rFonts w:cs="Times New Roman"/>
          <w:szCs w:val="22"/>
        </w:rPr>
        <w:t xml:space="preserve"> in Australia will mostly depend on the commercial benefits or competitive advantages gained, outweighing the risks and associated costs.</w:t>
      </w:r>
    </w:p>
    <w:p w:rsidR="00431595" w:rsidRPr="00137CF8" w:rsidRDefault="00BB6AF5" w:rsidP="00431595">
      <w:pPr>
        <w:rPr>
          <w:rFonts w:cs="Times New Roman"/>
          <w:szCs w:val="22"/>
        </w:rPr>
      </w:pPr>
      <w:r w:rsidRPr="00137CF8">
        <w:rPr>
          <w:rFonts w:cs="Times New Roman"/>
          <w:szCs w:val="22"/>
        </w:rPr>
        <w:t xml:space="preserve">Ultimately global equipment and compressor suppliers are seeking replacement refrigerants with similar characteristics to HCFC-22 </w:t>
      </w:r>
      <w:r w:rsidR="009F5BD8">
        <w:rPr>
          <w:rFonts w:cs="Times New Roman"/>
          <w:szCs w:val="22"/>
        </w:rPr>
        <w:t xml:space="preserve">and HCFC-410A </w:t>
      </w:r>
      <w:r w:rsidRPr="00137CF8">
        <w:rPr>
          <w:rFonts w:cs="Times New Roman"/>
          <w:szCs w:val="22"/>
        </w:rPr>
        <w:t>(i.e. operating pressures, non-flammable, equivalent operating efficiency, etc.) that have a low GWP and are non-ozone depleting. If they could source effective refrigerants that were not flammable, they would almost certainly select those over substances that were flammable, simply because of the long term benefits of avoiding known risks.</w:t>
      </w:r>
      <w:r>
        <w:rPr>
          <w:rFonts w:cs="Times New Roman"/>
          <w:szCs w:val="22"/>
        </w:rPr>
        <w:t xml:space="preserve"> Manufacturers are already investing in development of non-flammable HFO blends l</w:t>
      </w:r>
      <w:r w:rsidR="00230073">
        <w:rPr>
          <w:rFonts w:cs="Times New Roman"/>
          <w:szCs w:val="22"/>
        </w:rPr>
        <w:t>ooking for a replacement for HCFC</w:t>
      </w:r>
      <w:r>
        <w:rPr>
          <w:rFonts w:cs="Times New Roman"/>
          <w:szCs w:val="22"/>
        </w:rPr>
        <w:t xml:space="preserve">-22 and HFC-410A. As such it is predicted that an HFO </w:t>
      </w:r>
      <w:r w:rsidR="00C04912">
        <w:rPr>
          <w:rFonts w:cs="Times New Roman"/>
          <w:szCs w:val="22"/>
        </w:rPr>
        <w:t xml:space="preserve">blend </w:t>
      </w:r>
      <w:r>
        <w:rPr>
          <w:rFonts w:cs="Times New Roman"/>
          <w:szCs w:val="22"/>
        </w:rPr>
        <w:t>will be available to this market later in the projection period that will provid</w:t>
      </w:r>
      <w:r w:rsidR="00230073">
        <w:rPr>
          <w:rFonts w:cs="Times New Roman"/>
          <w:szCs w:val="22"/>
        </w:rPr>
        <w:t>e some competition to the demonstrated transition options available now.</w:t>
      </w:r>
    </w:p>
    <w:p w:rsidR="00431595" w:rsidRPr="00137CF8" w:rsidRDefault="00431595" w:rsidP="00431595">
      <w:pPr>
        <w:rPr>
          <w:rFonts w:cs="Times New Roman"/>
          <w:szCs w:val="22"/>
        </w:rPr>
      </w:pPr>
      <w:r w:rsidRPr="00137CF8">
        <w:rPr>
          <w:rFonts w:cs="Times New Roman"/>
          <w:b/>
          <w:szCs w:val="22"/>
        </w:rPr>
        <w:t>HC-290</w:t>
      </w:r>
      <w:r w:rsidRPr="00137CF8">
        <w:rPr>
          <w:rFonts w:cs="Times New Roman"/>
          <w:szCs w:val="22"/>
        </w:rPr>
        <w:t xml:space="preserve"> has been used in split ACs for several years on a limited scale. Several companies are now developing and beginning to produce them on a larger scale. Although HC-290 seems to be the preferred </w:t>
      </w:r>
      <w:r w:rsidR="00635328">
        <w:rPr>
          <w:rFonts w:cs="Times New Roman"/>
          <w:szCs w:val="22"/>
        </w:rPr>
        <w:t>hydrocarbon</w:t>
      </w:r>
      <w:r w:rsidRPr="00137CF8">
        <w:rPr>
          <w:rFonts w:cs="Times New Roman"/>
          <w:szCs w:val="22"/>
        </w:rPr>
        <w:t xml:space="preserve"> option, HC-1270 is under evaluation by some companies (UNEP 2013c, p3). In Australia HC-290 charged wall hung split units are available from several companies although</w:t>
      </w:r>
      <w:r>
        <w:rPr>
          <w:rFonts w:cs="Times New Roman"/>
          <w:szCs w:val="22"/>
        </w:rPr>
        <w:t xml:space="preserve"> the current stock of equipment is estimated to be just 0.0</w:t>
      </w:r>
      <w:r w:rsidR="009F5BD8">
        <w:rPr>
          <w:rFonts w:cs="Times New Roman"/>
          <w:szCs w:val="22"/>
        </w:rPr>
        <w:t>6</w:t>
      </w:r>
      <w:r>
        <w:rPr>
          <w:rFonts w:cs="Times New Roman"/>
          <w:szCs w:val="22"/>
        </w:rPr>
        <w:t>% of the total market and annual sales are running at</w:t>
      </w:r>
      <w:r w:rsidRPr="00137CF8">
        <w:rPr>
          <w:rFonts w:cs="Times New Roman"/>
          <w:szCs w:val="22"/>
        </w:rPr>
        <w:t xml:space="preserve"> just </w:t>
      </w:r>
      <w:r w:rsidR="009F5BD8">
        <w:rPr>
          <w:rFonts w:cs="Times New Roman"/>
          <w:szCs w:val="22"/>
        </w:rPr>
        <w:t>0.1</w:t>
      </w:r>
      <w:r>
        <w:rPr>
          <w:rFonts w:cs="Times New Roman"/>
          <w:szCs w:val="22"/>
        </w:rPr>
        <w:t xml:space="preserve">% of total new sales </w:t>
      </w:r>
      <w:r w:rsidRPr="00137CF8">
        <w:rPr>
          <w:rFonts w:cs="Times New Roman"/>
          <w:szCs w:val="22"/>
        </w:rPr>
        <w:t>per annum</w:t>
      </w:r>
      <w:r>
        <w:rPr>
          <w:rFonts w:cs="Times New Roman"/>
          <w:szCs w:val="22"/>
        </w:rPr>
        <w:t>,</w:t>
      </w:r>
      <w:r w:rsidRPr="00137CF8">
        <w:rPr>
          <w:rFonts w:cs="Times New Roman"/>
          <w:szCs w:val="22"/>
        </w:rPr>
        <w:t xml:space="preserve"> despite reasonable price competitiveness</w:t>
      </w:r>
      <w:r>
        <w:rPr>
          <w:rFonts w:cs="Times New Roman"/>
          <w:szCs w:val="22"/>
        </w:rPr>
        <w:t xml:space="preserve"> and excellent energy efficiency</w:t>
      </w:r>
      <w:r w:rsidRPr="00137CF8">
        <w:rPr>
          <w:rFonts w:cs="Times New Roman"/>
          <w:szCs w:val="22"/>
        </w:rPr>
        <w:t>.</w:t>
      </w:r>
      <w:r>
        <w:rPr>
          <w:rFonts w:cs="Times New Roman"/>
          <w:szCs w:val="22"/>
        </w:rPr>
        <w:t xml:space="preserve"> </w:t>
      </w:r>
    </w:p>
    <w:p w:rsidR="00431595" w:rsidRPr="00137CF8" w:rsidRDefault="00431595" w:rsidP="00431595">
      <w:pPr>
        <w:rPr>
          <w:rFonts w:cs="Times New Roman"/>
          <w:szCs w:val="22"/>
        </w:rPr>
      </w:pPr>
      <w:r w:rsidRPr="00137CF8">
        <w:rPr>
          <w:rFonts w:cs="Times New Roman"/>
          <w:szCs w:val="22"/>
        </w:rPr>
        <w:t xml:space="preserve">In August 2011 one of the largest Chinese manufacturers of </w:t>
      </w:r>
      <w:r w:rsidR="00635328">
        <w:rPr>
          <w:rFonts w:cs="Times New Roman"/>
          <w:szCs w:val="22"/>
        </w:rPr>
        <w:t>AC</w:t>
      </w:r>
      <w:r w:rsidRPr="00137CF8">
        <w:rPr>
          <w:rFonts w:cs="Times New Roman"/>
          <w:szCs w:val="22"/>
        </w:rPr>
        <w:t xml:space="preserve"> equipment, Gree Electric Appliances, announced plans to convert 18 of the 32 </w:t>
      </w:r>
      <w:r w:rsidR="00635328">
        <w:rPr>
          <w:rFonts w:cs="Times New Roman"/>
          <w:szCs w:val="22"/>
        </w:rPr>
        <w:t>AC</w:t>
      </w:r>
      <w:r w:rsidRPr="00137CF8">
        <w:rPr>
          <w:rFonts w:cs="Times New Roman"/>
          <w:szCs w:val="22"/>
        </w:rPr>
        <w:t xml:space="preserve"> production lines in China to HFC-290 as part of China’s HCFC Phase</w:t>
      </w:r>
      <w:r w:rsidR="005070C1">
        <w:rPr>
          <w:rFonts w:cs="Times New Roman"/>
          <w:szCs w:val="22"/>
        </w:rPr>
        <w:t xml:space="preserve"> </w:t>
      </w:r>
      <w:r w:rsidRPr="00137CF8">
        <w:rPr>
          <w:rFonts w:cs="Times New Roman"/>
          <w:szCs w:val="22"/>
        </w:rPr>
        <w:t>out Management Plan. Other equipment manufacturers known to be using hydrocarbons include Godrej &amp; Boyce in India and De’Longhi.</w:t>
      </w:r>
    </w:p>
    <w:p w:rsidR="00431595" w:rsidRPr="00137CF8" w:rsidRDefault="00431595" w:rsidP="00431595">
      <w:pPr>
        <w:rPr>
          <w:rFonts w:cs="Times New Roman"/>
          <w:szCs w:val="22"/>
        </w:rPr>
      </w:pPr>
      <w:r w:rsidRPr="00137CF8">
        <w:rPr>
          <w:rFonts w:cs="Times New Roman"/>
          <w:szCs w:val="22"/>
        </w:rPr>
        <w:t xml:space="preserve">At present Benson Air Conditioning is the only notable supplier of air conditioners containing HC-290 hydrocarbon refrigerants in Australia. </w:t>
      </w:r>
    </w:p>
    <w:p w:rsidR="00431595" w:rsidRPr="00137CF8" w:rsidRDefault="00431595" w:rsidP="00431595">
      <w:pPr>
        <w:rPr>
          <w:rFonts w:cs="Times New Roman"/>
          <w:szCs w:val="22"/>
        </w:rPr>
      </w:pPr>
      <w:r w:rsidRPr="00137CF8">
        <w:rPr>
          <w:rFonts w:cs="Times New Roman"/>
          <w:szCs w:val="22"/>
        </w:rPr>
        <w:t xml:space="preserve">The Queensland Government, Department of Mines and Energy maintains a register of approved hydrocarbon refrigerant appliances and lists a range of Benson wall hung and ducted split systems with cooling capacities ranging from 2.3 kWr to 16.4 kWr. Benson Air Conditioning advertise other products using hydrocarbons including roof top packaged units, chillers, pool and spa heat pumps, and combination </w:t>
      </w:r>
      <w:r w:rsidR="00635328">
        <w:rPr>
          <w:rFonts w:cs="Times New Roman"/>
          <w:szCs w:val="22"/>
        </w:rPr>
        <w:t>AC</w:t>
      </w:r>
      <w:r w:rsidR="009F5BD8">
        <w:rPr>
          <w:rFonts w:cs="Times New Roman"/>
          <w:szCs w:val="22"/>
        </w:rPr>
        <w:t>/hot water split systems, however the full range of products currently available is unclear.</w:t>
      </w:r>
    </w:p>
    <w:p w:rsidR="00431595" w:rsidRPr="00137CF8" w:rsidRDefault="00431595" w:rsidP="00431595">
      <w:pPr>
        <w:rPr>
          <w:rFonts w:cs="Times New Roman"/>
          <w:szCs w:val="22"/>
        </w:rPr>
      </w:pPr>
      <w:r w:rsidRPr="00137CF8">
        <w:rPr>
          <w:rFonts w:cs="Times New Roman"/>
          <w:szCs w:val="22"/>
        </w:rPr>
        <w:t>With this technology firmly established, and despite the general barriers to flammable refrigerants discussed at the end of this section, the transition model predicts appliances charged with HC-290 to increase from an estimated 5,000 units now to more than 2</w:t>
      </w:r>
      <w:r w:rsidR="009F5BD8">
        <w:rPr>
          <w:rFonts w:cs="Times New Roman"/>
          <w:szCs w:val="22"/>
        </w:rPr>
        <w:t>30</w:t>
      </w:r>
      <w:r>
        <w:rPr>
          <w:rFonts w:cs="Times New Roman"/>
          <w:szCs w:val="22"/>
        </w:rPr>
        <w:t xml:space="preserve">,000 units in 2025, or approximately </w:t>
      </w:r>
      <w:r w:rsidR="00FC0978">
        <w:rPr>
          <w:rFonts w:cs="Times New Roman"/>
          <w:szCs w:val="22"/>
        </w:rPr>
        <w:t>2</w:t>
      </w:r>
      <w:r>
        <w:rPr>
          <w:rFonts w:cs="Times New Roman"/>
          <w:szCs w:val="22"/>
        </w:rPr>
        <w:t>% of the total stock or equipment in this class at that time.</w:t>
      </w:r>
    </w:p>
    <w:p w:rsidR="00431595" w:rsidRPr="00137CF8" w:rsidRDefault="00431595" w:rsidP="00431595">
      <w:pPr>
        <w:rPr>
          <w:rFonts w:cs="Times New Roman"/>
          <w:szCs w:val="22"/>
        </w:rPr>
      </w:pPr>
      <w:r w:rsidRPr="00137CF8">
        <w:rPr>
          <w:rFonts w:cs="Times New Roman"/>
          <w:szCs w:val="22"/>
        </w:rPr>
        <w:t xml:space="preserve">Nonetheless, because of its higher flammability than HFC-32, the early starter advantage of HC-290 is likely to be rapidly eroded by the arrival of a wide range of equipment charged with HFC-32. </w:t>
      </w:r>
    </w:p>
    <w:p w:rsidR="00431595" w:rsidRPr="00137CF8" w:rsidRDefault="00431595" w:rsidP="00431595">
      <w:pPr>
        <w:rPr>
          <w:rFonts w:cs="Times New Roman"/>
          <w:szCs w:val="22"/>
        </w:rPr>
      </w:pPr>
      <w:r w:rsidRPr="00137CF8">
        <w:rPr>
          <w:rFonts w:cs="Times New Roman"/>
          <w:b/>
          <w:szCs w:val="22"/>
        </w:rPr>
        <w:t>HFC-32</w:t>
      </w:r>
      <w:r w:rsidRPr="00137CF8">
        <w:rPr>
          <w:rFonts w:cs="Times New Roman"/>
          <w:szCs w:val="22"/>
        </w:rPr>
        <w:t xml:space="preserve"> </w:t>
      </w:r>
      <w:r w:rsidR="00DA7DBD">
        <w:rPr>
          <w:rFonts w:cs="Times New Roman"/>
          <w:szCs w:val="22"/>
        </w:rPr>
        <w:t xml:space="preserve">has </w:t>
      </w:r>
      <w:r w:rsidRPr="00137CF8">
        <w:rPr>
          <w:rFonts w:cs="Times New Roman"/>
          <w:szCs w:val="22"/>
        </w:rPr>
        <w:t>a GWP of 650</w:t>
      </w:r>
      <w:r w:rsidR="00FC0978">
        <w:rPr>
          <w:rFonts w:cs="Times New Roman"/>
          <w:szCs w:val="22"/>
        </w:rPr>
        <w:t>/675</w:t>
      </w:r>
      <w:r w:rsidRPr="00137CF8">
        <w:rPr>
          <w:rFonts w:cs="Times New Roman"/>
          <w:szCs w:val="22"/>
        </w:rPr>
        <w:t xml:space="preserve"> (around a third of the most common refrigerants currently used) </w:t>
      </w:r>
      <w:r w:rsidR="00DA7DBD">
        <w:rPr>
          <w:rFonts w:cs="Times New Roman"/>
          <w:szCs w:val="22"/>
        </w:rPr>
        <w:t>and</w:t>
      </w:r>
      <w:r w:rsidRPr="00137CF8">
        <w:rPr>
          <w:rFonts w:cs="Times New Roman"/>
          <w:szCs w:val="22"/>
        </w:rPr>
        <w:t xml:space="preserve"> is classed as mildly flammable. </w:t>
      </w:r>
    </w:p>
    <w:p w:rsidR="00431595" w:rsidRPr="00137CF8" w:rsidRDefault="00431595" w:rsidP="00431595">
      <w:pPr>
        <w:rPr>
          <w:rFonts w:cs="Times New Roman"/>
          <w:szCs w:val="22"/>
        </w:rPr>
      </w:pPr>
      <w:r w:rsidRPr="00137CF8">
        <w:rPr>
          <w:rFonts w:cs="Times New Roman"/>
          <w:szCs w:val="22"/>
        </w:rPr>
        <w:t xml:space="preserve">HFC-32 has comparable efficiency to that of R-410A and HCFC-22 in many </w:t>
      </w:r>
      <w:r w:rsidR="00DA7DBD">
        <w:rPr>
          <w:rFonts w:cs="Times New Roman"/>
          <w:szCs w:val="22"/>
        </w:rPr>
        <w:t xml:space="preserve">existing </w:t>
      </w:r>
      <w:r w:rsidRPr="00137CF8">
        <w:rPr>
          <w:rFonts w:cs="Times New Roman"/>
          <w:szCs w:val="22"/>
        </w:rPr>
        <w:t>mini-split ACs</w:t>
      </w:r>
      <w:r w:rsidR="00DA7DBD">
        <w:rPr>
          <w:rFonts w:cs="Times New Roman"/>
          <w:szCs w:val="22"/>
        </w:rPr>
        <w:t xml:space="preserve"> designs</w:t>
      </w:r>
      <w:r w:rsidRPr="00137CF8">
        <w:rPr>
          <w:rFonts w:cs="Times New Roman"/>
          <w:szCs w:val="22"/>
        </w:rPr>
        <w:t xml:space="preserve">. As </w:t>
      </w:r>
      <w:r w:rsidRPr="00FC0978">
        <w:rPr>
          <w:rFonts w:cs="Times New Roman"/>
          <w:szCs w:val="22"/>
        </w:rPr>
        <w:t>the theoretical COP, heat</w:t>
      </w:r>
      <w:r w:rsidRPr="00137CF8">
        <w:rPr>
          <w:rFonts w:cs="Times New Roman"/>
          <w:szCs w:val="22"/>
        </w:rPr>
        <w:t xml:space="preserve"> transfer properties and transport properties are better than HFC-410A, optimisation</w:t>
      </w:r>
      <w:r w:rsidR="00DA7DBD">
        <w:rPr>
          <w:rFonts w:cs="Times New Roman"/>
          <w:szCs w:val="22"/>
        </w:rPr>
        <w:t xml:space="preserve"> of equipment designs</w:t>
      </w:r>
      <w:r w:rsidRPr="00137CF8">
        <w:rPr>
          <w:rFonts w:cs="Times New Roman"/>
          <w:szCs w:val="22"/>
        </w:rPr>
        <w:t xml:space="preserve"> to HFC-32 is likely to result in better COP than HFC-410A and HCFC-22. Despite the rating of mildly flammable, the UNEP TEAP assessment considered that HFC-32 has a high potential to penetrate this market due to the balance of cost, energy efficiency, and safety (UNEP 2013c, p69).</w:t>
      </w:r>
    </w:p>
    <w:p w:rsidR="00431595" w:rsidRPr="00137CF8" w:rsidRDefault="00431595" w:rsidP="00431595">
      <w:pPr>
        <w:rPr>
          <w:rFonts w:cs="Times New Roman"/>
          <w:szCs w:val="22"/>
        </w:rPr>
      </w:pPr>
      <w:r w:rsidRPr="00137CF8">
        <w:rPr>
          <w:rFonts w:cs="Times New Roman"/>
          <w:szCs w:val="22"/>
        </w:rPr>
        <w:t xml:space="preserve">The transition model projects rapid growth in sales of HFC-32 charged equipment with the stock of equipment increasing from effectively zero in 2014 to around </w:t>
      </w:r>
      <w:r w:rsidRPr="00527575">
        <w:rPr>
          <w:rFonts w:cs="Times New Roman"/>
          <w:szCs w:val="22"/>
        </w:rPr>
        <w:t>4.</w:t>
      </w:r>
      <w:r w:rsidR="00FC0978">
        <w:rPr>
          <w:rFonts w:cs="Times New Roman"/>
          <w:szCs w:val="22"/>
        </w:rPr>
        <w:t>0</w:t>
      </w:r>
      <w:r w:rsidRPr="00137CF8">
        <w:rPr>
          <w:rFonts w:cs="Times New Roman"/>
          <w:szCs w:val="22"/>
        </w:rPr>
        <w:t xml:space="preserve"> million units in 2025</w:t>
      </w:r>
      <w:r>
        <w:rPr>
          <w:rFonts w:cs="Times New Roman"/>
          <w:szCs w:val="22"/>
        </w:rPr>
        <w:t xml:space="preserve">, or approximately </w:t>
      </w:r>
      <w:r w:rsidR="00FC0978">
        <w:rPr>
          <w:rFonts w:cs="Times New Roman"/>
          <w:szCs w:val="22"/>
        </w:rPr>
        <w:t>33</w:t>
      </w:r>
      <w:r>
        <w:rPr>
          <w:rFonts w:cs="Times New Roman"/>
          <w:szCs w:val="22"/>
        </w:rPr>
        <w:t>% of the total stock of equipment in this class at that time</w:t>
      </w:r>
      <w:r w:rsidRPr="00137CF8">
        <w:rPr>
          <w:rFonts w:cs="Times New Roman"/>
          <w:szCs w:val="22"/>
        </w:rPr>
        <w:t>.</w:t>
      </w:r>
    </w:p>
    <w:p w:rsidR="00431595" w:rsidRDefault="00431595" w:rsidP="00431595">
      <w:pPr>
        <w:rPr>
          <w:rFonts w:cs="Times New Roman"/>
          <w:szCs w:val="22"/>
        </w:rPr>
      </w:pPr>
      <w:r w:rsidRPr="00137CF8">
        <w:rPr>
          <w:rFonts w:cs="Times New Roman"/>
          <w:szCs w:val="22"/>
        </w:rPr>
        <w:t xml:space="preserve">Other </w:t>
      </w:r>
      <w:r w:rsidR="00BB6AF5">
        <w:rPr>
          <w:rFonts w:cs="Times New Roman"/>
          <w:szCs w:val="22"/>
        </w:rPr>
        <w:t xml:space="preserve">than the issue of its classification as an A2L mildly flammable refrigerant discussed above, other </w:t>
      </w:r>
      <w:r w:rsidRPr="00137CF8">
        <w:rPr>
          <w:rFonts w:cs="Times New Roman"/>
          <w:szCs w:val="22"/>
        </w:rPr>
        <w:t xml:space="preserve">potential barriers to HFC-32 include equipment and compressor suppliers concerns with long-term reliability arising from hotter compressor discharge temperatures, and additional costs and risks associated with training industry to handle  ‘mildly flammable’ refrigerants. </w:t>
      </w:r>
    </w:p>
    <w:p w:rsidR="00230073" w:rsidRPr="00137CF8" w:rsidRDefault="00230073" w:rsidP="00431595">
      <w:pPr>
        <w:rPr>
          <w:rFonts w:cs="Times New Roman"/>
          <w:szCs w:val="22"/>
        </w:rPr>
      </w:pPr>
      <w:r>
        <w:rPr>
          <w:rFonts w:cs="Times New Roman"/>
          <w:szCs w:val="22"/>
        </w:rPr>
        <w:t>Nonetheless, while HFC-410A is expected to maintain some market share in the larger and more demanding applications in this sector for some time, in the absence of any other lower GWP and non-flammable alternative that can deliver the same performance, it is expected that HFC-32 will enjoy robust growth in market share in the projection period.</w:t>
      </w:r>
    </w:p>
    <w:p w:rsidR="00431595" w:rsidRPr="00137CF8" w:rsidRDefault="00BB6AF5" w:rsidP="00431595">
      <w:pPr>
        <w:rPr>
          <w:rFonts w:cs="Times New Roman"/>
          <w:szCs w:val="22"/>
        </w:rPr>
      </w:pPr>
      <w:r>
        <w:rPr>
          <w:rFonts w:cs="Times New Roman"/>
          <w:szCs w:val="22"/>
        </w:rPr>
        <w:t xml:space="preserve">HFOs and Developmental Refrigerants - </w:t>
      </w:r>
      <w:r w:rsidR="00431595" w:rsidRPr="00137CF8">
        <w:rPr>
          <w:rFonts w:cs="Times New Roman"/>
          <w:szCs w:val="22"/>
        </w:rPr>
        <w:t>DuPont and Honeywell are developing and trial</w:t>
      </w:r>
      <w:r w:rsidR="00431595">
        <w:rPr>
          <w:rFonts w:cs="Times New Roman"/>
          <w:szCs w:val="22"/>
        </w:rPr>
        <w:t>l</w:t>
      </w:r>
      <w:r w:rsidR="00431595" w:rsidRPr="00137CF8">
        <w:rPr>
          <w:rFonts w:cs="Times New Roman"/>
          <w:szCs w:val="22"/>
        </w:rPr>
        <w:t xml:space="preserve">ing HFO blends that are potential replacements for HCFC-22 and HFC-410A. </w:t>
      </w:r>
    </w:p>
    <w:p w:rsidR="00431595" w:rsidRDefault="00431595" w:rsidP="00431595">
      <w:pPr>
        <w:rPr>
          <w:rFonts w:cs="Times New Roman"/>
          <w:szCs w:val="22"/>
        </w:rPr>
      </w:pPr>
      <w:r w:rsidRPr="00137CF8">
        <w:rPr>
          <w:rFonts w:cs="Times New Roman"/>
          <w:szCs w:val="22"/>
        </w:rPr>
        <w:t xml:space="preserve">Honeywell cites several refrigerants in varying stages of development, </w:t>
      </w:r>
      <w:r w:rsidRPr="00270B15">
        <w:rPr>
          <w:rFonts w:cs="Times New Roman"/>
          <w:szCs w:val="22"/>
        </w:rPr>
        <w:t>including N-20</w:t>
      </w:r>
      <w:r w:rsidRPr="00137CF8">
        <w:rPr>
          <w:rFonts w:cs="Times New Roman"/>
          <w:szCs w:val="22"/>
        </w:rPr>
        <w:t xml:space="preserve"> (GWP of </w:t>
      </w:r>
      <w:r w:rsidR="00FC0978">
        <w:rPr>
          <w:rFonts w:cs="Times New Roman"/>
          <w:szCs w:val="22"/>
        </w:rPr>
        <w:t>975</w:t>
      </w:r>
      <w:r w:rsidRPr="00137CF8">
        <w:rPr>
          <w:rFonts w:cs="Times New Roman"/>
          <w:szCs w:val="22"/>
        </w:rPr>
        <w:t xml:space="preserve">, A1 non-flammable classification) and L-20 (GWP </w:t>
      </w:r>
      <w:r w:rsidR="00FC0978">
        <w:rPr>
          <w:rFonts w:cs="Times New Roman"/>
          <w:szCs w:val="22"/>
        </w:rPr>
        <w:t>of 331</w:t>
      </w:r>
      <w:r w:rsidRPr="00137CF8">
        <w:rPr>
          <w:rFonts w:cs="Times New Roman"/>
          <w:szCs w:val="22"/>
        </w:rPr>
        <w:t xml:space="preserve"> with a mildly flammable classification) that are potential replacements for HCFC-22, and L-41 (GWP 4</w:t>
      </w:r>
      <w:r w:rsidR="00FC0978">
        <w:rPr>
          <w:rFonts w:cs="Times New Roman"/>
          <w:szCs w:val="22"/>
        </w:rPr>
        <w:t>6</w:t>
      </w:r>
      <w:r w:rsidRPr="00137CF8">
        <w:rPr>
          <w:rFonts w:cs="Times New Roman"/>
          <w:szCs w:val="22"/>
        </w:rPr>
        <w:t xml:space="preserve">0 with a mildly flammable classification). The benefits include having the same operating pressures as existing HFC refrigerants, compatibility with existing equipment designs and compressors, resulting in familiar serviceability and potential for retrofitting in some cases. These factors support a more rapid, cost-efficient adoption by the industry than refrigerants with higher flammability ratings.  </w:t>
      </w:r>
    </w:p>
    <w:p w:rsidR="00230073" w:rsidRPr="00137CF8" w:rsidRDefault="00230073" w:rsidP="00431595">
      <w:pPr>
        <w:rPr>
          <w:rFonts w:cs="Times New Roman"/>
          <w:szCs w:val="22"/>
        </w:rPr>
      </w:pPr>
      <w:r w:rsidRPr="00632436">
        <w:rPr>
          <w:rFonts w:cs="Times New Roman"/>
          <w:szCs w:val="22"/>
        </w:rPr>
        <w:t xml:space="preserve">Honeywell </w:t>
      </w:r>
      <w:r>
        <w:rPr>
          <w:rFonts w:cs="Times New Roman"/>
          <w:szCs w:val="22"/>
        </w:rPr>
        <w:t xml:space="preserve">also </w:t>
      </w:r>
      <w:r w:rsidRPr="00632436">
        <w:rPr>
          <w:rFonts w:cs="Times New Roman"/>
          <w:szCs w:val="22"/>
        </w:rPr>
        <w:t xml:space="preserve">has a product under commercial evaluation </w:t>
      </w:r>
      <w:r w:rsidRPr="00230073">
        <w:rPr>
          <w:rFonts w:cs="Times New Roman"/>
          <w:szCs w:val="22"/>
        </w:rPr>
        <w:t>to compete in the HFC-32 space</w:t>
      </w:r>
      <w:r>
        <w:rPr>
          <w:rFonts w:cs="Times New Roman"/>
          <w:szCs w:val="22"/>
        </w:rPr>
        <w:t>. This</w:t>
      </w:r>
      <w:r w:rsidRPr="00632436">
        <w:rPr>
          <w:rFonts w:cs="Times New Roman"/>
          <w:szCs w:val="22"/>
        </w:rPr>
        <w:t xml:space="preserve"> new HF</w:t>
      </w:r>
      <w:r w:rsidRPr="00230073">
        <w:rPr>
          <w:rFonts w:cs="Times New Roman"/>
          <w:szCs w:val="22"/>
        </w:rPr>
        <w:t xml:space="preserve">O A2L blend </w:t>
      </w:r>
      <w:r>
        <w:rPr>
          <w:rFonts w:cs="Times New Roman"/>
          <w:szCs w:val="22"/>
        </w:rPr>
        <w:t>known as HFC-</w:t>
      </w:r>
      <w:r w:rsidRPr="00230073">
        <w:rPr>
          <w:rFonts w:cs="Times New Roman"/>
          <w:szCs w:val="22"/>
        </w:rPr>
        <w:t xml:space="preserve">447A, </w:t>
      </w:r>
      <w:r w:rsidRPr="00632436">
        <w:rPr>
          <w:rFonts w:cs="Times New Roman"/>
          <w:szCs w:val="22"/>
        </w:rPr>
        <w:t xml:space="preserve">will </w:t>
      </w:r>
      <w:r>
        <w:rPr>
          <w:rFonts w:cs="Times New Roman"/>
          <w:szCs w:val="22"/>
        </w:rPr>
        <w:t xml:space="preserve">reportedly </w:t>
      </w:r>
      <w:r w:rsidRPr="00632436">
        <w:rPr>
          <w:rFonts w:cs="Times New Roman"/>
          <w:szCs w:val="22"/>
        </w:rPr>
        <w:t>have a sl</w:t>
      </w:r>
      <w:r w:rsidRPr="00230073">
        <w:rPr>
          <w:rFonts w:cs="Times New Roman"/>
          <w:szCs w:val="22"/>
        </w:rPr>
        <w:t xml:space="preserve">ightly lower GWP than </w:t>
      </w:r>
      <w:r w:rsidR="00FC0978">
        <w:rPr>
          <w:rFonts w:cs="Times New Roman"/>
          <w:szCs w:val="22"/>
        </w:rPr>
        <w:t>HFC-32</w:t>
      </w:r>
      <w:r w:rsidRPr="00230073">
        <w:rPr>
          <w:rFonts w:cs="Times New Roman"/>
          <w:szCs w:val="22"/>
        </w:rPr>
        <w:t xml:space="preserve">. </w:t>
      </w:r>
      <w:r>
        <w:rPr>
          <w:rFonts w:cs="Times New Roman"/>
          <w:szCs w:val="22"/>
        </w:rPr>
        <w:t>However with</w:t>
      </w:r>
      <w:r w:rsidRPr="00230073">
        <w:rPr>
          <w:rFonts w:cs="Times New Roman"/>
          <w:szCs w:val="22"/>
        </w:rPr>
        <w:t xml:space="preserve"> the charge size </w:t>
      </w:r>
      <w:r>
        <w:rPr>
          <w:rFonts w:cs="Times New Roman"/>
          <w:szCs w:val="22"/>
        </w:rPr>
        <w:t>required by HFC-</w:t>
      </w:r>
      <w:r w:rsidRPr="00632436">
        <w:rPr>
          <w:rFonts w:cs="Times New Roman"/>
          <w:szCs w:val="22"/>
        </w:rPr>
        <w:t xml:space="preserve">32 being a little smaller </w:t>
      </w:r>
      <w:r w:rsidRPr="00230073">
        <w:rPr>
          <w:rFonts w:cs="Times New Roman"/>
          <w:szCs w:val="22"/>
        </w:rPr>
        <w:t>th</w:t>
      </w:r>
      <w:r>
        <w:rPr>
          <w:rFonts w:cs="Times New Roman"/>
          <w:szCs w:val="22"/>
        </w:rPr>
        <w:t>an that needed by HFC-447</w:t>
      </w:r>
      <w:r w:rsidR="00FC0978">
        <w:rPr>
          <w:rFonts w:cs="Times New Roman"/>
          <w:szCs w:val="22"/>
        </w:rPr>
        <w:t>A</w:t>
      </w:r>
      <w:r>
        <w:rPr>
          <w:rFonts w:cs="Times New Roman"/>
          <w:szCs w:val="22"/>
        </w:rPr>
        <w:t xml:space="preserve">, </w:t>
      </w:r>
      <w:r w:rsidRPr="00632436">
        <w:rPr>
          <w:rFonts w:cs="Times New Roman"/>
          <w:szCs w:val="22"/>
        </w:rPr>
        <w:t xml:space="preserve">overall GWP of </w:t>
      </w:r>
      <w:r>
        <w:rPr>
          <w:rFonts w:cs="Times New Roman"/>
          <w:szCs w:val="22"/>
        </w:rPr>
        <w:t xml:space="preserve">impact on the future bank and consumption of </w:t>
      </w:r>
      <w:r w:rsidRPr="00632436">
        <w:rPr>
          <w:rFonts w:cs="Times New Roman"/>
          <w:szCs w:val="22"/>
        </w:rPr>
        <w:t>both products will be similar.</w:t>
      </w:r>
    </w:p>
    <w:p w:rsidR="00431595" w:rsidRPr="00137CF8" w:rsidRDefault="00431595" w:rsidP="00431595">
      <w:pPr>
        <w:rPr>
          <w:rFonts w:cs="Times New Roman"/>
          <w:szCs w:val="22"/>
        </w:rPr>
      </w:pPr>
      <w:r w:rsidRPr="00137CF8">
        <w:rPr>
          <w:rFonts w:cs="Times New Roman"/>
          <w:szCs w:val="22"/>
        </w:rPr>
        <w:t>DuPont cites and DR-</w:t>
      </w:r>
      <w:r w:rsidR="00FC0978">
        <w:rPr>
          <w:rFonts w:cs="Times New Roman"/>
          <w:szCs w:val="22"/>
        </w:rPr>
        <w:t>5</w:t>
      </w:r>
      <w:r w:rsidRPr="00137CF8">
        <w:rPr>
          <w:rFonts w:cs="Times New Roman"/>
          <w:szCs w:val="22"/>
        </w:rPr>
        <w:t xml:space="preserve">, among other refrigerants, that are under development made up of mixtures of HFO-1234yf and other stable refrigerants, including HFCs. These blends benefit from the low GWP and high coefficient of performance of HFO-1234yf, and deliver more refrigeration capacity from other ingredients. DR-4 has a lower direct GWP value of around 300. However DR-5 with a GWP value of closer to 500 exhibits better total environmental performance due to higher energy efficiencies in </w:t>
      </w:r>
      <w:r w:rsidR="004B0648">
        <w:rPr>
          <w:rFonts w:cs="Times New Roman"/>
          <w:szCs w:val="22"/>
        </w:rPr>
        <w:t>AC</w:t>
      </w:r>
      <w:r w:rsidRPr="00137CF8">
        <w:rPr>
          <w:rFonts w:cs="Times New Roman"/>
          <w:szCs w:val="22"/>
        </w:rPr>
        <w:t xml:space="preserve"> applications (JARN 2011).</w:t>
      </w:r>
    </w:p>
    <w:p w:rsidR="00431595" w:rsidRPr="00137CF8" w:rsidRDefault="00431595" w:rsidP="00431595">
      <w:pPr>
        <w:rPr>
          <w:rFonts w:cs="Times New Roman"/>
          <w:szCs w:val="22"/>
        </w:rPr>
      </w:pPr>
      <w:r w:rsidRPr="00137CF8">
        <w:rPr>
          <w:rFonts w:cs="Times New Roman"/>
          <w:szCs w:val="22"/>
        </w:rPr>
        <w:t>The September 2013 TEAP report assessed these and several other refrigeran</w:t>
      </w:r>
      <w:r>
        <w:rPr>
          <w:rFonts w:cs="Times New Roman"/>
          <w:szCs w:val="22"/>
        </w:rPr>
        <w:t xml:space="preserve">ts in development (see </w:t>
      </w:r>
      <w:r w:rsidR="001D1740" w:rsidRPr="001D1740">
        <w:rPr>
          <w:rFonts w:cs="Times New Roman"/>
          <w:i/>
          <w:szCs w:val="22"/>
        </w:rPr>
        <w:t>Section 3.5 Summary of emerging HFO blends on the near horizon</w:t>
      </w:r>
      <w:r w:rsidRPr="00137CF8">
        <w:rPr>
          <w:rFonts w:cs="Times New Roman"/>
          <w:szCs w:val="22"/>
        </w:rPr>
        <w:t>) and concluded that a</w:t>
      </w:r>
      <w:r w:rsidR="00DA7DBD">
        <w:rPr>
          <w:rFonts w:cs="Times New Roman"/>
          <w:szCs w:val="22"/>
        </w:rPr>
        <w:t xml:space="preserve"> number</w:t>
      </w:r>
      <w:r w:rsidRPr="00137CF8">
        <w:rPr>
          <w:rFonts w:cs="Times New Roman"/>
          <w:szCs w:val="22"/>
        </w:rPr>
        <w:t xml:space="preserve"> of them could </w:t>
      </w:r>
      <w:r w:rsidR="00845FAB">
        <w:rPr>
          <w:rFonts w:cs="Times New Roman"/>
          <w:szCs w:val="22"/>
        </w:rPr>
        <w:t xml:space="preserve">be </w:t>
      </w:r>
      <w:r w:rsidRPr="00137CF8">
        <w:rPr>
          <w:rFonts w:cs="Times New Roman"/>
          <w:szCs w:val="22"/>
        </w:rPr>
        <w:t>in the market within 1 to 2 years.</w:t>
      </w:r>
      <w:r w:rsidR="00632436">
        <w:rPr>
          <w:rFonts w:cs="Times New Roman"/>
          <w:szCs w:val="22"/>
        </w:rPr>
        <w:t xml:space="preserve"> </w:t>
      </w:r>
      <w:r w:rsidR="00DA7DBD">
        <w:rPr>
          <w:rFonts w:cs="Times New Roman"/>
          <w:szCs w:val="22"/>
        </w:rPr>
        <w:t>Although r</w:t>
      </w:r>
      <w:r w:rsidRPr="00137CF8">
        <w:rPr>
          <w:rFonts w:cs="Times New Roman"/>
          <w:szCs w:val="22"/>
        </w:rPr>
        <w:t xml:space="preserve">elease to market of new refrigerants with novel properties is likely to require rigorous testing to comply with </w:t>
      </w:r>
      <w:r w:rsidR="00DA7DBD" w:rsidRPr="00137CF8">
        <w:rPr>
          <w:rFonts w:cs="Times New Roman"/>
          <w:szCs w:val="22"/>
        </w:rPr>
        <w:t xml:space="preserve">environmental and safety </w:t>
      </w:r>
      <w:r w:rsidRPr="00137CF8">
        <w:rPr>
          <w:rFonts w:cs="Times New Roman"/>
          <w:szCs w:val="22"/>
        </w:rPr>
        <w:t>standards</w:t>
      </w:r>
      <w:r w:rsidR="00DA7DBD">
        <w:rPr>
          <w:rFonts w:cs="Times New Roman"/>
          <w:szCs w:val="22"/>
        </w:rPr>
        <w:t>.</w:t>
      </w:r>
      <w:r w:rsidRPr="00137CF8">
        <w:rPr>
          <w:rFonts w:cs="Times New Roman"/>
          <w:szCs w:val="22"/>
        </w:rPr>
        <w:t xml:space="preserve"> </w:t>
      </w:r>
    </w:p>
    <w:p w:rsidR="00431595" w:rsidRPr="00137CF8" w:rsidRDefault="00431595" w:rsidP="00431595">
      <w:pPr>
        <w:rPr>
          <w:rFonts w:cs="Times New Roman"/>
          <w:szCs w:val="22"/>
        </w:rPr>
      </w:pPr>
      <w:r w:rsidRPr="00137CF8">
        <w:rPr>
          <w:rFonts w:cs="Times New Roman"/>
          <w:szCs w:val="22"/>
        </w:rPr>
        <w:t xml:space="preserve">As such it is considered possible that </w:t>
      </w:r>
      <w:r w:rsidR="00DA7DBD">
        <w:rPr>
          <w:rFonts w:cs="Times New Roman"/>
          <w:szCs w:val="22"/>
        </w:rPr>
        <w:t xml:space="preserve">not all of </w:t>
      </w:r>
      <w:r w:rsidRPr="00137CF8">
        <w:rPr>
          <w:rFonts w:cs="Times New Roman"/>
          <w:szCs w:val="22"/>
        </w:rPr>
        <w:t>these promising new compounds</w:t>
      </w:r>
      <w:r w:rsidR="00DA7DBD">
        <w:rPr>
          <w:rFonts w:cs="Times New Roman"/>
          <w:szCs w:val="22"/>
        </w:rPr>
        <w:t xml:space="preserve"> will</w:t>
      </w:r>
      <w:r w:rsidRPr="00137CF8">
        <w:rPr>
          <w:rFonts w:cs="Times New Roman"/>
          <w:szCs w:val="22"/>
        </w:rPr>
        <w:t xml:space="preserve"> enjoy rapid approval for commercial release, even if the manufacturers can scale up to production levels that make them economically viable. </w:t>
      </w:r>
    </w:p>
    <w:p w:rsidR="00431595" w:rsidRPr="00137CF8" w:rsidRDefault="00431595" w:rsidP="00431595">
      <w:pPr>
        <w:rPr>
          <w:rFonts w:cs="Times New Roman"/>
          <w:szCs w:val="22"/>
        </w:rPr>
      </w:pPr>
      <w:r w:rsidRPr="00137CF8">
        <w:rPr>
          <w:rFonts w:cs="Times New Roman"/>
          <w:szCs w:val="22"/>
        </w:rPr>
        <w:t xml:space="preserve">However the expected global adoption of HFO-1234yf as the standard for the automotive </w:t>
      </w:r>
      <w:r w:rsidR="004B0648">
        <w:rPr>
          <w:rFonts w:cs="Times New Roman"/>
          <w:szCs w:val="22"/>
        </w:rPr>
        <w:t>AC</w:t>
      </w:r>
      <w:r w:rsidRPr="00137CF8">
        <w:rPr>
          <w:rFonts w:cs="Times New Roman"/>
          <w:szCs w:val="22"/>
        </w:rPr>
        <w:t xml:space="preserve"> market, and the release of other HFO compounds such as HFO</w:t>
      </w:r>
      <w:r w:rsidRPr="00137CF8">
        <w:rPr>
          <w:rFonts w:cs="Times New Roman"/>
          <w:spacing w:val="-1"/>
          <w:szCs w:val="22"/>
        </w:rPr>
        <w:t>-1234ze(E) and HFO-1233zd</w:t>
      </w:r>
      <w:r w:rsidRPr="00137CF8">
        <w:rPr>
          <w:rFonts w:cs="Times New Roman"/>
          <w:szCs w:val="22"/>
        </w:rPr>
        <w:t xml:space="preserve"> with GWPs of just 6, will likely make final commercialisation of HFO based blends only a matter of time, if no serious adverse </w:t>
      </w:r>
      <w:r w:rsidR="00821F8D">
        <w:rPr>
          <w:rFonts w:cs="Times New Roman"/>
          <w:szCs w:val="22"/>
        </w:rPr>
        <w:t>safety</w:t>
      </w:r>
      <w:r w:rsidRPr="00137CF8">
        <w:rPr>
          <w:rFonts w:cs="Times New Roman"/>
          <w:szCs w:val="22"/>
        </w:rPr>
        <w:t xml:space="preserve"> or environmental impacts are identified.</w:t>
      </w:r>
    </w:p>
    <w:p w:rsidR="00431595" w:rsidRPr="00137CF8" w:rsidRDefault="00431595" w:rsidP="00431595">
      <w:pPr>
        <w:rPr>
          <w:rFonts w:cs="Times New Roman"/>
          <w:szCs w:val="22"/>
        </w:rPr>
      </w:pPr>
      <w:r w:rsidRPr="00137CF8">
        <w:rPr>
          <w:rFonts w:cs="Times New Roman"/>
          <w:szCs w:val="22"/>
        </w:rPr>
        <w:t>On the basis of the number of alternative substances under development, the transition model has predicted at least one other viable low</w:t>
      </w:r>
      <w:r w:rsidR="00F616A3">
        <w:rPr>
          <w:rFonts w:cs="Times New Roman"/>
          <w:szCs w:val="22"/>
        </w:rPr>
        <w:t>er</w:t>
      </w:r>
      <w:r w:rsidRPr="00137CF8">
        <w:rPr>
          <w:rFonts w:cs="Times New Roman"/>
          <w:szCs w:val="22"/>
        </w:rPr>
        <w:t xml:space="preserve"> GWP alternative is introduced to the market by 2016 and grows at</w:t>
      </w:r>
      <w:r w:rsidR="00F616A3">
        <w:rPr>
          <w:rFonts w:cs="Times New Roman"/>
          <w:szCs w:val="22"/>
        </w:rPr>
        <w:t xml:space="preserve"> a steady rate to reach some 1.3</w:t>
      </w:r>
      <w:r w:rsidRPr="00137CF8">
        <w:rPr>
          <w:rFonts w:cs="Times New Roman"/>
          <w:szCs w:val="22"/>
        </w:rPr>
        <w:t xml:space="preserve"> million units by 2025</w:t>
      </w:r>
      <w:r>
        <w:rPr>
          <w:rFonts w:cs="Times New Roman"/>
          <w:szCs w:val="22"/>
        </w:rPr>
        <w:t>, or approxim</w:t>
      </w:r>
      <w:r w:rsidR="00F616A3">
        <w:rPr>
          <w:rFonts w:cs="Times New Roman"/>
          <w:szCs w:val="22"/>
        </w:rPr>
        <w:t>ately 11</w:t>
      </w:r>
      <w:r>
        <w:rPr>
          <w:rFonts w:cs="Times New Roman"/>
          <w:szCs w:val="22"/>
        </w:rPr>
        <w:t>% of the total stock of equipment in this class at that time</w:t>
      </w:r>
      <w:r w:rsidRPr="00137CF8">
        <w:rPr>
          <w:rFonts w:cs="Times New Roman"/>
          <w:szCs w:val="22"/>
        </w:rPr>
        <w:t>.</w:t>
      </w:r>
    </w:p>
    <w:p w:rsidR="00431595" w:rsidRDefault="00431595" w:rsidP="00431595">
      <w:pPr>
        <w:rPr>
          <w:rFonts w:cs="Times New Roman"/>
          <w:szCs w:val="22"/>
        </w:rPr>
      </w:pPr>
      <w:r w:rsidRPr="00137CF8">
        <w:rPr>
          <w:rFonts w:cs="Times New Roman"/>
          <w:szCs w:val="22"/>
        </w:rPr>
        <w:t>As such, when combining the expected growth of HFC-32 in this class of medium AC equipment, and the smaller contribution of HC-290 charged equipment, the transition model predicts that by 2025 around 52% of medium AC equipment, or</w:t>
      </w:r>
      <w:r>
        <w:rPr>
          <w:rFonts w:cs="Times New Roman"/>
          <w:szCs w:val="22"/>
        </w:rPr>
        <w:t xml:space="preserve"> around 6.1 million units, is expected to</w:t>
      </w:r>
      <w:r w:rsidRPr="00137CF8">
        <w:rPr>
          <w:rFonts w:cs="Times New Roman"/>
          <w:szCs w:val="22"/>
        </w:rPr>
        <w:t xml:space="preserve"> be charged with low GWP refrigerants.</w:t>
      </w:r>
    </w:p>
    <w:p w:rsidR="00431595" w:rsidRDefault="00431595" w:rsidP="00431595">
      <w:pPr>
        <w:rPr>
          <w:rFonts w:cs="Times New Roman"/>
          <w:szCs w:val="22"/>
        </w:rPr>
      </w:pPr>
      <w:r>
        <w:rPr>
          <w:rFonts w:cs="Times New Roman"/>
          <w:szCs w:val="22"/>
        </w:rPr>
        <w:t>This sector of the RAC markets is one of the largest and most lucrative for all of the participants in the supply line. As such there are large incentives to be successful early starters when new technologies are released. Because of the size of the market and the potential rewards it is very likely that this area in particular could see rapid developments in both the new refrigerants being developed and trialled and new technology under development.</w:t>
      </w:r>
    </w:p>
    <w:p w:rsidR="00431595" w:rsidRDefault="00431595" w:rsidP="00431595">
      <w:pPr>
        <w:rPr>
          <w:rFonts w:cs="Times New Roman"/>
          <w:szCs w:val="22"/>
        </w:rPr>
      </w:pPr>
      <w:r>
        <w:rPr>
          <w:rFonts w:cs="Times New Roman"/>
          <w:szCs w:val="22"/>
        </w:rPr>
        <w:t>There are a number of parallel technological development efforts underway that may yet have an impact within the period of the projection.</w:t>
      </w:r>
    </w:p>
    <w:p w:rsidR="00431595" w:rsidRDefault="00431595" w:rsidP="00431595">
      <w:pPr>
        <w:rPr>
          <w:rFonts w:cs="Times New Roman"/>
          <w:szCs w:val="22"/>
        </w:rPr>
      </w:pPr>
      <w:r>
        <w:rPr>
          <w:rFonts w:cs="Times New Roman"/>
          <w:szCs w:val="22"/>
        </w:rPr>
        <w:t>Solar adsorption chillers could potentially start to take up some market share towards the end of the period depending on both the advancement of the technology and supporting policies. CO</w:t>
      </w:r>
      <w:r w:rsidRPr="002A19F1">
        <w:rPr>
          <w:rFonts w:cs="Times New Roman"/>
          <w:szCs w:val="22"/>
          <w:vertAlign w:val="subscript"/>
        </w:rPr>
        <w:t>2</w:t>
      </w:r>
      <w:r>
        <w:rPr>
          <w:rFonts w:cs="Times New Roman"/>
          <w:szCs w:val="22"/>
        </w:rPr>
        <w:t xml:space="preserve"> charged systems, also in their relative infancy, are also a potential to achieve commercial release in the period.</w:t>
      </w:r>
    </w:p>
    <w:p w:rsidR="00431595" w:rsidRPr="00137CF8" w:rsidRDefault="00431595" w:rsidP="00431595">
      <w:pPr>
        <w:rPr>
          <w:rFonts w:cs="Times New Roman"/>
          <w:szCs w:val="22"/>
        </w:rPr>
      </w:pPr>
      <w:r>
        <w:rPr>
          <w:rFonts w:cs="Times New Roman"/>
          <w:szCs w:val="22"/>
        </w:rPr>
        <w:t>More immediately ‘indirect’ evaporative cooling systems that combine both highly efficient refrigerating circuits with evaporative cooling systems have potential to develop a reasonable market share as the combined effects of drives for higher energy efficiency and lower GWP/lower working charge systems, influence design.</w:t>
      </w:r>
    </w:p>
    <w:p w:rsidR="00431595" w:rsidRPr="00137CF8" w:rsidRDefault="00431595" w:rsidP="00431595">
      <w:pPr>
        <w:spacing w:before="240"/>
        <w:outlineLvl w:val="0"/>
        <w:rPr>
          <w:rFonts w:cs="Times New Roman"/>
          <w:szCs w:val="22"/>
          <w:u w:val="single"/>
        </w:rPr>
      </w:pPr>
      <w:r w:rsidRPr="00137CF8">
        <w:rPr>
          <w:rFonts w:cs="Times New Roman"/>
          <w:b/>
          <w:szCs w:val="22"/>
          <w:u w:val="single"/>
        </w:rPr>
        <w:t>Large AC</w:t>
      </w:r>
      <w:r w:rsidRPr="00137CF8">
        <w:rPr>
          <w:rFonts w:cs="Times New Roman"/>
          <w:szCs w:val="22"/>
          <w:u w:val="single"/>
        </w:rPr>
        <w:t>: Space chillers</w:t>
      </w:r>
    </w:p>
    <w:p w:rsidR="00431595" w:rsidRPr="00137CF8" w:rsidRDefault="00431595" w:rsidP="00431595">
      <w:pPr>
        <w:rPr>
          <w:rFonts w:cs="Times New Roman"/>
          <w:szCs w:val="22"/>
        </w:rPr>
      </w:pPr>
      <w:r w:rsidRPr="00137CF8">
        <w:rPr>
          <w:rFonts w:cs="Times New Roman"/>
          <w:szCs w:val="22"/>
        </w:rPr>
        <w:t xml:space="preserve">There are no immediate options </w:t>
      </w:r>
      <w:r>
        <w:rPr>
          <w:rFonts w:cs="Times New Roman"/>
          <w:szCs w:val="22"/>
        </w:rPr>
        <w:t xml:space="preserve">available </w:t>
      </w:r>
      <w:r w:rsidRPr="00137CF8">
        <w:rPr>
          <w:rFonts w:cs="Times New Roman"/>
          <w:szCs w:val="22"/>
        </w:rPr>
        <w:t xml:space="preserve">for a transition of large </w:t>
      </w:r>
      <w:r w:rsidR="00AB541F">
        <w:rPr>
          <w:rFonts w:cs="Times New Roman"/>
          <w:szCs w:val="22"/>
        </w:rPr>
        <w:t xml:space="preserve">commercial AC </w:t>
      </w:r>
      <w:r w:rsidRPr="00137CF8">
        <w:rPr>
          <w:rFonts w:cs="Times New Roman"/>
          <w:szCs w:val="22"/>
        </w:rPr>
        <w:t>chiller systems to low GWP refrigerants</w:t>
      </w:r>
      <w:r w:rsidR="00AB541F">
        <w:rPr>
          <w:rFonts w:cs="Times New Roman"/>
          <w:szCs w:val="22"/>
        </w:rPr>
        <w:t xml:space="preserve">, although </w:t>
      </w:r>
      <w:r w:rsidR="00426F9E">
        <w:rPr>
          <w:rFonts w:cs="Times New Roman"/>
          <w:szCs w:val="22"/>
        </w:rPr>
        <w:t>Ammonia (</w:t>
      </w:r>
      <w:r w:rsidR="00AB541F">
        <w:rPr>
          <w:rFonts w:cs="Times New Roman"/>
          <w:szCs w:val="22"/>
        </w:rPr>
        <w:t>R717</w:t>
      </w:r>
      <w:r w:rsidR="00426F9E">
        <w:rPr>
          <w:rFonts w:cs="Times New Roman"/>
          <w:szCs w:val="22"/>
        </w:rPr>
        <w:t>)</w:t>
      </w:r>
      <w:r w:rsidR="00AB541F">
        <w:rPr>
          <w:rFonts w:cs="Times New Roman"/>
          <w:szCs w:val="22"/>
        </w:rPr>
        <w:t xml:space="preserve"> is established in niche</w:t>
      </w:r>
      <w:r w:rsidR="00632436">
        <w:rPr>
          <w:rFonts w:cs="Times New Roman"/>
          <w:szCs w:val="22"/>
        </w:rPr>
        <w:t xml:space="preserve"> applications.</w:t>
      </w:r>
      <w:r w:rsidR="00AB541F">
        <w:rPr>
          <w:rFonts w:cs="Times New Roman"/>
          <w:szCs w:val="22"/>
        </w:rPr>
        <w:t xml:space="preserve"> </w:t>
      </w:r>
      <w:r w:rsidRPr="00137CF8">
        <w:rPr>
          <w:rFonts w:cs="Times New Roman"/>
          <w:szCs w:val="22"/>
        </w:rPr>
        <w:t>However alternatives are expected to be commercially availab</w:t>
      </w:r>
      <w:r>
        <w:rPr>
          <w:rFonts w:cs="Times New Roman"/>
          <w:szCs w:val="22"/>
        </w:rPr>
        <w:t>le and proven within 2 to 5 years</w:t>
      </w:r>
      <w:r w:rsidRPr="00137CF8">
        <w:rPr>
          <w:rFonts w:cs="Times New Roman"/>
          <w:szCs w:val="22"/>
        </w:rPr>
        <w:t xml:space="preserve">. Opportunities to change the refrigerant gas employed in a chiller plant may occur both when replacing chillers that have reached the end of their useful service life and when procuring equipment for a new construction. However as these are large capital items with long service lives, many chillers also undergo a major refurbishment during the course of their working life, and this too will present opportunities for </w:t>
      </w:r>
      <w:r w:rsidR="005D3A80" w:rsidRPr="00821F8D">
        <w:rPr>
          <w:rFonts w:cs="Times New Roman"/>
          <w:szCs w:val="22"/>
        </w:rPr>
        <w:t>refitting</w:t>
      </w:r>
      <w:r w:rsidRPr="00137CF8">
        <w:rPr>
          <w:rFonts w:cs="Times New Roman"/>
          <w:szCs w:val="22"/>
        </w:rPr>
        <w:t xml:space="preserve"> chillers with lower GWP gases. </w:t>
      </w:r>
    </w:p>
    <w:p w:rsidR="00431595" w:rsidRPr="00137CF8" w:rsidRDefault="00431595" w:rsidP="00431595">
      <w:pPr>
        <w:rPr>
          <w:rFonts w:cs="Times New Roman"/>
          <w:szCs w:val="22"/>
        </w:rPr>
      </w:pPr>
      <w:r w:rsidRPr="00137CF8">
        <w:rPr>
          <w:rFonts w:cs="Times New Roman"/>
          <w:szCs w:val="22"/>
        </w:rPr>
        <w:t>Ther</w:t>
      </w:r>
      <w:r w:rsidR="00426F9E">
        <w:rPr>
          <w:rFonts w:cs="Times New Roman"/>
          <w:szCs w:val="22"/>
        </w:rPr>
        <w:t>e are estimated to be about 28,4</w:t>
      </w:r>
      <w:r w:rsidRPr="00137CF8">
        <w:rPr>
          <w:rFonts w:cs="Times New Roman"/>
          <w:szCs w:val="22"/>
        </w:rPr>
        <w:t xml:space="preserve">00 chillers operating in Australia, containing in total approximately 3,400 tonnes of refrigerant gases. Approximately </w:t>
      </w:r>
      <w:r w:rsidR="00426F9E">
        <w:rPr>
          <w:rFonts w:cs="Times New Roman"/>
          <w:szCs w:val="22"/>
        </w:rPr>
        <w:t>34% of t</w:t>
      </w:r>
      <w:r w:rsidRPr="00137CF8">
        <w:rPr>
          <w:rFonts w:cs="Times New Roman"/>
          <w:szCs w:val="22"/>
        </w:rPr>
        <w:t>his gas is HCF</w:t>
      </w:r>
      <w:r w:rsidR="00F414F6">
        <w:rPr>
          <w:rFonts w:cs="Times New Roman"/>
          <w:szCs w:val="22"/>
        </w:rPr>
        <w:t>C</w:t>
      </w:r>
      <w:r w:rsidRPr="00137CF8">
        <w:rPr>
          <w:rFonts w:cs="Times New Roman"/>
          <w:szCs w:val="22"/>
        </w:rPr>
        <w:t>-22 (~1,</w:t>
      </w:r>
      <w:r w:rsidR="00426F9E">
        <w:rPr>
          <w:rFonts w:cs="Times New Roman"/>
          <w:szCs w:val="22"/>
        </w:rPr>
        <w:t>170</w:t>
      </w:r>
      <w:r w:rsidRPr="00137CF8">
        <w:rPr>
          <w:rFonts w:cs="Times New Roman"/>
          <w:szCs w:val="22"/>
        </w:rPr>
        <w:t xml:space="preserve"> tonnes) with a smaller quantity of HCFC-123 (~160 tonnes). The balance of gases employed </w:t>
      </w:r>
      <w:r>
        <w:rPr>
          <w:rFonts w:cs="Times New Roman"/>
          <w:szCs w:val="22"/>
        </w:rPr>
        <w:t xml:space="preserve">(around </w:t>
      </w:r>
      <w:r w:rsidR="00426F9E">
        <w:rPr>
          <w:rFonts w:cs="Times New Roman"/>
          <w:szCs w:val="22"/>
        </w:rPr>
        <w:t>2,070</w:t>
      </w:r>
      <w:r>
        <w:rPr>
          <w:rFonts w:cs="Times New Roman"/>
          <w:szCs w:val="22"/>
        </w:rPr>
        <w:t xml:space="preserve"> tonnes) </w:t>
      </w:r>
      <w:r w:rsidRPr="00137CF8">
        <w:rPr>
          <w:rFonts w:cs="Times New Roman"/>
          <w:szCs w:val="22"/>
        </w:rPr>
        <w:t>are hig</w:t>
      </w:r>
      <w:r>
        <w:rPr>
          <w:rFonts w:cs="Times New Roman"/>
          <w:szCs w:val="22"/>
        </w:rPr>
        <w:t>h GWP HFCs including around 1</w:t>
      </w:r>
      <w:r w:rsidR="00426F9E">
        <w:rPr>
          <w:rFonts w:cs="Times New Roman"/>
          <w:szCs w:val="22"/>
        </w:rPr>
        <w:t>,800</w:t>
      </w:r>
      <w:r w:rsidRPr="00137CF8">
        <w:rPr>
          <w:rFonts w:cs="Times New Roman"/>
          <w:szCs w:val="22"/>
        </w:rPr>
        <w:t xml:space="preserve"> tonnes of HFC-134a and small quantities of HFC-410A and HFC-407C.</w:t>
      </w:r>
    </w:p>
    <w:p w:rsidR="00431595" w:rsidRPr="00137CF8" w:rsidRDefault="00431595" w:rsidP="00431595">
      <w:pPr>
        <w:rPr>
          <w:rFonts w:cs="Times New Roman"/>
          <w:szCs w:val="22"/>
        </w:rPr>
      </w:pPr>
      <w:r w:rsidRPr="00137CF8">
        <w:rPr>
          <w:rFonts w:cs="Times New Roman"/>
          <w:szCs w:val="22"/>
        </w:rPr>
        <w:t xml:space="preserve">The installed base of high GWP HFC charged equipment created demand for approximately </w:t>
      </w:r>
      <w:r w:rsidR="003F6018">
        <w:rPr>
          <w:rFonts w:cs="Times New Roman"/>
          <w:szCs w:val="22"/>
        </w:rPr>
        <w:t>130</w:t>
      </w:r>
      <w:r w:rsidRPr="00137CF8">
        <w:rPr>
          <w:rFonts w:cs="Times New Roman"/>
          <w:szCs w:val="22"/>
        </w:rPr>
        <w:t xml:space="preserve"> tonnes of bulk </w:t>
      </w:r>
      <w:r w:rsidR="003F6018">
        <w:rPr>
          <w:rFonts w:cs="Times New Roman"/>
          <w:szCs w:val="22"/>
        </w:rPr>
        <w:t xml:space="preserve">consumption </w:t>
      </w:r>
      <w:r w:rsidRPr="00137CF8">
        <w:rPr>
          <w:rFonts w:cs="Times New Roman"/>
          <w:szCs w:val="22"/>
        </w:rPr>
        <w:t>in 2013 to replace material lost to leaks</w:t>
      </w:r>
      <w:r>
        <w:rPr>
          <w:rFonts w:cs="Times New Roman"/>
          <w:szCs w:val="22"/>
        </w:rPr>
        <w:t xml:space="preserve"> (about </w:t>
      </w:r>
      <w:r w:rsidR="003F6018">
        <w:rPr>
          <w:rFonts w:cs="Times New Roman"/>
          <w:szCs w:val="22"/>
        </w:rPr>
        <w:t>3</w:t>
      </w:r>
      <w:r>
        <w:rPr>
          <w:rFonts w:cs="Times New Roman"/>
          <w:szCs w:val="22"/>
        </w:rPr>
        <w:t xml:space="preserve">% of all high GWP HFC </w:t>
      </w:r>
      <w:r w:rsidR="003F6018">
        <w:rPr>
          <w:rFonts w:cs="Times New Roman"/>
          <w:szCs w:val="22"/>
        </w:rPr>
        <w:t>consumption</w:t>
      </w:r>
      <w:r>
        <w:rPr>
          <w:rFonts w:cs="Times New Roman"/>
          <w:szCs w:val="22"/>
        </w:rPr>
        <w:t xml:space="preserve"> in that year)</w:t>
      </w:r>
      <w:r w:rsidRPr="00137CF8">
        <w:rPr>
          <w:rFonts w:cs="Times New Roman"/>
          <w:szCs w:val="22"/>
        </w:rPr>
        <w:t>. A further approximately 1</w:t>
      </w:r>
      <w:r w:rsidR="003F6018">
        <w:rPr>
          <w:rFonts w:cs="Times New Roman"/>
          <w:szCs w:val="22"/>
        </w:rPr>
        <w:t>50</w:t>
      </w:r>
      <w:r w:rsidRPr="00137CF8">
        <w:rPr>
          <w:rFonts w:cs="Times New Roman"/>
          <w:szCs w:val="22"/>
        </w:rPr>
        <w:t xml:space="preserve"> tonnes was imported in bulk to supply OEM demand and to charge imported equipment that is imported without any refrigerant in place</w:t>
      </w:r>
      <w:r w:rsidR="003F6018">
        <w:rPr>
          <w:rFonts w:cs="Times New Roman"/>
          <w:szCs w:val="22"/>
        </w:rPr>
        <w:t xml:space="preserve"> (about 4</w:t>
      </w:r>
      <w:r>
        <w:rPr>
          <w:rFonts w:cs="Times New Roman"/>
          <w:szCs w:val="22"/>
        </w:rPr>
        <w:t>% of all high GWP HFC imports in that year)</w:t>
      </w:r>
      <w:r w:rsidRPr="00137CF8">
        <w:rPr>
          <w:rFonts w:cs="Times New Roman"/>
          <w:szCs w:val="22"/>
        </w:rPr>
        <w:t>.</w:t>
      </w:r>
    </w:p>
    <w:p w:rsidR="00431595" w:rsidRPr="00137CF8" w:rsidRDefault="003F6018" w:rsidP="00431595">
      <w:pPr>
        <w:rPr>
          <w:rFonts w:cs="Times New Roman"/>
          <w:szCs w:val="22"/>
        </w:rPr>
      </w:pPr>
      <w:r>
        <w:rPr>
          <w:rFonts w:cs="Times New Roman"/>
          <w:szCs w:val="22"/>
        </w:rPr>
        <w:t xml:space="preserve">New chillers sales are expected grow at around 1% per annum or </w:t>
      </w:r>
      <w:r w:rsidRPr="00137CF8">
        <w:rPr>
          <w:rFonts w:cs="Times New Roman"/>
          <w:szCs w:val="22"/>
        </w:rPr>
        <w:t>in line with construction activity</w:t>
      </w:r>
      <w:r>
        <w:rPr>
          <w:rFonts w:cs="Times New Roman"/>
          <w:szCs w:val="22"/>
        </w:rPr>
        <w:t xml:space="preserve">, however the stock of chillers is expected to decline to </w:t>
      </w:r>
      <w:r w:rsidR="00431595" w:rsidRPr="00137CF8">
        <w:rPr>
          <w:rFonts w:cs="Times New Roman"/>
          <w:szCs w:val="22"/>
        </w:rPr>
        <w:t xml:space="preserve">about </w:t>
      </w:r>
      <w:r>
        <w:rPr>
          <w:rFonts w:cs="Times New Roman"/>
          <w:szCs w:val="22"/>
        </w:rPr>
        <w:t>25</w:t>
      </w:r>
      <w:r w:rsidR="00431595" w:rsidRPr="00137CF8">
        <w:rPr>
          <w:rFonts w:cs="Times New Roman"/>
          <w:szCs w:val="22"/>
        </w:rPr>
        <w:t xml:space="preserve">,000 units in 2025. However during that period more than 14,000 units presently charged with HCFC-22 </w:t>
      </w:r>
      <w:r w:rsidR="00173947">
        <w:rPr>
          <w:rFonts w:cs="Times New Roman"/>
          <w:szCs w:val="22"/>
        </w:rPr>
        <w:t xml:space="preserve">and </w:t>
      </w:r>
      <w:r w:rsidR="00173947" w:rsidRPr="00137CF8">
        <w:rPr>
          <w:rFonts w:cs="Times New Roman"/>
          <w:szCs w:val="22"/>
        </w:rPr>
        <w:t xml:space="preserve">HCFC-123 </w:t>
      </w:r>
      <w:r w:rsidR="00431595" w:rsidRPr="00137CF8">
        <w:rPr>
          <w:rFonts w:cs="Times New Roman"/>
          <w:szCs w:val="22"/>
        </w:rPr>
        <w:t xml:space="preserve">are expected to decline to </w:t>
      </w:r>
      <w:r w:rsidR="00173947">
        <w:rPr>
          <w:rFonts w:cs="Times New Roman"/>
          <w:szCs w:val="22"/>
        </w:rPr>
        <w:t xml:space="preserve">around 1,000 </w:t>
      </w:r>
      <w:r w:rsidR="00431595" w:rsidRPr="00137CF8">
        <w:rPr>
          <w:rFonts w:cs="Times New Roman"/>
          <w:szCs w:val="22"/>
        </w:rPr>
        <w:t>units.</w:t>
      </w:r>
    </w:p>
    <w:p w:rsidR="00431595" w:rsidRPr="00137CF8" w:rsidRDefault="00431595" w:rsidP="00431595">
      <w:pPr>
        <w:rPr>
          <w:rFonts w:cs="Times New Roman"/>
          <w:szCs w:val="22"/>
        </w:rPr>
      </w:pPr>
      <w:r w:rsidRPr="00137CF8">
        <w:rPr>
          <w:rFonts w:cs="Times New Roman"/>
          <w:szCs w:val="22"/>
        </w:rPr>
        <w:t xml:space="preserve">As these are long life capital items much of the newer HFC charged equipment in place now can be expected to be still operating for potentially decades into the future. However these large systems, that should enjoy regular servicing and close performance monitoring, also have greater potential for being </w:t>
      </w:r>
      <w:r w:rsidR="005D3A80" w:rsidRPr="00821F8D">
        <w:rPr>
          <w:rFonts w:cs="Times New Roman"/>
          <w:szCs w:val="22"/>
        </w:rPr>
        <w:t>refitted</w:t>
      </w:r>
      <w:r w:rsidRPr="00137CF8">
        <w:rPr>
          <w:rFonts w:cs="Times New Roman"/>
          <w:szCs w:val="22"/>
        </w:rPr>
        <w:t xml:space="preserve"> during their working life. </w:t>
      </w:r>
    </w:p>
    <w:p w:rsidR="00431595" w:rsidRPr="00137CF8" w:rsidRDefault="00431595" w:rsidP="00431595">
      <w:pPr>
        <w:rPr>
          <w:rFonts w:cs="Times New Roman"/>
          <w:szCs w:val="22"/>
        </w:rPr>
      </w:pPr>
      <w:r w:rsidRPr="00137CF8">
        <w:rPr>
          <w:rFonts w:cs="Times New Roman"/>
          <w:szCs w:val="22"/>
        </w:rPr>
        <w:t xml:space="preserve">Nonetheless the transition model projects that the estimated </w:t>
      </w:r>
      <w:r w:rsidR="00173947">
        <w:rPr>
          <w:rFonts w:cs="Times New Roman"/>
          <w:szCs w:val="22"/>
        </w:rPr>
        <w:t>15,000</w:t>
      </w:r>
      <w:r w:rsidRPr="00137CF8">
        <w:rPr>
          <w:rFonts w:cs="Times New Roman"/>
          <w:szCs w:val="22"/>
        </w:rPr>
        <w:t xml:space="preserve"> HFC-134a chillers in operation now will grow to </w:t>
      </w:r>
      <w:r w:rsidR="00173947">
        <w:rPr>
          <w:rFonts w:cs="Times New Roman"/>
          <w:szCs w:val="22"/>
        </w:rPr>
        <w:t>almost 17,000</w:t>
      </w:r>
      <w:r w:rsidRPr="00137CF8">
        <w:rPr>
          <w:rFonts w:cs="Times New Roman"/>
          <w:szCs w:val="22"/>
        </w:rPr>
        <w:t xml:space="preserve"> units by 20</w:t>
      </w:r>
      <w:r w:rsidR="00F349AE">
        <w:rPr>
          <w:rFonts w:cs="Times New Roman"/>
          <w:szCs w:val="22"/>
        </w:rPr>
        <w:t>18</w:t>
      </w:r>
      <w:r w:rsidRPr="00137CF8">
        <w:rPr>
          <w:rFonts w:cs="Times New Roman"/>
          <w:szCs w:val="22"/>
        </w:rPr>
        <w:t xml:space="preserve"> before slowly beginning to decline in nu</w:t>
      </w:r>
      <w:r w:rsidR="00F349AE">
        <w:rPr>
          <w:rFonts w:cs="Times New Roman"/>
          <w:szCs w:val="22"/>
        </w:rPr>
        <w:t>mber. Similarly the estimated 2,200</w:t>
      </w:r>
      <w:r w:rsidRPr="00137CF8">
        <w:rPr>
          <w:rFonts w:cs="Times New Roman"/>
          <w:szCs w:val="22"/>
        </w:rPr>
        <w:t xml:space="preserve"> HFC-410A </w:t>
      </w:r>
      <w:r w:rsidR="00F349AE">
        <w:rPr>
          <w:rFonts w:cs="Times New Roman"/>
          <w:szCs w:val="22"/>
        </w:rPr>
        <w:t xml:space="preserve">and HFC-407C </w:t>
      </w:r>
      <w:r w:rsidRPr="00137CF8">
        <w:rPr>
          <w:rFonts w:cs="Times New Roman"/>
          <w:szCs w:val="22"/>
        </w:rPr>
        <w:t xml:space="preserve">units operating now </w:t>
      </w:r>
      <w:r>
        <w:rPr>
          <w:rFonts w:cs="Times New Roman"/>
          <w:szCs w:val="22"/>
        </w:rPr>
        <w:t>are</w:t>
      </w:r>
      <w:r w:rsidRPr="00137CF8">
        <w:rPr>
          <w:rFonts w:cs="Times New Roman"/>
          <w:szCs w:val="22"/>
        </w:rPr>
        <w:t xml:space="preserve"> expected to grow to more than 3,</w:t>
      </w:r>
      <w:r w:rsidR="00F349AE">
        <w:rPr>
          <w:rFonts w:cs="Times New Roman"/>
          <w:szCs w:val="22"/>
        </w:rPr>
        <w:t>5</w:t>
      </w:r>
      <w:r w:rsidRPr="00137CF8">
        <w:rPr>
          <w:rFonts w:cs="Times New Roman"/>
          <w:szCs w:val="22"/>
        </w:rPr>
        <w:t>00 units by 202</w:t>
      </w:r>
      <w:r w:rsidR="00F349AE">
        <w:rPr>
          <w:rFonts w:cs="Times New Roman"/>
          <w:szCs w:val="22"/>
        </w:rPr>
        <w:t>1</w:t>
      </w:r>
      <w:r w:rsidRPr="00137CF8">
        <w:rPr>
          <w:rFonts w:cs="Times New Roman"/>
          <w:szCs w:val="22"/>
        </w:rPr>
        <w:t xml:space="preserve"> before beginning a similar slow decline. </w:t>
      </w:r>
    </w:p>
    <w:p w:rsidR="00431595" w:rsidRPr="00137CF8" w:rsidRDefault="00431595" w:rsidP="00431595">
      <w:pPr>
        <w:rPr>
          <w:rFonts w:cs="Times New Roman"/>
          <w:szCs w:val="22"/>
        </w:rPr>
      </w:pPr>
      <w:r w:rsidRPr="00137CF8">
        <w:rPr>
          <w:rFonts w:cs="Times New Roman"/>
          <w:szCs w:val="22"/>
        </w:rPr>
        <w:t>HFO-1234ze(E) is a refrigerant that can be used in existing HFC-134a technologies with minor modifications (compressor sizing), and it has been trialled in systems in Europe. When used in reciprocating, scroll or screw type of compressors, it produces efficiency levels comparable to HFC-134a. In centrifugal compressors, this refrigerant produces efficiency levels slightly better than HFC-134a. In chiller applications HFO-1234ze(E) should perform very well in warm climates, due to their high critical temperatures (UNEP 2013c, p3).</w:t>
      </w:r>
    </w:p>
    <w:p w:rsidR="00431595" w:rsidRPr="00137CF8" w:rsidRDefault="00431595" w:rsidP="00431595">
      <w:pPr>
        <w:rPr>
          <w:rFonts w:cs="Times New Roman"/>
          <w:szCs w:val="22"/>
        </w:rPr>
      </w:pPr>
      <w:r w:rsidRPr="00137CF8">
        <w:rPr>
          <w:rFonts w:cs="Times New Roman"/>
          <w:szCs w:val="22"/>
        </w:rPr>
        <w:t xml:space="preserve">The transition model assumes that HFO charged systems are first introduced around 2015 and grow strongly until 2025 by which time some </w:t>
      </w:r>
      <w:r w:rsidR="00F349AE">
        <w:rPr>
          <w:rFonts w:cs="Times New Roman"/>
          <w:szCs w:val="22"/>
        </w:rPr>
        <w:t>3,400</w:t>
      </w:r>
      <w:r w:rsidRPr="00137CF8">
        <w:rPr>
          <w:rFonts w:cs="Times New Roman"/>
          <w:szCs w:val="22"/>
        </w:rPr>
        <w:t xml:space="preserve"> are installed.</w:t>
      </w:r>
    </w:p>
    <w:p w:rsidR="00431595" w:rsidRPr="00137CF8" w:rsidRDefault="00431595" w:rsidP="00431595">
      <w:pPr>
        <w:rPr>
          <w:rFonts w:cs="Times New Roman"/>
          <w:szCs w:val="22"/>
        </w:rPr>
      </w:pPr>
      <w:r w:rsidRPr="00137CF8">
        <w:rPr>
          <w:rFonts w:cs="Times New Roman"/>
          <w:szCs w:val="22"/>
        </w:rPr>
        <w:t xml:space="preserve">During that period chillers charged with HFC-32 are expected to be introduced by around 2015 and grow at a somewhat slower rate than HFO charged equipment until by 2025 there are </w:t>
      </w:r>
      <w:r w:rsidR="00F349AE">
        <w:rPr>
          <w:rFonts w:cs="Times New Roman"/>
          <w:szCs w:val="22"/>
        </w:rPr>
        <w:t xml:space="preserve">almost </w:t>
      </w:r>
      <w:r w:rsidRPr="00137CF8">
        <w:rPr>
          <w:rFonts w:cs="Times New Roman"/>
          <w:szCs w:val="22"/>
        </w:rPr>
        <w:t>1,</w:t>
      </w:r>
      <w:r w:rsidR="00F349AE">
        <w:rPr>
          <w:rFonts w:cs="Times New Roman"/>
          <w:szCs w:val="22"/>
        </w:rPr>
        <w:t>0</w:t>
      </w:r>
      <w:r w:rsidRPr="00137CF8">
        <w:rPr>
          <w:rFonts w:cs="Times New Roman"/>
          <w:szCs w:val="22"/>
        </w:rPr>
        <w:t>00 HFC-32 charged chillers in the economy.</w:t>
      </w:r>
    </w:p>
    <w:p w:rsidR="00F349AE" w:rsidRDefault="00431595" w:rsidP="00431595">
      <w:pPr>
        <w:rPr>
          <w:rFonts w:cs="Times New Roman"/>
          <w:szCs w:val="22"/>
        </w:rPr>
      </w:pPr>
      <w:r w:rsidRPr="00137CF8">
        <w:rPr>
          <w:rFonts w:cs="Times New Roman"/>
          <w:szCs w:val="22"/>
        </w:rPr>
        <w:t xml:space="preserve">It is assumed that at least one of the other developmental blends that are being prepared for the market is available for commercial use in 2016, and optimised for certain applications, sales build until in 2025 there are nearly </w:t>
      </w:r>
      <w:r w:rsidR="00F349AE">
        <w:rPr>
          <w:rFonts w:cs="Times New Roman"/>
          <w:szCs w:val="22"/>
        </w:rPr>
        <w:t>1,6</w:t>
      </w:r>
      <w:r w:rsidRPr="00137CF8">
        <w:rPr>
          <w:rFonts w:cs="Times New Roman"/>
          <w:szCs w:val="22"/>
        </w:rPr>
        <w:t>00 units in the market.</w:t>
      </w:r>
    </w:p>
    <w:p w:rsidR="00431595" w:rsidRPr="00137CF8" w:rsidRDefault="00431595" w:rsidP="00431595">
      <w:pPr>
        <w:rPr>
          <w:rFonts w:cs="Times New Roman"/>
          <w:szCs w:val="22"/>
        </w:rPr>
      </w:pPr>
      <w:r w:rsidRPr="00137CF8">
        <w:rPr>
          <w:rFonts w:cs="Times New Roman"/>
          <w:szCs w:val="22"/>
        </w:rPr>
        <w:t xml:space="preserve">Ammonia systems can already be found in very large commercial applications with refrigerating capacities up to 30,000 kWr to condition mining operations and large industrial facilities. Recent advancements in micro-channel heat transfer technology and engineering design have resulted in reduced refrigerant charges and created opportunities for ammonia in other applications such as chillers for smaller commercial </w:t>
      </w:r>
      <w:r w:rsidR="00635328">
        <w:rPr>
          <w:rFonts w:cs="Times New Roman"/>
          <w:szCs w:val="22"/>
        </w:rPr>
        <w:t>AC systems</w:t>
      </w:r>
      <w:r w:rsidRPr="00137CF8">
        <w:rPr>
          <w:rFonts w:cs="Times New Roman"/>
          <w:szCs w:val="22"/>
        </w:rPr>
        <w:t xml:space="preserve"> down to 20 kWr. Limited industry experience with ammonia systems, and particularly toxicity risks, restrict expansion into applications where ammonia has potential to come in contact with consumers. As such no significant contribution is expected from new ammonia charged systems outside of the large industrial applications they presently provide.</w:t>
      </w:r>
    </w:p>
    <w:p w:rsidR="00431595" w:rsidRPr="00137CF8" w:rsidRDefault="00431595" w:rsidP="00431595">
      <w:pPr>
        <w:rPr>
          <w:rFonts w:cs="Times New Roman"/>
          <w:szCs w:val="22"/>
        </w:rPr>
      </w:pPr>
      <w:r w:rsidRPr="00137CF8">
        <w:rPr>
          <w:rFonts w:cs="Times New Roman"/>
          <w:szCs w:val="22"/>
        </w:rPr>
        <w:t>As a result by 2025 more than 2</w:t>
      </w:r>
      <w:r w:rsidR="00F349AE">
        <w:rPr>
          <w:rFonts w:cs="Times New Roman"/>
          <w:szCs w:val="22"/>
        </w:rPr>
        <w:t>4</w:t>
      </w:r>
      <w:r w:rsidRPr="00137CF8">
        <w:rPr>
          <w:rFonts w:cs="Times New Roman"/>
          <w:szCs w:val="22"/>
        </w:rPr>
        <w:t xml:space="preserve">% of the stock of equipment, around </w:t>
      </w:r>
      <w:r w:rsidR="00F349AE">
        <w:rPr>
          <w:rFonts w:cs="Times New Roman"/>
          <w:szCs w:val="22"/>
        </w:rPr>
        <w:t>6</w:t>
      </w:r>
      <w:r w:rsidRPr="00137CF8">
        <w:rPr>
          <w:rFonts w:cs="Times New Roman"/>
          <w:szCs w:val="22"/>
        </w:rPr>
        <w:t>,100 units, are charged with low</w:t>
      </w:r>
      <w:r w:rsidR="00F349AE">
        <w:rPr>
          <w:rFonts w:cs="Times New Roman"/>
          <w:szCs w:val="22"/>
        </w:rPr>
        <w:t>er</w:t>
      </w:r>
      <w:r w:rsidRPr="00137CF8">
        <w:rPr>
          <w:rFonts w:cs="Times New Roman"/>
          <w:szCs w:val="22"/>
        </w:rPr>
        <w:t xml:space="preserve"> GWP refrigerants.</w:t>
      </w:r>
    </w:p>
    <w:p w:rsidR="00431595" w:rsidRPr="00137CF8" w:rsidRDefault="00431595" w:rsidP="00431595">
      <w:pPr>
        <w:spacing w:before="240"/>
        <w:outlineLvl w:val="0"/>
        <w:rPr>
          <w:rFonts w:cs="Times New Roman"/>
          <w:szCs w:val="22"/>
        </w:rPr>
      </w:pPr>
      <w:r w:rsidRPr="00137CF8">
        <w:rPr>
          <w:rFonts w:cs="Times New Roman"/>
          <w:b/>
          <w:szCs w:val="22"/>
        </w:rPr>
        <w:t>Scope for Australian industry to transition</w:t>
      </w:r>
    </w:p>
    <w:p w:rsidR="00431595" w:rsidRPr="00137CF8" w:rsidRDefault="00821F8D" w:rsidP="00431595">
      <w:pPr>
        <w:outlineLvl w:val="0"/>
        <w:rPr>
          <w:rFonts w:cs="Times New Roman"/>
          <w:szCs w:val="22"/>
        </w:rPr>
      </w:pPr>
      <w:r>
        <w:rPr>
          <w:rFonts w:cs="Times New Roman"/>
          <w:szCs w:val="22"/>
        </w:rPr>
        <w:t>T</w:t>
      </w:r>
      <w:r w:rsidR="00431595" w:rsidRPr="00137CF8">
        <w:rPr>
          <w:rFonts w:cs="Times New Roman"/>
          <w:szCs w:val="22"/>
        </w:rPr>
        <w:t>he international development of new refrigerants</w:t>
      </w:r>
      <w:r w:rsidR="00DF6B91">
        <w:rPr>
          <w:rFonts w:cs="Times New Roman"/>
          <w:szCs w:val="22"/>
        </w:rPr>
        <w:t>,</w:t>
      </w:r>
      <w:r w:rsidR="00431595" w:rsidRPr="00137CF8">
        <w:rPr>
          <w:rFonts w:cs="Times New Roman"/>
          <w:szCs w:val="22"/>
        </w:rPr>
        <w:t xml:space="preserve"> and technologies </w:t>
      </w:r>
      <w:r w:rsidR="00501951">
        <w:rPr>
          <w:rFonts w:cs="Times New Roman"/>
          <w:szCs w:val="22"/>
        </w:rPr>
        <w:t>which</w:t>
      </w:r>
      <w:r w:rsidR="00501951" w:rsidRPr="00137CF8">
        <w:rPr>
          <w:rFonts w:cs="Times New Roman"/>
          <w:szCs w:val="22"/>
        </w:rPr>
        <w:t xml:space="preserve"> </w:t>
      </w:r>
      <w:r w:rsidR="00431595" w:rsidRPr="00137CF8">
        <w:rPr>
          <w:rFonts w:cs="Times New Roman"/>
          <w:szCs w:val="22"/>
        </w:rPr>
        <w:t>employ them</w:t>
      </w:r>
      <w:r w:rsidR="00DF6B91">
        <w:rPr>
          <w:rFonts w:cs="Times New Roman"/>
          <w:szCs w:val="22"/>
        </w:rPr>
        <w:t>,</w:t>
      </w:r>
      <w:r w:rsidR="00431595" w:rsidRPr="00137CF8">
        <w:rPr>
          <w:rFonts w:cs="Times New Roman"/>
          <w:szCs w:val="22"/>
        </w:rPr>
        <w:t xml:space="preserve"> will drive significant changes in the Australian stock of AC equipment over the next 10 years.</w:t>
      </w:r>
    </w:p>
    <w:p w:rsidR="00431595" w:rsidRPr="00137CF8" w:rsidRDefault="00431595" w:rsidP="00431595">
      <w:pPr>
        <w:outlineLvl w:val="0"/>
        <w:rPr>
          <w:rFonts w:cs="Times New Roman"/>
          <w:szCs w:val="22"/>
        </w:rPr>
      </w:pPr>
      <w:r w:rsidRPr="00137CF8">
        <w:rPr>
          <w:rFonts w:cs="Times New Roman"/>
          <w:szCs w:val="22"/>
        </w:rPr>
        <w:t>In general terms the options for transition away from high GWP HFCs, while at the same time replacing the stock of end-of-life equipment that were charged with HCFCs, point to a diversification in the supply of refrigerant gases. While this may present some difficulties for manufacturers supply and assembly lines, the most significant implication of this diversification is the introduction</w:t>
      </w:r>
      <w:r w:rsidR="00DF6B91">
        <w:rPr>
          <w:rFonts w:cs="Times New Roman"/>
          <w:szCs w:val="22"/>
        </w:rPr>
        <w:t xml:space="preserve"> </w:t>
      </w:r>
      <w:r w:rsidRPr="00137CF8">
        <w:rPr>
          <w:rFonts w:cs="Times New Roman"/>
          <w:szCs w:val="22"/>
        </w:rPr>
        <w:t xml:space="preserve">into the market </w:t>
      </w:r>
      <w:r w:rsidR="00DF6B91">
        <w:rPr>
          <w:rFonts w:cs="Times New Roman"/>
          <w:szCs w:val="22"/>
        </w:rPr>
        <w:t>and wider use</w:t>
      </w:r>
      <w:r w:rsidR="00DF6B91" w:rsidRPr="00137CF8">
        <w:rPr>
          <w:rFonts w:cs="Times New Roman"/>
          <w:szCs w:val="22"/>
        </w:rPr>
        <w:t xml:space="preserve"> </w:t>
      </w:r>
      <w:r w:rsidRPr="00137CF8">
        <w:rPr>
          <w:rFonts w:cs="Times New Roman"/>
          <w:szCs w:val="22"/>
        </w:rPr>
        <w:t xml:space="preserve">of flammable, even if only mildly flammable, refrigerants. </w:t>
      </w:r>
    </w:p>
    <w:p w:rsidR="00431595" w:rsidRPr="00137CF8" w:rsidRDefault="00431595" w:rsidP="00431595">
      <w:pPr>
        <w:ind w:right="-64"/>
        <w:rPr>
          <w:rFonts w:cs="Times New Roman"/>
          <w:szCs w:val="22"/>
        </w:rPr>
      </w:pPr>
      <w:r w:rsidRPr="00137CF8">
        <w:rPr>
          <w:rFonts w:cs="Times New Roman"/>
          <w:szCs w:val="22"/>
        </w:rPr>
        <w:t>Management of flammable refrigerants in the supply chain will require new systems and processes. For instance warehouse facilities, storage requirements and handling procedures must all be reviewed and/or revised as compared to shipping and handling of the existing range of effectively inert and non-flammable gases in use.</w:t>
      </w:r>
    </w:p>
    <w:p w:rsidR="00431595" w:rsidRPr="00137CF8" w:rsidRDefault="00431595" w:rsidP="00431595">
      <w:pPr>
        <w:rPr>
          <w:rFonts w:cs="Times New Roman"/>
          <w:szCs w:val="22"/>
        </w:rPr>
      </w:pPr>
      <w:r w:rsidRPr="00137CF8">
        <w:rPr>
          <w:rFonts w:cs="Times New Roman"/>
          <w:szCs w:val="22"/>
        </w:rPr>
        <w:t>Obstacles to the widespread use of flammable and mildly flammable refrigerant gases include:</w:t>
      </w:r>
    </w:p>
    <w:p w:rsidR="00821F8D" w:rsidRDefault="00821F8D" w:rsidP="00E97935">
      <w:pPr>
        <w:pStyle w:val="ColorfulShading-Accent31"/>
        <w:numPr>
          <w:ilvl w:val="0"/>
          <w:numId w:val="17"/>
        </w:numPr>
        <w:spacing w:before="120"/>
        <w:ind w:left="357" w:hanging="357"/>
        <w:contextualSpacing w:val="0"/>
        <w:jc w:val="both"/>
        <w:rPr>
          <w:rFonts w:ascii="Times New Roman" w:hAnsi="Times New Roman"/>
          <w:sz w:val="22"/>
          <w:szCs w:val="22"/>
        </w:rPr>
      </w:pPr>
      <w:r>
        <w:rPr>
          <w:rFonts w:ascii="Times New Roman" w:hAnsi="Times New Roman"/>
          <w:sz w:val="22"/>
          <w:szCs w:val="22"/>
        </w:rPr>
        <w:t>Standards – the timely development of effective and workable international and domestic standards;</w:t>
      </w:r>
    </w:p>
    <w:p w:rsidR="00431595" w:rsidRPr="00137CF8" w:rsidRDefault="00431595" w:rsidP="00E97935">
      <w:pPr>
        <w:pStyle w:val="ColorfulShading-Accent31"/>
        <w:numPr>
          <w:ilvl w:val="0"/>
          <w:numId w:val="17"/>
        </w:numPr>
        <w:spacing w:before="120"/>
        <w:ind w:left="357" w:hanging="357"/>
        <w:contextualSpacing w:val="0"/>
        <w:jc w:val="both"/>
        <w:rPr>
          <w:rFonts w:ascii="Times New Roman" w:hAnsi="Times New Roman"/>
          <w:sz w:val="22"/>
          <w:szCs w:val="22"/>
        </w:rPr>
      </w:pPr>
      <w:r w:rsidRPr="00137CF8">
        <w:rPr>
          <w:rFonts w:ascii="Times New Roman" w:hAnsi="Times New Roman"/>
          <w:sz w:val="22"/>
          <w:szCs w:val="22"/>
        </w:rPr>
        <w:t xml:space="preserve">Skills gap – industry practitioners have </w:t>
      </w:r>
      <w:r w:rsidR="00DF6B91">
        <w:rPr>
          <w:rFonts w:ascii="Times New Roman" w:hAnsi="Times New Roman"/>
          <w:sz w:val="22"/>
          <w:szCs w:val="22"/>
        </w:rPr>
        <w:t>limited</w:t>
      </w:r>
      <w:r w:rsidRPr="00137CF8">
        <w:rPr>
          <w:rFonts w:ascii="Times New Roman" w:hAnsi="Times New Roman"/>
          <w:sz w:val="22"/>
          <w:szCs w:val="22"/>
        </w:rPr>
        <w:t xml:space="preserve"> experience dealing with flammable refrigerants in new or existing equipment;</w:t>
      </w:r>
    </w:p>
    <w:p w:rsidR="00431595" w:rsidRPr="00137CF8" w:rsidRDefault="00431595" w:rsidP="00E97935">
      <w:pPr>
        <w:pStyle w:val="ColorfulShading-Accent31"/>
        <w:numPr>
          <w:ilvl w:val="0"/>
          <w:numId w:val="17"/>
        </w:numPr>
        <w:spacing w:before="120"/>
        <w:ind w:left="357" w:hanging="357"/>
        <w:contextualSpacing w:val="0"/>
        <w:jc w:val="both"/>
        <w:rPr>
          <w:rFonts w:ascii="Times New Roman" w:hAnsi="Times New Roman"/>
          <w:sz w:val="22"/>
          <w:szCs w:val="22"/>
        </w:rPr>
      </w:pPr>
      <w:r w:rsidRPr="00137CF8">
        <w:rPr>
          <w:rFonts w:ascii="Times New Roman" w:hAnsi="Times New Roman"/>
          <w:sz w:val="22"/>
          <w:szCs w:val="22"/>
        </w:rPr>
        <w:t>Industry practices vary significantly</w:t>
      </w:r>
      <w:r w:rsidR="00DF6B91">
        <w:rPr>
          <w:rFonts w:ascii="Times New Roman" w:hAnsi="Times New Roman"/>
          <w:sz w:val="22"/>
          <w:szCs w:val="22"/>
        </w:rPr>
        <w:t xml:space="preserve"> in relation to management of new refrigerants, for example </w:t>
      </w:r>
      <w:r w:rsidRPr="00137CF8">
        <w:rPr>
          <w:rFonts w:ascii="Times New Roman" w:hAnsi="Times New Roman"/>
          <w:sz w:val="22"/>
          <w:szCs w:val="22"/>
        </w:rPr>
        <w:t>incorrect labeling can result in contaminated refrigerant or create an unknown hazard for future service personnel;</w:t>
      </w:r>
    </w:p>
    <w:p w:rsidR="00431595" w:rsidRPr="00137CF8" w:rsidRDefault="00431595" w:rsidP="00E97935">
      <w:pPr>
        <w:pStyle w:val="ColorfulShading-Accent31"/>
        <w:numPr>
          <w:ilvl w:val="0"/>
          <w:numId w:val="17"/>
        </w:numPr>
        <w:spacing w:before="120"/>
        <w:ind w:left="357" w:hanging="357"/>
        <w:contextualSpacing w:val="0"/>
        <w:jc w:val="both"/>
        <w:rPr>
          <w:rFonts w:ascii="Times New Roman" w:hAnsi="Times New Roman"/>
          <w:sz w:val="22"/>
          <w:szCs w:val="22"/>
        </w:rPr>
      </w:pPr>
      <w:r w:rsidRPr="00137CF8">
        <w:rPr>
          <w:rFonts w:ascii="Times New Roman" w:hAnsi="Times New Roman"/>
          <w:sz w:val="22"/>
          <w:szCs w:val="22"/>
        </w:rPr>
        <w:t xml:space="preserve">Corporate risk – </w:t>
      </w:r>
      <w:r w:rsidR="00FA5729">
        <w:rPr>
          <w:rFonts w:ascii="Times New Roman" w:hAnsi="Times New Roman"/>
          <w:sz w:val="22"/>
          <w:szCs w:val="22"/>
        </w:rPr>
        <w:t>many</w:t>
      </w:r>
      <w:r w:rsidRPr="00137CF8">
        <w:rPr>
          <w:rFonts w:ascii="Times New Roman" w:hAnsi="Times New Roman"/>
          <w:sz w:val="22"/>
          <w:szCs w:val="22"/>
        </w:rPr>
        <w:t xml:space="preserve"> wholesale companies refuse to supply hydrocarbon refrigerant for fear of public liability claims and concern regarding legal precedent from previous cases where a significant portion of the duty of care lies with the manufacturer or importer. The majority of equipment suppliers and manufacturers have similar concerns; and,</w:t>
      </w:r>
    </w:p>
    <w:p w:rsidR="00431595" w:rsidRPr="00137CF8" w:rsidRDefault="00431595" w:rsidP="00E97935">
      <w:pPr>
        <w:pStyle w:val="ColorfulShading-Accent31"/>
        <w:numPr>
          <w:ilvl w:val="0"/>
          <w:numId w:val="17"/>
        </w:numPr>
        <w:spacing w:before="120"/>
        <w:ind w:left="357" w:hanging="357"/>
        <w:contextualSpacing w:val="0"/>
        <w:jc w:val="both"/>
        <w:rPr>
          <w:rFonts w:ascii="Times New Roman" w:hAnsi="Times New Roman"/>
          <w:sz w:val="22"/>
          <w:szCs w:val="22"/>
        </w:rPr>
      </w:pPr>
      <w:r w:rsidRPr="00137CF8">
        <w:rPr>
          <w:rFonts w:ascii="Times New Roman" w:hAnsi="Times New Roman"/>
          <w:sz w:val="22"/>
          <w:szCs w:val="22"/>
        </w:rPr>
        <w:t>Regulatory risk - government regulators have a duty of care to ensure policies do not endanger the public, industry practitioners or property.</w:t>
      </w:r>
    </w:p>
    <w:p w:rsidR="00DF6B91" w:rsidRPr="00FA5729" w:rsidRDefault="00431595" w:rsidP="00FA5729">
      <w:pPr>
        <w:outlineLvl w:val="0"/>
        <w:rPr>
          <w:rFonts w:cs="Times New Roman"/>
          <w:szCs w:val="22"/>
        </w:rPr>
      </w:pPr>
      <w:r w:rsidRPr="00FA5729">
        <w:rPr>
          <w:rFonts w:cs="Times New Roman"/>
          <w:szCs w:val="22"/>
        </w:rPr>
        <w:t xml:space="preserve">However these issues </w:t>
      </w:r>
      <w:r w:rsidR="00DF6B91" w:rsidRPr="00FA5729">
        <w:rPr>
          <w:rFonts w:cs="Times New Roman"/>
          <w:szCs w:val="22"/>
        </w:rPr>
        <w:t>can</w:t>
      </w:r>
      <w:r w:rsidRPr="00FA5729">
        <w:rPr>
          <w:rFonts w:cs="Times New Roman"/>
          <w:szCs w:val="22"/>
        </w:rPr>
        <w:t xml:space="preserve"> be managed </w:t>
      </w:r>
      <w:r w:rsidR="00DF6B91" w:rsidRPr="00FA5729">
        <w:rPr>
          <w:rFonts w:cs="Times New Roman"/>
          <w:szCs w:val="22"/>
        </w:rPr>
        <w:t>as</w:t>
      </w:r>
      <w:r w:rsidRPr="00FA5729">
        <w:rPr>
          <w:rFonts w:cs="Times New Roman"/>
          <w:szCs w:val="22"/>
        </w:rPr>
        <w:t xml:space="preserve"> stakeholders apply themselves to the issues they can most directly control in their part of the supply chain. </w:t>
      </w:r>
    </w:p>
    <w:p w:rsidR="00616CDE" w:rsidRPr="00FA5729" w:rsidRDefault="00431595" w:rsidP="00FA5729">
      <w:pPr>
        <w:outlineLvl w:val="0"/>
        <w:rPr>
          <w:rFonts w:cs="Times New Roman"/>
          <w:szCs w:val="22"/>
        </w:rPr>
      </w:pPr>
      <w:r w:rsidRPr="00FA5729">
        <w:rPr>
          <w:rFonts w:cs="Times New Roman"/>
          <w:szCs w:val="22"/>
        </w:rPr>
        <w:t>This effort has already started with ASHRAE recently creating a new 2L sub-class to the existing Class 2 flammability classification.</w:t>
      </w:r>
      <w:r w:rsidR="00DF6B91" w:rsidRPr="00FA5729">
        <w:rPr>
          <w:rFonts w:cs="Times New Roman"/>
          <w:szCs w:val="22"/>
        </w:rPr>
        <w:t xml:space="preserve"> </w:t>
      </w:r>
      <w:r w:rsidRPr="00FA5729">
        <w:rPr>
          <w:rFonts w:cs="Times New Roman"/>
          <w:szCs w:val="22"/>
        </w:rPr>
        <w:t>This is intended to capture ‘mildly flammable’ refrigerants like HFC-32 and HFO-1234yf as it covers Class 2 refrigerants with a burning velocity less than or equal to 10</w:t>
      </w:r>
      <w:r w:rsidR="00FA5729">
        <w:rPr>
          <w:rFonts w:cs="Times New Roman"/>
          <w:szCs w:val="22"/>
        </w:rPr>
        <w:t xml:space="preserve"> </w:t>
      </w:r>
      <w:r w:rsidRPr="00FA5729">
        <w:rPr>
          <w:rFonts w:cs="Times New Roman"/>
          <w:szCs w:val="22"/>
        </w:rPr>
        <w:t>cm/s. Gases with a low burning velocity do not prop</w:t>
      </w:r>
      <w:r w:rsidR="00501951" w:rsidRPr="00FA5729">
        <w:rPr>
          <w:rFonts w:cs="Times New Roman"/>
          <w:szCs w:val="22"/>
        </w:rPr>
        <w:t>a</w:t>
      </w:r>
      <w:r w:rsidRPr="00FA5729">
        <w:rPr>
          <w:rFonts w:cs="Times New Roman"/>
          <w:szCs w:val="22"/>
        </w:rPr>
        <w:t xml:space="preserve">gate horizontally and are difficult to ignite. </w:t>
      </w:r>
    </w:p>
    <w:p w:rsidR="00431595" w:rsidRPr="00137CF8" w:rsidRDefault="00431595" w:rsidP="00FA5729">
      <w:pPr>
        <w:outlineLvl w:val="0"/>
        <w:rPr>
          <w:rFonts w:cs="Times New Roman"/>
          <w:szCs w:val="22"/>
        </w:rPr>
      </w:pPr>
      <w:r w:rsidRPr="00137CF8">
        <w:rPr>
          <w:rFonts w:cs="Times New Roman"/>
          <w:szCs w:val="22"/>
        </w:rPr>
        <w:t xml:space="preserve">The 2L classification is characterised by lower heat of combustion, higher LFL and lower burning speeds. This class is proposed for use in various international and regional standards, such as ISO 817 and ISO 5149, and has already been adopted into the ASHRAE standard 34. It is intended to help differentiate between certain refrigerants such as </w:t>
      </w:r>
      <w:r w:rsidR="00FA5729">
        <w:rPr>
          <w:rFonts w:cs="Times New Roman"/>
          <w:szCs w:val="22"/>
        </w:rPr>
        <w:t>ammonia (</w:t>
      </w:r>
      <w:r w:rsidRPr="00137CF8">
        <w:rPr>
          <w:rFonts w:cs="Times New Roman"/>
          <w:szCs w:val="22"/>
        </w:rPr>
        <w:t>R</w:t>
      </w:r>
      <w:r w:rsidR="0006760D">
        <w:rPr>
          <w:rFonts w:cs="Times New Roman"/>
          <w:szCs w:val="22"/>
        </w:rPr>
        <w:t>717</w:t>
      </w:r>
      <w:r w:rsidR="00FA5729">
        <w:rPr>
          <w:rFonts w:cs="Times New Roman"/>
          <w:szCs w:val="22"/>
        </w:rPr>
        <w:t>)</w:t>
      </w:r>
      <w:r w:rsidR="0006760D">
        <w:rPr>
          <w:rFonts w:cs="Times New Roman"/>
          <w:szCs w:val="22"/>
        </w:rPr>
        <w:t>, HFC-32 and HFO</w:t>
      </w:r>
      <w:r w:rsidRPr="00137CF8">
        <w:rPr>
          <w:rFonts w:cs="Times New Roman"/>
          <w:szCs w:val="22"/>
        </w:rPr>
        <w:t>-1234yf and another lower flammability refrigerant, HFC-152a, in that the former are difficult to ignite, difficult to sustain a flame under prescribed conditions and are not likely to evolve overpressures that could cause damage, whereas the latter behaves more like a fuel gas.</w:t>
      </w:r>
    </w:p>
    <w:p w:rsidR="00431595" w:rsidRPr="00FA5729" w:rsidRDefault="00431595" w:rsidP="00FA5729">
      <w:pPr>
        <w:outlineLvl w:val="0"/>
        <w:rPr>
          <w:rFonts w:cs="Times New Roman"/>
          <w:szCs w:val="22"/>
        </w:rPr>
      </w:pPr>
      <w:r w:rsidRPr="00FA5729">
        <w:rPr>
          <w:rFonts w:cs="Times New Roman"/>
          <w:szCs w:val="22"/>
        </w:rPr>
        <w:t>However, this change is yet to be recognised or endorsed in Australia (AS/NZS 1677.1) or internationally under ISO 817.</w:t>
      </w:r>
    </w:p>
    <w:p w:rsidR="00EF5AFB" w:rsidRDefault="00EF5AFB">
      <w:pPr>
        <w:spacing w:before="0"/>
        <w:jc w:val="left"/>
      </w:pPr>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05"/>
      </w:tblGrid>
      <w:tr w:rsidR="00431595" w:rsidRPr="000532E0" w:rsidTr="00603850">
        <w:tc>
          <w:tcPr>
            <w:tcW w:w="9605" w:type="dxa"/>
            <w:vAlign w:val="center"/>
          </w:tcPr>
          <w:p w:rsidR="00431595" w:rsidRPr="000532E0" w:rsidRDefault="00431595" w:rsidP="00431595">
            <w:pPr>
              <w:spacing w:after="120"/>
              <w:jc w:val="center"/>
              <w:rPr>
                <w:rFonts w:cs="Times New Roman"/>
                <w:b/>
              </w:rPr>
            </w:pPr>
            <w:r w:rsidRPr="000532E0">
              <w:rPr>
                <w:rFonts w:cs="Times New Roman"/>
                <w:b/>
              </w:rPr>
              <w:br w:type="page"/>
              <w:t>Predicted transition of bank and consumption</w:t>
            </w:r>
            <w:r w:rsidR="00CB4DA8">
              <w:rPr>
                <w:rFonts w:cs="Times New Roman"/>
                <w:b/>
              </w:rPr>
              <w:t xml:space="preserve"> (tonnes)</w:t>
            </w:r>
          </w:p>
        </w:tc>
      </w:tr>
      <w:tr w:rsidR="00431595" w:rsidRPr="00BD20BC" w:rsidTr="00603850">
        <w:tc>
          <w:tcPr>
            <w:tcW w:w="9605" w:type="dxa"/>
            <w:vAlign w:val="center"/>
          </w:tcPr>
          <w:p w:rsidR="00431595" w:rsidRDefault="00431595" w:rsidP="001B0A95">
            <w:pPr>
              <w:spacing w:before="0"/>
              <w:jc w:val="center"/>
              <w:rPr>
                <w:sz w:val="16"/>
                <w:szCs w:val="16"/>
              </w:rPr>
            </w:pPr>
          </w:p>
          <w:p w:rsidR="001B0A95" w:rsidRDefault="001B0A95" w:rsidP="001B0A95">
            <w:pPr>
              <w:spacing w:before="0"/>
              <w:jc w:val="center"/>
              <w:rPr>
                <w:sz w:val="16"/>
                <w:szCs w:val="16"/>
              </w:rPr>
            </w:pPr>
            <w:r>
              <w:rPr>
                <w:noProof/>
                <w:lang w:val="en-AU" w:eastAsia="en-AU"/>
              </w:rPr>
              <w:drawing>
                <wp:inline distT="0" distB="0" distL="0" distR="0">
                  <wp:extent cx="5864860" cy="2472267"/>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431595" w:rsidRPr="00BD20BC" w:rsidRDefault="00431595" w:rsidP="001B0A95">
            <w:pPr>
              <w:spacing w:before="0"/>
              <w:jc w:val="center"/>
              <w:rPr>
                <w:sz w:val="16"/>
                <w:szCs w:val="16"/>
              </w:rPr>
            </w:pPr>
          </w:p>
        </w:tc>
      </w:tr>
      <w:tr w:rsidR="00431595" w:rsidRPr="00042727" w:rsidTr="00603850">
        <w:tc>
          <w:tcPr>
            <w:tcW w:w="9605" w:type="dxa"/>
            <w:vAlign w:val="center"/>
          </w:tcPr>
          <w:p w:rsidR="00431595" w:rsidRPr="000532E0" w:rsidRDefault="008763B4" w:rsidP="008763B4">
            <w:pPr>
              <w:spacing w:before="60" w:after="60"/>
              <w:rPr>
                <w:rFonts w:cs="Times New Roman"/>
                <w:i/>
              </w:rPr>
            </w:pPr>
            <w:bookmarkStart w:id="62" w:name="_Toc257359994"/>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26</w:t>
            </w:r>
            <w:r w:rsidR="00B41499" w:rsidRPr="00F4221A">
              <w:rPr>
                <w:rFonts w:cs="Times New Roman"/>
                <w:i/>
                <w:sz w:val="20"/>
              </w:rPr>
              <w:fldChar w:fldCharType="end"/>
            </w:r>
            <w:r w:rsidRPr="00F4221A">
              <w:rPr>
                <w:rFonts w:cs="Times New Roman"/>
                <w:i/>
                <w:sz w:val="20"/>
              </w:rPr>
              <w:t>:</w:t>
            </w:r>
            <w:r w:rsidRPr="0045125B">
              <w:rPr>
                <w:i/>
                <w:sz w:val="20"/>
              </w:rPr>
              <w:t xml:space="preserve"> </w:t>
            </w:r>
            <w:r w:rsidR="00431595" w:rsidRPr="00276EEF">
              <w:rPr>
                <w:rFonts w:cs="Times New Roman"/>
                <w:i/>
                <w:sz w:val="20"/>
              </w:rPr>
              <w:t xml:space="preserve">Small </w:t>
            </w:r>
            <w:r w:rsidR="00431595">
              <w:rPr>
                <w:rFonts w:cs="Times New Roman"/>
                <w:i/>
                <w:sz w:val="20"/>
              </w:rPr>
              <w:t xml:space="preserve">AC - predicted bank </w:t>
            </w:r>
            <w:r w:rsidR="00CB4DA8">
              <w:rPr>
                <w:rFonts w:cs="Times New Roman"/>
                <w:i/>
                <w:sz w:val="20"/>
              </w:rPr>
              <w:t xml:space="preserve">in tonnes </w:t>
            </w:r>
            <w:r w:rsidR="00431595">
              <w:rPr>
                <w:rFonts w:cs="Times New Roman"/>
                <w:i/>
                <w:sz w:val="20"/>
              </w:rPr>
              <w:t>by refrigerant type from 2013 to 2025.</w:t>
            </w:r>
            <w:bookmarkEnd w:id="62"/>
          </w:p>
        </w:tc>
      </w:tr>
      <w:tr w:rsidR="00431595" w:rsidRPr="00BD20BC" w:rsidTr="00603850">
        <w:tc>
          <w:tcPr>
            <w:tcW w:w="9605" w:type="dxa"/>
            <w:vAlign w:val="center"/>
          </w:tcPr>
          <w:p w:rsidR="00431595" w:rsidRDefault="00431595" w:rsidP="00941CAD">
            <w:pPr>
              <w:spacing w:before="0"/>
              <w:jc w:val="center"/>
              <w:rPr>
                <w:sz w:val="16"/>
                <w:szCs w:val="16"/>
              </w:rPr>
            </w:pPr>
          </w:p>
          <w:p w:rsidR="00431595" w:rsidRDefault="001B0A95" w:rsidP="00941CAD">
            <w:pPr>
              <w:spacing w:before="0"/>
              <w:jc w:val="center"/>
              <w:rPr>
                <w:sz w:val="16"/>
                <w:szCs w:val="16"/>
              </w:rPr>
            </w:pPr>
            <w:r>
              <w:rPr>
                <w:noProof/>
                <w:lang w:val="en-AU" w:eastAsia="en-AU"/>
              </w:rPr>
              <w:drawing>
                <wp:inline distT="0" distB="0" distL="0" distR="0">
                  <wp:extent cx="5864860" cy="2506133"/>
                  <wp:effectExtent l="0" t="0" r="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431595" w:rsidRPr="00BD20BC" w:rsidRDefault="00431595" w:rsidP="00941CAD">
            <w:pPr>
              <w:spacing w:before="0"/>
              <w:jc w:val="center"/>
              <w:rPr>
                <w:sz w:val="16"/>
                <w:szCs w:val="16"/>
              </w:rPr>
            </w:pPr>
          </w:p>
        </w:tc>
      </w:tr>
      <w:tr w:rsidR="00431595" w:rsidRPr="00923150" w:rsidTr="00603850">
        <w:tc>
          <w:tcPr>
            <w:tcW w:w="9605" w:type="dxa"/>
            <w:vAlign w:val="center"/>
          </w:tcPr>
          <w:p w:rsidR="00431595" w:rsidRPr="005D159D" w:rsidRDefault="008763B4" w:rsidP="008763B4">
            <w:pPr>
              <w:spacing w:before="60" w:after="60"/>
              <w:rPr>
                <w:i/>
              </w:rPr>
            </w:pPr>
            <w:bookmarkStart w:id="63" w:name="_Toc257359995"/>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27</w:t>
            </w:r>
            <w:r w:rsidR="00B41499" w:rsidRPr="00F4221A">
              <w:rPr>
                <w:rFonts w:cs="Times New Roman"/>
                <w:i/>
                <w:sz w:val="20"/>
              </w:rPr>
              <w:fldChar w:fldCharType="end"/>
            </w:r>
            <w:r w:rsidRPr="00F4221A">
              <w:rPr>
                <w:rFonts w:cs="Times New Roman"/>
                <w:i/>
                <w:sz w:val="20"/>
              </w:rPr>
              <w:t>:</w:t>
            </w:r>
            <w:r w:rsidRPr="0045125B">
              <w:rPr>
                <w:i/>
                <w:sz w:val="20"/>
              </w:rPr>
              <w:t xml:space="preserve"> </w:t>
            </w:r>
            <w:r w:rsidR="00431595" w:rsidRPr="004107D9">
              <w:rPr>
                <w:rFonts w:cs="Times New Roman"/>
                <w:i/>
                <w:sz w:val="20"/>
              </w:rPr>
              <w:t xml:space="preserve">Small </w:t>
            </w:r>
            <w:r w:rsidR="00431595">
              <w:rPr>
                <w:rFonts w:cs="Times New Roman"/>
                <w:i/>
                <w:sz w:val="20"/>
              </w:rPr>
              <w:t xml:space="preserve">AC - predicted consumption </w:t>
            </w:r>
            <w:r w:rsidR="00CB4DA8">
              <w:rPr>
                <w:rFonts w:cs="Times New Roman"/>
                <w:i/>
                <w:sz w:val="20"/>
              </w:rPr>
              <w:t xml:space="preserve">in tonnes </w:t>
            </w:r>
            <w:r w:rsidR="00431595">
              <w:rPr>
                <w:rFonts w:cs="Times New Roman"/>
                <w:i/>
                <w:sz w:val="20"/>
              </w:rPr>
              <w:t>by refrigerant type from 2013 to 2025.</w:t>
            </w:r>
            <w:bookmarkEnd w:id="63"/>
          </w:p>
        </w:tc>
      </w:tr>
    </w:tbl>
    <w:p w:rsidR="00EF5AFB" w:rsidRDefault="00EF5AFB" w:rsidP="00431595">
      <w:pPr>
        <w:spacing w:after="120"/>
        <w:outlineLvl w:val="0"/>
        <w:rPr>
          <w:rFonts w:cs="Times New Roman"/>
          <w:szCs w:val="22"/>
        </w:rPr>
      </w:pPr>
    </w:p>
    <w:p w:rsidR="00EF5AFB" w:rsidRDefault="00EF5AFB">
      <w:pPr>
        <w:spacing w:before="0"/>
        <w:jc w:val="left"/>
        <w:rPr>
          <w:rFonts w:cs="Times New Roman"/>
          <w:szCs w:val="22"/>
        </w:rPr>
      </w:pPr>
      <w:r>
        <w:rPr>
          <w:rFonts w:cs="Times New Roman"/>
          <w:szCs w:val="22"/>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05"/>
      </w:tblGrid>
      <w:tr w:rsidR="00431595" w:rsidRPr="000532E0" w:rsidTr="00E50153">
        <w:tc>
          <w:tcPr>
            <w:tcW w:w="9605" w:type="dxa"/>
            <w:vAlign w:val="center"/>
          </w:tcPr>
          <w:p w:rsidR="00431595" w:rsidRPr="000532E0" w:rsidRDefault="00431595" w:rsidP="00431595">
            <w:pPr>
              <w:spacing w:after="120"/>
              <w:jc w:val="center"/>
              <w:rPr>
                <w:rFonts w:cs="Times New Roman"/>
                <w:b/>
              </w:rPr>
            </w:pPr>
            <w:r w:rsidRPr="000532E0">
              <w:rPr>
                <w:rFonts w:cs="Times New Roman"/>
                <w:b/>
              </w:rPr>
              <w:br w:type="page"/>
              <w:t>Predicted transition of bank and consumption</w:t>
            </w:r>
            <w:r w:rsidR="00CB4DA8">
              <w:rPr>
                <w:rFonts w:cs="Times New Roman"/>
                <w:b/>
              </w:rPr>
              <w:t xml:space="preserve"> (tonnes)</w:t>
            </w:r>
          </w:p>
        </w:tc>
      </w:tr>
      <w:tr w:rsidR="00431595" w:rsidRPr="00BD20BC" w:rsidTr="00E50153">
        <w:tc>
          <w:tcPr>
            <w:tcW w:w="9605" w:type="dxa"/>
            <w:vAlign w:val="center"/>
          </w:tcPr>
          <w:p w:rsidR="00431595" w:rsidRDefault="00431595" w:rsidP="00CB4DA8">
            <w:pPr>
              <w:spacing w:before="0"/>
              <w:jc w:val="center"/>
              <w:rPr>
                <w:sz w:val="16"/>
                <w:szCs w:val="16"/>
              </w:rPr>
            </w:pPr>
          </w:p>
          <w:p w:rsidR="00431595" w:rsidRDefault="000964C0" w:rsidP="00CB4DA8">
            <w:pPr>
              <w:spacing w:before="0"/>
              <w:jc w:val="center"/>
              <w:rPr>
                <w:sz w:val="16"/>
                <w:szCs w:val="16"/>
                <w:highlight w:val="yellow"/>
              </w:rPr>
            </w:pPr>
            <w:r>
              <w:rPr>
                <w:noProof/>
                <w:lang w:val="en-AU" w:eastAsia="en-AU"/>
              </w:rPr>
              <w:drawing>
                <wp:inline distT="0" distB="0" distL="0" distR="0">
                  <wp:extent cx="5864860" cy="2396067"/>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CB4DA8" w:rsidRPr="00BD20BC" w:rsidRDefault="00CB4DA8" w:rsidP="00CB4DA8">
            <w:pPr>
              <w:spacing w:before="0"/>
              <w:jc w:val="center"/>
              <w:rPr>
                <w:sz w:val="16"/>
                <w:szCs w:val="16"/>
              </w:rPr>
            </w:pPr>
          </w:p>
        </w:tc>
      </w:tr>
      <w:tr w:rsidR="00431595" w:rsidRPr="00042727" w:rsidTr="00E50153">
        <w:tc>
          <w:tcPr>
            <w:tcW w:w="9605" w:type="dxa"/>
            <w:vAlign w:val="center"/>
          </w:tcPr>
          <w:p w:rsidR="00431595" w:rsidRPr="000532E0" w:rsidRDefault="008763B4" w:rsidP="008763B4">
            <w:pPr>
              <w:spacing w:before="60" w:after="60"/>
              <w:rPr>
                <w:rFonts w:cs="Times New Roman"/>
                <w:i/>
              </w:rPr>
            </w:pPr>
            <w:bookmarkStart w:id="64" w:name="_Toc257359996"/>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28</w:t>
            </w:r>
            <w:r w:rsidR="00B41499" w:rsidRPr="00F4221A">
              <w:rPr>
                <w:rFonts w:cs="Times New Roman"/>
                <w:i/>
                <w:sz w:val="20"/>
              </w:rPr>
              <w:fldChar w:fldCharType="end"/>
            </w:r>
            <w:r w:rsidRPr="00F4221A">
              <w:rPr>
                <w:rFonts w:cs="Times New Roman"/>
                <w:i/>
                <w:sz w:val="20"/>
              </w:rPr>
              <w:t>:</w:t>
            </w:r>
            <w:r w:rsidRPr="0045125B">
              <w:rPr>
                <w:i/>
                <w:sz w:val="20"/>
              </w:rPr>
              <w:t xml:space="preserve"> </w:t>
            </w:r>
            <w:r w:rsidR="00431595">
              <w:rPr>
                <w:rFonts w:cs="Times New Roman"/>
                <w:i/>
                <w:sz w:val="20"/>
              </w:rPr>
              <w:t xml:space="preserve">Medium AC - predicted bank </w:t>
            </w:r>
            <w:r w:rsidR="00CB4DA8">
              <w:rPr>
                <w:rFonts w:cs="Times New Roman"/>
                <w:i/>
                <w:sz w:val="20"/>
              </w:rPr>
              <w:t xml:space="preserve">in tonnes </w:t>
            </w:r>
            <w:r w:rsidR="00431595">
              <w:rPr>
                <w:rFonts w:cs="Times New Roman"/>
                <w:i/>
                <w:sz w:val="20"/>
              </w:rPr>
              <w:t>by refrigerant type from 2013 to 2025.</w:t>
            </w:r>
            <w:bookmarkEnd w:id="64"/>
          </w:p>
        </w:tc>
      </w:tr>
      <w:tr w:rsidR="00431595" w:rsidRPr="00BD20BC" w:rsidTr="00E50153">
        <w:tc>
          <w:tcPr>
            <w:tcW w:w="9605" w:type="dxa"/>
            <w:vAlign w:val="center"/>
          </w:tcPr>
          <w:p w:rsidR="00431595" w:rsidRDefault="00431595" w:rsidP="00CB4DA8">
            <w:pPr>
              <w:spacing w:before="0"/>
              <w:jc w:val="center"/>
              <w:rPr>
                <w:sz w:val="16"/>
                <w:szCs w:val="16"/>
              </w:rPr>
            </w:pPr>
          </w:p>
          <w:p w:rsidR="00431595" w:rsidRDefault="000964C0" w:rsidP="00CB4DA8">
            <w:pPr>
              <w:spacing w:before="0"/>
              <w:jc w:val="center"/>
              <w:rPr>
                <w:sz w:val="16"/>
                <w:szCs w:val="16"/>
              </w:rPr>
            </w:pPr>
            <w:r>
              <w:rPr>
                <w:noProof/>
                <w:lang w:val="en-AU" w:eastAsia="en-AU"/>
              </w:rPr>
              <w:drawing>
                <wp:inline distT="0" distB="0" distL="0" distR="0">
                  <wp:extent cx="5864860" cy="2505710"/>
                  <wp:effectExtent l="0" t="0" r="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CB4DA8" w:rsidRPr="00BD20BC" w:rsidRDefault="00CB4DA8" w:rsidP="00CB4DA8">
            <w:pPr>
              <w:spacing w:before="0"/>
              <w:jc w:val="center"/>
              <w:rPr>
                <w:sz w:val="16"/>
                <w:szCs w:val="16"/>
              </w:rPr>
            </w:pPr>
          </w:p>
        </w:tc>
      </w:tr>
      <w:tr w:rsidR="00431595" w:rsidRPr="00923150" w:rsidTr="00E50153">
        <w:tc>
          <w:tcPr>
            <w:tcW w:w="9605" w:type="dxa"/>
            <w:vAlign w:val="center"/>
          </w:tcPr>
          <w:p w:rsidR="00431595" w:rsidRPr="005D159D" w:rsidRDefault="008763B4" w:rsidP="008763B4">
            <w:pPr>
              <w:spacing w:before="60" w:after="60"/>
              <w:rPr>
                <w:i/>
              </w:rPr>
            </w:pPr>
            <w:bookmarkStart w:id="65" w:name="_Toc257359997"/>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29</w:t>
            </w:r>
            <w:r w:rsidR="00B41499" w:rsidRPr="00F4221A">
              <w:rPr>
                <w:rFonts w:cs="Times New Roman"/>
                <w:i/>
                <w:sz w:val="20"/>
              </w:rPr>
              <w:fldChar w:fldCharType="end"/>
            </w:r>
            <w:r w:rsidRPr="00F4221A">
              <w:rPr>
                <w:rFonts w:cs="Times New Roman"/>
                <w:i/>
                <w:sz w:val="20"/>
              </w:rPr>
              <w:t>:</w:t>
            </w:r>
            <w:r w:rsidR="00431595" w:rsidRPr="000532E0">
              <w:rPr>
                <w:rFonts w:cs="Times New Roman"/>
                <w:i/>
                <w:sz w:val="20"/>
              </w:rPr>
              <w:t xml:space="preserve"> </w:t>
            </w:r>
            <w:r w:rsidR="00431595">
              <w:rPr>
                <w:rFonts w:cs="Times New Roman"/>
                <w:i/>
                <w:sz w:val="20"/>
              </w:rPr>
              <w:t xml:space="preserve">Medium AC - predicted consumption </w:t>
            </w:r>
            <w:r w:rsidR="00CB4DA8">
              <w:rPr>
                <w:rFonts w:cs="Times New Roman"/>
                <w:i/>
                <w:sz w:val="20"/>
              </w:rPr>
              <w:t xml:space="preserve">in tonnes </w:t>
            </w:r>
            <w:r w:rsidR="00431595">
              <w:rPr>
                <w:rFonts w:cs="Times New Roman"/>
                <w:i/>
                <w:sz w:val="20"/>
              </w:rPr>
              <w:t>by refrigerant type from 2013 to 2025.</w:t>
            </w:r>
            <w:bookmarkEnd w:id="65"/>
          </w:p>
        </w:tc>
      </w:tr>
    </w:tbl>
    <w:p w:rsidR="00EF5AFB" w:rsidRDefault="00EF5AFB" w:rsidP="00431595"/>
    <w:p w:rsidR="00EF5AFB" w:rsidRDefault="00EF5AFB">
      <w:pPr>
        <w:spacing w:before="0"/>
        <w:jc w:val="left"/>
      </w:pPr>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05"/>
      </w:tblGrid>
      <w:tr w:rsidR="00431595" w:rsidRPr="000532E0" w:rsidTr="002A11E1">
        <w:tc>
          <w:tcPr>
            <w:tcW w:w="9605" w:type="dxa"/>
            <w:vAlign w:val="center"/>
          </w:tcPr>
          <w:p w:rsidR="00431595" w:rsidRPr="000532E0" w:rsidRDefault="00431595" w:rsidP="00431595">
            <w:pPr>
              <w:spacing w:after="120"/>
              <w:jc w:val="center"/>
              <w:rPr>
                <w:rFonts w:cs="Times New Roman"/>
                <w:b/>
              </w:rPr>
            </w:pPr>
            <w:r w:rsidRPr="000532E0">
              <w:rPr>
                <w:rFonts w:cs="Times New Roman"/>
                <w:b/>
              </w:rPr>
              <w:br w:type="page"/>
              <w:t>Predicted transition of bank and consumption</w:t>
            </w:r>
            <w:r w:rsidR="00CB4DA8">
              <w:rPr>
                <w:rFonts w:cs="Times New Roman"/>
                <w:b/>
              </w:rPr>
              <w:t xml:space="preserve"> (tonnes)</w:t>
            </w:r>
          </w:p>
        </w:tc>
      </w:tr>
      <w:tr w:rsidR="00431595" w:rsidRPr="00BD20BC" w:rsidTr="002A11E1">
        <w:tc>
          <w:tcPr>
            <w:tcW w:w="9605" w:type="dxa"/>
            <w:vAlign w:val="center"/>
          </w:tcPr>
          <w:p w:rsidR="00431595" w:rsidRDefault="00431595" w:rsidP="00CB4DA8">
            <w:pPr>
              <w:spacing w:before="0"/>
              <w:jc w:val="center"/>
              <w:rPr>
                <w:sz w:val="16"/>
                <w:szCs w:val="16"/>
              </w:rPr>
            </w:pPr>
          </w:p>
          <w:p w:rsidR="00431595" w:rsidRDefault="00F23978" w:rsidP="00CB4DA8">
            <w:pPr>
              <w:spacing w:before="0"/>
              <w:jc w:val="center"/>
              <w:rPr>
                <w:sz w:val="16"/>
                <w:szCs w:val="16"/>
              </w:rPr>
            </w:pPr>
            <w:r>
              <w:rPr>
                <w:noProof/>
                <w:lang w:val="en-AU" w:eastAsia="en-AU"/>
              </w:rPr>
              <w:drawing>
                <wp:inline distT="0" distB="0" distL="0" distR="0">
                  <wp:extent cx="5864860" cy="2472267"/>
                  <wp:effectExtent l="0" t="0" r="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CB4DA8" w:rsidRPr="00BD20BC" w:rsidRDefault="00CB4DA8" w:rsidP="00CB4DA8">
            <w:pPr>
              <w:spacing w:before="0"/>
              <w:jc w:val="center"/>
              <w:rPr>
                <w:sz w:val="16"/>
                <w:szCs w:val="16"/>
              </w:rPr>
            </w:pPr>
          </w:p>
        </w:tc>
      </w:tr>
      <w:tr w:rsidR="00431595" w:rsidRPr="00042727" w:rsidTr="002A11E1">
        <w:tc>
          <w:tcPr>
            <w:tcW w:w="9605" w:type="dxa"/>
            <w:vAlign w:val="center"/>
          </w:tcPr>
          <w:p w:rsidR="00431595" w:rsidRPr="000532E0" w:rsidRDefault="008763B4" w:rsidP="008763B4">
            <w:pPr>
              <w:spacing w:before="60" w:after="60"/>
              <w:rPr>
                <w:rFonts w:cs="Times New Roman"/>
                <w:i/>
              </w:rPr>
            </w:pPr>
            <w:bookmarkStart w:id="66" w:name="_Toc257359998"/>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30</w:t>
            </w:r>
            <w:r w:rsidR="00B41499" w:rsidRPr="00F4221A">
              <w:rPr>
                <w:rFonts w:cs="Times New Roman"/>
                <w:i/>
                <w:sz w:val="20"/>
              </w:rPr>
              <w:fldChar w:fldCharType="end"/>
            </w:r>
            <w:r w:rsidRPr="00F4221A">
              <w:rPr>
                <w:rFonts w:cs="Times New Roman"/>
                <w:i/>
                <w:sz w:val="20"/>
              </w:rPr>
              <w:t>:</w:t>
            </w:r>
            <w:r w:rsidR="00431595" w:rsidRPr="000532E0">
              <w:rPr>
                <w:rFonts w:cs="Times New Roman"/>
                <w:i/>
                <w:sz w:val="20"/>
              </w:rPr>
              <w:t xml:space="preserve"> </w:t>
            </w:r>
            <w:r w:rsidR="00431595">
              <w:rPr>
                <w:rFonts w:cs="Times New Roman"/>
                <w:i/>
                <w:sz w:val="20"/>
              </w:rPr>
              <w:t xml:space="preserve">Large AC - predicted bank </w:t>
            </w:r>
            <w:r w:rsidR="00CB4DA8">
              <w:rPr>
                <w:rFonts w:cs="Times New Roman"/>
                <w:i/>
                <w:sz w:val="20"/>
              </w:rPr>
              <w:t xml:space="preserve">in tonnes </w:t>
            </w:r>
            <w:r w:rsidR="00431595">
              <w:rPr>
                <w:rFonts w:cs="Times New Roman"/>
                <w:i/>
                <w:sz w:val="20"/>
              </w:rPr>
              <w:t>by refrigerant type from 2013 to 2025.</w:t>
            </w:r>
            <w:bookmarkEnd w:id="66"/>
          </w:p>
        </w:tc>
      </w:tr>
      <w:tr w:rsidR="00431595" w:rsidRPr="00CB4DA8" w:rsidTr="002A11E1">
        <w:tc>
          <w:tcPr>
            <w:tcW w:w="9605" w:type="dxa"/>
            <w:vAlign w:val="center"/>
          </w:tcPr>
          <w:p w:rsidR="00431595" w:rsidRDefault="00431595" w:rsidP="00CB4DA8">
            <w:pPr>
              <w:spacing w:before="0"/>
              <w:jc w:val="center"/>
              <w:rPr>
                <w:sz w:val="16"/>
                <w:szCs w:val="16"/>
              </w:rPr>
            </w:pPr>
          </w:p>
          <w:p w:rsidR="00431595" w:rsidRDefault="00F23978" w:rsidP="00CB4DA8">
            <w:pPr>
              <w:spacing w:before="0"/>
              <w:jc w:val="center"/>
              <w:rPr>
                <w:sz w:val="16"/>
                <w:szCs w:val="16"/>
              </w:rPr>
            </w:pPr>
            <w:r>
              <w:rPr>
                <w:noProof/>
                <w:lang w:val="en-AU" w:eastAsia="en-AU"/>
              </w:rPr>
              <w:drawing>
                <wp:inline distT="0" distB="0" distL="0" distR="0">
                  <wp:extent cx="5864860" cy="2505710"/>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431595" w:rsidRPr="00BD20BC" w:rsidRDefault="00431595" w:rsidP="00CB4DA8">
            <w:pPr>
              <w:spacing w:before="0"/>
              <w:jc w:val="center"/>
              <w:rPr>
                <w:sz w:val="16"/>
                <w:szCs w:val="16"/>
              </w:rPr>
            </w:pPr>
          </w:p>
        </w:tc>
      </w:tr>
      <w:tr w:rsidR="00431595" w:rsidRPr="00923150" w:rsidTr="002A11E1">
        <w:tc>
          <w:tcPr>
            <w:tcW w:w="9605" w:type="dxa"/>
            <w:vAlign w:val="center"/>
          </w:tcPr>
          <w:p w:rsidR="00431595" w:rsidRPr="005D159D" w:rsidRDefault="008763B4" w:rsidP="008763B4">
            <w:pPr>
              <w:spacing w:before="60" w:after="60"/>
              <w:rPr>
                <w:i/>
              </w:rPr>
            </w:pPr>
            <w:bookmarkStart w:id="67" w:name="_Toc257359999"/>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31</w:t>
            </w:r>
            <w:r w:rsidR="00B41499" w:rsidRPr="00F4221A">
              <w:rPr>
                <w:rFonts w:cs="Times New Roman"/>
                <w:i/>
                <w:sz w:val="20"/>
              </w:rPr>
              <w:fldChar w:fldCharType="end"/>
            </w:r>
            <w:r w:rsidRPr="00F4221A">
              <w:rPr>
                <w:rFonts w:cs="Times New Roman"/>
                <w:i/>
                <w:sz w:val="20"/>
              </w:rPr>
              <w:t>:</w:t>
            </w:r>
            <w:r w:rsidRPr="0045125B">
              <w:rPr>
                <w:i/>
                <w:sz w:val="20"/>
              </w:rPr>
              <w:t xml:space="preserve"> </w:t>
            </w:r>
            <w:r w:rsidR="00431595">
              <w:rPr>
                <w:rFonts w:cs="Times New Roman"/>
                <w:i/>
                <w:sz w:val="20"/>
              </w:rPr>
              <w:t xml:space="preserve">Large AC - predicted consumption </w:t>
            </w:r>
            <w:r w:rsidR="00CB4DA8">
              <w:rPr>
                <w:rFonts w:cs="Times New Roman"/>
                <w:i/>
                <w:sz w:val="20"/>
              </w:rPr>
              <w:t xml:space="preserve">in tonnes </w:t>
            </w:r>
            <w:r w:rsidR="00431595">
              <w:rPr>
                <w:rFonts w:cs="Times New Roman"/>
                <w:i/>
                <w:sz w:val="20"/>
              </w:rPr>
              <w:t>by refrigerant type from 2013 to 2025.</w:t>
            </w:r>
            <w:bookmarkEnd w:id="67"/>
          </w:p>
        </w:tc>
      </w:tr>
    </w:tbl>
    <w:p w:rsidR="00431595" w:rsidRPr="00875C28" w:rsidRDefault="00431595" w:rsidP="00431595">
      <w:pPr>
        <w:spacing w:after="120"/>
        <w:rPr>
          <w:rFonts w:cs="Times New Roman"/>
          <w:szCs w:val="22"/>
        </w:rPr>
      </w:pPr>
    </w:p>
    <w:p w:rsidR="00431595" w:rsidRPr="002755E8" w:rsidRDefault="00431595" w:rsidP="00431595">
      <w:pPr>
        <w:spacing w:after="120"/>
        <w:outlineLvl w:val="0"/>
        <w:rPr>
          <w:rFonts w:cs="Times New Roman"/>
          <w:b/>
          <w:szCs w:val="22"/>
        </w:rPr>
      </w:pPr>
      <w:r w:rsidRPr="002755E8">
        <w:rPr>
          <w:rFonts w:cs="Times New Roman"/>
          <w:b/>
          <w:szCs w:val="22"/>
        </w:rPr>
        <w:t>Assumptions of modelling and level of confidence</w:t>
      </w:r>
    </w:p>
    <w:p w:rsidR="00431595" w:rsidRPr="0056708B" w:rsidRDefault="00431595" w:rsidP="00E97935">
      <w:pPr>
        <w:pStyle w:val="ColorfulShading-Accent31"/>
        <w:numPr>
          <w:ilvl w:val="0"/>
          <w:numId w:val="12"/>
        </w:numPr>
        <w:spacing w:after="120"/>
        <w:ind w:left="357" w:hanging="357"/>
        <w:contextualSpacing w:val="0"/>
        <w:jc w:val="both"/>
        <w:rPr>
          <w:rFonts w:ascii="Times New Roman" w:hAnsi="Times New Roman"/>
          <w:sz w:val="22"/>
          <w:szCs w:val="22"/>
        </w:rPr>
      </w:pPr>
      <w:r>
        <w:rPr>
          <w:rFonts w:ascii="Times New Roman" w:hAnsi="Times New Roman"/>
          <w:sz w:val="22"/>
          <w:szCs w:val="22"/>
        </w:rPr>
        <w:t xml:space="preserve">Existing local manufacturers will continue </w:t>
      </w:r>
      <w:r w:rsidRPr="0056708B">
        <w:rPr>
          <w:rFonts w:ascii="Times New Roman" w:hAnsi="Times New Roman"/>
          <w:sz w:val="22"/>
          <w:szCs w:val="22"/>
        </w:rPr>
        <w:t xml:space="preserve">at similar production levels </w:t>
      </w:r>
      <w:r>
        <w:rPr>
          <w:rFonts w:ascii="Times New Roman" w:hAnsi="Times New Roman"/>
          <w:sz w:val="22"/>
          <w:szCs w:val="22"/>
        </w:rPr>
        <w:t xml:space="preserve">until </w:t>
      </w:r>
      <w:r w:rsidRPr="0056708B">
        <w:rPr>
          <w:rFonts w:ascii="Times New Roman" w:hAnsi="Times New Roman"/>
          <w:sz w:val="22"/>
          <w:szCs w:val="22"/>
        </w:rPr>
        <w:t>2025</w:t>
      </w:r>
      <w:r>
        <w:rPr>
          <w:rFonts w:ascii="Times New Roman" w:hAnsi="Times New Roman"/>
          <w:sz w:val="22"/>
          <w:szCs w:val="22"/>
        </w:rPr>
        <w:t>.</w:t>
      </w:r>
    </w:p>
    <w:p w:rsidR="00431595" w:rsidRPr="0056708B" w:rsidRDefault="00431595" w:rsidP="00E97935">
      <w:pPr>
        <w:pStyle w:val="ColorfulShading-Accent31"/>
        <w:numPr>
          <w:ilvl w:val="0"/>
          <w:numId w:val="12"/>
        </w:numPr>
        <w:spacing w:after="120"/>
        <w:ind w:left="357" w:hanging="357"/>
        <w:contextualSpacing w:val="0"/>
        <w:jc w:val="both"/>
        <w:rPr>
          <w:rFonts w:ascii="Times New Roman" w:hAnsi="Times New Roman"/>
          <w:sz w:val="22"/>
          <w:szCs w:val="22"/>
        </w:rPr>
      </w:pPr>
      <w:r w:rsidRPr="0056708B">
        <w:rPr>
          <w:rFonts w:ascii="Times New Roman" w:hAnsi="Times New Roman"/>
          <w:sz w:val="22"/>
          <w:szCs w:val="22"/>
        </w:rPr>
        <w:t xml:space="preserve">Growth rate of </w:t>
      </w:r>
      <w:r>
        <w:rPr>
          <w:rFonts w:ascii="Times New Roman" w:hAnsi="Times New Roman"/>
          <w:sz w:val="22"/>
          <w:szCs w:val="22"/>
        </w:rPr>
        <w:t xml:space="preserve">stationary </w:t>
      </w:r>
      <w:r w:rsidR="00845FAB">
        <w:rPr>
          <w:rFonts w:ascii="Times New Roman" w:hAnsi="Times New Roman"/>
          <w:sz w:val="22"/>
          <w:szCs w:val="22"/>
        </w:rPr>
        <w:t>AC</w:t>
      </w:r>
      <w:r>
        <w:rPr>
          <w:rFonts w:ascii="Times New Roman" w:hAnsi="Times New Roman"/>
          <w:sz w:val="22"/>
          <w:szCs w:val="22"/>
        </w:rPr>
        <w:t xml:space="preserve"> </w:t>
      </w:r>
      <w:r w:rsidRPr="0056708B">
        <w:rPr>
          <w:rFonts w:ascii="Times New Roman" w:hAnsi="Times New Roman"/>
          <w:sz w:val="22"/>
          <w:szCs w:val="22"/>
        </w:rPr>
        <w:t>sales post 2013 th</w:t>
      </w:r>
      <w:r w:rsidR="00F349AE">
        <w:rPr>
          <w:rFonts w:ascii="Times New Roman" w:hAnsi="Times New Roman"/>
          <w:sz w:val="22"/>
          <w:szCs w:val="22"/>
        </w:rPr>
        <w:t>rough to 2025 is 1.5% per annum for the larges class (medium AC), with small AC in decline by 3% per annum and chiller</w:t>
      </w:r>
      <w:r w:rsidR="000B319E">
        <w:rPr>
          <w:rFonts w:ascii="Times New Roman" w:hAnsi="Times New Roman"/>
          <w:sz w:val="22"/>
          <w:szCs w:val="22"/>
        </w:rPr>
        <w:t xml:space="preserve"> </w:t>
      </w:r>
      <w:r w:rsidR="00F349AE">
        <w:rPr>
          <w:rFonts w:ascii="Times New Roman" w:hAnsi="Times New Roman"/>
          <w:sz w:val="22"/>
          <w:szCs w:val="22"/>
        </w:rPr>
        <w:t>s</w:t>
      </w:r>
      <w:r w:rsidR="000B319E">
        <w:rPr>
          <w:rFonts w:ascii="Times New Roman" w:hAnsi="Times New Roman"/>
          <w:sz w:val="22"/>
          <w:szCs w:val="22"/>
        </w:rPr>
        <w:t>ales</w:t>
      </w:r>
      <w:r w:rsidR="00F349AE">
        <w:rPr>
          <w:rFonts w:ascii="Times New Roman" w:hAnsi="Times New Roman"/>
          <w:sz w:val="22"/>
          <w:szCs w:val="22"/>
        </w:rPr>
        <w:t xml:space="preserve"> are estimated to grow at 1% per annum</w:t>
      </w:r>
      <w:r w:rsidR="000B319E">
        <w:rPr>
          <w:rFonts w:ascii="Times New Roman" w:hAnsi="Times New Roman"/>
          <w:sz w:val="22"/>
          <w:szCs w:val="22"/>
        </w:rPr>
        <w:t>.</w:t>
      </w:r>
    </w:p>
    <w:p w:rsidR="00431595" w:rsidRDefault="00431595" w:rsidP="00E97935">
      <w:pPr>
        <w:pStyle w:val="ColorfulShading-Accent31"/>
        <w:numPr>
          <w:ilvl w:val="0"/>
          <w:numId w:val="12"/>
        </w:numPr>
        <w:spacing w:after="120"/>
        <w:ind w:left="357" w:hanging="357"/>
        <w:contextualSpacing w:val="0"/>
        <w:jc w:val="both"/>
        <w:rPr>
          <w:rFonts w:ascii="Times New Roman" w:hAnsi="Times New Roman"/>
          <w:sz w:val="22"/>
          <w:szCs w:val="22"/>
        </w:rPr>
      </w:pPr>
      <w:r w:rsidRPr="0056708B">
        <w:rPr>
          <w:rFonts w:ascii="Times New Roman" w:hAnsi="Times New Roman"/>
          <w:sz w:val="22"/>
          <w:szCs w:val="22"/>
        </w:rPr>
        <w:t>HFC-</w:t>
      </w:r>
      <w:r>
        <w:rPr>
          <w:rFonts w:ascii="Times New Roman" w:hAnsi="Times New Roman"/>
          <w:sz w:val="22"/>
          <w:szCs w:val="22"/>
        </w:rPr>
        <w:t>410A</w:t>
      </w:r>
      <w:r w:rsidRPr="0056708B">
        <w:rPr>
          <w:rFonts w:ascii="Times New Roman" w:hAnsi="Times New Roman"/>
          <w:sz w:val="22"/>
          <w:szCs w:val="22"/>
        </w:rPr>
        <w:t xml:space="preserve"> will be phased out of production and </w:t>
      </w:r>
      <w:r w:rsidR="00F52A48">
        <w:rPr>
          <w:rFonts w:ascii="Times New Roman" w:hAnsi="Times New Roman"/>
          <w:sz w:val="22"/>
          <w:szCs w:val="22"/>
        </w:rPr>
        <w:t xml:space="preserve">replaced with </w:t>
      </w:r>
      <w:r w:rsidRPr="0056708B">
        <w:rPr>
          <w:rFonts w:ascii="Times New Roman" w:hAnsi="Times New Roman"/>
          <w:sz w:val="22"/>
          <w:szCs w:val="22"/>
        </w:rPr>
        <w:t xml:space="preserve">imports with refrigerants with </w:t>
      </w:r>
      <w:r>
        <w:rPr>
          <w:rFonts w:ascii="Times New Roman" w:hAnsi="Times New Roman"/>
          <w:sz w:val="22"/>
          <w:szCs w:val="22"/>
        </w:rPr>
        <w:t xml:space="preserve">lower </w:t>
      </w:r>
      <w:r w:rsidRPr="0056708B">
        <w:rPr>
          <w:rFonts w:ascii="Times New Roman" w:hAnsi="Times New Roman"/>
          <w:sz w:val="22"/>
          <w:szCs w:val="22"/>
        </w:rPr>
        <w:t xml:space="preserve">GWP </w:t>
      </w:r>
      <w:r>
        <w:rPr>
          <w:rFonts w:ascii="Times New Roman" w:hAnsi="Times New Roman"/>
          <w:sz w:val="22"/>
          <w:szCs w:val="22"/>
        </w:rPr>
        <w:t xml:space="preserve">refrigerants </w:t>
      </w:r>
      <w:r w:rsidRPr="0056708B">
        <w:rPr>
          <w:rFonts w:ascii="Times New Roman" w:hAnsi="Times New Roman"/>
          <w:sz w:val="22"/>
          <w:szCs w:val="22"/>
        </w:rPr>
        <w:t>by 2025.</w:t>
      </w:r>
    </w:p>
    <w:p w:rsidR="002A11E1" w:rsidRDefault="00431595" w:rsidP="00E97935">
      <w:pPr>
        <w:pStyle w:val="ColorfulShading-Accent31"/>
        <w:numPr>
          <w:ilvl w:val="0"/>
          <w:numId w:val="12"/>
        </w:numPr>
        <w:spacing w:after="120"/>
        <w:ind w:left="357" w:hanging="357"/>
        <w:contextualSpacing w:val="0"/>
        <w:jc w:val="both"/>
        <w:rPr>
          <w:rFonts w:ascii="Times New Roman" w:hAnsi="Times New Roman"/>
          <w:sz w:val="22"/>
          <w:szCs w:val="22"/>
        </w:rPr>
      </w:pPr>
      <w:r w:rsidRPr="002A11E1">
        <w:rPr>
          <w:rFonts w:ascii="Times New Roman" w:hAnsi="Times New Roman"/>
          <w:sz w:val="22"/>
          <w:szCs w:val="22"/>
        </w:rPr>
        <w:t xml:space="preserve">Refrigerant blends with GWPs </w:t>
      </w:r>
      <w:r w:rsidR="000B319E">
        <w:rPr>
          <w:rFonts w:ascii="Times New Roman" w:hAnsi="Times New Roman"/>
          <w:sz w:val="22"/>
          <w:szCs w:val="22"/>
        </w:rPr>
        <w:t xml:space="preserve">as low as </w:t>
      </w:r>
      <w:r w:rsidRPr="002A11E1">
        <w:rPr>
          <w:rFonts w:ascii="Times New Roman" w:hAnsi="Times New Roman"/>
          <w:sz w:val="22"/>
          <w:szCs w:val="22"/>
        </w:rPr>
        <w:t xml:space="preserve">300 are expected to emerge before 2025, the model </w:t>
      </w:r>
      <w:r w:rsidR="00821F8D" w:rsidRPr="002A11E1">
        <w:rPr>
          <w:rFonts w:ascii="Times New Roman" w:hAnsi="Times New Roman"/>
          <w:sz w:val="22"/>
          <w:szCs w:val="22"/>
        </w:rPr>
        <w:t>categorizes</w:t>
      </w:r>
      <w:r w:rsidRPr="002A11E1">
        <w:rPr>
          <w:rFonts w:ascii="Times New Roman" w:hAnsi="Times New Roman"/>
          <w:sz w:val="22"/>
          <w:szCs w:val="22"/>
        </w:rPr>
        <w:t xml:space="preserve"> them as GWP &lt;1000.</w:t>
      </w:r>
    </w:p>
    <w:p w:rsidR="00431595" w:rsidRPr="002A11E1" w:rsidRDefault="00431595" w:rsidP="00E97935">
      <w:pPr>
        <w:pStyle w:val="ColorfulShading-Accent31"/>
        <w:numPr>
          <w:ilvl w:val="0"/>
          <w:numId w:val="12"/>
        </w:numPr>
        <w:spacing w:after="120"/>
        <w:ind w:left="357" w:hanging="357"/>
        <w:contextualSpacing w:val="0"/>
        <w:jc w:val="both"/>
        <w:rPr>
          <w:rFonts w:ascii="Times New Roman" w:hAnsi="Times New Roman"/>
          <w:sz w:val="22"/>
          <w:szCs w:val="22"/>
        </w:rPr>
      </w:pPr>
      <w:r w:rsidRPr="002A11E1">
        <w:rPr>
          <w:rFonts w:ascii="Times New Roman" w:hAnsi="Times New Roman"/>
          <w:sz w:val="22"/>
          <w:szCs w:val="22"/>
        </w:rPr>
        <w:t xml:space="preserve">The model predicts a high penetration of HFC-32, however it is </w:t>
      </w:r>
      <w:r w:rsidR="002D331B" w:rsidRPr="002A11E1">
        <w:rPr>
          <w:rFonts w:ascii="Times New Roman" w:hAnsi="Times New Roman"/>
          <w:sz w:val="22"/>
          <w:szCs w:val="22"/>
        </w:rPr>
        <w:t>possib</w:t>
      </w:r>
      <w:r w:rsidR="002D331B">
        <w:rPr>
          <w:rFonts w:ascii="Times New Roman" w:hAnsi="Times New Roman"/>
          <w:sz w:val="22"/>
          <w:szCs w:val="22"/>
        </w:rPr>
        <w:t>le</w:t>
      </w:r>
      <w:r w:rsidR="002D331B" w:rsidRPr="002A11E1">
        <w:rPr>
          <w:rFonts w:ascii="Times New Roman" w:hAnsi="Times New Roman"/>
          <w:sz w:val="22"/>
          <w:szCs w:val="22"/>
        </w:rPr>
        <w:t xml:space="preserve"> </w:t>
      </w:r>
      <w:r w:rsidRPr="002A11E1">
        <w:rPr>
          <w:rFonts w:ascii="Times New Roman" w:hAnsi="Times New Roman"/>
          <w:sz w:val="22"/>
          <w:szCs w:val="22"/>
        </w:rPr>
        <w:t xml:space="preserve">that HFC-32 may be substituted with blends with a lower GWP ranging from 300 to 500 depending on the availability, cost and energy efficiency. </w:t>
      </w:r>
    </w:p>
    <w:p w:rsidR="00431595" w:rsidRPr="0056708B" w:rsidRDefault="00431595" w:rsidP="00E97935">
      <w:pPr>
        <w:pStyle w:val="ColorfulShading-Accent31"/>
        <w:numPr>
          <w:ilvl w:val="0"/>
          <w:numId w:val="12"/>
        </w:numPr>
        <w:spacing w:after="120"/>
        <w:ind w:left="357" w:hanging="357"/>
        <w:contextualSpacing w:val="0"/>
        <w:jc w:val="both"/>
        <w:rPr>
          <w:rFonts w:ascii="Times New Roman" w:hAnsi="Times New Roman"/>
          <w:sz w:val="22"/>
          <w:szCs w:val="22"/>
        </w:rPr>
      </w:pPr>
      <w:r w:rsidRPr="0056708B">
        <w:rPr>
          <w:rFonts w:ascii="Times New Roman" w:hAnsi="Times New Roman"/>
          <w:sz w:val="22"/>
          <w:szCs w:val="22"/>
        </w:rPr>
        <w:t>Linear growth trend for all substitutes to 2025</w:t>
      </w:r>
      <w:r>
        <w:rPr>
          <w:rFonts w:ascii="Times New Roman" w:hAnsi="Times New Roman"/>
          <w:sz w:val="22"/>
          <w:szCs w:val="22"/>
        </w:rPr>
        <w:t xml:space="preserve">. With </w:t>
      </w:r>
      <w:r w:rsidRPr="0056708B">
        <w:rPr>
          <w:rFonts w:ascii="Times New Roman" w:hAnsi="Times New Roman"/>
          <w:sz w:val="22"/>
          <w:szCs w:val="22"/>
        </w:rPr>
        <w:t>HFC-</w:t>
      </w:r>
      <w:r>
        <w:rPr>
          <w:rFonts w:ascii="Times New Roman" w:hAnsi="Times New Roman"/>
          <w:sz w:val="22"/>
          <w:szCs w:val="22"/>
        </w:rPr>
        <w:t>410A</w:t>
      </w:r>
      <w:r w:rsidRPr="0056708B">
        <w:rPr>
          <w:rFonts w:ascii="Times New Roman" w:hAnsi="Times New Roman"/>
          <w:sz w:val="22"/>
          <w:szCs w:val="22"/>
        </w:rPr>
        <w:t xml:space="preserve"> mak</w:t>
      </w:r>
      <w:r>
        <w:rPr>
          <w:rFonts w:ascii="Times New Roman" w:hAnsi="Times New Roman"/>
          <w:sz w:val="22"/>
          <w:szCs w:val="22"/>
        </w:rPr>
        <w:t xml:space="preserve">ing </w:t>
      </w:r>
      <w:r w:rsidRPr="0056708B">
        <w:rPr>
          <w:rFonts w:ascii="Times New Roman" w:hAnsi="Times New Roman"/>
          <w:sz w:val="22"/>
          <w:szCs w:val="22"/>
        </w:rPr>
        <w:t xml:space="preserve">up </w:t>
      </w:r>
      <w:r>
        <w:rPr>
          <w:rFonts w:ascii="Times New Roman" w:hAnsi="Times New Roman"/>
          <w:sz w:val="22"/>
          <w:szCs w:val="22"/>
        </w:rPr>
        <w:t>the balance, except in the case of chillers where HFC-134a makes up the balance.</w:t>
      </w:r>
    </w:p>
    <w:p w:rsidR="00431595" w:rsidRPr="000B319E" w:rsidRDefault="00431595" w:rsidP="000B319E">
      <w:pPr>
        <w:pStyle w:val="ColorfulShading-Accent31"/>
        <w:numPr>
          <w:ilvl w:val="0"/>
          <w:numId w:val="12"/>
        </w:numPr>
        <w:spacing w:after="120"/>
        <w:contextualSpacing w:val="0"/>
        <w:jc w:val="both"/>
        <w:rPr>
          <w:rFonts w:ascii="Times New Roman" w:hAnsi="Times New Roman"/>
          <w:sz w:val="22"/>
          <w:szCs w:val="22"/>
        </w:rPr>
      </w:pPr>
      <w:r w:rsidRPr="0056708B">
        <w:rPr>
          <w:rFonts w:ascii="Times New Roman" w:hAnsi="Times New Roman"/>
          <w:sz w:val="22"/>
          <w:szCs w:val="22"/>
        </w:rPr>
        <w:t xml:space="preserve">Leak rates </w:t>
      </w:r>
      <w:r>
        <w:rPr>
          <w:rFonts w:ascii="Times New Roman" w:hAnsi="Times New Roman"/>
          <w:sz w:val="22"/>
          <w:szCs w:val="22"/>
        </w:rPr>
        <w:t xml:space="preserve">of small AC is 3% per annum for all refrigerant types whereas </w:t>
      </w:r>
      <w:r w:rsidR="000B319E">
        <w:rPr>
          <w:rFonts w:ascii="Times New Roman" w:hAnsi="Times New Roman"/>
          <w:sz w:val="22"/>
          <w:szCs w:val="22"/>
        </w:rPr>
        <w:t>m</w:t>
      </w:r>
      <w:r>
        <w:rPr>
          <w:rFonts w:ascii="Times New Roman" w:hAnsi="Times New Roman"/>
          <w:sz w:val="22"/>
          <w:szCs w:val="22"/>
        </w:rPr>
        <w:t xml:space="preserve">edium AC has experiences a significant improvement in containment design from older generation HCFC equipment to current models. The leak rates for </w:t>
      </w:r>
      <w:r w:rsidR="000B319E">
        <w:rPr>
          <w:rFonts w:ascii="Times New Roman" w:hAnsi="Times New Roman"/>
          <w:sz w:val="22"/>
          <w:szCs w:val="22"/>
        </w:rPr>
        <w:t>m</w:t>
      </w:r>
      <w:r>
        <w:rPr>
          <w:rFonts w:ascii="Times New Roman" w:hAnsi="Times New Roman"/>
          <w:sz w:val="22"/>
          <w:szCs w:val="22"/>
        </w:rPr>
        <w:t xml:space="preserve">edium AC containing HCFCs is </w:t>
      </w:r>
      <w:r w:rsidR="000B319E">
        <w:rPr>
          <w:rFonts w:ascii="Times New Roman" w:hAnsi="Times New Roman"/>
          <w:sz w:val="22"/>
          <w:szCs w:val="22"/>
        </w:rPr>
        <w:t>8</w:t>
      </w:r>
      <w:r>
        <w:rPr>
          <w:rFonts w:ascii="Times New Roman" w:hAnsi="Times New Roman"/>
          <w:sz w:val="22"/>
          <w:szCs w:val="22"/>
        </w:rPr>
        <w:t xml:space="preserve">% per annum and HFCs is </w:t>
      </w:r>
      <w:r w:rsidR="000B319E">
        <w:rPr>
          <w:rFonts w:ascii="Times New Roman" w:hAnsi="Times New Roman"/>
          <w:sz w:val="22"/>
          <w:szCs w:val="22"/>
        </w:rPr>
        <w:t>3</w:t>
      </w:r>
      <w:r>
        <w:rPr>
          <w:rFonts w:ascii="Times New Roman" w:hAnsi="Times New Roman"/>
          <w:sz w:val="22"/>
          <w:szCs w:val="22"/>
        </w:rPr>
        <w:t xml:space="preserve">% per annum to 2025. Large AC is modeled based on a leak rate to </w:t>
      </w:r>
      <w:r w:rsidRPr="0056708B">
        <w:rPr>
          <w:rFonts w:ascii="Times New Roman" w:hAnsi="Times New Roman"/>
          <w:sz w:val="22"/>
          <w:szCs w:val="22"/>
        </w:rPr>
        <w:t xml:space="preserve">improve from </w:t>
      </w:r>
      <w:r w:rsidR="000B319E">
        <w:rPr>
          <w:rFonts w:ascii="Times New Roman" w:hAnsi="Times New Roman"/>
          <w:sz w:val="22"/>
          <w:szCs w:val="22"/>
        </w:rPr>
        <w:t>4</w:t>
      </w:r>
      <w:r>
        <w:rPr>
          <w:rFonts w:ascii="Times New Roman" w:hAnsi="Times New Roman"/>
          <w:sz w:val="22"/>
          <w:szCs w:val="22"/>
        </w:rPr>
        <w:t>% per annum, except in the case of HCFC-123 systems that have very low leak rates in the order of 1% per annum.</w:t>
      </w:r>
    </w:p>
    <w:p w:rsidR="0034186A" w:rsidRDefault="0034186A" w:rsidP="0034186A"/>
    <w:p w:rsidR="00C52CDF" w:rsidRPr="007F343E" w:rsidRDefault="008763B4" w:rsidP="00C52CDF">
      <w:pPr>
        <w:pStyle w:val="ColorfulShading-Accent31"/>
        <w:spacing w:before="120"/>
        <w:ind w:left="0"/>
        <w:contextualSpacing w:val="0"/>
        <w:jc w:val="both"/>
        <w:outlineLvl w:val="0"/>
        <w:rPr>
          <w:rFonts w:ascii="Times New Roman" w:hAnsi="Times New Roman"/>
          <w:i/>
          <w:sz w:val="22"/>
          <w:szCs w:val="22"/>
        </w:rPr>
      </w:pPr>
      <w:bookmarkStart w:id="68" w:name="_Toc257360011"/>
      <w:r w:rsidRPr="008763B4">
        <w:rPr>
          <w:rFonts w:ascii="Times New Roman" w:hAnsi="Times New Roman"/>
          <w:i/>
          <w:sz w:val="22"/>
          <w:szCs w:val="22"/>
        </w:rPr>
        <w:t xml:space="preserve">Table </w:t>
      </w:r>
      <w:r w:rsidR="00B41499" w:rsidRPr="008763B4">
        <w:rPr>
          <w:rFonts w:ascii="Times New Roman" w:hAnsi="Times New Roman"/>
          <w:i/>
          <w:sz w:val="22"/>
          <w:szCs w:val="22"/>
        </w:rPr>
        <w:fldChar w:fldCharType="begin"/>
      </w:r>
      <w:r w:rsidRPr="008763B4">
        <w:rPr>
          <w:rFonts w:ascii="Times New Roman" w:hAnsi="Times New Roman"/>
          <w:i/>
          <w:sz w:val="22"/>
          <w:szCs w:val="22"/>
        </w:rPr>
        <w:instrText xml:space="preserve"> SEQ Table \* ARABIC </w:instrText>
      </w:r>
      <w:r w:rsidR="00B41499" w:rsidRPr="008763B4">
        <w:rPr>
          <w:rFonts w:ascii="Times New Roman" w:hAnsi="Times New Roman"/>
          <w:i/>
          <w:sz w:val="22"/>
          <w:szCs w:val="22"/>
        </w:rPr>
        <w:fldChar w:fldCharType="separate"/>
      </w:r>
      <w:r w:rsidR="008E0DB9">
        <w:rPr>
          <w:rFonts w:ascii="Times New Roman" w:hAnsi="Times New Roman"/>
          <w:i/>
          <w:noProof/>
          <w:sz w:val="22"/>
          <w:szCs w:val="22"/>
        </w:rPr>
        <w:t>7</w:t>
      </w:r>
      <w:r w:rsidR="00B41499" w:rsidRPr="008763B4">
        <w:rPr>
          <w:rFonts w:ascii="Times New Roman" w:hAnsi="Times New Roman"/>
          <w:i/>
          <w:sz w:val="22"/>
          <w:szCs w:val="22"/>
        </w:rPr>
        <w:fldChar w:fldCharType="end"/>
      </w:r>
      <w:r w:rsidRPr="008763B4">
        <w:rPr>
          <w:rFonts w:ascii="Times New Roman" w:hAnsi="Times New Roman"/>
          <w:i/>
          <w:sz w:val="22"/>
          <w:szCs w:val="22"/>
        </w:rPr>
        <w:t xml:space="preserve">: </w:t>
      </w:r>
      <w:r w:rsidR="00C52CDF" w:rsidRPr="008763B4">
        <w:rPr>
          <w:rFonts w:ascii="Times New Roman" w:hAnsi="Times New Roman"/>
          <w:i/>
          <w:sz w:val="22"/>
          <w:szCs w:val="22"/>
        </w:rPr>
        <w:t>Predicted</w:t>
      </w:r>
      <w:r w:rsidR="00C52CDF" w:rsidRPr="007F343E">
        <w:rPr>
          <w:rFonts w:ascii="Times New Roman" w:hAnsi="Times New Roman"/>
          <w:i/>
          <w:sz w:val="22"/>
          <w:szCs w:val="22"/>
        </w:rPr>
        <w:t xml:space="preserve"> transition scenario for </w:t>
      </w:r>
      <w:r w:rsidR="00494DE8">
        <w:rPr>
          <w:rFonts w:ascii="Times New Roman" w:hAnsi="Times New Roman"/>
          <w:i/>
          <w:sz w:val="22"/>
          <w:szCs w:val="22"/>
        </w:rPr>
        <w:t xml:space="preserve">stationary air conditioning </w:t>
      </w:r>
      <w:r w:rsidR="00C52CDF" w:rsidRPr="007F343E">
        <w:rPr>
          <w:rFonts w:ascii="Times New Roman" w:hAnsi="Times New Roman"/>
          <w:i/>
          <w:sz w:val="22"/>
          <w:szCs w:val="22"/>
        </w:rPr>
        <w:t>sector.</w:t>
      </w:r>
      <w:bookmarkEnd w:id="68"/>
    </w:p>
    <w:tbl>
      <w:tblPr>
        <w:tblStyle w:val="TableGrid"/>
        <w:tblW w:w="0" w:type="auto"/>
        <w:tblInd w:w="108" w:type="dxa"/>
        <w:tblLook w:val="04A0"/>
      </w:tblPr>
      <w:tblGrid>
        <w:gridCol w:w="1370"/>
        <w:gridCol w:w="3285"/>
        <w:gridCol w:w="3753"/>
      </w:tblGrid>
      <w:tr w:rsidR="00C52CDF" w:rsidRPr="007F343E" w:rsidTr="00C52CDF">
        <w:tc>
          <w:tcPr>
            <w:tcW w:w="1370" w:type="dxa"/>
            <w:vMerge w:val="restart"/>
            <w:tcBorders>
              <w:right w:val="single" w:sz="4" w:space="0" w:color="FFFFFF" w:themeColor="background1"/>
            </w:tcBorders>
            <w:shd w:val="clear" w:color="auto" w:fill="0C0C0C"/>
          </w:tcPr>
          <w:p w:rsidR="00C52CDF" w:rsidRPr="007F343E" w:rsidRDefault="00C52CDF" w:rsidP="00C52CDF">
            <w:pPr>
              <w:spacing w:after="120"/>
              <w:rPr>
                <w:szCs w:val="22"/>
              </w:rPr>
            </w:pPr>
          </w:p>
        </w:tc>
        <w:tc>
          <w:tcPr>
            <w:tcW w:w="7038" w:type="dxa"/>
            <w:gridSpan w:val="2"/>
            <w:tcBorders>
              <w:left w:val="single" w:sz="4" w:space="0" w:color="FFFFFF" w:themeColor="background1"/>
              <w:bottom w:val="single" w:sz="4" w:space="0" w:color="FFFFFF" w:themeColor="background1"/>
            </w:tcBorders>
            <w:shd w:val="clear" w:color="auto" w:fill="0C0C0C"/>
          </w:tcPr>
          <w:p w:rsidR="00C52CDF" w:rsidRPr="007F343E" w:rsidRDefault="00C52CDF" w:rsidP="00C52CDF">
            <w:pPr>
              <w:spacing w:after="120"/>
              <w:rPr>
                <w:szCs w:val="22"/>
              </w:rPr>
            </w:pPr>
            <w:r w:rsidRPr="007F343E">
              <w:rPr>
                <w:szCs w:val="22"/>
              </w:rPr>
              <w:t>Predicted proportion of refrigerant contained in new products by volume</w:t>
            </w:r>
          </w:p>
        </w:tc>
      </w:tr>
      <w:tr w:rsidR="00C52CDF" w:rsidRPr="007F343E" w:rsidTr="00C52CDF">
        <w:tc>
          <w:tcPr>
            <w:tcW w:w="1370" w:type="dxa"/>
            <w:vMerge/>
            <w:tcBorders>
              <w:right w:val="single" w:sz="4" w:space="0" w:color="FFFFFF" w:themeColor="background1"/>
            </w:tcBorders>
          </w:tcPr>
          <w:p w:rsidR="00C52CDF" w:rsidRPr="007F343E" w:rsidRDefault="00C52CDF" w:rsidP="00C52CDF">
            <w:pPr>
              <w:spacing w:before="60" w:after="60"/>
              <w:rPr>
                <w:szCs w:val="22"/>
              </w:rPr>
            </w:pPr>
          </w:p>
        </w:tc>
        <w:tc>
          <w:tcPr>
            <w:tcW w:w="328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C0C0C"/>
          </w:tcPr>
          <w:p w:rsidR="00C52CDF" w:rsidRPr="007F343E" w:rsidRDefault="00C52CDF" w:rsidP="00C52CDF">
            <w:pPr>
              <w:spacing w:before="60" w:after="60"/>
              <w:jc w:val="center"/>
              <w:rPr>
                <w:szCs w:val="22"/>
              </w:rPr>
            </w:pPr>
            <w:r w:rsidRPr="007F343E">
              <w:rPr>
                <w:szCs w:val="22"/>
              </w:rPr>
              <w:t>2020</w:t>
            </w:r>
          </w:p>
        </w:tc>
        <w:tc>
          <w:tcPr>
            <w:tcW w:w="3753" w:type="dxa"/>
            <w:tcBorders>
              <w:top w:val="single" w:sz="4" w:space="0" w:color="FFFFFF" w:themeColor="background1"/>
              <w:left w:val="single" w:sz="4" w:space="0" w:color="FFFFFF" w:themeColor="background1"/>
              <w:bottom w:val="single" w:sz="4" w:space="0" w:color="auto"/>
            </w:tcBorders>
            <w:shd w:val="clear" w:color="auto" w:fill="0C0C0C"/>
          </w:tcPr>
          <w:p w:rsidR="00C52CDF" w:rsidRPr="007F343E" w:rsidRDefault="00C52CDF" w:rsidP="00C52CDF">
            <w:pPr>
              <w:spacing w:before="60" w:after="60"/>
              <w:jc w:val="center"/>
              <w:rPr>
                <w:szCs w:val="22"/>
              </w:rPr>
            </w:pPr>
            <w:r w:rsidRPr="007F343E">
              <w:rPr>
                <w:szCs w:val="22"/>
              </w:rPr>
              <w:t>2025</w:t>
            </w:r>
          </w:p>
        </w:tc>
      </w:tr>
      <w:tr w:rsidR="00C52CDF" w:rsidRPr="00494DE8" w:rsidTr="00C52CDF">
        <w:tc>
          <w:tcPr>
            <w:tcW w:w="8408" w:type="dxa"/>
            <w:gridSpan w:val="3"/>
            <w:vAlign w:val="center"/>
          </w:tcPr>
          <w:p w:rsidR="00C52CDF" w:rsidRPr="00494DE8" w:rsidRDefault="00C52CDF" w:rsidP="002A11E1">
            <w:pPr>
              <w:spacing w:after="60"/>
              <w:rPr>
                <w:b/>
                <w:szCs w:val="22"/>
              </w:rPr>
            </w:pPr>
            <w:r w:rsidRPr="00494DE8">
              <w:rPr>
                <w:b/>
                <w:szCs w:val="22"/>
              </w:rPr>
              <w:t>Small AC: Self-contained</w:t>
            </w:r>
          </w:p>
        </w:tc>
      </w:tr>
      <w:tr w:rsidR="00C52CDF" w:rsidRPr="00494DE8" w:rsidTr="00C52CDF">
        <w:tc>
          <w:tcPr>
            <w:tcW w:w="1370" w:type="dxa"/>
          </w:tcPr>
          <w:p w:rsidR="00C52CDF" w:rsidRPr="00494DE8" w:rsidRDefault="00C52CDF" w:rsidP="00C52CDF">
            <w:pPr>
              <w:spacing w:before="60" w:after="60"/>
              <w:rPr>
                <w:szCs w:val="22"/>
              </w:rPr>
            </w:pPr>
            <w:r w:rsidRPr="00494DE8">
              <w:rPr>
                <w:szCs w:val="22"/>
              </w:rPr>
              <w:t>HFC-410A</w:t>
            </w:r>
          </w:p>
        </w:tc>
        <w:tc>
          <w:tcPr>
            <w:tcW w:w="3285" w:type="dxa"/>
            <w:tcBorders>
              <w:top w:val="single" w:sz="4" w:space="0" w:color="auto"/>
            </w:tcBorders>
          </w:tcPr>
          <w:p w:rsidR="00C52CDF" w:rsidRPr="00494DE8" w:rsidRDefault="002A19F1" w:rsidP="00C52CDF">
            <w:pPr>
              <w:spacing w:before="60" w:after="60"/>
              <w:jc w:val="center"/>
              <w:rPr>
                <w:szCs w:val="22"/>
              </w:rPr>
            </w:pPr>
            <w:r>
              <w:rPr>
                <w:szCs w:val="22"/>
              </w:rPr>
              <w:t>6</w:t>
            </w:r>
            <w:r w:rsidR="00C52CDF" w:rsidRPr="00494DE8">
              <w:rPr>
                <w:szCs w:val="22"/>
              </w:rPr>
              <w:t>0%</w:t>
            </w:r>
          </w:p>
        </w:tc>
        <w:tc>
          <w:tcPr>
            <w:tcW w:w="3753" w:type="dxa"/>
            <w:tcBorders>
              <w:top w:val="single" w:sz="4" w:space="0" w:color="auto"/>
            </w:tcBorders>
          </w:tcPr>
          <w:p w:rsidR="00C52CDF" w:rsidRPr="00494DE8" w:rsidRDefault="00C52CDF" w:rsidP="00C52CDF">
            <w:pPr>
              <w:spacing w:before="60" w:after="60"/>
              <w:jc w:val="center"/>
              <w:rPr>
                <w:szCs w:val="22"/>
              </w:rPr>
            </w:pPr>
            <w:r w:rsidRPr="00494DE8">
              <w:rPr>
                <w:szCs w:val="22"/>
              </w:rPr>
              <w:t>0%</w:t>
            </w:r>
          </w:p>
        </w:tc>
      </w:tr>
      <w:tr w:rsidR="00C52CDF" w:rsidRPr="00494DE8" w:rsidTr="00C52CDF">
        <w:tc>
          <w:tcPr>
            <w:tcW w:w="1370" w:type="dxa"/>
          </w:tcPr>
          <w:p w:rsidR="00C52CDF" w:rsidRPr="00494DE8" w:rsidRDefault="00C52CDF" w:rsidP="00C52CDF">
            <w:pPr>
              <w:spacing w:before="60" w:after="60"/>
              <w:rPr>
                <w:szCs w:val="22"/>
              </w:rPr>
            </w:pPr>
            <w:r w:rsidRPr="00494DE8">
              <w:rPr>
                <w:szCs w:val="22"/>
              </w:rPr>
              <w:t>HFC-32</w:t>
            </w:r>
          </w:p>
        </w:tc>
        <w:tc>
          <w:tcPr>
            <w:tcW w:w="3285" w:type="dxa"/>
            <w:tcBorders>
              <w:top w:val="single" w:sz="4" w:space="0" w:color="auto"/>
            </w:tcBorders>
          </w:tcPr>
          <w:p w:rsidR="00C52CDF" w:rsidRPr="00494DE8" w:rsidRDefault="002A19F1" w:rsidP="00C52CDF">
            <w:pPr>
              <w:spacing w:before="60" w:after="60"/>
              <w:jc w:val="center"/>
              <w:rPr>
                <w:szCs w:val="22"/>
              </w:rPr>
            </w:pPr>
            <w:r>
              <w:rPr>
                <w:szCs w:val="22"/>
              </w:rPr>
              <w:t>3</w:t>
            </w:r>
            <w:r w:rsidR="00C52CDF" w:rsidRPr="00494DE8">
              <w:rPr>
                <w:szCs w:val="22"/>
              </w:rPr>
              <w:t>0%</w:t>
            </w:r>
          </w:p>
        </w:tc>
        <w:tc>
          <w:tcPr>
            <w:tcW w:w="3753" w:type="dxa"/>
            <w:tcBorders>
              <w:top w:val="single" w:sz="4" w:space="0" w:color="auto"/>
            </w:tcBorders>
          </w:tcPr>
          <w:p w:rsidR="00C52CDF" w:rsidRPr="00494DE8" w:rsidRDefault="00C52CDF" w:rsidP="00C52CDF">
            <w:pPr>
              <w:spacing w:before="60" w:after="60"/>
              <w:jc w:val="center"/>
              <w:rPr>
                <w:szCs w:val="22"/>
              </w:rPr>
            </w:pPr>
            <w:r w:rsidRPr="00494DE8">
              <w:rPr>
                <w:szCs w:val="22"/>
              </w:rPr>
              <w:t>60%</w:t>
            </w:r>
          </w:p>
        </w:tc>
      </w:tr>
      <w:tr w:rsidR="00C52CDF" w:rsidRPr="00494DE8" w:rsidTr="00C52CDF">
        <w:tc>
          <w:tcPr>
            <w:tcW w:w="1370" w:type="dxa"/>
          </w:tcPr>
          <w:p w:rsidR="00C52CDF" w:rsidRPr="00494DE8" w:rsidRDefault="00C52CDF" w:rsidP="00C52CDF">
            <w:pPr>
              <w:spacing w:before="60" w:after="60"/>
              <w:rPr>
                <w:szCs w:val="22"/>
              </w:rPr>
            </w:pPr>
            <w:r w:rsidRPr="00494DE8">
              <w:rPr>
                <w:szCs w:val="22"/>
              </w:rPr>
              <w:t>GWP &lt;1000</w:t>
            </w:r>
          </w:p>
        </w:tc>
        <w:tc>
          <w:tcPr>
            <w:tcW w:w="3285" w:type="dxa"/>
            <w:tcBorders>
              <w:top w:val="single" w:sz="4" w:space="0" w:color="auto"/>
            </w:tcBorders>
          </w:tcPr>
          <w:p w:rsidR="00C52CDF" w:rsidRPr="00494DE8" w:rsidRDefault="00C52CDF" w:rsidP="00C52CDF">
            <w:pPr>
              <w:spacing w:before="60" w:after="60"/>
              <w:jc w:val="center"/>
              <w:rPr>
                <w:szCs w:val="22"/>
              </w:rPr>
            </w:pPr>
            <w:r w:rsidRPr="00494DE8">
              <w:rPr>
                <w:szCs w:val="22"/>
              </w:rPr>
              <w:t>0%</w:t>
            </w:r>
          </w:p>
        </w:tc>
        <w:tc>
          <w:tcPr>
            <w:tcW w:w="3753" w:type="dxa"/>
            <w:tcBorders>
              <w:top w:val="single" w:sz="4" w:space="0" w:color="auto"/>
            </w:tcBorders>
          </w:tcPr>
          <w:p w:rsidR="00C52CDF" w:rsidRPr="00494DE8" w:rsidRDefault="00C52CDF" w:rsidP="00C52CDF">
            <w:pPr>
              <w:spacing w:before="60" w:after="60"/>
              <w:jc w:val="center"/>
              <w:rPr>
                <w:szCs w:val="22"/>
              </w:rPr>
            </w:pPr>
            <w:r w:rsidRPr="00494DE8">
              <w:rPr>
                <w:szCs w:val="22"/>
              </w:rPr>
              <w:t>10%</w:t>
            </w:r>
          </w:p>
        </w:tc>
      </w:tr>
      <w:tr w:rsidR="00C52CDF" w:rsidRPr="00494DE8" w:rsidTr="00C52CDF">
        <w:tc>
          <w:tcPr>
            <w:tcW w:w="1370" w:type="dxa"/>
          </w:tcPr>
          <w:p w:rsidR="00C52CDF" w:rsidRPr="00494DE8" w:rsidRDefault="00C52CDF" w:rsidP="00C52CDF">
            <w:pPr>
              <w:spacing w:before="60" w:after="60"/>
              <w:rPr>
                <w:szCs w:val="22"/>
              </w:rPr>
            </w:pPr>
            <w:r w:rsidRPr="00494DE8">
              <w:rPr>
                <w:szCs w:val="22"/>
              </w:rPr>
              <w:t>GWP &lt;10</w:t>
            </w:r>
          </w:p>
        </w:tc>
        <w:tc>
          <w:tcPr>
            <w:tcW w:w="3285" w:type="dxa"/>
            <w:tcBorders>
              <w:top w:val="single" w:sz="4" w:space="0" w:color="auto"/>
            </w:tcBorders>
          </w:tcPr>
          <w:p w:rsidR="00C52CDF" w:rsidRPr="00494DE8" w:rsidRDefault="00C52CDF" w:rsidP="00C52CDF">
            <w:pPr>
              <w:spacing w:before="60" w:after="60"/>
              <w:jc w:val="center"/>
              <w:rPr>
                <w:szCs w:val="22"/>
              </w:rPr>
            </w:pPr>
            <w:r w:rsidRPr="00494DE8">
              <w:rPr>
                <w:szCs w:val="22"/>
              </w:rPr>
              <w:t>10%</w:t>
            </w:r>
          </w:p>
        </w:tc>
        <w:tc>
          <w:tcPr>
            <w:tcW w:w="3753" w:type="dxa"/>
            <w:tcBorders>
              <w:top w:val="single" w:sz="4" w:space="0" w:color="auto"/>
            </w:tcBorders>
          </w:tcPr>
          <w:p w:rsidR="00C52CDF" w:rsidRPr="00494DE8" w:rsidRDefault="00C52CDF" w:rsidP="00C52CDF">
            <w:pPr>
              <w:spacing w:before="60" w:after="60"/>
              <w:jc w:val="center"/>
              <w:rPr>
                <w:szCs w:val="22"/>
              </w:rPr>
            </w:pPr>
            <w:r w:rsidRPr="00494DE8">
              <w:rPr>
                <w:szCs w:val="22"/>
              </w:rPr>
              <w:t>30%</w:t>
            </w:r>
          </w:p>
        </w:tc>
      </w:tr>
      <w:tr w:rsidR="00C52CDF" w:rsidRPr="00494DE8" w:rsidTr="00C52CDF">
        <w:tc>
          <w:tcPr>
            <w:tcW w:w="8408" w:type="dxa"/>
            <w:gridSpan w:val="3"/>
            <w:vAlign w:val="center"/>
          </w:tcPr>
          <w:p w:rsidR="00C52CDF" w:rsidRPr="00494DE8" w:rsidRDefault="00C52CDF" w:rsidP="00C52CDF">
            <w:pPr>
              <w:spacing w:before="60" w:after="60"/>
              <w:rPr>
                <w:szCs w:val="22"/>
              </w:rPr>
            </w:pPr>
            <w:r w:rsidRPr="00494DE8">
              <w:rPr>
                <w:szCs w:val="22"/>
              </w:rPr>
              <w:t>Predicted scenario has a medium to high level of confidence, and a low to medium level of complexity.</w:t>
            </w:r>
          </w:p>
        </w:tc>
      </w:tr>
      <w:tr w:rsidR="00C52CDF" w:rsidRPr="00494DE8" w:rsidTr="00C52CDF">
        <w:tc>
          <w:tcPr>
            <w:tcW w:w="8408" w:type="dxa"/>
            <w:gridSpan w:val="3"/>
            <w:vAlign w:val="center"/>
          </w:tcPr>
          <w:p w:rsidR="00C52CDF" w:rsidRPr="00494DE8" w:rsidRDefault="00C52CDF" w:rsidP="002A11E1">
            <w:pPr>
              <w:spacing w:after="60"/>
              <w:rPr>
                <w:b/>
                <w:szCs w:val="22"/>
              </w:rPr>
            </w:pPr>
            <w:r w:rsidRPr="00494DE8">
              <w:rPr>
                <w:b/>
                <w:szCs w:val="22"/>
              </w:rPr>
              <w:t>Medium AC: Split systems incl. Wall hung; Ducted and VRV, and RT packaged</w:t>
            </w:r>
          </w:p>
        </w:tc>
      </w:tr>
      <w:tr w:rsidR="00494DE8" w:rsidRPr="00494DE8" w:rsidTr="00C52CDF">
        <w:tc>
          <w:tcPr>
            <w:tcW w:w="1370" w:type="dxa"/>
          </w:tcPr>
          <w:p w:rsidR="00494DE8" w:rsidRPr="00494DE8" w:rsidRDefault="00494DE8" w:rsidP="00C52CDF">
            <w:pPr>
              <w:spacing w:before="60" w:after="60"/>
              <w:rPr>
                <w:szCs w:val="22"/>
              </w:rPr>
            </w:pPr>
            <w:r w:rsidRPr="00494DE8">
              <w:rPr>
                <w:szCs w:val="22"/>
              </w:rPr>
              <w:t>HFC-410A</w:t>
            </w:r>
          </w:p>
        </w:tc>
        <w:tc>
          <w:tcPr>
            <w:tcW w:w="3285" w:type="dxa"/>
            <w:tcBorders>
              <w:top w:val="single" w:sz="4" w:space="0" w:color="auto"/>
            </w:tcBorders>
          </w:tcPr>
          <w:p w:rsidR="00494DE8" w:rsidRPr="00494DE8" w:rsidRDefault="002A19F1" w:rsidP="00C52CDF">
            <w:pPr>
              <w:spacing w:before="60" w:after="60"/>
              <w:jc w:val="center"/>
              <w:rPr>
                <w:szCs w:val="22"/>
              </w:rPr>
            </w:pPr>
            <w:r>
              <w:rPr>
                <w:szCs w:val="22"/>
              </w:rPr>
              <w:t>5</w:t>
            </w:r>
            <w:r w:rsidR="00494DE8" w:rsidRPr="00494DE8">
              <w:rPr>
                <w:szCs w:val="22"/>
              </w:rPr>
              <w:t>9%</w:t>
            </w:r>
          </w:p>
        </w:tc>
        <w:tc>
          <w:tcPr>
            <w:tcW w:w="3753" w:type="dxa"/>
            <w:tcBorders>
              <w:top w:val="single" w:sz="4" w:space="0" w:color="auto"/>
            </w:tcBorders>
          </w:tcPr>
          <w:p w:rsidR="00494DE8" w:rsidRPr="00494DE8" w:rsidRDefault="00494DE8" w:rsidP="00C52CDF">
            <w:pPr>
              <w:spacing w:before="60" w:after="60"/>
              <w:jc w:val="center"/>
              <w:rPr>
                <w:szCs w:val="22"/>
              </w:rPr>
            </w:pPr>
            <w:r w:rsidRPr="00494DE8">
              <w:rPr>
                <w:szCs w:val="22"/>
              </w:rPr>
              <w:t>0%</w:t>
            </w:r>
          </w:p>
        </w:tc>
      </w:tr>
      <w:tr w:rsidR="00494DE8" w:rsidRPr="00494DE8" w:rsidTr="00C52CDF">
        <w:tc>
          <w:tcPr>
            <w:tcW w:w="1370" w:type="dxa"/>
          </w:tcPr>
          <w:p w:rsidR="00494DE8" w:rsidRPr="00494DE8" w:rsidRDefault="00494DE8" w:rsidP="00C52CDF">
            <w:pPr>
              <w:spacing w:before="60" w:after="60"/>
              <w:rPr>
                <w:szCs w:val="22"/>
              </w:rPr>
            </w:pPr>
            <w:r w:rsidRPr="00494DE8">
              <w:rPr>
                <w:szCs w:val="22"/>
              </w:rPr>
              <w:t>HFC-32</w:t>
            </w:r>
          </w:p>
        </w:tc>
        <w:tc>
          <w:tcPr>
            <w:tcW w:w="3285" w:type="dxa"/>
            <w:tcBorders>
              <w:top w:val="single" w:sz="4" w:space="0" w:color="auto"/>
            </w:tcBorders>
          </w:tcPr>
          <w:p w:rsidR="00494DE8" w:rsidRPr="00494DE8" w:rsidRDefault="002A19F1" w:rsidP="00C52CDF">
            <w:pPr>
              <w:spacing w:before="60" w:after="60"/>
              <w:jc w:val="center"/>
              <w:rPr>
                <w:szCs w:val="22"/>
              </w:rPr>
            </w:pPr>
            <w:r>
              <w:rPr>
                <w:szCs w:val="22"/>
              </w:rPr>
              <w:t>3</w:t>
            </w:r>
            <w:r w:rsidR="00494DE8" w:rsidRPr="00494DE8">
              <w:rPr>
                <w:szCs w:val="22"/>
              </w:rPr>
              <w:t>0%</w:t>
            </w:r>
          </w:p>
        </w:tc>
        <w:tc>
          <w:tcPr>
            <w:tcW w:w="3753" w:type="dxa"/>
            <w:tcBorders>
              <w:top w:val="single" w:sz="4" w:space="0" w:color="auto"/>
            </w:tcBorders>
          </w:tcPr>
          <w:p w:rsidR="00494DE8" w:rsidRPr="00494DE8" w:rsidRDefault="00494DE8" w:rsidP="00C52CDF">
            <w:pPr>
              <w:spacing w:before="60" w:after="60"/>
              <w:jc w:val="center"/>
              <w:rPr>
                <w:szCs w:val="22"/>
              </w:rPr>
            </w:pPr>
            <w:r w:rsidRPr="00494DE8">
              <w:rPr>
                <w:szCs w:val="22"/>
              </w:rPr>
              <w:t>70%</w:t>
            </w:r>
          </w:p>
        </w:tc>
      </w:tr>
      <w:tr w:rsidR="00494DE8" w:rsidRPr="00494DE8" w:rsidTr="00C52CDF">
        <w:tc>
          <w:tcPr>
            <w:tcW w:w="1370" w:type="dxa"/>
          </w:tcPr>
          <w:p w:rsidR="00494DE8" w:rsidRPr="00494DE8" w:rsidRDefault="00494DE8" w:rsidP="00C52CDF">
            <w:pPr>
              <w:spacing w:before="60" w:after="60"/>
              <w:rPr>
                <w:szCs w:val="22"/>
              </w:rPr>
            </w:pPr>
            <w:r w:rsidRPr="00494DE8">
              <w:rPr>
                <w:szCs w:val="22"/>
              </w:rPr>
              <w:t>GWP &lt;1000</w:t>
            </w:r>
          </w:p>
        </w:tc>
        <w:tc>
          <w:tcPr>
            <w:tcW w:w="3285" w:type="dxa"/>
            <w:tcBorders>
              <w:top w:val="single" w:sz="4" w:space="0" w:color="auto"/>
            </w:tcBorders>
          </w:tcPr>
          <w:p w:rsidR="00494DE8" w:rsidRPr="00494DE8" w:rsidRDefault="00494DE8" w:rsidP="00C52CDF">
            <w:pPr>
              <w:spacing w:before="60" w:after="60"/>
              <w:jc w:val="center"/>
              <w:rPr>
                <w:szCs w:val="22"/>
              </w:rPr>
            </w:pPr>
            <w:r w:rsidRPr="00494DE8">
              <w:rPr>
                <w:szCs w:val="22"/>
              </w:rPr>
              <w:t>10%</w:t>
            </w:r>
          </w:p>
        </w:tc>
        <w:tc>
          <w:tcPr>
            <w:tcW w:w="3753" w:type="dxa"/>
            <w:tcBorders>
              <w:top w:val="single" w:sz="4" w:space="0" w:color="auto"/>
            </w:tcBorders>
          </w:tcPr>
          <w:p w:rsidR="00494DE8" w:rsidRPr="00494DE8" w:rsidRDefault="00494DE8" w:rsidP="00C52CDF">
            <w:pPr>
              <w:spacing w:before="60" w:after="60"/>
              <w:jc w:val="center"/>
              <w:rPr>
                <w:szCs w:val="22"/>
              </w:rPr>
            </w:pPr>
            <w:r w:rsidRPr="00494DE8">
              <w:rPr>
                <w:szCs w:val="22"/>
              </w:rPr>
              <w:t>25%</w:t>
            </w:r>
          </w:p>
        </w:tc>
      </w:tr>
      <w:tr w:rsidR="00494DE8" w:rsidRPr="00494DE8" w:rsidTr="00C52CDF">
        <w:tc>
          <w:tcPr>
            <w:tcW w:w="1370" w:type="dxa"/>
          </w:tcPr>
          <w:p w:rsidR="00494DE8" w:rsidRPr="00494DE8" w:rsidRDefault="00494DE8" w:rsidP="00C52CDF">
            <w:pPr>
              <w:spacing w:before="60" w:after="60"/>
              <w:rPr>
                <w:szCs w:val="22"/>
              </w:rPr>
            </w:pPr>
            <w:r w:rsidRPr="00494DE8">
              <w:rPr>
                <w:szCs w:val="22"/>
              </w:rPr>
              <w:t>GWP &lt;10</w:t>
            </w:r>
          </w:p>
        </w:tc>
        <w:tc>
          <w:tcPr>
            <w:tcW w:w="3285" w:type="dxa"/>
            <w:tcBorders>
              <w:top w:val="single" w:sz="4" w:space="0" w:color="auto"/>
            </w:tcBorders>
          </w:tcPr>
          <w:p w:rsidR="00494DE8" w:rsidRPr="00494DE8" w:rsidRDefault="00494DE8" w:rsidP="00C52CDF">
            <w:pPr>
              <w:spacing w:before="60" w:after="60"/>
              <w:jc w:val="center"/>
              <w:rPr>
                <w:szCs w:val="22"/>
              </w:rPr>
            </w:pPr>
            <w:r w:rsidRPr="00494DE8">
              <w:rPr>
                <w:szCs w:val="22"/>
              </w:rPr>
              <w:t>1%</w:t>
            </w:r>
          </w:p>
        </w:tc>
        <w:tc>
          <w:tcPr>
            <w:tcW w:w="3753" w:type="dxa"/>
            <w:tcBorders>
              <w:top w:val="single" w:sz="4" w:space="0" w:color="auto"/>
            </w:tcBorders>
          </w:tcPr>
          <w:p w:rsidR="00494DE8" w:rsidRPr="00494DE8" w:rsidRDefault="00494DE8" w:rsidP="00C52CDF">
            <w:pPr>
              <w:spacing w:before="60" w:after="60"/>
              <w:jc w:val="center"/>
              <w:rPr>
                <w:szCs w:val="22"/>
              </w:rPr>
            </w:pPr>
            <w:r w:rsidRPr="00494DE8">
              <w:rPr>
                <w:szCs w:val="22"/>
              </w:rPr>
              <w:t>5%</w:t>
            </w:r>
          </w:p>
        </w:tc>
      </w:tr>
      <w:tr w:rsidR="00C52CDF" w:rsidRPr="00494DE8" w:rsidTr="00C52CDF">
        <w:tc>
          <w:tcPr>
            <w:tcW w:w="8408" w:type="dxa"/>
            <w:gridSpan w:val="3"/>
          </w:tcPr>
          <w:p w:rsidR="00C52CDF" w:rsidRPr="00494DE8" w:rsidRDefault="00C52CDF" w:rsidP="00C52CDF">
            <w:pPr>
              <w:spacing w:before="60" w:after="60"/>
              <w:rPr>
                <w:szCs w:val="22"/>
                <w:highlight w:val="yellow"/>
              </w:rPr>
            </w:pPr>
            <w:r w:rsidRPr="00494DE8">
              <w:rPr>
                <w:szCs w:val="22"/>
              </w:rPr>
              <w:t>Predicted scenario has a medium level of confidence, and a medium level of complexity.</w:t>
            </w:r>
          </w:p>
        </w:tc>
      </w:tr>
      <w:tr w:rsidR="00C52CDF" w:rsidRPr="00494DE8" w:rsidTr="00C52CDF">
        <w:tc>
          <w:tcPr>
            <w:tcW w:w="8408" w:type="dxa"/>
            <w:gridSpan w:val="3"/>
          </w:tcPr>
          <w:p w:rsidR="00C52CDF" w:rsidRPr="00494DE8" w:rsidRDefault="00C52CDF" w:rsidP="002A11E1">
            <w:pPr>
              <w:spacing w:after="60"/>
              <w:rPr>
                <w:szCs w:val="22"/>
                <w:highlight w:val="yellow"/>
              </w:rPr>
            </w:pPr>
            <w:r w:rsidRPr="00494DE8">
              <w:rPr>
                <w:b/>
                <w:szCs w:val="22"/>
              </w:rPr>
              <w:t xml:space="preserve">Large </w:t>
            </w:r>
            <w:r w:rsidR="00494DE8" w:rsidRPr="00494DE8">
              <w:rPr>
                <w:b/>
                <w:szCs w:val="22"/>
              </w:rPr>
              <w:t>AC</w:t>
            </w:r>
            <w:r w:rsidRPr="00494DE8">
              <w:rPr>
                <w:b/>
                <w:szCs w:val="22"/>
              </w:rPr>
              <w:t xml:space="preserve">: </w:t>
            </w:r>
            <w:r w:rsidR="00494DE8" w:rsidRPr="00494DE8">
              <w:rPr>
                <w:b/>
                <w:szCs w:val="22"/>
              </w:rPr>
              <w:t>Space chillers</w:t>
            </w:r>
          </w:p>
        </w:tc>
      </w:tr>
      <w:tr w:rsidR="00494DE8" w:rsidRPr="00494DE8" w:rsidTr="00C52CDF">
        <w:tc>
          <w:tcPr>
            <w:tcW w:w="1370" w:type="dxa"/>
          </w:tcPr>
          <w:p w:rsidR="00494DE8" w:rsidRPr="00494DE8" w:rsidRDefault="00494DE8" w:rsidP="00C52CDF">
            <w:pPr>
              <w:spacing w:before="60" w:after="60"/>
              <w:rPr>
                <w:szCs w:val="22"/>
              </w:rPr>
            </w:pPr>
            <w:r w:rsidRPr="00494DE8">
              <w:rPr>
                <w:szCs w:val="22"/>
              </w:rPr>
              <w:t>HFC-134a</w:t>
            </w:r>
          </w:p>
        </w:tc>
        <w:tc>
          <w:tcPr>
            <w:tcW w:w="3285" w:type="dxa"/>
            <w:tcBorders>
              <w:top w:val="single" w:sz="4" w:space="0" w:color="auto"/>
            </w:tcBorders>
          </w:tcPr>
          <w:p w:rsidR="00494DE8" w:rsidRPr="00494DE8" w:rsidRDefault="00494DE8" w:rsidP="00C52CDF">
            <w:pPr>
              <w:spacing w:before="60" w:after="60"/>
              <w:jc w:val="center"/>
              <w:rPr>
                <w:szCs w:val="22"/>
                <w:highlight w:val="yellow"/>
              </w:rPr>
            </w:pPr>
            <w:r w:rsidRPr="00494DE8">
              <w:rPr>
                <w:szCs w:val="22"/>
              </w:rPr>
              <w:t>55%</w:t>
            </w:r>
          </w:p>
        </w:tc>
        <w:tc>
          <w:tcPr>
            <w:tcW w:w="3753" w:type="dxa"/>
            <w:tcBorders>
              <w:top w:val="single" w:sz="4" w:space="0" w:color="auto"/>
            </w:tcBorders>
          </w:tcPr>
          <w:p w:rsidR="00494DE8" w:rsidRPr="00494DE8" w:rsidRDefault="00494DE8" w:rsidP="00C52CDF">
            <w:pPr>
              <w:spacing w:before="60" w:after="60"/>
              <w:jc w:val="center"/>
              <w:rPr>
                <w:szCs w:val="22"/>
                <w:highlight w:val="yellow"/>
              </w:rPr>
            </w:pPr>
            <w:r w:rsidRPr="00494DE8">
              <w:rPr>
                <w:szCs w:val="22"/>
              </w:rPr>
              <w:t>0%</w:t>
            </w:r>
          </w:p>
        </w:tc>
      </w:tr>
      <w:tr w:rsidR="00494DE8" w:rsidRPr="00494DE8" w:rsidTr="00C52CDF">
        <w:tc>
          <w:tcPr>
            <w:tcW w:w="1370" w:type="dxa"/>
          </w:tcPr>
          <w:p w:rsidR="00494DE8" w:rsidRPr="00494DE8" w:rsidRDefault="00494DE8" w:rsidP="00C52CDF">
            <w:pPr>
              <w:spacing w:before="60" w:after="60"/>
              <w:rPr>
                <w:szCs w:val="22"/>
              </w:rPr>
            </w:pPr>
            <w:r w:rsidRPr="00494DE8">
              <w:rPr>
                <w:szCs w:val="22"/>
              </w:rPr>
              <w:t>HFC-410A</w:t>
            </w:r>
          </w:p>
        </w:tc>
        <w:tc>
          <w:tcPr>
            <w:tcW w:w="3285" w:type="dxa"/>
            <w:tcBorders>
              <w:top w:val="single" w:sz="4" w:space="0" w:color="auto"/>
            </w:tcBorders>
          </w:tcPr>
          <w:p w:rsidR="00494DE8" w:rsidRPr="00494DE8" w:rsidRDefault="00494DE8" w:rsidP="00C52CDF">
            <w:pPr>
              <w:spacing w:before="60" w:after="60"/>
              <w:jc w:val="center"/>
              <w:rPr>
                <w:szCs w:val="22"/>
                <w:highlight w:val="yellow"/>
              </w:rPr>
            </w:pPr>
            <w:r w:rsidRPr="00494DE8">
              <w:rPr>
                <w:szCs w:val="22"/>
              </w:rPr>
              <w:t>5%</w:t>
            </w:r>
          </w:p>
        </w:tc>
        <w:tc>
          <w:tcPr>
            <w:tcW w:w="3753" w:type="dxa"/>
            <w:tcBorders>
              <w:top w:val="single" w:sz="4" w:space="0" w:color="auto"/>
            </w:tcBorders>
          </w:tcPr>
          <w:p w:rsidR="00494DE8" w:rsidRPr="00494DE8" w:rsidRDefault="00494DE8" w:rsidP="00C52CDF">
            <w:pPr>
              <w:spacing w:before="60" w:after="60"/>
              <w:jc w:val="center"/>
              <w:rPr>
                <w:szCs w:val="22"/>
                <w:highlight w:val="yellow"/>
              </w:rPr>
            </w:pPr>
            <w:r w:rsidRPr="00494DE8">
              <w:rPr>
                <w:szCs w:val="22"/>
              </w:rPr>
              <w:t>0%</w:t>
            </w:r>
          </w:p>
        </w:tc>
      </w:tr>
      <w:tr w:rsidR="00494DE8" w:rsidRPr="00494DE8" w:rsidTr="00C52CDF">
        <w:tc>
          <w:tcPr>
            <w:tcW w:w="1370" w:type="dxa"/>
          </w:tcPr>
          <w:p w:rsidR="00494DE8" w:rsidRPr="00494DE8" w:rsidRDefault="00494DE8" w:rsidP="00C52CDF">
            <w:pPr>
              <w:spacing w:before="60" w:after="60"/>
              <w:rPr>
                <w:szCs w:val="22"/>
              </w:rPr>
            </w:pPr>
            <w:r w:rsidRPr="00494DE8">
              <w:rPr>
                <w:szCs w:val="22"/>
              </w:rPr>
              <w:t>HFC-32</w:t>
            </w:r>
          </w:p>
        </w:tc>
        <w:tc>
          <w:tcPr>
            <w:tcW w:w="3285" w:type="dxa"/>
            <w:tcBorders>
              <w:top w:val="single" w:sz="4" w:space="0" w:color="auto"/>
            </w:tcBorders>
          </w:tcPr>
          <w:p w:rsidR="00494DE8" w:rsidRPr="00494DE8" w:rsidRDefault="00494DE8" w:rsidP="00C52CDF">
            <w:pPr>
              <w:spacing w:before="60" w:after="60"/>
              <w:jc w:val="center"/>
              <w:rPr>
                <w:szCs w:val="22"/>
                <w:highlight w:val="yellow"/>
              </w:rPr>
            </w:pPr>
            <w:r w:rsidRPr="00494DE8">
              <w:rPr>
                <w:szCs w:val="22"/>
              </w:rPr>
              <w:t>10%</w:t>
            </w:r>
          </w:p>
        </w:tc>
        <w:tc>
          <w:tcPr>
            <w:tcW w:w="3753" w:type="dxa"/>
            <w:tcBorders>
              <w:top w:val="single" w:sz="4" w:space="0" w:color="auto"/>
            </w:tcBorders>
          </w:tcPr>
          <w:p w:rsidR="00494DE8" w:rsidRPr="00494DE8" w:rsidRDefault="00494DE8" w:rsidP="00C52CDF">
            <w:pPr>
              <w:spacing w:before="60" w:after="60"/>
              <w:jc w:val="center"/>
              <w:rPr>
                <w:szCs w:val="22"/>
                <w:highlight w:val="yellow"/>
              </w:rPr>
            </w:pPr>
            <w:r w:rsidRPr="00494DE8">
              <w:rPr>
                <w:szCs w:val="22"/>
              </w:rPr>
              <w:t>10%</w:t>
            </w:r>
          </w:p>
        </w:tc>
      </w:tr>
      <w:tr w:rsidR="00494DE8" w:rsidRPr="00494DE8" w:rsidTr="00C52CDF">
        <w:tc>
          <w:tcPr>
            <w:tcW w:w="1370" w:type="dxa"/>
          </w:tcPr>
          <w:p w:rsidR="00494DE8" w:rsidRPr="00494DE8" w:rsidRDefault="00494DE8" w:rsidP="00C52CDF">
            <w:pPr>
              <w:spacing w:before="60" w:after="60"/>
              <w:rPr>
                <w:szCs w:val="22"/>
              </w:rPr>
            </w:pPr>
            <w:r w:rsidRPr="00494DE8">
              <w:rPr>
                <w:szCs w:val="22"/>
              </w:rPr>
              <w:t>GWP &lt;1000</w:t>
            </w:r>
          </w:p>
        </w:tc>
        <w:tc>
          <w:tcPr>
            <w:tcW w:w="3285" w:type="dxa"/>
            <w:tcBorders>
              <w:top w:val="single" w:sz="4" w:space="0" w:color="auto"/>
            </w:tcBorders>
          </w:tcPr>
          <w:p w:rsidR="00494DE8" w:rsidRPr="00494DE8" w:rsidRDefault="00494DE8" w:rsidP="00C52CDF">
            <w:pPr>
              <w:spacing w:before="60" w:after="60"/>
              <w:jc w:val="center"/>
              <w:rPr>
                <w:szCs w:val="22"/>
                <w:highlight w:val="yellow"/>
              </w:rPr>
            </w:pPr>
            <w:r w:rsidRPr="00494DE8">
              <w:rPr>
                <w:szCs w:val="22"/>
              </w:rPr>
              <w:t>10%</w:t>
            </w:r>
          </w:p>
        </w:tc>
        <w:tc>
          <w:tcPr>
            <w:tcW w:w="3753" w:type="dxa"/>
            <w:tcBorders>
              <w:top w:val="single" w:sz="4" w:space="0" w:color="auto"/>
            </w:tcBorders>
          </w:tcPr>
          <w:p w:rsidR="00494DE8" w:rsidRPr="00494DE8" w:rsidRDefault="00C221BB" w:rsidP="00C52CDF">
            <w:pPr>
              <w:spacing w:before="60" w:after="60"/>
              <w:jc w:val="center"/>
              <w:rPr>
                <w:szCs w:val="22"/>
                <w:highlight w:val="yellow"/>
              </w:rPr>
            </w:pPr>
            <w:r>
              <w:rPr>
                <w:szCs w:val="22"/>
              </w:rPr>
              <w:t>28</w:t>
            </w:r>
            <w:r w:rsidR="00494DE8" w:rsidRPr="00494DE8">
              <w:rPr>
                <w:szCs w:val="22"/>
              </w:rPr>
              <w:t>%</w:t>
            </w:r>
          </w:p>
        </w:tc>
      </w:tr>
      <w:tr w:rsidR="00494DE8" w:rsidRPr="00494DE8" w:rsidTr="00C52CDF">
        <w:tc>
          <w:tcPr>
            <w:tcW w:w="1370" w:type="dxa"/>
          </w:tcPr>
          <w:p w:rsidR="00494DE8" w:rsidRPr="00494DE8" w:rsidRDefault="00494DE8" w:rsidP="00C52CDF">
            <w:pPr>
              <w:spacing w:before="60" w:after="60"/>
              <w:rPr>
                <w:szCs w:val="22"/>
              </w:rPr>
            </w:pPr>
            <w:r w:rsidRPr="00494DE8">
              <w:rPr>
                <w:szCs w:val="22"/>
              </w:rPr>
              <w:t>GWP &lt;10</w:t>
            </w:r>
          </w:p>
        </w:tc>
        <w:tc>
          <w:tcPr>
            <w:tcW w:w="3285" w:type="dxa"/>
            <w:tcBorders>
              <w:top w:val="single" w:sz="4" w:space="0" w:color="auto"/>
            </w:tcBorders>
          </w:tcPr>
          <w:p w:rsidR="00494DE8" w:rsidRPr="00494DE8" w:rsidRDefault="00494DE8" w:rsidP="00C52CDF">
            <w:pPr>
              <w:spacing w:before="60" w:after="60"/>
              <w:jc w:val="center"/>
              <w:rPr>
                <w:szCs w:val="22"/>
              </w:rPr>
            </w:pPr>
            <w:r w:rsidRPr="00494DE8">
              <w:rPr>
                <w:szCs w:val="22"/>
              </w:rPr>
              <w:t>20%</w:t>
            </w:r>
          </w:p>
        </w:tc>
        <w:tc>
          <w:tcPr>
            <w:tcW w:w="3753" w:type="dxa"/>
            <w:tcBorders>
              <w:top w:val="single" w:sz="4" w:space="0" w:color="auto"/>
            </w:tcBorders>
          </w:tcPr>
          <w:p w:rsidR="00494DE8" w:rsidRPr="00494DE8" w:rsidRDefault="00C221BB" w:rsidP="00C52CDF">
            <w:pPr>
              <w:spacing w:before="60" w:after="60"/>
              <w:jc w:val="center"/>
              <w:rPr>
                <w:szCs w:val="22"/>
              </w:rPr>
            </w:pPr>
            <w:r>
              <w:rPr>
                <w:szCs w:val="22"/>
              </w:rPr>
              <w:t>62</w:t>
            </w:r>
            <w:r w:rsidR="00494DE8" w:rsidRPr="00494DE8">
              <w:rPr>
                <w:szCs w:val="22"/>
              </w:rPr>
              <w:t>%</w:t>
            </w:r>
          </w:p>
        </w:tc>
      </w:tr>
      <w:tr w:rsidR="00C52CDF" w:rsidRPr="00494DE8" w:rsidTr="00C52CDF">
        <w:tc>
          <w:tcPr>
            <w:tcW w:w="8408" w:type="dxa"/>
            <w:gridSpan w:val="3"/>
          </w:tcPr>
          <w:p w:rsidR="00C52CDF" w:rsidRPr="00494DE8" w:rsidRDefault="00494DE8" w:rsidP="00C52CDF">
            <w:pPr>
              <w:spacing w:before="60" w:after="60"/>
              <w:rPr>
                <w:szCs w:val="22"/>
              </w:rPr>
            </w:pPr>
            <w:r w:rsidRPr="00494DE8">
              <w:rPr>
                <w:szCs w:val="22"/>
              </w:rPr>
              <w:t>Predicted scenario has a medium level of confidence, and a medium level of complexity.</w:t>
            </w:r>
          </w:p>
        </w:tc>
      </w:tr>
    </w:tbl>
    <w:p w:rsidR="0034186A" w:rsidRDefault="0034186A" w:rsidP="0034186A"/>
    <w:p w:rsidR="00E83F53" w:rsidRDefault="00E83F53" w:rsidP="0034186A"/>
    <w:p w:rsidR="00E83F53" w:rsidRDefault="00E83F53">
      <w:pPr>
        <w:spacing w:before="0"/>
        <w:jc w:val="left"/>
        <w:rPr>
          <w:rFonts w:ascii="Calibri" w:eastAsia="Times New Roman" w:hAnsi="Calibri" w:cs="Times New Roman"/>
          <w:b/>
          <w:bCs/>
          <w:kern w:val="32"/>
          <w:sz w:val="32"/>
          <w:szCs w:val="32"/>
          <w:lang w:val="en-US"/>
        </w:rPr>
      </w:pPr>
      <w:r>
        <w:br w:type="page"/>
      </w:r>
    </w:p>
    <w:p w:rsidR="003D5856" w:rsidRDefault="003D5856" w:rsidP="00C73C6A">
      <w:pPr>
        <w:pStyle w:val="Heading1"/>
        <w:ind w:left="432"/>
      </w:pPr>
      <w:bookmarkStart w:id="69" w:name="_Toc257359960"/>
      <w:r>
        <w:t>Mobile air conditioning</w:t>
      </w:r>
      <w:bookmarkEnd w:id="69"/>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39"/>
      </w:tblGrid>
      <w:tr w:rsidR="00E83F53" w:rsidRPr="00062E29" w:rsidTr="00E83F53">
        <w:tc>
          <w:tcPr>
            <w:tcW w:w="9639" w:type="dxa"/>
            <w:vAlign w:val="center"/>
          </w:tcPr>
          <w:p w:rsidR="00E83F53" w:rsidRPr="00062E29" w:rsidRDefault="0006334F" w:rsidP="0006334F">
            <w:pPr>
              <w:spacing w:after="120"/>
              <w:jc w:val="center"/>
              <w:rPr>
                <w:rFonts w:cs="Times New Roman"/>
                <w:b/>
              </w:rPr>
            </w:pPr>
            <w:r>
              <w:rPr>
                <w:rFonts w:cs="Times New Roman"/>
                <w:b/>
              </w:rPr>
              <w:br w:type="page"/>
              <w:t>2013 bank and consumption (tonnes)</w:t>
            </w:r>
          </w:p>
        </w:tc>
      </w:tr>
      <w:tr w:rsidR="00E83F53" w:rsidRPr="0006334F" w:rsidTr="00E83F53">
        <w:tc>
          <w:tcPr>
            <w:tcW w:w="9639" w:type="dxa"/>
            <w:vAlign w:val="center"/>
          </w:tcPr>
          <w:p w:rsidR="00477C2A" w:rsidRDefault="00477C2A" w:rsidP="0006334F">
            <w:pPr>
              <w:spacing w:before="0"/>
              <w:jc w:val="center"/>
              <w:rPr>
                <w:rFonts w:cs="Times New Roman"/>
                <w:sz w:val="16"/>
                <w:szCs w:val="16"/>
              </w:rPr>
            </w:pPr>
          </w:p>
          <w:p w:rsidR="0006334F" w:rsidRDefault="003B1471" w:rsidP="0006334F">
            <w:pPr>
              <w:spacing w:before="0"/>
              <w:jc w:val="center"/>
              <w:rPr>
                <w:rFonts w:cs="Times New Roman"/>
                <w:sz w:val="16"/>
                <w:szCs w:val="16"/>
              </w:rPr>
            </w:pPr>
            <w:r>
              <w:rPr>
                <w:noProof/>
                <w:lang w:val="en-AU" w:eastAsia="en-AU"/>
              </w:rPr>
              <w:drawing>
                <wp:inline distT="0" distB="0" distL="0" distR="0">
                  <wp:extent cx="5866977" cy="2703195"/>
                  <wp:effectExtent l="0" t="0" r="635"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06334F" w:rsidRPr="0006334F" w:rsidRDefault="0006334F" w:rsidP="0006334F">
            <w:pPr>
              <w:spacing w:before="0"/>
              <w:jc w:val="center"/>
              <w:rPr>
                <w:rFonts w:cs="Times New Roman"/>
                <w:sz w:val="16"/>
                <w:szCs w:val="16"/>
              </w:rPr>
            </w:pPr>
          </w:p>
        </w:tc>
      </w:tr>
      <w:tr w:rsidR="00E83F53" w:rsidRPr="00062E29" w:rsidTr="00E83F53">
        <w:tc>
          <w:tcPr>
            <w:tcW w:w="9639" w:type="dxa"/>
            <w:vAlign w:val="center"/>
          </w:tcPr>
          <w:p w:rsidR="00E83F53" w:rsidRPr="00062E29" w:rsidRDefault="008763B4" w:rsidP="008763B4">
            <w:pPr>
              <w:spacing w:before="60" w:after="60"/>
              <w:rPr>
                <w:rFonts w:cs="Times New Roman"/>
              </w:rPr>
            </w:pPr>
            <w:bookmarkStart w:id="70" w:name="_Toc257360000"/>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32</w:t>
            </w:r>
            <w:r w:rsidR="00B41499" w:rsidRPr="00F4221A">
              <w:rPr>
                <w:rFonts w:cs="Times New Roman"/>
                <w:i/>
                <w:sz w:val="20"/>
              </w:rPr>
              <w:fldChar w:fldCharType="end"/>
            </w:r>
            <w:r w:rsidRPr="00F4221A">
              <w:rPr>
                <w:rFonts w:cs="Times New Roman"/>
                <w:i/>
                <w:sz w:val="20"/>
              </w:rPr>
              <w:t>:</w:t>
            </w:r>
            <w:r w:rsidRPr="0045125B">
              <w:rPr>
                <w:i/>
                <w:sz w:val="20"/>
              </w:rPr>
              <w:t xml:space="preserve"> </w:t>
            </w:r>
            <w:r w:rsidR="00E83F53" w:rsidRPr="00062E29">
              <w:rPr>
                <w:rFonts w:cs="Times New Roman"/>
                <w:i/>
                <w:sz w:val="20"/>
              </w:rPr>
              <w:t>Mobile air conditioning refrigerant bank and consumption in 2013 in tonnes.</w:t>
            </w:r>
            <w:bookmarkEnd w:id="70"/>
          </w:p>
        </w:tc>
      </w:tr>
    </w:tbl>
    <w:p w:rsidR="00E83F53" w:rsidRPr="00062E29" w:rsidRDefault="00E83F53" w:rsidP="00E83F53">
      <w:pPr>
        <w:spacing w:before="240" w:after="120"/>
        <w:rPr>
          <w:rFonts w:cs="Times New Roman"/>
          <w:b/>
          <w:szCs w:val="22"/>
        </w:rPr>
      </w:pPr>
      <w:r w:rsidRPr="00062E29">
        <w:rPr>
          <w:rFonts w:cs="Times New Roman"/>
          <w:b/>
          <w:szCs w:val="22"/>
        </w:rPr>
        <w:t>The bank and annual consumption</w:t>
      </w:r>
    </w:p>
    <w:p w:rsidR="00477C2A" w:rsidRPr="00477C2A" w:rsidRDefault="00477C2A" w:rsidP="00477C2A">
      <w:pPr>
        <w:rPr>
          <w:rFonts w:cs="Times New Roman"/>
        </w:rPr>
      </w:pPr>
      <w:r w:rsidRPr="00477C2A">
        <w:rPr>
          <w:rFonts w:cs="Times New Roman"/>
        </w:rPr>
        <w:t xml:space="preserve">The mobile </w:t>
      </w:r>
      <w:r w:rsidR="0069138E">
        <w:rPr>
          <w:rFonts w:cs="Times New Roman"/>
        </w:rPr>
        <w:t>AC</w:t>
      </w:r>
      <w:r w:rsidRPr="00477C2A">
        <w:rPr>
          <w:rFonts w:cs="Times New Roman"/>
        </w:rPr>
        <w:t xml:space="preserve"> bank of high GWP HFCs is estimated to be </w:t>
      </w:r>
      <w:r w:rsidR="005F1637">
        <w:rPr>
          <w:rFonts w:cs="Times New Roman"/>
        </w:rPr>
        <w:t xml:space="preserve">around </w:t>
      </w:r>
      <w:r w:rsidR="00FE4555" w:rsidRPr="00563E73">
        <w:rPr>
          <w:rFonts w:cs="Times New Roman"/>
        </w:rPr>
        <w:t>9,</w:t>
      </w:r>
      <w:r w:rsidR="005F1637">
        <w:rPr>
          <w:rFonts w:cs="Times New Roman"/>
        </w:rPr>
        <w:t>5</w:t>
      </w:r>
      <w:r w:rsidR="00FE4555" w:rsidRPr="00563E73">
        <w:rPr>
          <w:rFonts w:cs="Times New Roman"/>
        </w:rPr>
        <w:t>00</w:t>
      </w:r>
      <w:r w:rsidRPr="00477C2A">
        <w:rPr>
          <w:rFonts w:cs="Times New Roman"/>
        </w:rPr>
        <w:t xml:space="preserve"> tonnes, equivalent to around </w:t>
      </w:r>
      <w:r w:rsidRPr="00563E73">
        <w:rPr>
          <w:rFonts w:cs="Times New Roman"/>
        </w:rPr>
        <w:t>2</w:t>
      </w:r>
      <w:r w:rsidR="00FE4555" w:rsidRPr="00563E73">
        <w:rPr>
          <w:rFonts w:cs="Times New Roman"/>
        </w:rPr>
        <w:t>1</w:t>
      </w:r>
      <w:r w:rsidRPr="00477C2A">
        <w:rPr>
          <w:rFonts w:cs="Times New Roman"/>
        </w:rPr>
        <w:t>% of the total bank of high GWP HFCs in the stock of RAC equipment in Australia.</w:t>
      </w:r>
    </w:p>
    <w:p w:rsidR="00477C2A" w:rsidRPr="00477C2A" w:rsidRDefault="00E94C27" w:rsidP="00477C2A">
      <w:pPr>
        <w:rPr>
          <w:rFonts w:cs="Times New Roman"/>
        </w:rPr>
      </w:pPr>
      <w:r>
        <w:rPr>
          <w:rFonts w:cs="Times New Roman"/>
        </w:rPr>
        <w:t>It</w:t>
      </w:r>
      <w:r w:rsidR="00477C2A" w:rsidRPr="00477C2A">
        <w:rPr>
          <w:rFonts w:cs="Times New Roman"/>
        </w:rPr>
        <w:t xml:space="preserve"> is estimated </w:t>
      </w:r>
      <w:r>
        <w:rPr>
          <w:rFonts w:cs="Times New Roman"/>
        </w:rPr>
        <w:t xml:space="preserve">that of the </w:t>
      </w:r>
      <w:r w:rsidR="00477C2A" w:rsidRPr="00477C2A">
        <w:rPr>
          <w:rFonts w:cs="Times New Roman"/>
        </w:rPr>
        <w:t>15.7 million registered passenger vehicles and light commercial vehicles</w:t>
      </w:r>
      <w:r>
        <w:rPr>
          <w:rFonts w:cs="Times New Roman"/>
        </w:rPr>
        <w:t xml:space="preserve">, more than </w:t>
      </w:r>
      <w:r w:rsidR="00477C2A" w:rsidRPr="00477C2A">
        <w:rPr>
          <w:rFonts w:cs="Times New Roman"/>
        </w:rPr>
        <w:t>95%</w:t>
      </w:r>
      <w:r>
        <w:rPr>
          <w:rFonts w:cs="Times New Roman"/>
        </w:rPr>
        <w:t xml:space="preserve"> have an air conditioner</w:t>
      </w:r>
      <w:r w:rsidR="00477C2A" w:rsidRPr="00477C2A">
        <w:rPr>
          <w:rFonts w:cs="Times New Roman"/>
        </w:rPr>
        <w:t>, each containing as little as 610</w:t>
      </w:r>
      <w:r>
        <w:rPr>
          <w:rFonts w:cs="Times New Roman"/>
        </w:rPr>
        <w:t xml:space="preserve"> </w:t>
      </w:r>
      <w:r w:rsidR="00436D19">
        <w:rPr>
          <w:rFonts w:cs="Times New Roman"/>
        </w:rPr>
        <w:t>grams</w:t>
      </w:r>
      <w:r>
        <w:rPr>
          <w:rFonts w:cs="Times New Roman"/>
        </w:rPr>
        <w:t xml:space="preserve"> </w:t>
      </w:r>
      <w:r w:rsidR="00477C2A" w:rsidRPr="00477C2A">
        <w:rPr>
          <w:rFonts w:cs="Times New Roman"/>
        </w:rPr>
        <w:t>of gas when fully charged. Other registered vehicles in the fleet include 664,000 rigid, articulated and non-freight trucks, and buses (commuter and larger buses greater than 7 meters in length) (ABS 9309.0 2014).</w:t>
      </w:r>
    </w:p>
    <w:p w:rsidR="00477C2A" w:rsidRPr="00477C2A" w:rsidRDefault="00477C2A" w:rsidP="00477C2A">
      <w:pPr>
        <w:rPr>
          <w:rFonts w:cs="Times New Roman"/>
        </w:rPr>
      </w:pPr>
      <w:r w:rsidRPr="00477C2A">
        <w:rPr>
          <w:rFonts w:cs="Times New Roman"/>
        </w:rPr>
        <w:t xml:space="preserve">Due to the timing of the roll out of mobile </w:t>
      </w:r>
      <w:r w:rsidR="0069138E">
        <w:rPr>
          <w:rFonts w:cs="Times New Roman"/>
        </w:rPr>
        <w:t>AC</w:t>
      </w:r>
      <w:r w:rsidRPr="00477C2A">
        <w:rPr>
          <w:rFonts w:cs="Times New Roman"/>
        </w:rPr>
        <w:t xml:space="preserve"> as a standard feature in passenger vehicles, and later in heavy vehicles and public transport, mobile air conditioning largely skipped the transition from CFCs to HCFC refrigerants in the 1990s. The vast majority of </w:t>
      </w:r>
      <w:r w:rsidR="00DF6B91">
        <w:rPr>
          <w:rFonts w:cs="Times New Roman"/>
        </w:rPr>
        <w:t xml:space="preserve">AC </w:t>
      </w:r>
      <w:r w:rsidRPr="00477C2A">
        <w:rPr>
          <w:rFonts w:cs="Times New Roman"/>
        </w:rPr>
        <w:t xml:space="preserve">mobile equipment was manufactured with HFC-134a, while a smaller population of earlier model vehicles that had </w:t>
      </w:r>
      <w:r w:rsidR="0069138E">
        <w:rPr>
          <w:rFonts w:cs="Times New Roman"/>
        </w:rPr>
        <w:t>AC</w:t>
      </w:r>
      <w:r w:rsidRPr="00477C2A">
        <w:rPr>
          <w:rFonts w:cs="Times New Roman"/>
        </w:rPr>
        <w:t xml:space="preserve"> factory installed, or installed after market, migrated directly from CFCs to HFCs.</w:t>
      </w:r>
    </w:p>
    <w:p w:rsidR="00477C2A" w:rsidRPr="00477C2A" w:rsidRDefault="00477C2A" w:rsidP="00477C2A">
      <w:pPr>
        <w:rPr>
          <w:rFonts w:cs="Times New Roman"/>
        </w:rPr>
      </w:pPr>
      <w:r w:rsidRPr="00477C2A">
        <w:rPr>
          <w:rFonts w:cs="Times New Roman"/>
        </w:rPr>
        <w:t xml:space="preserve">HC-600a (hydrocarbon), while only a small proportion of the total bank, is the second most widely used refrigerant in mobile </w:t>
      </w:r>
      <w:r w:rsidR="0069138E">
        <w:rPr>
          <w:rFonts w:cs="Times New Roman"/>
        </w:rPr>
        <w:t>AC</w:t>
      </w:r>
      <w:r w:rsidRPr="00477C2A">
        <w:rPr>
          <w:rFonts w:cs="Times New Roman"/>
        </w:rPr>
        <w:t xml:space="preserve">, as a result of its use in the service market for second hand vehicles. As this is an ‘after-market’ phenomena, the penetration of hydrocarbons in automotive </w:t>
      </w:r>
      <w:r w:rsidR="00F71692">
        <w:rPr>
          <w:rFonts w:cs="Times New Roman"/>
        </w:rPr>
        <w:t>AC</w:t>
      </w:r>
      <w:r w:rsidRPr="00477C2A">
        <w:rPr>
          <w:rFonts w:cs="Times New Roman"/>
        </w:rPr>
        <w:t xml:space="preserve"> is somewhat uncertain. However industry estimates and anecdotal evidence from service providers indicate</w:t>
      </w:r>
      <w:r w:rsidR="00F71692">
        <w:rPr>
          <w:rFonts w:cs="Times New Roman"/>
        </w:rPr>
        <w:t>s that</w:t>
      </w:r>
      <w:r w:rsidRPr="00477C2A">
        <w:rPr>
          <w:rFonts w:cs="Times New Roman"/>
        </w:rPr>
        <w:t xml:space="preserve"> hydrocarbon is used in as many as 937,000 passenger and light commercial vehicles on road or approximately 6% of vehicles base on a cumulative leak rate of 15% per annum. When the </w:t>
      </w:r>
      <w:r w:rsidR="00635328">
        <w:rPr>
          <w:rFonts w:cs="Times New Roman"/>
        </w:rPr>
        <w:t>hydrocarbon</w:t>
      </w:r>
      <w:r w:rsidRPr="00477C2A">
        <w:rPr>
          <w:rFonts w:cs="Times New Roman"/>
        </w:rPr>
        <w:t xml:space="preserve"> charged fleet is modelled with a cumulative leak rate of 10% per annum, the number of vehicles employing hydrocarbons is estimated at 1,095,000 with or approximately 7%</w:t>
      </w:r>
      <w:r>
        <w:rPr>
          <w:rStyle w:val="FootnoteReference"/>
          <w:rFonts w:cs="Times New Roman"/>
        </w:rPr>
        <w:footnoteReference w:id="11"/>
      </w:r>
      <w:r w:rsidRPr="00477C2A">
        <w:rPr>
          <w:rFonts w:cs="Times New Roman"/>
        </w:rPr>
        <w:t xml:space="preserve"> of the total passenger and light commercial vehicle fleet.</w:t>
      </w:r>
    </w:p>
    <w:p w:rsidR="00477C2A" w:rsidRPr="00477C2A" w:rsidRDefault="00477C2A" w:rsidP="00477C2A">
      <w:pPr>
        <w:rPr>
          <w:rFonts w:cs="Times New Roman"/>
        </w:rPr>
      </w:pPr>
      <w:r w:rsidRPr="00477C2A">
        <w:rPr>
          <w:rFonts w:cs="Times New Roman"/>
        </w:rPr>
        <w:t>Other refrigerants employed in mobile refrigeration applications include HCFC-22</w:t>
      </w:r>
      <w:r w:rsidR="00C8336F">
        <w:rPr>
          <w:rFonts w:cs="Times New Roman"/>
        </w:rPr>
        <w:t xml:space="preserve"> and </w:t>
      </w:r>
      <w:r w:rsidRPr="00477C2A">
        <w:rPr>
          <w:rFonts w:cs="Times New Roman"/>
        </w:rPr>
        <w:t>HFC-407C in large buses greater than 7 meters in length, locomotive, passenger rail and off-road applications. Relatively rarely HFC-124 can be found in extreme ambient applications such as mobile cranes.</w:t>
      </w:r>
      <w:r w:rsidR="00C8336F">
        <w:rPr>
          <w:rFonts w:cs="Times New Roman"/>
        </w:rPr>
        <w:t xml:space="preserve"> Small amounts of HFC-410A is used on </w:t>
      </w:r>
      <w:r w:rsidR="00B34A6C">
        <w:rPr>
          <w:rFonts w:cs="Times New Roman"/>
        </w:rPr>
        <w:t>miscellaneous applications such as luxury vessels and yachts.</w:t>
      </w:r>
    </w:p>
    <w:p w:rsidR="00477C2A" w:rsidRPr="00477C2A" w:rsidRDefault="00477C2A" w:rsidP="00477C2A">
      <w:pPr>
        <w:rPr>
          <w:rFonts w:cs="Times New Roman"/>
        </w:rPr>
      </w:pPr>
      <w:r w:rsidRPr="00477C2A">
        <w:rPr>
          <w:rFonts w:cs="Times New Roman"/>
        </w:rPr>
        <w:t xml:space="preserve">Mobile </w:t>
      </w:r>
      <w:r w:rsidR="0069138E">
        <w:rPr>
          <w:rFonts w:cs="Times New Roman"/>
        </w:rPr>
        <w:t>AC</w:t>
      </w:r>
      <w:r w:rsidRPr="00AF6238">
        <w:rPr>
          <w:rFonts w:cs="Times New Roman"/>
        </w:rPr>
        <w:t xml:space="preserve"> consumed an estimated 1</w:t>
      </w:r>
      <w:r w:rsidR="00FE4555" w:rsidRPr="00AF6238">
        <w:rPr>
          <w:rFonts w:cs="Times New Roman"/>
        </w:rPr>
        <w:t>,2</w:t>
      </w:r>
      <w:r w:rsidR="00AF6238" w:rsidRPr="00AF6238">
        <w:rPr>
          <w:rFonts w:cs="Times New Roman"/>
        </w:rPr>
        <w:t>50</w:t>
      </w:r>
      <w:r w:rsidRPr="00AF6238">
        <w:rPr>
          <w:rFonts w:cs="Times New Roman"/>
        </w:rPr>
        <w:t xml:space="preserve"> tonnes or around </w:t>
      </w:r>
      <w:r w:rsidR="00AF6238" w:rsidRPr="00AF6238">
        <w:rPr>
          <w:rFonts w:cs="Times New Roman"/>
        </w:rPr>
        <w:t>31</w:t>
      </w:r>
      <w:r w:rsidRPr="00AF6238">
        <w:rPr>
          <w:rFonts w:cs="Times New Roman"/>
        </w:rPr>
        <w:t>% of all bulk HFCs imported into Australia in 2013. This gas was consumed to replace gas lost from vehicles</w:t>
      </w:r>
      <w:r w:rsidRPr="00477C2A">
        <w:rPr>
          <w:rFonts w:cs="Times New Roman"/>
        </w:rPr>
        <w:t xml:space="preserve"> in operation service and used by OEMs. </w:t>
      </w:r>
    </w:p>
    <w:p w:rsidR="00477C2A" w:rsidRPr="00477C2A" w:rsidRDefault="00477C2A" w:rsidP="00477C2A">
      <w:pPr>
        <w:rPr>
          <w:rFonts w:cs="Times New Roman"/>
        </w:rPr>
      </w:pPr>
      <w:r w:rsidRPr="00477C2A">
        <w:rPr>
          <w:rFonts w:cs="Times New Roman"/>
        </w:rPr>
        <w:t xml:space="preserve">The majority of this gas (~80%) was consumed servicing </w:t>
      </w:r>
      <w:r w:rsidR="0069138E">
        <w:rPr>
          <w:rFonts w:cs="Times New Roman"/>
        </w:rPr>
        <w:t>AC</w:t>
      </w:r>
      <w:r w:rsidRPr="00477C2A">
        <w:rPr>
          <w:rFonts w:cs="Times New Roman"/>
        </w:rPr>
        <w:t xml:space="preserve"> systems in existing vehicles, (which have an estimated leak rate of 10% per annum). The stock model used to calculate the sum of all losses includes an allowance of 1.5 % per annum for gas lost from passenger and light commercial vehicles that had some form of collision or catastrophic failure (i.e. compressor failure).</w:t>
      </w:r>
    </w:p>
    <w:p w:rsidR="00477C2A" w:rsidRPr="00477C2A" w:rsidRDefault="00477C2A" w:rsidP="00477C2A">
      <w:pPr>
        <w:rPr>
          <w:rFonts w:cs="Times New Roman"/>
        </w:rPr>
      </w:pPr>
      <w:r w:rsidRPr="00477C2A">
        <w:rPr>
          <w:rFonts w:cs="Times New Roman"/>
        </w:rPr>
        <w:t xml:space="preserve">Consumption of bulk gas by OEMs in automotive and truck manufacturing was estimated to be 135 tonnes in 2013. Automotive passenger vehicle manufacturing declined from 326,960 (including light commercial vehicles) in 2006 to 211,429 in 2013, partially due </w:t>
      </w:r>
      <w:r w:rsidR="00F71692">
        <w:rPr>
          <w:rFonts w:cs="Times New Roman"/>
        </w:rPr>
        <w:t xml:space="preserve">to </w:t>
      </w:r>
      <w:r w:rsidRPr="00477C2A">
        <w:rPr>
          <w:rFonts w:cs="Times New Roman"/>
        </w:rPr>
        <w:t>global competition and the closure of the Mitsubishi factory in 2008. This decline removed demand of between 50 to 60 tonnes per annum from HFC-134a consumption.</w:t>
      </w:r>
    </w:p>
    <w:p w:rsidR="003A6108" w:rsidRDefault="00477C2A" w:rsidP="00E83F53">
      <w:pPr>
        <w:rPr>
          <w:rFonts w:cs="Times New Roman"/>
        </w:rPr>
      </w:pPr>
      <w:r w:rsidRPr="00477C2A">
        <w:rPr>
          <w:rFonts w:cs="Times New Roman"/>
        </w:rPr>
        <w:t>The announced closures of the Ford Motor Company manufacturing operations in Geelong and Broadmeadows in Victoria by 2015, the GM Holden manufacturing facilities in Adelaide and Fishermans Bend in Victoria by 2016</w:t>
      </w:r>
      <w:r w:rsidR="00821F8D">
        <w:rPr>
          <w:rFonts w:cs="Times New Roman"/>
        </w:rPr>
        <w:t>,</w:t>
      </w:r>
      <w:r w:rsidRPr="00477C2A">
        <w:rPr>
          <w:rFonts w:cs="Times New Roman"/>
        </w:rPr>
        <w:t xml:space="preserve"> and the Toyota manufacturing operations in Victoria by 2017</w:t>
      </w:r>
      <w:r w:rsidR="00821F8D">
        <w:rPr>
          <w:rFonts w:cs="Times New Roman"/>
        </w:rPr>
        <w:t>,</w:t>
      </w:r>
      <w:r w:rsidRPr="00477C2A">
        <w:rPr>
          <w:rFonts w:cs="Times New Roman"/>
        </w:rPr>
        <w:t xml:space="preserve"> </w:t>
      </w:r>
      <w:r w:rsidR="00821F8D">
        <w:rPr>
          <w:rFonts w:cs="Times New Roman"/>
        </w:rPr>
        <w:t>are</w:t>
      </w:r>
      <w:r w:rsidRPr="00477C2A">
        <w:rPr>
          <w:rFonts w:cs="Times New Roman"/>
        </w:rPr>
        <w:t xml:space="preserve"> expected to further reduce bulk imports of high GWP HFCs </w:t>
      </w:r>
      <w:r w:rsidR="003A6108">
        <w:rPr>
          <w:rFonts w:cs="Times New Roman"/>
        </w:rPr>
        <w:t xml:space="preserve">to around 130 </w:t>
      </w:r>
      <w:r w:rsidRPr="00477C2A">
        <w:rPr>
          <w:rFonts w:cs="Times New Roman"/>
        </w:rPr>
        <w:t xml:space="preserve">tonnes per annum by the end of 2017. </w:t>
      </w:r>
    </w:p>
    <w:p w:rsidR="00E83F53" w:rsidRDefault="003A6108" w:rsidP="00E83F53">
      <w:pPr>
        <w:rPr>
          <w:rFonts w:cs="Times New Roman"/>
        </w:rPr>
      </w:pPr>
      <w:r w:rsidRPr="003A6108">
        <w:rPr>
          <w:rFonts w:cs="Times New Roman"/>
        </w:rPr>
        <w:t>There are three truck OEMs in Australia</w:t>
      </w:r>
      <w:r w:rsidR="00821F8D">
        <w:rPr>
          <w:rFonts w:cs="Times New Roman"/>
        </w:rPr>
        <w:t>,</w:t>
      </w:r>
      <w:r w:rsidRPr="003A6108">
        <w:rPr>
          <w:rFonts w:cs="Times New Roman"/>
        </w:rPr>
        <w:t xml:space="preserve"> Kenworth, Iveco and Mack trucks</w:t>
      </w:r>
      <w:r w:rsidR="00821F8D">
        <w:rPr>
          <w:rFonts w:cs="Times New Roman"/>
        </w:rPr>
        <w:t>,</w:t>
      </w:r>
      <w:r w:rsidRPr="003A6108">
        <w:rPr>
          <w:rFonts w:cs="Times New Roman"/>
        </w:rPr>
        <w:t xml:space="preserve"> that collectively manufacture around 4,000 trucks </w:t>
      </w:r>
      <w:r w:rsidR="00AF6238">
        <w:rPr>
          <w:rFonts w:cs="Times New Roman"/>
        </w:rPr>
        <w:t xml:space="preserve">per annum </w:t>
      </w:r>
      <w:r>
        <w:rPr>
          <w:rFonts w:cs="Times New Roman"/>
        </w:rPr>
        <w:t xml:space="preserve">and </w:t>
      </w:r>
      <w:r w:rsidRPr="003A6108">
        <w:rPr>
          <w:rFonts w:cs="Times New Roman"/>
        </w:rPr>
        <w:t xml:space="preserve">consume around 4 tonnes of HFC-134a. </w:t>
      </w:r>
      <w:r>
        <w:rPr>
          <w:rFonts w:cs="Times New Roman"/>
        </w:rPr>
        <w:t xml:space="preserve">The model assumes the </w:t>
      </w:r>
      <w:r w:rsidR="00477C2A" w:rsidRPr="00477C2A">
        <w:rPr>
          <w:rFonts w:cs="Times New Roman"/>
        </w:rPr>
        <w:t xml:space="preserve">last </w:t>
      </w:r>
      <w:r>
        <w:rPr>
          <w:rFonts w:cs="Times New Roman"/>
        </w:rPr>
        <w:t xml:space="preserve">motor </w:t>
      </w:r>
      <w:r w:rsidR="00477C2A" w:rsidRPr="00477C2A">
        <w:rPr>
          <w:rFonts w:cs="Times New Roman"/>
        </w:rPr>
        <w:t xml:space="preserve">vehicle manufactured in Australia </w:t>
      </w:r>
      <w:r>
        <w:rPr>
          <w:rFonts w:cs="Times New Roman"/>
        </w:rPr>
        <w:t xml:space="preserve">will be in </w:t>
      </w:r>
      <w:r w:rsidR="00477C2A" w:rsidRPr="00477C2A">
        <w:rPr>
          <w:rFonts w:cs="Times New Roman"/>
        </w:rPr>
        <w:t>2017</w:t>
      </w:r>
      <w:r>
        <w:rPr>
          <w:rFonts w:cs="Times New Roman"/>
        </w:rPr>
        <w:t xml:space="preserve"> </w:t>
      </w:r>
      <w:r w:rsidR="00DF6B91">
        <w:rPr>
          <w:rFonts w:cs="Times New Roman"/>
        </w:rPr>
        <w:t xml:space="preserve">but that </w:t>
      </w:r>
      <w:r>
        <w:rPr>
          <w:rFonts w:cs="Times New Roman"/>
        </w:rPr>
        <w:t xml:space="preserve">truck manufacturers will continue at </w:t>
      </w:r>
      <w:r w:rsidR="00DF6B91">
        <w:rPr>
          <w:rFonts w:cs="Times New Roman"/>
        </w:rPr>
        <w:t xml:space="preserve">existing </w:t>
      </w:r>
      <w:r>
        <w:rPr>
          <w:rFonts w:cs="Times New Roman"/>
        </w:rPr>
        <w:t>levels</w:t>
      </w:r>
      <w:r w:rsidR="00477C2A" w:rsidRPr="00477C2A">
        <w:rPr>
          <w:rFonts w:cs="Times New Roman"/>
        </w:rPr>
        <w:t>.</w:t>
      </w:r>
    </w:p>
    <w:p w:rsidR="00E83F53" w:rsidRPr="00062E29" w:rsidRDefault="00E83F53" w:rsidP="003A6108">
      <w:pPr>
        <w:spacing w:before="240"/>
        <w:rPr>
          <w:rFonts w:cs="Times New Roman"/>
          <w:b/>
          <w:szCs w:val="22"/>
        </w:rPr>
      </w:pPr>
      <w:r w:rsidRPr="00062E29">
        <w:rPr>
          <w:rFonts w:cs="Times New Roman"/>
          <w:b/>
          <w:szCs w:val="22"/>
        </w:rPr>
        <w:t xml:space="preserve">The stock of equipment, annual sales, industry trends </w:t>
      </w:r>
    </w:p>
    <w:p w:rsidR="003A6108" w:rsidRPr="003A6108" w:rsidRDefault="003A6108" w:rsidP="00874679">
      <w:pPr>
        <w:rPr>
          <w:rFonts w:cs="Times New Roman"/>
          <w:szCs w:val="22"/>
        </w:rPr>
      </w:pPr>
      <w:r w:rsidRPr="003A6108">
        <w:rPr>
          <w:rFonts w:cs="Times New Roman"/>
          <w:szCs w:val="22"/>
        </w:rPr>
        <w:t xml:space="preserve">Mobile </w:t>
      </w:r>
      <w:r w:rsidR="0069138E">
        <w:rPr>
          <w:rFonts w:cs="Times New Roman"/>
          <w:szCs w:val="22"/>
        </w:rPr>
        <w:t>AC</w:t>
      </w:r>
      <w:r w:rsidRPr="003A6108">
        <w:rPr>
          <w:rFonts w:cs="Times New Roman"/>
          <w:szCs w:val="22"/>
        </w:rPr>
        <w:t xml:space="preserve"> systems are found in passenger vehicles, light commercial vehicles, buses, trucks, and a number of unlicensed and off road applications including locomotives, passenger rail, mining equipment, harvesters, fork trucks, road making vehicles, mobile cranes, military vehicles and earthmoving equipment.</w:t>
      </w:r>
    </w:p>
    <w:p w:rsidR="003A6108" w:rsidRPr="003A6108" w:rsidRDefault="003A6108" w:rsidP="00874679">
      <w:pPr>
        <w:rPr>
          <w:rFonts w:cs="Times New Roman"/>
          <w:szCs w:val="22"/>
        </w:rPr>
      </w:pPr>
      <w:r w:rsidRPr="003A6108">
        <w:rPr>
          <w:rFonts w:cs="Times New Roman"/>
          <w:szCs w:val="22"/>
        </w:rPr>
        <w:t xml:space="preserve">It is estimated that in total there are more than 15.6 million vehicles of all types that employ mobile </w:t>
      </w:r>
      <w:r w:rsidR="0069138E">
        <w:rPr>
          <w:rFonts w:cs="Times New Roman"/>
          <w:szCs w:val="22"/>
        </w:rPr>
        <w:t>AC</w:t>
      </w:r>
      <w:r w:rsidRPr="003A6108">
        <w:rPr>
          <w:rFonts w:cs="Times New Roman"/>
          <w:szCs w:val="22"/>
        </w:rPr>
        <w:t xml:space="preserve"> systems. More than 1.13 million new passenger vehicles were sold in 2013</w:t>
      </w:r>
      <w:r>
        <w:rPr>
          <w:rFonts w:cs="Times New Roman"/>
          <w:szCs w:val="22"/>
        </w:rPr>
        <w:t xml:space="preserve"> (ABS 9314.0 2014).</w:t>
      </w:r>
    </w:p>
    <w:p w:rsidR="003A6108" w:rsidRPr="003A6108" w:rsidRDefault="003A6108" w:rsidP="00874679">
      <w:pPr>
        <w:rPr>
          <w:rFonts w:cs="Times New Roman"/>
          <w:szCs w:val="22"/>
        </w:rPr>
      </w:pPr>
      <w:r w:rsidRPr="003A6108">
        <w:rPr>
          <w:rFonts w:cs="Times New Roman"/>
          <w:szCs w:val="22"/>
        </w:rPr>
        <w:t>Total registered and unregistered vehicle numbers are predicted to grow by about 2% per annum as new vehicle sales outstrip vehicle retirements and write offs.</w:t>
      </w:r>
    </w:p>
    <w:p w:rsidR="003A6108" w:rsidRPr="003A6108" w:rsidRDefault="003A6108" w:rsidP="00874679">
      <w:pPr>
        <w:rPr>
          <w:rFonts w:cs="Times New Roman"/>
          <w:szCs w:val="22"/>
        </w:rPr>
      </w:pPr>
      <w:r w:rsidRPr="003A6108">
        <w:rPr>
          <w:rFonts w:cs="Times New Roman"/>
          <w:szCs w:val="22"/>
        </w:rPr>
        <w:t>The vast majority of new vehicles are imported. Imports relative to locally manufactured vehicles will increase as local manufacturing contracts</w:t>
      </w:r>
      <w:r w:rsidR="00821F8D">
        <w:rPr>
          <w:rFonts w:cs="Times New Roman"/>
          <w:szCs w:val="22"/>
        </w:rPr>
        <w:t xml:space="preserve"> and eventually ceases</w:t>
      </w:r>
      <w:r w:rsidRPr="003A6108">
        <w:rPr>
          <w:rFonts w:cs="Times New Roman"/>
          <w:szCs w:val="22"/>
        </w:rPr>
        <w:t>.</w:t>
      </w:r>
    </w:p>
    <w:p w:rsidR="00E83F53" w:rsidRPr="00062E29" w:rsidRDefault="00E83F53" w:rsidP="00874679">
      <w:pPr>
        <w:spacing w:before="240"/>
        <w:rPr>
          <w:rFonts w:cs="Times New Roman"/>
          <w:b/>
          <w:szCs w:val="22"/>
        </w:rPr>
      </w:pPr>
      <w:r w:rsidRPr="00062E29">
        <w:rPr>
          <w:rFonts w:cs="Times New Roman"/>
          <w:b/>
          <w:szCs w:val="22"/>
        </w:rPr>
        <w:t>Lower and no GWP alternatives and barriers to transition</w:t>
      </w:r>
    </w:p>
    <w:p w:rsidR="00874679" w:rsidRPr="00062E29" w:rsidRDefault="00874679" w:rsidP="00874679">
      <w:pPr>
        <w:rPr>
          <w:rFonts w:cs="Times New Roman"/>
          <w:szCs w:val="22"/>
        </w:rPr>
      </w:pPr>
      <w:r w:rsidRPr="00062E29">
        <w:rPr>
          <w:rFonts w:cs="Times New Roman"/>
          <w:szCs w:val="22"/>
        </w:rPr>
        <w:t xml:space="preserve">There are several options for mobile </w:t>
      </w:r>
      <w:r w:rsidR="0069138E">
        <w:rPr>
          <w:rFonts w:cs="Times New Roman"/>
          <w:szCs w:val="22"/>
        </w:rPr>
        <w:t>AC</w:t>
      </w:r>
      <w:r w:rsidRPr="00062E29">
        <w:rPr>
          <w:rFonts w:cs="Times New Roman"/>
          <w:szCs w:val="22"/>
        </w:rPr>
        <w:t xml:space="preserve"> systems to migrate to lower GWP </w:t>
      </w:r>
      <w:r>
        <w:rPr>
          <w:rFonts w:cs="Times New Roman"/>
          <w:szCs w:val="22"/>
        </w:rPr>
        <w:t>technologies</w:t>
      </w:r>
      <w:r w:rsidRPr="00062E29">
        <w:rPr>
          <w:rFonts w:cs="Times New Roman"/>
          <w:szCs w:val="22"/>
        </w:rPr>
        <w:t>.</w:t>
      </w:r>
    </w:p>
    <w:p w:rsidR="00874679" w:rsidRPr="00062E29" w:rsidRDefault="00874679" w:rsidP="00874679">
      <w:pPr>
        <w:rPr>
          <w:rFonts w:cs="Times New Roman"/>
          <w:szCs w:val="22"/>
        </w:rPr>
      </w:pPr>
      <w:r w:rsidRPr="00062E29">
        <w:rPr>
          <w:rFonts w:cs="Times New Roman"/>
          <w:szCs w:val="22"/>
        </w:rPr>
        <w:t>In passenger and light commercial vehicles hydrocarbon</w:t>
      </w:r>
      <w:r w:rsidR="00DF6B91">
        <w:rPr>
          <w:rFonts w:cs="Times New Roman"/>
          <w:szCs w:val="22"/>
        </w:rPr>
        <w:t xml:space="preserve"> </w:t>
      </w:r>
      <w:r w:rsidRPr="00062E29">
        <w:rPr>
          <w:rFonts w:cs="Times New Roman"/>
          <w:szCs w:val="22"/>
        </w:rPr>
        <w:t>has established a presence in the stock of mobile air</w:t>
      </w:r>
      <w:r>
        <w:rPr>
          <w:rFonts w:cs="Times New Roman"/>
          <w:szCs w:val="22"/>
        </w:rPr>
        <w:t xml:space="preserve"> </w:t>
      </w:r>
      <w:r w:rsidRPr="00062E29">
        <w:rPr>
          <w:rFonts w:cs="Times New Roman"/>
          <w:szCs w:val="22"/>
        </w:rPr>
        <w:t xml:space="preserve">conditioning as a result of its use in after market servicing of vehicles. </w:t>
      </w:r>
    </w:p>
    <w:p w:rsidR="00874679" w:rsidRPr="00062E29" w:rsidRDefault="00874679" w:rsidP="00874679">
      <w:pPr>
        <w:rPr>
          <w:rFonts w:cs="Times New Roman"/>
          <w:szCs w:val="22"/>
        </w:rPr>
      </w:pPr>
      <w:r w:rsidRPr="00062E29">
        <w:rPr>
          <w:rFonts w:cs="Times New Roman"/>
          <w:szCs w:val="22"/>
        </w:rPr>
        <w:t xml:space="preserve">However, despite this early advantage, global developments suggest that there are a number of other options that are likely to be competing for the major market shares of this significant sector. </w:t>
      </w:r>
    </w:p>
    <w:p w:rsidR="00874679" w:rsidRPr="00062E29" w:rsidRDefault="00874679" w:rsidP="00874679">
      <w:pPr>
        <w:rPr>
          <w:rFonts w:cs="Times New Roman"/>
          <w:szCs w:val="22"/>
        </w:rPr>
      </w:pPr>
      <w:r w:rsidRPr="00062E29">
        <w:rPr>
          <w:rFonts w:cs="Times New Roman"/>
          <w:szCs w:val="22"/>
        </w:rPr>
        <w:t xml:space="preserve">In </w:t>
      </w:r>
      <w:r w:rsidRPr="00BE62DE">
        <w:rPr>
          <w:rFonts w:cs="Times New Roman"/>
          <w:szCs w:val="22"/>
        </w:rPr>
        <w:t>2008,</w:t>
      </w:r>
      <w:r w:rsidRPr="00062E29">
        <w:rPr>
          <w:rFonts w:cs="Times New Roman"/>
          <w:szCs w:val="22"/>
        </w:rPr>
        <w:t xml:space="preserve"> as a response to European Union regulations</w:t>
      </w:r>
      <w:r>
        <w:rPr>
          <w:rFonts w:cs="Times New Roman"/>
          <w:szCs w:val="22"/>
        </w:rPr>
        <w:t xml:space="preserve"> (</w:t>
      </w:r>
      <w:r w:rsidRPr="00BE62DE">
        <w:t>EC Directive 2006/40</w:t>
      </w:r>
      <w:r>
        <w:t>/CE</w:t>
      </w:r>
      <w:r>
        <w:rPr>
          <w:rFonts w:cs="Times New Roman"/>
          <w:szCs w:val="22"/>
        </w:rPr>
        <w:t>)</w:t>
      </w:r>
      <w:r w:rsidRPr="00062E29">
        <w:rPr>
          <w:rFonts w:cs="Times New Roman"/>
          <w:szCs w:val="22"/>
        </w:rPr>
        <w:t xml:space="preserve"> that place a ban on use of refrigerants with a GWP greater than 150 in all new vehicles from 2017, the global automotive industry commissioned SAE international to evaluate and compare the Life Cycle Climate Performance (LCCP) and characteristics of a number of working gases thought suitable for use in passenger vehicle </w:t>
      </w:r>
      <w:r w:rsidR="0069138E">
        <w:rPr>
          <w:rFonts w:cs="Times New Roman"/>
          <w:szCs w:val="22"/>
        </w:rPr>
        <w:t>AC</w:t>
      </w:r>
      <w:r w:rsidRPr="00062E29">
        <w:rPr>
          <w:rFonts w:cs="Times New Roman"/>
          <w:szCs w:val="22"/>
        </w:rPr>
        <w:t xml:space="preserve">. </w:t>
      </w:r>
    </w:p>
    <w:p w:rsidR="00874679" w:rsidRPr="00062E29" w:rsidRDefault="00874679" w:rsidP="00874679">
      <w:pPr>
        <w:rPr>
          <w:rFonts w:cs="Times New Roman"/>
          <w:szCs w:val="22"/>
        </w:rPr>
      </w:pPr>
      <w:r w:rsidRPr="00062E29">
        <w:rPr>
          <w:rFonts w:cs="Times New Roman"/>
          <w:szCs w:val="22"/>
        </w:rPr>
        <w:t xml:space="preserve">HFO-1234yf, HFO blends, carbon dioxide (R744) and HFC-152a were assessed and compared to the LCCP of HFC-134a. </w:t>
      </w:r>
    </w:p>
    <w:p w:rsidR="00874679" w:rsidRPr="00705EAB" w:rsidRDefault="00874679" w:rsidP="00874679">
      <w:pPr>
        <w:spacing w:before="240"/>
        <w:rPr>
          <w:rFonts w:cs="Times New Roman"/>
          <w:szCs w:val="22"/>
          <w:u w:val="single"/>
        </w:rPr>
      </w:pPr>
      <w:r w:rsidRPr="00705EAB">
        <w:rPr>
          <w:rFonts w:cs="Times New Roman"/>
          <w:szCs w:val="22"/>
          <w:u w:val="single"/>
        </w:rPr>
        <w:t>CO</w:t>
      </w:r>
      <w:r w:rsidRPr="00705EAB">
        <w:rPr>
          <w:rFonts w:cs="Times New Roman"/>
          <w:szCs w:val="22"/>
          <w:u w:val="single"/>
          <w:vertAlign w:val="subscript"/>
        </w:rPr>
        <w:t>2</w:t>
      </w:r>
      <w:r w:rsidRPr="00705EAB">
        <w:rPr>
          <w:rFonts w:cs="Times New Roman"/>
          <w:szCs w:val="22"/>
          <w:u w:val="single"/>
        </w:rPr>
        <w:t xml:space="preserve"> (R744)</w:t>
      </w:r>
    </w:p>
    <w:p w:rsidR="00874679" w:rsidRPr="00062E29" w:rsidRDefault="00874679" w:rsidP="00874679">
      <w:pPr>
        <w:rPr>
          <w:rFonts w:cs="Times New Roman"/>
          <w:szCs w:val="22"/>
        </w:rPr>
      </w:pPr>
      <w:r w:rsidRPr="00062E29">
        <w:rPr>
          <w:rFonts w:cs="Times New Roman"/>
          <w:szCs w:val="22"/>
        </w:rPr>
        <w:t xml:space="preserve">SAE International found </w:t>
      </w:r>
      <w:r>
        <w:rPr>
          <w:rFonts w:cs="Times New Roman"/>
          <w:szCs w:val="22"/>
        </w:rPr>
        <w:t>CO</w:t>
      </w:r>
      <w:r w:rsidRPr="00560D5A">
        <w:rPr>
          <w:rFonts w:cs="Times New Roman"/>
          <w:szCs w:val="22"/>
          <w:vertAlign w:val="subscript"/>
        </w:rPr>
        <w:t>2</w:t>
      </w:r>
      <w:r w:rsidR="00FB0FAC">
        <w:rPr>
          <w:rFonts w:cs="Times New Roman"/>
          <w:szCs w:val="22"/>
        </w:rPr>
        <w:t>,</w:t>
      </w:r>
      <w:r w:rsidRPr="00062E29">
        <w:rPr>
          <w:rFonts w:cs="Times New Roman"/>
          <w:szCs w:val="22"/>
        </w:rPr>
        <w:t xml:space="preserve"> </w:t>
      </w:r>
      <w:r>
        <w:rPr>
          <w:rFonts w:cs="Times New Roman"/>
          <w:szCs w:val="22"/>
        </w:rPr>
        <w:t xml:space="preserve">with a </w:t>
      </w:r>
      <w:r w:rsidRPr="00062E29">
        <w:rPr>
          <w:rFonts w:cs="Times New Roman"/>
          <w:szCs w:val="22"/>
        </w:rPr>
        <w:t>GWP of 1</w:t>
      </w:r>
      <w:r w:rsidR="00FB0FAC">
        <w:rPr>
          <w:rFonts w:cs="Times New Roman"/>
          <w:szCs w:val="22"/>
        </w:rPr>
        <w:t>,</w:t>
      </w:r>
      <w:r w:rsidRPr="00062E29">
        <w:rPr>
          <w:rFonts w:cs="Times New Roman"/>
          <w:szCs w:val="22"/>
        </w:rPr>
        <w:t xml:space="preserve"> to be as efficient as the best in class HFC-134a system</w:t>
      </w:r>
      <w:r w:rsidR="00FB0FAC">
        <w:rPr>
          <w:rFonts w:cs="Times New Roman"/>
          <w:szCs w:val="22"/>
        </w:rPr>
        <w:t>,</w:t>
      </w:r>
      <w:r w:rsidRPr="00062E29">
        <w:rPr>
          <w:rFonts w:cs="Times New Roman"/>
          <w:szCs w:val="22"/>
        </w:rPr>
        <w:t xml:space="preserve"> with comparable cooling performance, energy efficiency and fuel use to HFC-134a systems</w:t>
      </w:r>
      <w:r w:rsidR="00FB0FAC">
        <w:rPr>
          <w:rFonts w:cs="Times New Roman"/>
          <w:szCs w:val="22"/>
        </w:rPr>
        <w:t xml:space="preserve">, </w:t>
      </w:r>
      <w:r w:rsidR="00FB0FAC" w:rsidRPr="00062E29">
        <w:rPr>
          <w:rFonts w:cs="Times New Roman"/>
          <w:szCs w:val="22"/>
        </w:rPr>
        <w:t>except under high ambient conditions (above 35°C)</w:t>
      </w:r>
      <w:r w:rsidRPr="00062E29">
        <w:rPr>
          <w:rFonts w:cs="Times New Roman"/>
          <w:szCs w:val="22"/>
        </w:rPr>
        <w:t xml:space="preserve">. </w:t>
      </w:r>
    </w:p>
    <w:p w:rsidR="00874679" w:rsidRPr="00062E29" w:rsidRDefault="00874679" w:rsidP="00874679">
      <w:pPr>
        <w:rPr>
          <w:rFonts w:cs="Times New Roman"/>
          <w:szCs w:val="22"/>
        </w:rPr>
      </w:pPr>
      <w:r>
        <w:rPr>
          <w:rFonts w:cs="Times New Roman"/>
          <w:szCs w:val="22"/>
        </w:rPr>
        <w:t>CO</w:t>
      </w:r>
      <w:r w:rsidRPr="00632436">
        <w:rPr>
          <w:rFonts w:cs="Times New Roman"/>
          <w:szCs w:val="22"/>
          <w:vertAlign w:val="subscript"/>
        </w:rPr>
        <w:t>2</w:t>
      </w:r>
      <w:r w:rsidRPr="00062E29">
        <w:rPr>
          <w:rFonts w:cs="Times New Roman"/>
          <w:szCs w:val="22"/>
        </w:rPr>
        <w:t xml:space="preserve"> equipment saw a number of developments from 2000 to 2010 and several manufacturers reportedly reached “implementation readiness”. German OEMs announced their intention to develop </w:t>
      </w:r>
      <w:r w:rsidR="005E2065">
        <w:rPr>
          <w:rFonts w:cs="Times New Roman"/>
          <w:szCs w:val="22"/>
        </w:rPr>
        <w:t>CO</w:t>
      </w:r>
      <w:r w:rsidR="005E2065" w:rsidRPr="00632436">
        <w:rPr>
          <w:rFonts w:cs="Times New Roman"/>
          <w:szCs w:val="22"/>
          <w:vertAlign w:val="subscript"/>
        </w:rPr>
        <w:t>2</w:t>
      </w:r>
      <w:r w:rsidR="005E2065">
        <w:rPr>
          <w:rFonts w:cs="Times New Roman"/>
          <w:szCs w:val="22"/>
        </w:rPr>
        <w:t xml:space="preserve"> </w:t>
      </w:r>
      <w:r w:rsidRPr="00062E29">
        <w:rPr>
          <w:rFonts w:cs="Times New Roman"/>
          <w:szCs w:val="22"/>
        </w:rPr>
        <w:t>systems and some of which stat</w:t>
      </w:r>
      <w:r w:rsidR="005E2065">
        <w:rPr>
          <w:rFonts w:cs="Times New Roman"/>
          <w:szCs w:val="22"/>
        </w:rPr>
        <w:t>ed</w:t>
      </w:r>
      <w:r w:rsidRPr="00062E29">
        <w:rPr>
          <w:rFonts w:cs="Times New Roman"/>
          <w:szCs w:val="22"/>
        </w:rPr>
        <w:t xml:space="preserve"> their preference to stay with HFC-134a until </w:t>
      </w:r>
      <w:r>
        <w:rPr>
          <w:rFonts w:cs="Times New Roman"/>
          <w:szCs w:val="22"/>
        </w:rPr>
        <w:t>CO</w:t>
      </w:r>
      <w:r w:rsidRPr="00560D5A">
        <w:rPr>
          <w:rFonts w:cs="Times New Roman"/>
          <w:szCs w:val="22"/>
          <w:vertAlign w:val="subscript"/>
        </w:rPr>
        <w:t>2</w:t>
      </w:r>
      <w:r w:rsidRPr="00062E29">
        <w:rPr>
          <w:rFonts w:cs="Times New Roman"/>
          <w:szCs w:val="22"/>
        </w:rPr>
        <w:t xml:space="preserve"> </w:t>
      </w:r>
      <w:r w:rsidR="005E2065">
        <w:rPr>
          <w:rFonts w:cs="Times New Roman"/>
          <w:szCs w:val="22"/>
        </w:rPr>
        <w:t xml:space="preserve">systems </w:t>
      </w:r>
      <w:r w:rsidRPr="00062E29">
        <w:rPr>
          <w:rFonts w:cs="Times New Roman"/>
          <w:szCs w:val="22"/>
        </w:rPr>
        <w:t>w</w:t>
      </w:r>
      <w:r w:rsidR="005E2065">
        <w:rPr>
          <w:rFonts w:cs="Times New Roman"/>
          <w:szCs w:val="22"/>
        </w:rPr>
        <w:t>ere</w:t>
      </w:r>
      <w:r w:rsidRPr="00062E29">
        <w:rPr>
          <w:rFonts w:cs="Times New Roman"/>
          <w:szCs w:val="22"/>
        </w:rPr>
        <w:t xml:space="preserve"> commercialised. </w:t>
      </w:r>
    </w:p>
    <w:p w:rsidR="00874679" w:rsidRPr="00062E29" w:rsidRDefault="00874679" w:rsidP="00874679">
      <w:pPr>
        <w:rPr>
          <w:rFonts w:cs="Times New Roman"/>
          <w:szCs w:val="22"/>
        </w:rPr>
      </w:pPr>
      <w:r w:rsidRPr="00062E29">
        <w:rPr>
          <w:rFonts w:cs="Times New Roman"/>
          <w:szCs w:val="22"/>
        </w:rPr>
        <w:t xml:space="preserve">Leading component suppliers and car </w:t>
      </w:r>
      <w:r>
        <w:rPr>
          <w:rFonts w:cs="Times New Roman"/>
          <w:szCs w:val="22"/>
        </w:rPr>
        <w:t>manufacturers</w:t>
      </w:r>
      <w:r w:rsidRPr="00062E29">
        <w:rPr>
          <w:rFonts w:cs="Times New Roman"/>
          <w:szCs w:val="22"/>
        </w:rPr>
        <w:t xml:space="preserve"> developed several technical options with </w:t>
      </w:r>
      <w:r>
        <w:rPr>
          <w:rFonts w:cs="Times New Roman"/>
          <w:szCs w:val="22"/>
        </w:rPr>
        <w:t>CO</w:t>
      </w:r>
      <w:r w:rsidRPr="00560D5A">
        <w:rPr>
          <w:rFonts w:cs="Times New Roman"/>
          <w:szCs w:val="22"/>
          <w:vertAlign w:val="subscript"/>
        </w:rPr>
        <w:t>2</w:t>
      </w:r>
      <w:r>
        <w:rPr>
          <w:rFonts w:cs="Times New Roman"/>
          <w:szCs w:val="22"/>
        </w:rPr>
        <w:t xml:space="preserve"> including </w:t>
      </w:r>
      <w:r w:rsidRPr="00062E29">
        <w:rPr>
          <w:rFonts w:cs="Times New Roman"/>
          <w:szCs w:val="22"/>
        </w:rPr>
        <w:t xml:space="preserve">internal heat exchangers, external control compressors, micro-channel gas coolers, and evaporators dedicated to </w:t>
      </w:r>
      <w:r>
        <w:rPr>
          <w:rFonts w:cs="Times New Roman"/>
          <w:szCs w:val="22"/>
        </w:rPr>
        <w:t>CO</w:t>
      </w:r>
      <w:r w:rsidRPr="007E5FA0">
        <w:rPr>
          <w:rFonts w:cs="Times New Roman"/>
          <w:szCs w:val="22"/>
          <w:vertAlign w:val="subscript"/>
        </w:rPr>
        <w:t>2</w:t>
      </w:r>
      <w:r w:rsidRPr="00062E29">
        <w:rPr>
          <w:rFonts w:cs="Times New Roman"/>
          <w:szCs w:val="22"/>
        </w:rPr>
        <w:t>. New hoses with ultra-low permeation have also been developed (UNEP 2013c, p80).</w:t>
      </w:r>
    </w:p>
    <w:p w:rsidR="00874679" w:rsidRPr="00062E29" w:rsidRDefault="00874679" w:rsidP="00874679">
      <w:pPr>
        <w:rPr>
          <w:rFonts w:cs="Times New Roman"/>
          <w:szCs w:val="22"/>
        </w:rPr>
      </w:pPr>
      <w:r w:rsidRPr="00062E29">
        <w:rPr>
          <w:rFonts w:cs="Times New Roman"/>
          <w:szCs w:val="22"/>
        </w:rPr>
        <w:t>However, higher equipment costs associated with economies of scale, higher pressures, system reliability concerns, and the need to develop and create a new servicing infrastructure were predicted to</w:t>
      </w:r>
      <w:r w:rsidR="005E2065">
        <w:rPr>
          <w:rFonts w:cs="Times New Roman"/>
          <w:szCs w:val="22"/>
        </w:rPr>
        <w:t xml:space="preserve"> restrain</w:t>
      </w:r>
      <w:r w:rsidRPr="00062E29">
        <w:rPr>
          <w:rFonts w:cs="Times New Roman"/>
          <w:szCs w:val="22"/>
        </w:rPr>
        <w:t xml:space="preserve"> the widespread use of </w:t>
      </w:r>
      <w:r w:rsidR="0069138E">
        <w:rPr>
          <w:rFonts w:cs="Times New Roman"/>
          <w:szCs w:val="22"/>
        </w:rPr>
        <w:t>CO</w:t>
      </w:r>
      <w:r w:rsidR="0069138E" w:rsidRPr="007E5FA0">
        <w:rPr>
          <w:rFonts w:cs="Times New Roman"/>
          <w:szCs w:val="22"/>
          <w:vertAlign w:val="subscript"/>
        </w:rPr>
        <w:t>2</w:t>
      </w:r>
      <w:r w:rsidR="00F51E53">
        <w:rPr>
          <w:rFonts w:cs="Times New Roman"/>
          <w:szCs w:val="22"/>
        </w:rPr>
        <w:t xml:space="preserve"> t</w:t>
      </w:r>
      <w:r w:rsidRPr="00062E29">
        <w:rPr>
          <w:rFonts w:cs="Times New Roman"/>
          <w:szCs w:val="22"/>
        </w:rPr>
        <w:t>echnology.</w:t>
      </w:r>
    </w:p>
    <w:p w:rsidR="00874679" w:rsidRPr="00062E29" w:rsidRDefault="00874679" w:rsidP="00874679">
      <w:pPr>
        <w:rPr>
          <w:rFonts w:cs="Times New Roman"/>
          <w:szCs w:val="22"/>
        </w:rPr>
      </w:pPr>
      <w:r w:rsidRPr="00062E29">
        <w:rPr>
          <w:rFonts w:cs="Times New Roman"/>
          <w:szCs w:val="22"/>
        </w:rPr>
        <w:t xml:space="preserve">The main barriers for </w:t>
      </w:r>
      <w:r>
        <w:rPr>
          <w:rFonts w:cs="Times New Roman"/>
          <w:szCs w:val="22"/>
        </w:rPr>
        <w:t>CO</w:t>
      </w:r>
      <w:r w:rsidRPr="00560D5A">
        <w:rPr>
          <w:rFonts w:cs="Times New Roman"/>
          <w:szCs w:val="22"/>
          <w:vertAlign w:val="subscript"/>
        </w:rPr>
        <w:t>2</w:t>
      </w:r>
      <w:r w:rsidRPr="00062E29">
        <w:rPr>
          <w:rFonts w:cs="Times New Roman"/>
          <w:szCs w:val="22"/>
        </w:rPr>
        <w:t xml:space="preserve"> systems have been issues of costs, concerns about reliability and servicing aspects. It has been calculated that even for a series of at least 150,000 </w:t>
      </w:r>
      <w:r>
        <w:rPr>
          <w:rFonts w:cs="Times New Roman"/>
          <w:szCs w:val="22"/>
        </w:rPr>
        <w:t>CO</w:t>
      </w:r>
      <w:r w:rsidRPr="00560D5A">
        <w:rPr>
          <w:rFonts w:cs="Times New Roman"/>
          <w:szCs w:val="22"/>
          <w:vertAlign w:val="subscript"/>
        </w:rPr>
        <w:t>2</w:t>
      </w:r>
      <w:r w:rsidRPr="00062E29">
        <w:rPr>
          <w:rFonts w:cs="Times New Roman"/>
          <w:szCs w:val="22"/>
        </w:rPr>
        <w:t xml:space="preserve"> systems per year, costs would at least double compared to the baseline, according to Tier 1 suppliers (in the year 2010). With </w:t>
      </w:r>
      <w:r>
        <w:rPr>
          <w:rFonts w:cs="Times New Roman"/>
          <w:szCs w:val="22"/>
        </w:rPr>
        <w:t>CO</w:t>
      </w:r>
      <w:r w:rsidRPr="00560D5A">
        <w:rPr>
          <w:rFonts w:cs="Times New Roman"/>
          <w:szCs w:val="22"/>
          <w:vertAlign w:val="subscript"/>
        </w:rPr>
        <w:t>2</w:t>
      </w:r>
      <w:r w:rsidRPr="00062E29">
        <w:rPr>
          <w:rFonts w:cs="Times New Roman"/>
          <w:szCs w:val="22"/>
        </w:rPr>
        <w:t xml:space="preserve"> not being globally deployed any auto</w:t>
      </w:r>
      <w:r w:rsidR="00632436">
        <w:rPr>
          <w:rFonts w:cs="Times New Roman"/>
          <w:szCs w:val="22"/>
        </w:rPr>
        <w:t xml:space="preserve">motive manufacturers </w:t>
      </w:r>
      <w:r w:rsidRPr="00062E29">
        <w:rPr>
          <w:rFonts w:cs="Times New Roman"/>
          <w:szCs w:val="22"/>
        </w:rPr>
        <w:t xml:space="preserve">that adopted this technology path would need to install two </w:t>
      </w:r>
      <w:r w:rsidR="0069138E">
        <w:rPr>
          <w:rFonts w:cs="Times New Roman"/>
          <w:szCs w:val="22"/>
        </w:rPr>
        <w:t>AC</w:t>
      </w:r>
      <w:r>
        <w:rPr>
          <w:rFonts w:cs="Times New Roman"/>
          <w:szCs w:val="22"/>
        </w:rPr>
        <w:t xml:space="preserve"> </w:t>
      </w:r>
      <w:r w:rsidRPr="00062E29">
        <w:rPr>
          <w:rFonts w:cs="Times New Roman"/>
          <w:szCs w:val="22"/>
        </w:rPr>
        <w:t xml:space="preserve">systems (one for </w:t>
      </w:r>
      <w:r>
        <w:rPr>
          <w:rFonts w:cs="Times New Roman"/>
          <w:szCs w:val="22"/>
        </w:rPr>
        <w:t>CO</w:t>
      </w:r>
      <w:r w:rsidRPr="00560D5A">
        <w:rPr>
          <w:rFonts w:cs="Times New Roman"/>
          <w:szCs w:val="22"/>
          <w:vertAlign w:val="subscript"/>
        </w:rPr>
        <w:t>2</w:t>
      </w:r>
      <w:r w:rsidRPr="00062E29">
        <w:rPr>
          <w:rFonts w:cs="Times New Roman"/>
          <w:szCs w:val="22"/>
        </w:rPr>
        <w:t>, another one for HFC-134a) to be mounted on the same assembly line. Two other barrier issues were related to reliability and servicing, particularly:</w:t>
      </w:r>
    </w:p>
    <w:p w:rsidR="00874679" w:rsidRPr="00062E29" w:rsidRDefault="00874679" w:rsidP="00E97935">
      <w:pPr>
        <w:pStyle w:val="ListParagraph"/>
        <w:numPr>
          <w:ilvl w:val="0"/>
          <w:numId w:val="13"/>
        </w:numPr>
        <w:spacing w:before="120" w:after="0" w:line="240" w:lineRule="auto"/>
        <w:ind w:left="357" w:hanging="357"/>
        <w:contextualSpacing w:val="0"/>
        <w:jc w:val="both"/>
        <w:rPr>
          <w:rFonts w:ascii="Times New Roman" w:hAnsi="Times New Roman"/>
        </w:rPr>
      </w:pPr>
      <w:r w:rsidRPr="00062E29">
        <w:rPr>
          <w:rFonts w:ascii="Times New Roman" w:hAnsi="Times New Roman"/>
        </w:rPr>
        <w:t xml:space="preserve">The shaft of the open-type compressor was a potentially highly leak-prone component with no </w:t>
      </w:r>
      <w:r>
        <w:rPr>
          <w:rFonts w:ascii="Times New Roman" w:hAnsi="Times New Roman"/>
        </w:rPr>
        <w:t>lessons learned at large scale; and,</w:t>
      </w:r>
    </w:p>
    <w:p w:rsidR="00874679" w:rsidRPr="00A64539" w:rsidRDefault="00874679" w:rsidP="00E97935">
      <w:pPr>
        <w:pStyle w:val="ListParagraph"/>
        <w:numPr>
          <w:ilvl w:val="0"/>
          <w:numId w:val="13"/>
        </w:numPr>
        <w:spacing w:before="120" w:after="0" w:line="240" w:lineRule="auto"/>
        <w:ind w:left="357" w:hanging="357"/>
        <w:contextualSpacing w:val="0"/>
        <w:jc w:val="both"/>
        <w:rPr>
          <w:rFonts w:ascii="Times New Roman" w:hAnsi="Times New Roman"/>
        </w:rPr>
      </w:pPr>
      <w:r w:rsidRPr="00A64539">
        <w:rPr>
          <w:rFonts w:ascii="Times New Roman" w:hAnsi="Times New Roman"/>
        </w:rPr>
        <w:t>CO</w:t>
      </w:r>
      <w:r w:rsidRPr="00A64539">
        <w:rPr>
          <w:rFonts w:ascii="Times New Roman" w:hAnsi="Times New Roman"/>
          <w:vertAlign w:val="subscript"/>
        </w:rPr>
        <w:t>2</w:t>
      </w:r>
      <w:r w:rsidRPr="00A64539">
        <w:rPr>
          <w:rFonts w:ascii="Times New Roman" w:hAnsi="Times New Roman"/>
        </w:rPr>
        <w:t xml:space="preserve"> servicing requires special training and also specific equipment making it necessary to develop a new world-wide servicing network for global car companies (UNEP 2013c, p81).</w:t>
      </w:r>
    </w:p>
    <w:p w:rsidR="00502E04" w:rsidRDefault="00502E04" w:rsidP="00874679">
      <w:pPr>
        <w:rPr>
          <w:rFonts w:cs="Times New Roman"/>
          <w:szCs w:val="22"/>
        </w:rPr>
      </w:pPr>
      <w:r>
        <w:rPr>
          <w:rFonts w:cs="Times New Roman"/>
          <w:szCs w:val="22"/>
        </w:rPr>
        <w:t>Some global suppliers of industrial gases are reported to be investing in R&amp;D efforts to resolve technical issues associated with CO</w:t>
      </w:r>
      <w:r w:rsidRPr="00185CB4">
        <w:rPr>
          <w:rFonts w:cs="Times New Roman"/>
          <w:szCs w:val="22"/>
          <w:vertAlign w:val="subscript"/>
        </w:rPr>
        <w:t>2</w:t>
      </w:r>
      <w:r>
        <w:rPr>
          <w:rFonts w:cs="Times New Roman"/>
          <w:szCs w:val="22"/>
        </w:rPr>
        <w:t xml:space="preserve"> in small </w:t>
      </w:r>
      <w:r w:rsidR="00A45241">
        <w:rPr>
          <w:rFonts w:cs="Times New Roman"/>
          <w:szCs w:val="22"/>
        </w:rPr>
        <w:t xml:space="preserve">mobile </w:t>
      </w:r>
      <w:r>
        <w:rPr>
          <w:rFonts w:cs="Times New Roman"/>
          <w:szCs w:val="22"/>
        </w:rPr>
        <w:t xml:space="preserve">AC systems. </w:t>
      </w:r>
      <w:r w:rsidRPr="00062E29">
        <w:rPr>
          <w:rFonts w:cs="Times New Roman"/>
          <w:szCs w:val="22"/>
        </w:rPr>
        <w:t>However</w:t>
      </w:r>
      <w:r>
        <w:rPr>
          <w:rFonts w:cs="Times New Roman"/>
          <w:szCs w:val="22"/>
        </w:rPr>
        <w:t xml:space="preserve"> with nothing more than unconfirmed reports and rumour available at this time, it is not possible to properly assess the potential for these efforts to overcome technical issues and provide the basis for a competitive CO</w:t>
      </w:r>
      <w:r w:rsidRPr="00185CB4">
        <w:rPr>
          <w:rFonts w:cs="Times New Roman"/>
          <w:szCs w:val="22"/>
          <w:vertAlign w:val="subscript"/>
        </w:rPr>
        <w:t>2</w:t>
      </w:r>
      <w:r>
        <w:rPr>
          <w:rFonts w:cs="Times New Roman"/>
          <w:szCs w:val="22"/>
        </w:rPr>
        <w:t xml:space="preserve"> based </w:t>
      </w:r>
      <w:r w:rsidR="00A45241">
        <w:rPr>
          <w:rFonts w:cs="Times New Roman"/>
          <w:szCs w:val="22"/>
        </w:rPr>
        <w:t xml:space="preserve">mobile </w:t>
      </w:r>
      <w:r>
        <w:rPr>
          <w:rFonts w:cs="Times New Roman"/>
          <w:szCs w:val="22"/>
        </w:rPr>
        <w:t xml:space="preserve">AC technology to global automakers, although it has to be considered that this could potentially provide competition to HFO systems. </w:t>
      </w:r>
    </w:p>
    <w:p w:rsidR="00874679" w:rsidRPr="00062E29" w:rsidRDefault="00874679" w:rsidP="00874679">
      <w:pPr>
        <w:rPr>
          <w:rFonts w:cs="Times New Roman"/>
          <w:szCs w:val="22"/>
        </w:rPr>
      </w:pPr>
      <w:r w:rsidRPr="00062E29">
        <w:rPr>
          <w:rFonts w:cs="Times New Roman"/>
          <w:szCs w:val="22"/>
        </w:rPr>
        <w:t xml:space="preserve">In summary, </w:t>
      </w:r>
      <w:r>
        <w:rPr>
          <w:rFonts w:cs="Times New Roman"/>
          <w:szCs w:val="22"/>
        </w:rPr>
        <w:t>CO</w:t>
      </w:r>
      <w:r w:rsidRPr="00560D5A">
        <w:rPr>
          <w:rFonts w:cs="Times New Roman"/>
          <w:szCs w:val="22"/>
          <w:vertAlign w:val="subscript"/>
        </w:rPr>
        <w:t>2</w:t>
      </w:r>
      <w:r w:rsidRPr="00062E29">
        <w:rPr>
          <w:rFonts w:cs="Times New Roman"/>
          <w:szCs w:val="22"/>
        </w:rPr>
        <w:t xml:space="preserve"> is </w:t>
      </w:r>
      <w:r w:rsidR="00AF6238">
        <w:rPr>
          <w:rFonts w:cs="Times New Roman"/>
          <w:szCs w:val="22"/>
        </w:rPr>
        <w:t xml:space="preserve">a </w:t>
      </w:r>
      <w:r w:rsidRPr="00062E29">
        <w:rPr>
          <w:rFonts w:cs="Times New Roman"/>
          <w:szCs w:val="22"/>
        </w:rPr>
        <w:t xml:space="preserve">very effective refrigerant, however technically difficult in small </w:t>
      </w:r>
      <w:r w:rsidR="00A45241">
        <w:rPr>
          <w:rFonts w:cs="Times New Roman"/>
          <w:szCs w:val="22"/>
        </w:rPr>
        <w:t xml:space="preserve">mobile </w:t>
      </w:r>
      <w:r w:rsidRPr="00062E29">
        <w:rPr>
          <w:rFonts w:cs="Times New Roman"/>
          <w:szCs w:val="22"/>
        </w:rPr>
        <w:t xml:space="preserve">AC applications creating a significant technical barrier for suppliers; only the best auto parts suppliers have been able to develop efficient </w:t>
      </w:r>
      <w:r>
        <w:rPr>
          <w:rFonts w:cs="Times New Roman"/>
          <w:szCs w:val="22"/>
        </w:rPr>
        <w:t>CO</w:t>
      </w:r>
      <w:r w:rsidRPr="00560D5A">
        <w:rPr>
          <w:rFonts w:cs="Times New Roman"/>
          <w:szCs w:val="22"/>
          <w:vertAlign w:val="subscript"/>
        </w:rPr>
        <w:t>2</w:t>
      </w:r>
      <w:r w:rsidRPr="00062E29">
        <w:rPr>
          <w:rFonts w:cs="Times New Roman"/>
          <w:szCs w:val="22"/>
        </w:rPr>
        <w:t xml:space="preserve"> compressors (UNEP 2013c, p81). As a result, to date, no global OEM has installed </w:t>
      </w:r>
      <w:r>
        <w:rPr>
          <w:rFonts w:cs="Times New Roman"/>
          <w:szCs w:val="22"/>
        </w:rPr>
        <w:t>CO</w:t>
      </w:r>
      <w:r w:rsidRPr="00560D5A">
        <w:rPr>
          <w:rFonts w:cs="Times New Roman"/>
          <w:szCs w:val="22"/>
          <w:vertAlign w:val="subscript"/>
        </w:rPr>
        <w:t>2</w:t>
      </w:r>
      <w:r w:rsidRPr="00062E29">
        <w:rPr>
          <w:rFonts w:cs="Times New Roman"/>
          <w:szCs w:val="22"/>
        </w:rPr>
        <w:t xml:space="preserve"> for automotive </w:t>
      </w:r>
      <w:r w:rsidR="00635328">
        <w:rPr>
          <w:rFonts w:cs="Times New Roman"/>
          <w:szCs w:val="22"/>
        </w:rPr>
        <w:t xml:space="preserve">AC </w:t>
      </w:r>
      <w:r w:rsidRPr="00062E29">
        <w:rPr>
          <w:rFonts w:cs="Times New Roman"/>
          <w:szCs w:val="22"/>
        </w:rPr>
        <w:t>(UNEP 2013c, p80).</w:t>
      </w:r>
    </w:p>
    <w:p w:rsidR="00874679" w:rsidRPr="00AC65AC" w:rsidRDefault="00874679" w:rsidP="00874679">
      <w:pPr>
        <w:spacing w:before="240"/>
        <w:rPr>
          <w:rFonts w:cs="Times New Roman"/>
          <w:szCs w:val="22"/>
          <w:u w:val="single"/>
        </w:rPr>
      </w:pPr>
      <w:r w:rsidRPr="00AC65AC">
        <w:rPr>
          <w:rFonts w:cs="Times New Roman"/>
          <w:szCs w:val="22"/>
          <w:u w:val="single"/>
        </w:rPr>
        <w:t>HFOs</w:t>
      </w:r>
    </w:p>
    <w:p w:rsidR="00874679" w:rsidRPr="00062E29" w:rsidRDefault="00874679" w:rsidP="00874679">
      <w:pPr>
        <w:rPr>
          <w:rFonts w:cs="Times New Roman"/>
          <w:szCs w:val="22"/>
        </w:rPr>
      </w:pPr>
      <w:r w:rsidRPr="00062E29">
        <w:rPr>
          <w:rFonts w:cs="Times New Roman"/>
          <w:szCs w:val="22"/>
        </w:rPr>
        <w:t xml:space="preserve">In November 2009, SAE released its assessment of HFO-1234yf which concluded that this gas was “a suitable and environmentally friendly refrigerant with comparable cooling performance and fuel use to HFC-134a that can be safely accommodated through established industry standards and practices for vehicle design, engineering, manufacturing, and service”. </w:t>
      </w:r>
    </w:p>
    <w:p w:rsidR="00874679" w:rsidRPr="00062E29" w:rsidRDefault="00874679" w:rsidP="00874679">
      <w:pPr>
        <w:rPr>
          <w:rFonts w:cs="Times New Roman"/>
          <w:szCs w:val="22"/>
        </w:rPr>
      </w:pPr>
      <w:r w:rsidRPr="00062E29">
        <w:rPr>
          <w:rFonts w:cs="Times New Roman"/>
          <w:szCs w:val="22"/>
        </w:rPr>
        <w:t xml:space="preserve">Since that time </w:t>
      </w:r>
      <w:r w:rsidR="00FB0FAC">
        <w:rPr>
          <w:rFonts w:cs="Times New Roman"/>
          <w:szCs w:val="22"/>
        </w:rPr>
        <w:t xml:space="preserve">sufficient numbers of the leading </w:t>
      </w:r>
      <w:r w:rsidRPr="00062E29">
        <w:rPr>
          <w:rFonts w:cs="Times New Roman"/>
          <w:szCs w:val="22"/>
        </w:rPr>
        <w:t>vehicle manufacturers</w:t>
      </w:r>
      <w:r w:rsidR="00FB0FAC">
        <w:rPr>
          <w:rFonts w:cs="Times New Roman"/>
          <w:szCs w:val="22"/>
        </w:rPr>
        <w:t>, such as GM, Ford, Chrysler and Honda,</w:t>
      </w:r>
      <w:r w:rsidRPr="00062E29">
        <w:rPr>
          <w:rFonts w:cs="Times New Roman"/>
          <w:szCs w:val="22"/>
        </w:rPr>
        <w:t xml:space="preserve"> have endorsed </w:t>
      </w:r>
      <w:r w:rsidR="00FB0FAC">
        <w:rPr>
          <w:rFonts w:cs="Times New Roman"/>
          <w:szCs w:val="22"/>
        </w:rPr>
        <w:t xml:space="preserve">the use of </w:t>
      </w:r>
      <w:r w:rsidRPr="00062E29">
        <w:rPr>
          <w:rFonts w:cs="Times New Roman"/>
          <w:szCs w:val="22"/>
        </w:rPr>
        <w:t xml:space="preserve">HFO-1234yf </w:t>
      </w:r>
      <w:r w:rsidR="00FB0FAC">
        <w:rPr>
          <w:rFonts w:cs="Times New Roman"/>
          <w:szCs w:val="22"/>
        </w:rPr>
        <w:t xml:space="preserve">in </w:t>
      </w:r>
      <w:r w:rsidRPr="00062E29">
        <w:rPr>
          <w:rFonts w:cs="Times New Roman"/>
          <w:szCs w:val="22"/>
        </w:rPr>
        <w:t xml:space="preserve">mobile </w:t>
      </w:r>
      <w:r w:rsidR="0069138E">
        <w:rPr>
          <w:rFonts w:cs="Times New Roman"/>
          <w:szCs w:val="22"/>
        </w:rPr>
        <w:t>AC</w:t>
      </w:r>
      <w:r w:rsidR="00FB0FAC">
        <w:rPr>
          <w:rFonts w:cs="Times New Roman"/>
          <w:szCs w:val="22"/>
        </w:rPr>
        <w:t xml:space="preserve"> for industrial gas manufacturers to commit to large scale production facilities</w:t>
      </w:r>
      <w:r w:rsidRPr="00062E29">
        <w:rPr>
          <w:rFonts w:cs="Times New Roman"/>
          <w:szCs w:val="22"/>
        </w:rPr>
        <w:t xml:space="preserve">. In May 2010, DuPont and Honeywell announced a manufacturing joint venture in China to produce HFO-1234yf. Daikin-Arkema also announced </w:t>
      </w:r>
      <w:r w:rsidR="009A6BBA">
        <w:rPr>
          <w:rFonts w:cs="Times New Roman"/>
          <w:szCs w:val="22"/>
        </w:rPr>
        <w:t>its</w:t>
      </w:r>
      <w:r w:rsidR="009A6BBA" w:rsidRPr="00062E29">
        <w:rPr>
          <w:rFonts w:cs="Times New Roman"/>
          <w:szCs w:val="22"/>
        </w:rPr>
        <w:t xml:space="preserve"> </w:t>
      </w:r>
      <w:r w:rsidRPr="00062E29">
        <w:rPr>
          <w:rFonts w:cs="Times New Roman"/>
          <w:szCs w:val="22"/>
        </w:rPr>
        <w:t xml:space="preserve">intention to produce HFO-1234yf on an industrial scale in Europe to meet the time frame for the automotive industry established under European Directive </w:t>
      </w:r>
      <w:r>
        <w:rPr>
          <w:rFonts w:cs="Times New Roman"/>
          <w:szCs w:val="22"/>
        </w:rPr>
        <w:t>(</w:t>
      </w:r>
      <w:r w:rsidRPr="00BE62DE">
        <w:t>EC Directive 2006/40</w:t>
      </w:r>
      <w:r>
        <w:t>/CE</w:t>
      </w:r>
      <w:r>
        <w:rPr>
          <w:rFonts w:cs="Times New Roman"/>
          <w:szCs w:val="22"/>
        </w:rPr>
        <w:t>)</w:t>
      </w:r>
      <w:r w:rsidRPr="00062E29">
        <w:rPr>
          <w:rFonts w:cs="Times New Roman"/>
          <w:szCs w:val="22"/>
        </w:rPr>
        <w:t>.</w:t>
      </w:r>
    </w:p>
    <w:p w:rsidR="00874679" w:rsidRPr="00062E29" w:rsidRDefault="00874679" w:rsidP="00874679">
      <w:pPr>
        <w:rPr>
          <w:rFonts w:cs="Times New Roman"/>
          <w:szCs w:val="22"/>
        </w:rPr>
      </w:pPr>
      <w:r w:rsidRPr="00062E29">
        <w:rPr>
          <w:rFonts w:cs="Times New Roman"/>
          <w:szCs w:val="22"/>
        </w:rPr>
        <w:t xml:space="preserve">In the US new regulations underpinning improvements in fleet vehicle fuel economy, known as CAFE (Corporate Average Fuel Economy) includes a concession for auto makers who use HFOs in </w:t>
      </w:r>
      <w:r w:rsidR="00A45241">
        <w:rPr>
          <w:rFonts w:cs="Times New Roman"/>
          <w:szCs w:val="22"/>
        </w:rPr>
        <w:t xml:space="preserve">mobile </w:t>
      </w:r>
      <w:r w:rsidRPr="00062E29">
        <w:rPr>
          <w:rFonts w:cs="Times New Roman"/>
          <w:szCs w:val="22"/>
        </w:rPr>
        <w:t xml:space="preserve">AC systems, giving them some credit towards meeting total greenhouse emission targets of vehicles over their life. As a result US auto makers are also preparing to employ HFOs in </w:t>
      </w:r>
      <w:r w:rsidR="00A45241">
        <w:rPr>
          <w:rFonts w:cs="Times New Roman"/>
          <w:szCs w:val="22"/>
        </w:rPr>
        <w:t xml:space="preserve">mobile </w:t>
      </w:r>
      <w:r w:rsidRPr="00062E29">
        <w:rPr>
          <w:rFonts w:cs="Times New Roman"/>
          <w:szCs w:val="22"/>
        </w:rPr>
        <w:t xml:space="preserve">AC in passenger and light commercial vehicles. </w:t>
      </w:r>
    </w:p>
    <w:p w:rsidR="00874679" w:rsidRPr="00062E29" w:rsidRDefault="00874679" w:rsidP="00874679">
      <w:pPr>
        <w:rPr>
          <w:rFonts w:cs="Times New Roman"/>
          <w:szCs w:val="22"/>
        </w:rPr>
      </w:pPr>
      <w:r w:rsidRPr="00062E29">
        <w:rPr>
          <w:rFonts w:cs="Times New Roman"/>
          <w:szCs w:val="22"/>
        </w:rPr>
        <w:t>In December 2013, citing this emerging demand from US auto makers, Honeywell announced plans to invest $300 million in expanding HFO production at one of their existing refrigerant gas manufacturing plants in Louisiana. Claiming that there were already half a million cars on the road that use HFOs, Honeywell said the plant would be in production by 2016</w:t>
      </w:r>
      <w:r w:rsidR="00896796">
        <w:rPr>
          <w:rFonts w:cs="Times New Roman"/>
          <w:szCs w:val="22"/>
        </w:rPr>
        <w:t>. I</w:t>
      </w:r>
      <w:r w:rsidRPr="00062E29">
        <w:rPr>
          <w:rFonts w:cs="Times New Roman"/>
          <w:szCs w:val="22"/>
        </w:rPr>
        <w:t>n 2013 Honeywell also announced the launch of a repackaging (bottling) plant for HFO’s in Japan to better serve Asian demand (presumably from Japanese and Korean auto makers).</w:t>
      </w:r>
    </w:p>
    <w:p w:rsidR="00874679" w:rsidRPr="00062E29" w:rsidRDefault="00874679" w:rsidP="00874679">
      <w:pPr>
        <w:rPr>
          <w:rFonts w:cs="Times New Roman"/>
          <w:szCs w:val="22"/>
        </w:rPr>
      </w:pPr>
      <w:r w:rsidRPr="00062E29">
        <w:rPr>
          <w:rFonts w:cs="Times New Roman"/>
          <w:szCs w:val="22"/>
        </w:rPr>
        <w:t>As a result of these developments the change from HFC-134a to HFO-1234yf seems to be the most likely outcome for MACs, because many of the main players in global auto industry have decided to employ this working gas. This would suggest that remaining auto makers will have to follow as the auto industry is one that favo</w:t>
      </w:r>
      <w:r w:rsidR="004A7211">
        <w:rPr>
          <w:rFonts w:cs="Times New Roman"/>
          <w:szCs w:val="22"/>
        </w:rPr>
        <w:t>u</w:t>
      </w:r>
      <w:r w:rsidRPr="00062E29">
        <w:rPr>
          <w:rFonts w:cs="Times New Roman"/>
          <w:szCs w:val="22"/>
        </w:rPr>
        <w:t xml:space="preserve">rs global options for components and consumables like AC systems. </w:t>
      </w:r>
    </w:p>
    <w:p w:rsidR="00874679" w:rsidRDefault="00874679" w:rsidP="00874679">
      <w:pPr>
        <w:rPr>
          <w:rFonts w:cs="Times New Roman"/>
          <w:szCs w:val="22"/>
        </w:rPr>
      </w:pPr>
      <w:r w:rsidRPr="00062E29">
        <w:rPr>
          <w:rFonts w:cs="Times New Roman"/>
          <w:szCs w:val="22"/>
        </w:rPr>
        <w:t>Even so it has to be noted that, for the time being there is resistance to the global adoption of HFOs by German automakers</w:t>
      </w:r>
      <w:r w:rsidR="00FB0FAC">
        <w:rPr>
          <w:rFonts w:cs="Times New Roman"/>
          <w:szCs w:val="22"/>
        </w:rPr>
        <w:t xml:space="preserve"> (Daimler, BMW and Volkswagon)</w:t>
      </w:r>
      <w:r w:rsidRPr="00062E29">
        <w:rPr>
          <w:rFonts w:cs="Times New Roman"/>
          <w:szCs w:val="22"/>
        </w:rPr>
        <w:t xml:space="preserve">, even though the clear preference of companies outside Germany would be to change to HFO-1234yf. Such a transition is likely to garner regulator support as well as the logic of it is also supported by LCCP analysis, which shows that HFO-1234yf would be superior to </w:t>
      </w:r>
      <w:r>
        <w:rPr>
          <w:rFonts w:cs="Times New Roman"/>
          <w:szCs w:val="22"/>
        </w:rPr>
        <w:t>CO</w:t>
      </w:r>
      <w:r w:rsidRPr="00560D5A">
        <w:rPr>
          <w:rFonts w:cs="Times New Roman"/>
          <w:szCs w:val="22"/>
          <w:vertAlign w:val="subscript"/>
        </w:rPr>
        <w:t>2</w:t>
      </w:r>
      <w:r>
        <w:rPr>
          <w:rFonts w:cs="Times New Roman"/>
          <w:szCs w:val="22"/>
        </w:rPr>
        <w:t xml:space="preserve"> </w:t>
      </w:r>
      <w:r w:rsidRPr="00062E29">
        <w:rPr>
          <w:rFonts w:cs="Times New Roman"/>
          <w:szCs w:val="22"/>
        </w:rPr>
        <w:t>for most ambient temperatures (UNEP 2013c, p81).</w:t>
      </w:r>
    </w:p>
    <w:p w:rsidR="00A23FF3" w:rsidRPr="00062E29" w:rsidRDefault="00A23FF3" w:rsidP="00874679">
      <w:pPr>
        <w:rPr>
          <w:rFonts w:cs="Times New Roman"/>
          <w:szCs w:val="22"/>
        </w:rPr>
      </w:pPr>
      <w:r>
        <w:rPr>
          <w:rFonts w:cs="Times New Roman"/>
          <w:szCs w:val="22"/>
        </w:rPr>
        <w:t xml:space="preserve">The most recent announcement </w:t>
      </w:r>
      <w:r w:rsidR="00145E68">
        <w:rPr>
          <w:rFonts w:cs="Times New Roman"/>
          <w:szCs w:val="22"/>
        </w:rPr>
        <w:t xml:space="preserve">(March 2014) </w:t>
      </w:r>
      <w:r>
        <w:rPr>
          <w:rFonts w:cs="Times New Roman"/>
          <w:szCs w:val="22"/>
        </w:rPr>
        <w:t xml:space="preserve">on this topic is that the </w:t>
      </w:r>
      <w:r w:rsidRPr="00A23FF3">
        <w:rPr>
          <w:rFonts w:cs="Times New Roman"/>
          <w:szCs w:val="22"/>
        </w:rPr>
        <w:t>European Commission's scientific and technical body has concluded that new low</w:t>
      </w:r>
      <w:r w:rsidR="00145E68">
        <w:rPr>
          <w:rFonts w:cs="Times New Roman"/>
          <w:szCs w:val="22"/>
        </w:rPr>
        <w:t xml:space="preserve"> </w:t>
      </w:r>
      <w:r w:rsidRPr="00A23FF3">
        <w:rPr>
          <w:rFonts w:cs="Times New Roman"/>
          <w:szCs w:val="22"/>
        </w:rPr>
        <w:t>global</w:t>
      </w:r>
      <w:r w:rsidR="00145E68">
        <w:rPr>
          <w:rFonts w:cs="Times New Roman"/>
          <w:szCs w:val="22"/>
        </w:rPr>
        <w:t xml:space="preserve"> </w:t>
      </w:r>
      <w:r w:rsidRPr="00A23FF3">
        <w:rPr>
          <w:rFonts w:cs="Times New Roman"/>
          <w:szCs w:val="22"/>
        </w:rPr>
        <w:t>warming</w:t>
      </w:r>
      <w:r w:rsidR="00145E68">
        <w:rPr>
          <w:rFonts w:cs="Times New Roman"/>
          <w:szCs w:val="22"/>
        </w:rPr>
        <w:t xml:space="preserve"> </w:t>
      </w:r>
      <w:r w:rsidRPr="00A23FF3">
        <w:rPr>
          <w:rFonts w:cs="Times New Roman"/>
          <w:szCs w:val="22"/>
        </w:rPr>
        <w:t xml:space="preserve">potential mobile </w:t>
      </w:r>
      <w:r w:rsidR="00635328">
        <w:rPr>
          <w:rFonts w:cs="Times New Roman"/>
          <w:szCs w:val="22"/>
        </w:rPr>
        <w:t>AC</w:t>
      </w:r>
      <w:r w:rsidRPr="00A23FF3">
        <w:rPr>
          <w:rFonts w:cs="Times New Roman"/>
          <w:szCs w:val="22"/>
        </w:rPr>
        <w:t xml:space="preserve"> refrigerant, HFO-1234yf, is safe for use in automobiles, marking the final word in a thorough and inclusive evaluation process.</w:t>
      </w:r>
      <w:r>
        <w:rPr>
          <w:rFonts w:cs="Times New Roman"/>
          <w:szCs w:val="22"/>
        </w:rPr>
        <w:t xml:space="preserve"> Following a </w:t>
      </w:r>
      <w:r w:rsidRPr="00A23FF3">
        <w:rPr>
          <w:rFonts w:cs="Times New Roman"/>
          <w:szCs w:val="22"/>
        </w:rPr>
        <w:t>three</w:t>
      </w:r>
      <w:r w:rsidR="00145E68">
        <w:rPr>
          <w:rFonts w:cs="Times New Roman"/>
          <w:szCs w:val="22"/>
        </w:rPr>
        <w:t xml:space="preserve"> </w:t>
      </w:r>
      <w:r w:rsidRPr="00A23FF3">
        <w:rPr>
          <w:rFonts w:cs="Times New Roman"/>
          <w:szCs w:val="22"/>
        </w:rPr>
        <w:t>month evaluation during which it thoroughly reviewed the extensive testing done by a range of leading automakers as well as the world's foremost automotive engineering body, SAE International, and independent test agencies.</w:t>
      </w:r>
      <w:r>
        <w:rPr>
          <w:rFonts w:cs="Times New Roman"/>
          <w:szCs w:val="22"/>
        </w:rPr>
        <w:t xml:space="preserve"> The </w:t>
      </w:r>
      <w:r w:rsidRPr="00A23FF3">
        <w:rPr>
          <w:rFonts w:cs="Times New Roman"/>
          <w:szCs w:val="22"/>
        </w:rPr>
        <w:t>European Commission said in statement. "The review reinforces the conclusions by the German market surveillance authorities, the KBA</w:t>
      </w:r>
      <w:r>
        <w:rPr>
          <w:rFonts w:cs="Times New Roman"/>
          <w:szCs w:val="22"/>
        </w:rPr>
        <w:t xml:space="preserve"> </w:t>
      </w:r>
      <w:r w:rsidRPr="00A23FF3">
        <w:rPr>
          <w:rFonts w:cs="Times New Roman"/>
          <w:szCs w:val="22"/>
        </w:rPr>
        <w:t>(Kraftfahrt Bundesamt), which stated that there is no sufficient supporting evidence of a serious risk that would entail the intervention of the authorities."</w:t>
      </w:r>
    </w:p>
    <w:p w:rsidR="00874679" w:rsidRPr="00062E29" w:rsidRDefault="00874679" w:rsidP="00874679">
      <w:pPr>
        <w:rPr>
          <w:rFonts w:cs="Times New Roman"/>
          <w:szCs w:val="22"/>
        </w:rPr>
      </w:pPr>
      <w:r w:rsidRPr="00062E29">
        <w:rPr>
          <w:rFonts w:cs="Times New Roman"/>
          <w:szCs w:val="22"/>
        </w:rPr>
        <w:t xml:space="preserve">A final consideration for the auto industry is that it has been announced by chemical companies that the cost of the chemical is expected to be 5 to 7 times more than that of HFC-134a. However it has to be noted that in the chemical industries, prices could vary by a factor of 10 depending on production and sales volume. One OEM that has proceeded with implementing this refrigerant stated that the total cost of the system, including the chemical and other components, was </w:t>
      </w:r>
      <w:r>
        <w:rPr>
          <w:rFonts w:cs="Times New Roman"/>
          <w:szCs w:val="22"/>
        </w:rPr>
        <w:t>US</w:t>
      </w:r>
      <w:r w:rsidRPr="00062E29">
        <w:rPr>
          <w:rFonts w:cs="Times New Roman"/>
          <w:szCs w:val="22"/>
        </w:rPr>
        <w:t>$75 more than an HFC-134a system (UNEP 2013c, p82).</w:t>
      </w:r>
    </w:p>
    <w:p w:rsidR="00874679" w:rsidRPr="00C97974" w:rsidRDefault="00874679" w:rsidP="00874679">
      <w:pPr>
        <w:spacing w:before="240"/>
        <w:rPr>
          <w:rFonts w:cs="Times New Roman"/>
          <w:szCs w:val="22"/>
          <w:u w:val="single"/>
        </w:rPr>
      </w:pPr>
      <w:r w:rsidRPr="00C97974">
        <w:rPr>
          <w:rFonts w:cs="Times New Roman"/>
          <w:szCs w:val="22"/>
          <w:u w:val="single"/>
        </w:rPr>
        <w:t>Other Options</w:t>
      </w:r>
    </w:p>
    <w:p w:rsidR="00874679" w:rsidRPr="00062E29" w:rsidRDefault="00874679" w:rsidP="00874679">
      <w:pPr>
        <w:rPr>
          <w:rFonts w:cs="Times New Roman"/>
          <w:szCs w:val="22"/>
        </w:rPr>
      </w:pPr>
      <w:r w:rsidRPr="00062E29">
        <w:rPr>
          <w:rFonts w:cs="Times New Roman"/>
          <w:szCs w:val="22"/>
        </w:rPr>
        <w:t>HFC-152a (GWP of 140) was considered as a potential alternative in the original SAE International study as it exhibited good energy efficiency and cooling performance. However no international vehicle manufacturer has adopted this alternative, as it requires additional safety requirements to mitigate higher flammability risks than some other options.</w:t>
      </w:r>
    </w:p>
    <w:p w:rsidR="00874679" w:rsidRPr="00062E29" w:rsidRDefault="00874679" w:rsidP="00874679">
      <w:pPr>
        <w:rPr>
          <w:rFonts w:cs="Times New Roman"/>
          <w:szCs w:val="22"/>
        </w:rPr>
      </w:pPr>
      <w:r w:rsidRPr="00062E29">
        <w:rPr>
          <w:rFonts w:cs="Times New Roman"/>
          <w:szCs w:val="22"/>
        </w:rPr>
        <w:t>The concern about the use of flammable refrigerants in cars was expressed particularly strongly by the German auto makers. These same safety concerns are a strong barrier</w:t>
      </w:r>
      <w:r>
        <w:rPr>
          <w:rFonts w:cs="Times New Roman"/>
          <w:szCs w:val="22"/>
        </w:rPr>
        <w:t xml:space="preserve"> against the use of HCs in cars</w:t>
      </w:r>
      <w:r w:rsidRPr="00062E29">
        <w:rPr>
          <w:rFonts w:cs="Times New Roman"/>
          <w:szCs w:val="22"/>
        </w:rPr>
        <w:t xml:space="preserve"> (UNEP 2013c, p81).</w:t>
      </w:r>
    </w:p>
    <w:p w:rsidR="00874679" w:rsidRPr="00062E29" w:rsidRDefault="00874679" w:rsidP="00874679">
      <w:pPr>
        <w:rPr>
          <w:rFonts w:cs="Times New Roman"/>
          <w:szCs w:val="22"/>
        </w:rPr>
      </w:pPr>
      <w:r w:rsidRPr="00062E29">
        <w:rPr>
          <w:rFonts w:cs="Times New Roman"/>
          <w:szCs w:val="22"/>
        </w:rPr>
        <w:t xml:space="preserve">It should be noted that hydrocarbons (HC-290 or blends) were not even considered in the SAE International evaluation due to the high flammability classification, the additional safety requirements, regulatory and skills barriers that have been widely documented, and the potential for public liabilities. </w:t>
      </w:r>
      <w:r w:rsidRPr="009F5A15">
        <w:rPr>
          <w:rFonts w:cs="Times New Roman"/>
          <w:szCs w:val="22"/>
        </w:rPr>
        <w:t xml:space="preserve">There are at least five hydrocarbon refrigerant suppliers in Australia that collectively supply around 60 </w:t>
      </w:r>
      <w:r w:rsidR="00896796">
        <w:rPr>
          <w:rFonts w:cs="Times New Roman"/>
          <w:szCs w:val="22"/>
        </w:rPr>
        <w:t>tonnes</w:t>
      </w:r>
      <w:r w:rsidRPr="009F5A15">
        <w:rPr>
          <w:rFonts w:cs="Times New Roman"/>
          <w:szCs w:val="22"/>
        </w:rPr>
        <w:t xml:space="preserve"> of refrigerant per annum to the automotive aftermarket, and HC-436 (a blend of R600a and R290) is </w:t>
      </w:r>
      <w:r>
        <w:rPr>
          <w:rFonts w:cs="Times New Roman"/>
          <w:szCs w:val="22"/>
        </w:rPr>
        <w:t>the most common retrofit option (Source: Natural refrigerant survey 2012 and 2013).</w:t>
      </w:r>
    </w:p>
    <w:p w:rsidR="00874679" w:rsidRPr="00062E29" w:rsidRDefault="00874679" w:rsidP="00874679">
      <w:pPr>
        <w:rPr>
          <w:rFonts w:cs="Times New Roman"/>
          <w:szCs w:val="22"/>
        </w:rPr>
      </w:pPr>
      <w:r w:rsidRPr="00062E29">
        <w:rPr>
          <w:rFonts w:cs="Times New Roman"/>
          <w:szCs w:val="22"/>
        </w:rPr>
        <w:t xml:space="preserve">This fact of the Australian </w:t>
      </w:r>
      <w:r w:rsidR="00A45241">
        <w:rPr>
          <w:rFonts w:cs="Times New Roman"/>
          <w:szCs w:val="22"/>
        </w:rPr>
        <w:t xml:space="preserve">mobile </w:t>
      </w:r>
      <w:r w:rsidRPr="00062E29">
        <w:rPr>
          <w:rFonts w:cs="Times New Roman"/>
          <w:szCs w:val="22"/>
        </w:rPr>
        <w:t>AC industry provides a local alternative pathway for aftermarket retrofits of HFC-134a charged systems, and may be able to contribute to a more rapid migration of the existing fleet away from HFC-134a than would be achieved through the natural attrition of vehicles reaching end-of-life or being written off.</w:t>
      </w:r>
    </w:p>
    <w:p w:rsidR="00874679" w:rsidRPr="000024EA" w:rsidRDefault="00874679" w:rsidP="00874679">
      <w:pPr>
        <w:spacing w:before="240"/>
        <w:rPr>
          <w:rFonts w:cs="Times New Roman"/>
          <w:szCs w:val="22"/>
          <w:u w:val="single"/>
        </w:rPr>
      </w:pPr>
      <w:r w:rsidRPr="000024EA">
        <w:rPr>
          <w:rFonts w:cs="Times New Roman"/>
          <w:szCs w:val="22"/>
          <w:u w:val="single"/>
        </w:rPr>
        <w:t xml:space="preserve">Larger </w:t>
      </w:r>
      <w:r w:rsidR="00A45241">
        <w:rPr>
          <w:rFonts w:cs="Times New Roman"/>
          <w:szCs w:val="22"/>
          <w:u w:val="single"/>
        </w:rPr>
        <w:t xml:space="preserve">mobile </w:t>
      </w:r>
      <w:r w:rsidRPr="000024EA">
        <w:rPr>
          <w:rFonts w:cs="Times New Roman"/>
          <w:szCs w:val="22"/>
          <w:u w:val="single"/>
        </w:rPr>
        <w:t>AC systems</w:t>
      </w:r>
    </w:p>
    <w:p w:rsidR="00874679" w:rsidRPr="00062E29" w:rsidRDefault="00874679" w:rsidP="00874679">
      <w:pPr>
        <w:rPr>
          <w:rFonts w:cs="Times New Roman"/>
          <w:szCs w:val="22"/>
        </w:rPr>
      </w:pPr>
      <w:r w:rsidRPr="00062E29">
        <w:rPr>
          <w:rFonts w:cs="Times New Roman"/>
          <w:szCs w:val="22"/>
        </w:rPr>
        <w:t xml:space="preserve">There is a global and Australian market for large </w:t>
      </w:r>
      <w:r w:rsidR="00A45241">
        <w:rPr>
          <w:rFonts w:cs="Times New Roman"/>
          <w:szCs w:val="22"/>
        </w:rPr>
        <w:t xml:space="preserve">mobile </w:t>
      </w:r>
      <w:r w:rsidRPr="00062E29">
        <w:rPr>
          <w:rFonts w:cs="Times New Roman"/>
          <w:szCs w:val="22"/>
        </w:rPr>
        <w:t>systems, most often used in public transport such as in buses and trains, but also used in unregistered vehicles, heavy equipment and off-road vehicles, that could potentially migrate along a different path to the smaller private vehicle and light commercial vehicle systems.</w:t>
      </w:r>
    </w:p>
    <w:p w:rsidR="00874679" w:rsidRPr="00062E29" w:rsidRDefault="00874679" w:rsidP="00874679">
      <w:pPr>
        <w:rPr>
          <w:rFonts w:cs="Times New Roman"/>
          <w:szCs w:val="22"/>
        </w:rPr>
      </w:pPr>
      <w:r w:rsidRPr="00062E29">
        <w:rPr>
          <w:rFonts w:cs="Times New Roman"/>
          <w:szCs w:val="22"/>
        </w:rPr>
        <w:t>AC systems for these specialised vehicles, such as harvesters, trains and buses are similar and are produced in small series of some hundreds per year. The cooling capacities vary from 10 to 35 kW</w:t>
      </w:r>
      <w:r>
        <w:rPr>
          <w:rFonts w:cs="Times New Roman"/>
          <w:szCs w:val="22"/>
        </w:rPr>
        <w:t>r</w:t>
      </w:r>
      <w:r w:rsidRPr="00062E29">
        <w:rPr>
          <w:rFonts w:cs="Times New Roman"/>
          <w:szCs w:val="22"/>
        </w:rPr>
        <w:t xml:space="preserve"> depending on the size of the bus or the train car</w:t>
      </w:r>
      <w:r>
        <w:rPr>
          <w:rFonts w:cs="Times New Roman"/>
          <w:szCs w:val="22"/>
        </w:rPr>
        <w:t>riage</w:t>
      </w:r>
      <w:r w:rsidRPr="00062E29">
        <w:rPr>
          <w:rFonts w:cs="Times New Roman"/>
          <w:szCs w:val="22"/>
        </w:rPr>
        <w:t xml:space="preserve"> to be serviced (UNEP 2013c, p82).</w:t>
      </w:r>
    </w:p>
    <w:p w:rsidR="00874679" w:rsidRPr="00062E29" w:rsidRDefault="00874679" w:rsidP="00874679">
      <w:pPr>
        <w:rPr>
          <w:rFonts w:cs="Times New Roman"/>
          <w:szCs w:val="22"/>
        </w:rPr>
      </w:pPr>
      <w:r w:rsidRPr="00062E29">
        <w:rPr>
          <w:rFonts w:cs="Times New Roman"/>
          <w:szCs w:val="22"/>
        </w:rPr>
        <w:t>Because of the small batch production runs and higher value of the individual units, makers of these systems can potentially afford to adopt working gases and technical solutions that are not supported by the auto makers.</w:t>
      </w:r>
    </w:p>
    <w:p w:rsidR="00874679" w:rsidRPr="00062E29" w:rsidRDefault="00874679" w:rsidP="00874679">
      <w:pPr>
        <w:rPr>
          <w:rFonts w:cs="Times New Roman"/>
          <w:szCs w:val="22"/>
        </w:rPr>
      </w:pPr>
      <w:r w:rsidRPr="00062E29">
        <w:rPr>
          <w:rFonts w:cs="Times New Roman"/>
          <w:szCs w:val="22"/>
        </w:rPr>
        <w:t>In buses greater than 7 metres, passenger rail and locomotives, future options th</w:t>
      </w:r>
      <w:r w:rsidR="0006760D">
        <w:rPr>
          <w:rFonts w:cs="Times New Roman"/>
          <w:szCs w:val="22"/>
        </w:rPr>
        <w:t>at can be considered include HFO</w:t>
      </w:r>
      <w:r w:rsidRPr="00062E29">
        <w:rPr>
          <w:rFonts w:cs="Times New Roman"/>
          <w:szCs w:val="22"/>
        </w:rPr>
        <w:t xml:space="preserve">-1234yf, </w:t>
      </w:r>
      <w:r>
        <w:rPr>
          <w:rFonts w:cs="Times New Roman"/>
          <w:szCs w:val="22"/>
        </w:rPr>
        <w:t>CO</w:t>
      </w:r>
      <w:r w:rsidRPr="00560D5A">
        <w:rPr>
          <w:rFonts w:cs="Times New Roman"/>
          <w:szCs w:val="22"/>
          <w:vertAlign w:val="subscript"/>
        </w:rPr>
        <w:t>2</w:t>
      </w:r>
      <w:r w:rsidRPr="00062E29">
        <w:rPr>
          <w:rFonts w:cs="Times New Roman"/>
          <w:szCs w:val="22"/>
        </w:rPr>
        <w:t>, new blends, and possibly the relatively novel Brayton-Joule air cycle (UNEP 2013c, p4).</w:t>
      </w:r>
    </w:p>
    <w:p w:rsidR="00874679" w:rsidRPr="00062E29" w:rsidRDefault="001459B6" w:rsidP="00874679">
      <w:pPr>
        <w:rPr>
          <w:rFonts w:cs="Times New Roman"/>
          <w:szCs w:val="22"/>
        </w:rPr>
      </w:pPr>
      <w:r>
        <w:rPr>
          <w:rFonts w:cs="Times New Roman"/>
          <w:szCs w:val="22"/>
        </w:rPr>
        <w:t>CO</w:t>
      </w:r>
      <w:r w:rsidRPr="00632436">
        <w:rPr>
          <w:rFonts w:cs="Times New Roman"/>
          <w:szCs w:val="22"/>
          <w:vertAlign w:val="subscript"/>
        </w:rPr>
        <w:t>2</w:t>
      </w:r>
      <w:r w:rsidR="00874679" w:rsidRPr="00062E29">
        <w:rPr>
          <w:rFonts w:cs="Times New Roman"/>
          <w:szCs w:val="22"/>
        </w:rPr>
        <w:t xml:space="preserve"> systems have been under development and deployed by one company in Germany since 1996 and now boasts a total fleet of about 50 city buses. In moderate climates, </w:t>
      </w:r>
      <w:r w:rsidR="00B252F2">
        <w:rPr>
          <w:rFonts w:cs="Times New Roman"/>
          <w:szCs w:val="22"/>
        </w:rPr>
        <w:t>CO</w:t>
      </w:r>
      <w:r w:rsidR="00B252F2" w:rsidRPr="00632436">
        <w:rPr>
          <w:rFonts w:cs="Times New Roman"/>
          <w:szCs w:val="22"/>
          <w:vertAlign w:val="subscript"/>
        </w:rPr>
        <w:t>2</w:t>
      </w:r>
      <w:r w:rsidR="00874679" w:rsidRPr="00062E29">
        <w:rPr>
          <w:rFonts w:cs="Times New Roman"/>
          <w:szCs w:val="22"/>
        </w:rPr>
        <w:t xml:space="preserve"> performs well and lessons learned from several years of experiences do not show significant </w:t>
      </w:r>
      <w:r w:rsidR="00B93751">
        <w:rPr>
          <w:rFonts w:cs="Times New Roman"/>
          <w:szCs w:val="22"/>
        </w:rPr>
        <w:t>issues</w:t>
      </w:r>
      <w:r w:rsidR="00874679" w:rsidRPr="00062E29">
        <w:rPr>
          <w:rFonts w:cs="Times New Roman"/>
          <w:szCs w:val="22"/>
        </w:rPr>
        <w:t xml:space="preserve">. Another German manufacturer sells </w:t>
      </w:r>
      <w:r>
        <w:rPr>
          <w:rFonts w:cs="Times New Roman"/>
          <w:szCs w:val="22"/>
        </w:rPr>
        <w:t>CO</w:t>
      </w:r>
      <w:r w:rsidRPr="00632436">
        <w:rPr>
          <w:rFonts w:cs="Times New Roman"/>
          <w:szCs w:val="22"/>
          <w:vertAlign w:val="subscript"/>
        </w:rPr>
        <w:t>2</w:t>
      </w:r>
      <w:r w:rsidR="00874679" w:rsidRPr="00062E29">
        <w:rPr>
          <w:rFonts w:cs="Times New Roman"/>
          <w:szCs w:val="22"/>
        </w:rPr>
        <w:t xml:space="preserve"> based AC systems for trains (UNEP 2013c, p82). The alternative air cycle (Brayton-Joule) technology has also been installed on more than 100 ICE trains (UNEP 2013c, p80).</w:t>
      </w:r>
    </w:p>
    <w:p w:rsidR="00874679" w:rsidRPr="00062E29" w:rsidRDefault="00874679" w:rsidP="00874679">
      <w:pPr>
        <w:rPr>
          <w:rFonts w:cs="Times New Roman"/>
          <w:szCs w:val="22"/>
        </w:rPr>
      </w:pPr>
      <w:r w:rsidRPr="00062E29">
        <w:rPr>
          <w:rFonts w:cs="Times New Roman"/>
          <w:szCs w:val="22"/>
        </w:rPr>
        <w:t>While these alternatives are proven and promising, as Australia is largely a technology taker in this area as well, the HFO-1234yf development for car AC systems will have direct consequences for bus and train AC systems currently operated on HFC-134a (UNEP 2013c, p82).</w:t>
      </w:r>
    </w:p>
    <w:p w:rsidR="00874679" w:rsidRPr="00062E29" w:rsidRDefault="00874679" w:rsidP="00874679">
      <w:pPr>
        <w:rPr>
          <w:rFonts w:cs="Times New Roman"/>
          <w:szCs w:val="22"/>
        </w:rPr>
      </w:pPr>
      <w:r w:rsidRPr="00062E29">
        <w:rPr>
          <w:rFonts w:cs="Times New Roman"/>
          <w:szCs w:val="22"/>
        </w:rPr>
        <w:t xml:space="preserve">The refrigerant cost, although greater than the usual price, is not a strong barrier, because its cost represents less than 1% of the total cost of those AC systems. The change from HFC-134a to HFO-1234yf is a relatively easy technical option. The possible shift from </w:t>
      </w:r>
      <w:r>
        <w:rPr>
          <w:rFonts w:cs="Times New Roman"/>
          <w:szCs w:val="22"/>
        </w:rPr>
        <w:t>HFC</w:t>
      </w:r>
      <w:r w:rsidRPr="00062E29">
        <w:rPr>
          <w:rFonts w:cs="Times New Roman"/>
          <w:szCs w:val="22"/>
        </w:rPr>
        <w:t xml:space="preserve">-407C, also found in larger </w:t>
      </w:r>
      <w:r w:rsidR="00A45241">
        <w:rPr>
          <w:rFonts w:cs="Times New Roman"/>
          <w:szCs w:val="22"/>
        </w:rPr>
        <w:t xml:space="preserve">mobile </w:t>
      </w:r>
      <w:r w:rsidRPr="00062E29">
        <w:rPr>
          <w:rFonts w:cs="Times New Roman"/>
          <w:szCs w:val="22"/>
        </w:rPr>
        <w:t>AC systems, to new low GWP blends is also assessed as being technically low risk (UNEP 2013c, p82).</w:t>
      </w:r>
    </w:p>
    <w:p w:rsidR="00E83F53" w:rsidRPr="00062E29" w:rsidRDefault="00874679" w:rsidP="00874679">
      <w:pPr>
        <w:rPr>
          <w:rFonts w:cs="Times New Roman"/>
          <w:szCs w:val="22"/>
        </w:rPr>
      </w:pPr>
      <w:r w:rsidRPr="00062E29">
        <w:rPr>
          <w:rFonts w:cs="Times New Roman"/>
          <w:szCs w:val="22"/>
        </w:rPr>
        <w:t>Once again hydrocarbons are thought to generally not be applicable in trains and bus AC systems due to safety issues in public transportation (UNEP 2013c, p82).</w:t>
      </w:r>
    </w:p>
    <w:p w:rsidR="00E83F53" w:rsidRPr="008B1958" w:rsidRDefault="00E83F53" w:rsidP="00E83F53">
      <w:pPr>
        <w:spacing w:before="240" w:after="120"/>
        <w:rPr>
          <w:rFonts w:cs="Times New Roman"/>
          <w:b/>
          <w:szCs w:val="22"/>
        </w:rPr>
      </w:pPr>
      <w:r w:rsidRPr="00062E29">
        <w:rPr>
          <w:rFonts w:cs="Times New Roman"/>
          <w:b/>
          <w:szCs w:val="22"/>
        </w:rPr>
        <w:t>Scope for Australian industry to transition</w:t>
      </w:r>
    </w:p>
    <w:p w:rsidR="00874679" w:rsidRDefault="00874679" w:rsidP="00874679">
      <w:pPr>
        <w:spacing w:after="120"/>
        <w:rPr>
          <w:rFonts w:cs="Times New Roman"/>
          <w:szCs w:val="22"/>
        </w:rPr>
      </w:pPr>
      <w:r>
        <w:rPr>
          <w:rFonts w:cs="Times New Roman"/>
          <w:szCs w:val="22"/>
        </w:rPr>
        <w:t>The move by global automakers to support HFOs as the standard working gas for MACs suggests that the Australian market will move steadily away from the domination of HFC-134a in this application over the period to 2025.</w:t>
      </w:r>
    </w:p>
    <w:p w:rsidR="00874679" w:rsidRDefault="00874679" w:rsidP="00874679">
      <w:pPr>
        <w:spacing w:after="120"/>
        <w:rPr>
          <w:rFonts w:cs="Times New Roman"/>
          <w:szCs w:val="22"/>
        </w:rPr>
      </w:pPr>
      <w:r>
        <w:rPr>
          <w:rFonts w:cs="Times New Roman"/>
          <w:szCs w:val="22"/>
        </w:rPr>
        <w:t xml:space="preserve">Projections of the transition of the bank and service demand away from HFC-134a indicate that by 2025 around </w:t>
      </w:r>
      <w:r w:rsidRPr="002208EE">
        <w:rPr>
          <w:rFonts w:cs="Times New Roman"/>
          <w:szCs w:val="22"/>
        </w:rPr>
        <w:t>4</w:t>
      </w:r>
      <w:r w:rsidR="007D2403">
        <w:rPr>
          <w:rFonts w:cs="Times New Roman"/>
          <w:szCs w:val="22"/>
        </w:rPr>
        <w:t>6</w:t>
      </w:r>
      <w:r>
        <w:rPr>
          <w:rFonts w:cs="Times New Roman"/>
          <w:szCs w:val="22"/>
        </w:rPr>
        <w:t xml:space="preserve">% of the fleet, or approximately </w:t>
      </w:r>
      <w:r w:rsidR="007D2403">
        <w:rPr>
          <w:rFonts w:cs="Times New Roman"/>
          <w:szCs w:val="22"/>
        </w:rPr>
        <w:t>9.1</w:t>
      </w:r>
      <w:r>
        <w:rPr>
          <w:rFonts w:cs="Times New Roman"/>
          <w:szCs w:val="22"/>
        </w:rPr>
        <w:t xml:space="preserve"> million </w:t>
      </w:r>
      <w:r w:rsidR="007D2403">
        <w:rPr>
          <w:rFonts w:cs="Times New Roman"/>
          <w:szCs w:val="22"/>
        </w:rPr>
        <w:t xml:space="preserve">registered </w:t>
      </w:r>
      <w:r>
        <w:rPr>
          <w:rFonts w:cs="Times New Roman"/>
          <w:szCs w:val="22"/>
        </w:rPr>
        <w:t>vehicles, will have MACs that are charged with low GWP gases including hydrocarbons, CO</w:t>
      </w:r>
      <w:r w:rsidRPr="008B1958">
        <w:rPr>
          <w:rFonts w:cs="Times New Roman"/>
          <w:szCs w:val="22"/>
          <w:vertAlign w:val="subscript"/>
        </w:rPr>
        <w:t>2</w:t>
      </w:r>
      <w:r>
        <w:rPr>
          <w:rFonts w:cs="Times New Roman"/>
          <w:szCs w:val="22"/>
        </w:rPr>
        <w:t xml:space="preserve"> and HFOs.</w:t>
      </w:r>
    </w:p>
    <w:p w:rsidR="00874679" w:rsidRDefault="00896796" w:rsidP="00874679">
      <w:pPr>
        <w:spacing w:after="120"/>
        <w:rPr>
          <w:rFonts w:cs="Times New Roman"/>
          <w:szCs w:val="22"/>
        </w:rPr>
      </w:pPr>
      <w:r>
        <w:rPr>
          <w:rFonts w:cs="Times New Roman"/>
          <w:szCs w:val="22"/>
        </w:rPr>
        <w:t>S</w:t>
      </w:r>
      <w:r w:rsidR="00874679">
        <w:rPr>
          <w:rFonts w:cs="Times New Roman"/>
          <w:szCs w:val="22"/>
        </w:rPr>
        <w:t xml:space="preserve">ales of vehicles equipped with HFO charged MACs </w:t>
      </w:r>
      <w:r w:rsidR="00502E04">
        <w:rPr>
          <w:rFonts w:cs="Times New Roman"/>
          <w:szCs w:val="22"/>
        </w:rPr>
        <w:t>commence</w:t>
      </w:r>
      <w:r w:rsidR="001E4EF6">
        <w:rPr>
          <w:rFonts w:cs="Times New Roman"/>
          <w:szCs w:val="22"/>
        </w:rPr>
        <w:t>d in small numbers</w:t>
      </w:r>
      <w:r w:rsidR="00874679">
        <w:rPr>
          <w:rFonts w:cs="Times New Roman"/>
          <w:szCs w:val="22"/>
        </w:rPr>
        <w:t xml:space="preserve"> in 201</w:t>
      </w:r>
      <w:r w:rsidR="001E4EF6">
        <w:rPr>
          <w:rFonts w:cs="Times New Roman"/>
          <w:szCs w:val="22"/>
        </w:rPr>
        <w:t>3 and will increase from now on</w:t>
      </w:r>
      <w:r w:rsidR="00874679">
        <w:rPr>
          <w:rFonts w:cs="Times New Roman"/>
          <w:szCs w:val="22"/>
        </w:rPr>
        <w:t>. S</w:t>
      </w:r>
      <w:r>
        <w:rPr>
          <w:rFonts w:cs="Times New Roman"/>
          <w:szCs w:val="22"/>
        </w:rPr>
        <w:t>even</w:t>
      </w:r>
      <w:r w:rsidR="00874679">
        <w:rPr>
          <w:rFonts w:cs="Times New Roman"/>
          <w:szCs w:val="22"/>
        </w:rPr>
        <w:t xml:space="preserve"> years later, by 2021, the transition model projects that the total number of vehicles on the road, equipped with HFO charged MACs will surpass the total number of vehicles with hydrocarbon charged MACs. </w:t>
      </w:r>
    </w:p>
    <w:p w:rsidR="00874679" w:rsidRDefault="00874679" w:rsidP="00874679">
      <w:pPr>
        <w:spacing w:after="120"/>
        <w:rPr>
          <w:rFonts w:cs="Times New Roman"/>
          <w:szCs w:val="22"/>
        </w:rPr>
      </w:pPr>
      <w:r>
        <w:rPr>
          <w:rFonts w:cs="Times New Roman"/>
          <w:szCs w:val="22"/>
        </w:rPr>
        <w:t>By 2025, out of a projected total fleet of more than 1</w:t>
      </w:r>
      <w:r w:rsidR="007D2403">
        <w:rPr>
          <w:rFonts w:cs="Times New Roman"/>
          <w:szCs w:val="22"/>
        </w:rPr>
        <w:t>9.9</w:t>
      </w:r>
      <w:r>
        <w:rPr>
          <w:rFonts w:cs="Times New Roman"/>
          <w:szCs w:val="22"/>
        </w:rPr>
        <w:t xml:space="preserve"> million </w:t>
      </w:r>
      <w:r w:rsidR="007D2403">
        <w:rPr>
          <w:rFonts w:cs="Times New Roman"/>
          <w:szCs w:val="22"/>
        </w:rPr>
        <w:t xml:space="preserve">registered </w:t>
      </w:r>
      <w:r>
        <w:rPr>
          <w:rFonts w:cs="Times New Roman"/>
          <w:szCs w:val="22"/>
        </w:rPr>
        <w:t>vehicles, HFOs are expected to be the dominant low GWP working charge, followed by hydrocarbons charged systems and a smaller portion of CO</w:t>
      </w:r>
      <w:r w:rsidRPr="008B1958">
        <w:rPr>
          <w:rFonts w:cs="Times New Roman"/>
          <w:szCs w:val="22"/>
          <w:vertAlign w:val="subscript"/>
        </w:rPr>
        <w:t>2</w:t>
      </w:r>
      <w:r>
        <w:rPr>
          <w:rFonts w:cs="Times New Roman"/>
          <w:szCs w:val="22"/>
        </w:rPr>
        <w:t xml:space="preserve"> systems equating to </w:t>
      </w:r>
      <w:r w:rsidR="007D2403">
        <w:rPr>
          <w:rFonts w:cs="Times New Roman"/>
          <w:szCs w:val="22"/>
        </w:rPr>
        <w:t>9.1</w:t>
      </w:r>
      <w:r>
        <w:rPr>
          <w:rFonts w:cs="Times New Roman"/>
          <w:szCs w:val="22"/>
        </w:rPr>
        <w:t xml:space="preserve"> million vehicles with AC containing refrigerant with a GWP &lt;10.</w:t>
      </w:r>
    </w:p>
    <w:p w:rsidR="00874679" w:rsidRDefault="00874679" w:rsidP="00874679">
      <w:pPr>
        <w:pStyle w:val="PlainText"/>
        <w:spacing w:after="120"/>
        <w:jc w:val="both"/>
        <w:rPr>
          <w:rFonts w:ascii="Times New Roman" w:eastAsiaTheme="minorEastAsia" w:hAnsi="Times New Roman" w:cs="Times New Roman"/>
          <w:szCs w:val="22"/>
          <w:lang w:val="en-GB"/>
        </w:rPr>
      </w:pPr>
      <w:r>
        <w:rPr>
          <w:rFonts w:ascii="Times New Roman" w:eastAsiaTheme="minorEastAsia" w:hAnsi="Times New Roman" w:cs="Times New Roman"/>
          <w:szCs w:val="22"/>
          <w:lang w:val="en-GB"/>
        </w:rPr>
        <w:t xml:space="preserve">Based on the assumptions listed below </w:t>
      </w:r>
      <w:r w:rsidRPr="006A6BA7">
        <w:rPr>
          <w:rFonts w:ascii="Times New Roman" w:eastAsiaTheme="minorEastAsia" w:hAnsi="Times New Roman" w:cs="Times New Roman"/>
          <w:i/>
          <w:szCs w:val="22"/>
          <w:lang w:val="en-GB"/>
        </w:rPr>
        <w:t xml:space="preserve">Figure </w:t>
      </w:r>
      <w:r w:rsidR="007D2403">
        <w:rPr>
          <w:rFonts w:ascii="Times New Roman" w:eastAsiaTheme="minorEastAsia" w:hAnsi="Times New Roman" w:cs="Times New Roman"/>
          <w:i/>
          <w:szCs w:val="22"/>
          <w:lang w:val="en-GB"/>
        </w:rPr>
        <w:t>37</w:t>
      </w:r>
      <w:r>
        <w:rPr>
          <w:rFonts w:ascii="Times New Roman" w:eastAsiaTheme="minorEastAsia" w:hAnsi="Times New Roman" w:cs="Times New Roman"/>
          <w:szCs w:val="22"/>
          <w:lang w:val="en-GB"/>
        </w:rPr>
        <w:t xml:space="preserve">, these projections indicate that in 2025 the fleet will still contain some </w:t>
      </w:r>
      <w:r w:rsidR="007D2403">
        <w:rPr>
          <w:rFonts w:ascii="Times New Roman" w:eastAsiaTheme="minorEastAsia" w:hAnsi="Times New Roman" w:cs="Times New Roman"/>
          <w:szCs w:val="22"/>
          <w:lang w:val="en-GB"/>
        </w:rPr>
        <w:t>10.8</w:t>
      </w:r>
      <w:r>
        <w:rPr>
          <w:rFonts w:ascii="Times New Roman" w:eastAsiaTheme="minorEastAsia" w:hAnsi="Times New Roman" w:cs="Times New Roman"/>
          <w:szCs w:val="22"/>
          <w:lang w:val="en-GB"/>
        </w:rPr>
        <w:t xml:space="preserve"> million vehicles fitted with MACs charged with HFC-134a that will continue to consume approximately </w:t>
      </w:r>
      <w:r w:rsidRPr="002208EE">
        <w:rPr>
          <w:rFonts w:ascii="Times New Roman" w:eastAsiaTheme="minorEastAsia" w:hAnsi="Times New Roman" w:cs="Times New Roman"/>
          <w:szCs w:val="22"/>
          <w:lang w:val="en-GB"/>
        </w:rPr>
        <w:t>5</w:t>
      </w:r>
      <w:r w:rsidR="00393EE8">
        <w:rPr>
          <w:rFonts w:ascii="Times New Roman" w:eastAsiaTheme="minorEastAsia" w:hAnsi="Times New Roman" w:cs="Times New Roman"/>
          <w:szCs w:val="22"/>
          <w:lang w:val="en-GB"/>
        </w:rPr>
        <w:t>50</w:t>
      </w:r>
      <w:r>
        <w:rPr>
          <w:rFonts w:ascii="Times New Roman" w:eastAsiaTheme="minorEastAsia" w:hAnsi="Times New Roman" w:cs="Times New Roman"/>
          <w:szCs w:val="22"/>
          <w:lang w:val="en-GB"/>
        </w:rPr>
        <w:t xml:space="preserve"> tonnes per annum of bulk imports at that time. This is a significant reduction in demand, down around 6</w:t>
      </w:r>
      <w:r w:rsidR="00393EE8">
        <w:rPr>
          <w:rFonts w:ascii="Times New Roman" w:eastAsiaTheme="minorEastAsia" w:hAnsi="Times New Roman" w:cs="Times New Roman"/>
          <w:szCs w:val="22"/>
          <w:lang w:val="en-GB"/>
        </w:rPr>
        <w:t>40</w:t>
      </w:r>
      <w:r>
        <w:rPr>
          <w:rFonts w:ascii="Times New Roman" w:eastAsiaTheme="minorEastAsia" w:hAnsi="Times New Roman" w:cs="Times New Roman"/>
          <w:szCs w:val="22"/>
          <w:lang w:val="en-GB"/>
        </w:rPr>
        <w:t xml:space="preserve"> tonnes per annum from the presently estimated </w:t>
      </w:r>
      <w:r w:rsidRPr="002208EE">
        <w:rPr>
          <w:rFonts w:ascii="Times New Roman" w:eastAsiaTheme="minorEastAsia" w:hAnsi="Times New Roman" w:cs="Times New Roman"/>
          <w:szCs w:val="22"/>
          <w:lang w:val="en-GB"/>
        </w:rPr>
        <w:t>1,1</w:t>
      </w:r>
      <w:r w:rsidR="00393EE8">
        <w:rPr>
          <w:rFonts w:ascii="Times New Roman" w:eastAsiaTheme="minorEastAsia" w:hAnsi="Times New Roman" w:cs="Times New Roman"/>
          <w:szCs w:val="22"/>
          <w:lang w:val="en-GB"/>
        </w:rPr>
        <w:t>90</w:t>
      </w:r>
      <w:r w:rsidRPr="002208EE">
        <w:rPr>
          <w:rFonts w:ascii="Times New Roman" w:eastAsiaTheme="minorEastAsia" w:hAnsi="Times New Roman" w:cs="Times New Roman"/>
          <w:szCs w:val="22"/>
          <w:lang w:val="en-GB"/>
        </w:rPr>
        <w:t xml:space="preserve"> tonnes</w:t>
      </w:r>
      <w:r>
        <w:rPr>
          <w:rFonts w:ascii="Times New Roman" w:eastAsiaTheme="minorEastAsia" w:hAnsi="Times New Roman" w:cs="Times New Roman"/>
          <w:szCs w:val="22"/>
          <w:lang w:val="en-GB"/>
        </w:rPr>
        <w:t xml:space="preserve"> of bulk imports required for service and OEMs in 2013. </w:t>
      </w:r>
    </w:p>
    <w:p w:rsidR="00874679" w:rsidRDefault="00874679" w:rsidP="00874679">
      <w:pPr>
        <w:pStyle w:val="PlainText"/>
        <w:spacing w:after="120"/>
        <w:jc w:val="both"/>
        <w:rPr>
          <w:rFonts w:ascii="Times New Roman" w:eastAsiaTheme="minorEastAsia" w:hAnsi="Times New Roman" w:cs="Times New Roman"/>
          <w:szCs w:val="22"/>
          <w:lang w:val="en-GB"/>
        </w:rPr>
      </w:pPr>
      <w:r w:rsidRPr="00632436">
        <w:rPr>
          <w:rFonts w:ascii="Times New Roman" w:eastAsiaTheme="minorEastAsia" w:hAnsi="Times New Roman" w:cs="Times New Roman"/>
          <w:szCs w:val="22"/>
          <w:lang w:val="en-GB"/>
        </w:rPr>
        <w:t xml:space="preserve">As part of this projection it is assumed that both Ford and Holden cease making cars in Australia by 2016 as previously announced, and that Toyota continues at the current level of production until the end of 2017. As a result OEM demand for HFCs drops to just 4 tonnes in 2017 (from around 135 tonnes in 2013) after the closure of Ford and Holden. With Toyota’s production ceasing in 2017 all demand for bulk imported high GWP HFCs </w:t>
      </w:r>
      <w:r w:rsidR="00B93751" w:rsidRPr="00632436">
        <w:rPr>
          <w:rFonts w:ascii="Times New Roman" w:eastAsiaTheme="minorEastAsia" w:hAnsi="Times New Roman" w:cs="Times New Roman"/>
          <w:szCs w:val="22"/>
          <w:lang w:val="en-GB"/>
        </w:rPr>
        <w:t xml:space="preserve">in this sector </w:t>
      </w:r>
      <w:r w:rsidRPr="00632436">
        <w:rPr>
          <w:rFonts w:ascii="Times New Roman" w:eastAsiaTheme="minorEastAsia" w:hAnsi="Times New Roman" w:cs="Times New Roman"/>
          <w:szCs w:val="22"/>
          <w:lang w:val="en-GB"/>
        </w:rPr>
        <w:t>after that time is expected to be entirely for service of MACs in existing vehicles</w:t>
      </w:r>
      <w:r w:rsidRPr="00896796">
        <w:rPr>
          <w:rFonts w:ascii="Times New Roman" w:eastAsiaTheme="minorEastAsia" w:hAnsi="Times New Roman" w:cs="Times New Roman"/>
          <w:szCs w:val="22"/>
          <w:lang w:val="en-GB"/>
        </w:rPr>
        <w:t>.</w:t>
      </w:r>
      <w:r>
        <w:rPr>
          <w:rFonts w:ascii="Times New Roman" w:eastAsiaTheme="minorEastAsia" w:hAnsi="Times New Roman" w:cs="Times New Roman"/>
          <w:szCs w:val="22"/>
          <w:lang w:val="en-GB"/>
        </w:rPr>
        <w:t xml:space="preserve"> </w:t>
      </w:r>
    </w:p>
    <w:p w:rsidR="00874679" w:rsidRDefault="00874679" w:rsidP="00874679">
      <w:pPr>
        <w:pStyle w:val="PlainText"/>
        <w:spacing w:after="120"/>
        <w:jc w:val="both"/>
        <w:rPr>
          <w:rFonts w:ascii="Times New Roman" w:eastAsiaTheme="minorEastAsia" w:hAnsi="Times New Roman" w:cs="Times New Roman"/>
          <w:szCs w:val="22"/>
          <w:lang w:val="en-GB"/>
        </w:rPr>
      </w:pPr>
      <w:r>
        <w:rPr>
          <w:rFonts w:ascii="Times New Roman" w:eastAsiaTheme="minorEastAsia" w:hAnsi="Times New Roman" w:cs="Times New Roman"/>
          <w:szCs w:val="22"/>
          <w:lang w:val="en-GB"/>
        </w:rPr>
        <w:t>There is potential for this service demand to be lower at that time if, for instance, the existing and predicted rate of conversion to hydrocarbons in the aftermarket servicing of MACs, and possibly conversions to HFOs, are higher than expected.</w:t>
      </w:r>
    </w:p>
    <w:p w:rsidR="00874679" w:rsidRDefault="00874679" w:rsidP="00874679">
      <w:pPr>
        <w:spacing w:after="120"/>
        <w:rPr>
          <w:rFonts w:cs="Times New Roman"/>
          <w:szCs w:val="22"/>
        </w:rPr>
      </w:pPr>
      <w:r>
        <w:rPr>
          <w:rFonts w:cs="Times New Roman"/>
          <w:szCs w:val="22"/>
        </w:rPr>
        <w:t>However t</w:t>
      </w:r>
      <w:r w:rsidRPr="00B46F62">
        <w:rPr>
          <w:rFonts w:cs="Times New Roman"/>
          <w:szCs w:val="22"/>
        </w:rPr>
        <w:t>here are uncertainties regarding the future adoption rates of em</w:t>
      </w:r>
      <w:r>
        <w:rPr>
          <w:rFonts w:cs="Times New Roman"/>
          <w:szCs w:val="22"/>
        </w:rPr>
        <w:t xml:space="preserve">erging HFOs and HFO blends that </w:t>
      </w:r>
      <w:r w:rsidRPr="00E83F53">
        <w:rPr>
          <w:rFonts w:cs="Times New Roman"/>
          <w:szCs w:val="22"/>
        </w:rPr>
        <w:t>are classed as ‘mildly flammable’, or</w:t>
      </w:r>
      <w:r>
        <w:rPr>
          <w:rFonts w:cs="Times New Roman"/>
          <w:szCs w:val="22"/>
        </w:rPr>
        <w:t xml:space="preserve"> A2L under </w:t>
      </w:r>
      <w:r w:rsidRPr="00CF2A69">
        <w:rPr>
          <w:rFonts w:cs="Times New Roman"/>
          <w:i/>
          <w:szCs w:val="22"/>
        </w:rPr>
        <w:t>ISO 817, Refrigerants - Designation and safety classification</w:t>
      </w:r>
      <w:r>
        <w:rPr>
          <w:rFonts w:cs="Times New Roman"/>
          <w:szCs w:val="22"/>
        </w:rPr>
        <w:t>.</w:t>
      </w:r>
    </w:p>
    <w:p w:rsidR="00874679" w:rsidRDefault="00874679" w:rsidP="00874679">
      <w:pPr>
        <w:pStyle w:val="PlainText"/>
        <w:spacing w:after="120"/>
        <w:jc w:val="both"/>
        <w:rPr>
          <w:rFonts w:ascii="Times New Roman" w:eastAsiaTheme="minorEastAsia" w:hAnsi="Times New Roman" w:cs="Times New Roman"/>
          <w:szCs w:val="22"/>
          <w:lang w:val="en-GB"/>
        </w:rPr>
      </w:pPr>
      <w:r w:rsidRPr="00B46F62">
        <w:rPr>
          <w:rFonts w:ascii="Times New Roman" w:eastAsiaTheme="minorEastAsia" w:hAnsi="Times New Roman" w:cs="Times New Roman"/>
          <w:szCs w:val="22"/>
          <w:lang w:val="en-GB"/>
        </w:rPr>
        <w:t xml:space="preserve">Therefore the modelling does not consider retrofit of A2L refrigerants into existing equipment designed for class 1, non-flammable refrigerants. </w:t>
      </w:r>
    </w:p>
    <w:p w:rsidR="00E83F53" w:rsidRDefault="00874679" w:rsidP="00874679">
      <w:pPr>
        <w:pStyle w:val="PlainText"/>
        <w:spacing w:after="120"/>
        <w:jc w:val="both"/>
        <w:rPr>
          <w:rFonts w:ascii="Times New Roman" w:eastAsiaTheme="minorEastAsia" w:hAnsi="Times New Roman" w:cs="Times New Roman"/>
          <w:szCs w:val="22"/>
          <w:lang w:val="en-GB"/>
        </w:rPr>
      </w:pPr>
      <w:r>
        <w:rPr>
          <w:rFonts w:ascii="Times New Roman" w:eastAsiaTheme="minorEastAsia" w:hAnsi="Times New Roman" w:cs="Times New Roman"/>
          <w:szCs w:val="22"/>
          <w:lang w:val="en-GB"/>
        </w:rPr>
        <w:t xml:space="preserve">It is technical plausible, and likely that </w:t>
      </w:r>
      <w:r w:rsidRPr="00B46F62">
        <w:rPr>
          <w:rFonts w:ascii="Times New Roman" w:eastAsiaTheme="minorEastAsia" w:hAnsi="Times New Roman" w:cs="Times New Roman"/>
          <w:szCs w:val="22"/>
          <w:lang w:val="en-GB"/>
        </w:rPr>
        <w:t xml:space="preserve">class 1 non-flammable HFO blends </w:t>
      </w:r>
      <w:r>
        <w:rPr>
          <w:rFonts w:ascii="Times New Roman" w:eastAsiaTheme="minorEastAsia" w:hAnsi="Times New Roman" w:cs="Times New Roman"/>
          <w:szCs w:val="22"/>
          <w:lang w:val="en-GB"/>
        </w:rPr>
        <w:t xml:space="preserve">will be developed and marketed </w:t>
      </w:r>
      <w:r w:rsidRPr="00B46F62">
        <w:rPr>
          <w:rFonts w:ascii="Times New Roman" w:eastAsiaTheme="minorEastAsia" w:hAnsi="Times New Roman" w:cs="Times New Roman"/>
          <w:szCs w:val="22"/>
          <w:lang w:val="en-GB"/>
        </w:rPr>
        <w:t>to be retrofitted into equipment designed for clas</w:t>
      </w:r>
      <w:r>
        <w:rPr>
          <w:rFonts w:ascii="Times New Roman" w:eastAsiaTheme="minorEastAsia" w:hAnsi="Times New Roman" w:cs="Times New Roman"/>
          <w:szCs w:val="22"/>
          <w:lang w:val="en-GB"/>
        </w:rPr>
        <w:t xml:space="preserve">s 1, non-flammable refrigerants, </w:t>
      </w:r>
      <w:r w:rsidRPr="00B46F62">
        <w:rPr>
          <w:rFonts w:ascii="Times New Roman" w:eastAsiaTheme="minorEastAsia" w:hAnsi="Times New Roman" w:cs="Times New Roman"/>
          <w:szCs w:val="22"/>
          <w:lang w:val="en-GB"/>
        </w:rPr>
        <w:t>providing manufacturers retrofit guidelines are followed</w:t>
      </w:r>
      <w:r w:rsidR="00E1231C">
        <w:rPr>
          <w:rFonts w:ascii="Times New Roman" w:eastAsiaTheme="minorEastAsia" w:hAnsi="Times New Roman" w:cs="Times New Roman"/>
          <w:szCs w:val="22"/>
          <w:lang w:val="en-GB"/>
        </w:rPr>
        <w:t xml:space="preserve"> (much in the same way that CFC 12 systems were retrofitted to </w:t>
      </w:r>
      <w:r w:rsidR="00393EE8">
        <w:rPr>
          <w:rFonts w:ascii="Times New Roman" w:eastAsiaTheme="minorEastAsia" w:hAnsi="Times New Roman" w:cs="Times New Roman"/>
          <w:szCs w:val="22"/>
          <w:lang w:val="en-GB"/>
        </w:rPr>
        <w:t>HFC-</w:t>
      </w:r>
      <w:r w:rsidR="00E1231C">
        <w:rPr>
          <w:rFonts w:ascii="Times New Roman" w:eastAsiaTheme="minorEastAsia" w:hAnsi="Times New Roman" w:cs="Times New Roman"/>
          <w:szCs w:val="22"/>
          <w:lang w:val="en-GB"/>
        </w:rPr>
        <w:t>134a when CFCs were phased out in Australia)</w:t>
      </w:r>
      <w:r w:rsidRPr="00B46F62">
        <w:rPr>
          <w:rFonts w:ascii="Times New Roman" w:eastAsiaTheme="minorEastAsia" w:hAnsi="Times New Roman" w:cs="Times New Roman"/>
          <w:szCs w:val="22"/>
          <w:lang w:val="en-GB"/>
        </w:rPr>
        <w:t>.</w:t>
      </w:r>
      <w:r>
        <w:rPr>
          <w:rFonts w:ascii="Times New Roman" w:eastAsiaTheme="minorEastAsia" w:hAnsi="Times New Roman" w:cs="Times New Roman"/>
          <w:szCs w:val="22"/>
          <w:lang w:val="en-GB"/>
        </w:rPr>
        <w:t xml:space="preserve"> However the timing of that likely development is too uncertain to include in modelling at this time.</w:t>
      </w:r>
    </w:p>
    <w:p w:rsidR="001459B6" w:rsidRDefault="001459B6" w:rsidP="00874679">
      <w:pPr>
        <w:pStyle w:val="PlainText"/>
        <w:spacing w:after="120"/>
        <w:jc w:val="both"/>
        <w:rPr>
          <w:rFonts w:ascii="Times New Roman" w:eastAsiaTheme="minorEastAsia" w:hAnsi="Times New Roman" w:cs="Times New Roman"/>
          <w:szCs w:val="22"/>
          <w:lang w:val="en-GB"/>
        </w:rPr>
      </w:pPr>
      <w:r>
        <w:rPr>
          <w:rFonts w:ascii="Times New Roman" w:eastAsiaTheme="minorEastAsia" w:hAnsi="Times New Roman" w:cs="Times New Roman"/>
          <w:szCs w:val="22"/>
          <w:lang w:val="en-GB"/>
        </w:rPr>
        <w:t>Ultimately it has to be said that even if the technical and commercial barriers to CO</w:t>
      </w:r>
      <w:r w:rsidRPr="00632436">
        <w:rPr>
          <w:rFonts w:ascii="Times New Roman" w:eastAsiaTheme="minorEastAsia" w:hAnsi="Times New Roman" w:cs="Times New Roman"/>
          <w:szCs w:val="22"/>
          <w:vertAlign w:val="subscript"/>
          <w:lang w:val="en-GB"/>
        </w:rPr>
        <w:t>2</w:t>
      </w:r>
      <w:r>
        <w:rPr>
          <w:rFonts w:ascii="Times New Roman" w:eastAsiaTheme="minorEastAsia" w:hAnsi="Times New Roman" w:cs="Times New Roman"/>
          <w:szCs w:val="22"/>
          <w:lang w:val="en-GB"/>
        </w:rPr>
        <w:t xml:space="preserve"> systems are rapidly overcome, and CO</w:t>
      </w:r>
      <w:r w:rsidRPr="00632436">
        <w:rPr>
          <w:rFonts w:ascii="Times New Roman" w:eastAsiaTheme="minorEastAsia" w:hAnsi="Times New Roman" w:cs="Times New Roman"/>
          <w:szCs w:val="22"/>
          <w:vertAlign w:val="subscript"/>
          <w:lang w:val="en-GB"/>
        </w:rPr>
        <w:t>2</w:t>
      </w:r>
      <w:r>
        <w:rPr>
          <w:rFonts w:ascii="Times New Roman" w:eastAsiaTheme="minorEastAsia" w:hAnsi="Times New Roman" w:cs="Times New Roman"/>
          <w:szCs w:val="22"/>
          <w:lang w:val="en-GB"/>
        </w:rPr>
        <w:t xml:space="preserve"> systems are aggressively marketed to automakers, achieving a rapidly growing market share, and resulting in a lower share of the global </w:t>
      </w:r>
      <w:r w:rsidR="00A45241">
        <w:rPr>
          <w:rFonts w:ascii="Times New Roman" w:eastAsiaTheme="minorEastAsia" w:hAnsi="Times New Roman" w:cs="Times New Roman"/>
          <w:szCs w:val="22"/>
          <w:lang w:val="en-GB"/>
        </w:rPr>
        <w:t xml:space="preserve">mobile </w:t>
      </w:r>
      <w:r>
        <w:rPr>
          <w:rFonts w:ascii="Times New Roman" w:eastAsiaTheme="minorEastAsia" w:hAnsi="Times New Roman" w:cs="Times New Roman"/>
          <w:szCs w:val="22"/>
          <w:lang w:val="en-GB"/>
        </w:rPr>
        <w:t>AC market for HFOs than predicted, the outcome for the CO</w:t>
      </w:r>
      <w:r w:rsidRPr="00632436">
        <w:rPr>
          <w:rFonts w:ascii="Times New Roman" w:eastAsiaTheme="minorEastAsia" w:hAnsi="Times New Roman" w:cs="Times New Roman"/>
          <w:szCs w:val="22"/>
          <w:vertAlign w:val="subscript"/>
          <w:lang w:val="en-GB"/>
        </w:rPr>
        <w:t>2</w:t>
      </w:r>
      <w:r w:rsidR="00977C4A" w:rsidRPr="00F51E53">
        <w:rPr>
          <w:rFonts w:ascii="Times New Roman" w:eastAsiaTheme="minorEastAsia" w:hAnsi="Times New Roman" w:cs="Times New Roman"/>
          <w:szCs w:val="22"/>
          <w:lang w:val="en-GB"/>
        </w:rPr>
        <w:t>-</w:t>
      </w:r>
      <w:r>
        <w:rPr>
          <w:rFonts w:ascii="Times New Roman" w:eastAsiaTheme="minorEastAsia" w:hAnsi="Times New Roman" w:cs="Times New Roman"/>
          <w:szCs w:val="22"/>
          <w:lang w:val="en-GB"/>
        </w:rPr>
        <w:t xml:space="preserve">e value of the Australian bank of refrigerant gas and annual consumption will not be much different. </w:t>
      </w:r>
    </w:p>
    <w:p w:rsidR="001459B6" w:rsidRDefault="001459B6" w:rsidP="00874679">
      <w:pPr>
        <w:pStyle w:val="PlainText"/>
        <w:spacing w:after="120"/>
        <w:jc w:val="both"/>
        <w:rPr>
          <w:rFonts w:ascii="Times New Roman" w:eastAsiaTheme="minorEastAsia" w:hAnsi="Times New Roman" w:cs="Times New Roman"/>
          <w:szCs w:val="22"/>
          <w:lang w:val="en-GB"/>
        </w:rPr>
      </w:pPr>
      <w:r>
        <w:rPr>
          <w:rFonts w:ascii="Times New Roman" w:eastAsiaTheme="minorEastAsia" w:hAnsi="Times New Roman" w:cs="Times New Roman"/>
          <w:szCs w:val="22"/>
          <w:lang w:val="en-GB"/>
        </w:rPr>
        <w:t xml:space="preserve">Further, the early commercialisation advantage achieved by HFOs, the commitment to HFO </w:t>
      </w:r>
      <w:r w:rsidR="00B66A12">
        <w:rPr>
          <w:rFonts w:ascii="Times New Roman" w:eastAsiaTheme="minorEastAsia" w:hAnsi="Times New Roman" w:cs="Times New Roman"/>
          <w:szCs w:val="22"/>
          <w:lang w:val="en-GB"/>
        </w:rPr>
        <w:t xml:space="preserve">production </w:t>
      </w:r>
      <w:r>
        <w:rPr>
          <w:rFonts w:ascii="Times New Roman" w:eastAsiaTheme="minorEastAsia" w:hAnsi="Times New Roman" w:cs="Times New Roman"/>
          <w:szCs w:val="22"/>
          <w:lang w:val="en-GB"/>
        </w:rPr>
        <w:t>facilities by major manufacturers, the number of vehicle makers adopting HFOs</w:t>
      </w:r>
      <w:r w:rsidR="00B66A12">
        <w:rPr>
          <w:rFonts w:ascii="Times New Roman" w:eastAsiaTheme="minorEastAsia" w:hAnsi="Times New Roman" w:cs="Times New Roman"/>
          <w:szCs w:val="22"/>
          <w:lang w:val="en-GB"/>
        </w:rPr>
        <w:t>,</w:t>
      </w:r>
      <w:r>
        <w:rPr>
          <w:rFonts w:ascii="Times New Roman" w:eastAsiaTheme="minorEastAsia" w:hAnsi="Times New Roman" w:cs="Times New Roman"/>
          <w:szCs w:val="22"/>
          <w:lang w:val="en-GB"/>
        </w:rPr>
        <w:t xml:space="preserve"> and the supportive regulation for low GWP </w:t>
      </w:r>
      <w:r w:rsidR="00A45241">
        <w:rPr>
          <w:rFonts w:ascii="Times New Roman" w:eastAsiaTheme="minorEastAsia" w:hAnsi="Times New Roman" w:cs="Times New Roman"/>
          <w:szCs w:val="22"/>
          <w:lang w:val="en-GB"/>
        </w:rPr>
        <w:t xml:space="preserve">mobile </w:t>
      </w:r>
      <w:r>
        <w:rPr>
          <w:rFonts w:ascii="Times New Roman" w:eastAsiaTheme="minorEastAsia" w:hAnsi="Times New Roman" w:cs="Times New Roman"/>
          <w:szCs w:val="22"/>
          <w:lang w:val="en-GB"/>
        </w:rPr>
        <w:t>AC systems</w:t>
      </w:r>
      <w:r w:rsidR="00B66A12">
        <w:rPr>
          <w:rFonts w:ascii="Times New Roman" w:eastAsiaTheme="minorEastAsia" w:hAnsi="Times New Roman" w:cs="Times New Roman"/>
          <w:szCs w:val="22"/>
          <w:lang w:val="en-GB"/>
        </w:rPr>
        <w:t>, all</w:t>
      </w:r>
      <w:r>
        <w:rPr>
          <w:rFonts w:ascii="Times New Roman" w:eastAsiaTheme="minorEastAsia" w:hAnsi="Times New Roman" w:cs="Times New Roman"/>
          <w:szCs w:val="22"/>
          <w:lang w:val="en-GB"/>
        </w:rPr>
        <w:t xml:space="preserve"> support the authors conclusions that HFOs will be manufactured at sufficient volume for the projections of the use of HFOs and blends in other sectors will be achieved</w:t>
      </w:r>
      <w:r w:rsidR="00B66A12">
        <w:rPr>
          <w:rFonts w:ascii="Times New Roman" w:eastAsiaTheme="minorEastAsia" w:hAnsi="Times New Roman" w:cs="Times New Roman"/>
          <w:szCs w:val="22"/>
          <w:lang w:val="en-GB"/>
        </w:rPr>
        <w:t xml:space="preserve">, irrespective of the </w:t>
      </w:r>
      <w:r w:rsidR="00F62ED1">
        <w:rPr>
          <w:rFonts w:ascii="Times New Roman" w:eastAsiaTheme="minorEastAsia" w:hAnsi="Times New Roman" w:cs="Times New Roman"/>
          <w:szCs w:val="22"/>
          <w:lang w:val="en-GB"/>
        </w:rPr>
        <w:t xml:space="preserve">near term </w:t>
      </w:r>
      <w:r w:rsidR="00B66A12">
        <w:rPr>
          <w:rFonts w:ascii="Times New Roman" w:eastAsiaTheme="minorEastAsia" w:hAnsi="Times New Roman" w:cs="Times New Roman"/>
          <w:szCs w:val="22"/>
          <w:lang w:val="en-GB"/>
        </w:rPr>
        <w:t>success or otherwise of CO</w:t>
      </w:r>
      <w:r w:rsidR="00B66A12" w:rsidRPr="00632436">
        <w:rPr>
          <w:rFonts w:ascii="Times New Roman" w:eastAsiaTheme="minorEastAsia" w:hAnsi="Times New Roman" w:cs="Times New Roman"/>
          <w:szCs w:val="22"/>
          <w:vertAlign w:val="subscript"/>
          <w:lang w:val="en-GB"/>
        </w:rPr>
        <w:t>2</w:t>
      </w:r>
      <w:r w:rsidR="00B66A12">
        <w:rPr>
          <w:rFonts w:ascii="Times New Roman" w:eastAsiaTheme="minorEastAsia" w:hAnsi="Times New Roman" w:cs="Times New Roman"/>
          <w:szCs w:val="22"/>
          <w:lang w:val="en-GB"/>
        </w:rPr>
        <w:t xml:space="preserve"> </w:t>
      </w:r>
      <w:r w:rsidR="00A45241">
        <w:rPr>
          <w:rFonts w:ascii="Times New Roman" w:eastAsiaTheme="minorEastAsia" w:hAnsi="Times New Roman" w:cs="Times New Roman"/>
          <w:szCs w:val="22"/>
          <w:lang w:val="en-GB"/>
        </w:rPr>
        <w:t xml:space="preserve">mobile </w:t>
      </w:r>
      <w:r w:rsidR="00B66A12">
        <w:rPr>
          <w:rFonts w:ascii="Times New Roman" w:eastAsiaTheme="minorEastAsia" w:hAnsi="Times New Roman" w:cs="Times New Roman"/>
          <w:szCs w:val="22"/>
          <w:lang w:val="en-GB"/>
        </w:rPr>
        <w:t>AC systems</w:t>
      </w:r>
      <w:r>
        <w:rPr>
          <w:rFonts w:ascii="Times New Roman" w:eastAsiaTheme="minorEastAsia" w:hAnsi="Times New Roman" w:cs="Times New Roman"/>
          <w:szCs w:val="22"/>
          <w:lang w:val="en-GB"/>
        </w:rPr>
        <w:t>.</w:t>
      </w:r>
    </w:p>
    <w:p w:rsidR="00F62ED1" w:rsidRDefault="00F62ED1" w:rsidP="00874679">
      <w:pPr>
        <w:pStyle w:val="PlainText"/>
        <w:spacing w:after="120"/>
        <w:jc w:val="both"/>
        <w:rPr>
          <w:rFonts w:ascii="Times New Roman" w:eastAsiaTheme="minorEastAsia" w:hAnsi="Times New Roman" w:cs="Times New Roman"/>
          <w:szCs w:val="22"/>
          <w:lang w:val="en-GB"/>
        </w:rPr>
      </w:pPr>
      <w:r>
        <w:rPr>
          <w:rFonts w:ascii="Times New Roman" w:eastAsiaTheme="minorEastAsia" w:hAnsi="Times New Roman" w:cs="Times New Roman"/>
          <w:szCs w:val="22"/>
          <w:lang w:val="en-GB"/>
        </w:rPr>
        <w:t>Beyond the projection period the increasing numbers of electric vehicles being produced could provide a further incentive to move more of the vehicle fleet to highly efficiency CO</w:t>
      </w:r>
      <w:r w:rsidRPr="00632436">
        <w:rPr>
          <w:rFonts w:ascii="Times New Roman" w:eastAsiaTheme="minorEastAsia" w:hAnsi="Times New Roman" w:cs="Times New Roman"/>
          <w:szCs w:val="22"/>
          <w:vertAlign w:val="subscript"/>
          <w:lang w:val="en-GB"/>
        </w:rPr>
        <w:t>2</w:t>
      </w:r>
      <w:r>
        <w:rPr>
          <w:rFonts w:ascii="Times New Roman" w:eastAsiaTheme="minorEastAsia" w:hAnsi="Times New Roman" w:cs="Times New Roman"/>
          <w:szCs w:val="22"/>
          <w:lang w:val="en-GB"/>
        </w:rPr>
        <w:t xml:space="preserve"> systems, assuming the issue of high ambient temperature operation can be addressed. It has been suggested that HFOs could, when viewed in a timeframe of the next 20 years</w:t>
      </w:r>
      <w:r w:rsidR="006639FE">
        <w:rPr>
          <w:rFonts w:ascii="Times New Roman" w:eastAsiaTheme="minorEastAsia" w:hAnsi="Times New Roman" w:cs="Times New Roman"/>
          <w:szCs w:val="22"/>
          <w:lang w:val="en-GB"/>
        </w:rPr>
        <w:t>, be regarded as an interim step in MACs before an eventual shift entirely to a mix of CO</w:t>
      </w:r>
      <w:r w:rsidR="006639FE" w:rsidRPr="00632436">
        <w:rPr>
          <w:rFonts w:ascii="Times New Roman" w:eastAsiaTheme="minorEastAsia" w:hAnsi="Times New Roman" w:cs="Times New Roman"/>
          <w:szCs w:val="22"/>
          <w:vertAlign w:val="subscript"/>
          <w:lang w:val="en-GB"/>
        </w:rPr>
        <w:t>2</w:t>
      </w:r>
      <w:r w:rsidR="006639FE">
        <w:rPr>
          <w:rFonts w:ascii="Times New Roman" w:eastAsiaTheme="minorEastAsia" w:hAnsi="Times New Roman" w:cs="Times New Roman"/>
          <w:szCs w:val="22"/>
          <w:lang w:val="en-GB"/>
        </w:rPr>
        <w:t xml:space="preserve"> or </w:t>
      </w:r>
      <w:r w:rsidR="00635328">
        <w:rPr>
          <w:rFonts w:ascii="Times New Roman" w:eastAsiaTheme="minorEastAsia" w:hAnsi="Times New Roman" w:cs="Times New Roman"/>
          <w:szCs w:val="22"/>
          <w:lang w:val="en-GB"/>
        </w:rPr>
        <w:t>hydrocarbon</w:t>
      </w:r>
      <w:r w:rsidR="006639FE">
        <w:rPr>
          <w:rFonts w:ascii="Times New Roman" w:eastAsiaTheme="minorEastAsia" w:hAnsi="Times New Roman" w:cs="Times New Roman"/>
          <w:szCs w:val="22"/>
          <w:lang w:val="en-GB"/>
        </w:rPr>
        <w:t xml:space="preserve"> charged systems. Given the rate at which technology develops and can be adopted by global automakers, that is quite plausible, although beyond the horizon of this projection.</w:t>
      </w:r>
    </w:p>
    <w:p w:rsidR="00502E04" w:rsidRDefault="00502E04" w:rsidP="00874679">
      <w:pPr>
        <w:pStyle w:val="PlainText"/>
        <w:spacing w:after="120"/>
        <w:jc w:val="both"/>
        <w:rPr>
          <w:rFonts w:ascii="Times New Roman" w:eastAsiaTheme="minorEastAsia" w:hAnsi="Times New Roman" w:cs="Times New Roman"/>
          <w:szCs w:val="22"/>
          <w:lang w:val="en-GB"/>
        </w:rPr>
      </w:pPr>
      <w:r>
        <w:rPr>
          <w:rFonts w:ascii="Times New Roman" w:eastAsiaTheme="minorEastAsia" w:hAnsi="Times New Roman" w:cs="Times New Roman"/>
          <w:szCs w:val="22"/>
          <w:lang w:val="en-GB"/>
        </w:rPr>
        <w:t>Other factors</w:t>
      </w:r>
      <w:r w:rsidR="006639FE">
        <w:rPr>
          <w:rFonts w:ascii="Times New Roman" w:eastAsiaTheme="minorEastAsia" w:hAnsi="Times New Roman" w:cs="Times New Roman"/>
          <w:szCs w:val="22"/>
          <w:lang w:val="en-GB"/>
        </w:rPr>
        <w:t xml:space="preserve"> in the short to medium term</w:t>
      </w:r>
      <w:r>
        <w:rPr>
          <w:rFonts w:ascii="Times New Roman" w:eastAsiaTheme="minorEastAsia" w:hAnsi="Times New Roman" w:cs="Times New Roman"/>
          <w:szCs w:val="22"/>
          <w:lang w:val="en-GB"/>
        </w:rPr>
        <w:t xml:space="preserve"> that could impact the proportion of low GWP refrigerants in the fleet of vehicles include the potential for a relaxation on restriction</w:t>
      </w:r>
      <w:r w:rsidR="006639FE">
        <w:rPr>
          <w:rFonts w:ascii="Times New Roman" w:eastAsiaTheme="minorEastAsia" w:hAnsi="Times New Roman" w:cs="Times New Roman"/>
          <w:szCs w:val="22"/>
          <w:lang w:val="en-GB"/>
        </w:rPr>
        <w:t>s</w:t>
      </w:r>
      <w:r>
        <w:rPr>
          <w:rFonts w:ascii="Times New Roman" w:eastAsiaTheme="minorEastAsia" w:hAnsi="Times New Roman" w:cs="Times New Roman"/>
          <w:szCs w:val="22"/>
          <w:lang w:val="en-GB"/>
        </w:rPr>
        <w:t xml:space="preserve"> on</w:t>
      </w:r>
      <w:r w:rsidR="006639FE">
        <w:rPr>
          <w:rFonts w:ascii="Times New Roman" w:eastAsiaTheme="minorEastAsia" w:hAnsi="Times New Roman" w:cs="Times New Roman"/>
          <w:szCs w:val="22"/>
          <w:lang w:val="en-GB"/>
        </w:rPr>
        <w:t xml:space="preserve"> importation of second hand passenger vehicles</w:t>
      </w:r>
      <w:r>
        <w:rPr>
          <w:rFonts w:ascii="Times New Roman" w:eastAsiaTheme="minorEastAsia" w:hAnsi="Times New Roman" w:cs="Times New Roman"/>
          <w:szCs w:val="22"/>
          <w:lang w:val="en-GB"/>
        </w:rPr>
        <w:t>. This change has been mooted in recent work by the Productivity Commission, and if implemented</w:t>
      </w:r>
      <w:r w:rsidR="006639FE">
        <w:rPr>
          <w:rFonts w:ascii="Times New Roman" w:eastAsiaTheme="minorEastAsia" w:hAnsi="Times New Roman" w:cs="Times New Roman"/>
          <w:szCs w:val="22"/>
          <w:lang w:val="en-GB"/>
        </w:rPr>
        <w:t>,</w:t>
      </w:r>
      <w:r>
        <w:rPr>
          <w:rFonts w:ascii="Times New Roman" w:eastAsiaTheme="minorEastAsia" w:hAnsi="Times New Roman" w:cs="Times New Roman"/>
          <w:szCs w:val="22"/>
          <w:lang w:val="en-GB"/>
        </w:rPr>
        <w:t xml:space="preserve"> could result in a slightly larger fleet of older cars, which may lead to a larger share of </w:t>
      </w:r>
      <w:r w:rsidR="00393EE8">
        <w:rPr>
          <w:rFonts w:ascii="Times New Roman" w:eastAsiaTheme="minorEastAsia" w:hAnsi="Times New Roman" w:cs="Times New Roman"/>
          <w:szCs w:val="22"/>
          <w:lang w:val="en-GB"/>
        </w:rPr>
        <w:t xml:space="preserve">imports containing HFC-134a and </w:t>
      </w:r>
      <w:r>
        <w:rPr>
          <w:rFonts w:ascii="Times New Roman" w:eastAsiaTheme="minorEastAsia" w:hAnsi="Times New Roman" w:cs="Times New Roman"/>
          <w:szCs w:val="22"/>
          <w:lang w:val="en-GB"/>
        </w:rPr>
        <w:t>market for hydrocarbons. However it is not definite that this will occur, or when</w:t>
      </w:r>
      <w:r w:rsidR="00E91596">
        <w:rPr>
          <w:rFonts w:ascii="Times New Roman" w:eastAsiaTheme="minorEastAsia" w:hAnsi="Times New Roman" w:cs="Times New Roman"/>
          <w:szCs w:val="22"/>
          <w:lang w:val="en-GB"/>
        </w:rPr>
        <w:t xml:space="preserve"> it may occur</w:t>
      </w:r>
      <w:r>
        <w:rPr>
          <w:rFonts w:ascii="Times New Roman" w:eastAsiaTheme="minorEastAsia" w:hAnsi="Times New Roman" w:cs="Times New Roman"/>
          <w:szCs w:val="22"/>
          <w:lang w:val="en-GB"/>
        </w:rPr>
        <w:t>.</w:t>
      </w:r>
    </w:p>
    <w:p w:rsidR="00502E04" w:rsidRDefault="00502E04" w:rsidP="00874679">
      <w:pPr>
        <w:pStyle w:val="PlainText"/>
        <w:spacing w:after="120"/>
        <w:jc w:val="both"/>
        <w:rPr>
          <w:rFonts w:ascii="Times New Roman" w:eastAsiaTheme="minorEastAsia" w:hAnsi="Times New Roman" w:cs="Times New Roman"/>
          <w:szCs w:val="22"/>
          <w:lang w:val="en-GB"/>
        </w:rPr>
      </w:pPr>
      <w:r>
        <w:rPr>
          <w:rFonts w:ascii="Times New Roman" w:eastAsiaTheme="minorEastAsia" w:hAnsi="Times New Roman" w:cs="Times New Roman"/>
          <w:szCs w:val="22"/>
          <w:lang w:val="en-GB"/>
        </w:rPr>
        <w:t xml:space="preserve">Another factor that could impact the projections for the bank and consumption in registered vehicles is the rate at which </w:t>
      </w:r>
      <w:r w:rsidR="003B673D">
        <w:rPr>
          <w:rFonts w:ascii="Times New Roman" w:eastAsiaTheme="minorEastAsia" w:hAnsi="Times New Roman" w:cs="Times New Roman"/>
          <w:szCs w:val="22"/>
          <w:lang w:val="en-GB"/>
        </w:rPr>
        <w:t>Asian automakers adopt HFOs. Even if as predicted, the Japanese and Korean automakers move quickly to adopt HFOs to avoid any possible restrictions on the European market, it is not certain that they would migrate their entire production line to the use of HFOs all at the same time. In which case a country like Australia, which has no regulatory restrictions in place on the gas charge in new vehicles, may still get vehicles charged with high GWP HFCs from some Asian manufacturers.</w:t>
      </w:r>
    </w:p>
    <w:p w:rsidR="00E83F53" w:rsidRPr="00062E29" w:rsidRDefault="00E83F53" w:rsidP="00E83F53">
      <w:pPr>
        <w:rPr>
          <w:rFonts w:cs="Times New Roman"/>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39"/>
      </w:tblGrid>
      <w:tr w:rsidR="00E83F53" w:rsidRPr="00062E29" w:rsidTr="00603850">
        <w:tc>
          <w:tcPr>
            <w:tcW w:w="9639" w:type="dxa"/>
            <w:vAlign w:val="center"/>
          </w:tcPr>
          <w:p w:rsidR="00E83F53" w:rsidRPr="00062E29" w:rsidRDefault="00E83F53" w:rsidP="00E83F53">
            <w:pPr>
              <w:spacing w:after="120"/>
              <w:jc w:val="center"/>
              <w:rPr>
                <w:rFonts w:cs="Times New Roman"/>
                <w:b/>
              </w:rPr>
            </w:pPr>
            <w:r w:rsidRPr="00062E29">
              <w:rPr>
                <w:rFonts w:cs="Times New Roman"/>
                <w:b/>
              </w:rPr>
              <w:br w:type="page"/>
              <w:t>Predicted transition of bank and consumption</w:t>
            </w:r>
            <w:r w:rsidR="006A5F6D">
              <w:rPr>
                <w:rFonts w:cs="Times New Roman"/>
                <w:b/>
              </w:rPr>
              <w:t xml:space="preserve"> (tonnes)</w:t>
            </w:r>
          </w:p>
        </w:tc>
      </w:tr>
      <w:tr w:rsidR="00E83F53" w:rsidRPr="00062E29" w:rsidTr="00603850">
        <w:tc>
          <w:tcPr>
            <w:tcW w:w="9639" w:type="dxa"/>
            <w:vAlign w:val="center"/>
          </w:tcPr>
          <w:p w:rsidR="00210C65" w:rsidRDefault="00210C65" w:rsidP="002127F1">
            <w:pPr>
              <w:spacing w:before="0"/>
              <w:jc w:val="center"/>
              <w:rPr>
                <w:rFonts w:cs="Times New Roman"/>
                <w:sz w:val="16"/>
                <w:szCs w:val="16"/>
              </w:rPr>
            </w:pPr>
          </w:p>
          <w:p w:rsidR="00E83F53" w:rsidRDefault="00A256BB" w:rsidP="002127F1">
            <w:pPr>
              <w:spacing w:before="0"/>
              <w:jc w:val="center"/>
              <w:rPr>
                <w:rFonts w:cs="Times New Roman"/>
                <w:sz w:val="16"/>
                <w:szCs w:val="16"/>
              </w:rPr>
            </w:pPr>
            <w:r>
              <w:rPr>
                <w:noProof/>
                <w:lang w:val="en-AU" w:eastAsia="en-AU"/>
              </w:rPr>
              <w:drawing>
                <wp:inline distT="0" distB="0" distL="0" distR="0">
                  <wp:extent cx="5864860" cy="2522855"/>
                  <wp:effectExtent l="0" t="0" r="254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2127F1" w:rsidRPr="00062E29" w:rsidRDefault="002127F1" w:rsidP="002127F1">
            <w:pPr>
              <w:spacing w:before="0"/>
              <w:jc w:val="center"/>
              <w:rPr>
                <w:rFonts w:cs="Times New Roman"/>
                <w:sz w:val="16"/>
                <w:szCs w:val="16"/>
              </w:rPr>
            </w:pPr>
          </w:p>
        </w:tc>
      </w:tr>
      <w:tr w:rsidR="00E83F53" w:rsidRPr="00062E29" w:rsidTr="00603850">
        <w:tc>
          <w:tcPr>
            <w:tcW w:w="9639" w:type="dxa"/>
            <w:vAlign w:val="center"/>
          </w:tcPr>
          <w:p w:rsidR="00E83F53" w:rsidRPr="00062E29" w:rsidRDefault="008763B4" w:rsidP="008763B4">
            <w:pPr>
              <w:spacing w:before="60" w:after="60"/>
              <w:rPr>
                <w:rFonts w:cs="Times New Roman"/>
                <w:i/>
              </w:rPr>
            </w:pPr>
            <w:bookmarkStart w:id="71" w:name="_Toc257360001"/>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33</w:t>
            </w:r>
            <w:r w:rsidR="00B41499" w:rsidRPr="00F4221A">
              <w:rPr>
                <w:rFonts w:cs="Times New Roman"/>
                <w:i/>
                <w:sz w:val="20"/>
              </w:rPr>
              <w:fldChar w:fldCharType="end"/>
            </w:r>
            <w:r w:rsidRPr="00F4221A">
              <w:rPr>
                <w:rFonts w:cs="Times New Roman"/>
                <w:i/>
                <w:sz w:val="20"/>
              </w:rPr>
              <w:t>:</w:t>
            </w:r>
            <w:r w:rsidR="00E83F53" w:rsidRPr="00062E29">
              <w:rPr>
                <w:rFonts w:cs="Times New Roman"/>
                <w:i/>
                <w:sz w:val="20"/>
              </w:rPr>
              <w:t xml:space="preserve"> Registered vehicles - predicted bank </w:t>
            </w:r>
            <w:r w:rsidR="006A5F6D">
              <w:rPr>
                <w:rFonts w:cs="Times New Roman"/>
                <w:i/>
                <w:sz w:val="20"/>
              </w:rPr>
              <w:t xml:space="preserve">in tonnes </w:t>
            </w:r>
            <w:r w:rsidR="00E83F53" w:rsidRPr="00062E29">
              <w:rPr>
                <w:rFonts w:cs="Times New Roman"/>
                <w:i/>
                <w:sz w:val="20"/>
              </w:rPr>
              <w:t>by refrigerant type from 2013 to 2025.</w:t>
            </w:r>
            <w:bookmarkEnd w:id="71"/>
          </w:p>
        </w:tc>
      </w:tr>
      <w:tr w:rsidR="00E83F53" w:rsidRPr="00A256BB" w:rsidTr="00603850">
        <w:tc>
          <w:tcPr>
            <w:tcW w:w="9639" w:type="dxa"/>
            <w:vAlign w:val="center"/>
          </w:tcPr>
          <w:p w:rsidR="00E83F53" w:rsidRDefault="00E83F53" w:rsidP="00A256BB">
            <w:pPr>
              <w:spacing w:before="0"/>
              <w:jc w:val="center"/>
              <w:rPr>
                <w:rFonts w:cs="Times New Roman"/>
                <w:sz w:val="16"/>
                <w:szCs w:val="16"/>
              </w:rPr>
            </w:pPr>
          </w:p>
          <w:p w:rsidR="00A256BB" w:rsidRPr="00A256BB" w:rsidRDefault="00A256BB" w:rsidP="00A256BB">
            <w:pPr>
              <w:spacing w:before="0"/>
              <w:jc w:val="center"/>
              <w:rPr>
                <w:rFonts w:cs="Times New Roman"/>
                <w:sz w:val="16"/>
                <w:szCs w:val="16"/>
              </w:rPr>
            </w:pPr>
            <w:r>
              <w:rPr>
                <w:noProof/>
                <w:lang w:val="en-AU" w:eastAsia="en-AU"/>
              </w:rPr>
              <w:drawing>
                <wp:inline distT="0" distB="0" distL="0" distR="0">
                  <wp:extent cx="5941060" cy="2506133"/>
                  <wp:effectExtent l="0" t="0" r="2540" b="889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E83F53" w:rsidRPr="00A256BB" w:rsidRDefault="00E83F53" w:rsidP="00A256BB">
            <w:pPr>
              <w:spacing w:before="0"/>
              <w:jc w:val="center"/>
              <w:rPr>
                <w:rFonts w:cs="Times New Roman"/>
                <w:sz w:val="16"/>
                <w:szCs w:val="16"/>
              </w:rPr>
            </w:pPr>
          </w:p>
        </w:tc>
      </w:tr>
      <w:tr w:rsidR="00E83F53" w:rsidRPr="00062E29" w:rsidTr="00603850">
        <w:tc>
          <w:tcPr>
            <w:tcW w:w="9639" w:type="dxa"/>
            <w:vAlign w:val="center"/>
          </w:tcPr>
          <w:p w:rsidR="00E83F53" w:rsidRPr="00062E29" w:rsidRDefault="008763B4" w:rsidP="008763B4">
            <w:pPr>
              <w:spacing w:before="60" w:after="60"/>
              <w:rPr>
                <w:rFonts w:cs="Times New Roman"/>
                <w:i/>
              </w:rPr>
            </w:pPr>
            <w:bookmarkStart w:id="72" w:name="_Toc257360002"/>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34</w:t>
            </w:r>
            <w:r w:rsidR="00B41499" w:rsidRPr="00F4221A">
              <w:rPr>
                <w:rFonts w:cs="Times New Roman"/>
                <w:i/>
                <w:sz w:val="20"/>
              </w:rPr>
              <w:fldChar w:fldCharType="end"/>
            </w:r>
            <w:r w:rsidRPr="00F4221A">
              <w:rPr>
                <w:rFonts w:cs="Times New Roman"/>
                <w:i/>
                <w:sz w:val="20"/>
              </w:rPr>
              <w:t>:</w:t>
            </w:r>
            <w:r w:rsidRPr="0045125B">
              <w:rPr>
                <w:i/>
                <w:sz w:val="20"/>
              </w:rPr>
              <w:t xml:space="preserve"> </w:t>
            </w:r>
            <w:r w:rsidR="00E83F53" w:rsidRPr="00062E29">
              <w:rPr>
                <w:rFonts w:cs="Times New Roman"/>
                <w:i/>
                <w:sz w:val="20"/>
              </w:rPr>
              <w:t xml:space="preserve">Registered vehicles - predicted consumption </w:t>
            </w:r>
            <w:r w:rsidR="006A5F6D">
              <w:rPr>
                <w:rFonts w:cs="Times New Roman"/>
                <w:i/>
                <w:sz w:val="20"/>
              </w:rPr>
              <w:t xml:space="preserve">in tonnes </w:t>
            </w:r>
            <w:r w:rsidR="00E83F53" w:rsidRPr="00062E29">
              <w:rPr>
                <w:rFonts w:cs="Times New Roman"/>
                <w:i/>
                <w:sz w:val="20"/>
              </w:rPr>
              <w:t>by refrigerant type from 2013 to 2025.</w:t>
            </w:r>
            <w:bookmarkEnd w:id="72"/>
          </w:p>
        </w:tc>
      </w:tr>
    </w:tbl>
    <w:p w:rsidR="007216A3" w:rsidRDefault="007216A3" w:rsidP="007216A3">
      <w:pPr>
        <w:rPr>
          <w:rFonts w:cs="Times New Roman"/>
        </w:rPr>
      </w:pPr>
    </w:p>
    <w:p w:rsidR="007216A3" w:rsidRDefault="007216A3">
      <w:pPr>
        <w:spacing w:before="0"/>
        <w:jc w:val="left"/>
        <w:rPr>
          <w:rFonts w:cs="Times New Roman"/>
        </w:rPr>
      </w:pPr>
      <w:r>
        <w:rPr>
          <w:rFonts w:cs="Times New Roman"/>
        </w:rPr>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39"/>
      </w:tblGrid>
      <w:tr w:rsidR="007216A3" w:rsidRPr="00062E29" w:rsidTr="00BD3D73">
        <w:tc>
          <w:tcPr>
            <w:tcW w:w="9639" w:type="dxa"/>
            <w:vAlign w:val="center"/>
          </w:tcPr>
          <w:p w:rsidR="007216A3" w:rsidRPr="00062E29" w:rsidRDefault="007216A3" w:rsidP="00BD3D73">
            <w:pPr>
              <w:spacing w:after="120"/>
              <w:jc w:val="center"/>
              <w:rPr>
                <w:rFonts w:cs="Times New Roman"/>
                <w:b/>
              </w:rPr>
            </w:pPr>
            <w:r w:rsidRPr="00062E29">
              <w:rPr>
                <w:rFonts w:cs="Times New Roman"/>
                <w:b/>
              </w:rPr>
              <w:br w:type="page"/>
              <w:t>Predicted transition of bank and consumption</w:t>
            </w:r>
            <w:r>
              <w:rPr>
                <w:rFonts w:cs="Times New Roman"/>
                <w:b/>
              </w:rPr>
              <w:t xml:space="preserve"> (tonnes)</w:t>
            </w:r>
          </w:p>
        </w:tc>
      </w:tr>
      <w:tr w:rsidR="007216A3" w:rsidRPr="00062E29" w:rsidTr="00BD3D73">
        <w:tc>
          <w:tcPr>
            <w:tcW w:w="9639" w:type="dxa"/>
            <w:vAlign w:val="center"/>
          </w:tcPr>
          <w:p w:rsidR="007216A3" w:rsidRDefault="007216A3" w:rsidP="00BD3D73">
            <w:pPr>
              <w:spacing w:before="0"/>
              <w:jc w:val="center"/>
              <w:rPr>
                <w:rFonts w:cs="Times New Roman"/>
                <w:sz w:val="16"/>
                <w:szCs w:val="16"/>
              </w:rPr>
            </w:pPr>
          </w:p>
          <w:p w:rsidR="007216A3" w:rsidRDefault="007216A3" w:rsidP="00BD3D73">
            <w:pPr>
              <w:spacing w:before="0"/>
              <w:jc w:val="center"/>
              <w:rPr>
                <w:rFonts w:cs="Times New Roman"/>
                <w:sz w:val="16"/>
                <w:szCs w:val="16"/>
              </w:rPr>
            </w:pPr>
            <w:r>
              <w:rPr>
                <w:noProof/>
                <w:lang w:val="en-AU" w:eastAsia="en-AU"/>
              </w:rPr>
              <w:drawing>
                <wp:inline distT="0" distB="0" distL="0" distR="0">
                  <wp:extent cx="5855970" cy="2404533"/>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7216A3" w:rsidRPr="00062E29" w:rsidRDefault="007216A3" w:rsidP="00BD3D73">
            <w:pPr>
              <w:spacing w:before="0"/>
              <w:jc w:val="center"/>
              <w:rPr>
                <w:rFonts w:cs="Times New Roman"/>
                <w:sz w:val="16"/>
                <w:szCs w:val="16"/>
              </w:rPr>
            </w:pPr>
          </w:p>
        </w:tc>
      </w:tr>
      <w:tr w:rsidR="007216A3" w:rsidRPr="00062E29" w:rsidTr="00BD3D73">
        <w:tc>
          <w:tcPr>
            <w:tcW w:w="9639" w:type="dxa"/>
            <w:vAlign w:val="center"/>
          </w:tcPr>
          <w:p w:rsidR="007216A3" w:rsidRPr="00062E29" w:rsidRDefault="007216A3" w:rsidP="00BD3D73">
            <w:pPr>
              <w:spacing w:before="60" w:after="60"/>
              <w:rPr>
                <w:rFonts w:cs="Times New Roman"/>
                <w:i/>
              </w:rPr>
            </w:pPr>
            <w:bookmarkStart w:id="73" w:name="_Toc257360003"/>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35</w:t>
            </w:r>
            <w:r w:rsidR="00B41499" w:rsidRPr="00F4221A">
              <w:rPr>
                <w:rFonts w:cs="Times New Roman"/>
                <w:i/>
                <w:sz w:val="20"/>
              </w:rPr>
              <w:fldChar w:fldCharType="end"/>
            </w:r>
            <w:r w:rsidRPr="00F4221A">
              <w:rPr>
                <w:rFonts w:cs="Times New Roman"/>
                <w:i/>
                <w:sz w:val="20"/>
              </w:rPr>
              <w:t>:</w:t>
            </w:r>
            <w:r w:rsidRPr="0045125B">
              <w:rPr>
                <w:i/>
                <w:sz w:val="20"/>
              </w:rPr>
              <w:t xml:space="preserve"> </w:t>
            </w:r>
            <w:r>
              <w:rPr>
                <w:rFonts w:cs="Times New Roman"/>
                <w:i/>
                <w:sz w:val="20"/>
              </w:rPr>
              <w:t>O</w:t>
            </w:r>
            <w:r w:rsidRPr="00062E29">
              <w:rPr>
                <w:rFonts w:cs="Times New Roman"/>
                <w:i/>
                <w:sz w:val="20"/>
              </w:rPr>
              <w:t xml:space="preserve">ff-road vehicles - predicted bank </w:t>
            </w:r>
            <w:r>
              <w:rPr>
                <w:rFonts w:cs="Times New Roman"/>
                <w:i/>
                <w:sz w:val="20"/>
              </w:rPr>
              <w:t xml:space="preserve">in tonnes </w:t>
            </w:r>
            <w:r w:rsidRPr="00062E29">
              <w:rPr>
                <w:rFonts w:cs="Times New Roman"/>
                <w:i/>
                <w:sz w:val="20"/>
              </w:rPr>
              <w:t>by refrigerant type from 2013 to 2025.</w:t>
            </w:r>
            <w:bookmarkEnd w:id="73"/>
          </w:p>
        </w:tc>
      </w:tr>
      <w:tr w:rsidR="007216A3" w:rsidRPr="00062E29" w:rsidTr="00BD3D73">
        <w:tc>
          <w:tcPr>
            <w:tcW w:w="9639" w:type="dxa"/>
            <w:vAlign w:val="center"/>
          </w:tcPr>
          <w:p w:rsidR="007216A3" w:rsidRDefault="007216A3" w:rsidP="00BD3D73">
            <w:pPr>
              <w:spacing w:before="0"/>
              <w:jc w:val="center"/>
              <w:rPr>
                <w:rFonts w:cs="Times New Roman"/>
                <w:sz w:val="16"/>
                <w:szCs w:val="16"/>
              </w:rPr>
            </w:pPr>
          </w:p>
          <w:p w:rsidR="007216A3" w:rsidRDefault="007216A3" w:rsidP="00BD3D73">
            <w:pPr>
              <w:spacing w:before="0"/>
              <w:jc w:val="center"/>
              <w:rPr>
                <w:rFonts w:cs="Times New Roman"/>
                <w:sz w:val="16"/>
                <w:szCs w:val="16"/>
              </w:rPr>
            </w:pPr>
            <w:r>
              <w:rPr>
                <w:noProof/>
                <w:lang w:val="en-AU" w:eastAsia="en-AU"/>
              </w:rPr>
              <w:drawing>
                <wp:inline distT="0" distB="0" distL="0" distR="0">
                  <wp:extent cx="5919470" cy="2486237"/>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7216A3" w:rsidRPr="00062E29" w:rsidRDefault="007216A3" w:rsidP="00BD3D73">
            <w:pPr>
              <w:spacing w:before="0"/>
              <w:jc w:val="center"/>
              <w:rPr>
                <w:rFonts w:cs="Times New Roman"/>
                <w:sz w:val="16"/>
                <w:szCs w:val="16"/>
              </w:rPr>
            </w:pPr>
          </w:p>
        </w:tc>
      </w:tr>
      <w:tr w:rsidR="007216A3" w:rsidRPr="00062E29" w:rsidTr="00BD3D73">
        <w:tc>
          <w:tcPr>
            <w:tcW w:w="9639" w:type="dxa"/>
            <w:vAlign w:val="center"/>
          </w:tcPr>
          <w:p w:rsidR="007216A3" w:rsidRPr="00062E29" w:rsidRDefault="007216A3" w:rsidP="00BD3D73">
            <w:pPr>
              <w:spacing w:before="60" w:after="60"/>
              <w:rPr>
                <w:rFonts w:cs="Times New Roman"/>
                <w:i/>
              </w:rPr>
            </w:pPr>
            <w:bookmarkStart w:id="74" w:name="_Toc257360004"/>
            <w:r w:rsidRPr="00F4221A">
              <w:rPr>
                <w:rFonts w:cs="Times New Roman"/>
                <w:i/>
                <w:sz w:val="20"/>
              </w:rPr>
              <w:t xml:space="preserve">Figure </w:t>
            </w:r>
            <w:r w:rsidR="00B41499" w:rsidRPr="00F4221A">
              <w:rPr>
                <w:rFonts w:cs="Times New Roman"/>
                <w:i/>
                <w:sz w:val="20"/>
              </w:rPr>
              <w:fldChar w:fldCharType="begin"/>
            </w:r>
            <w:r w:rsidRPr="00F4221A">
              <w:rPr>
                <w:rFonts w:cs="Times New Roman"/>
                <w:i/>
                <w:sz w:val="20"/>
              </w:rPr>
              <w:instrText xml:space="preserve"> SEQ Figure \* ARABIC </w:instrText>
            </w:r>
            <w:r w:rsidR="00B41499" w:rsidRPr="00F4221A">
              <w:rPr>
                <w:rFonts w:cs="Times New Roman"/>
                <w:i/>
                <w:sz w:val="20"/>
              </w:rPr>
              <w:fldChar w:fldCharType="separate"/>
            </w:r>
            <w:r w:rsidR="008E0DB9">
              <w:rPr>
                <w:rFonts w:cs="Times New Roman"/>
                <w:i/>
                <w:noProof/>
                <w:sz w:val="20"/>
              </w:rPr>
              <w:t>36</w:t>
            </w:r>
            <w:r w:rsidR="00B41499" w:rsidRPr="00F4221A">
              <w:rPr>
                <w:rFonts w:cs="Times New Roman"/>
                <w:i/>
                <w:sz w:val="20"/>
              </w:rPr>
              <w:fldChar w:fldCharType="end"/>
            </w:r>
            <w:r w:rsidRPr="00F4221A">
              <w:rPr>
                <w:rFonts w:cs="Times New Roman"/>
                <w:i/>
                <w:sz w:val="20"/>
              </w:rPr>
              <w:t>:</w:t>
            </w:r>
            <w:r w:rsidRPr="00062E29">
              <w:rPr>
                <w:rFonts w:cs="Times New Roman"/>
                <w:i/>
                <w:sz w:val="20"/>
              </w:rPr>
              <w:t xml:space="preserve"> Off-road vehicles - predicted consumption </w:t>
            </w:r>
            <w:r>
              <w:rPr>
                <w:rFonts w:cs="Times New Roman"/>
                <w:i/>
                <w:sz w:val="20"/>
              </w:rPr>
              <w:t xml:space="preserve">in tonnes </w:t>
            </w:r>
            <w:r w:rsidRPr="00062E29">
              <w:rPr>
                <w:rFonts w:cs="Times New Roman"/>
                <w:i/>
                <w:sz w:val="20"/>
              </w:rPr>
              <w:t>by refrigerant type from 2013 to 2025.</w:t>
            </w:r>
            <w:bookmarkEnd w:id="74"/>
          </w:p>
        </w:tc>
      </w:tr>
    </w:tbl>
    <w:p w:rsidR="00E83F53" w:rsidRPr="00ED5599" w:rsidRDefault="00E83F53" w:rsidP="00ED5599">
      <w:pPr>
        <w:spacing w:before="360" w:after="120"/>
        <w:outlineLvl w:val="0"/>
        <w:rPr>
          <w:rFonts w:cs="Times New Roman"/>
          <w:b/>
          <w:szCs w:val="22"/>
        </w:rPr>
      </w:pPr>
      <w:r w:rsidRPr="00ED5599">
        <w:rPr>
          <w:rFonts w:cs="Times New Roman"/>
          <w:b/>
          <w:szCs w:val="22"/>
        </w:rPr>
        <w:t>Assumptions of modelling and level of confidence</w:t>
      </w:r>
    </w:p>
    <w:p w:rsidR="00874679" w:rsidRPr="00062E29" w:rsidRDefault="00874679" w:rsidP="00E97935">
      <w:pPr>
        <w:pStyle w:val="ColorfulShading-Accent31"/>
        <w:numPr>
          <w:ilvl w:val="0"/>
          <w:numId w:val="12"/>
        </w:numPr>
        <w:spacing w:after="120"/>
        <w:ind w:left="357" w:hanging="357"/>
        <w:contextualSpacing w:val="0"/>
        <w:jc w:val="both"/>
        <w:rPr>
          <w:rFonts w:ascii="Times New Roman" w:hAnsi="Times New Roman"/>
          <w:sz w:val="22"/>
          <w:szCs w:val="22"/>
        </w:rPr>
      </w:pPr>
      <w:r w:rsidRPr="00062E29">
        <w:rPr>
          <w:rFonts w:ascii="Times New Roman" w:hAnsi="Times New Roman"/>
          <w:sz w:val="22"/>
          <w:szCs w:val="22"/>
        </w:rPr>
        <w:t xml:space="preserve">Ford and Holden close manufacturing by the end of 2016, and Toyota continues until </w:t>
      </w:r>
      <w:r w:rsidR="00896796">
        <w:rPr>
          <w:rFonts w:ascii="Times New Roman" w:hAnsi="Times New Roman"/>
          <w:sz w:val="22"/>
          <w:szCs w:val="22"/>
        </w:rPr>
        <w:t xml:space="preserve">the end of </w:t>
      </w:r>
      <w:r w:rsidRPr="00062E29">
        <w:rPr>
          <w:rFonts w:ascii="Times New Roman" w:hAnsi="Times New Roman"/>
          <w:sz w:val="22"/>
          <w:szCs w:val="22"/>
        </w:rPr>
        <w:t>20</w:t>
      </w:r>
      <w:r w:rsidR="00896796">
        <w:rPr>
          <w:rFonts w:ascii="Times New Roman" w:hAnsi="Times New Roman"/>
          <w:sz w:val="22"/>
          <w:szCs w:val="22"/>
        </w:rPr>
        <w:t>17</w:t>
      </w:r>
      <w:r w:rsidRPr="00062E29">
        <w:rPr>
          <w:rFonts w:ascii="Times New Roman" w:hAnsi="Times New Roman"/>
          <w:sz w:val="22"/>
          <w:szCs w:val="22"/>
        </w:rPr>
        <w:t xml:space="preserve"> at similar production levels to current.</w:t>
      </w:r>
    </w:p>
    <w:p w:rsidR="00874679" w:rsidRPr="00062E29" w:rsidRDefault="00874679" w:rsidP="00E97935">
      <w:pPr>
        <w:pStyle w:val="ColorfulShading-Accent31"/>
        <w:numPr>
          <w:ilvl w:val="0"/>
          <w:numId w:val="12"/>
        </w:numPr>
        <w:spacing w:after="120"/>
        <w:ind w:left="357" w:hanging="357"/>
        <w:contextualSpacing w:val="0"/>
        <w:jc w:val="both"/>
        <w:rPr>
          <w:rFonts w:ascii="Times New Roman" w:hAnsi="Times New Roman"/>
          <w:sz w:val="22"/>
          <w:szCs w:val="22"/>
        </w:rPr>
      </w:pPr>
      <w:r w:rsidRPr="00062E29">
        <w:rPr>
          <w:rFonts w:ascii="Times New Roman" w:hAnsi="Times New Roman"/>
          <w:sz w:val="22"/>
          <w:szCs w:val="22"/>
        </w:rPr>
        <w:t xml:space="preserve">Growth rate of vehicle sales </w:t>
      </w:r>
      <w:r>
        <w:rPr>
          <w:rFonts w:ascii="Times New Roman" w:hAnsi="Times New Roman"/>
          <w:sz w:val="22"/>
          <w:szCs w:val="22"/>
        </w:rPr>
        <w:t xml:space="preserve">and </w:t>
      </w:r>
      <w:r w:rsidRPr="00062E29">
        <w:rPr>
          <w:rFonts w:ascii="Times New Roman" w:hAnsi="Times New Roman"/>
          <w:sz w:val="22"/>
          <w:szCs w:val="22"/>
        </w:rPr>
        <w:t xml:space="preserve">mobile </w:t>
      </w:r>
      <w:r w:rsidR="00450035">
        <w:rPr>
          <w:rFonts w:ascii="Times New Roman" w:hAnsi="Times New Roman"/>
          <w:sz w:val="22"/>
          <w:szCs w:val="22"/>
        </w:rPr>
        <w:t>AC</w:t>
      </w:r>
      <w:r w:rsidRPr="00062E29">
        <w:rPr>
          <w:rFonts w:ascii="Times New Roman" w:hAnsi="Times New Roman"/>
          <w:sz w:val="22"/>
          <w:szCs w:val="22"/>
        </w:rPr>
        <w:t xml:space="preserve"> post 2013 through to 2025 is 1.5% per annum.</w:t>
      </w:r>
    </w:p>
    <w:p w:rsidR="00874679" w:rsidRPr="00062E29" w:rsidRDefault="00874679" w:rsidP="00E97935">
      <w:pPr>
        <w:pStyle w:val="ColorfulShading-Accent31"/>
        <w:numPr>
          <w:ilvl w:val="0"/>
          <w:numId w:val="12"/>
        </w:numPr>
        <w:spacing w:after="120"/>
        <w:ind w:left="357" w:hanging="357"/>
        <w:contextualSpacing w:val="0"/>
        <w:jc w:val="both"/>
        <w:rPr>
          <w:rFonts w:ascii="Times New Roman" w:hAnsi="Times New Roman"/>
          <w:sz w:val="22"/>
          <w:szCs w:val="22"/>
        </w:rPr>
      </w:pPr>
      <w:r w:rsidRPr="00062E29">
        <w:rPr>
          <w:rFonts w:ascii="Times New Roman" w:hAnsi="Times New Roman"/>
          <w:sz w:val="22"/>
          <w:szCs w:val="22"/>
        </w:rPr>
        <w:t>HFC-134a will be phased out of production and imports with refrigerants with GWP less than 10 by 2025.</w:t>
      </w:r>
    </w:p>
    <w:p w:rsidR="00874679" w:rsidRPr="00062E29" w:rsidRDefault="00874679" w:rsidP="00E97935">
      <w:pPr>
        <w:pStyle w:val="ColorfulShading-Accent31"/>
        <w:numPr>
          <w:ilvl w:val="0"/>
          <w:numId w:val="12"/>
        </w:numPr>
        <w:spacing w:after="120"/>
        <w:ind w:left="357" w:hanging="357"/>
        <w:contextualSpacing w:val="0"/>
        <w:jc w:val="both"/>
        <w:rPr>
          <w:rFonts w:ascii="Times New Roman" w:hAnsi="Times New Roman"/>
          <w:sz w:val="22"/>
          <w:szCs w:val="22"/>
        </w:rPr>
      </w:pPr>
      <w:r w:rsidRPr="00062E29">
        <w:rPr>
          <w:rFonts w:ascii="Times New Roman" w:hAnsi="Times New Roman"/>
          <w:sz w:val="22"/>
          <w:szCs w:val="22"/>
        </w:rPr>
        <w:t>Linear growth trend for all substitutes to 2025</w:t>
      </w:r>
      <w:r>
        <w:rPr>
          <w:rFonts w:ascii="Times New Roman" w:hAnsi="Times New Roman"/>
          <w:sz w:val="22"/>
          <w:szCs w:val="22"/>
        </w:rPr>
        <w:t xml:space="preserve"> with H</w:t>
      </w:r>
      <w:r w:rsidRPr="00062E29">
        <w:rPr>
          <w:rFonts w:ascii="Times New Roman" w:hAnsi="Times New Roman"/>
          <w:sz w:val="22"/>
          <w:szCs w:val="22"/>
        </w:rPr>
        <w:t>FC-134a mak</w:t>
      </w:r>
      <w:r>
        <w:rPr>
          <w:rFonts w:ascii="Times New Roman" w:hAnsi="Times New Roman"/>
          <w:sz w:val="22"/>
          <w:szCs w:val="22"/>
        </w:rPr>
        <w:t xml:space="preserve">ing </w:t>
      </w:r>
      <w:r w:rsidRPr="00062E29">
        <w:rPr>
          <w:rFonts w:ascii="Times New Roman" w:hAnsi="Times New Roman"/>
          <w:sz w:val="22"/>
          <w:szCs w:val="22"/>
        </w:rPr>
        <w:t xml:space="preserve">up </w:t>
      </w:r>
      <w:r>
        <w:rPr>
          <w:rFonts w:ascii="Times New Roman" w:hAnsi="Times New Roman"/>
          <w:sz w:val="22"/>
          <w:szCs w:val="22"/>
        </w:rPr>
        <w:t xml:space="preserve">the </w:t>
      </w:r>
      <w:r w:rsidRPr="00062E29">
        <w:rPr>
          <w:rFonts w:ascii="Times New Roman" w:hAnsi="Times New Roman"/>
          <w:sz w:val="22"/>
          <w:szCs w:val="22"/>
        </w:rPr>
        <w:t>balance.</w:t>
      </w:r>
    </w:p>
    <w:p w:rsidR="00874679" w:rsidRPr="00062E29" w:rsidRDefault="00874679" w:rsidP="00E97935">
      <w:pPr>
        <w:pStyle w:val="ColorfulShading-Accent31"/>
        <w:numPr>
          <w:ilvl w:val="0"/>
          <w:numId w:val="12"/>
        </w:numPr>
        <w:spacing w:after="120"/>
        <w:ind w:left="357" w:hanging="357"/>
        <w:contextualSpacing w:val="0"/>
        <w:jc w:val="both"/>
        <w:rPr>
          <w:rFonts w:ascii="Times New Roman" w:hAnsi="Times New Roman"/>
          <w:sz w:val="22"/>
          <w:szCs w:val="22"/>
        </w:rPr>
      </w:pPr>
      <w:r w:rsidRPr="00062E29">
        <w:rPr>
          <w:rFonts w:ascii="Times New Roman" w:hAnsi="Times New Roman"/>
          <w:sz w:val="22"/>
          <w:szCs w:val="22"/>
        </w:rPr>
        <w:t xml:space="preserve">Leak rates improve from 11.5% to </w:t>
      </w:r>
      <w:r w:rsidR="007D2403">
        <w:rPr>
          <w:rFonts w:ascii="Times New Roman" w:hAnsi="Times New Roman"/>
          <w:sz w:val="22"/>
          <w:szCs w:val="22"/>
        </w:rPr>
        <w:t>8</w:t>
      </w:r>
      <w:r w:rsidRPr="00062E29">
        <w:rPr>
          <w:rFonts w:ascii="Times New Roman" w:hAnsi="Times New Roman"/>
          <w:sz w:val="22"/>
          <w:szCs w:val="22"/>
        </w:rPr>
        <w:t>% per annum in 2025.</w:t>
      </w:r>
    </w:p>
    <w:p w:rsidR="00874679" w:rsidRPr="00062E29" w:rsidRDefault="00874679" w:rsidP="00E97935">
      <w:pPr>
        <w:pStyle w:val="ColorfulShading-Accent31"/>
        <w:numPr>
          <w:ilvl w:val="0"/>
          <w:numId w:val="12"/>
        </w:numPr>
        <w:spacing w:after="120"/>
        <w:ind w:left="357" w:hanging="357"/>
        <w:contextualSpacing w:val="0"/>
        <w:jc w:val="both"/>
        <w:rPr>
          <w:rFonts w:ascii="Times New Roman" w:hAnsi="Times New Roman"/>
          <w:sz w:val="22"/>
          <w:szCs w:val="22"/>
        </w:rPr>
      </w:pPr>
      <w:r w:rsidRPr="00062E29">
        <w:rPr>
          <w:rFonts w:ascii="Times New Roman" w:hAnsi="Times New Roman"/>
          <w:sz w:val="22"/>
          <w:szCs w:val="22"/>
        </w:rPr>
        <w:t>The average charge of registered vehicles remains constant at 625</w:t>
      </w:r>
      <w:r w:rsidR="007D2403">
        <w:rPr>
          <w:rFonts w:ascii="Times New Roman" w:hAnsi="Times New Roman"/>
          <w:sz w:val="22"/>
          <w:szCs w:val="22"/>
        </w:rPr>
        <w:t xml:space="preserve"> </w:t>
      </w:r>
      <w:r w:rsidR="00436D19">
        <w:rPr>
          <w:rFonts w:ascii="Times New Roman" w:hAnsi="Times New Roman"/>
          <w:sz w:val="22"/>
          <w:szCs w:val="22"/>
        </w:rPr>
        <w:t>grams</w:t>
      </w:r>
      <w:r w:rsidR="007D2403">
        <w:rPr>
          <w:rFonts w:ascii="Times New Roman" w:hAnsi="Times New Roman"/>
          <w:sz w:val="22"/>
          <w:szCs w:val="22"/>
        </w:rPr>
        <w:t xml:space="preserve"> </w:t>
      </w:r>
      <w:r w:rsidRPr="00062E29">
        <w:rPr>
          <w:rFonts w:ascii="Times New Roman" w:hAnsi="Times New Roman"/>
          <w:sz w:val="22"/>
          <w:szCs w:val="22"/>
        </w:rPr>
        <w:t>(</w:t>
      </w:r>
      <w:r w:rsidR="007D2403">
        <w:rPr>
          <w:rFonts w:ascii="Times New Roman" w:hAnsi="Times New Roman"/>
          <w:sz w:val="22"/>
          <w:szCs w:val="22"/>
        </w:rPr>
        <w:t xml:space="preserve">i.e. </w:t>
      </w:r>
      <w:r w:rsidRPr="00062E29">
        <w:rPr>
          <w:rFonts w:ascii="Times New Roman" w:hAnsi="Times New Roman"/>
          <w:sz w:val="22"/>
          <w:szCs w:val="22"/>
        </w:rPr>
        <w:t>weighted average of passenger and light commercial vehicles; rigid, articulated and other trucks; and commuter buses</w:t>
      </w:r>
      <w:r>
        <w:rPr>
          <w:rFonts w:ascii="Times New Roman" w:hAnsi="Times New Roman"/>
          <w:sz w:val="22"/>
          <w:szCs w:val="22"/>
        </w:rPr>
        <w:t>)</w:t>
      </w:r>
      <w:r w:rsidRPr="00062E29">
        <w:rPr>
          <w:rFonts w:ascii="Times New Roman" w:hAnsi="Times New Roman"/>
          <w:sz w:val="22"/>
          <w:szCs w:val="22"/>
        </w:rPr>
        <w:t>. The weighted average charge of off-road vehicles (including buses &gt;</w:t>
      </w:r>
      <w:r w:rsidR="00A66F78">
        <w:rPr>
          <w:rFonts w:ascii="Times New Roman" w:hAnsi="Times New Roman"/>
          <w:sz w:val="22"/>
          <w:szCs w:val="22"/>
        </w:rPr>
        <w:t xml:space="preserve"> </w:t>
      </w:r>
      <w:r w:rsidRPr="00062E29">
        <w:rPr>
          <w:rFonts w:ascii="Times New Roman" w:hAnsi="Times New Roman"/>
          <w:sz w:val="22"/>
          <w:szCs w:val="22"/>
        </w:rPr>
        <w:t>7 m</w:t>
      </w:r>
      <w:r>
        <w:rPr>
          <w:rFonts w:ascii="Times New Roman" w:hAnsi="Times New Roman"/>
          <w:sz w:val="22"/>
          <w:szCs w:val="22"/>
        </w:rPr>
        <w:t>eters</w:t>
      </w:r>
      <w:r w:rsidRPr="00062E29">
        <w:rPr>
          <w:rFonts w:ascii="Times New Roman" w:hAnsi="Times New Roman"/>
          <w:sz w:val="22"/>
          <w:szCs w:val="22"/>
        </w:rPr>
        <w:t>) is 5.</w:t>
      </w:r>
      <w:r w:rsidR="007D2403">
        <w:rPr>
          <w:rFonts w:ascii="Times New Roman" w:hAnsi="Times New Roman"/>
          <w:sz w:val="22"/>
          <w:szCs w:val="22"/>
        </w:rPr>
        <w:t>3</w:t>
      </w:r>
      <w:r w:rsidRPr="00062E29">
        <w:rPr>
          <w:rFonts w:ascii="Times New Roman" w:hAnsi="Times New Roman"/>
          <w:sz w:val="22"/>
          <w:szCs w:val="22"/>
        </w:rPr>
        <w:t xml:space="preserve"> kg. The charge size relates to the amount of high GWP refrigerant that will be displaced, not the actual charge of the lower or no GWP refrigerant. </w:t>
      </w:r>
    </w:p>
    <w:p w:rsidR="00E83F53" w:rsidRPr="00BC6BB3" w:rsidRDefault="00874679" w:rsidP="00BC6BB3">
      <w:pPr>
        <w:spacing w:after="120"/>
        <w:rPr>
          <w:i/>
        </w:rPr>
      </w:pPr>
      <w:r w:rsidRPr="00BC6BB3">
        <w:t>Efforts to project the rate and success of commercialisation of alternative technologies that are currently ‘under development’ will always carry greater uncertainties than those for which commercial supply is already established. These uncertainties can be both in terms of available quantities and timing or market release. The eventual price of a product under development is always a considerable source of uncertainty which will always be impacted by a range of issues such as the scale of investment in initial production, the rate of adoption, and the development of supply lines against incumbent competition and technologies, all of which go towards changing the dynamics of the supply/demand relationship.</w:t>
      </w:r>
    </w:p>
    <w:p w:rsidR="00E83F53" w:rsidRPr="008B1958" w:rsidRDefault="00E83F53" w:rsidP="00E83F53">
      <w:pPr>
        <w:spacing w:after="120"/>
        <w:rPr>
          <w:szCs w:val="22"/>
        </w:rPr>
      </w:pPr>
    </w:p>
    <w:p w:rsidR="00E83F53" w:rsidRPr="008B1958" w:rsidRDefault="008763B4" w:rsidP="00E83F53">
      <w:pPr>
        <w:rPr>
          <w:i/>
          <w:szCs w:val="22"/>
        </w:rPr>
      </w:pPr>
      <w:bookmarkStart w:id="75" w:name="_Toc257360012"/>
      <w:r w:rsidRPr="00D02806">
        <w:rPr>
          <w:i/>
          <w:szCs w:val="22"/>
        </w:rPr>
        <w:t xml:space="preserve">Table </w:t>
      </w:r>
      <w:r w:rsidR="00B41499" w:rsidRPr="00D02806">
        <w:rPr>
          <w:i/>
          <w:szCs w:val="22"/>
        </w:rPr>
        <w:fldChar w:fldCharType="begin"/>
      </w:r>
      <w:r w:rsidRPr="00D02806">
        <w:rPr>
          <w:i/>
          <w:szCs w:val="22"/>
        </w:rPr>
        <w:instrText xml:space="preserve"> SEQ Table \* ARABIC </w:instrText>
      </w:r>
      <w:r w:rsidR="00B41499" w:rsidRPr="00D02806">
        <w:rPr>
          <w:i/>
          <w:szCs w:val="22"/>
        </w:rPr>
        <w:fldChar w:fldCharType="separate"/>
      </w:r>
      <w:r w:rsidR="008E0DB9">
        <w:rPr>
          <w:i/>
          <w:noProof/>
          <w:szCs w:val="22"/>
        </w:rPr>
        <w:t>8</w:t>
      </w:r>
      <w:r w:rsidR="00B41499" w:rsidRPr="00D02806">
        <w:rPr>
          <w:i/>
          <w:szCs w:val="22"/>
        </w:rPr>
        <w:fldChar w:fldCharType="end"/>
      </w:r>
      <w:r w:rsidR="00E83F53" w:rsidRPr="008B1958">
        <w:rPr>
          <w:i/>
          <w:szCs w:val="22"/>
        </w:rPr>
        <w:t>: Predicted transition scenario for mobile air conditioning sector.</w:t>
      </w:r>
      <w:bookmarkEnd w:id="75"/>
    </w:p>
    <w:tbl>
      <w:tblPr>
        <w:tblStyle w:val="TableGrid"/>
        <w:tblW w:w="0" w:type="auto"/>
        <w:tblInd w:w="108" w:type="dxa"/>
        <w:tblLook w:val="04A0"/>
      </w:tblPr>
      <w:tblGrid>
        <w:gridCol w:w="1370"/>
        <w:gridCol w:w="3285"/>
        <w:gridCol w:w="3753"/>
      </w:tblGrid>
      <w:tr w:rsidR="00E83F53" w:rsidRPr="00062E29" w:rsidTr="00E83F53">
        <w:tc>
          <w:tcPr>
            <w:tcW w:w="1370" w:type="dxa"/>
            <w:vMerge w:val="restart"/>
            <w:tcBorders>
              <w:right w:val="single" w:sz="4" w:space="0" w:color="FFFFFF" w:themeColor="background1"/>
            </w:tcBorders>
            <w:shd w:val="clear" w:color="auto" w:fill="0C0C0C"/>
          </w:tcPr>
          <w:p w:rsidR="00E83F53" w:rsidRPr="00062E29" w:rsidRDefault="00E83F53" w:rsidP="00E83F53">
            <w:pPr>
              <w:spacing w:after="120"/>
              <w:rPr>
                <w:szCs w:val="22"/>
              </w:rPr>
            </w:pPr>
          </w:p>
        </w:tc>
        <w:tc>
          <w:tcPr>
            <w:tcW w:w="7038" w:type="dxa"/>
            <w:gridSpan w:val="2"/>
            <w:tcBorders>
              <w:left w:val="single" w:sz="4" w:space="0" w:color="FFFFFF" w:themeColor="background1"/>
              <w:bottom w:val="single" w:sz="4" w:space="0" w:color="FFFFFF" w:themeColor="background1"/>
            </w:tcBorders>
            <w:shd w:val="clear" w:color="auto" w:fill="0C0C0C"/>
          </w:tcPr>
          <w:p w:rsidR="00E83F53" w:rsidRPr="00062E29" w:rsidRDefault="00E83F53" w:rsidP="00E83F53">
            <w:pPr>
              <w:spacing w:after="120"/>
              <w:rPr>
                <w:szCs w:val="22"/>
              </w:rPr>
            </w:pPr>
            <w:r w:rsidRPr="00062E29">
              <w:rPr>
                <w:szCs w:val="22"/>
              </w:rPr>
              <w:t>Predicted proportion of refrigerant contained in new products by volume</w:t>
            </w:r>
          </w:p>
        </w:tc>
      </w:tr>
      <w:tr w:rsidR="00E83F53" w:rsidRPr="00062E29" w:rsidTr="00E83F53">
        <w:tc>
          <w:tcPr>
            <w:tcW w:w="1370" w:type="dxa"/>
            <w:vMerge/>
            <w:tcBorders>
              <w:right w:val="single" w:sz="4" w:space="0" w:color="FFFFFF" w:themeColor="background1"/>
            </w:tcBorders>
          </w:tcPr>
          <w:p w:rsidR="00E83F53" w:rsidRPr="00062E29" w:rsidRDefault="00E83F53" w:rsidP="00E83F53">
            <w:pPr>
              <w:spacing w:before="60" w:after="60"/>
              <w:rPr>
                <w:szCs w:val="22"/>
              </w:rPr>
            </w:pPr>
          </w:p>
        </w:tc>
        <w:tc>
          <w:tcPr>
            <w:tcW w:w="328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C0C0C"/>
          </w:tcPr>
          <w:p w:rsidR="00E83F53" w:rsidRPr="00062E29" w:rsidRDefault="00E83F53" w:rsidP="00E83F53">
            <w:pPr>
              <w:spacing w:before="60" w:after="60"/>
              <w:jc w:val="center"/>
              <w:rPr>
                <w:szCs w:val="22"/>
              </w:rPr>
            </w:pPr>
            <w:r w:rsidRPr="00062E29">
              <w:rPr>
                <w:szCs w:val="22"/>
              </w:rPr>
              <w:t>2020</w:t>
            </w:r>
          </w:p>
        </w:tc>
        <w:tc>
          <w:tcPr>
            <w:tcW w:w="3753" w:type="dxa"/>
            <w:tcBorders>
              <w:top w:val="single" w:sz="4" w:space="0" w:color="FFFFFF" w:themeColor="background1"/>
              <w:left w:val="single" w:sz="4" w:space="0" w:color="FFFFFF" w:themeColor="background1"/>
              <w:bottom w:val="single" w:sz="4" w:space="0" w:color="auto"/>
            </w:tcBorders>
            <w:shd w:val="clear" w:color="auto" w:fill="0C0C0C"/>
          </w:tcPr>
          <w:p w:rsidR="00E83F53" w:rsidRPr="00062E29" w:rsidRDefault="00E83F53" w:rsidP="00E83F53">
            <w:pPr>
              <w:spacing w:before="60" w:after="60"/>
              <w:jc w:val="center"/>
              <w:rPr>
                <w:szCs w:val="22"/>
              </w:rPr>
            </w:pPr>
            <w:r w:rsidRPr="00062E29">
              <w:rPr>
                <w:szCs w:val="22"/>
              </w:rPr>
              <w:t>2025</w:t>
            </w:r>
          </w:p>
        </w:tc>
      </w:tr>
      <w:tr w:rsidR="00E83F53" w:rsidRPr="00062E29" w:rsidTr="00E83F53">
        <w:tc>
          <w:tcPr>
            <w:tcW w:w="8408" w:type="dxa"/>
            <w:gridSpan w:val="3"/>
            <w:vAlign w:val="center"/>
          </w:tcPr>
          <w:p w:rsidR="00E83F53" w:rsidRPr="00062E29" w:rsidRDefault="00E83F53" w:rsidP="00E83F53">
            <w:pPr>
              <w:spacing w:before="60" w:after="60"/>
              <w:rPr>
                <w:b/>
                <w:szCs w:val="22"/>
              </w:rPr>
            </w:pPr>
          </w:p>
          <w:p w:rsidR="00E83F53" w:rsidRPr="00062E29" w:rsidRDefault="00E83F53" w:rsidP="00E83F53">
            <w:pPr>
              <w:spacing w:before="60" w:after="60"/>
              <w:rPr>
                <w:b/>
                <w:szCs w:val="22"/>
              </w:rPr>
            </w:pPr>
            <w:r w:rsidRPr="00062E29">
              <w:rPr>
                <w:b/>
                <w:szCs w:val="22"/>
              </w:rPr>
              <w:t>Registered vehicles (excl. buses &gt; 7 m)</w:t>
            </w:r>
          </w:p>
        </w:tc>
      </w:tr>
      <w:tr w:rsidR="00E83F53" w:rsidRPr="00062E29" w:rsidTr="00E83F53">
        <w:tc>
          <w:tcPr>
            <w:tcW w:w="1370" w:type="dxa"/>
          </w:tcPr>
          <w:p w:rsidR="00E83F53" w:rsidRPr="00062E29" w:rsidRDefault="00E83F53" w:rsidP="00E83F53">
            <w:pPr>
              <w:spacing w:before="60" w:after="60"/>
              <w:rPr>
                <w:szCs w:val="22"/>
              </w:rPr>
            </w:pPr>
            <w:r w:rsidRPr="00062E29">
              <w:rPr>
                <w:szCs w:val="22"/>
              </w:rPr>
              <w:t>HFC-134a</w:t>
            </w:r>
          </w:p>
        </w:tc>
        <w:tc>
          <w:tcPr>
            <w:tcW w:w="3285" w:type="dxa"/>
            <w:tcBorders>
              <w:top w:val="single" w:sz="4" w:space="0" w:color="auto"/>
            </w:tcBorders>
          </w:tcPr>
          <w:p w:rsidR="00E83F53" w:rsidRPr="00062E29" w:rsidRDefault="00A66F78" w:rsidP="00A66F78">
            <w:pPr>
              <w:spacing w:before="60" w:after="60"/>
              <w:jc w:val="center"/>
              <w:rPr>
                <w:szCs w:val="22"/>
              </w:rPr>
            </w:pPr>
            <w:r>
              <w:rPr>
                <w:szCs w:val="22"/>
              </w:rPr>
              <w:t>60</w:t>
            </w:r>
            <w:r w:rsidR="00E83F53" w:rsidRPr="00062E29">
              <w:rPr>
                <w:szCs w:val="22"/>
              </w:rPr>
              <w:t>%</w:t>
            </w:r>
          </w:p>
        </w:tc>
        <w:tc>
          <w:tcPr>
            <w:tcW w:w="3753" w:type="dxa"/>
            <w:tcBorders>
              <w:top w:val="single" w:sz="4" w:space="0" w:color="auto"/>
            </w:tcBorders>
          </w:tcPr>
          <w:p w:rsidR="00E83F53" w:rsidRPr="00062E29" w:rsidRDefault="00E83F53" w:rsidP="00E83F53">
            <w:pPr>
              <w:spacing w:before="60" w:after="60"/>
              <w:jc w:val="center"/>
              <w:rPr>
                <w:szCs w:val="22"/>
              </w:rPr>
            </w:pPr>
            <w:r w:rsidRPr="00062E29">
              <w:rPr>
                <w:szCs w:val="22"/>
              </w:rPr>
              <w:t>0%</w:t>
            </w:r>
          </w:p>
        </w:tc>
      </w:tr>
      <w:tr w:rsidR="00E83F53" w:rsidRPr="00062E29" w:rsidTr="00E83F53">
        <w:tc>
          <w:tcPr>
            <w:tcW w:w="1370" w:type="dxa"/>
          </w:tcPr>
          <w:p w:rsidR="00E83F53" w:rsidRPr="00062E29" w:rsidRDefault="00E83F53" w:rsidP="00E83F53">
            <w:pPr>
              <w:spacing w:before="60" w:after="60"/>
              <w:rPr>
                <w:szCs w:val="22"/>
              </w:rPr>
            </w:pPr>
            <w:r w:rsidRPr="00062E29">
              <w:rPr>
                <w:szCs w:val="22"/>
              </w:rPr>
              <w:t>GWP &lt;10</w:t>
            </w:r>
          </w:p>
        </w:tc>
        <w:tc>
          <w:tcPr>
            <w:tcW w:w="3285" w:type="dxa"/>
            <w:tcBorders>
              <w:top w:val="single" w:sz="4" w:space="0" w:color="auto"/>
            </w:tcBorders>
          </w:tcPr>
          <w:p w:rsidR="00E83F53" w:rsidRPr="00062E29" w:rsidRDefault="00A66F78" w:rsidP="00E83F53">
            <w:pPr>
              <w:spacing w:before="60" w:after="60"/>
              <w:jc w:val="center"/>
              <w:rPr>
                <w:szCs w:val="22"/>
              </w:rPr>
            </w:pPr>
            <w:r>
              <w:rPr>
                <w:szCs w:val="22"/>
              </w:rPr>
              <w:t>40</w:t>
            </w:r>
            <w:r w:rsidR="00E83F53" w:rsidRPr="00062E29">
              <w:rPr>
                <w:szCs w:val="22"/>
              </w:rPr>
              <w:t>%</w:t>
            </w:r>
          </w:p>
        </w:tc>
        <w:tc>
          <w:tcPr>
            <w:tcW w:w="3753" w:type="dxa"/>
            <w:tcBorders>
              <w:top w:val="single" w:sz="4" w:space="0" w:color="auto"/>
            </w:tcBorders>
          </w:tcPr>
          <w:p w:rsidR="00E83F53" w:rsidRPr="00062E29" w:rsidRDefault="00E83F53" w:rsidP="00E83F53">
            <w:pPr>
              <w:spacing w:before="60" w:after="60"/>
              <w:jc w:val="center"/>
              <w:rPr>
                <w:szCs w:val="22"/>
              </w:rPr>
            </w:pPr>
            <w:r w:rsidRPr="00062E29">
              <w:rPr>
                <w:szCs w:val="22"/>
              </w:rPr>
              <w:t>100%</w:t>
            </w:r>
          </w:p>
        </w:tc>
      </w:tr>
      <w:tr w:rsidR="00E83F53" w:rsidRPr="00062E29" w:rsidTr="00E83F53">
        <w:tc>
          <w:tcPr>
            <w:tcW w:w="8408" w:type="dxa"/>
            <w:gridSpan w:val="3"/>
            <w:vAlign w:val="center"/>
          </w:tcPr>
          <w:p w:rsidR="00E83F53" w:rsidRPr="00062E29" w:rsidRDefault="00494DE8" w:rsidP="00E83F53">
            <w:pPr>
              <w:spacing w:before="60" w:after="60"/>
              <w:rPr>
                <w:szCs w:val="22"/>
              </w:rPr>
            </w:pPr>
            <w:r w:rsidRPr="00494DE8">
              <w:rPr>
                <w:szCs w:val="22"/>
              </w:rPr>
              <w:t>Predicted scenario has a medium to high level of confidence, and a low level of complexity.</w:t>
            </w:r>
          </w:p>
        </w:tc>
      </w:tr>
      <w:tr w:rsidR="00E83F53" w:rsidRPr="00062E29" w:rsidTr="00E83F53">
        <w:tc>
          <w:tcPr>
            <w:tcW w:w="8408" w:type="dxa"/>
            <w:gridSpan w:val="3"/>
            <w:vAlign w:val="center"/>
          </w:tcPr>
          <w:p w:rsidR="00E83F53" w:rsidRPr="00062E29" w:rsidRDefault="00E83F53" w:rsidP="00E83F53">
            <w:pPr>
              <w:spacing w:before="60" w:after="60"/>
              <w:rPr>
                <w:b/>
                <w:szCs w:val="22"/>
              </w:rPr>
            </w:pPr>
          </w:p>
          <w:p w:rsidR="00E83F53" w:rsidRPr="00062E29" w:rsidRDefault="00E83F53" w:rsidP="00E83F53">
            <w:pPr>
              <w:spacing w:before="60" w:after="60"/>
              <w:rPr>
                <w:b/>
                <w:szCs w:val="22"/>
              </w:rPr>
            </w:pPr>
            <w:r w:rsidRPr="00062E29">
              <w:rPr>
                <w:b/>
                <w:szCs w:val="22"/>
              </w:rPr>
              <w:t>Off-road vehicles (including buses &gt; 7 m)</w:t>
            </w:r>
          </w:p>
        </w:tc>
      </w:tr>
      <w:tr w:rsidR="00E83F53" w:rsidRPr="00062E29" w:rsidTr="00E83F53">
        <w:tc>
          <w:tcPr>
            <w:tcW w:w="1370" w:type="dxa"/>
          </w:tcPr>
          <w:p w:rsidR="00E83F53" w:rsidRPr="00062E29" w:rsidRDefault="00E83F53" w:rsidP="00E83F53">
            <w:pPr>
              <w:spacing w:before="60" w:after="60"/>
              <w:rPr>
                <w:szCs w:val="22"/>
              </w:rPr>
            </w:pPr>
            <w:r w:rsidRPr="00062E29">
              <w:rPr>
                <w:szCs w:val="22"/>
              </w:rPr>
              <w:t>HFC-134a</w:t>
            </w:r>
          </w:p>
        </w:tc>
        <w:tc>
          <w:tcPr>
            <w:tcW w:w="3285" w:type="dxa"/>
            <w:tcBorders>
              <w:top w:val="single" w:sz="4" w:space="0" w:color="auto"/>
            </w:tcBorders>
          </w:tcPr>
          <w:p w:rsidR="00E83F53" w:rsidRPr="002D16D6" w:rsidRDefault="00393EE8" w:rsidP="00C96E35">
            <w:pPr>
              <w:spacing w:before="60" w:after="60"/>
              <w:jc w:val="center"/>
              <w:rPr>
                <w:szCs w:val="22"/>
              </w:rPr>
            </w:pPr>
            <w:r>
              <w:rPr>
                <w:szCs w:val="22"/>
              </w:rPr>
              <w:t>35</w:t>
            </w:r>
            <w:r w:rsidR="00E83F53" w:rsidRPr="002D16D6">
              <w:rPr>
                <w:szCs w:val="22"/>
              </w:rPr>
              <w:t>%</w:t>
            </w:r>
          </w:p>
        </w:tc>
        <w:tc>
          <w:tcPr>
            <w:tcW w:w="3753" w:type="dxa"/>
            <w:tcBorders>
              <w:top w:val="single" w:sz="4" w:space="0" w:color="auto"/>
            </w:tcBorders>
          </w:tcPr>
          <w:p w:rsidR="00E83F53" w:rsidRPr="002D16D6" w:rsidRDefault="00E83F53" w:rsidP="00E83F53">
            <w:pPr>
              <w:spacing w:before="60" w:after="60"/>
              <w:jc w:val="center"/>
              <w:rPr>
                <w:szCs w:val="22"/>
              </w:rPr>
            </w:pPr>
            <w:r w:rsidRPr="002D16D6">
              <w:rPr>
                <w:szCs w:val="22"/>
              </w:rPr>
              <w:t>0%</w:t>
            </w:r>
          </w:p>
        </w:tc>
      </w:tr>
      <w:tr w:rsidR="00E83F53" w:rsidRPr="00062E29" w:rsidTr="00E83F53">
        <w:tc>
          <w:tcPr>
            <w:tcW w:w="1370" w:type="dxa"/>
          </w:tcPr>
          <w:p w:rsidR="00E83F53" w:rsidRPr="00062E29" w:rsidRDefault="00E83F53" w:rsidP="00E83F53">
            <w:pPr>
              <w:spacing w:before="60" w:after="60"/>
              <w:rPr>
                <w:szCs w:val="22"/>
              </w:rPr>
            </w:pPr>
            <w:r w:rsidRPr="00062E29">
              <w:rPr>
                <w:szCs w:val="22"/>
              </w:rPr>
              <w:t>HFC-407C</w:t>
            </w:r>
          </w:p>
        </w:tc>
        <w:tc>
          <w:tcPr>
            <w:tcW w:w="3285" w:type="dxa"/>
            <w:tcBorders>
              <w:top w:val="single" w:sz="4" w:space="0" w:color="auto"/>
            </w:tcBorders>
          </w:tcPr>
          <w:p w:rsidR="00E83F53" w:rsidRPr="002D16D6" w:rsidRDefault="00393EE8" w:rsidP="00393EE8">
            <w:pPr>
              <w:spacing w:before="60" w:after="60"/>
              <w:jc w:val="center"/>
              <w:rPr>
                <w:szCs w:val="22"/>
              </w:rPr>
            </w:pPr>
            <w:r>
              <w:rPr>
                <w:szCs w:val="22"/>
              </w:rPr>
              <w:t>25</w:t>
            </w:r>
            <w:r w:rsidR="00E83F53" w:rsidRPr="002D16D6">
              <w:rPr>
                <w:szCs w:val="22"/>
              </w:rPr>
              <w:t>%</w:t>
            </w:r>
          </w:p>
        </w:tc>
        <w:tc>
          <w:tcPr>
            <w:tcW w:w="3753" w:type="dxa"/>
            <w:tcBorders>
              <w:top w:val="single" w:sz="4" w:space="0" w:color="auto"/>
            </w:tcBorders>
          </w:tcPr>
          <w:p w:rsidR="00E83F53" w:rsidRPr="002D16D6" w:rsidRDefault="00E83F53" w:rsidP="00E83F53">
            <w:pPr>
              <w:spacing w:before="60" w:after="60"/>
              <w:jc w:val="center"/>
              <w:rPr>
                <w:szCs w:val="22"/>
              </w:rPr>
            </w:pPr>
            <w:r w:rsidRPr="002D16D6">
              <w:rPr>
                <w:szCs w:val="22"/>
              </w:rPr>
              <w:t>0%</w:t>
            </w:r>
          </w:p>
        </w:tc>
      </w:tr>
      <w:tr w:rsidR="00E83F53" w:rsidRPr="00062E29" w:rsidTr="00E83F53">
        <w:tc>
          <w:tcPr>
            <w:tcW w:w="1370" w:type="dxa"/>
          </w:tcPr>
          <w:p w:rsidR="00E83F53" w:rsidRPr="00062E29" w:rsidRDefault="00E83F53" w:rsidP="00E83F53">
            <w:pPr>
              <w:spacing w:before="60" w:after="60"/>
              <w:rPr>
                <w:szCs w:val="22"/>
              </w:rPr>
            </w:pPr>
            <w:r w:rsidRPr="00062E29">
              <w:rPr>
                <w:szCs w:val="22"/>
              </w:rPr>
              <w:t>GWP &lt;1000</w:t>
            </w:r>
          </w:p>
        </w:tc>
        <w:tc>
          <w:tcPr>
            <w:tcW w:w="3285" w:type="dxa"/>
            <w:tcBorders>
              <w:top w:val="single" w:sz="4" w:space="0" w:color="auto"/>
            </w:tcBorders>
          </w:tcPr>
          <w:p w:rsidR="00E83F53" w:rsidRPr="002D16D6" w:rsidRDefault="00C96E35" w:rsidP="00E83F53">
            <w:pPr>
              <w:spacing w:before="60" w:after="60"/>
              <w:jc w:val="center"/>
              <w:rPr>
                <w:szCs w:val="22"/>
              </w:rPr>
            </w:pPr>
            <w:r>
              <w:rPr>
                <w:szCs w:val="22"/>
              </w:rPr>
              <w:t>20</w:t>
            </w:r>
            <w:r w:rsidR="00E83F53" w:rsidRPr="002D16D6">
              <w:rPr>
                <w:szCs w:val="22"/>
              </w:rPr>
              <w:t>%</w:t>
            </w:r>
          </w:p>
        </w:tc>
        <w:tc>
          <w:tcPr>
            <w:tcW w:w="3753" w:type="dxa"/>
            <w:tcBorders>
              <w:top w:val="single" w:sz="4" w:space="0" w:color="auto"/>
            </w:tcBorders>
          </w:tcPr>
          <w:p w:rsidR="00E83F53" w:rsidRPr="002D16D6" w:rsidRDefault="00E83F53" w:rsidP="00E83F53">
            <w:pPr>
              <w:spacing w:before="60" w:after="60"/>
              <w:jc w:val="center"/>
              <w:rPr>
                <w:szCs w:val="22"/>
              </w:rPr>
            </w:pPr>
            <w:r w:rsidRPr="002D16D6">
              <w:rPr>
                <w:szCs w:val="22"/>
              </w:rPr>
              <w:t>50%</w:t>
            </w:r>
          </w:p>
        </w:tc>
      </w:tr>
      <w:tr w:rsidR="00E83F53" w:rsidRPr="00062E29" w:rsidTr="00E83F53">
        <w:tc>
          <w:tcPr>
            <w:tcW w:w="1370" w:type="dxa"/>
          </w:tcPr>
          <w:p w:rsidR="00E83F53" w:rsidRPr="00062E29" w:rsidRDefault="00E83F53" w:rsidP="00E83F53">
            <w:pPr>
              <w:spacing w:before="60" w:after="60"/>
              <w:rPr>
                <w:szCs w:val="22"/>
              </w:rPr>
            </w:pPr>
            <w:r w:rsidRPr="00062E29">
              <w:rPr>
                <w:szCs w:val="22"/>
              </w:rPr>
              <w:t>GWP &lt;10</w:t>
            </w:r>
          </w:p>
        </w:tc>
        <w:tc>
          <w:tcPr>
            <w:tcW w:w="3285" w:type="dxa"/>
            <w:tcBorders>
              <w:top w:val="single" w:sz="4" w:space="0" w:color="auto"/>
            </w:tcBorders>
          </w:tcPr>
          <w:p w:rsidR="00E83F53" w:rsidRPr="002D16D6" w:rsidRDefault="00C96E35" w:rsidP="002A19F1">
            <w:pPr>
              <w:spacing w:before="60" w:after="60"/>
              <w:jc w:val="center"/>
              <w:rPr>
                <w:szCs w:val="22"/>
              </w:rPr>
            </w:pPr>
            <w:r>
              <w:rPr>
                <w:szCs w:val="22"/>
              </w:rPr>
              <w:t>2</w:t>
            </w:r>
            <w:r w:rsidR="002A19F1">
              <w:rPr>
                <w:szCs w:val="22"/>
              </w:rPr>
              <w:t>0</w:t>
            </w:r>
            <w:r w:rsidR="00E83F53" w:rsidRPr="002D16D6">
              <w:rPr>
                <w:szCs w:val="22"/>
              </w:rPr>
              <w:t>%</w:t>
            </w:r>
          </w:p>
        </w:tc>
        <w:tc>
          <w:tcPr>
            <w:tcW w:w="3753" w:type="dxa"/>
            <w:tcBorders>
              <w:top w:val="single" w:sz="4" w:space="0" w:color="auto"/>
            </w:tcBorders>
          </w:tcPr>
          <w:p w:rsidR="00E83F53" w:rsidRPr="002D16D6" w:rsidRDefault="00E83F53" w:rsidP="00E83F53">
            <w:pPr>
              <w:spacing w:before="60" w:after="60"/>
              <w:jc w:val="center"/>
              <w:rPr>
                <w:szCs w:val="22"/>
              </w:rPr>
            </w:pPr>
            <w:r w:rsidRPr="002D16D6">
              <w:rPr>
                <w:szCs w:val="22"/>
              </w:rPr>
              <w:t>50%</w:t>
            </w:r>
          </w:p>
        </w:tc>
      </w:tr>
      <w:tr w:rsidR="00E83F53" w:rsidRPr="00062E29" w:rsidTr="00E83F53">
        <w:tc>
          <w:tcPr>
            <w:tcW w:w="8408" w:type="dxa"/>
            <w:gridSpan w:val="3"/>
          </w:tcPr>
          <w:p w:rsidR="00E83F53" w:rsidRPr="00062E29" w:rsidRDefault="00494DE8" w:rsidP="00E83F53">
            <w:pPr>
              <w:spacing w:before="60" w:after="60"/>
              <w:rPr>
                <w:szCs w:val="22"/>
              </w:rPr>
            </w:pPr>
            <w:r w:rsidRPr="00494DE8">
              <w:rPr>
                <w:szCs w:val="22"/>
              </w:rPr>
              <w:t>Predicted scenario has a medium level of confidence, and a medium level of complexity.</w:t>
            </w:r>
          </w:p>
        </w:tc>
      </w:tr>
    </w:tbl>
    <w:p w:rsidR="00E83F53" w:rsidRPr="00062E29" w:rsidRDefault="00E83F53" w:rsidP="007D2403">
      <w:pPr>
        <w:spacing w:before="360" w:after="120"/>
        <w:rPr>
          <w:rFonts w:cs="Times New Roman"/>
          <w:b/>
          <w:szCs w:val="22"/>
        </w:rPr>
      </w:pPr>
      <w:r w:rsidRPr="00062E29">
        <w:rPr>
          <w:rFonts w:cs="Times New Roman"/>
          <w:b/>
          <w:szCs w:val="22"/>
        </w:rPr>
        <w:t xml:space="preserve">Potential actions to support a smooth transition </w:t>
      </w:r>
    </w:p>
    <w:p w:rsidR="00E95D9E" w:rsidRDefault="00E95D9E" w:rsidP="00E95D9E">
      <w:pPr>
        <w:rPr>
          <w:rFonts w:cs="Times New Roman"/>
          <w:szCs w:val="22"/>
        </w:rPr>
      </w:pPr>
      <w:r>
        <w:rPr>
          <w:rFonts w:cs="Times New Roman"/>
          <w:szCs w:val="22"/>
        </w:rPr>
        <w:t>With the international market positioning for what appears to be a collaborative transition of MACs to HFOs, at least in passenger and light commercial vehicles, Australia has a number of opportunities open to it to assist a transition in this sector. The Federal and State Governments could follow European and US government programs aimed at accelerating the market for vehicles fitted with HFO charged MACs by, for instance;</w:t>
      </w:r>
    </w:p>
    <w:p w:rsidR="00E95D9E" w:rsidRDefault="00E95D9E" w:rsidP="00E97935">
      <w:pPr>
        <w:pStyle w:val="ListParagraph"/>
        <w:numPr>
          <w:ilvl w:val="0"/>
          <w:numId w:val="14"/>
        </w:numPr>
        <w:spacing w:before="120" w:after="0" w:line="240" w:lineRule="auto"/>
        <w:ind w:left="357" w:hanging="357"/>
        <w:contextualSpacing w:val="0"/>
        <w:jc w:val="both"/>
        <w:rPr>
          <w:rFonts w:ascii="Times New Roman" w:hAnsi="Times New Roman"/>
        </w:rPr>
      </w:pPr>
      <w:r>
        <w:rPr>
          <w:rFonts w:ascii="Times New Roman" w:hAnsi="Times New Roman"/>
        </w:rPr>
        <w:t>Harmonis</w:t>
      </w:r>
      <w:r w:rsidR="008B32BA">
        <w:rPr>
          <w:rFonts w:ascii="Times New Roman" w:hAnsi="Times New Roman"/>
        </w:rPr>
        <w:t>ing</w:t>
      </w:r>
      <w:r>
        <w:rPr>
          <w:rFonts w:ascii="Times New Roman" w:hAnsi="Times New Roman"/>
        </w:rPr>
        <w:t xml:space="preserve"> Australian regulations with the </w:t>
      </w:r>
      <w:r w:rsidRPr="008A3E7A">
        <w:rPr>
          <w:rFonts w:ascii="Times New Roman" w:hAnsi="Times New Roman"/>
        </w:rPr>
        <w:t xml:space="preserve">European Union regulations (EC Directive 2006/40/CE) that place a ban on use of refrigerants with a GWP greater than 150 in all new vehicles from </w:t>
      </w:r>
      <w:r>
        <w:rPr>
          <w:rFonts w:ascii="Times New Roman" w:hAnsi="Times New Roman"/>
        </w:rPr>
        <w:t>a certain date;</w:t>
      </w:r>
    </w:p>
    <w:p w:rsidR="00E95D9E" w:rsidRDefault="00E95D9E" w:rsidP="00E97935">
      <w:pPr>
        <w:pStyle w:val="ListParagraph"/>
        <w:numPr>
          <w:ilvl w:val="0"/>
          <w:numId w:val="14"/>
        </w:numPr>
        <w:spacing w:before="120" w:after="0" w:line="240" w:lineRule="auto"/>
        <w:ind w:left="357" w:hanging="357"/>
        <w:contextualSpacing w:val="0"/>
        <w:jc w:val="both"/>
        <w:rPr>
          <w:rFonts w:ascii="Times New Roman" w:hAnsi="Times New Roman"/>
        </w:rPr>
      </w:pPr>
      <w:r>
        <w:rPr>
          <w:rFonts w:ascii="Times New Roman" w:hAnsi="Times New Roman"/>
        </w:rPr>
        <w:t>All new government vehicles r</w:t>
      </w:r>
      <w:r w:rsidRPr="00B67075">
        <w:rPr>
          <w:rFonts w:ascii="Times New Roman" w:hAnsi="Times New Roman"/>
        </w:rPr>
        <w:t xml:space="preserve">equiring </w:t>
      </w:r>
      <w:r>
        <w:rPr>
          <w:rFonts w:ascii="Times New Roman" w:hAnsi="Times New Roman"/>
        </w:rPr>
        <w:t>the use of a refrigerant with a GWP &lt;10 from a certain date;</w:t>
      </w:r>
    </w:p>
    <w:p w:rsidR="00E95D9E" w:rsidRDefault="00E95D9E" w:rsidP="00E97935">
      <w:pPr>
        <w:pStyle w:val="ListParagraph"/>
        <w:numPr>
          <w:ilvl w:val="0"/>
          <w:numId w:val="14"/>
        </w:numPr>
        <w:spacing w:before="120" w:after="0" w:line="240" w:lineRule="auto"/>
        <w:ind w:left="357" w:hanging="357"/>
        <w:contextualSpacing w:val="0"/>
        <w:jc w:val="both"/>
        <w:rPr>
          <w:rFonts w:ascii="Times New Roman" w:hAnsi="Times New Roman"/>
        </w:rPr>
      </w:pPr>
      <w:r>
        <w:rPr>
          <w:rFonts w:ascii="Times New Roman" w:hAnsi="Times New Roman"/>
        </w:rPr>
        <w:t>Provide a small registration rebate for new fleet vehicles equipped with MACs charged with a refrigerant with a GWP &lt;10;</w:t>
      </w:r>
    </w:p>
    <w:p w:rsidR="00E95D9E" w:rsidRDefault="00E95D9E" w:rsidP="00E97935">
      <w:pPr>
        <w:pStyle w:val="ListParagraph"/>
        <w:numPr>
          <w:ilvl w:val="0"/>
          <w:numId w:val="14"/>
        </w:numPr>
        <w:spacing w:before="120" w:after="0" w:line="240" w:lineRule="auto"/>
        <w:ind w:left="357" w:hanging="357"/>
        <w:contextualSpacing w:val="0"/>
        <w:jc w:val="both"/>
        <w:rPr>
          <w:rFonts w:ascii="Times New Roman" w:hAnsi="Times New Roman"/>
        </w:rPr>
      </w:pPr>
      <w:r>
        <w:rPr>
          <w:rFonts w:ascii="Times New Roman" w:hAnsi="Times New Roman"/>
        </w:rPr>
        <w:t>Investigate options for public transport systems that can operate CO</w:t>
      </w:r>
      <w:r w:rsidRPr="00560D5A">
        <w:rPr>
          <w:rFonts w:ascii="Times New Roman" w:hAnsi="Times New Roman"/>
          <w:vertAlign w:val="subscript"/>
        </w:rPr>
        <w:t>2</w:t>
      </w:r>
      <w:r>
        <w:rPr>
          <w:rFonts w:ascii="Times New Roman" w:hAnsi="Times New Roman"/>
        </w:rPr>
        <w:t xml:space="preserve"> charged MACs; and,</w:t>
      </w:r>
    </w:p>
    <w:p w:rsidR="009519E2" w:rsidRDefault="00E95D9E" w:rsidP="009519E2">
      <w:pPr>
        <w:pStyle w:val="ListParagraph"/>
        <w:numPr>
          <w:ilvl w:val="0"/>
          <w:numId w:val="14"/>
        </w:numPr>
        <w:spacing w:before="120" w:after="0" w:line="240" w:lineRule="auto"/>
        <w:ind w:left="357" w:hanging="357"/>
        <w:contextualSpacing w:val="0"/>
        <w:jc w:val="both"/>
      </w:pPr>
      <w:r>
        <w:rPr>
          <w:rFonts w:ascii="Times New Roman" w:hAnsi="Times New Roman"/>
        </w:rPr>
        <w:t>Investigate opportunities for refitting of public transport systems</w:t>
      </w:r>
      <w:r w:rsidR="00270B15">
        <w:rPr>
          <w:rFonts w:ascii="Times New Roman" w:hAnsi="Times New Roman"/>
        </w:rPr>
        <w:t>, where the vehicles themselves are very long lived pieces of capital equipment,</w:t>
      </w:r>
      <w:r>
        <w:rPr>
          <w:rFonts w:ascii="Times New Roman" w:hAnsi="Times New Roman"/>
        </w:rPr>
        <w:t xml:space="preserve"> with</w:t>
      </w:r>
      <w:r w:rsidR="00270B15">
        <w:rPr>
          <w:rFonts w:ascii="Times New Roman" w:hAnsi="Times New Roman"/>
        </w:rPr>
        <w:t xml:space="preserve"> new MACs charged with zero or lower GWP refrigerants</w:t>
      </w:r>
      <w:r>
        <w:rPr>
          <w:rFonts w:ascii="Times New Roman" w:hAnsi="Times New Roman"/>
        </w:rPr>
        <w:t>.</w:t>
      </w:r>
    </w:p>
    <w:p w:rsidR="00CD1ACA" w:rsidRDefault="00CD1ACA" w:rsidP="00C73C6A">
      <w:pPr>
        <w:pStyle w:val="Heading1"/>
        <w:ind w:left="432"/>
      </w:pPr>
      <w:bookmarkStart w:id="76" w:name="_Toc257359961"/>
      <w:r>
        <w:t>Foam</w:t>
      </w:r>
      <w:bookmarkEnd w:id="76"/>
    </w:p>
    <w:p w:rsidR="00E97935" w:rsidRPr="00623E19" w:rsidRDefault="00E97935" w:rsidP="00E97935">
      <w:r w:rsidRPr="00623E19">
        <w:t>Foam blowing agents comprise</w:t>
      </w:r>
      <w:r>
        <w:t>d</w:t>
      </w:r>
      <w:r w:rsidRPr="00623E19">
        <w:t xml:space="preserve"> around 4</w:t>
      </w:r>
      <w:r w:rsidR="009A11F6">
        <w:t>%</w:t>
      </w:r>
      <w:r>
        <w:t> </w:t>
      </w:r>
      <w:r w:rsidRPr="00623E19">
        <w:t xml:space="preserve"> </w:t>
      </w:r>
      <w:r w:rsidRPr="001E046B">
        <w:t>(~200 tonnes) of all bulk ODS</w:t>
      </w:r>
      <w:r w:rsidRPr="00623E19">
        <w:t xml:space="preserve"> and SGGs imported into Australia in 201</w:t>
      </w:r>
      <w:r>
        <w:t>3</w:t>
      </w:r>
      <w:r w:rsidRPr="00623E19">
        <w:t>. Unlike almost every other major and minor application of ODS and SGGs, a proportion of this material is emitted to air in the year of import</w:t>
      </w:r>
      <w:r>
        <w:t xml:space="preserve">, and the balance is gradually released over several decades as the foam cells and structures break down either whilst in use or in land fill. </w:t>
      </w:r>
    </w:p>
    <w:p w:rsidR="00E97935" w:rsidRDefault="00E97935" w:rsidP="00E97935">
      <w:r w:rsidRPr="00910F8B">
        <w:t xml:space="preserve">The </w:t>
      </w:r>
      <w:r>
        <w:t xml:space="preserve">Montreal Protocol has had a significant impact on the </w:t>
      </w:r>
      <w:r w:rsidRPr="00910F8B">
        <w:t>phase</w:t>
      </w:r>
      <w:r w:rsidR="00BC7FF8">
        <w:t xml:space="preserve"> </w:t>
      </w:r>
      <w:r w:rsidRPr="00910F8B">
        <w:t xml:space="preserve">out of </w:t>
      </w:r>
      <w:r>
        <w:t>the use of ODS</w:t>
      </w:r>
      <w:r w:rsidRPr="00910F8B">
        <w:t xml:space="preserve"> </w:t>
      </w:r>
      <w:r>
        <w:t xml:space="preserve">use in foam applications with most large scale manufacturing facilities migrating to pentane </w:t>
      </w:r>
      <w:r w:rsidRPr="00116625">
        <w:t>foam blowing</w:t>
      </w:r>
      <w:r>
        <w:t>,</w:t>
      </w:r>
      <w:r w:rsidRPr="00116625">
        <w:t xml:space="preserve"> </w:t>
      </w:r>
      <w:r>
        <w:t xml:space="preserve">and smaller facilities moving to HFC based systems. In 2006 there were 300 tonnes of bulk HCFCs imported for foam blowing. The last bulk HCFCs imported for foam applications, approximately </w:t>
      </w:r>
      <w:r w:rsidRPr="000A234C">
        <w:t xml:space="preserve">49 </w:t>
      </w:r>
      <w:r>
        <w:t>tonnes, were b</w:t>
      </w:r>
      <w:r w:rsidR="008B32BA">
        <w:t>r</w:t>
      </w:r>
      <w:r>
        <w:t>ought in during 2010. There were reports that some participants in the foam industry developed stockpiles of HCFC as the import cap constrained future imports, however it is believed these stockpiles were consumed several years ago.</w:t>
      </w:r>
    </w:p>
    <w:p w:rsidR="00E97935" w:rsidRDefault="00E97935" w:rsidP="00E97935">
      <w:r>
        <w:t>The HFCs consumed in the foam sector mostly comprise HFC-365mfc (GWP of 794</w:t>
      </w:r>
      <w:r w:rsidRPr="00116625">
        <w:rPr>
          <w:vertAlign w:val="superscript"/>
        </w:rPr>
        <w:t>AR4</w:t>
      </w:r>
      <w:r>
        <w:t>) and HFC-245fa (GWP of 1030</w:t>
      </w:r>
      <w:r w:rsidRPr="00116625">
        <w:rPr>
          <w:vertAlign w:val="superscript"/>
        </w:rPr>
        <w:t>AR4</w:t>
      </w:r>
      <w:r>
        <w:t>), with small volumes of HFC-227ea (GWP of 2900) consumed in blends (87</w:t>
      </w:r>
      <w:r w:rsidR="009A11F6">
        <w:t>%</w:t>
      </w:r>
      <w:r>
        <w:t xml:space="preserve"> HFC-365mfc and 13</w:t>
      </w:r>
      <w:r w:rsidR="00450035">
        <w:t>%</w:t>
      </w:r>
      <w:r w:rsidR="00F51E53">
        <w:t xml:space="preserve"> </w:t>
      </w:r>
      <w:r>
        <w:t xml:space="preserve">HFC-227ea with a weighted GWP of 1109). </w:t>
      </w:r>
    </w:p>
    <w:p w:rsidR="00E97935" w:rsidRDefault="00E97935" w:rsidP="00E97935">
      <w:r>
        <w:t xml:space="preserve">Notable changes in this industry over the past </w:t>
      </w:r>
      <w:r w:rsidR="00450035">
        <w:t xml:space="preserve">5 </w:t>
      </w:r>
      <w:r>
        <w:t>years include:</w:t>
      </w:r>
    </w:p>
    <w:p w:rsidR="00E97935" w:rsidRDefault="00E97935" w:rsidP="00E97935">
      <w:pPr>
        <w:pStyle w:val="ListParagraph"/>
        <w:numPr>
          <w:ilvl w:val="0"/>
          <w:numId w:val="9"/>
        </w:numPr>
        <w:spacing w:before="120" w:after="120" w:line="240" w:lineRule="auto"/>
        <w:contextualSpacing w:val="0"/>
        <w:jc w:val="both"/>
        <w:rPr>
          <w:rFonts w:ascii="Times New Roman" w:hAnsi="Times New Roman"/>
        </w:rPr>
      </w:pPr>
      <w:r w:rsidRPr="00116625">
        <w:rPr>
          <w:rFonts w:ascii="Times New Roman" w:hAnsi="Times New Roman"/>
        </w:rPr>
        <w:t>Rheem converted its foam blowing manufacturing facilities in Rydalmere, NSW</w:t>
      </w:r>
      <w:r w:rsidR="008B32BA">
        <w:rPr>
          <w:rFonts w:ascii="Times New Roman" w:hAnsi="Times New Roman"/>
        </w:rPr>
        <w:t>,</w:t>
      </w:r>
      <w:r w:rsidRPr="00116625">
        <w:rPr>
          <w:rFonts w:ascii="Times New Roman" w:hAnsi="Times New Roman"/>
        </w:rPr>
        <w:t xml:space="preserve"> to pentane in around 2008, removing demand for around 25 </w:t>
      </w:r>
      <w:r>
        <w:rPr>
          <w:rFonts w:ascii="Times New Roman" w:hAnsi="Times New Roman"/>
        </w:rPr>
        <w:t>tonnes</w:t>
      </w:r>
      <w:r w:rsidRPr="00116625">
        <w:rPr>
          <w:rFonts w:ascii="Times New Roman" w:hAnsi="Times New Roman"/>
        </w:rPr>
        <w:t xml:space="preserve"> of HCFC-142b/22 blend per annum;</w:t>
      </w:r>
    </w:p>
    <w:p w:rsidR="00E97935" w:rsidRPr="00116625" w:rsidRDefault="00E97935" w:rsidP="00E97935">
      <w:pPr>
        <w:pStyle w:val="ListParagraph"/>
        <w:numPr>
          <w:ilvl w:val="0"/>
          <w:numId w:val="9"/>
        </w:numPr>
        <w:spacing w:before="120" w:after="120" w:line="240" w:lineRule="auto"/>
        <w:contextualSpacing w:val="0"/>
        <w:jc w:val="both"/>
        <w:rPr>
          <w:rFonts w:ascii="Times New Roman" w:hAnsi="Times New Roman"/>
        </w:rPr>
      </w:pPr>
      <w:r w:rsidRPr="00760D2B">
        <w:rPr>
          <w:rFonts w:ascii="Times New Roman" w:hAnsi="Times New Roman"/>
        </w:rPr>
        <w:t xml:space="preserve">The 2008 closure of Fisher &amp; Paykel’s domestic refrigerator manufacturing plant in Cleveland, Queensland </w:t>
      </w:r>
      <w:r>
        <w:rPr>
          <w:rFonts w:ascii="Times New Roman" w:hAnsi="Times New Roman"/>
        </w:rPr>
        <w:t xml:space="preserve">did not displace </w:t>
      </w:r>
      <w:r w:rsidRPr="00481C54">
        <w:rPr>
          <w:rFonts w:ascii="Times New Roman" w:hAnsi="Times New Roman"/>
        </w:rPr>
        <w:t xml:space="preserve">ODS or SGGs </w:t>
      </w:r>
      <w:r>
        <w:rPr>
          <w:rFonts w:ascii="Times New Roman" w:hAnsi="Times New Roman"/>
        </w:rPr>
        <w:t>foam blowing demand as they had already converted to pentane;</w:t>
      </w:r>
    </w:p>
    <w:p w:rsidR="00E97935" w:rsidRDefault="00E97935" w:rsidP="00E97935">
      <w:pPr>
        <w:pStyle w:val="ListParagraph"/>
        <w:numPr>
          <w:ilvl w:val="0"/>
          <w:numId w:val="9"/>
        </w:numPr>
        <w:spacing w:before="120" w:after="120" w:line="240" w:lineRule="auto"/>
        <w:contextualSpacing w:val="0"/>
        <w:jc w:val="both"/>
        <w:rPr>
          <w:rFonts w:ascii="Times New Roman" w:hAnsi="Times New Roman"/>
        </w:rPr>
      </w:pPr>
      <w:r w:rsidRPr="00116625">
        <w:rPr>
          <w:rFonts w:ascii="Times New Roman" w:hAnsi="Times New Roman"/>
        </w:rPr>
        <w:t xml:space="preserve">Dux (division of GWA) </w:t>
      </w:r>
      <w:r w:rsidRPr="00202AD2">
        <w:rPr>
          <w:rFonts w:ascii="Times New Roman" w:hAnsi="Times New Roman"/>
        </w:rPr>
        <w:t>have converted their foam</w:t>
      </w:r>
      <w:r w:rsidRPr="00116625">
        <w:rPr>
          <w:rFonts w:ascii="Times New Roman" w:hAnsi="Times New Roman"/>
        </w:rPr>
        <w:t xml:space="preserve"> blowing for their hot water system manufacturing operation to pentane;</w:t>
      </w:r>
    </w:p>
    <w:p w:rsidR="00E97935" w:rsidRDefault="00E97935" w:rsidP="00E97935">
      <w:pPr>
        <w:pStyle w:val="ListParagraph"/>
        <w:numPr>
          <w:ilvl w:val="0"/>
          <w:numId w:val="9"/>
        </w:numPr>
        <w:spacing w:before="120" w:after="120" w:line="240" w:lineRule="auto"/>
        <w:contextualSpacing w:val="0"/>
        <w:jc w:val="both"/>
        <w:rPr>
          <w:rFonts w:ascii="Times New Roman" w:hAnsi="Times New Roman"/>
        </w:rPr>
      </w:pPr>
      <w:r w:rsidRPr="008D220A">
        <w:rPr>
          <w:rFonts w:ascii="Times New Roman" w:hAnsi="Times New Roman"/>
        </w:rPr>
        <w:t>Saxon Industries</w:t>
      </w:r>
      <w:r>
        <w:rPr>
          <w:rFonts w:ascii="Times New Roman" w:hAnsi="Times New Roman"/>
        </w:rPr>
        <w:t xml:space="preserve">, a hot water heat pump manufacturer </w:t>
      </w:r>
      <w:r w:rsidRPr="008D220A">
        <w:rPr>
          <w:rFonts w:ascii="Times New Roman" w:hAnsi="Times New Roman"/>
        </w:rPr>
        <w:t xml:space="preserve">in Queensland </w:t>
      </w:r>
      <w:r>
        <w:rPr>
          <w:rFonts w:ascii="Times New Roman" w:hAnsi="Times New Roman"/>
        </w:rPr>
        <w:t>went i</w:t>
      </w:r>
      <w:r w:rsidRPr="008D220A">
        <w:rPr>
          <w:rFonts w:ascii="Times New Roman" w:hAnsi="Times New Roman"/>
        </w:rPr>
        <w:t>nt</w:t>
      </w:r>
      <w:r>
        <w:rPr>
          <w:rFonts w:ascii="Times New Roman" w:hAnsi="Times New Roman"/>
        </w:rPr>
        <w:t>o voluntary liquidation in 2010;</w:t>
      </w:r>
    </w:p>
    <w:p w:rsidR="00E97935" w:rsidRDefault="00E97935" w:rsidP="00E97935">
      <w:pPr>
        <w:pStyle w:val="ListParagraph"/>
        <w:numPr>
          <w:ilvl w:val="0"/>
          <w:numId w:val="9"/>
        </w:numPr>
        <w:spacing w:before="120" w:after="120" w:line="240" w:lineRule="auto"/>
        <w:contextualSpacing w:val="0"/>
        <w:jc w:val="both"/>
        <w:rPr>
          <w:rFonts w:ascii="Times New Roman" w:hAnsi="Times New Roman"/>
        </w:rPr>
      </w:pPr>
      <w:r w:rsidRPr="00116625">
        <w:rPr>
          <w:rFonts w:ascii="Times New Roman" w:hAnsi="Times New Roman"/>
        </w:rPr>
        <w:t xml:space="preserve">Orford Refrigeration, a commercial refrigeration manufacturing operation based in </w:t>
      </w:r>
      <w:r w:rsidR="009B4376" w:rsidRPr="00116625">
        <w:rPr>
          <w:rFonts w:ascii="Times New Roman" w:hAnsi="Times New Roman"/>
        </w:rPr>
        <w:t>Toowoomba</w:t>
      </w:r>
      <w:r w:rsidRPr="00116625">
        <w:rPr>
          <w:rFonts w:ascii="Times New Roman" w:hAnsi="Times New Roman"/>
        </w:rPr>
        <w:t>, Queensland that was using both H</w:t>
      </w:r>
      <w:r>
        <w:rPr>
          <w:rFonts w:ascii="Times New Roman" w:hAnsi="Times New Roman"/>
        </w:rPr>
        <w:t>C</w:t>
      </w:r>
      <w:r w:rsidRPr="00116625">
        <w:rPr>
          <w:rFonts w:ascii="Times New Roman" w:hAnsi="Times New Roman"/>
        </w:rPr>
        <w:t xml:space="preserve">FC-141b and water blown foams closed </w:t>
      </w:r>
      <w:r>
        <w:rPr>
          <w:rFonts w:ascii="Times New Roman" w:hAnsi="Times New Roman"/>
        </w:rPr>
        <w:t>in 2011</w:t>
      </w:r>
      <w:r w:rsidRPr="00116625">
        <w:rPr>
          <w:rFonts w:ascii="Times New Roman" w:hAnsi="Times New Roman"/>
        </w:rPr>
        <w:t>;</w:t>
      </w:r>
    </w:p>
    <w:p w:rsidR="00E97935" w:rsidRDefault="00E97935" w:rsidP="00E97935">
      <w:pPr>
        <w:pStyle w:val="ListParagraph"/>
        <w:numPr>
          <w:ilvl w:val="0"/>
          <w:numId w:val="9"/>
        </w:numPr>
        <w:spacing w:before="120" w:after="120" w:line="240" w:lineRule="auto"/>
        <w:contextualSpacing w:val="0"/>
        <w:jc w:val="both"/>
        <w:rPr>
          <w:rFonts w:ascii="Times New Roman" w:hAnsi="Times New Roman"/>
        </w:rPr>
      </w:pPr>
      <w:r>
        <w:rPr>
          <w:rFonts w:ascii="Times New Roman" w:hAnsi="Times New Roman"/>
        </w:rPr>
        <w:t>Fridgrite, a commercial refrigeration manufacturing facility based in Melbourne that was using HFC-134a for foam blowing, closed its operations in around 2010; and</w:t>
      </w:r>
    </w:p>
    <w:p w:rsidR="00E97935" w:rsidRDefault="00E97935" w:rsidP="00E97935">
      <w:pPr>
        <w:pStyle w:val="ListParagraph"/>
        <w:numPr>
          <w:ilvl w:val="0"/>
          <w:numId w:val="9"/>
        </w:numPr>
        <w:spacing w:before="120" w:after="120" w:line="240" w:lineRule="auto"/>
        <w:contextualSpacing w:val="0"/>
        <w:jc w:val="both"/>
        <w:rPr>
          <w:rFonts w:ascii="Times New Roman" w:hAnsi="Times New Roman"/>
        </w:rPr>
      </w:pPr>
      <w:r w:rsidRPr="00116625">
        <w:rPr>
          <w:rFonts w:ascii="Times New Roman" w:hAnsi="Times New Roman"/>
        </w:rPr>
        <w:t xml:space="preserve">Williams Refrigeration based in Melbourne manufactures a variety of refrigerated cabinets </w:t>
      </w:r>
      <w:r>
        <w:rPr>
          <w:rFonts w:ascii="Times New Roman" w:hAnsi="Times New Roman"/>
        </w:rPr>
        <w:t xml:space="preserve">which </w:t>
      </w:r>
      <w:r w:rsidRPr="00116625">
        <w:rPr>
          <w:rFonts w:ascii="Times New Roman" w:hAnsi="Times New Roman"/>
        </w:rPr>
        <w:t>migrated from HCFC foam technology to a HFC bl</w:t>
      </w:r>
      <w:r>
        <w:rPr>
          <w:rFonts w:ascii="Times New Roman" w:hAnsi="Times New Roman"/>
        </w:rPr>
        <w:t>end of HFC-245fa and HFC-365mfc several years ago.</w:t>
      </w:r>
    </w:p>
    <w:p w:rsidR="00E97935" w:rsidRDefault="00E97935" w:rsidP="00E97935">
      <w:r>
        <w:t>Manufacturing rationalisation, refurbishments and closures have contributed to a significant portion of the decline in consumption of HCFC foam blowing agents in Australia. However, HFC and low GWP alternative technologies have evolved considerably over the last five years and the HCFC phase</w:t>
      </w:r>
      <w:r w:rsidR="00BC7FF8">
        <w:t xml:space="preserve"> </w:t>
      </w:r>
      <w:r>
        <w:t>out in this sector is virtually complete with no more bulk substance imports expected for foam applications in the future.</w:t>
      </w:r>
    </w:p>
    <w:p w:rsidR="00E97935" w:rsidRDefault="00E97935" w:rsidP="00E97935">
      <w:pPr>
        <w:spacing w:after="120"/>
      </w:pPr>
      <w:r w:rsidRPr="00481C54">
        <w:t>There are a number of ‘system houses’ including Huntsman, ERA Polymers, Chemind, Australian Urethane Systems, Ariel Industries (division of ERA Polymers), Pacific Urethanes</w:t>
      </w:r>
      <w:r>
        <w:t>,</w:t>
      </w:r>
      <w:r w:rsidRPr="00481C54">
        <w:t xml:space="preserve"> and a few smaller participants in this segment</w:t>
      </w:r>
      <w:r>
        <w:t>,</w:t>
      </w:r>
      <w:r w:rsidRPr="00481C54">
        <w:t xml:space="preserve"> who blend HFC foam blowing agents and chemicals for foam manufacturers, large and small, and who produce foam to order for OEMs. Rebain International also competes with systems houses with imported formulations and BASF recently closed its blending facilities in Melbourne.</w:t>
      </w:r>
    </w:p>
    <w:p w:rsidR="00E97935" w:rsidRDefault="00E97935" w:rsidP="00E97935">
      <w:r>
        <w:t>HFC formulations are generally used where thermal insulation properties are critical, or for manufacturing in emerging markets or by small to medium sized enterprises, due to the low investment costs (compared with using a flammable blowing agent) and a range of end-use applications. End use applications include commercial refrigeration cabinets, refrigerated transport for road and intermodal containers (road and rail), insulation panel produced in batches on a small scale, block or moulded foam and spray insulation in agricultural applications such as chicken sheds, piggeries and mushroom farms.</w:t>
      </w:r>
    </w:p>
    <w:p w:rsidR="00E97935" w:rsidRDefault="00E97935" w:rsidP="00E97935">
      <w:r>
        <w:t xml:space="preserve">There </w:t>
      </w:r>
      <w:r w:rsidR="00852F5D">
        <w:t xml:space="preserve">is </w:t>
      </w:r>
      <w:r>
        <w:t xml:space="preserve">a wide variety of alternative blowing agents that have been or are being developed (UNEP 2010b, 2013c), some of them such as hydrocarbons (n-pentane, cyclopentane, isobutane, and various blends) have flammability issues during manufacturing that can be overcome with economies of scale to justify the investment in fireproofing equipment. Other technologies such as water blown </w:t>
      </w:r>
      <w:r w:rsidR="00CF154A">
        <w:rPr>
          <w:rFonts w:cs="Times New Roman"/>
          <w:szCs w:val="22"/>
        </w:rPr>
        <w:t>CO</w:t>
      </w:r>
      <w:r w:rsidR="00CF154A" w:rsidRPr="007E5FA0">
        <w:rPr>
          <w:rFonts w:cs="Times New Roman"/>
          <w:szCs w:val="22"/>
          <w:vertAlign w:val="subscript"/>
        </w:rPr>
        <w:t>2</w:t>
      </w:r>
      <w:r w:rsidR="00F51E53">
        <w:t xml:space="preserve"> a</w:t>
      </w:r>
      <w:r>
        <w:t xml:space="preserve">re progressively overcoming technical barriers such as dimensional stability for certain applications, however they are limited in some applications as they may generally require increases in foam thickness compared to HCFC and HFC formulations. Methyl formate and </w:t>
      </w:r>
      <w:r w:rsidRPr="00CE2251">
        <w:t>methylal are two</w:t>
      </w:r>
      <w:r>
        <w:t xml:space="preserve"> other technologies that are in commercial use, but do not yet have significant market penetration in Australia.</w:t>
      </w:r>
    </w:p>
    <w:p w:rsidR="00E97935" w:rsidRDefault="00977C4A" w:rsidP="00E97935">
      <w:r w:rsidRPr="00112AE0">
        <w:t>The main commercial barriers to transition to low GWP alternatives in applications where high GWP foam blowing agents are used are mostly as a result of insufficient economies of scale. Major international chemical companies DuPont, Honeywell and Arkema are all active</w:t>
      </w:r>
      <w:r w:rsidR="005D6A53" w:rsidRPr="00112AE0">
        <w:t>ly</w:t>
      </w:r>
      <w:r w:rsidRPr="00112AE0">
        <w:t xml:space="preserve"> developing and commercialising low GWP synthetic foam blowing agents such as HFO-1234ze(E) (GWP of 6), HFO-1233zd (GWP of 1) and other HFOs with </w:t>
      </w:r>
      <w:r w:rsidR="005D6A53" w:rsidRPr="00112AE0">
        <w:t>no</w:t>
      </w:r>
      <w:r w:rsidRPr="00112AE0">
        <w:t xml:space="preserve"> to mild flammability with GWP values of less than fifteen (e.g. Arkema AFA-L1 claiming to be a non-flammable replacement for HFC-245fa offering excellent insulation capability or </w:t>
      </w:r>
      <w:r w:rsidRPr="00112AE0">
        <w:br/>
        <w:t>k factor along the Cold Chain).</w:t>
      </w:r>
    </w:p>
    <w:p w:rsidR="009C0D66" w:rsidRDefault="009C0D66" w:rsidP="00E97935">
      <w:r w:rsidRPr="009C0D66">
        <w:t xml:space="preserve">Honeywell International </w:t>
      </w:r>
      <w:r w:rsidR="009C42C6">
        <w:t xml:space="preserve">claim in their brochures that </w:t>
      </w:r>
      <w:r w:rsidRPr="009C0D66">
        <w:t xml:space="preserve">Solstice </w:t>
      </w:r>
      <w:r w:rsidR="009C42C6">
        <w:t xml:space="preserve">Gas </w:t>
      </w:r>
      <w:r w:rsidR="009C42C6" w:rsidRPr="009C0D66">
        <w:t>Blowing Agent</w:t>
      </w:r>
      <w:r w:rsidR="00163AEC">
        <w:t>,</w:t>
      </w:r>
      <w:r w:rsidR="009C42C6">
        <w:t xml:space="preserve"> </w:t>
      </w:r>
      <w:r w:rsidR="00163AEC">
        <w:t xml:space="preserve">HFO-1234ze </w:t>
      </w:r>
      <w:r w:rsidRPr="009C0D66">
        <w:t>is a near drop-in replacement for many extrusion processes currently using CO</w:t>
      </w:r>
      <w:r w:rsidRPr="009C42C6">
        <w:rPr>
          <w:vertAlign w:val="subscript"/>
        </w:rPr>
        <w:t>2</w:t>
      </w:r>
      <w:r w:rsidRPr="009C0D66">
        <w:t>, HFC-134a and HFC-152a blowing agents</w:t>
      </w:r>
      <w:r w:rsidR="009C42C6">
        <w:t>, and that S</w:t>
      </w:r>
      <w:r w:rsidRPr="009C0D66">
        <w:t xml:space="preserve">olstice </w:t>
      </w:r>
      <w:r w:rsidR="009C42C6">
        <w:t xml:space="preserve">Liquid Blowing Agent HFO-1233zd are </w:t>
      </w:r>
      <w:r w:rsidRPr="009C0D66">
        <w:t>a near drop-in replacement for liquid HCFC, HFC, hydrocarbons and other non-fluorocarbon blowing agents.</w:t>
      </w:r>
    </w:p>
    <w:p w:rsidR="00E97935" w:rsidRDefault="00E97935" w:rsidP="00E97935">
      <w:r w:rsidRPr="00CC6351">
        <w:t xml:space="preserve">Some of these products </w:t>
      </w:r>
      <w:r>
        <w:t xml:space="preserve">have been </w:t>
      </w:r>
      <w:r w:rsidRPr="00CC6351">
        <w:t>evaluated for building and construction foam applications and that could be available in major global markets as early as 2014.</w:t>
      </w:r>
      <w:r>
        <w:t xml:space="preserve"> </w:t>
      </w:r>
      <w:r w:rsidRPr="00CE2251">
        <w:t>Apart from the market and regulatory intervention, one of the key drivers may ultimately be the improvement in thermal efficiency offered by low-GWP substitutes such as unsaturated HFCs, unsaturated HCFCs or blends containing them</w:t>
      </w:r>
      <w:r>
        <w:t xml:space="preserve"> (UNEP 2013c)</w:t>
      </w:r>
      <w:r w:rsidRPr="00CE2251">
        <w:t>.</w:t>
      </w:r>
    </w:p>
    <w:p w:rsidR="00E97935" w:rsidRDefault="00E97935" w:rsidP="00E97935">
      <w:r>
        <w:t xml:space="preserve">In a recent press release Whirlpool Corporation announced a partnership with Honeywell to use its next generation liquid blowing agent (Solstice® LBA, a hydrofluoro-olefin HFO-1233zd(E) with a GWP of 1) in US refrigerators as it not only has a very low GWP it provides superior insulating properties to pentane blown insulation. </w:t>
      </w:r>
    </w:p>
    <w:p w:rsidR="00E97935" w:rsidRDefault="00E97935" w:rsidP="00E97935">
      <w:r w:rsidRPr="00CC6351">
        <w:t>HFO-1234ze</w:t>
      </w:r>
      <w:r>
        <w:t>(E)</w:t>
      </w:r>
      <w:r w:rsidRPr="00CC6351">
        <w:t xml:space="preserve"> has been </w:t>
      </w:r>
      <w:r>
        <w:t xml:space="preserve">approved by </w:t>
      </w:r>
      <w:r w:rsidRPr="00CC6351">
        <w:t xml:space="preserve">NICNAS (National Industrial Chemicals Notification and Assessment Scheme) </w:t>
      </w:r>
      <w:r>
        <w:t xml:space="preserve">for </w:t>
      </w:r>
      <w:r w:rsidRPr="00CC6351">
        <w:t>registration and accreditation to allow importation in commercial volumes</w:t>
      </w:r>
      <w:r>
        <w:t xml:space="preserve"> into Australia. This HFO </w:t>
      </w:r>
      <w:r w:rsidRPr="00CC6351">
        <w:t xml:space="preserve">is </w:t>
      </w:r>
      <w:r>
        <w:t xml:space="preserve">expected </w:t>
      </w:r>
      <w:r w:rsidRPr="00CC6351">
        <w:t>to provide</w:t>
      </w:r>
      <w:r>
        <w:t xml:space="preserve"> a</w:t>
      </w:r>
      <w:r w:rsidRPr="00CC6351">
        <w:t xml:space="preserve"> technically viable solution</w:t>
      </w:r>
      <w:r>
        <w:t xml:space="preserve"> for foam blowing</w:t>
      </w:r>
      <w:r w:rsidRPr="00CC6351">
        <w:t xml:space="preserve"> in Australia.</w:t>
      </w:r>
    </w:p>
    <w:p w:rsidR="00163AEC" w:rsidRDefault="00E97935" w:rsidP="00163AEC">
      <w:r>
        <w:t xml:space="preserve">HFC-365mfc and HFC-245fa were not </w:t>
      </w:r>
      <w:r w:rsidR="007D4ED6">
        <w:t>subject to the ECP</w:t>
      </w:r>
      <w:r>
        <w:t>, as they do not have AR2 values, whereas HFC-227ea has $71.05 per kg</w:t>
      </w:r>
      <w:r w:rsidR="007D4ED6">
        <w:t xml:space="preserve"> ECP imposed on it,</w:t>
      </w:r>
      <w:r>
        <w:t xml:space="preserve"> (based on $24.50 per tonne of carbon) which has resulted in a decline in its use in blends. All these substances were included in the future projections, as they are included in the AR4 assessment.</w:t>
      </w:r>
    </w:p>
    <w:p w:rsidR="00CD1ACA" w:rsidRDefault="00E97935" w:rsidP="00163AEC">
      <w:r>
        <w:t xml:space="preserve">The transition model predicts that consumption of bulk imports will transition to 50% of substances with GWP&lt;1000 and 50% of substance with a GWP &lt;10 by 2025. </w:t>
      </w:r>
      <w:r w:rsidRPr="003B22EE">
        <w:t xml:space="preserve">The predicted scenario has a medium level of confidence, and a medium level of complexity as </w:t>
      </w:r>
      <w:r>
        <w:t>this sector is very capable with specialist industrial chemists and sound technical solutions with similar or better properties are on the horizon.</w:t>
      </w:r>
    </w:p>
    <w:p w:rsidR="00C73C6A" w:rsidRDefault="00C73C6A">
      <w:pPr>
        <w:spacing w:before="0"/>
        <w:jc w:val="left"/>
      </w:pPr>
      <w:r>
        <w:br w:type="page"/>
      </w:r>
    </w:p>
    <w:p w:rsidR="00C73C6A" w:rsidRDefault="00C73C6A" w:rsidP="00053AC7">
      <w:pPr>
        <w:pStyle w:val="Heading1"/>
        <w:ind w:left="432"/>
      </w:pPr>
      <w:bookmarkStart w:id="77" w:name="_Toc257359962"/>
      <w:r>
        <w:t>Fire protection</w:t>
      </w:r>
      <w:bookmarkEnd w:id="77"/>
    </w:p>
    <w:p w:rsidR="00E97935" w:rsidRDefault="00E97935" w:rsidP="00E97935">
      <w:r>
        <w:t xml:space="preserve">Fire protection applications consumed approximately </w:t>
      </w:r>
      <w:r w:rsidRPr="00C125CC">
        <w:t>1.2%</w:t>
      </w:r>
      <w:r>
        <w:t xml:space="preserve"> </w:t>
      </w:r>
      <w:r w:rsidRPr="00C125CC">
        <w:t xml:space="preserve">(~50 </w:t>
      </w:r>
      <w:r>
        <w:t>tonnes</w:t>
      </w:r>
      <w:r w:rsidRPr="00C125CC">
        <w:t>)</w:t>
      </w:r>
      <w:r>
        <w:t xml:space="preserve"> of all bulk ODS and SGGs imported into Australia in 2013. FM-200 (FE-227, HFC-227ea, GWP of 2,900) is the main gas used in the vast majority of </w:t>
      </w:r>
      <w:r w:rsidR="00EE744A">
        <w:t xml:space="preserve">gaseous </w:t>
      </w:r>
      <w:r>
        <w:t>fire suppression applications. Small amounts of FE-25 (HFC-125, GWP of 2,800) and FE-13 (HFC-23 GWP 11,700) are used in flooding applications, and FE-36 (HFC-236fa, GWP of 6,300) can occasionally be found in specialist streaming applications such as portable fire extinguishers for oil platforms, etc. Fire protection consumption in GWP terms is slightly higher due to the high GWP values of these gases, however consumption declined from around 70 to 80 tonnes in 2007 to around 50 tonnes.</w:t>
      </w:r>
    </w:p>
    <w:p w:rsidR="00E97935" w:rsidRDefault="00E97935" w:rsidP="00E97935">
      <w:r>
        <w:t>HFC and HCFC gases were predominantly introduced as a replacement for Halon 1301. HFC and HCFC gases were predominantly introduced as a replacement for Halon 1301. HCFC blends (NAF-S-III and NAF-P-III) can be found in existing systems, however have not been installed in new systems for several years.</w:t>
      </w:r>
    </w:p>
    <w:p w:rsidR="00E97935" w:rsidRDefault="00E97935" w:rsidP="00E97935">
      <w:r>
        <w:t xml:space="preserve">HFCs are </w:t>
      </w:r>
      <w:r w:rsidRPr="003F1027">
        <w:t xml:space="preserve">used </w:t>
      </w:r>
      <w:r>
        <w:t xml:space="preserve">in fire suppression applications for their </w:t>
      </w:r>
      <w:r w:rsidRPr="003F1027">
        <w:t>unique efficacy and safety properties where the application of water (by hose stream or sprinkler heads)</w:t>
      </w:r>
      <w:r>
        <w:t>;</w:t>
      </w:r>
      <w:r w:rsidRPr="003F1027">
        <w:t xml:space="preserve"> dry chemical agents</w:t>
      </w:r>
      <w:r>
        <w:t>;</w:t>
      </w:r>
      <w:r w:rsidRPr="003F1027">
        <w:t xml:space="preserve"> or aqueous salt solutions </w:t>
      </w:r>
      <w:r>
        <w:t xml:space="preserve">is </w:t>
      </w:r>
      <w:r w:rsidRPr="003F1027">
        <w:t>problematic.</w:t>
      </w:r>
      <w:r>
        <w:t xml:space="preserve"> HFC fire protection systems can be found in telecommunication facilities, computer rooms, data </w:t>
      </w:r>
      <w:r w:rsidR="009B4376">
        <w:t>centres</w:t>
      </w:r>
      <w:r>
        <w:t xml:space="preserve">, process control </w:t>
      </w:r>
      <w:r w:rsidR="009B4376">
        <w:t>centres</w:t>
      </w:r>
      <w:r>
        <w:t>, military vehicles, aircraft, museums, archive vaults for document storage and other electronic facilities. HFC systems are typically only used in applications where waterless fire suppression is required, and when speed, space and safety are critical.</w:t>
      </w:r>
    </w:p>
    <w:p w:rsidR="00E97935" w:rsidRDefault="00E97935" w:rsidP="00E97935">
      <w:r>
        <w:t>There is a range of low GWP alternatives that provide an immediate transition path for the majority of applications where HFC fire protection systems are currently used; they include a f</w:t>
      </w:r>
      <w:r w:rsidRPr="003F1027">
        <w:t>luoroketone</w:t>
      </w:r>
      <w:r>
        <w:t xml:space="preserve"> called Novec 1230 and following inert gases and blends:</w:t>
      </w:r>
    </w:p>
    <w:p w:rsidR="00E97935" w:rsidRPr="0005033E" w:rsidRDefault="00E97935" w:rsidP="00E97935">
      <w:pPr>
        <w:pStyle w:val="ListParagraph"/>
        <w:numPr>
          <w:ilvl w:val="0"/>
          <w:numId w:val="33"/>
        </w:numPr>
        <w:spacing w:before="120" w:after="0" w:line="240" w:lineRule="auto"/>
        <w:contextualSpacing w:val="0"/>
        <w:rPr>
          <w:rFonts w:ascii="Times New Roman" w:hAnsi="Times New Roman"/>
        </w:rPr>
      </w:pPr>
      <w:r w:rsidRPr="0005033E">
        <w:rPr>
          <w:rFonts w:ascii="Times New Roman" w:hAnsi="Times New Roman"/>
        </w:rPr>
        <w:t>IG-01 (</w:t>
      </w:r>
      <w:r>
        <w:rPr>
          <w:rFonts w:ascii="Times New Roman" w:hAnsi="Times New Roman"/>
        </w:rPr>
        <w:t>a</w:t>
      </w:r>
      <w:r w:rsidRPr="0005033E">
        <w:rPr>
          <w:rFonts w:ascii="Times New Roman" w:hAnsi="Times New Roman"/>
        </w:rPr>
        <w:t>rgon)</w:t>
      </w:r>
    </w:p>
    <w:p w:rsidR="00E97935" w:rsidRDefault="00E97935" w:rsidP="00E97935">
      <w:pPr>
        <w:pStyle w:val="ListParagraph"/>
        <w:numPr>
          <w:ilvl w:val="0"/>
          <w:numId w:val="33"/>
        </w:numPr>
        <w:spacing w:before="120" w:after="0" w:line="240" w:lineRule="auto"/>
        <w:contextualSpacing w:val="0"/>
        <w:rPr>
          <w:rFonts w:ascii="Times New Roman" w:hAnsi="Times New Roman"/>
        </w:rPr>
      </w:pPr>
      <w:r>
        <w:rPr>
          <w:rFonts w:ascii="Times New Roman" w:hAnsi="Times New Roman"/>
        </w:rPr>
        <w:t>IG-100 (nitrogen)</w:t>
      </w:r>
    </w:p>
    <w:p w:rsidR="00E97935" w:rsidRDefault="00E97935" w:rsidP="00E97935">
      <w:pPr>
        <w:pStyle w:val="ListParagraph"/>
        <w:numPr>
          <w:ilvl w:val="0"/>
          <w:numId w:val="33"/>
        </w:numPr>
        <w:spacing w:before="120" w:after="0" w:line="240" w:lineRule="auto"/>
        <w:contextualSpacing w:val="0"/>
        <w:rPr>
          <w:rFonts w:ascii="Times New Roman" w:hAnsi="Times New Roman"/>
        </w:rPr>
      </w:pPr>
      <w:r w:rsidRPr="0005033E">
        <w:rPr>
          <w:rFonts w:ascii="Times New Roman" w:hAnsi="Times New Roman"/>
        </w:rPr>
        <w:t>IG-55 (</w:t>
      </w:r>
      <w:r w:rsidRPr="00C125CC">
        <w:rPr>
          <w:rFonts w:ascii="Times New Roman" w:hAnsi="Times New Roman"/>
        </w:rPr>
        <w:t>nitrogen/argon</w:t>
      </w:r>
      <w:r>
        <w:rPr>
          <w:rFonts w:ascii="Times New Roman" w:hAnsi="Times New Roman"/>
        </w:rPr>
        <w:t xml:space="preserve"> blend</w:t>
      </w:r>
      <w:r w:rsidRPr="0005033E">
        <w:rPr>
          <w:rFonts w:ascii="Times New Roman" w:hAnsi="Times New Roman"/>
        </w:rPr>
        <w:t>)</w:t>
      </w:r>
      <w:r w:rsidRPr="00C125CC">
        <w:rPr>
          <w:rFonts w:ascii="Times New Roman" w:hAnsi="Times New Roman"/>
        </w:rPr>
        <w:t xml:space="preserve"> </w:t>
      </w:r>
    </w:p>
    <w:p w:rsidR="00E97935" w:rsidRPr="0005033E" w:rsidRDefault="00E97935" w:rsidP="00E97935">
      <w:pPr>
        <w:pStyle w:val="ListParagraph"/>
        <w:numPr>
          <w:ilvl w:val="0"/>
          <w:numId w:val="33"/>
        </w:numPr>
        <w:spacing w:before="120" w:after="0" w:line="240" w:lineRule="auto"/>
        <w:contextualSpacing w:val="0"/>
        <w:rPr>
          <w:rFonts w:ascii="Times New Roman" w:hAnsi="Times New Roman"/>
        </w:rPr>
      </w:pPr>
      <w:r w:rsidRPr="0005033E">
        <w:rPr>
          <w:rFonts w:ascii="Times New Roman" w:hAnsi="Times New Roman"/>
        </w:rPr>
        <w:t>IG-541 (</w:t>
      </w:r>
      <w:r w:rsidRPr="00C125CC">
        <w:rPr>
          <w:rFonts w:ascii="Times New Roman" w:hAnsi="Times New Roman"/>
        </w:rPr>
        <w:t>nitrogen/argon/</w:t>
      </w:r>
      <w:r>
        <w:rPr>
          <w:rFonts w:ascii="Times New Roman" w:hAnsi="Times New Roman"/>
        </w:rPr>
        <w:t>CO</w:t>
      </w:r>
      <w:r w:rsidRPr="00C125CC">
        <w:rPr>
          <w:rFonts w:ascii="Times New Roman" w:hAnsi="Times New Roman"/>
          <w:vertAlign w:val="subscript"/>
        </w:rPr>
        <w:t>2</w:t>
      </w:r>
      <w:r>
        <w:rPr>
          <w:rFonts w:ascii="Times New Roman" w:hAnsi="Times New Roman"/>
        </w:rPr>
        <w:t xml:space="preserve"> blend</w:t>
      </w:r>
      <w:r w:rsidRPr="0005033E">
        <w:rPr>
          <w:rFonts w:ascii="Times New Roman" w:hAnsi="Times New Roman"/>
        </w:rPr>
        <w:t>)</w:t>
      </w:r>
    </w:p>
    <w:p w:rsidR="00E97935" w:rsidRDefault="00E97935" w:rsidP="00E97935">
      <w:r>
        <w:t xml:space="preserve">Novec 1230 (GWP of 1), a patented 3M product, is the most widely used replacement for HFC fire protection systems. There are technical challenges in applications involving large spaces as it cannot be piped long distances (i.e. boils off) and requires pocket systems that need to discharge together to be effective. In addition to this, inert gas systems are heavier, have a larger footprint and can take 60 seconds to discharge when compared to 10 seconds for HFC systems. These are important technical disadvantages in certain applications such as military planes or naval vessels. </w:t>
      </w:r>
    </w:p>
    <w:p w:rsidR="00E97935" w:rsidRDefault="00E97935" w:rsidP="00E97935">
      <w:r>
        <w:t>F</w:t>
      </w:r>
      <w:r w:rsidR="00EE744A">
        <w:t>ixed f</w:t>
      </w:r>
      <w:r>
        <w:t>ire protection equipment is rarely imported as pre-charged equipment, however systems are sometimes designed, specified and constructed overseas. For example, LNG projects and some mining projects have had equipment pre-assembled overseas and imported with complete fire protection systems containing FM 200.</w:t>
      </w:r>
    </w:p>
    <w:p w:rsidR="00E97935" w:rsidRDefault="00E97935" w:rsidP="00E97935">
      <w:r>
        <w:t xml:space="preserve">A potential barrier to inert gas systems is infrastructure such as filling stations. Novec 1230 filling stations only exist on the eastern seaboard. FM 200 is the main alternative used in the mining industry in Western Australia. </w:t>
      </w:r>
    </w:p>
    <w:p w:rsidR="00E97935" w:rsidRDefault="009966DB" w:rsidP="00E97935">
      <w:r>
        <w:t>Global market forces resulting in shortages of Fluorspar, an ingredient used in the production of HFCs resulted in the cost of FM 200 increasing in Australia by as much as 40</w:t>
      </w:r>
      <w:r w:rsidR="00193D9B">
        <w:t>%</w:t>
      </w:r>
      <w:r>
        <w:t xml:space="preserve"> around 2011, and the limited supply volumes based on consumption in previous years.</w:t>
      </w:r>
    </w:p>
    <w:p w:rsidR="00E97935" w:rsidRDefault="00E97935" w:rsidP="00E97935">
      <w:r>
        <w:t xml:space="preserve">Inert gas systems can be relatively expensive which may present a commercial barrier to wider deployment of inert gas systems. There is concern that the planned removal of the Carbon Based Levy and </w:t>
      </w:r>
      <w:r w:rsidR="009966DB">
        <w:t>Fluorspar</w:t>
      </w:r>
      <w:r>
        <w:t xml:space="preserve"> supplies returning to normal, that the price gap between HFC systems and low GWP alternatives will widen. </w:t>
      </w:r>
      <w:r w:rsidRPr="002558A7">
        <w:t>The barriers do not appear to be insurmountable and any meaningful economic incentive would almost certainly accelerate the transition to low GWP alternatives.</w:t>
      </w:r>
      <w:r w:rsidRPr="00896796">
        <w:t xml:space="preserve"> </w:t>
      </w:r>
      <w:r w:rsidRPr="002558A7">
        <w:t>An unintended consequence of the observed decline in the use of HFC fire protection systems is that fewer companies may be interested in maintaining licen</w:t>
      </w:r>
      <w:r w:rsidR="009B4376">
        <w:t>s</w:t>
      </w:r>
      <w:r w:rsidRPr="002558A7">
        <w:t>ed personnel to maintain existing systems.</w:t>
      </w:r>
    </w:p>
    <w:p w:rsidR="00C73C6A" w:rsidRDefault="00E97935" w:rsidP="00E97935">
      <w:r w:rsidRPr="00FA5CBD">
        <w:t>The transition model assumes that the majority of applications will migrate to these new systems and high GWP import</w:t>
      </w:r>
      <w:r>
        <w:t xml:space="preserve"> demand will decline to around 20</w:t>
      </w:r>
      <w:r w:rsidRPr="00FA5CBD">
        <w:t xml:space="preserve"> tonnes of HFC-227ea in 2025.</w:t>
      </w:r>
      <w:r>
        <w:t xml:space="preserve"> The p</w:t>
      </w:r>
      <w:r w:rsidRPr="001E046B">
        <w:t xml:space="preserve">redicted scenario has a medium level of confidence, and a </w:t>
      </w:r>
      <w:r>
        <w:t xml:space="preserve">low to </w:t>
      </w:r>
      <w:r w:rsidRPr="001E046B">
        <w:t>medium level of complexity</w:t>
      </w:r>
      <w:r>
        <w:t xml:space="preserve"> as sound technical solutions are already in use</w:t>
      </w:r>
      <w:r w:rsidRPr="001E046B">
        <w:t>.</w:t>
      </w:r>
    </w:p>
    <w:p w:rsidR="00C73C6A" w:rsidRDefault="00C73C6A" w:rsidP="00C73C6A"/>
    <w:p w:rsidR="00CF358B" w:rsidRDefault="00CF358B">
      <w:pPr>
        <w:spacing w:before="0"/>
        <w:jc w:val="left"/>
        <w:rPr>
          <w:rFonts w:ascii="Calibri" w:eastAsia="Times New Roman" w:hAnsi="Calibri" w:cs="Times New Roman"/>
          <w:b/>
          <w:bCs/>
          <w:kern w:val="32"/>
          <w:sz w:val="32"/>
          <w:szCs w:val="32"/>
          <w:lang w:val="en-US"/>
        </w:rPr>
      </w:pPr>
      <w:r>
        <w:br w:type="page"/>
      </w:r>
    </w:p>
    <w:p w:rsidR="00C73C6A" w:rsidRDefault="00C73C6A" w:rsidP="00053AC7">
      <w:pPr>
        <w:pStyle w:val="Heading1"/>
        <w:ind w:left="432"/>
      </w:pPr>
      <w:bookmarkStart w:id="78" w:name="_Toc257359963"/>
      <w:r>
        <w:t>Aerosols (including medical)</w:t>
      </w:r>
      <w:bookmarkEnd w:id="78"/>
    </w:p>
    <w:p w:rsidR="009439DF" w:rsidRDefault="009439DF" w:rsidP="009439DF">
      <w:r>
        <w:t>Obtaining accurate information on the consumption of bulk ODS and SGGs imported into Australia for use in aerosols has proved to be difficult for the past several years. In 2011 the authors identified around 30 tonnes of consumption of HFCs in aerosols, and estimated that there was potential for as much as 40 tonnes consumed across all applications packed and filled in Australia. The volumes consumed in 2013 are at the similar levels, however</w:t>
      </w:r>
      <w:r w:rsidR="00A16874">
        <w:t xml:space="preserve"> they</w:t>
      </w:r>
      <w:r>
        <w:t xml:space="preserve"> are consumed in different applications.</w:t>
      </w:r>
    </w:p>
    <w:p w:rsidR="009439DF" w:rsidRDefault="009439DF" w:rsidP="009439DF">
      <w:r>
        <w:t xml:space="preserve">The main uses in Australia include:  </w:t>
      </w:r>
    </w:p>
    <w:p w:rsidR="009439DF" w:rsidRPr="003557C7" w:rsidRDefault="009439DF" w:rsidP="00E97935">
      <w:pPr>
        <w:pStyle w:val="ListParagraph"/>
        <w:numPr>
          <w:ilvl w:val="0"/>
          <w:numId w:val="11"/>
        </w:numPr>
        <w:spacing w:before="120" w:after="120" w:line="240" w:lineRule="auto"/>
        <w:ind w:left="357" w:hanging="357"/>
        <w:contextualSpacing w:val="0"/>
        <w:rPr>
          <w:rFonts w:ascii="Times New Roman" w:hAnsi="Times New Roman"/>
        </w:rPr>
      </w:pPr>
      <w:r w:rsidRPr="003557C7">
        <w:rPr>
          <w:rFonts w:ascii="Times New Roman" w:hAnsi="Times New Roman"/>
        </w:rPr>
        <w:t>Technical aerosols (including dusters for computers and instrumentation, freeze sprays, flux removers, mo</w:t>
      </w:r>
      <w:r>
        <w:rPr>
          <w:rFonts w:ascii="Times New Roman" w:hAnsi="Times New Roman"/>
        </w:rPr>
        <w:t>u</w:t>
      </w:r>
      <w:r w:rsidRPr="003557C7">
        <w:rPr>
          <w:rFonts w:ascii="Times New Roman" w:hAnsi="Times New Roman"/>
        </w:rPr>
        <w:t>ld release agents and, electronic contact cleaners);</w:t>
      </w:r>
    </w:p>
    <w:p w:rsidR="009439DF" w:rsidRPr="003557C7" w:rsidRDefault="009439DF" w:rsidP="00E97935">
      <w:pPr>
        <w:pStyle w:val="ListParagraph"/>
        <w:numPr>
          <w:ilvl w:val="0"/>
          <w:numId w:val="11"/>
        </w:numPr>
        <w:spacing w:before="120" w:after="120" w:line="240" w:lineRule="auto"/>
        <w:ind w:left="357" w:hanging="357"/>
        <w:contextualSpacing w:val="0"/>
        <w:rPr>
          <w:rFonts w:ascii="Times New Roman" w:hAnsi="Times New Roman"/>
        </w:rPr>
      </w:pPr>
      <w:r w:rsidRPr="003557C7">
        <w:rPr>
          <w:rFonts w:ascii="Times New Roman" w:hAnsi="Times New Roman"/>
        </w:rPr>
        <w:t>Products for use in hazardous areas (including paint marking applications for underground mining, blast bags for setting explosives);</w:t>
      </w:r>
    </w:p>
    <w:p w:rsidR="009439DF" w:rsidRPr="003557C7" w:rsidRDefault="009439DF" w:rsidP="00E97935">
      <w:pPr>
        <w:pStyle w:val="ListParagraph"/>
        <w:numPr>
          <w:ilvl w:val="0"/>
          <w:numId w:val="11"/>
        </w:numPr>
        <w:spacing w:before="120" w:after="120" w:line="240" w:lineRule="auto"/>
        <w:ind w:left="357" w:hanging="357"/>
        <w:contextualSpacing w:val="0"/>
        <w:rPr>
          <w:rFonts w:ascii="Times New Roman" w:hAnsi="Times New Roman"/>
        </w:rPr>
      </w:pPr>
      <w:r w:rsidRPr="003557C7">
        <w:rPr>
          <w:rFonts w:ascii="Times New Roman" w:hAnsi="Times New Roman"/>
        </w:rPr>
        <w:t>Safety aerosols (including tyre inflators, safety signal horns and insecticides for use in planes and restricted areas);</w:t>
      </w:r>
    </w:p>
    <w:p w:rsidR="009439DF" w:rsidRPr="003557C7" w:rsidRDefault="009439DF" w:rsidP="00E97935">
      <w:pPr>
        <w:pStyle w:val="ListParagraph"/>
        <w:numPr>
          <w:ilvl w:val="0"/>
          <w:numId w:val="11"/>
        </w:numPr>
        <w:spacing w:before="120" w:after="120" w:line="240" w:lineRule="auto"/>
        <w:ind w:left="357" w:hanging="357"/>
        <w:contextualSpacing w:val="0"/>
        <w:rPr>
          <w:rFonts w:ascii="Times New Roman" w:hAnsi="Times New Roman"/>
        </w:rPr>
      </w:pPr>
      <w:r w:rsidRPr="003557C7">
        <w:rPr>
          <w:rFonts w:ascii="Times New Roman" w:hAnsi="Times New Roman"/>
        </w:rPr>
        <w:t>Medical inhalers for asthma or sports medicine pain relief;</w:t>
      </w:r>
    </w:p>
    <w:p w:rsidR="009439DF" w:rsidRPr="003557C7" w:rsidRDefault="009439DF" w:rsidP="00E97935">
      <w:pPr>
        <w:pStyle w:val="ListParagraph"/>
        <w:numPr>
          <w:ilvl w:val="0"/>
          <w:numId w:val="11"/>
        </w:numPr>
        <w:spacing w:before="120" w:after="120" w:line="240" w:lineRule="auto"/>
        <w:ind w:left="357" w:hanging="357"/>
        <w:contextualSpacing w:val="0"/>
        <w:rPr>
          <w:rFonts w:ascii="Times New Roman" w:hAnsi="Times New Roman"/>
        </w:rPr>
      </w:pPr>
      <w:r w:rsidRPr="003557C7">
        <w:rPr>
          <w:rFonts w:ascii="Times New Roman" w:hAnsi="Times New Roman"/>
        </w:rPr>
        <w:t>Consumer aerosols (including cosmetic and hair care products), and</w:t>
      </w:r>
    </w:p>
    <w:p w:rsidR="009439DF" w:rsidRPr="003557C7" w:rsidRDefault="009439DF" w:rsidP="00E97935">
      <w:pPr>
        <w:pStyle w:val="ListParagraph"/>
        <w:numPr>
          <w:ilvl w:val="0"/>
          <w:numId w:val="11"/>
        </w:numPr>
        <w:spacing w:before="120" w:after="120" w:line="240" w:lineRule="auto"/>
        <w:ind w:left="357" w:hanging="357"/>
        <w:contextualSpacing w:val="0"/>
        <w:rPr>
          <w:rFonts w:ascii="Times New Roman" w:hAnsi="Times New Roman"/>
        </w:rPr>
      </w:pPr>
      <w:r w:rsidRPr="003557C7">
        <w:rPr>
          <w:rFonts w:ascii="Times New Roman" w:hAnsi="Times New Roman"/>
        </w:rPr>
        <w:t>Novelty aerosols (including silly string, wine cork removers, spray snow and noise makers).</w:t>
      </w:r>
    </w:p>
    <w:p w:rsidR="009439DF" w:rsidRDefault="009439DF" w:rsidP="009439DF">
      <w:r>
        <w:t>The main barrier for Australia to migrate to alternative propellants is globalisation. Many of these uses are serviced by aerosol products filled and packed overseas, or are based on formulations specified overseas, and as a consequence are designed to comply with overseas regulations. Some examples are as follows:</w:t>
      </w:r>
    </w:p>
    <w:p w:rsidR="009439DF" w:rsidRPr="00B51862" w:rsidRDefault="009439DF" w:rsidP="00E97935">
      <w:pPr>
        <w:pStyle w:val="ListParagraph"/>
        <w:numPr>
          <w:ilvl w:val="0"/>
          <w:numId w:val="11"/>
        </w:numPr>
        <w:spacing w:before="120" w:after="120" w:line="240" w:lineRule="auto"/>
        <w:ind w:left="357" w:hanging="357"/>
        <w:contextualSpacing w:val="0"/>
        <w:rPr>
          <w:rFonts w:ascii="Times New Roman" w:hAnsi="Times New Roman"/>
        </w:rPr>
      </w:pPr>
      <w:r w:rsidRPr="00B51862">
        <w:rPr>
          <w:rFonts w:ascii="Times New Roman" w:hAnsi="Times New Roman"/>
        </w:rPr>
        <w:t>Cosmetic and hair care products such as TRESemme imported by Alberto Culver (a division of Unilever) contains HFC-152a in order to comply with volatile organic compound requirement under the US Federal Clean Air Act;</w:t>
      </w:r>
    </w:p>
    <w:p w:rsidR="009439DF" w:rsidRPr="00B51862" w:rsidRDefault="009439DF" w:rsidP="00E97935">
      <w:pPr>
        <w:pStyle w:val="ListParagraph"/>
        <w:numPr>
          <w:ilvl w:val="0"/>
          <w:numId w:val="11"/>
        </w:numPr>
        <w:spacing w:before="120" w:after="120" w:line="240" w:lineRule="auto"/>
        <w:ind w:left="357" w:hanging="357"/>
        <w:contextualSpacing w:val="0"/>
        <w:rPr>
          <w:rFonts w:ascii="Times New Roman" w:hAnsi="Times New Roman"/>
        </w:rPr>
      </w:pPr>
      <w:r w:rsidRPr="00B51862">
        <w:rPr>
          <w:rFonts w:ascii="Times New Roman" w:hAnsi="Times New Roman"/>
        </w:rPr>
        <w:t xml:space="preserve">Callington Haven used to consume as much as 20 </w:t>
      </w:r>
      <w:r>
        <w:rPr>
          <w:rFonts w:ascii="Times New Roman" w:hAnsi="Times New Roman"/>
        </w:rPr>
        <w:t xml:space="preserve">tonnes </w:t>
      </w:r>
      <w:r w:rsidRPr="00B51862">
        <w:rPr>
          <w:rFonts w:ascii="Times New Roman" w:hAnsi="Times New Roman"/>
        </w:rPr>
        <w:t>of HFC-134a mostly for aviation insecticides that require non-flammable propellants. These products are now manufactured overseas;</w:t>
      </w:r>
    </w:p>
    <w:p w:rsidR="009439DF" w:rsidRDefault="009439DF" w:rsidP="00E97935">
      <w:pPr>
        <w:pStyle w:val="ListParagraph"/>
        <w:numPr>
          <w:ilvl w:val="0"/>
          <w:numId w:val="11"/>
        </w:numPr>
        <w:spacing w:before="120" w:after="120" w:line="240" w:lineRule="auto"/>
        <w:ind w:left="357" w:hanging="357"/>
        <w:contextualSpacing w:val="0"/>
        <w:rPr>
          <w:rFonts w:ascii="Times New Roman" w:hAnsi="Times New Roman"/>
        </w:rPr>
      </w:pPr>
      <w:r w:rsidRPr="00B51862">
        <w:rPr>
          <w:rFonts w:ascii="Times New Roman" w:hAnsi="Times New Roman"/>
        </w:rPr>
        <w:t>HFC-134a is widely used as the propellant in medical treatments for asthma and chronic obstructive pulmonary disease, although these products are no lo</w:t>
      </w:r>
      <w:r>
        <w:rPr>
          <w:rFonts w:ascii="Times New Roman" w:hAnsi="Times New Roman"/>
        </w:rPr>
        <w:t>nger manufactured in Australia;</w:t>
      </w:r>
    </w:p>
    <w:p w:rsidR="009439DF" w:rsidRDefault="009439DF" w:rsidP="00E97935">
      <w:pPr>
        <w:pStyle w:val="ListParagraph"/>
        <w:numPr>
          <w:ilvl w:val="0"/>
          <w:numId w:val="11"/>
        </w:numPr>
        <w:spacing w:before="120" w:after="120" w:line="240" w:lineRule="auto"/>
        <w:ind w:left="357" w:hanging="357"/>
        <w:contextualSpacing w:val="0"/>
        <w:rPr>
          <w:rFonts w:ascii="Times New Roman" w:hAnsi="Times New Roman"/>
        </w:rPr>
      </w:pPr>
      <w:r>
        <w:rPr>
          <w:rFonts w:ascii="Times New Roman" w:hAnsi="Times New Roman"/>
        </w:rPr>
        <w:t xml:space="preserve">Laser hair and skin treatments consume sizable volumes of HFC-134a in Australia where it is used as a </w:t>
      </w:r>
      <w:r w:rsidRPr="00276058">
        <w:rPr>
          <w:rFonts w:ascii="Times New Roman" w:hAnsi="Times New Roman"/>
        </w:rPr>
        <w:t xml:space="preserve">cryogen spray cooling </w:t>
      </w:r>
      <w:r>
        <w:rPr>
          <w:rFonts w:ascii="Times New Roman" w:hAnsi="Times New Roman"/>
        </w:rPr>
        <w:t xml:space="preserve">that </w:t>
      </w:r>
      <w:r w:rsidRPr="00276058">
        <w:rPr>
          <w:rFonts w:ascii="Times New Roman" w:hAnsi="Times New Roman"/>
        </w:rPr>
        <w:t xml:space="preserve">device delivers a spurt of HFC-134a to the treatment area just prior to the </w:t>
      </w:r>
      <w:r>
        <w:rPr>
          <w:rFonts w:ascii="Times New Roman" w:hAnsi="Times New Roman"/>
        </w:rPr>
        <w:t xml:space="preserve">laser </w:t>
      </w:r>
      <w:r w:rsidRPr="00276058">
        <w:rPr>
          <w:rFonts w:ascii="Times New Roman" w:hAnsi="Times New Roman"/>
        </w:rPr>
        <w:t>treatment pulse</w:t>
      </w:r>
      <w:r>
        <w:rPr>
          <w:rFonts w:ascii="Times New Roman" w:hAnsi="Times New Roman"/>
        </w:rPr>
        <w:t>, and,</w:t>
      </w:r>
    </w:p>
    <w:p w:rsidR="009439DF" w:rsidRPr="00B51862" w:rsidRDefault="009439DF" w:rsidP="00E97935">
      <w:pPr>
        <w:pStyle w:val="ListParagraph"/>
        <w:numPr>
          <w:ilvl w:val="0"/>
          <w:numId w:val="11"/>
        </w:numPr>
        <w:spacing w:before="120" w:after="120" w:line="240" w:lineRule="auto"/>
        <w:ind w:left="357" w:hanging="357"/>
        <w:contextualSpacing w:val="0"/>
        <w:rPr>
          <w:rFonts w:ascii="Times New Roman" w:hAnsi="Times New Roman"/>
        </w:rPr>
      </w:pPr>
      <w:r w:rsidRPr="00B51862">
        <w:rPr>
          <w:rFonts w:ascii="Times New Roman" w:hAnsi="Times New Roman"/>
        </w:rPr>
        <w:t>All novelty aerosols products are imported, mostly from China.</w:t>
      </w:r>
    </w:p>
    <w:p w:rsidR="009439DF" w:rsidRDefault="00A92A3B" w:rsidP="009439DF">
      <w:r>
        <w:t>T</w:t>
      </w:r>
      <w:r w:rsidR="009439DF">
        <w:t xml:space="preserve">he main synthetic gas consumed in Australia for aerosol applications is HFC-134a (GWP of 1,300) with some HCFC-123 consumed for sports medicine applications. The introduction of the </w:t>
      </w:r>
      <w:r w:rsidR="007D4ED6">
        <w:t>ECP</w:t>
      </w:r>
      <w:r w:rsidR="009439DF">
        <w:t xml:space="preserve"> or GWP based levy on HFC-134a and rise of the value of the Australian dollar resulted</w:t>
      </w:r>
      <w:r>
        <w:t xml:space="preserve"> in</w:t>
      </w:r>
      <w:r w:rsidR="009439DF">
        <w:t xml:space="preserve"> many manufacturers moving aerosol packaging off shore and importing finished product without the levy. The removal of the levy and decline of the strength of the Australian dollar could see some of this consumption return. </w:t>
      </w:r>
    </w:p>
    <w:p w:rsidR="009439DF" w:rsidRPr="002A3C66" w:rsidRDefault="009439DF" w:rsidP="009439DF">
      <w:r>
        <w:t>I</w:t>
      </w:r>
      <w:r w:rsidRPr="002A3C66">
        <w:t>n January 2011 Honeywell announced that HFO-1234ze</w:t>
      </w:r>
      <w:r w:rsidR="00E97935">
        <w:t>(E)</w:t>
      </w:r>
      <w:r w:rsidRPr="002A3C66">
        <w:t xml:space="preserve"> had been accepted by the U.S. Environmental Protection Agency for use in non-medical aerosol applications. HFO-1234ze (GWP of 6) is non-flammable and is considered the main low GWP alternative to replace HFC-134a or HFC-152a (GWP of 140) as a propellant when available in commercial quantities. HFO-1234ze is currently under review by some Australian manufacturers</w:t>
      </w:r>
      <w:r>
        <w:t xml:space="preserve"> and Honeywell has reported that sales have commenced in Australia in this sector</w:t>
      </w:r>
      <w:r w:rsidRPr="002A3C66">
        <w:t>.</w:t>
      </w:r>
    </w:p>
    <w:p w:rsidR="009439DF" w:rsidRDefault="009439DF" w:rsidP="009439DF">
      <w:r w:rsidRPr="002A3C66">
        <w:t xml:space="preserve">Metered dose inhalers have no near term low GWP alternative and HFCs will be required for many years in order to provide reliable and effective therapy for asthma and chronic obstructive pulmonary disease. However, dry powder inhalers are already used in some instances </w:t>
      </w:r>
      <w:r>
        <w:t xml:space="preserve">as a not-in-kind technology </w:t>
      </w:r>
      <w:r w:rsidRPr="002A3C66">
        <w:t xml:space="preserve">and hydrocarbons are being </w:t>
      </w:r>
      <w:r w:rsidR="00764BE6" w:rsidRPr="002A3C66">
        <w:t>tri</w:t>
      </w:r>
      <w:r w:rsidR="00764BE6">
        <w:t>a</w:t>
      </w:r>
      <w:r w:rsidR="00764BE6" w:rsidRPr="002A3C66">
        <w:t>lled</w:t>
      </w:r>
      <w:r w:rsidRPr="002A3C66">
        <w:t xml:space="preserve"> </w:t>
      </w:r>
      <w:r>
        <w:t xml:space="preserve">as an alternative to HFC-134a </w:t>
      </w:r>
      <w:r w:rsidRPr="002A3C66">
        <w:t xml:space="preserve">in Argentina as part of a UNDP program, these are promising developments. </w:t>
      </w:r>
      <w:r>
        <w:t>A</w:t>
      </w:r>
      <w:r w:rsidRPr="00C41EF5">
        <w:t xml:space="preserve">erosols are increasingly becoming the delivery mechanism of choice for medications </w:t>
      </w:r>
      <w:r>
        <w:t xml:space="preserve">and </w:t>
      </w:r>
      <w:r w:rsidRPr="00C41EF5">
        <w:t xml:space="preserve">although </w:t>
      </w:r>
      <w:r>
        <w:t>dry pow</w:t>
      </w:r>
      <w:r w:rsidR="00764BE6">
        <w:t>d</w:t>
      </w:r>
      <w:r>
        <w:t xml:space="preserve">er is an accepted technology </w:t>
      </w:r>
      <w:r w:rsidRPr="00C41EF5">
        <w:t xml:space="preserve">it could not replace aerosols in all instances. </w:t>
      </w:r>
      <w:r w:rsidRPr="002A3C66">
        <w:t>If HFO-1234ze</w:t>
      </w:r>
      <w:r>
        <w:t>(E)</w:t>
      </w:r>
      <w:r w:rsidRPr="002A3C66">
        <w:t xml:space="preserve"> </w:t>
      </w:r>
      <w:r>
        <w:t xml:space="preserve">or other unsaturated HFCs </w:t>
      </w:r>
      <w:r w:rsidRPr="002A3C66">
        <w:t>w</w:t>
      </w:r>
      <w:r>
        <w:t xml:space="preserve">ere </w:t>
      </w:r>
      <w:r w:rsidRPr="002A3C66">
        <w:t xml:space="preserve">found to be a suitable substitute, it would take many years before it </w:t>
      </w:r>
      <w:r>
        <w:t>would be approved for medicinal use in Australia.</w:t>
      </w:r>
    </w:p>
    <w:p w:rsidR="009439DF" w:rsidRDefault="009439DF" w:rsidP="009439DF">
      <w:r>
        <w:t xml:space="preserve">It is very difficult to make future consumption prediction in this sector, as </w:t>
      </w:r>
      <w:r w:rsidR="00764BE6">
        <w:t xml:space="preserve">there </w:t>
      </w:r>
      <w:r>
        <w:t xml:space="preserve">are many unknown and highly complex technical, scientific and commercial factors to consider. </w:t>
      </w:r>
    </w:p>
    <w:p w:rsidR="009439DF" w:rsidRDefault="009439DF" w:rsidP="003557C7">
      <w:r>
        <w:t xml:space="preserve">As aerosol applications account for around 1% of </w:t>
      </w:r>
      <w:r w:rsidRPr="00C125CC">
        <w:t>(~</w:t>
      </w:r>
      <w:r>
        <w:t>4</w:t>
      </w:r>
      <w:r w:rsidRPr="00C125CC">
        <w:t xml:space="preserve">0 </w:t>
      </w:r>
      <w:r>
        <w:t>tonnes</w:t>
      </w:r>
      <w:r w:rsidRPr="00C125CC">
        <w:t>)</w:t>
      </w:r>
      <w:r>
        <w:t xml:space="preserve"> of all bulk ODS and SGGs imported into Australia in 2013, a reasonable prediction is to assume consumption remains at these levels until 2025.</w:t>
      </w:r>
    </w:p>
    <w:p w:rsidR="00C73C6A" w:rsidRDefault="00C73C6A" w:rsidP="00C73C6A"/>
    <w:p w:rsidR="009439DF" w:rsidRDefault="009439DF">
      <w:pPr>
        <w:spacing w:before="0"/>
        <w:jc w:val="left"/>
        <w:rPr>
          <w:rFonts w:ascii="Calibri" w:eastAsia="Times New Roman" w:hAnsi="Calibri" w:cs="Times New Roman"/>
          <w:b/>
          <w:bCs/>
          <w:kern w:val="32"/>
          <w:sz w:val="32"/>
          <w:szCs w:val="32"/>
          <w:lang w:val="en-US"/>
        </w:rPr>
      </w:pPr>
      <w:r>
        <w:br w:type="page"/>
      </w:r>
    </w:p>
    <w:p w:rsidR="004A5B08" w:rsidRDefault="004A5B08" w:rsidP="0040150F">
      <w:pPr>
        <w:pStyle w:val="Heading1"/>
        <w:ind w:left="432"/>
      </w:pPr>
      <w:bookmarkStart w:id="79" w:name="_Toc257359964"/>
      <w:r>
        <w:t>Training for transition</w:t>
      </w:r>
      <w:bookmarkEnd w:id="79"/>
    </w:p>
    <w:p w:rsidR="001515E6" w:rsidRPr="00213E31" w:rsidRDefault="001515E6" w:rsidP="001515E6">
      <w:pPr>
        <w:rPr>
          <w:rFonts w:cs="Times New Roman"/>
        </w:rPr>
      </w:pPr>
      <w:r w:rsidRPr="00213E31">
        <w:rPr>
          <w:rFonts w:cs="Times New Roman"/>
        </w:rPr>
        <w:t xml:space="preserve">Australia is largely a technology taker of RAC technology, including to some extent refrigerant gases. The recent commencement of HFC-32 pre-charged </w:t>
      </w:r>
      <w:r w:rsidR="008744A5">
        <w:rPr>
          <w:rFonts w:cs="Times New Roman"/>
        </w:rPr>
        <w:t xml:space="preserve">equipment </w:t>
      </w:r>
      <w:r w:rsidRPr="00213E31">
        <w:rPr>
          <w:rFonts w:cs="Times New Roman"/>
        </w:rPr>
        <w:t>imports (Dec</w:t>
      </w:r>
      <w:r w:rsidR="001934CD">
        <w:rPr>
          <w:rFonts w:cs="Times New Roman"/>
        </w:rPr>
        <w:t xml:space="preserve">ember </w:t>
      </w:r>
      <w:r w:rsidRPr="00213E31">
        <w:rPr>
          <w:rFonts w:cs="Times New Roman"/>
        </w:rPr>
        <w:t>quarter 2013), in advance of the rest of the industry being fully prepared to install or supply consumables for them, is an example of the adjustment pressures that the Australian industry faces as the international market drive</w:t>
      </w:r>
      <w:r w:rsidR="008744A5">
        <w:rPr>
          <w:rFonts w:cs="Times New Roman"/>
        </w:rPr>
        <w:t>s</w:t>
      </w:r>
      <w:r w:rsidRPr="00213E31">
        <w:rPr>
          <w:rFonts w:cs="Times New Roman"/>
        </w:rPr>
        <w:t xml:space="preserve"> innovation and new product commercialisation</w:t>
      </w:r>
      <w:r w:rsidR="000339E3">
        <w:rPr>
          <w:rFonts w:cs="Times New Roman"/>
        </w:rPr>
        <w:t xml:space="preserve"> A HFC phase down would constitute an additional driver for change and new product commercialisation in the industry.</w:t>
      </w:r>
      <w:r w:rsidR="00973517">
        <w:rPr>
          <w:rFonts w:cs="Times New Roman"/>
        </w:rPr>
        <w:t xml:space="preserve"> </w:t>
      </w:r>
    </w:p>
    <w:p w:rsidR="001515E6" w:rsidRPr="00213E31" w:rsidRDefault="001515E6" w:rsidP="001515E6">
      <w:pPr>
        <w:rPr>
          <w:rFonts w:cs="Times New Roman"/>
        </w:rPr>
      </w:pPr>
      <w:r w:rsidRPr="00213E31">
        <w:rPr>
          <w:rFonts w:cs="Times New Roman"/>
        </w:rPr>
        <w:t>Right as the Australian industry is contemplating a third historical wave of evolution in the technology, it is also facing increasingly tight labour market conditions, a situation that has been developing for many years as new intake</w:t>
      </w:r>
      <w:r w:rsidR="008744A5">
        <w:rPr>
          <w:rFonts w:cs="Times New Roman"/>
        </w:rPr>
        <w:t xml:space="preserve"> of </w:t>
      </w:r>
      <w:r w:rsidRPr="00213E31">
        <w:rPr>
          <w:rFonts w:cs="Times New Roman"/>
        </w:rPr>
        <w:t>industry</w:t>
      </w:r>
      <w:r w:rsidR="008744A5">
        <w:rPr>
          <w:rFonts w:cs="Times New Roman"/>
        </w:rPr>
        <w:t xml:space="preserve"> trainees</w:t>
      </w:r>
      <w:r w:rsidRPr="00213E31">
        <w:rPr>
          <w:rFonts w:cs="Times New Roman"/>
        </w:rPr>
        <w:t xml:space="preserve"> has fallen steadily, while demand for services has consistently grown faster than the economy.</w:t>
      </w:r>
    </w:p>
    <w:p w:rsidR="001515E6" w:rsidRPr="00213E31" w:rsidRDefault="001515E6" w:rsidP="001515E6">
      <w:pPr>
        <w:rPr>
          <w:rFonts w:cs="Times New Roman"/>
        </w:rPr>
      </w:pPr>
      <w:r w:rsidRPr="00213E31">
        <w:rPr>
          <w:rFonts w:cs="Times New Roman"/>
        </w:rPr>
        <w:t>Refrigeration engineers and technicians are the critical market intermediary required to willingly participate</w:t>
      </w:r>
      <w:r>
        <w:rPr>
          <w:rFonts w:cs="Times New Roman"/>
        </w:rPr>
        <w:t xml:space="preserve"> in training and skills acquisition</w:t>
      </w:r>
      <w:r w:rsidRPr="00213E31">
        <w:rPr>
          <w:rFonts w:cs="Times New Roman"/>
        </w:rPr>
        <w:t xml:space="preserve"> if a widespread transition of the climate control and refrigeration industries is to be successful.</w:t>
      </w:r>
    </w:p>
    <w:p w:rsidR="001515E6" w:rsidRPr="00213E31" w:rsidRDefault="001515E6" w:rsidP="001515E6">
      <w:pPr>
        <w:pStyle w:val="NormalWeb"/>
        <w:spacing w:before="120" w:beforeAutospacing="0" w:after="0" w:afterAutospacing="0"/>
        <w:jc w:val="both"/>
        <w:rPr>
          <w:sz w:val="22"/>
        </w:rPr>
      </w:pPr>
      <w:r w:rsidRPr="00213E31">
        <w:rPr>
          <w:sz w:val="22"/>
        </w:rPr>
        <w:t>Any discussion about training and education in Australia, that might assist a transition from the present generations of refrigerants to non-HFC or low</w:t>
      </w:r>
      <w:r w:rsidR="001934CD">
        <w:rPr>
          <w:sz w:val="22"/>
        </w:rPr>
        <w:t>er</w:t>
      </w:r>
      <w:r w:rsidRPr="00213E31">
        <w:rPr>
          <w:sz w:val="22"/>
        </w:rPr>
        <w:t xml:space="preserve"> GWP refrigerants, can only be conducted in the context of the training, education and human resources requirements of the industry as a whole.</w:t>
      </w:r>
    </w:p>
    <w:p w:rsidR="001515E6" w:rsidRPr="00213E31" w:rsidRDefault="001515E6" w:rsidP="001515E6">
      <w:pPr>
        <w:pStyle w:val="NormalWeb"/>
        <w:spacing w:before="120" w:beforeAutospacing="0" w:after="0" w:afterAutospacing="0"/>
        <w:jc w:val="both"/>
        <w:rPr>
          <w:sz w:val="22"/>
        </w:rPr>
      </w:pPr>
      <w:r w:rsidRPr="00213E31">
        <w:rPr>
          <w:sz w:val="22"/>
        </w:rPr>
        <w:t xml:space="preserve">For some time the HVAC&amp;R industry has been straining to provide trained service personnel to satisfy the demands of rapid growth in the mining and resources sector, explosive growth in installation of smaller </w:t>
      </w:r>
      <w:r w:rsidR="00CF154A">
        <w:rPr>
          <w:sz w:val="22"/>
        </w:rPr>
        <w:t>AC</w:t>
      </w:r>
      <w:r w:rsidRPr="00213E31">
        <w:rPr>
          <w:sz w:val="22"/>
        </w:rPr>
        <w:t xml:space="preserve"> systems, and steady growth in commercial and industrial refrigeration. This is not a trivial problem. </w:t>
      </w:r>
    </w:p>
    <w:p w:rsidR="001515E6" w:rsidRPr="00213E31" w:rsidRDefault="001515E6" w:rsidP="001515E6">
      <w:pPr>
        <w:pStyle w:val="NormalWeb"/>
        <w:spacing w:before="120" w:beforeAutospacing="0" w:after="0" w:afterAutospacing="0"/>
        <w:jc w:val="both"/>
        <w:rPr>
          <w:sz w:val="22"/>
        </w:rPr>
      </w:pPr>
      <w:r w:rsidRPr="00213E31">
        <w:rPr>
          <w:sz w:val="22"/>
        </w:rPr>
        <w:t>Estimates of the size of the industry</w:t>
      </w:r>
      <w:r w:rsidR="006249B2">
        <w:rPr>
          <w:sz w:val="22"/>
        </w:rPr>
        <w:t>,</w:t>
      </w:r>
      <w:r w:rsidRPr="00213E31">
        <w:rPr>
          <w:sz w:val="22"/>
        </w:rPr>
        <w:t xml:space="preserve"> in terms of direct expenditure and employment</w:t>
      </w:r>
      <w:r w:rsidR="006249B2">
        <w:rPr>
          <w:sz w:val="22"/>
        </w:rPr>
        <w:t>,</w:t>
      </w:r>
      <w:r w:rsidRPr="00213E31">
        <w:rPr>
          <w:sz w:val="22"/>
        </w:rPr>
        <w:t xml:space="preserve"> range from 1.2</w:t>
      </w:r>
      <w:r w:rsidR="001934CD">
        <w:rPr>
          <w:sz w:val="22"/>
        </w:rPr>
        <w:t>% to</w:t>
      </w:r>
      <w:r w:rsidRPr="00213E31">
        <w:rPr>
          <w:sz w:val="22"/>
        </w:rPr>
        <w:t xml:space="preserve"> 1.8</w:t>
      </w:r>
      <w:r w:rsidR="001934CD">
        <w:rPr>
          <w:sz w:val="22"/>
        </w:rPr>
        <w:t>%</w:t>
      </w:r>
      <w:r w:rsidRPr="00213E31">
        <w:rPr>
          <w:sz w:val="22"/>
        </w:rPr>
        <w:t xml:space="preserve"> of GDP.  However the essential nature of the services provided by this industry to the community and the economy at large, and the additional value that the HVAC&amp;R industry creates for other economic activity, mean</w:t>
      </w:r>
      <w:r w:rsidR="006249B2">
        <w:rPr>
          <w:sz w:val="22"/>
        </w:rPr>
        <w:t>s</w:t>
      </w:r>
      <w:r w:rsidRPr="00213E31">
        <w:rPr>
          <w:sz w:val="22"/>
        </w:rPr>
        <w:t xml:space="preserve"> that the raw assessment of economic scale considerably understates the importance of this industry to the wider economy. </w:t>
      </w:r>
    </w:p>
    <w:p w:rsidR="001515E6" w:rsidRPr="00213E31" w:rsidRDefault="001515E6" w:rsidP="001515E6">
      <w:pPr>
        <w:pStyle w:val="NormalWeb"/>
        <w:spacing w:before="120" w:beforeAutospacing="0" w:after="0" w:afterAutospacing="0"/>
        <w:jc w:val="both"/>
        <w:rPr>
          <w:sz w:val="22"/>
        </w:rPr>
      </w:pPr>
      <w:r w:rsidRPr="00213E31">
        <w:rPr>
          <w:sz w:val="22"/>
        </w:rPr>
        <w:t>In its ‘</w:t>
      </w:r>
      <w:r w:rsidRPr="00213E31">
        <w:rPr>
          <w:i/>
          <w:sz w:val="22"/>
        </w:rPr>
        <w:t>Australian Workforce Futures</w:t>
      </w:r>
      <w:r w:rsidRPr="00213E31">
        <w:rPr>
          <w:sz w:val="22"/>
        </w:rPr>
        <w:t xml:space="preserve">’ report in March 2010, Skills Australia identified air conditioning and refrigeration mechanics as one of the specialised occupations in which Australia is facing a critical shortage in the short and medium term. A further report (SA 2011) on the skills needed to deliver national energy efficiency targets from May 2011 has also identified the shortage of </w:t>
      </w:r>
      <w:r w:rsidR="00CF154A">
        <w:rPr>
          <w:sz w:val="22"/>
        </w:rPr>
        <w:t>AC</w:t>
      </w:r>
      <w:r w:rsidRPr="00213E31">
        <w:rPr>
          <w:sz w:val="22"/>
        </w:rPr>
        <w:t>, refrigeration and mechanical services personnel as one of the limiting factors in improving the energy performance of the built environment.</w:t>
      </w:r>
    </w:p>
    <w:p w:rsidR="001515E6" w:rsidRPr="00213E31" w:rsidRDefault="001515E6" w:rsidP="001515E6">
      <w:pPr>
        <w:pStyle w:val="NormalWeb"/>
        <w:spacing w:before="120" w:beforeAutospacing="0" w:after="0" w:afterAutospacing="0"/>
        <w:jc w:val="both"/>
        <w:rPr>
          <w:sz w:val="22"/>
        </w:rPr>
      </w:pPr>
      <w:r w:rsidRPr="00213E31">
        <w:rPr>
          <w:sz w:val="22"/>
        </w:rPr>
        <w:t>Skills Australia made a number of recommendations about applying additional resources to improving training and educational resources in this field, and HVAC&amp;R featured among a short list of priority areas in the Australian Workforce Development Strategy.</w:t>
      </w:r>
    </w:p>
    <w:p w:rsidR="001515E6" w:rsidRPr="00213E31" w:rsidRDefault="001515E6" w:rsidP="001515E6">
      <w:pPr>
        <w:pStyle w:val="summary"/>
        <w:spacing w:before="120" w:beforeAutospacing="0" w:after="0" w:afterAutospacing="0"/>
        <w:jc w:val="both"/>
        <w:rPr>
          <w:sz w:val="22"/>
          <w:lang w:val="en-US" w:eastAsia="en-US"/>
        </w:rPr>
      </w:pPr>
      <w:r w:rsidRPr="00213E31">
        <w:rPr>
          <w:sz w:val="22"/>
          <w:lang w:val="en-US" w:eastAsia="en-US"/>
        </w:rPr>
        <w:t xml:space="preserve">While it is heartening that the chronic shortage of air conditioning and refrigeration skills have been </w:t>
      </w:r>
      <w:r w:rsidRPr="00A45241">
        <w:rPr>
          <w:sz w:val="22"/>
          <w:lang w:val="en-AU" w:eastAsia="en-US"/>
        </w:rPr>
        <w:t>recognised</w:t>
      </w:r>
      <w:r w:rsidRPr="00213E31">
        <w:rPr>
          <w:sz w:val="22"/>
          <w:lang w:val="en-US" w:eastAsia="en-US"/>
        </w:rPr>
        <w:t xml:space="preserve"> as a priority the recommendations to date, viewed from an industry perspective, could be sai</w:t>
      </w:r>
      <w:r>
        <w:rPr>
          <w:sz w:val="22"/>
          <w:lang w:val="en-US" w:eastAsia="en-US"/>
        </w:rPr>
        <w:t>d to look like more of the same - more reports but few resources being actually made available to industry to drive training, education and increase the uptake of apprentices and cadet engineers</w:t>
      </w:r>
      <w:r w:rsidRPr="00213E31">
        <w:rPr>
          <w:sz w:val="22"/>
          <w:lang w:val="en-US" w:eastAsia="en-US"/>
        </w:rPr>
        <w:t>.</w:t>
      </w:r>
    </w:p>
    <w:p w:rsidR="001515E6" w:rsidRPr="00213E31" w:rsidRDefault="001515E6" w:rsidP="001515E6">
      <w:pPr>
        <w:pStyle w:val="summary"/>
        <w:spacing w:before="120" w:beforeAutospacing="0" w:after="0" w:afterAutospacing="0"/>
        <w:jc w:val="both"/>
        <w:rPr>
          <w:sz w:val="22"/>
          <w:lang w:val="en-US" w:eastAsia="en-US"/>
        </w:rPr>
      </w:pPr>
      <w:r w:rsidRPr="00213E31">
        <w:rPr>
          <w:sz w:val="22"/>
          <w:lang w:val="en-US" w:eastAsia="en-US"/>
        </w:rPr>
        <w:t>The importance of this issue for this industry, and for any plans to drive or even manage a transition in this sector, cannot be understated. The fact is that it is not just an issue any more of a ‘skills gap’, as identified by Skills Australia. Far more critically, because the industry has been unable to take on enough new entrants for most of the past two decades to even replace those retiring, and because the training system does not reward those with the expertise to pass on their knowledge, the industry has for some time been enduring a period of ‘skills loss’ that could be extremely difficult to reverse.</w:t>
      </w:r>
    </w:p>
    <w:p w:rsidR="001515E6" w:rsidRPr="00213E31" w:rsidRDefault="001515E6" w:rsidP="001515E6">
      <w:pPr>
        <w:rPr>
          <w:rFonts w:cs="Times New Roman"/>
        </w:rPr>
      </w:pPr>
      <w:r w:rsidRPr="00213E31">
        <w:rPr>
          <w:rFonts w:cs="Times New Roman"/>
        </w:rPr>
        <w:t>The Australian Institute of Refrigeration Air</w:t>
      </w:r>
      <w:r>
        <w:rPr>
          <w:rFonts w:cs="Times New Roman"/>
        </w:rPr>
        <w:t xml:space="preserve"> c</w:t>
      </w:r>
      <w:r w:rsidRPr="00213E31">
        <w:rPr>
          <w:rFonts w:cs="Times New Roman"/>
        </w:rPr>
        <w:t>onditioning and Heating (AIRAH) has been driving development of a whole of industry plan to achieve a low emissions future called PRIME.</w:t>
      </w:r>
      <w:r>
        <w:rPr>
          <w:rStyle w:val="FootnoteReference"/>
          <w:rFonts w:cs="Times New Roman"/>
        </w:rPr>
        <w:footnoteReference w:id="12"/>
      </w:r>
      <w:r w:rsidRPr="00213E31">
        <w:rPr>
          <w:rFonts w:cs="Times New Roman"/>
        </w:rPr>
        <w:t xml:space="preserve"> </w:t>
      </w:r>
    </w:p>
    <w:p w:rsidR="001515E6" w:rsidRPr="00213E31" w:rsidRDefault="001515E6" w:rsidP="001515E6">
      <w:pPr>
        <w:rPr>
          <w:rFonts w:cs="Times New Roman"/>
        </w:rPr>
      </w:pPr>
      <w:r w:rsidRPr="00213E31">
        <w:rPr>
          <w:rFonts w:cs="Times New Roman"/>
        </w:rPr>
        <w:t>PRIME stands for Professionalism, Regulation, Information, Measurement, and Emission abatement and is the HVAC&amp;R industry’s own blueprint for a successful transition to a low-emissions future.  The PRIME initiative has revealed significant deficiencies within the training infrastructure with regard to developing the HVAC&amp;R workforce competencies in low-emission practices and technologies.</w:t>
      </w:r>
    </w:p>
    <w:p w:rsidR="001515E6" w:rsidRPr="00213E31" w:rsidRDefault="001515E6" w:rsidP="001515E6">
      <w:pPr>
        <w:rPr>
          <w:rFonts w:cs="Times New Roman"/>
        </w:rPr>
      </w:pPr>
      <w:r w:rsidRPr="00213E31">
        <w:rPr>
          <w:rFonts w:cs="Times New Roman"/>
        </w:rPr>
        <w:t>Given the constant changes that are occurring within the HVAC&amp;R field PRIME has identified significant shortfalls in the coverage and content of current apprentice, technician and engineering professional training and education regimes. To try to address the skills and labour shortfall PRIME has listed objectives that include:</w:t>
      </w:r>
    </w:p>
    <w:p w:rsidR="001515E6" w:rsidRPr="00213E31" w:rsidRDefault="001515E6" w:rsidP="0040150F">
      <w:pPr>
        <w:pStyle w:val="ListParagraph"/>
        <w:numPr>
          <w:ilvl w:val="0"/>
          <w:numId w:val="34"/>
        </w:numPr>
        <w:spacing w:before="120" w:after="0" w:line="240" w:lineRule="auto"/>
        <w:ind w:left="357" w:hanging="357"/>
        <w:contextualSpacing w:val="0"/>
        <w:jc w:val="both"/>
        <w:rPr>
          <w:rFonts w:ascii="Times New Roman" w:eastAsiaTheme="minorEastAsia" w:hAnsi="Times New Roman"/>
          <w:szCs w:val="24"/>
        </w:rPr>
      </w:pPr>
      <w:r w:rsidRPr="00213E31">
        <w:rPr>
          <w:rFonts w:ascii="Times New Roman" w:eastAsiaTheme="minorEastAsia" w:hAnsi="Times New Roman"/>
          <w:szCs w:val="24"/>
        </w:rPr>
        <w:t>VET/TAFE course competencies should include courses on the effective and appropriate use and handling of all alternative low GWP (natural or synthetic) refrigerants;</w:t>
      </w:r>
    </w:p>
    <w:p w:rsidR="001515E6" w:rsidRPr="00213E31" w:rsidRDefault="001515E6" w:rsidP="0040150F">
      <w:pPr>
        <w:pStyle w:val="ListParagraph"/>
        <w:numPr>
          <w:ilvl w:val="0"/>
          <w:numId w:val="34"/>
        </w:numPr>
        <w:spacing w:before="120" w:after="0" w:line="240" w:lineRule="auto"/>
        <w:ind w:left="357" w:hanging="357"/>
        <w:contextualSpacing w:val="0"/>
        <w:jc w:val="both"/>
        <w:rPr>
          <w:rFonts w:ascii="Times New Roman" w:eastAsiaTheme="minorEastAsia" w:hAnsi="Times New Roman"/>
          <w:szCs w:val="24"/>
        </w:rPr>
      </w:pPr>
      <w:r w:rsidRPr="00213E31">
        <w:rPr>
          <w:rFonts w:ascii="Times New Roman" w:eastAsiaTheme="minorEastAsia" w:hAnsi="Times New Roman"/>
          <w:szCs w:val="24"/>
        </w:rPr>
        <w:t>VET/TAFE course competencies and teaching resources need to be updated to cover all new and emerging applications of natural and low GWP synthetic refrigerants and made freely available;</w:t>
      </w:r>
    </w:p>
    <w:p w:rsidR="001515E6" w:rsidRPr="00213E31" w:rsidRDefault="00E12A4F" w:rsidP="0040150F">
      <w:pPr>
        <w:pStyle w:val="ListParagraph"/>
        <w:numPr>
          <w:ilvl w:val="0"/>
          <w:numId w:val="34"/>
        </w:numPr>
        <w:spacing w:before="120" w:after="0" w:line="240" w:lineRule="auto"/>
        <w:ind w:left="357" w:hanging="357"/>
        <w:contextualSpacing w:val="0"/>
        <w:jc w:val="both"/>
        <w:rPr>
          <w:rFonts w:ascii="Times New Roman" w:eastAsiaTheme="minorEastAsia" w:hAnsi="Times New Roman"/>
          <w:szCs w:val="24"/>
        </w:rPr>
      </w:pPr>
      <w:r>
        <w:rPr>
          <w:rFonts w:ascii="Times New Roman" w:eastAsiaTheme="minorEastAsia" w:hAnsi="Times New Roman"/>
          <w:szCs w:val="24"/>
        </w:rPr>
        <w:t>D</w:t>
      </w:r>
      <w:r w:rsidR="001515E6" w:rsidRPr="00213E31">
        <w:rPr>
          <w:rFonts w:ascii="Times New Roman" w:eastAsiaTheme="minorEastAsia" w:hAnsi="Times New Roman"/>
          <w:szCs w:val="24"/>
        </w:rPr>
        <w:t>elivery of the updated VET/TAFE course units incentivised to improve trade take-up. It is also important to find a mechanism that will allow Industry organisations, major companies and SMEs to agree to and fun</w:t>
      </w:r>
      <w:r w:rsidR="0040150F">
        <w:rPr>
          <w:rFonts w:ascii="Times New Roman" w:eastAsiaTheme="minorEastAsia" w:hAnsi="Times New Roman"/>
          <w:szCs w:val="24"/>
        </w:rPr>
        <w:t>d increased apprentice training; and.</w:t>
      </w:r>
    </w:p>
    <w:p w:rsidR="001515E6" w:rsidRPr="00213E31" w:rsidRDefault="001515E6" w:rsidP="0040150F">
      <w:pPr>
        <w:pStyle w:val="ListParagraph"/>
        <w:numPr>
          <w:ilvl w:val="0"/>
          <w:numId w:val="34"/>
        </w:numPr>
        <w:spacing w:before="120" w:after="0" w:line="240" w:lineRule="auto"/>
        <w:ind w:left="357" w:hanging="357"/>
        <w:contextualSpacing w:val="0"/>
        <w:jc w:val="both"/>
        <w:rPr>
          <w:rFonts w:ascii="Times New Roman" w:eastAsiaTheme="minorEastAsia" w:hAnsi="Times New Roman"/>
          <w:szCs w:val="24"/>
        </w:rPr>
      </w:pPr>
      <w:r w:rsidRPr="00213E31">
        <w:rPr>
          <w:rFonts w:ascii="Times New Roman" w:eastAsiaTheme="minorEastAsia" w:hAnsi="Times New Roman"/>
          <w:szCs w:val="24"/>
        </w:rPr>
        <w:t>PRIME also recommends development of a skills maintenance system for ARC licence holders and an industry-endorsed list of approved skills maintenance for licence holders and CPD activities for building professionals to assist in professional development.</w:t>
      </w:r>
    </w:p>
    <w:p w:rsidR="001515E6" w:rsidRPr="00213E31" w:rsidRDefault="001515E6" w:rsidP="001515E6">
      <w:pPr>
        <w:rPr>
          <w:rFonts w:cs="Times New Roman"/>
        </w:rPr>
      </w:pPr>
      <w:r w:rsidRPr="00213E31">
        <w:rPr>
          <w:rFonts w:cs="Times New Roman"/>
        </w:rPr>
        <w:t xml:space="preserve">The projected human resources shortfall and training inadequacies have led AIRAH to start to engage directly with university level education providers on the possibility of, and process for, developing a dedicated undergraduate engineering degree program in ‘Building Services and Refrigeration’.  </w:t>
      </w:r>
    </w:p>
    <w:p w:rsidR="001515E6" w:rsidRPr="00213E31" w:rsidRDefault="001515E6" w:rsidP="001515E6">
      <w:pPr>
        <w:rPr>
          <w:rFonts w:cs="Times New Roman"/>
        </w:rPr>
      </w:pPr>
      <w:r w:rsidRPr="00213E31">
        <w:rPr>
          <w:rFonts w:cs="Times New Roman"/>
        </w:rPr>
        <w:t xml:space="preserve">At the very least they are pushing to update existing University based training in engineering and related courses to include HVAC&amp;R energy efficiency and emission reduction as a core component including Australian based case studies, data and financial benefits of energy efficiency.  </w:t>
      </w:r>
    </w:p>
    <w:p w:rsidR="001515E6" w:rsidRPr="00213E31" w:rsidRDefault="001515E6" w:rsidP="001515E6">
      <w:pPr>
        <w:rPr>
          <w:rFonts w:cs="Times New Roman"/>
        </w:rPr>
      </w:pPr>
      <w:r w:rsidRPr="00213E31">
        <w:rPr>
          <w:rFonts w:cs="Times New Roman"/>
        </w:rPr>
        <w:t xml:space="preserve">AIRAH is also working with </w:t>
      </w:r>
      <w:r w:rsidR="000A141F">
        <w:rPr>
          <w:rFonts w:cs="Times New Roman"/>
        </w:rPr>
        <w:t>u</w:t>
      </w:r>
      <w:r w:rsidR="000A141F" w:rsidRPr="00213E31">
        <w:rPr>
          <w:rFonts w:cs="Times New Roman"/>
        </w:rPr>
        <w:t xml:space="preserve">niversities </w:t>
      </w:r>
      <w:r w:rsidRPr="00213E31">
        <w:rPr>
          <w:rFonts w:cs="Times New Roman"/>
        </w:rPr>
        <w:t xml:space="preserve">to determine the best mechanism for incorporating basic low-emission HVAC&amp;R awareness units into existing university training courses for significant end-users, e.g. agricultural sciences training, process engineering, architecture and building designers, town planning and civil engineering, etc. </w:t>
      </w:r>
      <w:r w:rsidR="000A141F">
        <w:rPr>
          <w:rFonts w:cs="Times New Roman"/>
        </w:rPr>
        <w:t xml:space="preserve"> Furthermore, it is e</w:t>
      </w:r>
      <w:r w:rsidRPr="00213E31">
        <w:rPr>
          <w:rFonts w:cs="Times New Roman"/>
        </w:rPr>
        <w:t>ngag</w:t>
      </w:r>
      <w:r w:rsidR="000A141F">
        <w:rPr>
          <w:rFonts w:cs="Times New Roman"/>
        </w:rPr>
        <w:t>ing</w:t>
      </w:r>
      <w:r w:rsidRPr="00213E31">
        <w:rPr>
          <w:rFonts w:cs="Times New Roman"/>
        </w:rPr>
        <w:t xml:space="preserve"> with VET/TAFE</w:t>
      </w:r>
      <w:r w:rsidR="000A141F">
        <w:rPr>
          <w:rFonts w:cs="Times New Roman"/>
        </w:rPr>
        <w:t>s</w:t>
      </w:r>
      <w:r w:rsidRPr="00213E31">
        <w:rPr>
          <w:rFonts w:cs="Times New Roman"/>
        </w:rPr>
        <w:t xml:space="preserve"> to determine the best mechanism for invigilating basic low-emission HVAC&amp;R awareness units into existing VET/TAFE training courses for significant end-users (e.g. retail training and the like).</w:t>
      </w:r>
    </w:p>
    <w:p w:rsidR="00915F68" w:rsidRDefault="00915F68" w:rsidP="00C73C6A"/>
    <w:p w:rsidR="00A70BCC" w:rsidRDefault="00A70BCC">
      <w:pPr>
        <w:spacing w:before="0"/>
        <w:jc w:val="left"/>
        <w:rPr>
          <w:rFonts w:ascii="Calibri" w:eastAsia="Times New Roman" w:hAnsi="Calibri" w:cs="Times New Roman"/>
          <w:b/>
          <w:bCs/>
          <w:kern w:val="32"/>
          <w:sz w:val="32"/>
          <w:szCs w:val="32"/>
          <w:lang w:val="en-US"/>
        </w:rPr>
      </w:pPr>
      <w:r>
        <w:br w:type="page"/>
      </w:r>
    </w:p>
    <w:p w:rsidR="004A5B08" w:rsidRDefault="004A5B08" w:rsidP="0040150F">
      <w:pPr>
        <w:pStyle w:val="Heading1"/>
        <w:ind w:left="432"/>
      </w:pPr>
      <w:bookmarkStart w:id="80" w:name="_Toc257359965"/>
      <w:r w:rsidRPr="004A5B08">
        <w:t>Technical standards and Codes of Practice</w:t>
      </w:r>
      <w:bookmarkEnd w:id="80"/>
    </w:p>
    <w:p w:rsidR="001515E6" w:rsidRPr="00213E31" w:rsidRDefault="001515E6" w:rsidP="001515E6">
      <w:pPr>
        <w:rPr>
          <w:rFonts w:cs="Times New Roman"/>
        </w:rPr>
      </w:pPr>
      <w:r w:rsidRPr="00213E31">
        <w:rPr>
          <w:rFonts w:cs="Times New Roman"/>
        </w:rPr>
        <w:t>In response to the rapid diversification of refrigerants that technicians are likely to encounter on a daily basis, standards and codes of practice for:</w:t>
      </w:r>
    </w:p>
    <w:p w:rsidR="001515E6" w:rsidRPr="00213E31" w:rsidRDefault="001515E6" w:rsidP="00E97935">
      <w:pPr>
        <w:pStyle w:val="ListParagraph"/>
        <w:numPr>
          <w:ilvl w:val="0"/>
          <w:numId w:val="31"/>
        </w:numPr>
        <w:spacing w:before="120" w:after="0" w:line="240" w:lineRule="auto"/>
        <w:ind w:left="357" w:hanging="357"/>
        <w:contextualSpacing w:val="0"/>
        <w:rPr>
          <w:rFonts w:ascii="Times New Roman" w:eastAsiaTheme="minorEastAsia" w:hAnsi="Times New Roman"/>
          <w:szCs w:val="24"/>
        </w:rPr>
      </w:pPr>
      <w:r w:rsidRPr="00213E31">
        <w:rPr>
          <w:rFonts w:ascii="Times New Roman" w:eastAsiaTheme="minorEastAsia" w:hAnsi="Times New Roman"/>
          <w:szCs w:val="24"/>
        </w:rPr>
        <w:t>Clear, long lasting and easy to find labelling and identification of equipment with regard to the refrigerant charge;</w:t>
      </w:r>
    </w:p>
    <w:p w:rsidR="001515E6" w:rsidRPr="00213E31" w:rsidRDefault="001515E6" w:rsidP="00E97935">
      <w:pPr>
        <w:pStyle w:val="ListParagraph"/>
        <w:numPr>
          <w:ilvl w:val="0"/>
          <w:numId w:val="31"/>
        </w:numPr>
        <w:spacing w:before="120" w:after="0" w:line="240" w:lineRule="auto"/>
        <w:ind w:left="357" w:hanging="357"/>
        <w:contextualSpacing w:val="0"/>
        <w:rPr>
          <w:rFonts w:ascii="Times New Roman" w:eastAsiaTheme="minorEastAsia" w:hAnsi="Times New Roman"/>
          <w:szCs w:val="24"/>
        </w:rPr>
      </w:pPr>
      <w:r w:rsidRPr="00213E31">
        <w:rPr>
          <w:rFonts w:ascii="Times New Roman" w:eastAsiaTheme="minorEastAsia" w:hAnsi="Times New Roman"/>
          <w:szCs w:val="24"/>
        </w:rPr>
        <w:t>Refrigerant handling, storage and management; and,</w:t>
      </w:r>
    </w:p>
    <w:p w:rsidR="001515E6" w:rsidRPr="00213E31" w:rsidRDefault="001515E6" w:rsidP="00E97935">
      <w:pPr>
        <w:pStyle w:val="ListParagraph"/>
        <w:numPr>
          <w:ilvl w:val="0"/>
          <w:numId w:val="31"/>
        </w:numPr>
        <w:spacing w:before="120" w:after="0" w:line="240" w:lineRule="auto"/>
        <w:ind w:left="357" w:hanging="357"/>
        <w:contextualSpacing w:val="0"/>
        <w:rPr>
          <w:rFonts w:ascii="Times New Roman" w:eastAsiaTheme="minorEastAsia" w:hAnsi="Times New Roman"/>
          <w:szCs w:val="24"/>
        </w:rPr>
      </w:pPr>
      <w:r w:rsidRPr="00213E31">
        <w:rPr>
          <w:rFonts w:ascii="Times New Roman" w:eastAsiaTheme="minorEastAsia" w:hAnsi="Times New Roman"/>
          <w:szCs w:val="24"/>
        </w:rPr>
        <w:t>Detection and reporting of refrigerant leakage;</w:t>
      </w:r>
    </w:p>
    <w:p w:rsidR="001515E6" w:rsidRPr="00213E31" w:rsidRDefault="00270B15" w:rsidP="001515E6">
      <w:pPr>
        <w:rPr>
          <w:rFonts w:cs="Times New Roman"/>
        </w:rPr>
      </w:pPr>
      <w:r>
        <w:rPr>
          <w:rFonts w:cs="Times New Roman"/>
        </w:rPr>
        <w:t>These initiatives</w:t>
      </w:r>
      <w:r w:rsidR="001515E6" w:rsidRPr="00213E31">
        <w:rPr>
          <w:rFonts w:cs="Times New Roman"/>
        </w:rPr>
        <w:t xml:space="preserve"> will necessarily require a tightening in construction and maintenance standards for refrigeration, </w:t>
      </w:r>
      <w:r w:rsidR="00CF154A">
        <w:rPr>
          <w:rFonts w:cs="Times New Roman"/>
        </w:rPr>
        <w:t>AC</w:t>
      </w:r>
      <w:r w:rsidR="001515E6" w:rsidRPr="00213E31">
        <w:rPr>
          <w:rFonts w:cs="Times New Roman"/>
        </w:rPr>
        <w:t>, and heat pump systems.  A long standing proposal for a refrigeration and air conditioning equipment log book for larger classes of equipment would be one initiative that would, over time, address many of the data, maintenance and identification issues the industry is facing.</w:t>
      </w:r>
    </w:p>
    <w:p w:rsidR="001515E6" w:rsidRPr="00213E31" w:rsidRDefault="001515E6" w:rsidP="001515E6">
      <w:pPr>
        <w:rPr>
          <w:rFonts w:cs="Times New Roman"/>
        </w:rPr>
      </w:pPr>
      <w:r w:rsidRPr="00213E31">
        <w:rPr>
          <w:rFonts w:cs="Times New Roman"/>
        </w:rPr>
        <w:t xml:space="preserve">This </w:t>
      </w:r>
      <w:r w:rsidR="00D62494">
        <w:rPr>
          <w:rFonts w:cs="Times New Roman"/>
        </w:rPr>
        <w:t xml:space="preserve">is a </w:t>
      </w:r>
      <w:r w:rsidRPr="00213E31">
        <w:rPr>
          <w:rFonts w:cs="Times New Roman"/>
        </w:rPr>
        <w:t>complex and multi-faceted issue.  Improved system construction standards will also benefit the wider expansion of natural refrigerants into these sectors. The PRIME initiative has identified several actions that could be considered to improve standards and emission performance in the installation, commissioning, operation and maintenance of these systems.</w:t>
      </w:r>
    </w:p>
    <w:p w:rsidR="001515E6" w:rsidRPr="00213E31" w:rsidRDefault="001515E6" w:rsidP="001515E6">
      <w:pPr>
        <w:rPr>
          <w:rFonts w:cs="Times New Roman"/>
        </w:rPr>
      </w:pPr>
      <w:r w:rsidRPr="00213E31">
        <w:rPr>
          <w:rFonts w:cs="Times New Roman"/>
        </w:rPr>
        <w:t>AIRAH suggests that Australia does not at this time have enough data regarding direct emissions of refrigerants, how they occur, where they occur and why they occur.  Refrigerant logging at the site (point of use) level, and the development of a database on refrigerant consumption and use would assist any future HFC phase</w:t>
      </w:r>
      <w:r w:rsidR="00BC7FF8">
        <w:rPr>
          <w:rFonts w:cs="Times New Roman"/>
        </w:rPr>
        <w:t xml:space="preserve"> </w:t>
      </w:r>
      <w:r w:rsidRPr="00213E31">
        <w:rPr>
          <w:rFonts w:cs="Times New Roman"/>
        </w:rPr>
        <w:t>down or control initiative, and wider spread introduction of natural refrigerants and mildly flammable lower GWP synthetic refrigerants.  Again, the PRIME initiative has identified several actions that could be considered to help develop a refrigerant use data base.</w:t>
      </w:r>
    </w:p>
    <w:p w:rsidR="00915F68" w:rsidRDefault="00915F68" w:rsidP="00C73C6A"/>
    <w:p w:rsidR="00915F68" w:rsidRDefault="00915F68" w:rsidP="00C73C6A"/>
    <w:p w:rsidR="001515E6" w:rsidRDefault="001515E6">
      <w:pPr>
        <w:spacing w:before="0"/>
        <w:jc w:val="left"/>
        <w:rPr>
          <w:rFonts w:ascii="Calibri" w:eastAsia="Times New Roman" w:hAnsi="Calibri" w:cs="Times New Roman"/>
          <w:b/>
          <w:bCs/>
          <w:kern w:val="32"/>
          <w:sz w:val="32"/>
          <w:szCs w:val="32"/>
          <w:lang w:val="en-US"/>
        </w:rPr>
      </w:pPr>
      <w:r>
        <w:br w:type="page"/>
      </w:r>
    </w:p>
    <w:p w:rsidR="004A5B08" w:rsidRDefault="004A5B08" w:rsidP="004A5B08">
      <w:pPr>
        <w:pStyle w:val="Heading1"/>
        <w:ind w:left="432"/>
      </w:pPr>
      <w:bookmarkStart w:id="81" w:name="_Toc257359966"/>
      <w:r>
        <w:t>Potential perverse outcomes of transitioning to low GWP alternatives</w:t>
      </w:r>
      <w:bookmarkEnd w:id="81"/>
    </w:p>
    <w:p w:rsidR="00611BD2" w:rsidRDefault="00611BD2" w:rsidP="00611BD2">
      <w:pPr>
        <w:pStyle w:val="NormalWeb"/>
        <w:spacing w:before="120" w:beforeAutospacing="0" w:after="0" w:afterAutospacing="0"/>
        <w:jc w:val="both"/>
        <w:rPr>
          <w:sz w:val="22"/>
        </w:rPr>
      </w:pPr>
      <w:r>
        <w:rPr>
          <w:sz w:val="22"/>
        </w:rPr>
        <w:t xml:space="preserve">Claims of safety risks associated with the management of flammable and mildly flammable refrigerants have notably declined as most stakeholders </w:t>
      </w:r>
      <w:r w:rsidR="005E7172">
        <w:rPr>
          <w:sz w:val="22"/>
        </w:rPr>
        <w:t xml:space="preserve">are </w:t>
      </w:r>
      <w:r>
        <w:rPr>
          <w:sz w:val="22"/>
        </w:rPr>
        <w:t xml:space="preserve">now </w:t>
      </w:r>
      <w:r w:rsidR="005E7172">
        <w:rPr>
          <w:sz w:val="22"/>
        </w:rPr>
        <w:t>becoming familiar with the requirements for handling these new products,</w:t>
      </w:r>
      <w:r>
        <w:rPr>
          <w:sz w:val="22"/>
        </w:rPr>
        <w:t xml:space="preserve"> at least </w:t>
      </w:r>
      <w:r w:rsidR="005E7172">
        <w:rPr>
          <w:sz w:val="22"/>
        </w:rPr>
        <w:t xml:space="preserve">with the </w:t>
      </w:r>
      <w:r>
        <w:rPr>
          <w:sz w:val="22"/>
        </w:rPr>
        <w:t>A2L classed refrigerants.</w:t>
      </w:r>
    </w:p>
    <w:p w:rsidR="00611BD2" w:rsidRDefault="00611BD2" w:rsidP="00611BD2">
      <w:pPr>
        <w:pStyle w:val="NormalWeb"/>
        <w:spacing w:before="120" w:beforeAutospacing="0" w:after="0" w:afterAutospacing="0"/>
        <w:jc w:val="both"/>
        <w:rPr>
          <w:sz w:val="22"/>
        </w:rPr>
      </w:pPr>
      <w:r>
        <w:rPr>
          <w:sz w:val="22"/>
        </w:rPr>
        <w:t xml:space="preserve">At the same time some suggestion of environmental and health risks associated with break down products of new refrigerants are emerging, but no scientific substantiation has been offered of such claims. The history of perverse outcomes resulting from the introduction of new refrigerants </w:t>
      </w:r>
      <w:r w:rsidR="005E7172">
        <w:rPr>
          <w:sz w:val="22"/>
        </w:rPr>
        <w:t xml:space="preserve">suggests </w:t>
      </w:r>
      <w:r>
        <w:rPr>
          <w:sz w:val="22"/>
        </w:rPr>
        <w:t>such claims</w:t>
      </w:r>
      <w:r w:rsidR="005E7172">
        <w:rPr>
          <w:sz w:val="22"/>
        </w:rPr>
        <w:t xml:space="preserve"> </w:t>
      </w:r>
      <w:r w:rsidR="00E12A4F">
        <w:rPr>
          <w:sz w:val="22"/>
        </w:rPr>
        <w:t>will be carefully investigated.</w:t>
      </w:r>
    </w:p>
    <w:p w:rsidR="00611BD2" w:rsidRDefault="00611BD2" w:rsidP="00611BD2">
      <w:pPr>
        <w:pStyle w:val="NormalWeb"/>
        <w:spacing w:before="120" w:beforeAutospacing="0" w:after="0" w:afterAutospacing="0"/>
        <w:jc w:val="both"/>
        <w:rPr>
          <w:sz w:val="22"/>
        </w:rPr>
      </w:pPr>
      <w:r>
        <w:rPr>
          <w:sz w:val="22"/>
        </w:rPr>
        <w:t>An overall trend to lower charge sizes, and an almost comprehensive awareness by the industry at large of the need for energy efficiency, suggests that the few actual risks of energy penalties will be mitigated in hardware design and refrigerant choice.</w:t>
      </w:r>
    </w:p>
    <w:p w:rsidR="00611BD2" w:rsidRDefault="00611BD2" w:rsidP="00611BD2">
      <w:pPr>
        <w:pStyle w:val="NormalWeb"/>
        <w:spacing w:before="120" w:beforeAutospacing="0" w:after="0" w:afterAutospacing="0"/>
        <w:jc w:val="both"/>
        <w:rPr>
          <w:sz w:val="22"/>
        </w:rPr>
      </w:pPr>
      <w:r>
        <w:rPr>
          <w:sz w:val="22"/>
        </w:rPr>
        <w:t>Equipment churn prior to the end of its useful life is always a risk when industries comprehensively adopt new generations of technology and, for either reasons of supply chain limitations or possibly to accelerate adoption and churn, remove service support for older generations of technology.</w:t>
      </w:r>
    </w:p>
    <w:p w:rsidR="00611BD2" w:rsidRDefault="00376EC1" w:rsidP="00611BD2">
      <w:pPr>
        <w:pStyle w:val="NormalWeb"/>
        <w:spacing w:before="120" w:beforeAutospacing="0" w:after="0" w:afterAutospacing="0"/>
        <w:jc w:val="both"/>
        <w:rPr>
          <w:sz w:val="22"/>
        </w:rPr>
      </w:pPr>
      <w:r>
        <w:rPr>
          <w:sz w:val="22"/>
        </w:rPr>
        <w:t>This</w:t>
      </w:r>
      <w:r w:rsidR="00611BD2">
        <w:rPr>
          <w:sz w:val="22"/>
        </w:rPr>
        <w:t xml:space="preserve"> industry also bears a risk of higher end of life direct emissions of refrigerant. However other than observing that there is a risk of higher churn rates of equipment, there is no way at this point to quantify or easily document that risk.</w:t>
      </w:r>
    </w:p>
    <w:p w:rsidR="00915F68" w:rsidRDefault="00915F68" w:rsidP="00276058"/>
    <w:p w:rsidR="00915F68" w:rsidRDefault="00915F68" w:rsidP="00276058"/>
    <w:p w:rsidR="00915F68" w:rsidRDefault="00915F68" w:rsidP="00276058"/>
    <w:p w:rsidR="00915F68" w:rsidRDefault="00915F68" w:rsidP="00276058"/>
    <w:p w:rsidR="00915F68" w:rsidRPr="001E4DE1" w:rsidRDefault="00915F68" w:rsidP="00276058"/>
    <w:p w:rsidR="009439DF" w:rsidRDefault="009439DF">
      <w:pPr>
        <w:spacing w:before="0"/>
        <w:jc w:val="left"/>
        <w:rPr>
          <w:rFonts w:ascii="Calibri" w:eastAsia="Times New Roman" w:hAnsi="Calibri" w:cs="Times New Roman"/>
          <w:b/>
          <w:bCs/>
          <w:kern w:val="32"/>
          <w:sz w:val="32"/>
          <w:szCs w:val="32"/>
          <w:lang w:val="en-US"/>
        </w:rPr>
      </w:pPr>
      <w:bookmarkStart w:id="82" w:name="_Toc179623923"/>
      <w:r>
        <w:br w:type="page"/>
      </w:r>
    </w:p>
    <w:p w:rsidR="00CF358B" w:rsidRPr="00FA7F81" w:rsidRDefault="00CF358B" w:rsidP="00CF358B">
      <w:pPr>
        <w:pStyle w:val="Heading1"/>
        <w:ind w:left="432"/>
      </w:pPr>
      <w:bookmarkStart w:id="83" w:name="_Toc257359967"/>
      <w:r>
        <w:t xml:space="preserve">Costs to transition to </w:t>
      </w:r>
      <w:r w:rsidRPr="00E31A4C">
        <w:t xml:space="preserve">low </w:t>
      </w:r>
      <w:r>
        <w:t xml:space="preserve">and no </w:t>
      </w:r>
      <w:r w:rsidRPr="00E31A4C">
        <w:t>GWP alternatives</w:t>
      </w:r>
      <w:bookmarkEnd w:id="82"/>
      <w:bookmarkEnd w:id="83"/>
    </w:p>
    <w:p w:rsidR="001515E6" w:rsidRDefault="001515E6" w:rsidP="001515E6">
      <w:r>
        <w:t>A</w:t>
      </w:r>
      <w:r w:rsidRPr="00BF6E42">
        <w:t>n</w:t>
      </w:r>
      <w:r>
        <w:t>y</w:t>
      </w:r>
      <w:r w:rsidRPr="00BF6E42">
        <w:t xml:space="preserve"> assessment</w:t>
      </w:r>
      <w:r>
        <w:t xml:space="preserve">, and certainly any attempt at quantification of </w:t>
      </w:r>
      <w:r w:rsidRPr="00BF6E42">
        <w:t>costs to</w:t>
      </w:r>
      <w:r>
        <w:t xml:space="preserve"> the</w:t>
      </w:r>
      <w:r w:rsidRPr="00BF6E42">
        <w:t xml:space="preserve"> </w:t>
      </w:r>
      <w:r>
        <w:t xml:space="preserve">RAC </w:t>
      </w:r>
      <w:r w:rsidRPr="00BF6E42">
        <w:t>industry</w:t>
      </w:r>
      <w:r>
        <w:t>,</w:t>
      </w:r>
      <w:r w:rsidRPr="00BF6E42">
        <w:t xml:space="preserve"> </w:t>
      </w:r>
      <w:r>
        <w:t xml:space="preserve">and to the broader economy, </w:t>
      </w:r>
      <w:r w:rsidRPr="00BF6E42">
        <w:t xml:space="preserve">of </w:t>
      </w:r>
      <w:r>
        <w:t xml:space="preserve">a </w:t>
      </w:r>
      <w:r w:rsidRPr="00BF6E42">
        <w:t>transition to lower or zero-GWP alternatives</w:t>
      </w:r>
      <w:r>
        <w:t>,</w:t>
      </w:r>
      <w:r w:rsidRPr="00BF6E42">
        <w:t xml:space="preserve"> under a business as usual scenario (with no incentives for transition)</w:t>
      </w:r>
      <w:r>
        <w:t>, as</w:t>
      </w:r>
      <w:r w:rsidRPr="00BF6E42">
        <w:t xml:space="preserve"> compared to an accelerated transition scenario (with regulated or other incentives), requires a much more detailed and extensive economic and market study following the completion of this </w:t>
      </w:r>
      <w:r w:rsidR="00CC15BB">
        <w:t>report</w:t>
      </w:r>
      <w:r w:rsidRPr="00BF6E42">
        <w:t>.</w:t>
      </w:r>
    </w:p>
    <w:p w:rsidR="001515E6" w:rsidRDefault="001515E6" w:rsidP="001515E6">
      <w:r>
        <w:t>At this stage, and in brief, t</w:t>
      </w:r>
      <w:r w:rsidRPr="00C958C8">
        <w:t xml:space="preserve">here is no doubt that there will be costs involved </w:t>
      </w:r>
      <w:r>
        <w:t>to both the industry and the broader economy in any HFC phase down, and thus a transition to zero and lower GWP refrigerants. However depending on the mechanisms employed by regulators, and the investment programs and employment of capital undertaken by industry, i</w:t>
      </w:r>
      <w:r w:rsidRPr="00C958C8">
        <w:t xml:space="preserve">n the longer </w:t>
      </w:r>
      <w:r>
        <w:t>term, costs that may be borne by the broader economy upfront, in some sectors could</w:t>
      </w:r>
      <w:r w:rsidRPr="00C958C8">
        <w:t xml:space="preserve"> be recouped many times over</w:t>
      </w:r>
      <w:r>
        <w:t>.</w:t>
      </w:r>
    </w:p>
    <w:p w:rsidR="001515E6" w:rsidRDefault="001515E6" w:rsidP="001515E6">
      <w:r>
        <w:t>Long term savings to end users and thus the broader economy could flow from new technology that requires lower maintenance, has lower leak rates, and enjoys higher energy efficiency. The potential for higher energy efficiency over the life of some of this long lived equipment has the potential for significant economic upside. In the end, due to the total cost of energy provision and use, energy efficiency at any point in the economy, is inevitably economic efficiency</w:t>
      </w:r>
      <w:r w:rsidRPr="00C958C8">
        <w:t>.</w:t>
      </w:r>
    </w:p>
    <w:p w:rsidR="001515E6" w:rsidRDefault="001515E6" w:rsidP="001515E6">
      <w:r>
        <w:t>In terms of early and direct costs that could be expected in a HFC phase down, n</w:t>
      </w:r>
      <w:r w:rsidRPr="00F10FFC">
        <w:t>ew synthetic refrigerants generally follow a market based pricing cycle dependent on</w:t>
      </w:r>
      <w:r>
        <w:t>:</w:t>
      </w:r>
    </w:p>
    <w:p w:rsidR="001515E6" w:rsidRDefault="001515E6" w:rsidP="00E97935">
      <w:pPr>
        <w:numPr>
          <w:ilvl w:val="0"/>
          <w:numId w:val="32"/>
        </w:numPr>
        <w:ind w:left="357" w:hanging="357"/>
      </w:pPr>
      <w:r>
        <w:t>M</w:t>
      </w:r>
      <w:r w:rsidRPr="00F10FFC">
        <w:t>anufactu</w:t>
      </w:r>
      <w:r>
        <w:t>ring supply and customer demand;</w:t>
      </w:r>
      <w:r w:rsidRPr="00F10FFC">
        <w:t xml:space="preserve"> </w:t>
      </w:r>
    </w:p>
    <w:p w:rsidR="001515E6" w:rsidRDefault="001515E6" w:rsidP="00E97935">
      <w:pPr>
        <w:numPr>
          <w:ilvl w:val="0"/>
          <w:numId w:val="32"/>
        </w:numPr>
        <w:ind w:left="357" w:hanging="357"/>
      </w:pPr>
      <w:r>
        <w:t>M</w:t>
      </w:r>
      <w:r w:rsidRPr="00F10FFC">
        <w:t xml:space="preserve">anufacturing costs and ingredients; </w:t>
      </w:r>
    </w:p>
    <w:p w:rsidR="001515E6" w:rsidRDefault="001515E6" w:rsidP="00E97935">
      <w:pPr>
        <w:numPr>
          <w:ilvl w:val="0"/>
          <w:numId w:val="32"/>
        </w:numPr>
        <w:ind w:left="357" w:hanging="357"/>
      </w:pPr>
      <w:r>
        <w:t>Ec</w:t>
      </w:r>
      <w:r w:rsidRPr="00F10FFC">
        <w:t xml:space="preserve">onomies of scale of logistics and distribution; </w:t>
      </w:r>
    </w:p>
    <w:p w:rsidR="001515E6" w:rsidRDefault="001515E6" w:rsidP="00E97935">
      <w:pPr>
        <w:numPr>
          <w:ilvl w:val="0"/>
          <w:numId w:val="32"/>
        </w:numPr>
        <w:ind w:left="357" w:hanging="357"/>
      </w:pPr>
      <w:r>
        <w:t xml:space="preserve">R&amp;D recovery costs and </w:t>
      </w:r>
      <w:r w:rsidRPr="00F10FFC">
        <w:t>intellectual property (IP) rights</w:t>
      </w:r>
      <w:r>
        <w:t>;</w:t>
      </w:r>
      <w:r w:rsidRPr="00F10FFC">
        <w:t xml:space="preserve"> and</w:t>
      </w:r>
      <w:r>
        <w:t>,</w:t>
      </w:r>
    </w:p>
    <w:p w:rsidR="001515E6" w:rsidRDefault="001515E6" w:rsidP="00E97935">
      <w:pPr>
        <w:numPr>
          <w:ilvl w:val="0"/>
          <w:numId w:val="32"/>
        </w:numPr>
        <w:ind w:left="357" w:hanging="357"/>
      </w:pPr>
      <w:r>
        <w:t>M</w:t>
      </w:r>
      <w:r w:rsidRPr="00F10FFC">
        <w:t>arket prices of competitive products.</w:t>
      </w:r>
    </w:p>
    <w:p w:rsidR="001515E6" w:rsidRPr="00F10FFC" w:rsidRDefault="001515E6" w:rsidP="001515E6">
      <w:r w:rsidRPr="00F10FFC">
        <w:t>HFC-410A started with a price of around $100 per kg when first released in the early to mid-2000s and declined to around $20 per kg within five years. HFC-134a and HFC-404A followed similar</w:t>
      </w:r>
      <w:r>
        <w:t xml:space="preserve"> patterns in the 1990s. </w:t>
      </w:r>
    </w:p>
    <w:p w:rsidR="001515E6" w:rsidRDefault="001515E6" w:rsidP="001515E6">
      <w:r w:rsidRPr="00F10FFC">
        <w:t xml:space="preserve">The new HFO refrigerants are flagged to start at around $100 per kg at wholesale level and are expected to follow a similar market based pricing pattern to other refrigerants. New equipment containing HFOs will be very similar to existing equipment and thus have existing economies of scale and similar costs. </w:t>
      </w:r>
    </w:p>
    <w:p w:rsidR="001515E6" w:rsidRPr="000B10BB" w:rsidRDefault="001515E6" w:rsidP="001515E6">
      <w:r>
        <w:t>While t</w:t>
      </w:r>
      <w:r w:rsidRPr="000B10BB">
        <w:t>he cost of natural refrigerants is generally lower than the cost of HFC refrigerants</w:t>
      </w:r>
      <w:r>
        <w:t>,</w:t>
      </w:r>
      <w:r w:rsidRPr="000B10BB">
        <w:t xml:space="preserve"> the cost of equipment </w:t>
      </w:r>
      <w:r>
        <w:t xml:space="preserve">that can operate using </w:t>
      </w:r>
      <w:r w:rsidRPr="000B10BB">
        <w:t>natural refrigerants</w:t>
      </w:r>
      <w:r>
        <w:t xml:space="preserve"> is generally somewhat, higher</w:t>
      </w:r>
      <w:r w:rsidRPr="000B10BB">
        <w:t xml:space="preserve"> and </w:t>
      </w:r>
      <w:r>
        <w:t xml:space="preserve">the cost of </w:t>
      </w:r>
      <w:r w:rsidRPr="000B10BB">
        <w:t>maint</w:t>
      </w:r>
      <w:r>
        <w:t>aining</w:t>
      </w:r>
      <w:r w:rsidRPr="000B10BB">
        <w:t xml:space="preserve"> </w:t>
      </w:r>
      <w:r>
        <w:t>this equipment is</w:t>
      </w:r>
      <w:r w:rsidRPr="000B10BB">
        <w:t xml:space="preserve"> generally higher.</w:t>
      </w:r>
      <w:r>
        <w:t xml:space="preserve"> These economic obstacles are to some extent the effect of scale, and it is expected that as deployment of natural refrigerant systems increases some of these costs will come down.</w:t>
      </w:r>
    </w:p>
    <w:p w:rsidR="001515E6" w:rsidRPr="000B10BB" w:rsidRDefault="001515E6" w:rsidP="001515E6">
      <w:r w:rsidRPr="000B10BB">
        <w:t xml:space="preserve">For example, </w:t>
      </w:r>
      <w:r>
        <w:t xml:space="preserve">at present </w:t>
      </w:r>
      <w:r w:rsidRPr="000B10BB">
        <w:t xml:space="preserve">the average contractor pays around $30 </w:t>
      </w:r>
      <w:r>
        <w:t>(</w:t>
      </w:r>
      <w:r w:rsidRPr="000B10BB">
        <w:rPr>
          <w:rFonts w:ascii="Cambria" w:hAnsi="Cambria"/>
        </w:rPr>
        <w:t>±</w:t>
      </w:r>
      <w:r w:rsidRPr="000B10BB">
        <w:t xml:space="preserve"> $3</w:t>
      </w:r>
      <w:r>
        <w:t>)</w:t>
      </w:r>
      <w:r w:rsidRPr="000B10BB">
        <w:t xml:space="preserve"> per kilogram for hydrocarbon refrigerants, which equates to around half the cost of HFC-134a </w:t>
      </w:r>
      <w:r w:rsidR="003E6CEC">
        <w:t xml:space="preserve">(~$50 to $60 per kilogram including the </w:t>
      </w:r>
      <w:r w:rsidR="007D4ED6">
        <w:t>ECP</w:t>
      </w:r>
      <w:r w:rsidR="003E6CEC">
        <w:t>)</w:t>
      </w:r>
      <w:r w:rsidR="003E6CEC" w:rsidRPr="000B10BB">
        <w:t xml:space="preserve"> </w:t>
      </w:r>
      <w:r w:rsidRPr="000B10BB">
        <w:t>to perform the same task</w:t>
      </w:r>
      <w:r>
        <w:t xml:space="preserve">. </w:t>
      </w:r>
      <w:r w:rsidR="003E6CEC">
        <w:t>This is only partially attributable to the hydrocarbon refrigerant being cheaper than HFCs and bears no ECP</w:t>
      </w:r>
      <w:r>
        <w:t>. The fact is that</w:t>
      </w:r>
      <w:r w:rsidRPr="000B10BB">
        <w:t xml:space="preserve"> the </w:t>
      </w:r>
      <w:r>
        <w:t xml:space="preserve">hydrocarbon charged </w:t>
      </w:r>
      <w:r w:rsidRPr="000B10BB">
        <w:t xml:space="preserve">equipment </w:t>
      </w:r>
      <w:r>
        <w:t xml:space="preserve">simply </w:t>
      </w:r>
      <w:r w:rsidRPr="000B10BB">
        <w:t>requires less charge</w:t>
      </w:r>
      <w:r>
        <w:t xml:space="preserve"> </w:t>
      </w:r>
      <w:r w:rsidRPr="000B10BB">
        <w:t>(i.e. based on an equal molar basis, 10</w:t>
      </w:r>
      <w:r>
        <w:t>0</w:t>
      </w:r>
      <w:r w:rsidR="003E6CEC">
        <w:t xml:space="preserve"> </w:t>
      </w:r>
      <w:r w:rsidR="00436D19">
        <w:t>grams</w:t>
      </w:r>
      <w:r w:rsidR="003E6CEC">
        <w:t xml:space="preserve"> </w:t>
      </w:r>
      <w:r w:rsidRPr="000B10BB">
        <w:t xml:space="preserve">of HFC-134a is </w:t>
      </w:r>
      <w:r>
        <w:t>required to do the same work as approximately</w:t>
      </w:r>
      <w:r w:rsidRPr="000B10BB">
        <w:t xml:space="preserve"> 57</w:t>
      </w:r>
      <w:r w:rsidR="00436D19">
        <w:t xml:space="preserve"> grams </w:t>
      </w:r>
      <w:r w:rsidRPr="000B10BB">
        <w:t xml:space="preserve">of HC-600a). </w:t>
      </w:r>
    </w:p>
    <w:p w:rsidR="001515E6" w:rsidRDefault="001515E6" w:rsidP="001515E6">
      <w:r>
        <w:t xml:space="preserve">The cost differential between a HFC charged domestic refrigerator and a hydrocarbon charged </w:t>
      </w:r>
      <w:r w:rsidR="00CC15BB">
        <w:t xml:space="preserve">one </w:t>
      </w:r>
      <w:r>
        <w:t xml:space="preserve">has vanished in the last two years as volumes of </w:t>
      </w:r>
      <w:r w:rsidR="00635328">
        <w:t xml:space="preserve">hydrocarbon </w:t>
      </w:r>
      <w:r>
        <w:t xml:space="preserve">charged domestic refrigerators have increased, and now represent the majority of equipment found in retail outlets. </w:t>
      </w:r>
    </w:p>
    <w:p w:rsidR="001515E6" w:rsidRPr="000B10BB" w:rsidRDefault="001515E6" w:rsidP="001515E6">
      <w:r>
        <w:t>S</w:t>
      </w:r>
      <w:r w:rsidRPr="000B10BB">
        <w:t>uppliers of</w:t>
      </w:r>
      <w:r>
        <w:t xml:space="preserve"> commercial</w:t>
      </w:r>
      <w:r w:rsidRPr="000B10BB">
        <w:t xml:space="preserve"> refrigeration display cases</w:t>
      </w:r>
      <w:r>
        <w:t xml:space="preserve"> however</w:t>
      </w:r>
      <w:r w:rsidRPr="000B10BB">
        <w:t xml:space="preserve"> indicate products containing hydrocarbon refrigerants are typically </w:t>
      </w:r>
      <w:r w:rsidR="003E6CEC">
        <w:t>15</w:t>
      </w:r>
      <w:r>
        <w:t xml:space="preserve">% </w:t>
      </w:r>
      <w:r w:rsidRPr="000B10BB">
        <w:t>more expensive</w:t>
      </w:r>
      <w:r>
        <w:t xml:space="preserve"> than the competing HFC charged products</w:t>
      </w:r>
      <w:r w:rsidRPr="000B10BB">
        <w:t>.</w:t>
      </w:r>
    </w:p>
    <w:p w:rsidR="001515E6" w:rsidRPr="000B10BB" w:rsidRDefault="001515E6" w:rsidP="001515E6">
      <w:r w:rsidRPr="000B10BB">
        <w:t xml:space="preserve">In the supermarket </w:t>
      </w:r>
      <w:r>
        <w:t>or process refrigeration sector</w:t>
      </w:r>
      <w:r w:rsidRPr="000B10BB">
        <w:t xml:space="preserve"> a </w:t>
      </w:r>
      <w:r w:rsidRPr="000A4670">
        <w:t xml:space="preserve">hybrid </w:t>
      </w:r>
      <w:r>
        <w:t xml:space="preserve">supermarket </w:t>
      </w:r>
      <w:r w:rsidRPr="000A4670">
        <w:t>refrigeration system comprising a ‘CO</w:t>
      </w:r>
      <w:r w:rsidRPr="000A4670">
        <w:rPr>
          <w:vertAlign w:val="subscript"/>
        </w:rPr>
        <w:t>2</w:t>
      </w:r>
      <w:r w:rsidRPr="000A4670">
        <w:t xml:space="preserve"> only’ direct expansion rack for low temperature, and </w:t>
      </w:r>
      <w:r>
        <w:t>a</w:t>
      </w:r>
      <w:r w:rsidRPr="000A4670">
        <w:t xml:space="preserve"> HFC-134a rack for medium and high temperatures, would cost an additional </w:t>
      </w:r>
      <w:r>
        <w:t>15 to 20% compared to a conventional direct expansion system operating on HFC-404A</w:t>
      </w:r>
      <w:r w:rsidR="003E6CEC">
        <w:t xml:space="preserve"> (with no ECP)</w:t>
      </w:r>
      <w:r w:rsidR="00965981">
        <w:t>, and the gap is significantly less with an ECP</w:t>
      </w:r>
      <w:r w:rsidRPr="000A4670">
        <w:t>. Alternatively, a system with ‘CO</w:t>
      </w:r>
      <w:r w:rsidRPr="000A4670">
        <w:rPr>
          <w:vertAlign w:val="subscript"/>
        </w:rPr>
        <w:t>2</w:t>
      </w:r>
      <w:r w:rsidRPr="000A4670">
        <w:t xml:space="preserve"> only’ direct expansion used for low temperature and a cascade refrigeration system with a reduced charge of HFC-134a as the primary refrigerant and CO</w:t>
      </w:r>
      <w:r w:rsidRPr="000A4670">
        <w:rPr>
          <w:vertAlign w:val="subscript"/>
        </w:rPr>
        <w:t>2</w:t>
      </w:r>
      <w:r w:rsidRPr="000A4670">
        <w:t xml:space="preserve"> as the secondary refrigerant for medium and high temperatures would add </w:t>
      </w:r>
      <w:r>
        <w:t>30 to 35% t</w:t>
      </w:r>
      <w:r w:rsidRPr="000A4670">
        <w:t>o the capital cost. The designs of these advanced refrigeration systems are still evolving and incur higher maintenance costs.</w:t>
      </w:r>
      <w:r w:rsidR="00965981">
        <w:t xml:space="preserve"> However, as the designs and skills mature, the costs to install and maintain advanced refrigeration systems will decline.</w:t>
      </w:r>
    </w:p>
    <w:p w:rsidR="001515E6" w:rsidRDefault="001515E6" w:rsidP="001515E6">
      <w:pPr>
        <w:rPr>
          <w:lang w:val="en-AU"/>
        </w:rPr>
      </w:pPr>
      <w:r>
        <w:rPr>
          <w:lang w:val="en-AU"/>
        </w:rPr>
        <w:t xml:space="preserve">In process refrigeration applications, both ammonia and </w:t>
      </w:r>
      <w:r w:rsidR="00882D53">
        <w:rPr>
          <w:rFonts w:cs="Times New Roman"/>
          <w:szCs w:val="22"/>
        </w:rPr>
        <w:t>CO</w:t>
      </w:r>
      <w:r w:rsidR="00882D53" w:rsidRPr="007E5FA0">
        <w:rPr>
          <w:rFonts w:cs="Times New Roman"/>
          <w:szCs w:val="22"/>
          <w:vertAlign w:val="subscript"/>
        </w:rPr>
        <w:t>2</w:t>
      </w:r>
      <w:r>
        <w:rPr>
          <w:lang w:val="en-AU"/>
        </w:rPr>
        <w:t xml:space="preserve"> systems are t</w:t>
      </w:r>
      <w:r w:rsidRPr="00FF4F63">
        <w:rPr>
          <w:lang w:val="en-AU"/>
        </w:rPr>
        <w:t xml:space="preserve">ypically more complex than conventional commercial refrigeration systems </w:t>
      </w:r>
      <w:r>
        <w:rPr>
          <w:lang w:val="en-AU"/>
        </w:rPr>
        <w:t xml:space="preserve">using HFC refrigerants </w:t>
      </w:r>
      <w:r w:rsidRPr="00FF4F63">
        <w:rPr>
          <w:lang w:val="en-AU"/>
        </w:rPr>
        <w:t>as each solution is fully engineered for individual applications</w:t>
      </w:r>
      <w:r>
        <w:rPr>
          <w:lang w:val="en-AU"/>
        </w:rPr>
        <w:t>. In m</w:t>
      </w:r>
      <w:r w:rsidRPr="00565EEC">
        <w:rPr>
          <w:lang w:val="en-AU"/>
        </w:rPr>
        <w:t xml:space="preserve">any instances, </w:t>
      </w:r>
      <w:r>
        <w:rPr>
          <w:lang w:val="en-AU"/>
        </w:rPr>
        <w:t xml:space="preserve">full life cycle costing is undertaken in the feasibility stage and the efficiency gains and </w:t>
      </w:r>
      <w:r w:rsidRPr="00565EEC">
        <w:rPr>
          <w:lang w:val="en-AU"/>
        </w:rPr>
        <w:t xml:space="preserve">increasing energy prices </w:t>
      </w:r>
      <w:r>
        <w:rPr>
          <w:lang w:val="en-AU"/>
        </w:rPr>
        <w:t xml:space="preserve">are considered. These market factors are </w:t>
      </w:r>
      <w:r w:rsidRPr="00565EEC">
        <w:rPr>
          <w:lang w:val="en-AU"/>
        </w:rPr>
        <w:t>driv</w:t>
      </w:r>
      <w:r>
        <w:rPr>
          <w:lang w:val="en-AU"/>
        </w:rPr>
        <w:t>ing</w:t>
      </w:r>
      <w:r w:rsidRPr="00565EEC">
        <w:rPr>
          <w:lang w:val="en-AU"/>
        </w:rPr>
        <w:t xml:space="preserve"> </w:t>
      </w:r>
      <w:r>
        <w:rPr>
          <w:lang w:val="en-AU"/>
        </w:rPr>
        <w:t xml:space="preserve">many </w:t>
      </w:r>
      <w:r w:rsidRPr="00565EEC">
        <w:rPr>
          <w:lang w:val="en-AU"/>
        </w:rPr>
        <w:t xml:space="preserve">facilities </w:t>
      </w:r>
      <w:r>
        <w:rPr>
          <w:lang w:val="en-AU"/>
        </w:rPr>
        <w:t xml:space="preserve">owners </w:t>
      </w:r>
      <w:r w:rsidRPr="00565EEC">
        <w:rPr>
          <w:lang w:val="en-AU"/>
        </w:rPr>
        <w:t xml:space="preserve">to </w:t>
      </w:r>
      <w:r>
        <w:rPr>
          <w:lang w:val="en-AU"/>
        </w:rPr>
        <w:t>commission or develop</w:t>
      </w:r>
      <w:r w:rsidRPr="00565EEC">
        <w:rPr>
          <w:lang w:val="en-AU"/>
        </w:rPr>
        <w:t xml:space="preserve"> their own </w:t>
      </w:r>
      <w:r>
        <w:rPr>
          <w:lang w:val="en-AU"/>
        </w:rPr>
        <w:t xml:space="preserve">customised </w:t>
      </w:r>
      <w:r w:rsidRPr="00565EEC">
        <w:rPr>
          <w:lang w:val="en-AU"/>
        </w:rPr>
        <w:t>solutions</w:t>
      </w:r>
      <w:r>
        <w:rPr>
          <w:lang w:val="en-AU"/>
        </w:rPr>
        <w:t>, and driving market share growth for natural refrigerants, despite the generally higher up-front capital investment required.</w:t>
      </w:r>
    </w:p>
    <w:p w:rsidR="001515E6" w:rsidRDefault="001515E6" w:rsidP="001515E6">
      <w:pPr>
        <w:rPr>
          <w:lang w:val="en-AU"/>
        </w:rPr>
      </w:pPr>
      <w:r>
        <w:rPr>
          <w:lang w:val="en-AU"/>
        </w:rPr>
        <w:t>On top of higher costs of new refrigerants for a period, and higher capital costs of equipment that employs natural refrigerants, there are direct costs incurred along the supply chain that flow from management of bulk quantities new classes of mildly flammable refrigerants, and indeed from management of simply more refrigerants as the diversification of the working bank accelerates.</w:t>
      </w:r>
    </w:p>
    <w:p w:rsidR="001515E6" w:rsidRDefault="001515E6" w:rsidP="001515E6">
      <w:pPr>
        <w:rPr>
          <w:lang w:val="en-AU"/>
        </w:rPr>
      </w:pPr>
      <w:r>
        <w:rPr>
          <w:lang w:val="en-AU"/>
        </w:rPr>
        <w:t>These costs include obvious costs associated with handling, storage and transport of the A2L class refrigerants, a process that has recently begun to require process changes and investment to service demand for HFC-32. Additional costs are also involved in the expansion of the cylinder fleet, introduction of new administration, communication and marketing materials, and training of staff in the supply chain.</w:t>
      </w:r>
    </w:p>
    <w:p w:rsidR="001515E6" w:rsidRDefault="00A72F36" w:rsidP="001515E6">
      <w:pPr>
        <w:rPr>
          <w:lang w:val="en-AU"/>
        </w:rPr>
      </w:pPr>
      <w:r>
        <w:rPr>
          <w:lang w:val="en-AU"/>
        </w:rPr>
        <w:t xml:space="preserve">There </w:t>
      </w:r>
      <w:r w:rsidR="001515E6">
        <w:rPr>
          <w:lang w:val="en-AU"/>
        </w:rPr>
        <w:t xml:space="preserve">are many other smaller and possibly larger costs </w:t>
      </w:r>
      <w:r>
        <w:rPr>
          <w:lang w:val="en-AU"/>
        </w:rPr>
        <w:t xml:space="preserve">which </w:t>
      </w:r>
      <w:r w:rsidR="001515E6">
        <w:rPr>
          <w:lang w:val="en-AU"/>
        </w:rPr>
        <w:t>require significant research and analysis to properly estimate the impacts that industry and the community may expect in the course of a HFC phase down. Further, and most importantly, any expected costs that can be quantified should be assessed against the significant potential benefits and savings that some expected outcomes of a HFC phase down should deliver.</w:t>
      </w:r>
    </w:p>
    <w:p w:rsidR="00CF358B" w:rsidRPr="00661AC3" w:rsidRDefault="00CF358B" w:rsidP="00CF358B">
      <w:pPr>
        <w:pStyle w:val="Default"/>
        <w:rPr>
          <w:rFonts w:ascii="Times New Roman" w:hAnsi="Times New Roman" w:cs="Times New Roman"/>
          <w:color w:val="auto"/>
          <w:sz w:val="22"/>
        </w:rPr>
      </w:pPr>
    </w:p>
    <w:p w:rsidR="00CF358B" w:rsidRDefault="00CF358B" w:rsidP="00CF358B"/>
    <w:p w:rsidR="00915F68" w:rsidRDefault="00915F68" w:rsidP="00CF358B"/>
    <w:p w:rsidR="00915F68" w:rsidRDefault="00915F68" w:rsidP="00CF358B"/>
    <w:p w:rsidR="00915F68" w:rsidRDefault="00915F68" w:rsidP="00CF358B"/>
    <w:p w:rsidR="004A5B08" w:rsidRDefault="004A5B08" w:rsidP="00C73C6A"/>
    <w:p w:rsidR="001515E6" w:rsidRDefault="001515E6">
      <w:pPr>
        <w:spacing w:before="0"/>
        <w:jc w:val="left"/>
        <w:rPr>
          <w:rFonts w:ascii="Calibri" w:eastAsia="Times New Roman" w:hAnsi="Calibri" w:cs="Times New Roman"/>
          <w:b/>
          <w:bCs/>
          <w:kern w:val="32"/>
          <w:sz w:val="32"/>
          <w:szCs w:val="32"/>
          <w:lang w:val="en-US"/>
        </w:rPr>
      </w:pPr>
      <w:r>
        <w:br w:type="page"/>
      </w:r>
    </w:p>
    <w:p w:rsidR="004A5B08" w:rsidRPr="004A5B08" w:rsidRDefault="004A5B08" w:rsidP="004A5B08">
      <w:pPr>
        <w:pStyle w:val="Heading1"/>
        <w:ind w:left="432"/>
      </w:pPr>
      <w:bookmarkStart w:id="84" w:name="_Toc257359968"/>
      <w:r w:rsidRPr="004A5B08">
        <w:t>Conclusions</w:t>
      </w:r>
      <w:bookmarkEnd w:id="84"/>
    </w:p>
    <w:p w:rsidR="00E6586E" w:rsidRDefault="00E6586E" w:rsidP="00E6586E">
      <w:pPr>
        <w:rPr>
          <w:szCs w:val="22"/>
        </w:rPr>
      </w:pPr>
      <w:r>
        <w:rPr>
          <w:szCs w:val="22"/>
        </w:rPr>
        <w:t>There are very few industries in the world that have the opportunity to plan global and co-ordinated adoption of a new generation of technology. And of the few that could, the opportunities to do so are rare. For various reasons, the refrigeration and air conditioning (RAC) industry, is one such industry, where the supply lines are effectively so concentrated, and require such large capital investments to deliver, that the stakeholders are capable of co-ordinating generational change in the core technology – the refrigerant gases.</w:t>
      </w:r>
    </w:p>
    <w:p w:rsidR="00E6586E" w:rsidRDefault="00E6586E" w:rsidP="00E6586E">
      <w:pPr>
        <w:rPr>
          <w:szCs w:val="22"/>
        </w:rPr>
      </w:pPr>
      <w:r>
        <w:rPr>
          <w:szCs w:val="22"/>
        </w:rPr>
        <w:t>These substances are the thermal media that play a central role in the global economy, particularly in the essential role of preserving food along the cold food chain, but also in innumerable health, science, industrial, manufacturing and buil</w:t>
      </w:r>
      <w:r w:rsidR="00536297">
        <w:rPr>
          <w:szCs w:val="22"/>
        </w:rPr>
        <w:t>ding</w:t>
      </w:r>
      <w:r>
        <w:rPr>
          <w:szCs w:val="22"/>
        </w:rPr>
        <w:t xml:space="preserve"> environment applications. The scale of the global industry, and its central role in our modern way of life, also mean that a great deal of refrigerant gases are required, and a great deal of energy is consumed in delivering the energy services that refrigerating technology provides.</w:t>
      </w:r>
    </w:p>
    <w:p w:rsidR="00E6586E" w:rsidRDefault="00E6586E" w:rsidP="00E6586E">
      <w:pPr>
        <w:rPr>
          <w:szCs w:val="22"/>
        </w:rPr>
      </w:pPr>
      <w:r>
        <w:rPr>
          <w:szCs w:val="22"/>
        </w:rPr>
        <w:t>Decisions on the nature and performance of refrigerant gases can have profound impacts in the long term on the global economy, and as has been previously proven, on the global environment. In recent decades for instance the world has witnessed both a serious threat to global health, the impact of CFCs on the ozone layer, minimised and indeed reversed by global action, and a resulting co-benefit in avoided greenhouse climate forcing.</w:t>
      </w:r>
    </w:p>
    <w:p w:rsidR="00E6586E" w:rsidRDefault="00E6586E" w:rsidP="00E6586E">
      <w:pPr>
        <w:rPr>
          <w:szCs w:val="22"/>
        </w:rPr>
      </w:pPr>
      <w:r>
        <w:rPr>
          <w:szCs w:val="22"/>
        </w:rPr>
        <w:t>For these reasons</w:t>
      </w:r>
      <w:r w:rsidR="00536297">
        <w:rPr>
          <w:szCs w:val="22"/>
        </w:rPr>
        <w:t>,</w:t>
      </w:r>
      <w:r>
        <w:rPr>
          <w:szCs w:val="22"/>
        </w:rPr>
        <w:t xml:space="preserve"> participating in and possibly influencing a generational change in this technology is both a significant responsibility and an important opportunity.</w:t>
      </w:r>
    </w:p>
    <w:p w:rsidR="00B05E2E" w:rsidRPr="00A71048" w:rsidRDefault="00B05E2E" w:rsidP="00B05E2E">
      <w:r w:rsidRPr="00A71048">
        <w:t>Australia is in a strong position to meet HFC consumption limits if an eventual international phase</w:t>
      </w:r>
      <w:r w:rsidR="00BC7FF8">
        <w:t xml:space="preserve"> down</w:t>
      </w:r>
      <w:r w:rsidRPr="00A71048">
        <w:t xml:space="preserve"> w</w:t>
      </w:r>
      <w:r w:rsidR="00536297">
        <w:t>as</w:t>
      </w:r>
      <w:r w:rsidRPr="00A71048">
        <w:t xml:space="preserve"> based on something similar to the NAA proposal.</w:t>
      </w:r>
    </w:p>
    <w:p w:rsidR="00B05E2E" w:rsidRPr="00A71048" w:rsidRDefault="00B05E2E" w:rsidP="00B05E2E">
      <w:r w:rsidRPr="00A71048">
        <w:t>There is reasonab</w:t>
      </w:r>
      <w:r w:rsidR="00915F68" w:rsidRPr="00915F68">
        <w:t xml:space="preserve">le confidence that </w:t>
      </w:r>
      <w:r w:rsidRPr="00A71048">
        <w:t xml:space="preserve">lower </w:t>
      </w:r>
      <w:r w:rsidR="00915F68">
        <w:t xml:space="preserve">or zero </w:t>
      </w:r>
      <w:r w:rsidRPr="00A71048">
        <w:t>GWP working gas options and technologies are either viable now, or will be viable and commercially available on the</w:t>
      </w:r>
      <w:r w:rsidR="00915F68" w:rsidRPr="00915F68">
        <w:t xml:space="preserve"> near horizon – 2 to 3 years - </w:t>
      </w:r>
      <w:r w:rsidRPr="00A71048">
        <w:t>for the majority of applications.</w:t>
      </w:r>
    </w:p>
    <w:p w:rsidR="00B05E2E" w:rsidRPr="00A71048" w:rsidRDefault="00B05E2E" w:rsidP="00B05E2E">
      <w:r w:rsidRPr="00A71048">
        <w:t>A small number of very demanding applications – for instance the fishing fleet – do not have a clear, economically and technically viable path to a low GWP option at this time, however those applications are in the minority.</w:t>
      </w:r>
    </w:p>
    <w:p w:rsidR="00915F68" w:rsidRDefault="005D7BD8" w:rsidP="00B05E2E">
      <w:r>
        <w:t>T</w:t>
      </w:r>
      <w:r w:rsidR="00915F68">
        <w:t>he industry is rapidly approaching a fourth wave of evolution in the core technical elements of RAC equipment, that is the refrigerant gas employed as the thermal medium, and dozens of incremental but significant improvements in component design including to compre</w:t>
      </w:r>
      <w:r w:rsidR="00270B15">
        <w:t>ssors, heat exchangers, condense</w:t>
      </w:r>
      <w:r w:rsidR="00915F68">
        <w:t>rs and materials employed. As a result a new wave of design options are opening up for equipment designers, and further diversification of product lines and of refrigerants can be expected.</w:t>
      </w:r>
    </w:p>
    <w:p w:rsidR="00915F68" w:rsidRDefault="00915F68" w:rsidP="00B05E2E">
      <w:r>
        <w:t>This raises</w:t>
      </w:r>
      <w:r w:rsidR="00B05E2E" w:rsidRPr="00A71048">
        <w:t xml:space="preserve"> a number of potential supply line, trade practice and work skills obstacles that need to be addressed to prepare for </w:t>
      </w:r>
      <w:r>
        <w:t xml:space="preserve">the </w:t>
      </w:r>
      <w:r w:rsidR="00B05E2E" w:rsidRPr="00A71048">
        <w:t xml:space="preserve">inevitable diversification of the working bank to include a higher proportion of flammable and mildly </w:t>
      </w:r>
      <w:r w:rsidRPr="00915F68">
        <w:t>flammable refrigerants</w:t>
      </w:r>
      <w:r w:rsidR="004A4C6F">
        <w:t>.</w:t>
      </w:r>
    </w:p>
    <w:p w:rsidR="00B20015" w:rsidRDefault="00B20015" w:rsidP="00B20015">
      <w:pPr>
        <w:rPr>
          <w:szCs w:val="22"/>
        </w:rPr>
      </w:pPr>
      <w:r>
        <w:rPr>
          <w:szCs w:val="22"/>
        </w:rPr>
        <w:t>General support of the industry’s own comprehensive program supporting transition to a low emissions future, PRIME, championed by AIRAH, would directly address many of the main obstacles and identified risks of a transition to fourth generation refrigerating and air conditioning technology.</w:t>
      </w:r>
    </w:p>
    <w:p w:rsidR="00B20015" w:rsidRDefault="00B20015" w:rsidP="00B20015">
      <w:pPr>
        <w:rPr>
          <w:szCs w:val="22"/>
        </w:rPr>
      </w:pPr>
      <w:r>
        <w:rPr>
          <w:szCs w:val="22"/>
        </w:rPr>
        <w:t>Significant churn of equipment and appliances before their optimal end-of-life could flow from a rapid transition, with subsequent increases in direct emissions of older generations of refrigerants from retiring equipment. Enhanced controls on end of life emissions from retiring equipment could significantly alleviate that potential environmental impact.</w:t>
      </w:r>
    </w:p>
    <w:p w:rsidR="00B20015" w:rsidRDefault="00B20015" w:rsidP="00B20015">
      <w:pPr>
        <w:rPr>
          <w:szCs w:val="22"/>
        </w:rPr>
      </w:pPr>
      <w:r>
        <w:rPr>
          <w:szCs w:val="22"/>
        </w:rPr>
        <w:t>Finally, given the estimate that the industry makes up something between 1.5% and 1.8% of GDP directly, with significant value adding to many other sectors, and the technology involved consumes as much as 22% of all sent out electricity in the country, a detailed assessment of the potential costs and benefits of a HFC phase down, and the potential for magnifying cost savings with appropriate policy settings, is recommended.</w:t>
      </w:r>
    </w:p>
    <w:p w:rsidR="00B05E2E" w:rsidRPr="00A71048" w:rsidRDefault="00915F68" w:rsidP="00B05E2E">
      <w:r>
        <w:t>N</w:t>
      </w:r>
      <w:r w:rsidR="00B05E2E" w:rsidRPr="00A71048">
        <w:t xml:space="preserve">one of the obstacles </w:t>
      </w:r>
      <w:r>
        <w:t>to transition to a low</w:t>
      </w:r>
      <w:r w:rsidR="004A4C6F">
        <w:t>er</w:t>
      </w:r>
      <w:r>
        <w:t xml:space="preserve"> and zero GWP refrigerants </w:t>
      </w:r>
      <w:r w:rsidR="00B05E2E" w:rsidRPr="00A71048">
        <w:t>are deemed to be insurmountable</w:t>
      </w:r>
      <w:r>
        <w:t>. Government has a range of options to consider in regard to the role it could play in</w:t>
      </w:r>
      <w:r w:rsidR="00A71048">
        <w:t xml:space="preserve"> preparing for this next phase of evolution of the central technologies employed in this sector, in supporting industry </w:t>
      </w:r>
      <w:r w:rsidR="002211B4">
        <w:t>adoption of new technology, and</w:t>
      </w:r>
      <w:r>
        <w:t xml:space="preserve"> </w:t>
      </w:r>
      <w:r w:rsidR="00A71048">
        <w:t xml:space="preserve">in </w:t>
      </w:r>
      <w:r>
        <w:t>facilitating a smooth and least cost</w:t>
      </w:r>
      <w:r w:rsidR="007646C1">
        <w:t>ly</w:t>
      </w:r>
      <w:r>
        <w:t xml:space="preserve"> transition. </w:t>
      </w:r>
    </w:p>
    <w:p w:rsidR="004A5B08" w:rsidRPr="00B05E2E" w:rsidRDefault="004A5B08" w:rsidP="00C73C6A"/>
    <w:p w:rsidR="004A5B08" w:rsidRDefault="004A5B08" w:rsidP="00C73C6A"/>
    <w:p w:rsidR="004A5B08" w:rsidRDefault="004A5B08" w:rsidP="00C73C6A"/>
    <w:p w:rsidR="00E633DA" w:rsidRDefault="00E633DA">
      <w:pPr>
        <w:spacing w:before="0"/>
        <w:jc w:val="left"/>
        <w:rPr>
          <w:rFonts w:ascii="Calibri" w:eastAsia="Times New Roman" w:hAnsi="Calibri" w:cs="Times New Roman"/>
          <w:b/>
          <w:bCs/>
          <w:kern w:val="32"/>
          <w:sz w:val="32"/>
          <w:szCs w:val="32"/>
          <w:lang w:val="en-US"/>
        </w:rPr>
      </w:pPr>
    </w:p>
    <w:p w:rsidR="00053AC7" w:rsidRDefault="00053AC7">
      <w:pPr>
        <w:spacing w:before="0"/>
        <w:jc w:val="left"/>
        <w:rPr>
          <w:rFonts w:asciiTheme="majorHAnsi" w:hAnsiTheme="majorHAnsi"/>
          <w:b/>
          <w:sz w:val="32"/>
          <w:szCs w:val="32"/>
        </w:rPr>
      </w:pPr>
      <w:r>
        <w:rPr>
          <w:rFonts w:asciiTheme="majorHAnsi" w:hAnsiTheme="majorHAnsi"/>
          <w:b/>
          <w:sz w:val="32"/>
          <w:szCs w:val="32"/>
        </w:rPr>
        <w:br w:type="page"/>
      </w:r>
    </w:p>
    <w:p w:rsidR="00CC2CA6" w:rsidRDefault="00CC2CA6" w:rsidP="00CC2CA6">
      <w:pPr>
        <w:rPr>
          <w:rFonts w:asciiTheme="majorHAnsi" w:hAnsiTheme="majorHAnsi"/>
          <w:b/>
          <w:sz w:val="32"/>
          <w:szCs w:val="32"/>
        </w:rPr>
      </w:pPr>
      <w:r>
        <w:rPr>
          <w:rFonts w:asciiTheme="majorHAnsi" w:hAnsiTheme="majorHAnsi"/>
          <w:b/>
          <w:sz w:val="32"/>
          <w:szCs w:val="32"/>
        </w:rPr>
        <w:t>References</w:t>
      </w:r>
    </w:p>
    <w:p w:rsidR="00CC2CA6" w:rsidRDefault="00CC2CA6" w:rsidP="00CC2CA6">
      <w:pPr>
        <w:spacing w:before="0"/>
        <w:jc w:val="left"/>
        <w:rPr>
          <w:szCs w:val="22"/>
        </w:rPr>
      </w:pPr>
    </w:p>
    <w:tbl>
      <w:tblPr>
        <w:tblW w:w="9747" w:type="dxa"/>
        <w:tblLayout w:type="fixed"/>
        <w:tblLook w:val="00A0"/>
      </w:tblPr>
      <w:tblGrid>
        <w:gridCol w:w="1951"/>
        <w:gridCol w:w="7796"/>
      </w:tblGrid>
      <w:tr w:rsidR="009C5D4F" w:rsidRPr="00D37A89" w:rsidTr="00396E29">
        <w:trPr>
          <w:trHeight w:val="342"/>
        </w:trPr>
        <w:tc>
          <w:tcPr>
            <w:tcW w:w="1951" w:type="dxa"/>
          </w:tcPr>
          <w:p w:rsidR="009C5D4F" w:rsidRPr="00D37A89" w:rsidRDefault="009C5D4F" w:rsidP="00396E29">
            <w:pPr>
              <w:pStyle w:val="BodyText"/>
              <w:spacing w:before="60" w:after="60"/>
              <w:jc w:val="left"/>
              <w:rPr>
                <w:rFonts w:ascii="Times New Roman" w:hAnsi="Times New Roman"/>
                <w:sz w:val="20"/>
                <w:szCs w:val="20"/>
              </w:rPr>
            </w:pPr>
            <w:r w:rsidRPr="00D37A89">
              <w:rPr>
                <w:rFonts w:ascii="Times New Roman" w:hAnsi="Times New Roman"/>
                <w:sz w:val="20"/>
                <w:szCs w:val="20"/>
              </w:rPr>
              <w:t>ABS 9309.0 201</w:t>
            </w:r>
            <w:r>
              <w:rPr>
                <w:rFonts w:ascii="Times New Roman" w:hAnsi="Times New Roman"/>
                <w:sz w:val="20"/>
                <w:szCs w:val="20"/>
              </w:rPr>
              <w:t>4</w:t>
            </w:r>
          </w:p>
        </w:tc>
        <w:tc>
          <w:tcPr>
            <w:tcW w:w="7796" w:type="dxa"/>
          </w:tcPr>
          <w:p w:rsidR="009C5D4F" w:rsidRPr="00D37A89" w:rsidRDefault="009C5D4F" w:rsidP="00396E29">
            <w:pPr>
              <w:pStyle w:val="BodyText"/>
              <w:spacing w:before="60" w:after="60"/>
              <w:jc w:val="left"/>
              <w:rPr>
                <w:rFonts w:ascii="Times New Roman" w:hAnsi="Times New Roman"/>
                <w:sz w:val="20"/>
                <w:szCs w:val="20"/>
              </w:rPr>
            </w:pPr>
            <w:r w:rsidRPr="00D37A89">
              <w:rPr>
                <w:rFonts w:ascii="Times New Roman" w:hAnsi="Times New Roman"/>
                <w:sz w:val="20"/>
                <w:szCs w:val="20"/>
              </w:rPr>
              <w:t>Australian Bureau of Statistics, catalogue 9309.0, Motor Vehicle Census, 201</w:t>
            </w:r>
            <w:r>
              <w:rPr>
                <w:rFonts w:ascii="Times New Roman" w:hAnsi="Times New Roman"/>
                <w:sz w:val="20"/>
                <w:szCs w:val="20"/>
              </w:rPr>
              <w:t>3</w:t>
            </w:r>
            <w:r w:rsidRPr="00D37A89">
              <w:rPr>
                <w:rFonts w:ascii="Times New Roman" w:hAnsi="Times New Roman"/>
                <w:sz w:val="20"/>
                <w:szCs w:val="20"/>
              </w:rPr>
              <w:t>.</w:t>
            </w:r>
          </w:p>
        </w:tc>
      </w:tr>
      <w:tr w:rsidR="009C5D4F" w:rsidRPr="00D37A89" w:rsidTr="00396E29">
        <w:trPr>
          <w:trHeight w:val="342"/>
        </w:trPr>
        <w:tc>
          <w:tcPr>
            <w:tcW w:w="1951" w:type="dxa"/>
          </w:tcPr>
          <w:p w:rsidR="009C5D4F" w:rsidRPr="00D37A89" w:rsidRDefault="009C5D4F" w:rsidP="00396E29">
            <w:pPr>
              <w:pStyle w:val="BodyText"/>
              <w:spacing w:before="60" w:after="60"/>
              <w:jc w:val="left"/>
              <w:rPr>
                <w:rFonts w:ascii="Times New Roman" w:hAnsi="Times New Roman"/>
                <w:sz w:val="20"/>
                <w:szCs w:val="20"/>
              </w:rPr>
            </w:pPr>
            <w:r w:rsidRPr="00D37A89">
              <w:rPr>
                <w:rFonts w:ascii="Times New Roman" w:hAnsi="Times New Roman"/>
                <w:sz w:val="20"/>
                <w:szCs w:val="20"/>
              </w:rPr>
              <w:t>ABS 9314.0 201</w:t>
            </w:r>
            <w:r>
              <w:rPr>
                <w:rFonts w:ascii="Times New Roman" w:hAnsi="Times New Roman"/>
                <w:sz w:val="20"/>
                <w:szCs w:val="20"/>
              </w:rPr>
              <w:t>4</w:t>
            </w:r>
          </w:p>
        </w:tc>
        <w:tc>
          <w:tcPr>
            <w:tcW w:w="7796" w:type="dxa"/>
          </w:tcPr>
          <w:p w:rsidR="009C5D4F" w:rsidRPr="00D37A89" w:rsidRDefault="009C5D4F" w:rsidP="00396E29">
            <w:pPr>
              <w:pStyle w:val="BodyText"/>
              <w:spacing w:before="60" w:after="60"/>
              <w:jc w:val="left"/>
              <w:rPr>
                <w:rFonts w:ascii="Times New Roman" w:hAnsi="Times New Roman"/>
                <w:sz w:val="20"/>
                <w:szCs w:val="20"/>
              </w:rPr>
            </w:pPr>
            <w:r w:rsidRPr="00D37A89">
              <w:rPr>
                <w:rFonts w:ascii="Times New Roman" w:hAnsi="Times New Roman"/>
                <w:sz w:val="20"/>
                <w:szCs w:val="20"/>
              </w:rPr>
              <w:t>Australian Bureau of Statistics, catalogue 9314.0, Sales of New Motor Vehicles, Australia, December 201</w:t>
            </w:r>
            <w:r>
              <w:rPr>
                <w:rFonts w:ascii="Times New Roman" w:hAnsi="Times New Roman"/>
                <w:sz w:val="20"/>
                <w:szCs w:val="20"/>
              </w:rPr>
              <w:t>3</w:t>
            </w:r>
            <w:r w:rsidRPr="00D37A89">
              <w:rPr>
                <w:rFonts w:ascii="Times New Roman" w:hAnsi="Times New Roman"/>
                <w:sz w:val="20"/>
                <w:szCs w:val="20"/>
              </w:rPr>
              <w:t>.</w:t>
            </w:r>
          </w:p>
        </w:tc>
      </w:tr>
      <w:tr w:rsidR="009C5D4F" w:rsidRPr="00D37A89" w:rsidTr="00396E29">
        <w:trPr>
          <w:trHeight w:val="342"/>
        </w:trPr>
        <w:tc>
          <w:tcPr>
            <w:tcW w:w="1951" w:type="dxa"/>
          </w:tcPr>
          <w:p w:rsidR="009C5D4F" w:rsidRPr="00D37A89" w:rsidRDefault="009C5D4F" w:rsidP="00396E29">
            <w:pPr>
              <w:pStyle w:val="BodyText"/>
              <w:spacing w:before="60" w:after="60"/>
              <w:jc w:val="left"/>
              <w:rPr>
                <w:rFonts w:ascii="Times New Roman" w:hAnsi="Times New Roman"/>
                <w:sz w:val="20"/>
                <w:szCs w:val="20"/>
              </w:rPr>
            </w:pPr>
            <w:r w:rsidRPr="00D37A89">
              <w:rPr>
                <w:rFonts w:ascii="Times New Roman" w:hAnsi="Times New Roman"/>
                <w:sz w:val="20"/>
                <w:szCs w:val="20"/>
              </w:rPr>
              <w:t>ANSI/ASHRAE 34 2010</w:t>
            </w:r>
          </w:p>
        </w:tc>
        <w:tc>
          <w:tcPr>
            <w:tcW w:w="7796" w:type="dxa"/>
          </w:tcPr>
          <w:p w:rsidR="009C5D4F" w:rsidRPr="00D37A89" w:rsidRDefault="009C5D4F" w:rsidP="00396E29">
            <w:pPr>
              <w:pStyle w:val="BodyText"/>
              <w:spacing w:before="60" w:after="60"/>
              <w:jc w:val="left"/>
              <w:rPr>
                <w:rFonts w:ascii="Times New Roman" w:hAnsi="Times New Roman"/>
                <w:sz w:val="20"/>
                <w:szCs w:val="20"/>
              </w:rPr>
            </w:pPr>
            <w:r w:rsidRPr="00D37A89">
              <w:rPr>
                <w:rFonts w:ascii="Times New Roman" w:hAnsi="Times New Roman"/>
                <w:sz w:val="20"/>
                <w:szCs w:val="20"/>
              </w:rPr>
              <w:t>ANSI/ASHRAE 34, Designation and Safety Classification of Refrigerant, which is published on the ASHRAE website.</w:t>
            </w:r>
          </w:p>
        </w:tc>
      </w:tr>
      <w:tr w:rsidR="009C5D4F" w:rsidRPr="00D37A89" w:rsidTr="00396E29">
        <w:trPr>
          <w:trHeight w:val="342"/>
        </w:trPr>
        <w:tc>
          <w:tcPr>
            <w:tcW w:w="1951" w:type="dxa"/>
          </w:tcPr>
          <w:p w:rsidR="009C5D4F" w:rsidRDefault="009C5D4F" w:rsidP="00396E29">
            <w:pPr>
              <w:pStyle w:val="BodyText"/>
              <w:spacing w:before="60" w:after="60"/>
              <w:jc w:val="left"/>
              <w:rPr>
                <w:rFonts w:ascii="Times New Roman" w:hAnsi="Times New Roman"/>
                <w:sz w:val="20"/>
                <w:szCs w:val="20"/>
              </w:rPr>
            </w:pPr>
            <w:r>
              <w:rPr>
                <w:rFonts w:ascii="Times New Roman" w:hAnsi="Times New Roman"/>
                <w:sz w:val="20"/>
                <w:szCs w:val="20"/>
              </w:rPr>
              <w:t>AHRI 2014</w:t>
            </w:r>
          </w:p>
        </w:tc>
        <w:tc>
          <w:tcPr>
            <w:tcW w:w="7796" w:type="dxa"/>
          </w:tcPr>
          <w:p w:rsidR="009C5D4F" w:rsidRDefault="009C5D4F" w:rsidP="00396E29">
            <w:pPr>
              <w:pStyle w:val="BodyText"/>
              <w:spacing w:before="60" w:after="60"/>
              <w:jc w:val="left"/>
              <w:rPr>
                <w:rFonts w:ascii="Times New Roman" w:hAnsi="Times New Roman"/>
                <w:sz w:val="20"/>
                <w:szCs w:val="20"/>
              </w:rPr>
            </w:pPr>
            <w:r w:rsidRPr="00502CE8">
              <w:rPr>
                <w:sz w:val="20"/>
                <w:szCs w:val="20"/>
              </w:rPr>
              <w:t>AHRI Low-GWP Alternative Refrigerants Evaluation Program, 201</w:t>
            </w:r>
            <w:r>
              <w:rPr>
                <w:sz w:val="20"/>
                <w:szCs w:val="20"/>
              </w:rPr>
              <w:t>4</w:t>
            </w:r>
          </w:p>
        </w:tc>
      </w:tr>
      <w:tr w:rsidR="009C5D4F" w:rsidRPr="00D37A89" w:rsidTr="00396E29">
        <w:trPr>
          <w:trHeight w:val="342"/>
        </w:trPr>
        <w:tc>
          <w:tcPr>
            <w:tcW w:w="1951" w:type="dxa"/>
          </w:tcPr>
          <w:p w:rsidR="009C5D4F" w:rsidRPr="00D37A89" w:rsidRDefault="009C5D4F" w:rsidP="007646C1">
            <w:pPr>
              <w:pStyle w:val="BodyText"/>
              <w:spacing w:before="60" w:after="60"/>
              <w:jc w:val="left"/>
              <w:rPr>
                <w:rFonts w:ascii="Times New Roman" w:hAnsi="Times New Roman"/>
                <w:sz w:val="20"/>
                <w:szCs w:val="20"/>
              </w:rPr>
            </w:pPr>
            <w:r>
              <w:rPr>
                <w:rFonts w:ascii="Times New Roman" w:hAnsi="Times New Roman"/>
                <w:sz w:val="20"/>
                <w:szCs w:val="20"/>
              </w:rPr>
              <w:t>DoE 2014</w:t>
            </w:r>
          </w:p>
        </w:tc>
        <w:tc>
          <w:tcPr>
            <w:tcW w:w="7796" w:type="dxa"/>
          </w:tcPr>
          <w:p w:rsidR="009C5D4F" w:rsidRPr="00D37A89" w:rsidRDefault="009C5D4F" w:rsidP="00396E29">
            <w:pPr>
              <w:pStyle w:val="BodyText"/>
              <w:spacing w:before="60" w:after="60"/>
              <w:jc w:val="left"/>
              <w:rPr>
                <w:rFonts w:ascii="Times New Roman" w:hAnsi="Times New Roman"/>
                <w:sz w:val="20"/>
                <w:szCs w:val="20"/>
              </w:rPr>
            </w:pPr>
            <w:r>
              <w:rPr>
                <w:rFonts w:ascii="Times New Roman" w:hAnsi="Times New Roman"/>
                <w:sz w:val="20"/>
                <w:szCs w:val="20"/>
              </w:rPr>
              <w:t xml:space="preserve">Data (i.e. bulk and pre-charged equipment import statistics by quantity, mass, species, license holder, product category from 2006 to 2013) provided by the </w:t>
            </w:r>
            <w:r w:rsidRPr="008059DB">
              <w:rPr>
                <w:rFonts w:ascii="Times New Roman" w:hAnsi="Times New Roman"/>
                <w:sz w:val="20"/>
                <w:szCs w:val="20"/>
              </w:rPr>
              <w:t xml:space="preserve">Department of </w:t>
            </w:r>
            <w:r>
              <w:rPr>
                <w:rFonts w:ascii="Times New Roman" w:hAnsi="Times New Roman"/>
                <w:sz w:val="20"/>
                <w:szCs w:val="20"/>
              </w:rPr>
              <w:t>the Environment,</w:t>
            </w:r>
            <w:r w:rsidRPr="008059DB">
              <w:rPr>
                <w:rFonts w:ascii="Times New Roman" w:hAnsi="Times New Roman"/>
                <w:sz w:val="20"/>
                <w:szCs w:val="20"/>
              </w:rPr>
              <w:t xml:space="preserve"> Ozone and Synthetic Gas Team, </w:t>
            </w:r>
            <w:r>
              <w:rPr>
                <w:rFonts w:ascii="Times New Roman" w:hAnsi="Times New Roman"/>
                <w:sz w:val="20"/>
                <w:szCs w:val="20"/>
              </w:rPr>
              <w:t xml:space="preserve">February </w:t>
            </w:r>
            <w:r w:rsidRPr="008059DB">
              <w:rPr>
                <w:rFonts w:ascii="Times New Roman" w:hAnsi="Times New Roman"/>
                <w:sz w:val="20"/>
                <w:szCs w:val="20"/>
              </w:rPr>
              <w:t>201</w:t>
            </w:r>
            <w:r>
              <w:rPr>
                <w:rFonts w:ascii="Times New Roman" w:hAnsi="Times New Roman"/>
                <w:sz w:val="20"/>
                <w:szCs w:val="20"/>
              </w:rPr>
              <w:t>4</w:t>
            </w:r>
            <w:r w:rsidRPr="008059DB">
              <w:rPr>
                <w:rFonts w:ascii="Times New Roman" w:hAnsi="Times New Roman"/>
                <w:sz w:val="20"/>
                <w:szCs w:val="20"/>
              </w:rPr>
              <w:t>.</w:t>
            </w:r>
          </w:p>
        </w:tc>
      </w:tr>
      <w:tr w:rsidR="009C5D4F" w:rsidRPr="00D37A89" w:rsidTr="00396E29">
        <w:trPr>
          <w:trHeight w:val="342"/>
        </w:trPr>
        <w:tc>
          <w:tcPr>
            <w:tcW w:w="1951" w:type="dxa"/>
          </w:tcPr>
          <w:p w:rsidR="009C5D4F" w:rsidRPr="00D37A89" w:rsidRDefault="009C5D4F" w:rsidP="00396E29">
            <w:pPr>
              <w:pStyle w:val="BodyText"/>
              <w:spacing w:before="60" w:after="60"/>
              <w:jc w:val="left"/>
              <w:rPr>
                <w:rFonts w:ascii="Times New Roman" w:hAnsi="Times New Roman"/>
                <w:sz w:val="20"/>
                <w:szCs w:val="20"/>
              </w:rPr>
            </w:pPr>
            <w:r w:rsidRPr="00D37A89">
              <w:rPr>
                <w:rFonts w:ascii="Times New Roman" w:hAnsi="Times New Roman"/>
                <w:sz w:val="20"/>
                <w:szCs w:val="20"/>
              </w:rPr>
              <w:t>DSEWPaC 2013</w:t>
            </w:r>
            <w:r>
              <w:rPr>
                <w:rFonts w:ascii="Times New Roman" w:hAnsi="Times New Roman"/>
                <w:sz w:val="20"/>
                <w:szCs w:val="20"/>
              </w:rPr>
              <w:t>b</w:t>
            </w:r>
          </w:p>
        </w:tc>
        <w:tc>
          <w:tcPr>
            <w:tcW w:w="7796" w:type="dxa"/>
          </w:tcPr>
          <w:p w:rsidR="009C5D4F" w:rsidRPr="00D37A89" w:rsidRDefault="009C5D4F" w:rsidP="00396E29">
            <w:pPr>
              <w:pStyle w:val="BodyText"/>
              <w:spacing w:before="60" w:after="60"/>
              <w:jc w:val="left"/>
              <w:rPr>
                <w:rFonts w:ascii="Times New Roman" w:hAnsi="Times New Roman"/>
                <w:sz w:val="20"/>
                <w:szCs w:val="20"/>
              </w:rPr>
            </w:pPr>
            <w:r w:rsidRPr="00D37A89">
              <w:rPr>
                <w:rFonts w:ascii="Times New Roman" w:hAnsi="Times New Roman"/>
                <w:sz w:val="20"/>
                <w:szCs w:val="20"/>
              </w:rPr>
              <w:t xml:space="preserve">Clearing the Air, The options for a Rebate for Destruction of ODS and SGGs in Australia, </w:t>
            </w:r>
            <w:r>
              <w:rPr>
                <w:rFonts w:ascii="Times New Roman" w:hAnsi="Times New Roman"/>
                <w:sz w:val="20"/>
                <w:szCs w:val="20"/>
              </w:rPr>
              <w:t xml:space="preserve">by Thinkwell Australia in association with Expert Group </w:t>
            </w:r>
            <w:r w:rsidRPr="00D37A89">
              <w:rPr>
                <w:rFonts w:ascii="Times New Roman" w:hAnsi="Times New Roman"/>
                <w:sz w:val="20"/>
                <w:szCs w:val="20"/>
              </w:rPr>
              <w:t>for the Department of Sustainability, Environment, Water, Population and Communities, Jan 2013.</w:t>
            </w:r>
          </w:p>
        </w:tc>
      </w:tr>
      <w:tr w:rsidR="009C5D4F" w:rsidRPr="00D37A89" w:rsidTr="00396E29">
        <w:trPr>
          <w:trHeight w:val="342"/>
        </w:trPr>
        <w:tc>
          <w:tcPr>
            <w:tcW w:w="1951" w:type="dxa"/>
          </w:tcPr>
          <w:p w:rsidR="009C5D4F" w:rsidRPr="00D37A89" w:rsidRDefault="009C5D4F" w:rsidP="00396E29">
            <w:pPr>
              <w:pStyle w:val="BodyText"/>
              <w:spacing w:before="60" w:after="60"/>
              <w:jc w:val="left"/>
              <w:rPr>
                <w:rFonts w:ascii="Times New Roman" w:hAnsi="Times New Roman"/>
                <w:sz w:val="20"/>
                <w:szCs w:val="20"/>
              </w:rPr>
            </w:pPr>
            <w:r w:rsidRPr="00D37A89">
              <w:rPr>
                <w:rFonts w:ascii="Times New Roman" w:hAnsi="Times New Roman"/>
                <w:sz w:val="20"/>
                <w:szCs w:val="20"/>
              </w:rPr>
              <w:t>DSEWPaC 2012</w:t>
            </w:r>
          </w:p>
        </w:tc>
        <w:tc>
          <w:tcPr>
            <w:tcW w:w="7796" w:type="dxa"/>
          </w:tcPr>
          <w:p w:rsidR="009C5D4F" w:rsidRPr="00D37A89" w:rsidRDefault="009C5D4F" w:rsidP="00396E29">
            <w:pPr>
              <w:pStyle w:val="BodyText"/>
              <w:spacing w:before="60" w:after="60"/>
              <w:jc w:val="left"/>
              <w:rPr>
                <w:rFonts w:ascii="Times New Roman" w:hAnsi="Times New Roman"/>
                <w:sz w:val="20"/>
                <w:szCs w:val="20"/>
              </w:rPr>
            </w:pPr>
            <w:r w:rsidRPr="00D37A89">
              <w:rPr>
                <w:rFonts w:ascii="Times New Roman" w:hAnsi="Times New Roman"/>
                <w:sz w:val="20"/>
                <w:szCs w:val="20"/>
              </w:rPr>
              <w:t>A review of existing uses of SGGs prepared by Expert Group for the Department of Sustainability, Environment, Water, Population and Communities, Ozone and Synthetic Gas Team, April 2012</w:t>
            </w:r>
            <w:r>
              <w:rPr>
                <w:rFonts w:ascii="Times New Roman" w:hAnsi="Times New Roman"/>
                <w:sz w:val="20"/>
                <w:szCs w:val="20"/>
              </w:rPr>
              <w:t>.</w:t>
            </w:r>
          </w:p>
        </w:tc>
      </w:tr>
      <w:tr w:rsidR="009C5D4F" w:rsidRPr="00D37A89" w:rsidTr="00396E29">
        <w:trPr>
          <w:trHeight w:val="342"/>
        </w:trPr>
        <w:tc>
          <w:tcPr>
            <w:tcW w:w="1951" w:type="dxa"/>
          </w:tcPr>
          <w:p w:rsidR="009C5D4F" w:rsidRPr="00D37A89" w:rsidRDefault="009C5D4F" w:rsidP="00396E29">
            <w:pPr>
              <w:pStyle w:val="BodyText"/>
              <w:spacing w:before="60" w:after="60"/>
              <w:jc w:val="left"/>
              <w:rPr>
                <w:rFonts w:ascii="Times New Roman" w:hAnsi="Times New Roman"/>
                <w:sz w:val="20"/>
                <w:szCs w:val="20"/>
              </w:rPr>
            </w:pPr>
            <w:r w:rsidRPr="00D37A89">
              <w:rPr>
                <w:rFonts w:ascii="Times New Roman" w:hAnsi="Times New Roman"/>
                <w:sz w:val="20"/>
                <w:szCs w:val="20"/>
              </w:rPr>
              <w:t>DSEWPaC 2011</w:t>
            </w:r>
          </w:p>
        </w:tc>
        <w:tc>
          <w:tcPr>
            <w:tcW w:w="7796" w:type="dxa"/>
          </w:tcPr>
          <w:p w:rsidR="009C5D4F" w:rsidRPr="00D37A89" w:rsidRDefault="009C5D4F" w:rsidP="00396E29">
            <w:pPr>
              <w:pStyle w:val="BodyText"/>
              <w:spacing w:before="60" w:after="60"/>
              <w:jc w:val="left"/>
              <w:rPr>
                <w:rFonts w:ascii="Times New Roman" w:hAnsi="Times New Roman"/>
                <w:sz w:val="20"/>
                <w:szCs w:val="20"/>
              </w:rPr>
            </w:pPr>
            <w:r w:rsidRPr="00D37A89">
              <w:rPr>
                <w:rFonts w:ascii="Times New Roman" w:hAnsi="Times New Roman"/>
                <w:sz w:val="20"/>
                <w:szCs w:val="20"/>
              </w:rPr>
              <w:t>A study into HFC consumption in Australia, prepared by Expert Group for the Department of Sustainability, Environment, Water, Population and Communities, Ozone and Synthetic Gas Team, October 2011.</w:t>
            </w:r>
          </w:p>
        </w:tc>
      </w:tr>
      <w:tr w:rsidR="00D36648" w:rsidRPr="00D37A89" w:rsidTr="00396E29">
        <w:trPr>
          <w:trHeight w:val="342"/>
        </w:trPr>
        <w:tc>
          <w:tcPr>
            <w:tcW w:w="1951" w:type="dxa"/>
          </w:tcPr>
          <w:p w:rsidR="00D36648" w:rsidRPr="00D37A89" w:rsidRDefault="00D36648" w:rsidP="00396E29">
            <w:pPr>
              <w:pStyle w:val="BodyText"/>
              <w:spacing w:before="60" w:after="60"/>
              <w:jc w:val="left"/>
              <w:rPr>
                <w:rFonts w:ascii="Times New Roman" w:hAnsi="Times New Roman"/>
                <w:sz w:val="20"/>
                <w:szCs w:val="20"/>
              </w:rPr>
            </w:pPr>
            <w:r w:rsidRPr="00D37A89">
              <w:rPr>
                <w:rFonts w:ascii="Times New Roman" w:hAnsi="Times New Roman"/>
                <w:sz w:val="20"/>
                <w:szCs w:val="20"/>
              </w:rPr>
              <w:t>E3 2012</w:t>
            </w:r>
          </w:p>
        </w:tc>
        <w:tc>
          <w:tcPr>
            <w:tcW w:w="7796" w:type="dxa"/>
          </w:tcPr>
          <w:p w:rsidR="00D36648" w:rsidRPr="00D37A89" w:rsidRDefault="00D36648" w:rsidP="00396E29">
            <w:pPr>
              <w:pStyle w:val="BodyText"/>
              <w:spacing w:before="60" w:after="60"/>
              <w:jc w:val="left"/>
              <w:rPr>
                <w:rFonts w:ascii="Times New Roman" w:hAnsi="Times New Roman"/>
                <w:sz w:val="20"/>
                <w:szCs w:val="20"/>
              </w:rPr>
            </w:pPr>
            <w:r w:rsidRPr="00D37A89">
              <w:rPr>
                <w:rFonts w:ascii="Times New Roman" w:hAnsi="Times New Roman"/>
                <w:sz w:val="20"/>
                <w:szCs w:val="20"/>
              </w:rPr>
              <w:t>Product Profile: Heat Pump Water Heaters: Air-Source Heat Pump Water Heaters in Australia and New Zealand, June 2012.</w:t>
            </w:r>
          </w:p>
        </w:tc>
      </w:tr>
      <w:tr w:rsidR="00D36648" w:rsidRPr="00D37A89" w:rsidTr="00396E29">
        <w:trPr>
          <w:trHeight w:val="342"/>
        </w:trPr>
        <w:tc>
          <w:tcPr>
            <w:tcW w:w="1951" w:type="dxa"/>
          </w:tcPr>
          <w:p w:rsidR="00D36648" w:rsidRPr="00D37A89" w:rsidRDefault="00D36648" w:rsidP="00D36648">
            <w:pPr>
              <w:pStyle w:val="BodyText"/>
              <w:spacing w:before="60" w:after="60"/>
              <w:jc w:val="left"/>
              <w:rPr>
                <w:rFonts w:ascii="Times New Roman" w:hAnsi="Times New Roman"/>
                <w:sz w:val="20"/>
                <w:szCs w:val="20"/>
              </w:rPr>
            </w:pPr>
            <w:r w:rsidRPr="00D37A89">
              <w:rPr>
                <w:rFonts w:ascii="Times New Roman" w:hAnsi="Times New Roman"/>
                <w:sz w:val="20"/>
                <w:szCs w:val="20"/>
              </w:rPr>
              <w:t>E3 2009</w:t>
            </w:r>
          </w:p>
        </w:tc>
        <w:tc>
          <w:tcPr>
            <w:tcW w:w="7796" w:type="dxa"/>
          </w:tcPr>
          <w:p w:rsidR="00D36648" w:rsidRPr="00D37A89" w:rsidRDefault="00D36648" w:rsidP="00396E29">
            <w:pPr>
              <w:pStyle w:val="BodyText"/>
              <w:spacing w:before="60" w:after="60"/>
              <w:jc w:val="left"/>
              <w:rPr>
                <w:rFonts w:ascii="Times New Roman" w:hAnsi="Times New Roman"/>
                <w:sz w:val="20"/>
                <w:szCs w:val="20"/>
              </w:rPr>
            </w:pPr>
            <w:r w:rsidRPr="00D37A89">
              <w:rPr>
                <w:rFonts w:ascii="Times New Roman" w:hAnsi="Times New Roman"/>
                <w:sz w:val="20"/>
                <w:szCs w:val="20"/>
              </w:rPr>
              <w:t>Draft Non-Domestic Energy Efficiency Strategy: In from the Cold, prepared by Mark Ellis, Peter Brodribb, Tony Fairclough, Rod King and Kevin Finn for DEWHA, October 2009.</w:t>
            </w:r>
          </w:p>
        </w:tc>
      </w:tr>
      <w:tr w:rsidR="00D36648" w:rsidRPr="00D37A89" w:rsidTr="00396E29">
        <w:trPr>
          <w:trHeight w:val="342"/>
        </w:trPr>
        <w:tc>
          <w:tcPr>
            <w:tcW w:w="1951" w:type="dxa"/>
          </w:tcPr>
          <w:p w:rsidR="00D36648" w:rsidRPr="00CF4C3A" w:rsidRDefault="00D36648" w:rsidP="00396E29">
            <w:pPr>
              <w:pStyle w:val="BodyText"/>
              <w:spacing w:before="60" w:after="60"/>
              <w:jc w:val="left"/>
              <w:rPr>
                <w:rFonts w:ascii="Times New Roman" w:hAnsi="Times New Roman"/>
                <w:sz w:val="20"/>
                <w:szCs w:val="20"/>
              </w:rPr>
            </w:pPr>
            <w:r>
              <w:rPr>
                <w:rFonts w:ascii="Times New Roman" w:hAnsi="Times New Roman"/>
                <w:sz w:val="20"/>
                <w:szCs w:val="20"/>
              </w:rPr>
              <w:t>EC 2011a</w:t>
            </w:r>
          </w:p>
        </w:tc>
        <w:tc>
          <w:tcPr>
            <w:tcW w:w="7796" w:type="dxa"/>
          </w:tcPr>
          <w:p w:rsidR="00D36648" w:rsidRPr="00CF4C3A" w:rsidRDefault="00D36648" w:rsidP="00396E29">
            <w:pPr>
              <w:spacing w:before="60" w:after="60"/>
              <w:jc w:val="left"/>
              <w:rPr>
                <w:rFonts w:eastAsia="Times New Roman" w:cs="Times New Roman"/>
                <w:sz w:val="20"/>
                <w:szCs w:val="20"/>
                <w:lang w:val="en-US"/>
              </w:rPr>
            </w:pPr>
            <w:r w:rsidRPr="004277AD">
              <w:rPr>
                <w:rFonts w:eastAsia="Times New Roman" w:cs="Times New Roman"/>
                <w:sz w:val="20"/>
                <w:szCs w:val="20"/>
                <w:lang w:val="en-US"/>
              </w:rPr>
              <w:t>Preparatory study for a review of Regulation (EC) No 842/2006 on certain fluorinated greenhouse gases</w:t>
            </w:r>
            <w:r>
              <w:rPr>
                <w:rFonts w:eastAsia="Times New Roman" w:cs="Times New Roman"/>
                <w:sz w:val="20"/>
                <w:szCs w:val="20"/>
                <w:lang w:val="en-US"/>
              </w:rPr>
              <w:t xml:space="preserve">, </w:t>
            </w:r>
            <w:r w:rsidRPr="00CF4C3A">
              <w:rPr>
                <w:rFonts w:eastAsia="Times New Roman" w:cs="Times New Roman"/>
                <w:sz w:val="20"/>
                <w:szCs w:val="20"/>
                <w:lang w:val="en-US"/>
              </w:rPr>
              <w:t>European Commission</w:t>
            </w:r>
            <w:r>
              <w:rPr>
                <w:rFonts w:eastAsia="Times New Roman" w:cs="Times New Roman"/>
                <w:sz w:val="20"/>
                <w:szCs w:val="20"/>
                <w:lang w:val="en-US"/>
              </w:rPr>
              <w:t>, Schwarz et al., Sept. 2011.</w:t>
            </w:r>
          </w:p>
        </w:tc>
      </w:tr>
      <w:tr w:rsidR="00D36648" w:rsidRPr="00D37A89" w:rsidTr="00396E29">
        <w:trPr>
          <w:trHeight w:val="342"/>
        </w:trPr>
        <w:tc>
          <w:tcPr>
            <w:tcW w:w="1951" w:type="dxa"/>
          </w:tcPr>
          <w:p w:rsidR="00D36648" w:rsidRDefault="00D36648" w:rsidP="00396E29">
            <w:pPr>
              <w:pStyle w:val="BodyText"/>
              <w:spacing w:before="60" w:after="60"/>
              <w:jc w:val="left"/>
              <w:rPr>
                <w:rFonts w:ascii="Times New Roman" w:hAnsi="Times New Roman"/>
                <w:sz w:val="20"/>
                <w:szCs w:val="20"/>
              </w:rPr>
            </w:pPr>
            <w:r w:rsidRPr="00CF4C3A">
              <w:rPr>
                <w:rFonts w:ascii="Times New Roman" w:hAnsi="Times New Roman"/>
                <w:sz w:val="20"/>
                <w:szCs w:val="20"/>
              </w:rPr>
              <w:t>EC 2011</w:t>
            </w:r>
            <w:r>
              <w:rPr>
                <w:rFonts w:ascii="Times New Roman" w:hAnsi="Times New Roman"/>
                <w:sz w:val="20"/>
                <w:szCs w:val="20"/>
              </w:rPr>
              <w:t>b</w:t>
            </w:r>
          </w:p>
        </w:tc>
        <w:tc>
          <w:tcPr>
            <w:tcW w:w="7796" w:type="dxa"/>
          </w:tcPr>
          <w:p w:rsidR="00D36648" w:rsidRPr="00CF4C3A" w:rsidRDefault="00D36648" w:rsidP="00396E29">
            <w:pPr>
              <w:spacing w:before="60" w:after="60"/>
              <w:jc w:val="left"/>
              <w:rPr>
                <w:rFonts w:eastAsia="Times New Roman" w:cs="Times New Roman"/>
                <w:sz w:val="20"/>
                <w:szCs w:val="20"/>
                <w:lang w:val="en-US"/>
              </w:rPr>
            </w:pPr>
            <w:r w:rsidRPr="00CF4C3A">
              <w:rPr>
                <w:rFonts w:eastAsia="Times New Roman" w:cs="Times New Roman"/>
                <w:sz w:val="20"/>
                <w:szCs w:val="20"/>
                <w:lang w:val="en-US"/>
              </w:rPr>
              <w:t>Preparatory Study for Eco-design Requirements of EuPs, Lot 1, Refrigerating and freezing equipment, European Commission DG ENT, 2011</w:t>
            </w:r>
            <w:r>
              <w:rPr>
                <w:rFonts w:eastAsia="Times New Roman" w:cs="Times New Roman"/>
                <w:sz w:val="20"/>
                <w:szCs w:val="20"/>
                <w:lang w:val="en-US"/>
              </w:rPr>
              <w:t>.</w:t>
            </w:r>
          </w:p>
        </w:tc>
      </w:tr>
      <w:tr w:rsidR="00D36648" w:rsidRPr="00D37A89" w:rsidTr="00396E29">
        <w:trPr>
          <w:trHeight w:val="342"/>
        </w:trPr>
        <w:tc>
          <w:tcPr>
            <w:tcW w:w="1951" w:type="dxa"/>
          </w:tcPr>
          <w:p w:rsidR="00D36648" w:rsidRDefault="00D36648" w:rsidP="00396E29">
            <w:pPr>
              <w:pStyle w:val="BodyText"/>
              <w:spacing w:before="60" w:after="60"/>
              <w:jc w:val="left"/>
              <w:rPr>
                <w:rFonts w:ascii="Times New Roman" w:hAnsi="Times New Roman"/>
                <w:sz w:val="20"/>
                <w:szCs w:val="20"/>
              </w:rPr>
            </w:pPr>
            <w:r>
              <w:rPr>
                <w:rFonts w:ascii="Times New Roman" w:hAnsi="Times New Roman"/>
                <w:sz w:val="20"/>
                <w:szCs w:val="20"/>
              </w:rPr>
              <w:t>EG 2013a</w:t>
            </w:r>
          </w:p>
        </w:tc>
        <w:tc>
          <w:tcPr>
            <w:tcW w:w="7796" w:type="dxa"/>
          </w:tcPr>
          <w:p w:rsidR="00D36648" w:rsidRDefault="00D36648" w:rsidP="00396E29">
            <w:pPr>
              <w:spacing w:before="60" w:after="60"/>
              <w:jc w:val="left"/>
              <w:rPr>
                <w:rFonts w:eastAsia="Times New Roman" w:cs="Times New Roman"/>
                <w:sz w:val="20"/>
                <w:szCs w:val="20"/>
              </w:rPr>
            </w:pPr>
            <w:r w:rsidRPr="008D33E8">
              <w:rPr>
                <w:rFonts w:eastAsia="Times New Roman" w:cs="Times New Roman"/>
                <w:sz w:val="20"/>
                <w:szCs w:val="20"/>
              </w:rPr>
              <w:t>A study of refrigeration technology options for the Northern Prawn Fishery fleet and the Sydney Fish Market</w:t>
            </w:r>
            <w:r>
              <w:rPr>
                <w:rFonts w:eastAsia="Times New Roman" w:cs="Times New Roman"/>
                <w:sz w:val="20"/>
                <w:szCs w:val="20"/>
              </w:rPr>
              <w:t xml:space="preserve"> (Refrigeration from Catch to Market) for the Fisheries Research &amp; Development Corporation, and NPF Industry Pty Ltd, </w:t>
            </w:r>
            <w:r w:rsidRPr="008D33E8">
              <w:rPr>
                <w:rFonts w:eastAsia="Times New Roman" w:cs="Times New Roman"/>
                <w:sz w:val="20"/>
                <w:szCs w:val="20"/>
              </w:rPr>
              <w:t>FRDC Project number: 2013/227</w:t>
            </w:r>
            <w:r>
              <w:rPr>
                <w:rFonts w:eastAsia="Times New Roman" w:cs="Times New Roman"/>
                <w:sz w:val="20"/>
                <w:szCs w:val="20"/>
              </w:rPr>
              <w:t>, November 2013.</w:t>
            </w:r>
          </w:p>
        </w:tc>
      </w:tr>
      <w:tr w:rsidR="00D36648" w:rsidRPr="00D37A89" w:rsidTr="00396E29">
        <w:trPr>
          <w:trHeight w:val="342"/>
        </w:trPr>
        <w:tc>
          <w:tcPr>
            <w:tcW w:w="1951" w:type="dxa"/>
          </w:tcPr>
          <w:p w:rsidR="00D36648" w:rsidRDefault="00D36648" w:rsidP="00396E29">
            <w:pPr>
              <w:pStyle w:val="BodyText"/>
              <w:spacing w:before="60" w:after="60"/>
              <w:jc w:val="left"/>
              <w:rPr>
                <w:rFonts w:ascii="Times New Roman" w:hAnsi="Times New Roman"/>
                <w:sz w:val="20"/>
                <w:szCs w:val="20"/>
              </w:rPr>
            </w:pPr>
            <w:r>
              <w:rPr>
                <w:rFonts w:ascii="Times New Roman" w:hAnsi="Times New Roman"/>
                <w:sz w:val="20"/>
                <w:szCs w:val="20"/>
              </w:rPr>
              <w:t>EG 2013b</w:t>
            </w:r>
          </w:p>
        </w:tc>
        <w:tc>
          <w:tcPr>
            <w:tcW w:w="7796" w:type="dxa"/>
          </w:tcPr>
          <w:p w:rsidR="00D36648" w:rsidRDefault="00D36648" w:rsidP="00396E29">
            <w:pPr>
              <w:spacing w:before="60" w:after="60"/>
              <w:jc w:val="left"/>
              <w:rPr>
                <w:rFonts w:eastAsia="Times New Roman" w:cs="Times New Roman"/>
                <w:sz w:val="20"/>
                <w:szCs w:val="20"/>
              </w:rPr>
            </w:pPr>
            <w:r w:rsidRPr="00D37A89">
              <w:rPr>
                <w:sz w:val="20"/>
                <w:szCs w:val="20"/>
              </w:rPr>
              <w:t>Cold Hard Facts</w:t>
            </w:r>
            <w:r>
              <w:rPr>
                <w:sz w:val="20"/>
                <w:szCs w:val="20"/>
              </w:rPr>
              <w:t xml:space="preserve"> 2</w:t>
            </w:r>
            <w:r w:rsidRPr="00D37A89">
              <w:rPr>
                <w:sz w:val="20"/>
                <w:szCs w:val="20"/>
              </w:rPr>
              <w:t xml:space="preserve"> prepared </w:t>
            </w:r>
            <w:r>
              <w:rPr>
                <w:sz w:val="20"/>
                <w:szCs w:val="20"/>
              </w:rPr>
              <w:t>the Department of the Environment, Ozone and Synthetic Gas Team 2013.</w:t>
            </w:r>
          </w:p>
        </w:tc>
      </w:tr>
      <w:tr w:rsidR="00D36648" w:rsidRPr="00D37A89" w:rsidTr="00396E29">
        <w:trPr>
          <w:trHeight w:val="342"/>
        </w:trPr>
        <w:tc>
          <w:tcPr>
            <w:tcW w:w="1951" w:type="dxa"/>
          </w:tcPr>
          <w:p w:rsidR="00D36648" w:rsidRPr="00D37A89" w:rsidRDefault="00D36648" w:rsidP="00396E29">
            <w:pPr>
              <w:pStyle w:val="BodyText"/>
              <w:spacing w:before="60" w:after="60"/>
              <w:jc w:val="left"/>
              <w:rPr>
                <w:rFonts w:ascii="Times New Roman" w:hAnsi="Times New Roman"/>
                <w:sz w:val="20"/>
                <w:szCs w:val="20"/>
              </w:rPr>
            </w:pPr>
            <w:r w:rsidRPr="00D37A89">
              <w:rPr>
                <w:rFonts w:ascii="Times New Roman" w:hAnsi="Times New Roman"/>
                <w:sz w:val="20"/>
                <w:szCs w:val="20"/>
              </w:rPr>
              <w:t>ES 2008</w:t>
            </w:r>
          </w:p>
        </w:tc>
        <w:tc>
          <w:tcPr>
            <w:tcW w:w="7796" w:type="dxa"/>
          </w:tcPr>
          <w:p w:rsidR="00D36648" w:rsidRPr="00D37A89" w:rsidRDefault="00D36648" w:rsidP="00396E29">
            <w:pPr>
              <w:pStyle w:val="BodyText"/>
              <w:spacing w:before="60" w:after="60"/>
              <w:jc w:val="left"/>
              <w:rPr>
                <w:rFonts w:ascii="Times New Roman" w:hAnsi="Times New Roman"/>
                <w:sz w:val="20"/>
                <w:szCs w:val="20"/>
              </w:rPr>
            </w:pPr>
            <w:r w:rsidRPr="00D37A89">
              <w:rPr>
                <w:rFonts w:ascii="Times New Roman" w:hAnsi="Times New Roman"/>
                <w:sz w:val="20"/>
                <w:szCs w:val="20"/>
              </w:rPr>
              <w:t>ODS and SGGs in Australia; A study of End Uses, Emissions and Opportunities for Reclamation, prepared by Energy Strategies in association with Expert Group for the Department of Environment, Heritage, Water &amp; the Arts, June 2008.</w:t>
            </w:r>
          </w:p>
        </w:tc>
      </w:tr>
      <w:tr w:rsidR="00D36648" w:rsidRPr="00DF6FF3" w:rsidTr="00396E29">
        <w:trPr>
          <w:trHeight w:val="342"/>
        </w:trPr>
        <w:tc>
          <w:tcPr>
            <w:tcW w:w="1951" w:type="dxa"/>
          </w:tcPr>
          <w:p w:rsidR="00D36648" w:rsidRPr="00DF6FF3" w:rsidRDefault="00D36648" w:rsidP="00DF6FF3">
            <w:pPr>
              <w:pStyle w:val="BodyText"/>
              <w:spacing w:before="60" w:after="60"/>
              <w:jc w:val="left"/>
              <w:rPr>
                <w:rFonts w:ascii="Times New Roman" w:hAnsi="Times New Roman"/>
                <w:sz w:val="20"/>
                <w:szCs w:val="20"/>
              </w:rPr>
            </w:pPr>
            <w:r w:rsidRPr="00DF6FF3">
              <w:rPr>
                <w:rFonts w:ascii="Times New Roman" w:hAnsi="Times New Roman"/>
                <w:sz w:val="20"/>
                <w:szCs w:val="20"/>
              </w:rPr>
              <w:t>GP 2013</w:t>
            </w:r>
          </w:p>
        </w:tc>
        <w:tc>
          <w:tcPr>
            <w:tcW w:w="7796" w:type="dxa"/>
          </w:tcPr>
          <w:p w:rsidR="00D36648" w:rsidRPr="00DF6FF3" w:rsidRDefault="00D36648" w:rsidP="00396E29">
            <w:pPr>
              <w:pStyle w:val="BodyText"/>
              <w:spacing w:before="60" w:after="60"/>
              <w:jc w:val="left"/>
              <w:rPr>
                <w:rFonts w:ascii="Times New Roman" w:hAnsi="Times New Roman"/>
                <w:sz w:val="20"/>
                <w:szCs w:val="20"/>
              </w:rPr>
            </w:pPr>
            <w:r w:rsidRPr="00DF6FF3">
              <w:rPr>
                <w:rFonts w:ascii="Times New Roman" w:hAnsi="Times New Roman"/>
                <w:sz w:val="20"/>
                <w:szCs w:val="20"/>
              </w:rPr>
              <w:t>Cool technologies: Working without HFCs, Examples of HFC-Free cooling technologies in various industrial sectors, prepared by Janos Mate, Greenpeace International with Claudette Papathanasopoulos and Sultan Latif, Greenpeace USA, 2012 edition.</w:t>
            </w:r>
          </w:p>
        </w:tc>
      </w:tr>
      <w:tr w:rsidR="00D36648" w:rsidRPr="00D37A89" w:rsidTr="00396E29">
        <w:trPr>
          <w:trHeight w:val="342"/>
        </w:trPr>
        <w:tc>
          <w:tcPr>
            <w:tcW w:w="1951" w:type="dxa"/>
          </w:tcPr>
          <w:p w:rsidR="00D36648" w:rsidRPr="00D37A89" w:rsidRDefault="00D36648" w:rsidP="00396E29">
            <w:pPr>
              <w:pStyle w:val="BodyText"/>
              <w:spacing w:before="60" w:after="60"/>
              <w:jc w:val="left"/>
              <w:rPr>
                <w:rFonts w:ascii="Times New Roman" w:hAnsi="Times New Roman"/>
                <w:sz w:val="20"/>
                <w:szCs w:val="20"/>
              </w:rPr>
            </w:pPr>
            <w:r w:rsidRPr="00D37A89">
              <w:rPr>
                <w:rFonts w:ascii="Times New Roman" w:hAnsi="Times New Roman"/>
                <w:sz w:val="20"/>
                <w:szCs w:val="20"/>
              </w:rPr>
              <w:t>FAPM 201</w:t>
            </w:r>
            <w:r>
              <w:rPr>
                <w:rFonts w:ascii="Times New Roman" w:hAnsi="Times New Roman"/>
                <w:sz w:val="20"/>
                <w:szCs w:val="20"/>
              </w:rPr>
              <w:t>4</w:t>
            </w:r>
          </w:p>
        </w:tc>
        <w:tc>
          <w:tcPr>
            <w:tcW w:w="7796" w:type="dxa"/>
          </w:tcPr>
          <w:p w:rsidR="00D36648" w:rsidRPr="00D37A89" w:rsidRDefault="00D36648" w:rsidP="00396E29">
            <w:pPr>
              <w:pStyle w:val="BodyText"/>
              <w:spacing w:before="60" w:after="60"/>
              <w:jc w:val="left"/>
              <w:rPr>
                <w:rFonts w:ascii="Times New Roman" w:hAnsi="Times New Roman"/>
                <w:sz w:val="20"/>
                <w:szCs w:val="20"/>
              </w:rPr>
            </w:pPr>
            <w:r w:rsidRPr="00D37A89">
              <w:rPr>
                <w:rFonts w:ascii="Times New Roman" w:hAnsi="Times New Roman"/>
                <w:sz w:val="20"/>
                <w:szCs w:val="20"/>
              </w:rPr>
              <w:t>Statistics provided by the Federation of Automotive Products Manufacturers, February 201</w:t>
            </w:r>
            <w:r>
              <w:rPr>
                <w:rFonts w:ascii="Times New Roman" w:hAnsi="Times New Roman"/>
                <w:sz w:val="20"/>
                <w:szCs w:val="20"/>
              </w:rPr>
              <w:t>4</w:t>
            </w:r>
            <w:r w:rsidRPr="00D37A89">
              <w:rPr>
                <w:rFonts w:ascii="Times New Roman" w:hAnsi="Times New Roman"/>
                <w:sz w:val="20"/>
                <w:szCs w:val="20"/>
              </w:rPr>
              <w:t>.</w:t>
            </w:r>
          </w:p>
        </w:tc>
      </w:tr>
      <w:tr w:rsidR="00D36648" w:rsidRPr="00D37A89" w:rsidTr="00396E29">
        <w:trPr>
          <w:trHeight w:val="342"/>
        </w:trPr>
        <w:tc>
          <w:tcPr>
            <w:tcW w:w="1951" w:type="dxa"/>
          </w:tcPr>
          <w:p w:rsidR="00D36648" w:rsidRPr="00D37A89" w:rsidRDefault="00D36648" w:rsidP="00396E29">
            <w:pPr>
              <w:pStyle w:val="BodyText"/>
              <w:spacing w:before="60" w:after="60"/>
              <w:jc w:val="left"/>
              <w:rPr>
                <w:rFonts w:ascii="Times New Roman" w:hAnsi="Times New Roman"/>
                <w:sz w:val="20"/>
                <w:szCs w:val="20"/>
              </w:rPr>
            </w:pPr>
            <w:r w:rsidRPr="00D37A89">
              <w:rPr>
                <w:rFonts w:ascii="Times New Roman" w:hAnsi="Times New Roman"/>
                <w:sz w:val="20"/>
                <w:szCs w:val="20"/>
              </w:rPr>
              <w:t>IEA 2011</w:t>
            </w:r>
          </w:p>
        </w:tc>
        <w:tc>
          <w:tcPr>
            <w:tcW w:w="7796" w:type="dxa"/>
          </w:tcPr>
          <w:p w:rsidR="00D36648" w:rsidRPr="00D37A89" w:rsidRDefault="00D36648" w:rsidP="00396E29">
            <w:pPr>
              <w:pStyle w:val="BodyText"/>
              <w:spacing w:before="60" w:after="60"/>
              <w:jc w:val="left"/>
              <w:rPr>
                <w:rFonts w:ascii="Times New Roman" w:hAnsi="Times New Roman"/>
                <w:sz w:val="20"/>
                <w:szCs w:val="20"/>
              </w:rPr>
            </w:pPr>
            <w:r w:rsidRPr="00D37A89">
              <w:rPr>
                <w:rFonts w:ascii="Times New Roman" w:hAnsi="Times New Roman"/>
                <w:sz w:val="20"/>
                <w:szCs w:val="20"/>
              </w:rPr>
              <w:t>Energy Efficiency Potential for Commercial HVAC: The Australian Case by Thinkwell Australia for the International Energy Agency, June 2011.</w:t>
            </w:r>
          </w:p>
        </w:tc>
      </w:tr>
      <w:tr w:rsidR="00D36648" w:rsidRPr="00D37A89" w:rsidTr="00396E29">
        <w:trPr>
          <w:trHeight w:val="342"/>
        </w:trPr>
        <w:tc>
          <w:tcPr>
            <w:tcW w:w="1951" w:type="dxa"/>
          </w:tcPr>
          <w:p w:rsidR="00D36648" w:rsidRPr="00D37A89" w:rsidRDefault="00D36648" w:rsidP="00396E29">
            <w:pPr>
              <w:pStyle w:val="BodyText"/>
              <w:spacing w:before="60" w:after="60"/>
              <w:jc w:val="left"/>
              <w:rPr>
                <w:rFonts w:ascii="Times New Roman" w:hAnsi="Times New Roman"/>
                <w:sz w:val="20"/>
                <w:szCs w:val="20"/>
              </w:rPr>
            </w:pPr>
            <w:r w:rsidRPr="00B138FF">
              <w:rPr>
                <w:rFonts w:ascii="Times New Roman" w:hAnsi="Times New Roman"/>
                <w:sz w:val="20"/>
                <w:szCs w:val="20"/>
              </w:rPr>
              <w:t>IPCC 2007</w:t>
            </w:r>
          </w:p>
        </w:tc>
        <w:tc>
          <w:tcPr>
            <w:tcW w:w="7796" w:type="dxa"/>
          </w:tcPr>
          <w:p w:rsidR="00D36648" w:rsidRPr="00D37A89" w:rsidRDefault="00D36648" w:rsidP="00396E29">
            <w:pPr>
              <w:pStyle w:val="BodyText"/>
              <w:spacing w:before="60" w:after="60"/>
              <w:jc w:val="left"/>
              <w:rPr>
                <w:rFonts w:ascii="Times New Roman" w:hAnsi="Times New Roman"/>
                <w:sz w:val="20"/>
                <w:szCs w:val="20"/>
              </w:rPr>
            </w:pPr>
            <w:r w:rsidRPr="00B138FF">
              <w:rPr>
                <w:rFonts w:ascii="Times New Roman" w:hAnsi="Times New Roman"/>
                <w:sz w:val="20"/>
                <w:szCs w:val="20"/>
              </w:rPr>
              <w:t>IPCC Fourth Assessment Report: Climate Change 2007 (AR4), prepared by the Intergovernmental Panel on Climate Change, 2007</w:t>
            </w:r>
            <w:r>
              <w:rPr>
                <w:rFonts w:ascii="Times New Roman" w:hAnsi="Times New Roman"/>
                <w:sz w:val="20"/>
                <w:szCs w:val="20"/>
              </w:rPr>
              <w:t>.</w:t>
            </w:r>
          </w:p>
        </w:tc>
      </w:tr>
      <w:tr w:rsidR="00D36648" w:rsidRPr="00D37A89" w:rsidTr="00396E29">
        <w:trPr>
          <w:trHeight w:val="342"/>
        </w:trPr>
        <w:tc>
          <w:tcPr>
            <w:tcW w:w="1951" w:type="dxa"/>
          </w:tcPr>
          <w:p w:rsidR="00D36648" w:rsidRPr="00362302" w:rsidRDefault="00D36648" w:rsidP="00396E29">
            <w:pPr>
              <w:pStyle w:val="BodyText"/>
              <w:spacing w:before="60" w:after="60"/>
              <w:jc w:val="left"/>
              <w:rPr>
                <w:rFonts w:ascii="Times New Roman" w:hAnsi="Times New Roman"/>
                <w:sz w:val="20"/>
                <w:szCs w:val="20"/>
              </w:rPr>
            </w:pPr>
            <w:r>
              <w:rPr>
                <w:rFonts w:ascii="Times New Roman" w:hAnsi="Times New Roman"/>
                <w:sz w:val="20"/>
                <w:szCs w:val="20"/>
              </w:rPr>
              <w:t>Shecco 2014</w:t>
            </w:r>
          </w:p>
        </w:tc>
        <w:tc>
          <w:tcPr>
            <w:tcW w:w="7796" w:type="dxa"/>
          </w:tcPr>
          <w:p w:rsidR="00D36648" w:rsidRPr="00362302" w:rsidRDefault="00D36648" w:rsidP="00396E29">
            <w:pPr>
              <w:pStyle w:val="BodyText"/>
              <w:spacing w:before="60" w:after="60"/>
              <w:jc w:val="left"/>
              <w:rPr>
                <w:rFonts w:ascii="Times New Roman" w:hAnsi="Times New Roman"/>
                <w:sz w:val="20"/>
                <w:szCs w:val="20"/>
              </w:rPr>
            </w:pPr>
            <w:r w:rsidRPr="00DF6FF3">
              <w:rPr>
                <w:rFonts w:ascii="Times New Roman" w:hAnsi="Times New Roman"/>
                <w:sz w:val="20"/>
                <w:szCs w:val="20"/>
              </w:rPr>
              <w:t>ATMOsphere Asia 2014 - Summary Report - International Workshop</w:t>
            </w:r>
            <w:r>
              <w:rPr>
                <w:rFonts w:ascii="Times New Roman" w:hAnsi="Times New Roman"/>
                <w:sz w:val="20"/>
                <w:szCs w:val="20"/>
              </w:rPr>
              <w:t>, published by Shecco February 2014.</w:t>
            </w:r>
          </w:p>
        </w:tc>
      </w:tr>
      <w:tr w:rsidR="00D36648" w:rsidRPr="00D37A89" w:rsidTr="00396E29">
        <w:trPr>
          <w:trHeight w:val="342"/>
        </w:trPr>
        <w:tc>
          <w:tcPr>
            <w:tcW w:w="1951" w:type="dxa"/>
          </w:tcPr>
          <w:p w:rsidR="00D36648" w:rsidRPr="00362302" w:rsidRDefault="00D36648" w:rsidP="00396E29">
            <w:pPr>
              <w:pStyle w:val="BodyText"/>
              <w:spacing w:before="60" w:after="60"/>
              <w:jc w:val="left"/>
              <w:rPr>
                <w:rFonts w:ascii="Times New Roman" w:hAnsi="Times New Roman"/>
                <w:sz w:val="20"/>
                <w:szCs w:val="20"/>
              </w:rPr>
            </w:pPr>
            <w:r>
              <w:rPr>
                <w:rFonts w:ascii="Times New Roman" w:hAnsi="Times New Roman"/>
                <w:sz w:val="20"/>
                <w:szCs w:val="20"/>
              </w:rPr>
              <w:t>Shecco 2013</w:t>
            </w:r>
          </w:p>
        </w:tc>
        <w:tc>
          <w:tcPr>
            <w:tcW w:w="7796" w:type="dxa"/>
          </w:tcPr>
          <w:p w:rsidR="00D36648" w:rsidRPr="00362302" w:rsidRDefault="00D36648" w:rsidP="00580882">
            <w:pPr>
              <w:pStyle w:val="BodyText"/>
              <w:spacing w:before="60" w:after="60"/>
              <w:jc w:val="left"/>
              <w:rPr>
                <w:rFonts w:ascii="Times New Roman" w:hAnsi="Times New Roman"/>
                <w:sz w:val="20"/>
                <w:szCs w:val="20"/>
              </w:rPr>
            </w:pPr>
            <w:r w:rsidRPr="00580882">
              <w:rPr>
                <w:rFonts w:ascii="Times New Roman" w:hAnsi="Times New Roman"/>
                <w:sz w:val="20"/>
                <w:szCs w:val="20"/>
              </w:rPr>
              <w:t>Guide 2012: Natural Refrigerants: Market Growth for Europe, published by Shecco 2013.</w:t>
            </w:r>
          </w:p>
        </w:tc>
      </w:tr>
      <w:tr w:rsidR="00D36648" w:rsidRPr="00D37A89" w:rsidTr="00396E29">
        <w:trPr>
          <w:trHeight w:val="342"/>
        </w:trPr>
        <w:tc>
          <w:tcPr>
            <w:tcW w:w="1951" w:type="dxa"/>
          </w:tcPr>
          <w:p w:rsidR="00D36648" w:rsidRPr="00D37A89" w:rsidRDefault="00D36648" w:rsidP="00396E29">
            <w:pPr>
              <w:pStyle w:val="BodyText"/>
              <w:spacing w:before="60" w:after="60"/>
              <w:jc w:val="left"/>
              <w:rPr>
                <w:rFonts w:ascii="Times New Roman" w:hAnsi="Times New Roman"/>
                <w:sz w:val="20"/>
                <w:szCs w:val="20"/>
              </w:rPr>
            </w:pPr>
            <w:r w:rsidRPr="00362302">
              <w:rPr>
                <w:rFonts w:ascii="Times New Roman" w:hAnsi="Times New Roman"/>
                <w:sz w:val="20"/>
                <w:szCs w:val="20"/>
              </w:rPr>
              <w:t>OPSGGMA</w:t>
            </w:r>
          </w:p>
        </w:tc>
        <w:tc>
          <w:tcPr>
            <w:tcW w:w="7796" w:type="dxa"/>
          </w:tcPr>
          <w:p w:rsidR="00D36648" w:rsidRPr="00D37A89" w:rsidRDefault="00D36648" w:rsidP="00396E29">
            <w:pPr>
              <w:pStyle w:val="BodyText"/>
              <w:spacing w:before="60" w:after="60"/>
              <w:jc w:val="left"/>
              <w:rPr>
                <w:rFonts w:ascii="Times New Roman" w:hAnsi="Times New Roman"/>
                <w:sz w:val="20"/>
                <w:szCs w:val="20"/>
              </w:rPr>
            </w:pPr>
            <w:r w:rsidRPr="00362302">
              <w:rPr>
                <w:rFonts w:ascii="Times New Roman" w:hAnsi="Times New Roman"/>
                <w:sz w:val="20"/>
                <w:szCs w:val="20"/>
              </w:rPr>
              <w:t>Ozone Protection and Synthetic Greenhouse Gas Management Act 1959</w:t>
            </w:r>
            <w:r>
              <w:rPr>
                <w:rFonts w:ascii="Times New Roman" w:hAnsi="Times New Roman"/>
                <w:sz w:val="20"/>
                <w:szCs w:val="20"/>
              </w:rPr>
              <w:t>, including amendments.</w:t>
            </w:r>
          </w:p>
        </w:tc>
      </w:tr>
      <w:tr w:rsidR="00D36648" w:rsidRPr="00D37A89" w:rsidTr="00396E29">
        <w:trPr>
          <w:trHeight w:val="342"/>
        </w:trPr>
        <w:tc>
          <w:tcPr>
            <w:tcW w:w="1951" w:type="dxa"/>
          </w:tcPr>
          <w:p w:rsidR="00D36648" w:rsidRPr="00D37A89" w:rsidRDefault="00D36648" w:rsidP="00396E29">
            <w:pPr>
              <w:pStyle w:val="BodyText"/>
              <w:spacing w:before="60" w:after="60"/>
              <w:jc w:val="left"/>
              <w:rPr>
                <w:rFonts w:ascii="Times New Roman" w:hAnsi="Times New Roman"/>
                <w:sz w:val="20"/>
                <w:szCs w:val="20"/>
              </w:rPr>
            </w:pPr>
            <w:r>
              <w:rPr>
                <w:rFonts w:ascii="Times New Roman" w:hAnsi="Times New Roman"/>
                <w:sz w:val="20"/>
                <w:szCs w:val="20"/>
              </w:rPr>
              <w:t>PNAS 2009</w:t>
            </w:r>
          </w:p>
        </w:tc>
        <w:tc>
          <w:tcPr>
            <w:tcW w:w="7796" w:type="dxa"/>
          </w:tcPr>
          <w:p w:rsidR="00D36648" w:rsidRPr="00D37A89" w:rsidRDefault="00D36648" w:rsidP="00396E29">
            <w:pPr>
              <w:pStyle w:val="BodyText"/>
              <w:spacing w:before="60" w:after="60"/>
              <w:jc w:val="left"/>
              <w:rPr>
                <w:rFonts w:ascii="Times New Roman" w:hAnsi="Times New Roman"/>
                <w:sz w:val="20"/>
                <w:szCs w:val="20"/>
              </w:rPr>
            </w:pPr>
            <w:r w:rsidRPr="00EB6A32">
              <w:rPr>
                <w:rFonts w:ascii="Times New Roman" w:hAnsi="Times New Roman"/>
                <w:sz w:val="20"/>
                <w:szCs w:val="20"/>
              </w:rPr>
              <w:t xml:space="preserve">Guus J. M. Velders, David W. Fahey, John S. Daniel, Mack McFarland, and Stephen O. Andersen. 7 July 2009.  “The large contribution of projected HFC emissions to future climate forcing.” Proceedings of </w:t>
            </w:r>
            <w:r>
              <w:rPr>
                <w:rFonts w:ascii="Times New Roman" w:hAnsi="Times New Roman"/>
                <w:sz w:val="20"/>
                <w:szCs w:val="20"/>
              </w:rPr>
              <w:t>the National Academy of Science</w:t>
            </w:r>
            <w:r w:rsidRPr="00EB6A32">
              <w:rPr>
                <w:rFonts w:ascii="Times New Roman" w:hAnsi="Times New Roman"/>
                <w:sz w:val="20"/>
                <w:szCs w:val="20"/>
              </w:rPr>
              <w:t>. Vol. 106, No. 27, 10949-10954.</w:t>
            </w:r>
          </w:p>
        </w:tc>
      </w:tr>
      <w:tr w:rsidR="00D36648" w:rsidRPr="00D37A89" w:rsidTr="00396E29">
        <w:trPr>
          <w:trHeight w:val="342"/>
        </w:trPr>
        <w:tc>
          <w:tcPr>
            <w:tcW w:w="1951" w:type="dxa"/>
          </w:tcPr>
          <w:p w:rsidR="00D36648" w:rsidRPr="00D37A89" w:rsidRDefault="00D36648" w:rsidP="00396E29">
            <w:pPr>
              <w:pStyle w:val="BodyText"/>
              <w:spacing w:before="60" w:after="60"/>
              <w:jc w:val="left"/>
              <w:rPr>
                <w:rFonts w:ascii="Times New Roman" w:hAnsi="Times New Roman"/>
                <w:sz w:val="20"/>
                <w:szCs w:val="20"/>
              </w:rPr>
            </w:pPr>
            <w:r w:rsidRPr="00D37A89">
              <w:rPr>
                <w:rFonts w:ascii="Times New Roman" w:hAnsi="Times New Roman"/>
                <w:sz w:val="20"/>
                <w:szCs w:val="20"/>
              </w:rPr>
              <w:t>QGDME 201</w:t>
            </w:r>
            <w:r>
              <w:rPr>
                <w:rFonts w:ascii="Times New Roman" w:hAnsi="Times New Roman"/>
                <w:sz w:val="20"/>
                <w:szCs w:val="20"/>
              </w:rPr>
              <w:t>4</w:t>
            </w:r>
          </w:p>
        </w:tc>
        <w:tc>
          <w:tcPr>
            <w:tcW w:w="7796" w:type="dxa"/>
          </w:tcPr>
          <w:p w:rsidR="00D36648" w:rsidRPr="00D37A89" w:rsidRDefault="00D36648" w:rsidP="00396E29">
            <w:pPr>
              <w:pStyle w:val="BodyText"/>
              <w:spacing w:before="60" w:after="60"/>
              <w:jc w:val="left"/>
              <w:rPr>
                <w:rFonts w:ascii="Times New Roman" w:hAnsi="Times New Roman"/>
                <w:sz w:val="20"/>
                <w:szCs w:val="20"/>
              </w:rPr>
            </w:pPr>
            <w:r w:rsidRPr="00D37A89">
              <w:rPr>
                <w:rFonts w:ascii="Times New Roman" w:hAnsi="Times New Roman"/>
                <w:sz w:val="20"/>
                <w:szCs w:val="20"/>
              </w:rPr>
              <w:t>Hydrocarbon Appliance Register, Queensland Government, Department of Mines and Energy, 201</w:t>
            </w:r>
            <w:r>
              <w:rPr>
                <w:rFonts w:ascii="Times New Roman" w:hAnsi="Times New Roman"/>
                <w:sz w:val="20"/>
                <w:szCs w:val="20"/>
              </w:rPr>
              <w:t>4</w:t>
            </w:r>
            <w:r w:rsidRPr="00D37A89">
              <w:rPr>
                <w:rFonts w:ascii="Times New Roman" w:hAnsi="Times New Roman"/>
                <w:sz w:val="20"/>
                <w:szCs w:val="20"/>
              </w:rPr>
              <w:t>.</w:t>
            </w:r>
          </w:p>
        </w:tc>
      </w:tr>
      <w:tr w:rsidR="00D36648" w:rsidRPr="00D37A89" w:rsidTr="003E6CEC">
        <w:trPr>
          <w:trHeight w:val="342"/>
        </w:trPr>
        <w:tc>
          <w:tcPr>
            <w:tcW w:w="1951" w:type="dxa"/>
          </w:tcPr>
          <w:p w:rsidR="00D36648" w:rsidRDefault="00D36648" w:rsidP="00396E29">
            <w:pPr>
              <w:pStyle w:val="BodyText"/>
              <w:spacing w:before="60" w:after="60"/>
              <w:jc w:val="left"/>
              <w:rPr>
                <w:rFonts w:ascii="Times New Roman" w:hAnsi="Times New Roman"/>
                <w:sz w:val="20"/>
                <w:szCs w:val="20"/>
              </w:rPr>
            </w:pPr>
            <w:r w:rsidRPr="0040150F">
              <w:rPr>
                <w:rFonts w:ascii="Times New Roman" w:hAnsi="Times New Roman"/>
                <w:sz w:val="20"/>
                <w:szCs w:val="20"/>
              </w:rPr>
              <w:t>SA 2011</w:t>
            </w:r>
          </w:p>
        </w:tc>
        <w:tc>
          <w:tcPr>
            <w:tcW w:w="7796" w:type="dxa"/>
            <w:vAlign w:val="bottom"/>
          </w:tcPr>
          <w:p w:rsidR="00D36648" w:rsidRPr="0040150F" w:rsidRDefault="00D36648" w:rsidP="0040150F">
            <w:pPr>
              <w:pStyle w:val="BodyText"/>
              <w:spacing w:before="60" w:after="60"/>
              <w:rPr>
                <w:sz w:val="20"/>
                <w:szCs w:val="20"/>
              </w:rPr>
            </w:pPr>
            <w:r w:rsidRPr="0040150F">
              <w:rPr>
                <w:rFonts w:ascii="Times New Roman" w:hAnsi="Times New Roman"/>
                <w:sz w:val="20"/>
                <w:szCs w:val="20"/>
              </w:rPr>
              <w:t>Skills Australia, ‘Skills for prosperity’ A roadmap for the vocational education and training sector,</w:t>
            </w:r>
            <w:r>
              <w:rPr>
                <w:rFonts w:ascii="Times New Roman" w:hAnsi="Times New Roman"/>
                <w:sz w:val="20"/>
                <w:szCs w:val="20"/>
              </w:rPr>
              <w:t xml:space="preserve"> </w:t>
            </w:r>
            <w:r w:rsidRPr="0040150F">
              <w:rPr>
                <w:rFonts w:ascii="Times New Roman" w:hAnsi="Times New Roman"/>
                <w:sz w:val="20"/>
                <w:szCs w:val="20"/>
              </w:rPr>
              <w:t>May 2011</w:t>
            </w:r>
          </w:p>
        </w:tc>
      </w:tr>
      <w:tr w:rsidR="00D36648" w:rsidRPr="00D37A89" w:rsidTr="00396E29">
        <w:trPr>
          <w:trHeight w:val="342"/>
        </w:trPr>
        <w:tc>
          <w:tcPr>
            <w:tcW w:w="1951" w:type="dxa"/>
          </w:tcPr>
          <w:p w:rsidR="00D36648" w:rsidRDefault="00D36648" w:rsidP="00396E29">
            <w:pPr>
              <w:pStyle w:val="BodyText"/>
              <w:spacing w:before="60" w:after="60"/>
              <w:jc w:val="left"/>
              <w:rPr>
                <w:rFonts w:ascii="Times New Roman" w:hAnsi="Times New Roman"/>
                <w:sz w:val="20"/>
                <w:szCs w:val="20"/>
              </w:rPr>
            </w:pPr>
            <w:r>
              <w:rPr>
                <w:rFonts w:ascii="Times New Roman" w:hAnsi="Times New Roman"/>
                <w:sz w:val="20"/>
                <w:szCs w:val="20"/>
              </w:rPr>
              <w:t>UNDO 2013</w:t>
            </w:r>
          </w:p>
        </w:tc>
        <w:tc>
          <w:tcPr>
            <w:tcW w:w="7796" w:type="dxa"/>
          </w:tcPr>
          <w:p w:rsidR="00D36648" w:rsidRPr="008A117D" w:rsidRDefault="00D36648" w:rsidP="00396E29">
            <w:pPr>
              <w:spacing w:before="60" w:after="60"/>
              <w:jc w:val="left"/>
              <w:rPr>
                <w:rFonts w:eastAsia="Times New Roman" w:cs="Times New Roman"/>
                <w:sz w:val="20"/>
                <w:szCs w:val="20"/>
              </w:rPr>
            </w:pPr>
            <w:r>
              <w:rPr>
                <w:rFonts w:eastAsia="Times New Roman" w:cs="Times New Roman"/>
                <w:sz w:val="20"/>
                <w:szCs w:val="20"/>
              </w:rPr>
              <w:t>Natural Solutions for Developing Countries, United Nations Industrial Development Organization, 2013.</w:t>
            </w:r>
          </w:p>
        </w:tc>
      </w:tr>
      <w:tr w:rsidR="00D36648" w:rsidRPr="00D37A89" w:rsidTr="00396E29">
        <w:trPr>
          <w:trHeight w:val="342"/>
        </w:trPr>
        <w:tc>
          <w:tcPr>
            <w:tcW w:w="1951" w:type="dxa"/>
          </w:tcPr>
          <w:p w:rsidR="00D36648" w:rsidRDefault="00D36648" w:rsidP="00396E29">
            <w:pPr>
              <w:pStyle w:val="BodyText"/>
              <w:spacing w:before="60" w:after="60"/>
              <w:jc w:val="left"/>
              <w:rPr>
                <w:rFonts w:ascii="Times New Roman" w:hAnsi="Times New Roman"/>
                <w:sz w:val="20"/>
                <w:szCs w:val="20"/>
              </w:rPr>
            </w:pPr>
            <w:r>
              <w:rPr>
                <w:rFonts w:ascii="Times New Roman" w:hAnsi="Times New Roman"/>
                <w:sz w:val="20"/>
                <w:szCs w:val="20"/>
              </w:rPr>
              <w:t>UNEP 2013a</w:t>
            </w:r>
          </w:p>
        </w:tc>
        <w:tc>
          <w:tcPr>
            <w:tcW w:w="7796" w:type="dxa"/>
          </w:tcPr>
          <w:p w:rsidR="00D36648" w:rsidRPr="00502CE8" w:rsidRDefault="00D36648" w:rsidP="00396E29">
            <w:pPr>
              <w:spacing w:before="60" w:after="60"/>
              <w:jc w:val="left"/>
              <w:rPr>
                <w:rFonts w:eastAsia="Times New Roman" w:cs="Times New Roman"/>
                <w:sz w:val="20"/>
                <w:szCs w:val="20"/>
              </w:rPr>
            </w:pPr>
            <w:r w:rsidRPr="008A117D">
              <w:rPr>
                <w:rFonts w:eastAsia="Times New Roman" w:cs="Times New Roman"/>
                <w:sz w:val="20"/>
                <w:szCs w:val="20"/>
              </w:rPr>
              <w:t>Proposed amendment to the Montreal Protocol submitted by Canada, Mexico and the United States of America</w:t>
            </w:r>
            <w:r>
              <w:rPr>
                <w:rFonts w:eastAsia="Times New Roman" w:cs="Times New Roman"/>
                <w:sz w:val="20"/>
                <w:szCs w:val="20"/>
              </w:rPr>
              <w:t>, United Nations Environment Programme, 21 October 2013.</w:t>
            </w:r>
          </w:p>
        </w:tc>
      </w:tr>
      <w:tr w:rsidR="00D36648" w:rsidRPr="00D37A89" w:rsidTr="00396E29">
        <w:trPr>
          <w:trHeight w:val="342"/>
        </w:trPr>
        <w:tc>
          <w:tcPr>
            <w:tcW w:w="1951" w:type="dxa"/>
          </w:tcPr>
          <w:p w:rsidR="00D36648" w:rsidRDefault="00D36648" w:rsidP="00396E29">
            <w:pPr>
              <w:pStyle w:val="BodyText"/>
              <w:spacing w:before="60" w:after="60"/>
              <w:jc w:val="left"/>
              <w:rPr>
                <w:rFonts w:ascii="Times New Roman" w:hAnsi="Times New Roman"/>
                <w:sz w:val="20"/>
                <w:szCs w:val="20"/>
              </w:rPr>
            </w:pPr>
            <w:r>
              <w:rPr>
                <w:rFonts w:ascii="Times New Roman" w:hAnsi="Times New Roman"/>
                <w:sz w:val="20"/>
                <w:szCs w:val="20"/>
              </w:rPr>
              <w:t>UNEP 2013b</w:t>
            </w:r>
          </w:p>
        </w:tc>
        <w:tc>
          <w:tcPr>
            <w:tcW w:w="7796" w:type="dxa"/>
          </w:tcPr>
          <w:p w:rsidR="00D36648" w:rsidRPr="00502CE8" w:rsidRDefault="00D36648" w:rsidP="00396E29">
            <w:pPr>
              <w:spacing w:before="60" w:after="60"/>
              <w:jc w:val="left"/>
              <w:rPr>
                <w:rFonts w:eastAsia="Times New Roman" w:cs="Times New Roman"/>
                <w:sz w:val="20"/>
                <w:szCs w:val="20"/>
              </w:rPr>
            </w:pPr>
            <w:r w:rsidRPr="008A117D">
              <w:rPr>
                <w:rFonts w:eastAsia="Times New Roman" w:cs="Times New Roman"/>
                <w:sz w:val="20"/>
                <w:szCs w:val="20"/>
              </w:rPr>
              <w:t>Frequently Asked Questions</w:t>
            </w:r>
            <w:r>
              <w:rPr>
                <w:rFonts w:eastAsia="Times New Roman" w:cs="Times New Roman"/>
                <w:sz w:val="20"/>
                <w:szCs w:val="20"/>
              </w:rPr>
              <w:t xml:space="preserve">, </w:t>
            </w:r>
            <w:r w:rsidRPr="008A117D">
              <w:rPr>
                <w:rFonts w:eastAsia="Times New Roman" w:cs="Times New Roman"/>
                <w:sz w:val="20"/>
                <w:szCs w:val="20"/>
              </w:rPr>
              <w:t>North American HFC Amendment Proposal</w:t>
            </w:r>
            <w:r>
              <w:rPr>
                <w:rFonts w:eastAsia="Times New Roman" w:cs="Times New Roman"/>
                <w:sz w:val="20"/>
                <w:szCs w:val="20"/>
              </w:rPr>
              <w:t xml:space="preserve">, </w:t>
            </w:r>
            <w:r w:rsidRPr="008A117D">
              <w:rPr>
                <w:rFonts w:eastAsia="Times New Roman" w:cs="Times New Roman"/>
                <w:sz w:val="20"/>
                <w:szCs w:val="20"/>
              </w:rPr>
              <w:t>submitted by Canada, Mexico and the United States of America</w:t>
            </w:r>
            <w:r>
              <w:rPr>
                <w:rFonts w:eastAsia="Times New Roman" w:cs="Times New Roman"/>
                <w:sz w:val="20"/>
                <w:szCs w:val="20"/>
              </w:rPr>
              <w:t>, United Nations Environment Programme, 21 October 2013.</w:t>
            </w:r>
          </w:p>
        </w:tc>
      </w:tr>
      <w:tr w:rsidR="00D36648" w:rsidRPr="00D37A89" w:rsidTr="00396E29">
        <w:trPr>
          <w:trHeight w:val="342"/>
        </w:trPr>
        <w:tc>
          <w:tcPr>
            <w:tcW w:w="1951" w:type="dxa"/>
          </w:tcPr>
          <w:p w:rsidR="00D36648" w:rsidRDefault="00D36648" w:rsidP="00396E29">
            <w:pPr>
              <w:pStyle w:val="BodyText"/>
              <w:spacing w:before="60" w:after="60"/>
              <w:jc w:val="left"/>
              <w:rPr>
                <w:rFonts w:ascii="Times New Roman" w:hAnsi="Times New Roman"/>
                <w:sz w:val="20"/>
                <w:szCs w:val="20"/>
              </w:rPr>
            </w:pPr>
            <w:r>
              <w:rPr>
                <w:rFonts w:ascii="Times New Roman" w:hAnsi="Times New Roman"/>
                <w:sz w:val="20"/>
                <w:szCs w:val="20"/>
              </w:rPr>
              <w:t>UNEP 2013c</w:t>
            </w:r>
          </w:p>
        </w:tc>
        <w:tc>
          <w:tcPr>
            <w:tcW w:w="7796" w:type="dxa"/>
          </w:tcPr>
          <w:p w:rsidR="00D36648" w:rsidRPr="00502CE8" w:rsidRDefault="00D36648" w:rsidP="00396E29">
            <w:pPr>
              <w:spacing w:before="60" w:after="60"/>
              <w:jc w:val="left"/>
              <w:rPr>
                <w:rFonts w:eastAsia="Times New Roman" w:cs="Times New Roman"/>
                <w:sz w:val="20"/>
                <w:szCs w:val="20"/>
              </w:rPr>
            </w:pPr>
            <w:r>
              <w:rPr>
                <w:rFonts w:eastAsia="Times New Roman" w:cs="Times New Roman"/>
                <w:sz w:val="20"/>
                <w:szCs w:val="20"/>
              </w:rPr>
              <w:t>Report of the Technology and Economic Assessment Panel, Decision XXIV Task force Report, Additional Information on Alternatives on ODS, United Nations Environment Programme, 21 October 2013, September 2013.</w:t>
            </w:r>
          </w:p>
        </w:tc>
      </w:tr>
      <w:tr w:rsidR="00D36648" w:rsidRPr="00D37A89" w:rsidTr="00396E29">
        <w:trPr>
          <w:trHeight w:val="342"/>
        </w:trPr>
        <w:tc>
          <w:tcPr>
            <w:tcW w:w="1951" w:type="dxa"/>
          </w:tcPr>
          <w:p w:rsidR="00D36648" w:rsidRPr="00D37A89" w:rsidRDefault="00D36648" w:rsidP="00396E29">
            <w:pPr>
              <w:pStyle w:val="BodyText"/>
              <w:spacing w:before="60" w:after="60"/>
              <w:jc w:val="left"/>
              <w:rPr>
                <w:rFonts w:ascii="Times New Roman" w:hAnsi="Times New Roman"/>
                <w:sz w:val="20"/>
                <w:szCs w:val="20"/>
              </w:rPr>
            </w:pPr>
            <w:r>
              <w:rPr>
                <w:rFonts w:ascii="Times New Roman" w:hAnsi="Times New Roman"/>
                <w:sz w:val="20"/>
                <w:szCs w:val="20"/>
              </w:rPr>
              <w:t>UNEP 2013</w:t>
            </w:r>
            <w:r w:rsidRPr="00683AD0">
              <w:rPr>
                <w:rFonts w:ascii="Times New Roman" w:hAnsi="Times New Roman"/>
                <w:sz w:val="20"/>
                <w:szCs w:val="20"/>
              </w:rPr>
              <w:t>d</w:t>
            </w:r>
          </w:p>
        </w:tc>
        <w:tc>
          <w:tcPr>
            <w:tcW w:w="7796" w:type="dxa"/>
          </w:tcPr>
          <w:p w:rsidR="00D36648" w:rsidRPr="00D37A89" w:rsidRDefault="00D36648" w:rsidP="00396E29">
            <w:pPr>
              <w:spacing w:before="60" w:after="60"/>
              <w:jc w:val="left"/>
              <w:rPr>
                <w:rFonts w:eastAsia="Times New Roman" w:cs="Times New Roman"/>
                <w:sz w:val="20"/>
                <w:szCs w:val="20"/>
              </w:rPr>
            </w:pPr>
            <w:r w:rsidRPr="00502CE8">
              <w:rPr>
                <w:rFonts w:eastAsia="Times New Roman" w:cs="Times New Roman"/>
                <w:sz w:val="20"/>
                <w:szCs w:val="20"/>
              </w:rPr>
              <w:t>May 2013 progress report of the Technology and Economic, Assessment Panel, Volume 2, Decision XXIV/7 Task Force Report, Additional Information on Alternatives to ODS Draft Report for the Thirty-third Meeting of the Open-ended Working Group)</w:t>
            </w:r>
            <w:r>
              <w:rPr>
                <w:rFonts w:eastAsia="Times New Roman" w:cs="Times New Roman"/>
                <w:sz w:val="20"/>
                <w:szCs w:val="20"/>
              </w:rPr>
              <w:t>.</w:t>
            </w:r>
          </w:p>
        </w:tc>
      </w:tr>
      <w:tr w:rsidR="00D36648" w:rsidRPr="00D37A89" w:rsidTr="00396E29">
        <w:trPr>
          <w:trHeight w:val="342"/>
        </w:trPr>
        <w:tc>
          <w:tcPr>
            <w:tcW w:w="1951" w:type="dxa"/>
          </w:tcPr>
          <w:p w:rsidR="00D36648" w:rsidRPr="00D37A89" w:rsidRDefault="00D36648" w:rsidP="00396E29">
            <w:pPr>
              <w:pStyle w:val="BodyText"/>
              <w:spacing w:before="60" w:after="60"/>
              <w:jc w:val="left"/>
              <w:rPr>
                <w:rFonts w:ascii="Times New Roman" w:hAnsi="Times New Roman"/>
                <w:sz w:val="20"/>
                <w:szCs w:val="20"/>
              </w:rPr>
            </w:pPr>
            <w:r>
              <w:rPr>
                <w:rFonts w:ascii="Times New Roman" w:hAnsi="Times New Roman"/>
                <w:sz w:val="20"/>
                <w:szCs w:val="20"/>
              </w:rPr>
              <w:t>UNEP 2013</w:t>
            </w:r>
            <w:r w:rsidRPr="00683AD0">
              <w:rPr>
                <w:rFonts w:ascii="Times New Roman" w:hAnsi="Times New Roman"/>
                <w:sz w:val="20"/>
                <w:szCs w:val="20"/>
              </w:rPr>
              <w:t>e</w:t>
            </w:r>
          </w:p>
        </w:tc>
        <w:tc>
          <w:tcPr>
            <w:tcW w:w="7796" w:type="dxa"/>
          </w:tcPr>
          <w:p w:rsidR="00D36648" w:rsidRPr="00D37A89" w:rsidRDefault="00D36648" w:rsidP="00396E29">
            <w:pPr>
              <w:spacing w:before="60" w:after="60"/>
              <w:jc w:val="left"/>
              <w:rPr>
                <w:rFonts w:eastAsia="Times New Roman" w:cs="Times New Roman"/>
                <w:sz w:val="20"/>
                <w:szCs w:val="20"/>
              </w:rPr>
            </w:pPr>
            <w:r w:rsidRPr="0086323E">
              <w:rPr>
                <w:rFonts w:eastAsia="Times New Roman" w:cs="Times New Roman"/>
                <w:sz w:val="20"/>
                <w:szCs w:val="20"/>
              </w:rPr>
              <w:t>Issues for discussion by and information for the attention of the Open-ended Working Group of the Parties to the Montreal Protocol at its thirty-third meeting</w:t>
            </w:r>
            <w:r>
              <w:rPr>
                <w:rFonts w:eastAsia="Times New Roman" w:cs="Times New Roman"/>
                <w:sz w:val="20"/>
                <w:szCs w:val="20"/>
              </w:rPr>
              <w:t>, United Nations Environment Programme, 17 May 2013.</w:t>
            </w:r>
          </w:p>
        </w:tc>
      </w:tr>
      <w:tr w:rsidR="00D36648" w:rsidRPr="00D37A89" w:rsidTr="00396E29">
        <w:trPr>
          <w:trHeight w:val="342"/>
        </w:trPr>
        <w:tc>
          <w:tcPr>
            <w:tcW w:w="1951" w:type="dxa"/>
          </w:tcPr>
          <w:p w:rsidR="00D36648" w:rsidRDefault="00D36648" w:rsidP="00396E29">
            <w:pPr>
              <w:pStyle w:val="BodyText"/>
              <w:spacing w:before="60" w:after="60"/>
              <w:jc w:val="left"/>
              <w:rPr>
                <w:rFonts w:ascii="Times New Roman" w:hAnsi="Times New Roman"/>
                <w:sz w:val="20"/>
                <w:szCs w:val="20"/>
              </w:rPr>
            </w:pPr>
            <w:r>
              <w:rPr>
                <w:rFonts w:ascii="Times New Roman" w:hAnsi="Times New Roman"/>
                <w:sz w:val="20"/>
                <w:szCs w:val="20"/>
              </w:rPr>
              <w:t>UNEP 2011</w:t>
            </w:r>
          </w:p>
        </w:tc>
        <w:tc>
          <w:tcPr>
            <w:tcW w:w="7796" w:type="dxa"/>
          </w:tcPr>
          <w:p w:rsidR="00D36648" w:rsidRDefault="00D36648" w:rsidP="00396E29">
            <w:pPr>
              <w:spacing w:before="60" w:after="60"/>
              <w:rPr>
                <w:rFonts w:eastAsia="Times New Roman" w:cs="Times New Roman"/>
                <w:sz w:val="20"/>
                <w:szCs w:val="20"/>
              </w:rPr>
            </w:pPr>
            <w:r w:rsidRPr="00423746">
              <w:rPr>
                <w:rFonts w:eastAsia="Times New Roman" w:cs="Times New Roman"/>
                <w:sz w:val="20"/>
                <w:szCs w:val="20"/>
              </w:rPr>
              <w:t>Barriers to the use of low GWP refrigerants in developing countrie</w:t>
            </w:r>
            <w:r>
              <w:rPr>
                <w:rFonts w:eastAsia="Times New Roman" w:cs="Times New Roman"/>
                <w:sz w:val="20"/>
                <w:szCs w:val="20"/>
              </w:rPr>
              <w:t>s and opportunities to overcome</w:t>
            </w:r>
            <w:r w:rsidRPr="00423746">
              <w:rPr>
                <w:rFonts w:eastAsia="Times New Roman" w:cs="Times New Roman"/>
                <w:sz w:val="20"/>
                <w:szCs w:val="20"/>
              </w:rPr>
              <w:t xml:space="preserve"> these, United Nations Environment Program, May 2011</w:t>
            </w:r>
            <w:r>
              <w:rPr>
                <w:rFonts w:eastAsia="Times New Roman" w:cs="Times New Roman"/>
                <w:sz w:val="20"/>
                <w:szCs w:val="20"/>
              </w:rPr>
              <w:t>.</w:t>
            </w:r>
          </w:p>
        </w:tc>
      </w:tr>
      <w:tr w:rsidR="00D36648" w:rsidRPr="00D37A89" w:rsidTr="00396E29">
        <w:trPr>
          <w:trHeight w:val="342"/>
        </w:trPr>
        <w:tc>
          <w:tcPr>
            <w:tcW w:w="1951" w:type="dxa"/>
          </w:tcPr>
          <w:p w:rsidR="00D36648" w:rsidRPr="00D37A89" w:rsidRDefault="00D36648" w:rsidP="00396E29">
            <w:pPr>
              <w:pStyle w:val="BodyText"/>
              <w:spacing w:before="60" w:after="60"/>
              <w:jc w:val="left"/>
              <w:rPr>
                <w:rFonts w:ascii="Times New Roman" w:hAnsi="Times New Roman"/>
                <w:sz w:val="20"/>
                <w:szCs w:val="20"/>
              </w:rPr>
            </w:pPr>
            <w:r>
              <w:rPr>
                <w:rFonts w:ascii="Times New Roman" w:hAnsi="Times New Roman"/>
                <w:sz w:val="20"/>
                <w:szCs w:val="20"/>
              </w:rPr>
              <w:t>UNEP 2010a</w:t>
            </w:r>
          </w:p>
        </w:tc>
        <w:tc>
          <w:tcPr>
            <w:tcW w:w="7796" w:type="dxa"/>
          </w:tcPr>
          <w:p w:rsidR="00D36648" w:rsidRPr="00D37A89" w:rsidRDefault="00D36648" w:rsidP="00396E29">
            <w:pPr>
              <w:spacing w:before="60" w:after="60"/>
              <w:rPr>
                <w:rFonts w:eastAsia="Times New Roman" w:cs="Times New Roman"/>
                <w:sz w:val="20"/>
                <w:szCs w:val="20"/>
              </w:rPr>
            </w:pPr>
            <w:r>
              <w:rPr>
                <w:rFonts w:eastAsia="Times New Roman" w:cs="Times New Roman"/>
                <w:sz w:val="20"/>
                <w:szCs w:val="20"/>
              </w:rPr>
              <w:t xml:space="preserve">Report of the Refrigeration, Air Conditioning and Heat Pumps Technical Options Committee, 2010 Assessment, </w:t>
            </w:r>
            <w:r w:rsidRPr="00BB6BD3">
              <w:rPr>
                <w:rFonts w:eastAsia="Times New Roman" w:cs="Times New Roman"/>
                <w:sz w:val="20"/>
                <w:szCs w:val="20"/>
              </w:rPr>
              <w:t>Unite</w:t>
            </w:r>
            <w:r>
              <w:rPr>
                <w:rFonts w:eastAsia="Times New Roman" w:cs="Times New Roman"/>
                <w:sz w:val="20"/>
                <w:szCs w:val="20"/>
              </w:rPr>
              <w:t>d Nations Environment Programme</w:t>
            </w:r>
            <w:r w:rsidRPr="00BB6BD3">
              <w:rPr>
                <w:rFonts w:eastAsia="Times New Roman" w:cs="Times New Roman"/>
                <w:sz w:val="20"/>
                <w:szCs w:val="20"/>
              </w:rPr>
              <w:t>, Technology and Economic Assessment Panel</w:t>
            </w:r>
            <w:r>
              <w:rPr>
                <w:rFonts w:eastAsia="Times New Roman" w:cs="Times New Roman"/>
                <w:sz w:val="20"/>
                <w:szCs w:val="20"/>
              </w:rPr>
              <w:t>, 2010.</w:t>
            </w:r>
          </w:p>
        </w:tc>
      </w:tr>
      <w:tr w:rsidR="00D36648" w:rsidRPr="00D37A89" w:rsidTr="00396E29">
        <w:trPr>
          <w:trHeight w:val="342"/>
        </w:trPr>
        <w:tc>
          <w:tcPr>
            <w:tcW w:w="1951" w:type="dxa"/>
          </w:tcPr>
          <w:p w:rsidR="00D36648" w:rsidRPr="00D37A89" w:rsidRDefault="00D36648" w:rsidP="00396E29">
            <w:pPr>
              <w:pStyle w:val="BodyText"/>
              <w:spacing w:before="60" w:after="60"/>
              <w:jc w:val="left"/>
              <w:rPr>
                <w:rFonts w:ascii="Times New Roman" w:hAnsi="Times New Roman"/>
                <w:sz w:val="20"/>
                <w:szCs w:val="20"/>
              </w:rPr>
            </w:pPr>
            <w:r>
              <w:rPr>
                <w:rFonts w:ascii="Times New Roman" w:hAnsi="Times New Roman"/>
                <w:sz w:val="20"/>
                <w:szCs w:val="20"/>
              </w:rPr>
              <w:t>UNEP 2010b</w:t>
            </w:r>
          </w:p>
        </w:tc>
        <w:tc>
          <w:tcPr>
            <w:tcW w:w="7796" w:type="dxa"/>
          </w:tcPr>
          <w:p w:rsidR="00D36648" w:rsidRPr="00D37A89" w:rsidRDefault="00D36648" w:rsidP="00396E29">
            <w:pPr>
              <w:spacing w:before="60" w:after="60"/>
              <w:jc w:val="left"/>
              <w:rPr>
                <w:rFonts w:eastAsia="Times New Roman" w:cs="Times New Roman"/>
                <w:sz w:val="20"/>
                <w:szCs w:val="20"/>
              </w:rPr>
            </w:pPr>
            <w:r>
              <w:rPr>
                <w:rFonts w:eastAsia="Times New Roman" w:cs="Times New Roman"/>
                <w:sz w:val="20"/>
                <w:szCs w:val="20"/>
              </w:rPr>
              <w:t xml:space="preserve">Rigid and Flexible Foam, 2010 Assessment, </w:t>
            </w:r>
            <w:r w:rsidRPr="00BB6BD3">
              <w:rPr>
                <w:rFonts w:eastAsia="Times New Roman" w:cs="Times New Roman"/>
                <w:sz w:val="20"/>
                <w:szCs w:val="20"/>
              </w:rPr>
              <w:t>Unite</w:t>
            </w:r>
            <w:r>
              <w:rPr>
                <w:rFonts w:eastAsia="Times New Roman" w:cs="Times New Roman"/>
                <w:sz w:val="20"/>
                <w:szCs w:val="20"/>
              </w:rPr>
              <w:t>d Nations Environment Programme</w:t>
            </w:r>
            <w:r w:rsidRPr="00BB6BD3">
              <w:rPr>
                <w:rFonts w:eastAsia="Times New Roman" w:cs="Times New Roman"/>
                <w:sz w:val="20"/>
                <w:szCs w:val="20"/>
              </w:rPr>
              <w:t>, Technology and Economic Assessment Panel</w:t>
            </w:r>
            <w:r>
              <w:rPr>
                <w:rFonts w:eastAsia="Times New Roman" w:cs="Times New Roman"/>
                <w:sz w:val="20"/>
                <w:szCs w:val="20"/>
              </w:rPr>
              <w:t>, 2010.</w:t>
            </w:r>
          </w:p>
        </w:tc>
      </w:tr>
      <w:tr w:rsidR="00D36648" w:rsidRPr="00D37A89" w:rsidTr="00396E29">
        <w:trPr>
          <w:trHeight w:val="342"/>
        </w:trPr>
        <w:tc>
          <w:tcPr>
            <w:tcW w:w="1951" w:type="dxa"/>
          </w:tcPr>
          <w:p w:rsidR="00D36648" w:rsidRPr="00D37A89" w:rsidRDefault="00D36648" w:rsidP="00396E29">
            <w:pPr>
              <w:pStyle w:val="BodyText"/>
              <w:spacing w:before="60" w:after="60"/>
              <w:jc w:val="left"/>
              <w:rPr>
                <w:rFonts w:ascii="Times New Roman" w:hAnsi="Times New Roman"/>
                <w:sz w:val="20"/>
                <w:szCs w:val="20"/>
              </w:rPr>
            </w:pPr>
            <w:r>
              <w:rPr>
                <w:rFonts w:ascii="Times New Roman" w:hAnsi="Times New Roman"/>
                <w:sz w:val="20"/>
                <w:szCs w:val="20"/>
              </w:rPr>
              <w:t>UNEP 2010c</w:t>
            </w:r>
          </w:p>
        </w:tc>
        <w:tc>
          <w:tcPr>
            <w:tcW w:w="7796" w:type="dxa"/>
          </w:tcPr>
          <w:p w:rsidR="00D36648" w:rsidRPr="00D37A89" w:rsidRDefault="00D36648" w:rsidP="00396E29">
            <w:pPr>
              <w:spacing w:before="60" w:after="60"/>
              <w:jc w:val="left"/>
              <w:rPr>
                <w:rFonts w:eastAsia="Times New Roman" w:cs="Times New Roman"/>
                <w:sz w:val="20"/>
                <w:szCs w:val="20"/>
              </w:rPr>
            </w:pPr>
            <w:r>
              <w:rPr>
                <w:rFonts w:eastAsia="Times New Roman" w:cs="Times New Roman"/>
                <w:sz w:val="20"/>
                <w:szCs w:val="20"/>
              </w:rPr>
              <w:t xml:space="preserve">Chemical Technical Options Committee, 2010 Assessment, </w:t>
            </w:r>
            <w:r w:rsidRPr="00BB6BD3">
              <w:rPr>
                <w:rFonts w:eastAsia="Times New Roman" w:cs="Times New Roman"/>
                <w:sz w:val="20"/>
                <w:szCs w:val="20"/>
              </w:rPr>
              <w:t>Unite</w:t>
            </w:r>
            <w:r>
              <w:rPr>
                <w:rFonts w:eastAsia="Times New Roman" w:cs="Times New Roman"/>
                <w:sz w:val="20"/>
                <w:szCs w:val="20"/>
              </w:rPr>
              <w:t>d Nations Environment Programme</w:t>
            </w:r>
            <w:r w:rsidRPr="00BB6BD3">
              <w:rPr>
                <w:rFonts w:eastAsia="Times New Roman" w:cs="Times New Roman"/>
                <w:sz w:val="20"/>
                <w:szCs w:val="20"/>
              </w:rPr>
              <w:t>, Technology and Economic Assessment Panel</w:t>
            </w:r>
            <w:r>
              <w:rPr>
                <w:rFonts w:eastAsia="Times New Roman" w:cs="Times New Roman"/>
                <w:sz w:val="20"/>
                <w:szCs w:val="20"/>
              </w:rPr>
              <w:t>, 2010.</w:t>
            </w:r>
          </w:p>
        </w:tc>
      </w:tr>
      <w:tr w:rsidR="00D36648" w:rsidRPr="00D37A89" w:rsidTr="00396E29">
        <w:trPr>
          <w:trHeight w:val="342"/>
        </w:trPr>
        <w:tc>
          <w:tcPr>
            <w:tcW w:w="1951" w:type="dxa"/>
          </w:tcPr>
          <w:p w:rsidR="00D36648" w:rsidRDefault="00D36648" w:rsidP="00396E29">
            <w:pPr>
              <w:pStyle w:val="BodyText"/>
              <w:spacing w:before="60" w:after="60"/>
              <w:jc w:val="left"/>
              <w:rPr>
                <w:rFonts w:ascii="Times New Roman" w:hAnsi="Times New Roman"/>
                <w:sz w:val="20"/>
                <w:szCs w:val="20"/>
              </w:rPr>
            </w:pPr>
            <w:r>
              <w:rPr>
                <w:rFonts w:ascii="Times New Roman" w:hAnsi="Times New Roman"/>
                <w:sz w:val="20"/>
                <w:szCs w:val="20"/>
              </w:rPr>
              <w:t>UNEP 2010d</w:t>
            </w:r>
          </w:p>
        </w:tc>
        <w:tc>
          <w:tcPr>
            <w:tcW w:w="7796" w:type="dxa"/>
          </w:tcPr>
          <w:p w:rsidR="00D36648" w:rsidRDefault="00D36648" w:rsidP="00396E29">
            <w:pPr>
              <w:spacing w:before="60" w:after="60"/>
              <w:jc w:val="left"/>
              <w:rPr>
                <w:rFonts w:eastAsia="Times New Roman" w:cs="Times New Roman"/>
                <w:sz w:val="20"/>
                <w:szCs w:val="20"/>
              </w:rPr>
            </w:pPr>
            <w:r>
              <w:rPr>
                <w:rFonts w:eastAsia="Times New Roman" w:cs="Times New Roman"/>
                <w:sz w:val="20"/>
                <w:szCs w:val="20"/>
              </w:rPr>
              <w:t xml:space="preserve">Report of the Medical Technical Options Committee, 2010 Assessment, </w:t>
            </w:r>
            <w:r w:rsidRPr="00BB6BD3">
              <w:rPr>
                <w:rFonts w:eastAsia="Times New Roman" w:cs="Times New Roman"/>
                <w:sz w:val="20"/>
                <w:szCs w:val="20"/>
              </w:rPr>
              <w:t>Unite</w:t>
            </w:r>
            <w:r>
              <w:rPr>
                <w:rFonts w:eastAsia="Times New Roman" w:cs="Times New Roman"/>
                <w:sz w:val="20"/>
                <w:szCs w:val="20"/>
              </w:rPr>
              <w:t>d Nations Environment Programme</w:t>
            </w:r>
            <w:r w:rsidRPr="00BB6BD3">
              <w:rPr>
                <w:rFonts w:eastAsia="Times New Roman" w:cs="Times New Roman"/>
                <w:sz w:val="20"/>
                <w:szCs w:val="20"/>
              </w:rPr>
              <w:t>, Technology and Economic Assessment Panel</w:t>
            </w:r>
            <w:r>
              <w:rPr>
                <w:rFonts w:eastAsia="Times New Roman" w:cs="Times New Roman"/>
                <w:sz w:val="20"/>
                <w:szCs w:val="20"/>
              </w:rPr>
              <w:t>, 2010.</w:t>
            </w:r>
          </w:p>
        </w:tc>
      </w:tr>
      <w:tr w:rsidR="00D36648" w:rsidRPr="00D37A89" w:rsidTr="00396E29">
        <w:trPr>
          <w:trHeight w:val="342"/>
        </w:trPr>
        <w:tc>
          <w:tcPr>
            <w:tcW w:w="1951" w:type="dxa"/>
          </w:tcPr>
          <w:p w:rsidR="00D36648" w:rsidRDefault="00D36648" w:rsidP="00396E29">
            <w:pPr>
              <w:pStyle w:val="BodyText"/>
              <w:spacing w:before="60" w:after="60"/>
              <w:jc w:val="left"/>
              <w:rPr>
                <w:rFonts w:ascii="Times New Roman" w:hAnsi="Times New Roman"/>
                <w:sz w:val="20"/>
                <w:szCs w:val="20"/>
              </w:rPr>
            </w:pPr>
            <w:r>
              <w:rPr>
                <w:rFonts w:ascii="Times New Roman" w:hAnsi="Times New Roman"/>
                <w:sz w:val="20"/>
                <w:szCs w:val="20"/>
              </w:rPr>
              <w:t>US EPA 2013</w:t>
            </w:r>
          </w:p>
        </w:tc>
        <w:tc>
          <w:tcPr>
            <w:tcW w:w="7796" w:type="dxa"/>
          </w:tcPr>
          <w:p w:rsidR="00D36648" w:rsidRDefault="00D36648" w:rsidP="00DF6FF3">
            <w:pPr>
              <w:spacing w:before="60" w:after="60"/>
              <w:jc w:val="left"/>
              <w:rPr>
                <w:rFonts w:eastAsia="Times New Roman" w:cs="Times New Roman"/>
                <w:sz w:val="20"/>
                <w:szCs w:val="20"/>
              </w:rPr>
            </w:pPr>
            <w:r w:rsidRPr="00DF6FF3">
              <w:rPr>
                <w:sz w:val="20"/>
                <w:szCs w:val="20"/>
              </w:rPr>
              <w:t xml:space="preserve">U.S. Environmental Protection Agency calculations submitted to </w:t>
            </w:r>
            <w:r w:rsidRPr="00DF6FF3">
              <w:rPr>
                <w:rFonts w:eastAsia="Times New Roman" w:cs="Times New Roman"/>
                <w:sz w:val="20"/>
                <w:szCs w:val="20"/>
              </w:rPr>
              <w:t>United Nations Environment Programme</w:t>
            </w:r>
            <w:r w:rsidRPr="00DF6FF3">
              <w:rPr>
                <w:sz w:val="20"/>
                <w:szCs w:val="20"/>
              </w:rPr>
              <w:t>, 2013.</w:t>
            </w:r>
          </w:p>
        </w:tc>
      </w:tr>
      <w:tr w:rsidR="00D36648" w:rsidRPr="00D37A89" w:rsidTr="00AA5820">
        <w:trPr>
          <w:trHeight w:val="342"/>
        </w:trPr>
        <w:tc>
          <w:tcPr>
            <w:tcW w:w="1951" w:type="dxa"/>
          </w:tcPr>
          <w:p w:rsidR="00D36648" w:rsidRPr="00DF6FF3" w:rsidRDefault="00D36648" w:rsidP="00396E29">
            <w:pPr>
              <w:pStyle w:val="BodyText"/>
              <w:spacing w:before="60" w:after="60"/>
              <w:jc w:val="left"/>
              <w:rPr>
                <w:rFonts w:ascii="Times New Roman" w:hAnsi="Times New Roman"/>
                <w:sz w:val="20"/>
                <w:szCs w:val="20"/>
              </w:rPr>
            </w:pPr>
            <w:r w:rsidRPr="00DF6FF3">
              <w:rPr>
                <w:rFonts w:ascii="Times New Roman" w:hAnsi="Times New Roman"/>
                <w:sz w:val="20"/>
                <w:szCs w:val="20"/>
              </w:rPr>
              <w:t>US EPA 2010a</w:t>
            </w:r>
          </w:p>
        </w:tc>
        <w:tc>
          <w:tcPr>
            <w:tcW w:w="7796" w:type="dxa"/>
            <w:vAlign w:val="bottom"/>
          </w:tcPr>
          <w:p w:rsidR="00D36648" w:rsidRPr="00DF6FF3" w:rsidRDefault="00D36648" w:rsidP="00396E29">
            <w:pPr>
              <w:spacing w:before="60" w:after="60"/>
              <w:jc w:val="left"/>
              <w:rPr>
                <w:rFonts w:eastAsia="Times New Roman" w:cs="Times New Roman"/>
                <w:sz w:val="20"/>
                <w:szCs w:val="20"/>
              </w:rPr>
            </w:pPr>
            <w:r w:rsidRPr="00DF6FF3">
              <w:rPr>
                <w:sz w:val="20"/>
                <w:szCs w:val="20"/>
              </w:rPr>
              <w:t>Transitioning to low GWP alternatives, fact sheets by application, U.S. Environmental Protection Agency, October 2010.</w:t>
            </w:r>
          </w:p>
        </w:tc>
      </w:tr>
      <w:tr w:rsidR="00D36648" w:rsidRPr="00D37A89" w:rsidTr="00AA5820">
        <w:trPr>
          <w:trHeight w:val="342"/>
        </w:trPr>
        <w:tc>
          <w:tcPr>
            <w:tcW w:w="1951" w:type="dxa"/>
          </w:tcPr>
          <w:p w:rsidR="00D36648" w:rsidRPr="00DF6FF3" w:rsidRDefault="00D36648" w:rsidP="00396E29">
            <w:pPr>
              <w:pStyle w:val="BodyText"/>
              <w:spacing w:before="60" w:after="60"/>
              <w:jc w:val="left"/>
              <w:rPr>
                <w:rFonts w:ascii="Times New Roman" w:hAnsi="Times New Roman"/>
                <w:sz w:val="20"/>
                <w:szCs w:val="20"/>
              </w:rPr>
            </w:pPr>
            <w:r w:rsidRPr="00DF6FF3">
              <w:rPr>
                <w:rFonts w:ascii="Times New Roman" w:hAnsi="Times New Roman"/>
                <w:sz w:val="20"/>
                <w:szCs w:val="20"/>
              </w:rPr>
              <w:t>US EPA 2010b</w:t>
            </w:r>
          </w:p>
        </w:tc>
        <w:tc>
          <w:tcPr>
            <w:tcW w:w="7796" w:type="dxa"/>
            <w:vAlign w:val="bottom"/>
          </w:tcPr>
          <w:p w:rsidR="00D36648" w:rsidRPr="00DF6FF3" w:rsidRDefault="00D36648" w:rsidP="00396E29">
            <w:pPr>
              <w:spacing w:before="60" w:after="60"/>
              <w:jc w:val="left"/>
              <w:rPr>
                <w:rFonts w:eastAsia="Times New Roman" w:cs="Times New Roman"/>
                <w:sz w:val="20"/>
                <w:szCs w:val="20"/>
              </w:rPr>
            </w:pPr>
            <w:r w:rsidRPr="00DF6FF3">
              <w:rPr>
                <w:sz w:val="20"/>
                <w:szCs w:val="20"/>
              </w:rPr>
              <w:t>Significant New Alternatives Policy (SNAP) Program, U.S. Environmental Protection Agency, June 2010.</w:t>
            </w:r>
          </w:p>
        </w:tc>
      </w:tr>
    </w:tbl>
    <w:p w:rsidR="009C5D4F" w:rsidRDefault="009C5D4F" w:rsidP="00CC2CA6">
      <w:pPr>
        <w:spacing w:before="0"/>
        <w:jc w:val="left"/>
        <w:rPr>
          <w:szCs w:val="22"/>
        </w:rPr>
      </w:pPr>
    </w:p>
    <w:p w:rsidR="00CC2CA6" w:rsidRDefault="00CC2CA6">
      <w:pPr>
        <w:spacing w:before="0"/>
        <w:jc w:val="left"/>
        <w:rPr>
          <w:szCs w:val="22"/>
        </w:rPr>
      </w:pPr>
    </w:p>
    <w:p w:rsidR="00925DF3" w:rsidRDefault="00925DF3">
      <w:pPr>
        <w:spacing w:before="0"/>
        <w:jc w:val="left"/>
        <w:rPr>
          <w:szCs w:val="22"/>
        </w:rPr>
      </w:pPr>
      <w:r>
        <w:rPr>
          <w:szCs w:val="22"/>
        </w:rPr>
        <w:br w:type="page"/>
      </w:r>
    </w:p>
    <w:p w:rsidR="00B554F4" w:rsidRDefault="00B554F4" w:rsidP="00CD35E8">
      <w:pPr>
        <w:spacing w:before="0"/>
        <w:jc w:val="left"/>
        <w:rPr>
          <w:rFonts w:asciiTheme="majorHAnsi" w:hAnsiTheme="majorHAnsi"/>
          <w:b/>
          <w:sz w:val="32"/>
          <w:szCs w:val="32"/>
        </w:rPr>
      </w:pPr>
      <w:r w:rsidRPr="00220AB1">
        <w:rPr>
          <w:rFonts w:asciiTheme="majorHAnsi" w:hAnsiTheme="majorHAnsi"/>
          <w:b/>
          <w:sz w:val="32"/>
          <w:szCs w:val="32"/>
        </w:rPr>
        <w:t>Appendix</w:t>
      </w:r>
      <w:r>
        <w:rPr>
          <w:rFonts w:asciiTheme="majorHAnsi" w:hAnsiTheme="majorHAnsi"/>
          <w:b/>
          <w:sz w:val="32"/>
          <w:szCs w:val="32"/>
        </w:rPr>
        <w:t xml:space="preserve"> </w:t>
      </w:r>
      <w:r w:rsidRPr="00482A8A">
        <w:rPr>
          <w:rFonts w:asciiTheme="majorHAnsi" w:hAnsiTheme="majorHAnsi"/>
          <w:b/>
          <w:sz w:val="32"/>
          <w:szCs w:val="32"/>
        </w:rPr>
        <w:t>A:</w:t>
      </w:r>
      <w:r w:rsidRPr="00220AB1">
        <w:rPr>
          <w:rFonts w:asciiTheme="majorHAnsi" w:hAnsiTheme="majorHAnsi"/>
          <w:b/>
          <w:sz w:val="32"/>
          <w:szCs w:val="32"/>
        </w:rPr>
        <w:t xml:space="preserve"> </w:t>
      </w:r>
      <w:r w:rsidR="00FE41C2" w:rsidRPr="00FE41C2">
        <w:rPr>
          <w:rFonts w:asciiTheme="majorHAnsi" w:hAnsiTheme="majorHAnsi"/>
          <w:b/>
          <w:sz w:val="32"/>
          <w:szCs w:val="32"/>
        </w:rPr>
        <w:t>The NAA Proposal</w:t>
      </w:r>
    </w:p>
    <w:p w:rsidR="00CA72DB" w:rsidRPr="005D159D" w:rsidRDefault="00FE41C2" w:rsidP="00AA5820">
      <w:pPr>
        <w:spacing w:after="120"/>
        <w:jc w:val="left"/>
        <w:rPr>
          <w:i/>
          <w:szCs w:val="22"/>
        </w:rPr>
      </w:pPr>
      <w:r w:rsidRPr="00FE41C2">
        <w:rPr>
          <w:rFonts w:asciiTheme="majorHAnsi" w:hAnsiTheme="majorHAnsi"/>
          <w:b/>
          <w:sz w:val="28"/>
          <w:szCs w:val="28"/>
        </w:rPr>
        <w:t>A1: Summary of NAA proposal baseline calculations</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1134"/>
        <w:gridCol w:w="992"/>
        <w:gridCol w:w="1134"/>
        <w:gridCol w:w="1134"/>
        <w:gridCol w:w="992"/>
        <w:gridCol w:w="992"/>
        <w:gridCol w:w="1134"/>
      </w:tblGrid>
      <w:tr w:rsidR="006E1935" w:rsidRPr="006E1935" w:rsidTr="006E1935">
        <w:trPr>
          <w:trHeight w:val="456"/>
        </w:trPr>
        <w:tc>
          <w:tcPr>
            <w:tcW w:w="2127" w:type="dxa"/>
            <w:tcBorders>
              <w:top w:val="single" w:sz="4" w:space="0" w:color="000000"/>
              <w:right w:val="single" w:sz="4" w:space="0" w:color="FFFFFF" w:themeColor="background1"/>
            </w:tcBorders>
            <w:shd w:val="clear" w:color="auto" w:fill="0C0C0C"/>
            <w:vAlign w:val="center"/>
          </w:tcPr>
          <w:p w:rsidR="006E1935" w:rsidRPr="006E1935" w:rsidRDefault="006E1935" w:rsidP="00FE41C2">
            <w:pPr>
              <w:spacing w:after="120"/>
              <w:ind w:left="34"/>
              <w:jc w:val="left"/>
              <w:rPr>
                <w:rFonts w:cs="Times New Roman"/>
                <w:szCs w:val="22"/>
              </w:rPr>
            </w:pPr>
            <w:r w:rsidRPr="006E1935">
              <w:rPr>
                <w:rFonts w:eastAsia="Times New Roman" w:cs="Times New Roman"/>
                <w:color w:val="FFFFFF"/>
                <w:szCs w:val="22"/>
              </w:rPr>
              <w:t>HCFC Bulk imports (tonnes)</w:t>
            </w:r>
          </w:p>
        </w:tc>
        <w:tc>
          <w:tcPr>
            <w:tcW w:w="1134" w:type="dxa"/>
            <w:tcBorders>
              <w:top w:val="single" w:sz="4" w:space="0" w:color="000000"/>
              <w:left w:val="single" w:sz="4" w:space="0" w:color="FFFFFF" w:themeColor="background1"/>
              <w:right w:val="single" w:sz="4" w:space="0" w:color="FFFFFF" w:themeColor="background1"/>
            </w:tcBorders>
            <w:shd w:val="clear" w:color="auto" w:fill="0C0C0C"/>
            <w:vAlign w:val="center"/>
          </w:tcPr>
          <w:p w:rsidR="006E1935" w:rsidRPr="006E1935" w:rsidRDefault="006E1935" w:rsidP="00FE41C2">
            <w:pPr>
              <w:spacing w:after="120"/>
              <w:jc w:val="center"/>
              <w:rPr>
                <w:rFonts w:cs="Times New Roman"/>
                <w:szCs w:val="22"/>
              </w:rPr>
            </w:pPr>
            <w:r w:rsidRPr="006E1935">
              <w:rPr>
                <w:rFonts w:eastAsia="Times New Roman" w:cs="Times New Roman"/>
                <w:color w:val="FFFFFF"/>
                <w:szCs w:val="22"/>
              </w:rPr>
              <w:t>2008</w:t>
            </w:r>
          </w:p>
        </w:tc>
        <w:tc>
          <w:tcPr>
            <w:tcW w:w="992" w:type="dxa"/>
            <w:tcBorders>
              <w:top w:val="single" w:sz="4" w:space="0" w:color="000000"/>
              <w:left w:val="single" w:sz="4" w:space="0" w:color="FFFFFF" w:themeColor="background1"/>
              <w:right w:val="single" w:sz="4" w:space="0" w:color="FFFFFF" w:themeColor="background1"/>
            </w:tcBorders>
            <w:shd w:val="clear" w:color="auto" w:fill="0C0C0C"/>
            <w:vAlign w:val="center"/>
          </w:tcPr>
          <w:p w:rsidR="006E1935" w:rsidRPr="006E1935" w:rsidRDefault="006E1935" w:rsidP="00FE41C2">
            <w:pPr>
              <w:spacing w:after="120"/>
              <w:jc w:val="center"/>
              <w:rPr>
                <w:rFonts w:cs="Times New Roman"/>
                <w:szCs w:val="22"/>
              </w:rPr>
            </w:pPr>
            <w:r w:rsidRPr="006E1935">
              <w:rPr>
                <w:rFonts w:eastAsia="Times New Roman" w:cs="Times New Roman"/>
                <w:color w:val="FFFFFF"/>
                <w:szCs w:val="22"/>
              </w:rPr>
              <w:t>2009</w:t>
            </w:r>
          </w:p>
        </w:tc>
        <w:tc>
          <w:tcPr>
            <w:tcW w:w="1134" w:type="dxa"/>
            <w:tcBorders>
              <w:top w:val="single" w:sz="4" w:space="0" w:color="000000"/>
              <w:left w:val="single" w:sz="4" w:space="0" w:color="FFFFFF" w:themeColor="background1"/>
              <w:right w:val="single" w:sz="4" w:space="0" w:color="FFFFFF" w:themeColor="background1"/>
            </w:tcBorders>
            <w:shd w:val="clear" w:color="auto" w:fill="0C0C0C"/>
            <w:vAlign w:val="center"/>
          </w:tcPr>
          <w:p w:rsidR="006E1935" w:rsidRPr="006E1935" w:rsidRDefault="006E1935" w:rsidP="00FE41C2">
            <w:pPr>
              <w:spacing w:after="120"/>
              <w:jc w:val="center"/>
              <w:rPr>
                <w:rFonts w:cs="Times New Roman"/>
                <w:szCs w:val="22"/>
              </w:rPr>
            </w:pPr>
            <w:r w:rsidRPr="006E1935">
              <w:rPr>
                <w:rFonts w:eastAsia="Times New Roman" w:cs="Times New Roman"/>
                <w:color w:val="FFFFFF"/>
                <w:szCs w:val="22"/>
              </w:rPr>
              <w:t>2010</w:t>
            </w:r>
          </w:p>
        </w:tc>
        <w:tc>
          <w:tcPr>
            <w:tcW w:w="1134" w:type="dxa"/>
            <w:tcBorders>
              <w:top w:val="single" w:sz="4" w:space="0" w:color="000000"/>
              <w:left w:val="single" w:sz="4" w:space="0" w:color="FFFFFF" w:themeColor="background1"/>
              <w:right w:val="single" w:sz="4" w:space="0" w:color="FFFFFF" w:themeColor="background1"/>
            </w:tcBorders>
            <w:shd w:val="clear" w:color="auto" w:fill="0C0C0C"/>
            <w:vAlign w:val="center"/>
          </w:tcPr>
          <w:p w:rsidR="006E1935" w:rsidRDefault="006E1935" w:rsidP="00F01307">
            <w:pPr>
              <w:spacing w:before="0"/>
              <w:jc w:val="center"/>
              <w:rPr>
                <w:rFonts w:eastAsia="Times New Roman" w:cs="Times New Roman"/>
                <w:color w:val="FFFFFF"/>
                <w:szCs w:val="22"/>
              </w:rPr>
            </w:pPr>
            <w:r w:rsidRPr="006E1935">
              <w:rPr>
                <w:rFonts w:eastAsia="Times New Roman" w:cs="Times New Roman"/>
                <w:color w:val="FFFFFF"/>
                <w:szCs w:val="22"/>
              </w:rPr>
              <w:t>Average</w:t>
            </w:r>
          </w:p>
          <w:p w:rsidR="00F01307" w:rsidRPr="006E1935" w:rsidRDefault="00F01307" w:rsidP="00F01307">
            <w:pPr>
              <w:spacing w:before="0"/>
              <w:jc w:val="center"/>
              <w:rPr>
                <w:rFonts w:cs="Times New Roman"/>
                <w:szCs w:val="22"/>
              </w:rPr>
            </w:pPr>
            <w:r>
              <w:rPr>
                <w:rFonts w:eastAsia="Times New Roman" w:cs="Times New Roman"/>
                <w:color w:val="FFFFFF"/>
                <w:szCs w:val="22"/>
              </w:rPr>
              <w:t>(AR2)</w:t>
            </w:r>
          </w:p>
        </w:tc>
        <w:tc>
          <w:tcPr>
            <w:tcW w:w="992" w:type="dxa"/>
            <w:tcBorders>
              <w:top w:val="single" w:sz="4" w:space="0" w:color="000000"/>
              <w:left w:val="single" w:sz="4" w:space="0" w:color="FFFFFF" w:themeColor="background1"/>
              <w:right w:val="single" w:sz="4" w:space="0" w:color="FFFFFF" w:themeColor="background1"/>
            </w:tcBorders>
            <w:shd w:val="clear" w:color="auto" w:fill="0C0C0C"/>
            <w:vAlign w:val="center"/>
          </w:tcPr>
          <w:p w:rsidR="006E1935" w:rsidRPr="006E1935" w:rsidRDefault="00F4421D" w:rsidP="00FE41C2">
            <w:pPr>
              <w:spacing w:after="120"/>
              <w:jc w:val="center"/>
              <w:rPr>
                <w:rFonts w:cs="Times New Roman"/>
                <w:szCs w:val="22"/>
              </w:rPr>
            </w:pPr>
            <w:r>
              <w:rPr>
                <w:rFonts w:eastAsia="Times New Roman" w:cs="Times New Roman"/>
                <w:color w:val="FFFFFF"/>
                <w:szCs w:val="22"/>
              </w:rPr>
              <w:t>85</w:t>
            </w:r>
            <w:r w:rsidR="006E1935" w:rsidRPr="006E1935">
              <w:rPr>
                <w:rFonts w:eastAsia="Times New Roman" w:cs="Times New Roman"/>
                <w:color w:val="FFFFFF"/>
                <w:szCs w:val="22"/>
              </w:rPr>
              <w:t>% of av.</w:t>
            </w:r>
          </w:p>
        </w:tc>
        <w:tc>
          <w:tcPr>
            <w:tcW w:w="992" w:type="dxa"/>
            <w:tcBorders>
              <w:top w:val="single" w:sz="4" w:space="0" w:color="000000"/>
              <w:left w:val="single" w:sz="4" w:space="0" w:color="FFFFFF" w:themeColor="background1"/>
              <w:right w:val="single" w:sz="4" w:space="0" w:color="FFFFFF" w:themeColor="background1"/>
            </w:tcBorders>
            <w:shd w:val="clear" w:color="auto" w:fill="0C0C0C"/>
            <w:vAlign w:val="center"/>
          </w:tcPr>
          <w:p w:rsidR="00CD35E8" w:rsidRPr="00CD35E8" w:rsidRDefault="006E1935" w:rsidP="00FE41C2">
            <w:pPr>
              <w:spacing w:after="120"/>
              <w:jc w:val="center"/>
              <w:rPr>
                <w:rFonts w:eastAsia="Times New Roman" w:cs="Times New Roman"/>
                <w:color w:val="FFFFFF"/>
                <w:szCs w:val="22"/>
              </w:rPr>
            </w:pPr>
            <w:r w:rsidRPr="006E1935">
              <w:rPr>
                <w:rFonts w:eastAsia="Times New Roman" w:cs="Times New Roman"/>
                <w:color w:val="FFFFFF"/>
                <w:szCs w:val="22"/>
              </w:rPr>
              <w:t>GWP</w:t>
            </w:r>
            <w:r w:rsidR="00CD35E8">
              <w:rPr>
                <w:rFonts w:eastAsia="Times New Roman" w:cs="Times New Roman"/>
                <w:color w:val="FFFFFF"/>
                <w:szCs w:val="22"/>
              </w:rPr>
              <w:t xml:space="preserve"> (AR4)</w:t>
            </w:r>
          </w:p>
        </w:tc>
        <w:tc>
          <w:tcPr>
            <w:tcW w:w="1134" w:type="dxa"/>
            <w:tcBorders>
              <w:top w:val="single" w:sz="4" w:space="0" w:color="000000"/>
              <w:left w:val="single" w:sz="4" w:space="0" w:color="FFFFFF" w:themeColor="background1"/>
            </w:tcBorders>
            <w:shd w:val="clear" w:color="auto" w:fill="0C0C0C"/>
            <w:vAlign w:val="center"/>
          </w:tcPr>
          <w:p w:rsidR="006E1935" w:rsidRPr="006E1935" w:rsidRDefault="006E1935" w:rsidP="00FE41C2">
            <w:pPr>
              <w:spacing w:after="120"/>
              <w:jc w:val="center"/>
              <w:rPr>
                <w:rFonts w:cs="Times New Roman"/>
                <w:szCs w:val="22"/>
              </w:rPr>
            </w:pPr>
            <w:r w:rsidRPr="006E1935">
              <w:rPr>
                <w:rFonts w:eastAsia="Times New Roman" w:cs="Times New Roman"/>
                <w:color w:val="FFFFFF"/>
                <w:szCs w:val="22"/>
              </w:rPr>
              <w:t>kt CO</w:t>
            </w:r>
            <w:r w:rsidRPr="006E1935">
              <w:rPr>
                <w:rFonts w:eastAsia="Times New Roman" w:cs="Times New Roman"/>
                <w:color w:val="FFFFFF"/>
                <w:szCs w:val="22"/>
                <w:vertAlign w:val="subscript"/>
              </w:rPr>
              <w:t>2</w:t>
            </w:r>
            <w:r w:rsidR="00977C4A" w:rsidRPr="00F51E53">
              <w:rPr>
                <w:rFonts w:eastAsia="Times New Roman" w:cs="Times New Roman"/>
                <w:color w:val="FFFFFF"/>
                <w:szCs w:val="22"/>
              </w:rPr>
              <w:t>-</w:t>
            </w:r>
            <w:r w:rsidRPr="006E1935">
              <w:rPr>
                <w:rFonts w:eastAsia="Times New Roman" w:cs="Times New Roman"/>
                <w:color w:val="FFFFFF"/>
                <w:szCs w:val="22"/>
              </w:rPr>
              <w:t>e</w:t>
            </w:r>
            <w:r w:rsidR="00CD35E8">
              <w:rPr>
                <w:rFonts w:eastAsia="Times New Roman" w:cs="Times New Roman"/>
                <w:color w:val="FFFFFF"/>
                <w:szCs w:val="22"/>
              </w:rPr>
              <w:t xml:space="preserve"> (AR4)</w:t>
            </w:r>
          </w:p>
        </w:tc>
      </w:tr>
      <w:tr w:rsidR="00CD35E8" w:rsidRPr="00CA72DB" w:rsidTr="00CD35E8">
        <w:trPr>
          <w:trHeight w:val="456"/>
        </w:trPr>
        <w:tc>
          <w:tcPr>
            <w:tcW w:w="2127" w:type="dxa"/>
            <w:tcBorders>
              <w:top w:val="single" w:sz="4" w:space="0" w:color="000000"/>
            </w:tcBorders>
            <w:vAlign w:val="center"/>
          </w:tcPr>
          <w:p w:rsidR="00CD35E8" w:rsidRPr="00CA72DB" w:rsidRDefault="00CD35E8" w:rsidP="00432B56">
            <w:pPr>
              <w:spacing w:before="0"/>
              <w:jc w:val="left"/>
              <w:rPr>
                <w:sz w:val="20"/>
                <w:szCs w:val="20"/>
              </w:rPr>
            </w:pPr>
            <w:r w:rsidRPr="00CA72DB">
              <w:rPr>
                <w:sz w:val="20"/>
                <w:szCs w:val="20"/>
              </w:rPr>
              <w:t>HCFC-22</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1,447.8</w:t>
            </w:r>
          </w:p>
        </w:tc>
        <w:tc>
          <w:tcPr>
            <w:tcW w:w="992"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1,591.3</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1,105.1</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1,381.4</w:t>
            </w:r>
          </w:p>
        </w:tc>
        <w:tc>
          <w:tcPr>
            <w:tcW w:w="992"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1,174.2</w:t>
            </w:r>
          </w:p>
        </w:tc>
        <w:tc>
          <w:tcPr>
            <w:tcW w:w="992" w:type="dxa"/>
            <w:tcBorders>
              <w:top w:val="single" w:sz="4" w:space="0" w:color="000000"/>
            </w:tcBorders>
            <w:vAlign w:val="center"/>
          </w:tcPr>
          <w:p w:rsidR="00CD35E8" w:rsidRPr="00CA72DB" w:rsidRDefault="00CD35E8" w:rsidP="00CD35E8">
            <w:pPr>
              <w:spacing w:before="0"/>
              <w:jc w:val="center"/>
              <w:rPr>
                <w:sz w:val="20"/>
                <w:szCs w:val="20"/>
              </w:rPr>
            </w:pPr>
            <w:r w:rsidRPr="00CA72DB">
              <w:rPr>
                <w:sz w:val="20"/>
                <w:szCs w:val="20"/>
              </w:rPr>
              <w:t>1810</w:t>
            </w:r>
          </w:p>
        </w:tc>
        <w:tc>
          <w:tcPr>
            <w:tcW w:w="1134" w:type="dxa"/>
            <w:tcBorders>
              <w:top w:val="single" w:sz="4" w:space="0" w:color="000000"/>
            </w:tcBorders>
            <w:vAlign w:val="center"/>
          </w:tcPr>
          <w:p w:rsidR="00CD35E8" w:rsidRPr="00CA72DB" w:rsidRDefault="00CD35E8" w:rsidP="00CD35E8">
            <w:pPr>
              <w:spacing w:before="0"/>
              <w:jc w:val="center"/>
              <w:rPr>
                <w:sz w:val="20"/>
                <w:szCs w:val="20"/>
              </w:rPr>
            </w:pPr>
            <w:r w:rsidRPr="00CA72DB">
              <w:rPr>
                <w:sz w:val="20"/>
                <w:szCs w:val="20"/>
              </w:rPr>
              <w:t>2,125.3</w:t>
            </w:r>
          </w:p>
        </w:tc>
      </w:tr>
      <w:tr w:rsidR="00CD35E8" w:rsidRPr="00CA72DB" w:rsidTr="00CD35E8">
        <w:trPr>
          <w:trHeight w:val="456"/>
        </w:trPr>
        <w:tc>
          <w:tcPr>
            <w:tcW w:w="2127" w:type="dxa"/>
            <w:tcBorders>
              <w:top w:val="single" w:sz="4" w:space="0" w:color="000000"/>
            </w:tcBorders>
            <w:vAlign w:val="center"/>
          </w:tcPr>
          <w:p w:rsidR="00CD35E8" w:rsidRPr="00CA72DB" w:rsidRDefault="00CD35E8" w:rsidP="00432B56">
            <w:pPr>
              <w:spacing w:before="0"/>
              <w:jc w:val="left"/>
              <w:rPr>
                <w:sz w:val="20"/>
                <w:szCs w:val="20"/>
              </w:rPr>
            </w:pPr>
            <w:r w:rsidRPr="00CA72DB">
              <w:rPr>
                <w:sz w:val="20"/>
                <w:szCs w:val="20"/>
              </w:rPr>
              <w:t>HCFC-123</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13.6</w:t>
            </w:r>
          </w:p>
        </w:tc>
        <w:tc>
          <w:tcPr>
            <w:tcW w:w="992"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37.3</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5.7</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18.9</w:t>
            </w:r>
          </w:p>
        </w:tc>
        <w:tc>
          <w:tcPr>
            <w:tcW w:w="992"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16.1</w:t>
            </w:r>
          </w:p>
        </w:tc>
        <w:tc>
          <w:tcPr>
            <w:tcW w:w="992" w:type="dxa"/>
            <w:tcBorders>
              <w:top w:val="single" w:sz="4" w:space="0" w:color="000000"/>
            </w:tcBorders>
            <w:vAlign w:val="center"/>
          </w:tcPr>
          <w:p w:rsidR="00CD35E8" w:rsidRPr="00CA72DB" w:rsidRDefault="00CD35E8" w:rsidP="00CD35E8">
            <w:pPr>
              <w:spacing w:before="0"/>
              <w:jc w:val="center"/>
              <w:rPr>
                <w:sz w:val="20"/>
                <w:szCs w:val="20"/>
              </w:rPr>
            </w:pPr>
            <w:r w:rsidRPr="00CA72DB">
              <w:rPr>
                <w:sz w:val="20"/>
                <w:szCs w:val="20"/>
              </w:rPr>
              <w:t>77</w:t>
            </w:r>
          </w:p>
        </w:tc>
        <w:tc>
          <w:tcPr>
            <w:tcW w:w="1134" w:type="dxa"/>
            <w:tcBorders>
              <w:top w:val="single" w:sz="4" w:space="0" w:color="000000"/>
            </w:tcBorders>
            <w:vAlign w:val="center"/>
          </w:tcPr>
          <w:p w:rsidR="00CD35E8" w:rsidRPr="00CA72DB" w:rsidRDefault="00CD35E8" w:rsidP="00CD35E8">
            <w:pPr>
              <w:spacing w:before="0"/>
              <w:jc w:val="center"/>
              <w:rPr>
                <w:sz w:val="20"/>
                <w:szCs w:val="20"/>
              </w:rPr>
            </w:pPr>
            <w:r w:rsidRPr="00CA72DB">
              <w:rPr>
                <w:sz w:val="20"/>
                <w:szCs w:val="20"/>
              </w:rPr>
              <w:t>1.2</w:t>
            </w:r>
          </w:p>
        </w:tc>
      </w:tr>
      <w:tr w:rsidR="00CD35E8" w:rsidRPr="00CA72DB" w:rsidTr="00CD35E8">
        <w:trPr>
          <w:trHeight w:val="456"/>
        </w:trPr>
        <w:tc>
          <w:tcPr>
            <w:tcW w:w="2127" w:type="dxa"/>
            <w:tcBorders>
              <w:top w:val="single" w:sz="4" w:space="0" w:color="000000"/>
            </w:tcBorders>
            <w:vAlign w:val="center"/>
          </w:tcPr>
          <w:p w:rsidR="00CD35E8" w:rsidRPr="00CA72DB" w:rsidRDefault="00CD35E8" w:rsidP="00432B56">
            <w:pPr>
              <w:spacing w:before="0"/>
              <w:jc w:val="left"/>
              <w:rPr>
                <w:sz w:val="20"/>
                <w:szCs w:val="20"/>
              </w:rPr>
            </w:pPr>
            <w:r w:rsidRPr="00CA72DB">
              <w:rPr>
                <w:sz w:val="20"/>
                <w:szCs w:val="20"/>
              </w:rPr>
              <w:t>HCFC-124</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0.9</w:t>
            </w:r>
          </w:p>
        </w:tc>
        <w:tc>
          <w:tcPr>
            <w:tcW w:w="992"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0.0</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1.9</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0.9</w:t>
            </w:r>
          </w:p>
        </w:tc>
        <w:tc>
          <w:tcPr>
            <w:tcW w:w="992"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0.8</w:t>
            </w:r>
          </w:p>
        </w:tc>
        <w:tc>
          <w:tcPr>
            <w:tcW w:w="992" w:type="dxa"/>
            <w:tcBorders>
              <w:top w:val="single" w:sz="4" w:space="0" w:color="000000"/>
            </w:tcBorders>
            <w:vAlign w:val="center"/>
          </w:tcPr>
          <w:p w:rsidR="00CD35E8" w:rsidRPr="00CA72DB" w:rsidRDefault="00CD35E8" w:rsidP="00CD35E8">
            <w:pPr>
              <w:spacing w:before="0"/>
              <w:jc w:val="center"/>
              <w:rPr>
                <w:sz w:val="20"/>
                <w:szCs w:val="20"/>
              </w:rPr>
            </w:pPr>
            <w:r w:rsidRPr="00CA72DB">
              <w:rPr>
                <w:sz w:val="20"/>
                <w:szCs w:val="20"/>
              </w:rPr>
              <w:t>609</w:t>
            </w:r>
          </w:p>
        </w:tc>
        <w:tc>
          <w:tcPr>
            <w:tcW w:w="1134" w:type="dxa"/>
            <w:tcBorders>
              <w:top w:val="single" w:sz="4" w:space="0" w:color="000000"/>
            </w:tcBorders>
            <w:vAlign w:val="center"/>
          </w:tcPr>
          <w:p w:rsidR="00CD35E8" w:rsidRPr="00CA72DB" w:rsidRDefault="00CD35E8" w:rsidP="00CD35E8">
            <w:pPr>
              <w:spacing w:before="0"/>
              <w:jc w:val="center"/>
              <w:rPr>
                <w:sz w:val="20"/>
                <w:szCs w:val="20"/>
              </w:rPr>
            </w:pPr>
            <w:r w:rsidRPr="00CA72DB">
              <w:rPr>
                <w:sz w:val="20"/>
                <w:szCs w:val="20"/>
              </w:rPr>
              <w:t>0.5</w:t>
            </w:r>
          </w:p>
        </w:tc>
      </w:tr>
      <w:tr w:rsidR="00CD35E8" w:rsidRPr="00CA72DB" w:rsidTr="00CD35E8">
        <w:trPr>
          <w:trHeight w:val="456"/>
        </w:trPr>
        <w:tc>
          <w:tcPr>
            <w:tcW w:w="2127" w:type="dxa"/>
            <w:tcBorders>
              <w:top w:val="single" w:sz="4" w:space="0" w:color="000000"/>
            </w:tcBorders>
            <w:vAlign w:val="center"/>
          </w:tcPr>
          <w:p w:rsidR="00CD35E8" w:rsidRPr="00CA72DB" w:rsidRDefault="00CD35E8" w:rsidP="00432B56">
            <w:pPr>
              <w:spacing w:before="0"/>
              <w:jc w:val="left"/>
              <w:rPr>
                <w:sz w:val="20"/>
                <w:szCs w:val="20"/>
              </w:rPr>
            </w:pPr>
            <w:r w:rsidRPr="00CA72DB">
              <w:rPr>
                <w:sz w:val="20"/>
                <w:szCs w:val="20"/>
              </w:rPr>
              <w:t xml:space="preserve">HCFC-141b </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155.0</w:t>
            </w:r>
          </w:p>
        </w:tc>
        <w:tc>
          <w:tcPr>
            <w:tcW w:w="992"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76.1</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48.9</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93.4</w:t>
            </w:r>
          </w:p>
        </w:tc>
        <w:tc>
          <w:tcPr>
            <w:tcW w:w="992"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79.4</w:t>
            </w:r>
          </w:p>
        </w:tc>
        <w:tc>
          <w:tcPr>
            <w:tcW w:w="992" w:type="dxa"/>
            <w:tcBorders>
              <w:top w:val="single" w:sz="4" w:space="0" w:color="000000"/>
            </w:tcBorders>
            <w:vAlign w:val="center"/>
          </w:tcPr>
          <w:p w:rsidR="00CD35E8" w:rsidRPr="00CA72DB" w:rsidRDefault="00CD35E8" w:rsidP="00CD35E8">
            <w:pPr>
              <w:spacing w:before="0"/>
              <w:jc w:val="center"/>
              <w:rPr>
                <w:sz w:val="20"/>
                <w:szCs w:val="20"/>
              </w:rPr>
            </w:pPr>
            <w:r w:rsidRPr="00CA72DB">
              <w:rPr>
                <w:sz w:val="20"/>
                <w:szCs w:val="20"/>
              </w:rPr>
              <w:t>725</w:t>
            </w:r>
          </w:p>
        </w:tc>
        <w:tc>
          <w:tcPr>
            <w:tcW w:w="1134" w:type="dxa"/>
            <w:tcBorders>
              <w:top w:val="single" w:sz="4" w:space="0" w:color="000000"/>
            </w:tcBorders>
            <w:vAlign w:val="center"/>
          </w:tcPr>
          <w:p w:rsidR="00CD35E8" w:rsidRPr="00CA72DB" w:rsidRDefault="00CD35E8" w:rsidP="00CD35E8">
            <w:pPr>
              <w:spacing w:before="0"/>
              <w:jc w:val="center"/>
              <w:rPr>
                <w:sz w:val="20"/>
                <w:szCs w:val="20"/>
              </w:rPr>
            </w:pPr>
            <w:r w:rsidRPr="00CA72DB">
              <w:rPr>
                <w:sz w:val="20"/>
                <w:szCs w:val="20"/>
              </w:rPr>
              <w:t>57.5</w:t>
            </w:r>
          </w:p>
        </w:tc>
      </w:tr>
      <w:tr w:rsidR="00CD35E8" w:rsidRPr="00CA72DB" w:rsidTr="00CD35E8">
        <w:trPr>
          <w:trHeight w:val="456"/>
        </w:trPr>
        <w:tc>
          <w:tcPr>
            <w:tcW w:w="2127" w:type="dxa"/>
            <w:tcBorders>
              <w:top w:val="single" w:sz="4" w:space="0" w:color="000000"/>
            </w:tcBorders>
            <w:vAlign w:val="center"/>
          </w:tcPr>
          <w:p w:rsidR="00CD35E8" w:rsidRPr="00CA72DB" w:rsidRDefault="00CD35E8" w:rsidP="00432B56">
            <w:pPr>
              <w:spacing w:before="0"/>
              <w:jc w:val="left"/>
              <w:rPr>
                <w:sz w:val="20"/>
                <w:szCs w:val="20"/>
              </w:rPr>
            </w:pPr>
            <w:r w:rsidRPr="00CA72DB">
              <w:rPr>
                <w:sz w:val="20"/>
                <w:szCs w:val="20"/>
              </w:rPr>
              <w:t>HCFC Blend 142b/22</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15.2</w:t>
            </w:r>
          </w:p>
        </w:tc>
        <w:tc>
          <w:tcPr>
            <w:tcW w:w="992"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0.0</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0.0</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5.1</w:t>
            </w:r>
          </w:p>
        </w:tc>
        <w:tc>
          <w:tcPr>
            <w:tcW w:w="992"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4.3</w:t>
            </w:r>
          </w:p>
        </w:tc>
        <w:tc>
          <w:tcPr>
            <w:tcW w:w="992" w:type="dxa"/>
            <w:tcBorders>
              <w:top w:val="single" w:sz="4" w:space="0" w:color="000000"/>
            </w:tcBorders>
            <w:vAlign w:val="center"/>
          </w:tcPr>
          <w:p w:rsidR="00CD35E8" w:rsidRPr="00CA72DB" w:rsidRDefault="00CD35E8" w:rsidP="00CD35E8">
            <w:pPr>
              <w:spacing w:before="0"/>
              <w:jc w:val="center"/>
              <w:rPr>
                <w:sz w:val="20"/>
                <w:szCs w:val="20"/>
              </w:rPr>
            </w:pPr>
            <w:r w:rsidRPr="00CA72DB">
              <w:rPr>
                <w:sz w:val="20"/>
                <w:szCs w:val="20"/>
              </w:rPr>
              <w:t>2110</w:t>
            </w:r>
          </w:p>
        </w:tc>
        <w:tc>
          <w:tcPr>
            <w:tcW w:w="1134" w:type="dxa"/>
            <w:tcBorders>
              <w:top w:val="single" w:sz="4" w:space="0" w:color="000000"/>
            </w:tcBorders>
            <w:vAlign w:val="center"/>
          </w:tcPr>
          <w:p w:rsidR="00CD35E8" w:rsidRPr="00CA72DB" w:rsidRDefault="00CD35E8" w:rsidP="00CD35E8">
            <w:pPr>
              <w:spacing w:before="0"/>
              <w:jc w:val="center"/>
              <w:rPr>
                <w:sz w:val="20"/>
                <w:szCs w:val="20"/>
              </w:rPr>
            </w:pPr>
            <w:r w:rsidRPr="00CA72DB">
              <w:rPr>
                <w:sz w:val="20"/>
                <w:szCs w:val="20"/>
              </w:rPr>
              <w:t>9.1</w:t>
            </w:r>
          </w:p>
        </w:tc>
      </w:tr>
      <w:tr w:rsidR="00CD35E8" w:rsidRPr="00CA72DB" w:rsidTr="00CD35E8">
        <w:trPr>
          <w:trHeight w:val="456"/>
        </w:trPr>
        <w:tc>
          <w:tcPr>
            <w:tcW w:w="2127" w:type="dxa"/>
            <w:tcBorders>
              <w:top w:val="single" w:sz="4" w:space="0" w:color="000000"/>
            </w:tcBorders>
            <w:vAlign w:val="center"/>
          </w:tcPr>
          <w:p w:rsidR="00CD35E8" w:rsidRPr="00CA72DB" w:rsidRDefault="00CD35E8" w:rsidP="00432B56">
            <w:pPr>
              <w:spacing w:before="0"/>
              <w:jc w:val="left"/>
              <w:rPr>
                <w:sz w:val="20"/>
                <w:szCs w:val="20"/>
              </w:rPr>
            </w:pPr>
            <w:r w:rsidRPr="00CA72DB">
              <w:rPr>
                <w:sz w:val="20"/>
                <w:szCs w:val="20"/>
              </w:rPr>
              <w:t xml:space="preserve">HCFC-142b </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0.0</w:t>
            </w:r>
          </w:p>
        </w:tc>
        <w:tc>
          <w:tcPr>
            <w:tcW w:w="992"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0.0</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0.7</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0.2</w:t>
            </w:r>
          </w:p>
        </w:tc>
        <w:tc>
          <w:tcPr>
            <w:tcW w:w="992"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0.2</w:t>
            </w:r>
          </w:p>
        </w:tc>
        <w:tc>
          <w:tcPr>
            <w:tcW w:w="992" w:type="dxa"/>
            <w:tcBorders>
              <w:top w:val="single" w:sz="4" w:space="0" w:color="000000"/>
            </w:tcBorders>
            <w:vAlign w:val="center"/>
          </w:tcPr>
          <w:p w:rsidR="00CD35E8" w:rsidRPr="00CA72DB" w:rsidRDefault="00CD35E8" w:rsidP="00CD35E8">
            <w:pPr>
              <w:spacing w:before="0"/>
              <w:jc w:val="center"/>
              <w:rPr>
                <w:sz w:val="20"/>
                <w:szCs w:val="20"/>
              </w:rPr>
            </w:pPr>
            <w:r w:rsidRPr="00CA72DB">
              <w:rPr>
                <w:sz w:val="20"/>
                <w:szCs w:val="20"/>
              </w:rPr>
              <w:t>2310</w:t>
            </w:r>
          </w:p>
        </w:tc>
        <w:tc>
          <w:tcPr>
            <w:tcW w:w="1134" w:type="dxa"/>
            <w:tcBorders>
              <w:top w:val="single" w:sz="4" w:space="0" w:color="000000"/>
            </w:tcBorders>
            <w:vAlign w:val="center"/>
          </w:tcPr>
          <w:p w:rsidR="00CD35E8" w:rsidRPr="00CA72DB" w:rsidRDefault="00CD35E8" w:rsidP="00CD35E8">
            <w:pPr>
              <w:spacing w:before="0"/>
              <w:jc w:val="center"/>
              <w:rPr>
                <w:sz w:val="20"/>
                <w:szCs w:val="20"/>
              </w:rPr>
            </w:pPr>
            <w:r w:rsidRPr="00CA72DB">
              <w:rPr>
                <w:sz w:val="20"/>
                <w:szCs w:val="20"/>
              </w:rPr>
              <w:t>0.5</w:t>
            </w:r>
          </w:p>
        </w:tc>
      </w:tr>
      <w:tr w:rsidR="00CD35E8" w:rsidRPr="00CA72DB" w:rsidTr="00CD35E8">
        <w:trPr>
          <w:trHeight w:val="456"/>
        </w:trPr>
        <w:tc>
          <w:tcPr>
            <w:tcW w:w="2127" w:type="dxa"/>
            <w:tcBorders>
              <w:top w:val="single" w:sz="4" w:space="0" w:color="000000"/>
            </w:tcBorders>
            <w:vAlign w:val="center"/>
          </w:tcPr>
          <w:p w:rsidR="00CD35E8" w:rsidRPr="00CA72DB" w:rsidRDefault="00CD35E8" w:rsidP="00432B56">
            <w:pPr>
              <w:spacing w:before="0"/>
              <w:jc w:val="left"/>
              <w:rPr>
                <w:sz w:val="20"/>
                <w:szCs w:val="20"/>
              </w:rPr>
            </w:pPr>
            <w:r w:rsidRPr="00CA72DB">
              <w:rPr>
                <w:sz w:val="20"/>
                <w:szCs w:val="20"/>
              </w:rPr>
              <w:t>HCFC-225</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0.0</w:t>
            </w:r>
          </w:p>
        </w:tc>
        <w:tc>
          <w:tcPr>
            <w:tcW w:w="992"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0.5</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0.3</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0.3</w:t>
            </w:r>
          </w:p>
        </w:tc>
        <w:tc>
          <w:tcPr>
            <w:tcW w:w="992"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0.2</w:t>
            </w:r>
          </w:p>
        </w:tc>
        <w:tc>
          <w:tcPr>
            <w:tcW w:w="992" w:type="dxa"/>
            <w:tcBorders>
              <w:top w:val="single" w:sz="4" w:space="0" w:color="000000"/>
            </w:tcBorders>
            <w:vAlign w:val="center"/>
          </w:tcPr>
          <w:p w:rsidR="00CD35E8" w:rsidRPr="00CA72DB" w:rsidRDefault="00CD35E8" w:rsidP="00CD35E8">
            <w:pPr>
              <w:spacing w:before="0"/>
              <w:jc w:val="center"/>
              <w:rPr>
                <w:sz w:val="20"/>
                <w:szCs w:val="20"/>
              </w:rPr>
            </w:pPr>
            <w:r w:rsidRPr="00CA72DB">
              <w:rPr>
                <w:sz w:val="20"/>
                <w:szCs w:val="20"/>
              </w:rPr>
              <w:t>122</w:t>
            </w:r>
          </w:p>
        </w:tc>
        <w:tc>
          <w:tcPr>
            <w:tcW w:w="1134" w:type="dxa"/>
            <w:tcBorders>
              <w:top w:val="single" w:sz="4" w:space="0" w:color="000000"/>
            </w:tcBorders>
            <w:vAlign w:val="center"/>
          </w:tcPr>
          <w:p w:rsidR="00CD35E8" w:rsidRPr="00CA72DB" w:rsidRDefault="00CD35E8" w:rsidP="00CD35E8">
            <w:pPr>
              <w:spacing w:before="0"/>
              <w:jc w:val="center"/>
              <w:rPr>
                <w:sz w:val="20"/>
                <w:szCs w:val="20"/>
              </w:rPr>
            </w:pPr>
            <w:r w:rsidRPr="00CA72DB">
              <w:rPr>
                <w:sz w:val="20"/>
                <w:szCs w:val="20"/>
              </w:rPr>
              <w:t>0.0</w:t>
            </w:r>
          </w:p>
        </w:tc>
      </w:tr>
      <w:tr w:rsidR="00CD35E8" w:rsidRPr="00CA72DB" w:rsidTr="00CD35E8">
        <w:trPr>
          <w:trHeight w:val="456"/>
        </w:trPr>
        <w:tc>
          <w:tcPr>
            <w:tcW w:w="2127" w:type="dxa"/>
            <w:tcBorders>
              <w:top w:val="single" w:sz="4" w:space="0" w:color="000000"/>
            </w:tcBorders>
            <w:vAlign w:val="center"/>
          </w:tcPr>
          <w:p w:rsidR="00CD35E8" w:rsidRPr="00CA72DB" w:rsidRDefault="00CD35E8" w:rsidP="00432B56">
            <w:pPr>
              <w:spacing w:before="0"/>
              <w:jc w:val="left"/>
              <w:rPr>
                <w:sz w:val="20"/>
                <w:szCs w:val="20"/>
              </w:rPr>
            </w:pPr>
            <w:r w:rsidRPr="00CA72DB">
              <w:rPr>
                <w:sz w:val="20"/>
                <w:szCs w:val="20"/>
              </w:rPr>
              <w:t>HCFC-406A</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1.7</w:t>
            </w:r>
          </w:p>
        </w:tc>
        <w:tc>
          <w:tcPr>
            <w:tcW w:w="992"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4.4</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2.6</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2.9</w:t>
            </w:r>
          </w:p>
        </w:tc>
        <w:tc>
          <w:tcPr>
            <w:tcW w:w="992"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2.5</w:t>
            </w:r>
          </w:p>
        </w:tc>
        <w:tc>
          <w:tcPr>
            <w:tcW w:w="992" w:type="dxa"/>
            <w:tcBorders>
              <w:top w:val="single" w:sz="4" w:space="0" w:color="000000"/>
            </w:tcBorders>
            <w:vAlign w:val="center"/>
          </w:tcPr>
          <w:p w:rsidR="00CD35E8" w:rsidRPr="00CA72DB" w:rsidRDefault="00CD35E8" w:rsidP="00CD35E8">
            <w:pPr>
              <w:spacing w:before="0"/>
              <w:jc w:val="center"/>
              <w:rPr>
                <w:sz w:val="20"/>
                <w:szCs w:val="20"/>
              </w:rPr>
            </w:pPr>
            <w:r w:rsidRPr="00CA72DB">
              <w:rPr>
                <w:sz w:val="20"/>
                <w:szCs w:val="20"/>
              </w:rPr>
              <w:t>1943</w:t>
            </w:r>
          </w:p>
        </w:tc>
        <w:tc>
          <w:tcPr>
            <w:tcW w:w="1134" w:type="dxa"/>
            <w:tcBorders>
              <w:top w:val="single" w:sz="4" w:space="0" w:color="000000"/>
            </w:tcBorders>
            <w:vAlign w:val="center"/>
          </w:tcPr>
          <w:p w:rsidR="00CD35E8" w:rsidRPr="00CA72DB" w:rsidRDefault="00CD35E8" w:rsidP="00CD35E8">
            <w:pPr>
              <w:spacing w:before="0"/>
              <w:jc w:val="center"/>
              <w:rPr>
                <w:sz w:val="20"/>
                <w:szCs w:val="20"/>
              </w:rPr>
            </w:pPr>
            <w:r w:rsidRPr="00CA72DB">
              <w:rPr>
                <w:sz w:val="20"/>
                <w:szCs w:val="20"/>
              </w:rPr>
              <w:t>4.8</w:t>
            </w:r>
          </w:p>
        </w:tc>
      </w:tr>
      <w:tr w:rsidR="00CD35E8" w:rsidRPr="00CA72DB" w:rsidTr="00CD35E8">
        <w:trPr>
          <w:trHeight w:val="456"/>
        </w:trPr>
        <w:tc>
          <w:tcPr>
            <w:tcW w:w="2127" w:type="dxa"/>
            <w:tcBorders>
              <w:top w:val="single" w:sz="4" w:space="0" w:color="000000"/>
            </w:tcBorders>
            <w:vAlign w:val="center"/>
          </w:tcPr>
          <w:p w:rsidR="00CD35E8" w:rsidRPr="00CA72DB" w:rsidRDefault="00CD35E8" w:rsidP="00432B56">
            <w:pPr>
              <w:spacing w:before="0"/>
              <w:jc w:val="left"/>
              <w:rPr>
                <w:sz w:val="20"/>
                <w:szCs w:val="20"/>
              </w:rPr>
            </w:pPr>
            <w:r w:rsidRPr="00CA72DB">
              <w:rPr>
                <w:sz w:val="20"/>
                <w:szCs w:val="20"/>
              </w:rPr>
              <w:t>HCFC-408A</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13.6</w:t>
            </w:r>
          </w:p>
        </w:tc>
        <w:tc>
          <w:tcPr>
            <w:tcW w:w="992"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8.1</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3.1</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8.3</w:t>
            </w:r>
          </w:p>
        </w:tc>
        <w:tc>
          <w:tcPr>
            <w:tcW w:w="992"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7.0</w:t>
            </w:r>
          </w:p>
        </w:tc>
        <w:tc>
          <w:tcPr>
            <w:tcW w:w="992" w:type="dxa"/>
            <w:tcBorders>
              <w:top w:val="single" w:sz="4" w:space="0" w:color="000000"/>
            </w:tcBorders>
            <w:vAlign w:val="center"/>
          </w:tcPr>
          <w:p w:rsidR="00CD35E8" w:rsidRPr="00CA72DB" w:rsidRDefault="00CD35E8" w:rsidP="00CD35E8">
            <w:pPr>
              <w:spacing w:before="0"/>
              <w:jc w:val="center"/>
              <w:rPr>
                <w:sz w:val="20"/>
                <w:szCs w:val="20"/>
              </w:rPr>
            </w:pPr>
            <w:r w:rsidRPr="00CA72DB">
              <w:rPr>
                <w:sz w:val="20"/>
                <w:szCs w:val="20"/>
              </w:rPr>
              <w:t>3152</w:t>
            </w:r>
          </w:p>
        </w:tc>
        <w:tc>
          <w:tcPr>
            <w:tcW w:w="1134" w:type="dxa"/>
            <w:tcBorders>
              <w:top w:val="single" w:sz="4" w:space="0" w:color="000000"/>
            </w:tcBorders>
            <w:vAlign w:val="center"/>
          </w:tcPr>
          <w:p w:rsidR="00CD35E8" w:rsidRPr="00CA72DB" w:rsidRDefault="00CD35E8" w:rsidP="00CD35E8">
            <w:pPr>
              <w:spacing w:before="0"/>
              <w:jc w:val="center"/>
              <w:rPr>
                <w:sz w:val="20"/>
                <w:szCs w:val="20"/>
              </w:rPr>
            </w:pPr>
            <w:r w:rsidRPr="00CA72DB">
              <w:rPr>
                <w:sz w:val="20"/>
                <w:szCs w:val="20"/>
              </w:rPr>
              <w:t>22.2</w:t>
            </w:r>
          </w:p>
        </w:tc>
      </w:tr>
      <w:tr w:rsidR="00CD35E8" w:rsidRPr="00CA72DB" w:rsidTr="00CD35E8">
        <w:trPr>
          <w:trHeight w:val="456"/>
        </w:trPr>
        <w:tc>
          <w:tcPr>
            <w:tcW w:w="2127" w:type="dxa"/>
            <w:tcBorders>
              <w:top w:val="single" w:sz="4" w:space="0" w:color="000000"/>
            </w:tcBorders>
            <w:vAlign w:val="center"/>
          </w:tcPr>
          <w:p w:rsidR="00CD35E8" w:rsidRPr="00CA72DB" w:rsidRDefault="00CD35E8" w:rsidP="00432B56">
            <w:pPr>
              <w:spacing w:before="0"/>
              <w:jc w:val="left"/>
              <w:rPr>
                <w:sz w:val="20"/>
                <w:szCs w:val="20"/>
              </w:rPr>
            </w:pPr>
            <w:r w:rsidRPr="00CA72DB">
              <w:rPr>
                <w:sz w:val="20"/>
                <w:szCs w:val="20"/>
              </w:rPr>
              <w:t>HCFC-409A</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35.7</w:t>
            </w:r>
          </w:p>
        </w:tc>
        <w:tc>
          <w:tcPr>
            <w:tcW w:w="992"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42.1</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17.9</w:t>
            </w:r>
          </w:p>
        </w:tc>
        <w:tc>
          <w:tcPr>
            <w:tcW w:w="1134"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31.9</w:t>
            </w:r>
          </w:p>
        </w:tc>
        <w:tc>
          <w:tcPr>
            <w:tcW w:w="992" w:type="dxa"/>
            <w:tcBorders>
              <w:top w:val="single" w:sz="4" w:space="0" w:color="000000"/>
            </w:tcBorders>
            <w:vAlign w:val="center"/>
          </w:tcPr>
          <w:p w:rsidR="00CD35E8" w:rsidRPr="00CA72DB" w:rsidRDefault="00CD35E8" w:rsidP="00432B56">
            <w:pPr>
              <w:spacing w:before="0"/>
              <w:jc w:val="center"/>
              <w:rPr>
                <w:rFonts w:cs="Times New Roman"/>
                <w:sz w:val="20"/>
                <w:szCs w:val="20"/>
              </w:rPr>
            </w:pPr>
            <w:r w:rsidRPr="00CA72DB">
              <w:rPr>
                <w:rFonts w:eastAsia="Times New Roman" w:cs="Times New Roman"/>
                <w:color w:val="000000"/>
                <w:sz w:val="20"/>
                <w:szCs w:val="20"/>
              </w:rPr>
              <w:t>27.1</w:t>
            </w:r>
          </w:p>
        </w:tc>
        <w:tc>
          <w:tcPr>
            <w:tcW w:w="992" w:type="dxa"/>
            <w:tcBorders>
              <w:top w:val="single" w:sz="4" w:space="0" w:color="000000"/>
            </w:tcBorders>
            <w:vAlign w:val="center"/>
          </w:tcPr>
          <w:p w:rsidR="00CD35E8" w:rsidRPr="00CA72DB" w:rsidRDefault="00CD35E8" w:rsidP="00CD35E8">
            <w:pPr>
              <w:spacing w:before="0"/>
              <w:jc w:val="center"/>
              <w:rPr>
                <w:sz w:val="20"/>
                <w:szCs w:val="20"/>
              </w:rPr>
            </w:pPr>
            <w:r w:rsidRPr="00CA72DB">
              <w:rPr>
                <w:sz w:val="20"/>
                <w:szCs w:val="20"/>
              </w:rPr>
              <w:t>1585</w:t>
            </w:r>
          </w:p>
        </w:tc>
        <w:tc>
          <w:tcPr>
            <w:tcW w:w="1134" w:type="dxa"/>
            <w:tcBorders>
              <w:top w:val="single" w:sz="4" w:space="0" w:color="000000"/>
            </w:tcBorders>
            <w:vAlign w:val="center"/>
          </w:tcPr>
          <w:p w:rsidR="00CD35E8" w:rsidRPr="00CA72DB" w:rsidRDefault="00CD35E8" w:rsidP="00CD35E8">
            <w:pPr>
              <w:spacing w:before="0"/>
              <w:jc w:val="center"/>
              <w:rPr>
                <w:sz w:val="20"/>
                <w:szCs w:val="20"/>
              </w:rPr>
            </w:pPr>
            <w:r w:rsidRPr="00CA72DB">
              <w:rPr>
                <w:sz w:val="20"/>
                <w:szCs w:val="20"/>
              </w:rPr>
              <w:t>43.0</w:t>
            </w:r>
          </w:p>
        </w:tc>
      </w:tr>
      <w:tr w:rsidR="006E1935" w:rsidRPr="00CA72DB" w:rsidTr="00432B56">
        <w:trPr>
          <w:trHeight w:val="456"/>
        </w:trPr>
        <w:tc>
          <w:tcPr>
            <w:tcW w:w="2127" w:type="dxa"/>
            <w:tcBorders>
              <w:top w:val="single" w:sz="4" w:space="0" w:color="000000"/>
              <w:bottom w:val="single" w:sz="4" w:space="0" w:color="000000"/>
            </w:tcBorders>
            <w:vAlign w:val="center"/>
          </w:tcPr>
          <w:p w:rsidR="006E1935" w:rsidRPr="00CA72DB" w:rsidRDefault="006E1935" w:rsidP="00432B56">
            <w:pPr>
              <w:spacing w:before="0"/>
              <w:jc w:val="left"/>
              <w:rPr>
                <w:sz w:val="20"/>
                <w:szCs w:val="20"/>
              </w:rPr>
            </w:pPr>
            <w:r w:rsidRPr="00CA72DB">
              <w:rPr>
                <w:sz w:val="20"/>
                <w:szCs w:val="20"/>
              </w:rPr>
              <w:t xml:space="preserve">Total </w:t>
            </w:r>
            <w:r w:rsidR="00432B56" w:rsidRPr="00CA72DB">
              <w:rPr>
                <w:sz w:val="20"/>
                <w:szCs w:val="20"/>
              </w:rPr>
              <w:t xml:space="preserve">HCFC </w:t>
            </w:r>
            <w:r w:rsidRPr="00CA72DB">
              <w:rPr>
                <w:sz w:val="20"/>
                <w:szCs w:val="20"/>
              </w:rPr>
              <w:t>imports</w:t>
            </w:r>
          </w:p>
        </w:tc>
        <w:tc>
          <w:tcPr>
            <w:tcW w:w="1134" w:type="dxa"/>
            <w:tcBorders>
              <w:top w:val="single" w:sz="4" w:space="0" w:color="000000"/>
              <w:bottom w:val="single" w:sz="4" w:space="0" w:color="000000"/>
            </w:tcBorders>
            <w:vAlign w:val="center"/>
          </w:tcPr>
          <w:p w:rsidR="006E1935" w:rsidRPr="00CA72DB" w:rsidRDefault="006E1935" w:rsidP="00432B56">
            <w:pPr>
              <w:spacing w:before="0"/>
              <w:jc w:val="center"/>
              <w:rPr>
                <w:rFonts w:cs="Times New Roman"/>
                <w:sz w:val="20"/>
                <w:szCs w:val="20"/>
              </w:rPr>
            </w:pPr>
            <w:r w:rsidRPr="00CA72DB">
              <w:rPr>
                <w:rFonts w:eastAsia="Times New Roman" w:cs="Times New Roman"/>
                <w:color w:val="000000"/>
                <w:sz w:val="20"/>
                <w:szCs w:val="20"/>
              </w:rPr>
              <w:t>1,683.6</w:t>
            </w:r>
          </w:p>
        </w:tc>
        <w:tc>
          <w:tcPr>
            <w:tcW w:w="992" w:type="dxa"/>
            <w:tcBorders>
              <w:top w:val="single" w:sz="4" w:space="0" w:color="000000"/>
              <w:bottom w:val="single" w:sz="4" w:space="0" w:color="000000"/>
            </w:tcBorders>
            <w:vAlign w:val="center"/>
          </w:tcPr>
          <w:p w:rsidR="006E1935" w:rsidRPr="00CA72DB" w:rsidRDefault="006E1935" w:rsidP="00432B56">
            <w:pPr>
              <w:spacing w:before="0"/>
              <w:jc w:val="center"/>
              <w:rPr>
                <w:rFonts w:cs="Times New Roman"/>
                <w:sz w:val="20"/>
                <w:szCs w:val="20"/>
              </w:rPr>
            </w:pPr>
            <w:r w:rsidRPr="00CA72DB">
              <w:rPr>
                <w:rFonts w:eastAsia="Times New Roman" w:cs="Times New Roman"/>
                <w:color w:val="000000"/>
                <w:sz w:val="20"/>
                <w:szCs w:val="20"/>
              </w:rPr>
              <w:t>1,759.8</w:t>
            </w:r>
          </w:p>
        </w:tc>
        <w:tc>
          <w:tcPr>
            <w:tcW w:w="1134" w:type="dxa"/>
            <w:tcBorders>
              <w:top w:val="single" w:sz="4" w:space="0" w:color="000000"/>
              <w:bottom w:val="single" w:sz="4" w:space="0" w:color="000000"/>
            </w:tcBorders>
            <w:vAlign w:val="center"/>
          </w:tcPr>
          <w:p w:rsidR="006E1935" w:rsidRPr="00CA72DB" w:rsidRDefault="006E1935" w:rsidP="00432B56">
            <w:pPr>
              <w:spacing w:before="0"/>
              <w:jc w:val="center"/>
              <w:rPr>
                <w:rFonts w:cs="Times New Roman"/>
                <w:sz w:val="20"/>
                <w:szCs w:val="20"/>
              </w:rPr>
            </w:pPr>
            <w:r w:rsidRPr="00CA72DB">
              <w:rPr>
                <w:rFonts w:eastAsia="Times New Roman" w:cs="Times New Roman"/>
                <w:color w:val="000000"/>
                <w:sz w:val="20"/>
                <w:szCs w:val="20"/>
              </w:rPr>
              <w:t>1,186.2</w:t>
            </w:r>
          </w:p>
        </w:tc>
        <w:tc>
          <w:tcPr>
            <w:tcW w:w="1134" w:type="dxa"/>
            <w:tcBorders>
              <w:top w:val="single" w:sz="4" w:space="0" w:color="000000"/>
              <w:bottom w:val="single" w:sz="4" w:space="0" w:color="000000"/>
            </w:tcBorders>
            <w:vAlign w:val="center"/>
          </w:tcPr>
          <w:p w:rsidR="006E1935" w:rsidRPr="00CA72DB" w:rsidRDefault="006E1935" w:rsidP="00432B56">
            <w:pPr>
              <w:spacing w:before="0"/>
              <w:jc w:val="center"/>
              <w:rPr>
                <w:rFonts w:cs="Times New Roman"/>
                <w:sz w:val="20"/>
                <w:szCs w:val="20"/>
              </w:rPr>
            </w:pPr>
            <w:r w:rsidRPr="00CA72DB">
              <w:rPr>
                <w:rFonts w:eastAsia="Times New Roman" w:cs="Times New Roman"/>
                <w:color w:val="000000"/>
                <w:sz w:val="20"/>
                <w:szCs w:val="20"/>
              </w:rPr>
              <w:t>1,543.2</w:t>
            </w:r>
          </w:p>
        </w:tc>
        <w:tc>
          <w:tcPr>
            <w:tcW w:w="992" w:type="dxa"/>
            <w:tcBorders>
              <w:top w:val="single" w:sz="4" w:space="0" w:color="000000"/>
              <w:bottom w:val="single" w:sz="4" w:space="0" w:color="000000"/>
            </w:tcBorders>
            <w:vAlign w:val="center"/>
          </w:tcPr>
          <w:p w:rsidR="006E1935" w:rsidRPr="00CA72DB" w:rsidRDefault="006E1935" w:rsidP="00432B56">
            <w:pPr>
              <w:spacing w:before="0"/>
              <w:jc w:val="center"/>
              <w:rPr>
                <w:rFonts w:cs="Times New Roman"/>
                <w:sz w:val="20"/>
                <w:szCs w:val="20"/>
              </w:rPr>
            </w:pPr>
            <w:r w:rsidRPr="00CA72DB">
              <w:rPr>
                <w:rFonts w:eastAsia="Times New Roman" w:cs="Times New Roman"/>
                <w:color w:val="000000"/>
                <w:sz w:val="20"/>
                <w:szCs w:val="20"/>
              </w:rPr>
              <w:t>1,311.7</w:t>
            </w:r>
          </w:p>
        </w:tc>
        <w:tc>
          <w:tcPr>
            <w:tcW w:w="992" w:type="dxa"/>
            <w:tcBorders>
              <w:top w:val="single" w:sz="4" w:space="0" w:color="000000"/>
              <w:bottom w:val="single" w:sz="4" w:space="0" w:color="000000"/>
            </w:tcBorders>
            <w:vAlign w:val="center"/>
          </w:tcPr>
          <w:p w:rsidR="006E1935" w:rsidRPr="00CA72DB" w:rsidRDefault="006E1935" w:rsidP="00432B56">
            <w:pPr>
              <w:spacing w:before="0"/>
              <w:jc w:val="center"/>
              <w:rPr>
                <w:rFonts w:cs="Times New Roman"/>
                <w:sz w:val="20"/>
                <w:szCs w:val="20"/>
              </w:rPr>
            </w:pPr>
          </w:p>
        </w:tc>
        <w:tc>
          <w:tcPr>
            <w:tcW w:w="1134" w:type="dxa"/>
            <w:tcBorders>
              <w:top w:val="single" w:sz="4" w:space="0" w:color="000000"/>
              <w:bottom w:val="single" w:sz="4" w:space="0" w:color="000000"/>
            </w:tcBorders>
            <w:vAlign w:val="center"/>
          </w:tcPr>
          <w:p w:rsidR="006E1935" w:rsidRPr="00CA72DB" w:rsidRDefault="00CD35E8" w:rsidP="00432B56">
            <w:pPr>
              <w:spacing w:before="0"/>
              <w:jc w:val="center"/>
              <w:rPr>
                <w:rFonts w:cs="Times New Roman"/>
                <w:sz w:val="20"/>
                <w:szCs w:val="20"/>
              </w:rPr>
            </w:pPr>
            <w:r w:rsidRPr="00CA72DB">
              <w:rPr>
                <w:rFonts w:cs="Times New Roman"/>
                <w:sz w:val="20"/>
                <w:szCs w:val="20"/>
              </w:rPr>
              <w:t>2,264.1</w:t>
            </w:r>
          </w:p>
        </w:tc>
      </w:tr>
      <w:tr w:rsidR="006E1935" w:rsidRPr="00CA72DB" w:rsidTr="006E1935">
        <w:trPr>
          <w:trHeight w:val="456"/>
        </w:trPr>
        <w:tc>
          <w:tcPr>
            <w:tcW w:w="2127" w:type="dxa"/>
            <w:tcBorders>
              <w:top w:val="single" w:sz="4" w:space="0" w:color="000000"/>
              <w:left w:val="single" w:sz="4" w:space="0" w:color="000000"/>
              <w:bottom w:val="single" w:sz="4" w:space="0" w:color="000000"/>
              <w:right w:val="single" w:sz="4" w:space="0" w:color="FFFFFF" w:themeColor="background1"/>
            </w:tcBorders>
            <w:shd w:val="clear" w:color="auto" w:fill="0C0C0C"/>
            <w:vAlign w:val="center"/>
          </w:tcPr>
          <w:p w:rsidR="006E1935" w:rsidRPr="00CA72DB" w:rsidRDefault="006E1935" w:rsidP="007646C1">
            <w:pPr>
              <w:spacing w:after="120"/>
              <w:jc w:val="left"/>
              <w:rPr>
                <w:color w:val="FFFFFF" w:themeColor="background1"/>
                <w:szCs w:val="22"/>
              </w:rPr>
            </w:pPr>
            <w:r w:rsidRPr="00CA72DB">
              <w:rPr>
                <w:color w:val="FFFFFF" w:themeColor="background1"/>
                <w:szCs w:val="22"/>
              </w:rPr>
              <w:t>HFC Bulk imports (</w:t>
            </w:r>
            <w:r w:rsidR="00432B56" w:rsidRPr="00CA72DB">
              <w:rPr>
                <w:rFonts w:eastAsia="Times New Roman" w:cs="Times New Roman"/>
                <w:color w:val="FFFFFF" w:themeColor="background1"/>
                <w:szCs w:val="22"/>
              </w:rPr>
              <w:t xml:space="preserve">AR2 </w:t>
            </w:r>
            <w:r w:rsidRPr="00CA72DB">
              <w:rPr>
                <w:rFonts w:eastAsia="Times New Roman" w:cs="Times New Roman"/>
                <w:color w:val="FFFFFF" w:themeColor="background1"/>
                <w:szCs w:val="22"/>
              </w:rPr>
              <w:t>kt CO</w:t>
            </w:r>
            <w:r w:rsidRPr="00CA72DB">
              <w:rPr>
                <w:rFonts w:eastAsia="Times New Roman" w:cs="Times New Roman"/>
                <w:color w:val="FFFFFF" w:themeColor="background1"/>
                <w:szCs w:val="22"/>
                <w:vertAlign w:val="subscript"/>
              </w:rPr>
              <w:t>2</w:t>
            </w:r>
            <w:r w:rsidR="00977C4A" w:rsidRPr="001C7B87">
              <w:rPr>
                <w:rFonts w:eastAsia="Times New Roman" w:cs="Times New Roman"/>
                <w:color w:val="FFFFFF" w:themeColor="background1"/>
                <w:szCs w:val="22"/>
              </w:rPr>
              <w:t>-</w:t>
            </w:r>
            <w:r w:rsidRPr="00CA72DB">
              <w:rPr>
                <w:rFonts w:eastAsia="Times New Roman" w:cs="Times New Roman"/>
                <w:color w:val="FFFFFF" w:themeColor="background1"/>
                <w:szCs w:val="22"/>
              </w:rPr>
              <w:t>e</w:t>
            </w:r>
            <w:r w:rsidR="00432B56" w:rsidRPr="00CA72DB">
              <w:rPr>
                <w:color w:val="FFFFFF" w:themeColor="background1"/>
                <w:szCs w:val="22"/>
              </w:rPr>
              <w:t>)</w:t>
            </w:r>
          </w:p>
        </w:tc>
        <w:tc>
          <w:tcPr>
            <w:tcW w:w="1134"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0C0C0C"/>
            <w:vAlign w:val="center"/>
          </w:tcPr>
          <w:p w:rsidR="006E1935" w:rsidRPr="00CA72DB" w:rsidRDefault="006E1935" w:rsidP="00FE41C2">
            <w:pPr>
              <w:spacing w:after="120"/>
              <w:jc w:val="center"/>
              <w:rPr>
                <w:rFonts w:eastAsia="Times New Roman" w:cs="Times New Roman"/>
                <w:color w:val="FFFFFF" w:themeColor="background1"/>
                <w:szCs w:val="22"/>
              </w:rPr>
            </w:pPr>
            <w:r w:rsidRPr="00CA72DB">
              <w:rPr>
                <w:rFonts w:eastAsia="Times New Roman" w:cs="Times New Roman"/>
                <w:color w:val="FFFFFF" w:themeColor="background1"/>
                <w:szCs w:val="22"/>
              </w:rPr>
              <w:t>2008</w:t>
            </w:r>
          </w:p>
        </w:tc>
        <w:tc>
          <w:tcPr>
            <w:tcW w:w="992"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0C0C0C"/>
            <w:vAlign w:val="center"/>
          </w:tcPr>
          <w:p w:rsidR="006E1935" w:rsidRPr="00CA72DB" w:rsidRDefault="006E1935" w:rsidP="00FE41C2">
            <w:pPr>
              <w:spacing w:after="120"/>
              <w:jc w:val="center"/>
              <w:rPr>
                <w:rFonts w:eastAsia="Times New Roman" w:cs="Times New Roman"/>
                <w:color w:val="FFFFFF" w:themeColor="background1"/>
                <w:szCs w:val="22"/>
              </w:rPr>
            </w:pPr>
            <w:r w:rsidRPr="00CA72DB">
              <w:rPr>
                <w:rFonts w:eastAsia="Times New Roman" w:cs="Times New Roman"/>
                <w:color w:val="FFFFFF" w:themeColor="background1"/>
                <w:szCs w:val="22"/>
              </w:rPr>
              <w:t>2009</w:t>
            </w:r>
          </w:p>
        </w:tc>
        <w:tc>
          <w:tcPr>
            <w:tcW w:w="1134"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0C0C0C"/>
            <w:vAlign w:val="center"/>
          </w:tcPr>
          <w:p w:rsidR="006E1935" w:rsidRPr="00CA72DB" w:rsidRDefault="006E1935" w:rsidP="00FE41C2">
            <w:pPr>
              <w:spacing w:after="120"/>
              <w:jc w:val="center"/>
              <w:rPr>
                <w:rFonts w:eastAsia="Times New Roman" w:cs="Times New Roman"/>
                <w:color w:val="FFFFFF" w:themeColor="background1"/>
                <w:szCs w:val="22"/>
              </w:rPr>
            </w:pPr>
            <w:r w:rsidRPr="00CA72DB">
              <w:rPr>
                <w:rFonts w:eastAsia="Times New Roman" w:cs="Times New Roman"/>
                <w:color w:val="FFFFFF" w:themeColor="background1"/>
                <w:szCs w:val="22"/>
              </w:rPr>
              <w:t>2010</w:t>
            </w:r>
          </w:p>
        </w:tc>
        <w:tc>
          <w:tcPr>
            <w:tcW w:w="1134"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0C0C0C"/>
            <w:vAlign w:val="center"/>
          </w:tcPr>
          <w:p w:rsidR="006E1935" w:rsidRDefault="006E1935" w:rsidP="00040E94">
            <w:pPr>
              <w:spacing w:before="0"/>
              <w:jc w:val="center"/>
              <w:rPr>
                <w:rFonts w:eastAsia="Times New Roman" w:cs="Times New Roman"/>
                <w:color w:val="FFFFFF" w:themeColor="background1"/>
                <w:szCs w:val="22"/>
              </w:rPr>
            </w:pPr>
            <w:r w:rsidRPr="00CA72DB">
              <w:rPr>
                <w:rFonts w:eastAsia="Times New Roman" w:cs="Times New Roman"/>
                <w:color w:val="FFFFFF" w:themeColor="background1"/>
                <w:szCs w:val="22"/>
              </w:rPr>
              <w:t>Average</w:t>
            </w:r>
          </w:p>
          <w:p w:rsidR="00040E94" w:rsidRPr="00CA72DB" w:rsidRDefault="00040E94" w:rsidP="00040E94">
            <w:pPr>
              <w:spacing w:before="0"/>
              <w:jc w:val="center"/>
              <w:rPr>
                <w:rFonts w:eastAsia="Times New Roman" w:cs="Times New Roman"/>
                <w:color w:val="FFFFFF" w:themeColor="background1"/>
                <w:szCs w:val="22"/>
              </w:rPr>
            </w:pPr>
            <w:r>
              <w:rPr>
                <w:rFonts w:eastAsia="Times New Roman" w:cs="Times New Roman"/>
                <w:color w:val="FFFFFF" w:themeColor="background1"/>
                <w:szCs w:val="22"/>
              </w:rPr>
              <w:t>(AR2)</w:t>
            </w:r>
          </w:p>
        </w:tc>
        <w:tc>
          <w:tcPr>
            <w:tcW w:w="992"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0C0C0C"/>
            <w:vAlign w:val="center"/>
          </w:tcPr>
          <w:p w:rsidR="006E1935" w:rsidRPr="00CA72DB" w:rsidRDefault="00432B56" w:rsidP="00FE41C2">
            <w:pPr>
              <w:spacing w:after="120"/>
              <w:jc w:val="center"/>
              <w:rPr>
                <w:rFonts w:eastAsia="Times New Roman" w:cs="Times New Roman"/>
                <w:color w:val="FFFFFF" w:themeColor="background1"/>
                <w:szCs w:val="22"/>
              </w:rPr>
            </w:pPr>
            <w:r w:rsidRPr="00CA72DB">
              <w:rPr>
                <w:rFonts w:eastAsia="Times New Roman" w:cs="Times New Roman"/>
                <w:color w:val="FFFFFF" w:themeColor="background1"/>
                <w:szCs w:val="22"/>
              </w:rPr>
              <w:t>-</w:t>
            </w:r>
          </w:p>
        </w:tc>
        <w:tc>
          <w:tcPr>
            <w:tcW w:w="992"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0C0C0C"/>
            <w:vAlign w:val="center"/>
          </w:tcPr>
          <w:p w:rsidR="006E1935" w:rsidRPr="00CA72DB" w:rsidRDefault="006E1935" w:rsidP="00FE41C2">
            <w:pPr>
              <w:spacing w:after="120"/>
              <w:jc w:val="center"/>
              <w:rPr>
                <w:rFonts w:eastAsia="Times New Roman" w:cs="Times New Roman"/>
                <w:color w:val="FFFFFF" w:themeColor="background1"/>
                <w:szCs w:val="22"/>
              </w:rPr>
            </w:pPr>
            <w:r w:rsidRPr="00CA72DB">
              <w:rPr>
                <w:rFonts w:eastAsia="Times New Roman" w:cs="Times New Roman"/>
                <w:color w:val="FFFFFF" w:themeColor="background1"/>
                <w:szCs w:val="22"/>
              </w:rPr>
              <w:t>GWP</w:t>
            </w:r>
          </w:p>
        </w:tc>
        <w:tc>
          <w:tcPr>
            <w:tcW w:w="1134" w:type="dxa"/>
            <w:tcBorders>
              <w:top w:val="single" w:sz="4" w:space="0" w:color="000000"/>
              <w:left w:val="single" w:sz="4" w:space="0" w:color="FFFFFF" w:themeColor="background1"/>
              <w:bottom w:val="single" w:sz="4" w:space="0" w:color="000000"/>
              <w:right w:val="single" w:sz="4" w:space="0" w:color="000000"/>
            </w:tcBorders>
            <w:shd w:val="clear" w:color="auto" w:fill="0C0C0C"/>
            <w:vAlign w:val="center"/>
          </w:tcPr>
          <w:p w:rsidR="006E1935" w:rsidRPr="00CA72DB" w:rsidRDefault="006E1935" w:rsidP="00FE41C2">
            <w:pPr>
              <w:spacing w:after="120"/>
              <w:jc w:val="center"/>
              <w:rPr>
                <w:rFonts w:eastAsia="Times New Roman" w:cs="Times New Roman"/>
                <w:color w:val="FFFFFF" w:themeColor="background1"/>
                <w:szCs w:val="22"/>
              </w:rPr>
            </w:pPr>
            <w:r w:rsidRPr="00CA72DB">
              <w:rPr>
                <w:rFonts w:eastAsia="Times New Roman" w:cs="Times New Roman"/>
                <w:color w:val="FFFFFF" w:themeColor="background1"/>
                <w:szCs w:val="22"/>
              </w:rPr>
              <w:t>kt CO</w:t>
            </w:r>
            <w:r w:rsidRPr="00CA72DB">
              <w:rPr>
                <w:rFonts w:eastAsia="Times New Roman" w:cs="Times New Roman"/>
                <w:color w:val="FFFFFF" w:themeColor="background1"/>
                <w:szCs w:val="22"/>
                <w:vertAlign w:val="subscript"/>
              </w:rPr>
              <w:t>2</w:t>
            </w:r>
            <w:r w:rsidR="00977C4A" w:rsidRPr="001C7B87">
              <w:rPr>
                <w:rFonts w:eastAsia="Times New Roman" w:cs="Times New Roman"/>
                <w:color w:val="FFFFFF" w:themeColor="background1"/>
                <w:szCs w:val="22"/>
              </w:rPr>
              <w:t>-</w:t>
            </w:r>
            <w:r w:rsidR="00432B56" w:rsidRPr="00CA72DB">
              <w:rPr>
                <w:rFonts w:eastAsia="Times New Roman" w:cs="Times New Roman"/>
                <w:color w:val="FFFFFF" w:themeColor="background1"/>
                <w:szCs w:val="22"/>
              </w:rPr>
              <w:t>e</w:t>
            </w:r>
            <w:r w:rsidR="00CD35E8" w:rsidRPr="00CA72DB">
              <w:rPr>
                <w:rFonts w:eastAsia="Times New Roman" w:cs="Times New Roman"/>
                <w:color w:val="FFFFFF" w:themeColor="background1"/>
                <w:szCs w:val="22"/>
              </w:rPr>
              <w:t xml:space="preserve"> (AR4)</w:t>
            </w:r>
          </w:p>
        </w:tc>
      </w:tr>
      <w:tr w:rsidR="00CD35E8" w:rsidRPr="005031CB" w:rsidTr="00CD35E8">
        <w:trPr>
          <w:trHeight w:val="456"/>
        </w:trPr>
        <w:tc>
          <w:tcPr>
            <w:tcW w:w="2127" w:type="dxa"/>
            <w:tcBorders>
              <w:top w:val="single" w:sz="4" w:space="0" w:color="000000"/>
              <w:left w:val="single" w:sz="4" w:space="0" w:color="000000"/>
              <w:bottom w:val="single" w:sz="4" w:space="0" w:color="000000"/>
              <w:right w:val="single" w:sz="4" w:space="0" w:color="000000"/>
            </w:tcBorders>
            <w:vAlign w:val="center"/>
          </w:tcPr>
          <w:p w:rsidR="00CD35E8" w:rsidRPr="005031CB" w:rsidRDefault="00CD35E8" w:rsidP="00432B56">
            <w:pPr>
              <w:spacing w:before="0"/>
              <w:jc w:val="left"/>
              <w:rPr>
                <w:sz w:val="20"/>
                <w:szCs w:val="20"/>
              </w:rPr>
            </w:pPr>
            <w:r w:rsidRPr="00432B56">
              <w:rPr>
                <w:sz w:val="20"/>
                <w:szCs w:val="20"/>
              </w:rPr>
              <w:t>HFC-134a</w:t>
            </w:r>
          </w:p>
        </w:tc>
        <w:tc>
          <w:tcPr>
            <w:tcW w:w="1134" w:type="dxa"/>
            <w:tcBorders>
              <w:top w:val="single" w:sz="4" w:space="0" w:color="000000"/>
              <w:left w:val="single" w:sz="4" w:space="0" w:color="000000"/>
              <w:bottom w:val="single" w:sz="4" w:space="0" w:color="000000"/>
              <w:right w:val="single" w:sz="4" w:space="0" w:color="000000"/>
            </w:tcBorders>
            <w:vAlign w:val="center"/>
          </w:tcPr>
          <w:p w:rsidR="00CD35E8" w:rsidRPr="00432B56" w:rsidRDefault="00CD35E8" w:rsidP="00432B56">
            <w:pPr>
              <w:spacing w:before="0"/>
              <w:jc w:val="center"/>
              <w:rPr>
                <w:sz w:val="20"/>
                <w:szCs w:val="20"/>
              </w:rPr>
            </w:pPr>
            <w:r w:rsidRPr="00432B56">
              <w:rPr>
                <w:sz w:val="20"/>
                <w:szCs w:val="20"/>
              </w:rPr>
              <w:t>2,313.6</w:t>
            </w:r>
          </w:p>
        </w:tc>
        <w:tc>
          <w:tcPr>
            <w:tcW w:w="992" w:type="dxa"/>
            <w:tcBorders>
              <w:top w:val="single" w:sz="4" w:space="0" w:color="000000"/>
              <w:left w:val="single" w:sz="4" w:space="0" w:color="000000"/>
              <w:bottom w:val="single" w:sz="4" w:space="0" w:color="000000"/>
              <w:right w:val="single" w:sz="4" w:space="0" w:color="000000"/>
            </w:tcBorders>
            <w:vAlign w:val="center"/>
          </w:tcPr>
          <w:p w:rsidR="00CD35E8" w:rsidRPr="00432B56" w:rsidRDefault="00CD35E8" w:rsidP="00432B56">
            <w:pPr>
              <w:spacing w:before="0"/>
              <w:jc w:val="center"/>
              <w:rPr>
                <w:sz w:val="20"/>
                <w:szCs w:val="20"/>
              </w:rPr>
            </w:pPr>
            <w:r w:rsidRPr="00432B56">
              <w:rPr>
                <w:sz w:val="20"/>
                <w:szCs w:val="20"/>
              </w:rPr>
              <w:t>2,480.0</w:t>
            </w:r>
          </w:p>
        </w:tc>
        <w:tc>
          <w:tcPr>
            <w:tcW w:w="1134" w:type="dxa"/>
            <w:tcBorders>
              <w:top w:val="single" w:sz="4" w:space="0" w:color="000000"/>
              <w:left w:val="single" w:sz="4" w:space="0" w:color="000000"/>
              <w:bottom w:val="single" w:sz="4" w:space="0" w:color="000000"/>
              <w:right w:val="single" w:sz="4" w:space="0" w:color="000000"/>
            </w:tcBorders>
            <w:vAlign w:val="center"/>
          </w:tcPr>
          <w:p w:rsidR="00CD35E8" w:rsidRPr="00432B56" w:rsidRDefault="00CD35E8" w:rsidP="00432B56">
            <w:pPr>
              <w:spacing w:before="0"/>
              <w:jc w:val="center"/>
              <w:rPr>
                <w:sz w:val="20"/>
                <w:szCs w:val="20"/>
              </w:rPr>
            </w:pPr>
            <w:r w:rsidRPr="00432B56">
              <w:rPr>
                <w:sz w:val="20"/>
                <w:szCs w:val="20"/>
              </w:rPr>
              <w:t>2,216.4</w:t>
            </w:r>
          </w:p>
        </w:tc>
        <w:tc>
          <w:tcPr>
            <w:tcW w:w="1134" w:type="dxa"/>
            <w:tcBorders>
              <w:top w:val="single" w:sz="4" w:space="0" w:color="000000"/>
              <w:left w:val="single" w:sz="4" w:space="0" w:color="000000"/>
              <w:bottom w:val="single" w:sz="4" w:space="0" w:color="000000"/>
              <w:right w:val="single" w:sz="4" w:space="0" w:color="000000"/>
            </w:tcBorders>
            <w:vAlign w:val="center"/>
          </w:tcPr>
          <w:p w:rsidR="00CD35E8" w:rsidRPr="00432B56" w:rsidRDefault="00CD35E8" w:rsidP="00432B56">
            <w:pPr>
              <w:spacing w:before="0"/>
              <w:jc w:val="center"/>
              <w:rPr>
                <w:sz w:val="20"/>
                <w:szCs w:val="20"/>
              </w:rPr>
            </w:pPr>
            <w:r w:rsidRPr="00432B56">
              <w:rPr>
                <w:sz w:val="20"/>
                <w:szCs w:val="20"/>
              </w:rPr>
              <w:t>2,336.7</w:t>
            </w:r>
          </w:p>
        </w:tc>
        <w:tc>
          <w:tcPr>
            <w:tcW w:w="992" w:type="dxa"/>
            <w:tcBorders>
              <w:top w:val="single" w:sz="4" w:space="0" w:color="000000"/>
              <w:left w:val="single" w:sz="4" w:space="0" w:color="000000"/>
              <w:bottom w:val="single" w:sz="4" w:space="0" w:color="000000"/>
              <w:right w:val="single" w:sz="4" w:space="0" w:color="000000"/>
            </w:tcBorders>
            <w:vAlign w:val="center"/>
          </w:tcPr>
          <w:p w:rsidR="00CD35E8" w:rsidRPr="00432B56" w:rsidRDefault="00CD35E8" w:rsidP="00432B56">
            <w:pPr>
              <w:spacing w:before="0"/>
              <w:jc w:val="center"/>
              <w:rPr>
                <w:sz w:val="20"/>
                <w:szCs w:val="20"/>
              </w:rPr>
            </w:pPr>
            <w:r w:rsidRPr="00432B56">
              <w:rPr>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CD35E8" w:rsidRPr="00432B56" w:rsidRDefault="00CD35E8" w:rsidP="00CD35E8">
            <w:pPr>
              <w:spacing w:before="0"/>
              <w:jc w:val="center"/>
              <w:rPr>
                <w:sz w:val="20"/>
                <w:szCs w:val="20"/>
              </w:rPr>
            </w:pPr>
            <w:r w:rsidRPr="00CD35E8">
              <w:rPr>
                <w:sz w:val="20"/>
                <w:szCs w:val="20"/>
              </w:rPr>
              <w:t>1430</w:t>
            </w:r>
          </w:p>
        </w:tc>
        <w:tc>
          <w:tcPr>
            <w:tcW w:w="1134" w:type="dxa"/>
            <w:tcBorders>
              <w:top w:val="single" w:sz="4" w:space="0" w:color="000000"/>
              <w:left w:val="single" w:sz="4" w:space="0" w:color="000000"/>
              <w:bottom w:val="single" w:sz="4" w:space="0" w:color="000000"/>
              <w:right w:val="single" w:sz="4" w:space="0" w:color="000000"/>
            </w:tcBorders>
            <w:vAlign w:val="center"/>
          </w:tcPr>
          <w:p w:rsidR="00CD35E8" w:rsidRPr="00432B56" w:rsidRDefault="00CD35E8" w:rsidP="00CD35E8">
            <w:pPr>
              <w:spacing w:before="0"/>
              <w:jc w:val="center"/>
              <w:rPr>
                <w:sz w:val="20"/>
                <w:szCs w:val="20"/>
              </w:rPr>
            </w:pPr>
            <w:r w:rsidRPr="00CD35E8">
              <w:rPr>
                <w:sz w:val="20"/>
                <w:szCs w:val="20"/>
              </w:rPr>
              <w:t>2,570.3</w:t>
            </w:r>
          </w:p>
        </w:tc>
      </w:tr>
      <w:tr w:rsidR="00CD35E8" w:rsidRPr="005031CB" w:rsidTr="00CD35E8">
        <w:trPr>
          <w:trHeight w:val="456"/>
        </w:trPr>
        <w:tc>
          <w:tcPr>
            <w:tcW w:w="2127" w:type="dxa"/>
            <w:tcBorders>
              <w:top w:val="single" w:sz="4" w:space="0" w:color="000000"/>
              <w:left w:val="single" w:sz="4" w:space="0" w:color="000000"/>
              <w:bottom w:val="single" w:sz="4" w:space="0" w:color="000000"/>
              <w:right w:val="single" w:sz="4" w:space="0" w:color="000000"/>
            </w:tcBorders>
            <w:vAlign w:val="center"/>
          </w:tcPr>
          <w:p w:rsidR="00CD35E8" w:rsidRPr="005031CB" w:rsidRDefault="00CD35E8" w:rsidP="00432B56">
            <w:pPr>
              <w:spacing w:before="0"/>
              <w:jc w:val="left"/>
              <w:rPr>
                <w:sz w:val="20"/>
                <w:szCs w:val="20"/>
              </w:rPr>
            </w:pPr>
            <w:r w:rsidRPr="00432B56">
              <w:rPr>
                <w:sz w:val="20"/>
                <w:szCs w:val="20"/>
              </w:rPr>
              <w:t>Secondary</w:t>
            </w:r>
          </w:p>
        </w:tc>
        <w:tc>
          <w:tcPr>
            <w:tcW w:w="1134" w:type="dxa"/>
            <w:tcBorders>
              <w:top w:val="single" w:sz="4" w:space="0" w:color="000000"/>
              <w:left w:val="single" w:sz="4" w:space="0" w:color="000000"/>
              <w:bottom w:val="single" w:sz="4" w:space="0" w:color="000000"/>
              <w:right w:val="single" w:sz="4" w:space="0" w:color="000000"/>
            </w:tcBorders>
            <w:vAlign w:val="center"/>
          </w:tcPr>
          <w:p w:rsidR="00CD35E8" w:rsidRPr="00432B56" w:rsidRDefault="00CD35E8" w:rsidP="00432B56">
            <w:pPr>
              <w:spacing w:before="0"/>
              <w:jc w:val="center"/>
              <w:rPr>
                <w:sz w:val="20"/>
                <w:szCs w:val="20"/>
              </w:rPr>
            </w:pPr>
            <w:r w:rsidRPr="00432B56">
              <w:rPr>
                <w:sz w:val="20"/>
                <w:szCs w:val="20"/>
              </w:rPr>
              <w:t>4,162.1</w:t>
            </w:r>
          </w:p>
        </w:tc>
        <w:tc>
          <w:tcPr>
            <w:tcW w:w="992" w:type="dxa"/>
            <w:tcBorders>
              <w:top w:val="single" w:sz="4" w:space="0" w:color="000000"/>
              <w:left w:val="single" w:sz="4" w:space="0" w:color="000000"/>
              <w:bottom w:val="single" w:sz="4" w:space="0" w:color="000000"/>
              <w:right w:val="single" w:sz="4" w:space="0" w:color="000000"/>
            </w:tcBorders>
            <w:vAlign w:val="center"/>
          </w:tcPr>
          <w:p w:rsidR="00CD35E8" w:rsidRPr="00432B56" w:rsidRDefault="00CD35E8" w:rsidP="00432B56">
            <w:pPr>
              <w:spacing w:before="0"/>
              <w:jc w:val="center"/>
              <w:rPr>
                <w:sz w:val="20"/>
                <w:szCs w:val="20"/>
              </w:rPr>
            </w:pPr>
            <w:r w:rsidRPr="00432B56">
              <w:rPr>
                <w:sz w:val="20"/>
                <w:szCs w:val="20"/>
              </w:rPr>
              <w:t>4,421.5</w:t>
            </w:r>
          </w:p>
        </w:tc>
        <w:tc>
          <w:tcPr>
            <w:tcW w:w="1134" w:type="dxa"/>
            <w:tcBorders>
              <w:top w:val="single" w:sz="4" w:space="0" w:color="000000"/>
              <w:left w:val="single" w:sz="4" w:space="0" w:color="000000"/>
              <w:bottom w:val="single" w:sz="4" w:space="0" w:color="000000"/>
              <w:right w:val="single" w:sz="4" w:space="0" w:color="000000"/>
            </w:tcBorders>
            <w:vAlign w:val="center"/>
          </w:tcPr>
          <w:p w:rsidR="00CD35E8" w:rsidRPr="00432B56" w:rsidRDefault="00CD35E8" w:rsidP="00432B56">
            <w:pPr>
              <w:spacing w:before="0"/>
              <w:jc w:val="center"/>
              <w:rPr>
                <w:sz w:val="20"/>
                <w:szCs w:val="20"/>
              </w:rPr>
            </w:pPr>
            <w:r w:rsidRPr="00432B56">
              <w:rPr>
                <w:sz w:val="20"/>
                <w:szCs w:val="20"/>
              </w:rPr>
              <w:t>4,235.8</w:t>
            </w:r>
          </w:p>
        </w:tc>
        <w:tc>
          <w:tcPr>
            <w:tcW w:w="1134" w:type="dxa"/>
            <w:tcBorders>
              <w:top w:val="single" w:sz="4" w:space="0" w:color="000000"/>
              <w:left w:val="single" w:sz="4" w:space="0" w:color="000000"/>
              <w:bottom w:val="single" w:sz="4" w:space="0" w:color="000000"/>
              <w:right w:val="single" w:sz="4" w:space="0" w:color="000000"/>
            </w:tcBorders>
            <w:vAlign w:val="center"/>
          </w:tcPr>
          <w:p w:rsidR="00CD35E8" w:rsidRPr="00432B56" w:rsidRDefault="00CD35E8" w:rsidP="00432B56">
            <w:pPr>
              <w:spacing w:before="0"/>
              <w:jc w:val="center"/>
              <w:rPr>
                <w:sz w:val="20"/>
                <w:szCs w:val="20"/>
              </w:rPr>
            </w:pPr>
            <w:r w:rsidRPr="00432B56">
              <w:rPr>
                <w:sz w:val="20"/>
                <w:szCs w:val="20"/>
              </w:rPr>
              <w:t>4,273.1</w:t>
            </w:r>
          </w:p>
        </w:tc>
        <w:tc>
          <w:tcPr>
            <w:tcW w:w="992" w:type="dxa"/>
            <w:tcBorders>
              <w:top w:val="single" w:sz="4" w:space="0" w:color="000000"/>
              <w:left w:val="single" w:sz="4" w:space="0" w:color="000000"/>
              <w:bottom w:val="single" w:sz="4" w:space="0" w:color="000000"/>
              <w:right w:val="single" w:sz="4" w:space="0" w:color="000000"/>
            </w:tcBorders>
            <w:vAlign w:val="center"/>
          </w:tcPr>
          <w:p w:rsidR="00CD35E8" w:rsidRPr="00432B56" w:rsidRDefault="00CD35E8" w:rsidP="00432B56">
            <w:pPr>
              <w:spacing w:before="0"/>
              <w:jc w:val="center"/>
              <w:rPr>
                <w:sz w:val="20"/>
                <w:szCs w:val="20"/>
              </w:rPr>
            </w:pPr>
            <w:r w:rsidRPr="00432B56">
              <w:rPr>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CD35E8" w:rsidRPr="00432B56" w:rsidRDefault="00CD35E8" w:rsidP="00CD35E8">
            <w:pPr>
              <w:spacing w:before="0"/>
              <w:jc w:val="center"/>
              <w:rPr>
                <w:sz w:val="20"/>
                <w:szCs w:val="20"/>
              </w:rPr>
            </w:pPr>
            <w:r w:rsidRPr="00CD35E8">
              <w:rPr>
                <w:sz w:val="20"/>
                <w:szCs w:val="20"/>
              </w:rPr>
              <w:t>3370</w:t>
            </w:r>
          </w:p>
        </w:tc>
        <w:tc>
          <w:tcPr>
            <w:tcW w:w="1134" w:type="dxa"/>
            <w:tcBorders>
              <w:top w:val="single" w:sz="4" w:space="0" w:color="000000"/>
              <w:left w:val="single" w:sz="4" w:space="0" w:color="000000"/>
              <w:bottom w:val="single" w:sz="4" w:space="0" w:color="000000"/>
              <w:right w:val="single" w:sz="4" w:space="0" w:color="000000"/>
            </w:tcBorders>
            <w:vAlign w:val="center"/>
          </w:tcPr>
          <w:p w:rsidR="00CD35E8" w:rsidRPr="00432B56" w:rsidRDefault="00CD35E8" w:rsidP="00CD35E8">
            <w:pPr>
              <w:spacing w:before="0"/>
              <w:jc w:val="center"/>
              <w:rPr>
                <w:sz w:val="20"/>
                <w:szCs w:val="20"/>
              </w:rPr>
            </w:pPr>
            <w:r w:rsidRPr="00CD35E8">
              <w:rPr>
                <w:sz w:val="20"/>
                <w:szCs w:val="20"/>
              </w:rPr>
              <w:t>5,088.4</w:t>
            </w:r>
          </w:p>
        </w:tc>
      </w:tr>
      <w:tr w:rsidR="00CD35E8" w:rsidRPr="005031CB" w:rsidTr="00CD35E8">
        <w:trPr>
          <w:trHeight w:val="456"/>
        </w:trPr>
        <w:tc>
          <w:tcPr>
            <w:tcW w:w="2127" w:type="dxa"/>
            <w:tcBorders>
              <w:top w:val="single" w:sz="4" w:space="0" w:color="000000"/>
              <w:left w:val="single" w:sz="4" w:space="0" w:color="000000"/>
              <w:bottom w:val="single" w:sz="4" w:space="0" w:color="000000"/>
              <w:right w:val="single" w:sz="4" w:space="0" w:color="000000"/>
            </w:tcBorders>
            <w:vAlign w:val="center"/>
          </w:tcPr>
          <w:p w:rsidR="00CD35E8" w:rsidRPr="005031CB" w:rsidRDefault="00CD35E8" w:rsidP="00432B56">
            <w:pPr>
              <w:spacing w:before="0"/>
              <w:jc w:val="left"/>
              <w:rPr>
                <w:sz w:val="20"/>
                <w:szCs w:val="20"/>
              </w:rPr>
            </w:pPr>
            <w:r w:rsidRPr="00432B56">
              <w:rPr>
                <w:sz w:val="20"/>
                <w:szCs w:val="20"/>
              </w:rPr>
              <w:t>Exotic</w:t>
            </w:r>
          </w:p>
        </w:tc>
        <w:tc>
          <w:tcPr>
            <w:tcW w:w="1134" w:type="dxa"/>
            <w:tcBorders>
              <w:top w:val="single" w:sz="4" w:space="0" w:color="000000"/>
              <w:left w:val="single" w:sz="4" w:space="0" w:color="000000"/>
              <w:bottom w:val="single" w:sz="4" w:space="0" w:color="000000"/>
              <w:right w:val="single" w:sz="4" w:space="0" w:color="000000"/>
            </w:tcBorders>
            <w:vAlign w:val="center"/>
          </w:tcPr>
          <w:p w:rsidR="00CD35E8" w:rsidRPr="00432B56" w:rsidRDefault="00CD35E8" w:rsidP="00432B56">
            <w:pPr>
              <w:spacing w:before="0"/>
              <w:jc w:val="center"/>
              <w:rPr>
                <w:sz w:val="20"/>
                <w:szCs w:val="20"/>
              </w:rPr>
            </w:pPr>
            <w:r w:rsidRPr="00432B56">
              <w:rPr>
                <w:sz w:val="20"/>
                <w:szCs w:val="20"/>
              </w:rPr>
              <w:t>10.9</w:t>
            </w:r>
          </w:p>
        </w:tc>
        <w:tc>
          <w:tcPr>
            <w:tcW w:w="992" w:type="dxa"/>
            <w:tcBorders>
              <w:top w:val="single" w:sz="4" w:space="0" w:color="000000"/>
              <w:left w:val="single" w:sz="4" w:space="0" w:color="000000"/>
              <w:bottom w:val="single" w:sz="4" w:space="0" w:color="000000"/>
              <w:right w:val="single" w:sz="4" w:space="0" w:color="000000"/>
            </w:tcBorders>
            <w:vAlign w:val="center"/>
          </w:tcPr>
          <w:p w:rsidR="00CD35E8" w:rsidRPr="00432B56" w:rsidRDefault="00CD35E8" w:rsidP="00432B56">
            <w:pPr>
              <w:spacing w:before="0"/>
              <w:jc w:val="center"/>
              <w:rPr>
                <w:sz w:val="20"/>
                <w:szCs w:val="20"/>
              </w:rPr>
            </w:pPr>
            <w:r w:rsidRPr="00432B56">
              <w:rPr>
                <w:sz w:val="20"/>
                <w:szCs w:val="20"/>
              </w:rPr>
              <w:t>34.5</w:t>
            </w:r>
          </w:p>
        </w:tc>
        <w:tc>
          <w:tcPr>
            <w:tcW w:w="1134" w:type="dxa"/>
            <w:tcBorders>
              <w:top w:val="single" w:sz="4" w:space="0" w:color="000000"/>
              <w:left w:val="single" w:sz="4" w:space="0" w:color="000000"/>
              <w:bottom w:val="single" w:sz="4" w:space="0" w:color="000000"/>
              <w:right w:val="single" w:sz="4" w:space="0" w:color="000000"/>
            </w:tcBorders>
            <w:vAlign w:val="center"/>
          </w:tcPr>
          <w:p w:rsidR="00CD35E8" w:rsidRPr="00432B56" w:rsidRDefault="00CD35E8" w:rsidP="00432B56">
            <w:pPr>
              <w:spacing w:before="0"/>
              <w:jc w:val="center"/>
              <w:rPr>
                <w:sz w:val="20"/>
                <w:szCs w:val="20"/>
              </w:rPr>
            </w:pPr>
            <w:r w:rsidRPr="00432B56">
              <w:rPr>
                <w:sz w:val="20"/>
                <w:szCs w:val="20"/>
              </w:rPr>
              <w:t>42.0</w:t>
            </w:r>
          </w:p>
        </w:tc>
        <w:tc>
          <w:tcPr>
            <w:tcW w:w="1134" w:type="dxa"/>
            <w:tcBorders>
              <w:top w:val="single" w:sz="4" w:space="0" w:color="000000"/>
              <w:left w:val="single" w:sz="4" w:space="0" w:color="000000"/>
              <w:bottom w:val="single" w:sz="4" w:space="0" w:color="000000"/>
              <w:right w:val="single" w:sz="4" w:space="0" w:color="000000"/>
            </w:tcBorders>
            <w:vAlign w:val="center"/>
          </w:tcPr>
          <w:p w:rsidR="00CD35E8" w:rsidRPr="00432B56" w:rsidRDefault="00CD35E8" w:rsidP="00432B56">
            <w:pPr>
              <w:spacing w:before="0"/>
              <w:jc w:val="center"/>
              <w:rPr>
                <w:sz w:val="20"/>
                <w:szCs w:val="20"/>
              </w:rPr>
            </w:pPr>
            <w:r w:rsidRPr="00432B56">
              <w:rPr>
                <w:sz w:val="20"/>
                <w:szCs w:val="20"/>
              </w:rPr>
              <w:t>29.1</w:t>
            </w:r>
          </w:p>
        </w:tc>
        <w:tc>
          <w:tcPr>
            <w:tcW w:w="992" w:type="dxa"/>
            <w:tcBorders>
              <w:top w:val="single" w:sz="4" w:space="0" w:color="000000"/>
              <w:left w:val="single" w:sz="4" w:space="0" w:color="000000"/>
              <w:bottom w:val="single" w:sz="4" w:space="0" w:color="000000"/>
              <w:right w:val="single" w:sz="4" w:space="0" w:color="000000"/>
            </w:tcBorders>
            <w:vAlign w:val="center"/>
          </w:tcPr>
          <w:p w:rsidR="00CD35E8" w:rsidRPr="00432B56" w:rsidRDefault="00CD35E8" w:rsidP="00432B56">
            <w:pPr>
              <w:spacing w:before="0"/>
              <w:jc w:val="center"/>
              <w:rPr>
                <w:sz w:val="20"/>
                <w:szCs w:val="20"/>
              </w:rPr>
            </w:pPr>
            <w:r w:rsidRPr="00432B56">
              <w:rPr>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CD35E8" w:rsidRPr="00432B56" w:rsidRDefault="00CD35E8" w:rsidP="00CD35E8">
            <w:pPr>
              <w:spacing w:before="0"/>
              <w:jc w:val="center"/>
              <w:rPr>
                <w:sz w:val="20"/>
                <w:szCs w:val="20"/>
              </w:rPr>
            </w:pPr>
            <w:r w:rsidRPr="00CD35E8">
              <w:rPr>
                <w:sz w:val="20"/>
                <w:szCs w:val="20"/>
              </w:rPr>
              <w:t>1650</w:t>
            </w:r>
          </w:p>
        </w:tc>
        <w:tc>
          <w:tcPr>
            <w:tcW w:w="1134" w:type="dxa"/>
            <w:tcBorders>
              <w:top w:val="single" w:sz="4" w:space="0" w:color="000000"/>
              <w:left w:val="single" w:sz="4" w:space="0" w:color="000000"/>
              <w:bottom w:val="single" w:sz="4" w:space="0" w:color="000000"/>
              <w:right w:val="single" w:sz="4" w:space="0" w:color="000000"/>
            </w:tcBorders>
            <w:vAlign w:val="center"/>
          </w:tcPr>
          <w:p w:rsidR="00CD35E8" w:rsidRPr="00432B56" w:rsidRDefault="00CD35E8" w:rsidP="00CD35E8">
            <w:pPr>
              <w:spacing w:before="0"/>
              <w:jc w:val="center"/>
              <w:rPr>
                <w:sz w:val="20"/>
                <w:szCs w:val="20"/>
              </w:rPr>
            </w:pPr>
            <w:r w:rsidRPr="00CD35E8">
              <w:rPr>
                <w:sz w:val="20"/>
                <w:szCs w:val="20"/>
              </w:rPr>
              <w:t>32.0</w:t>
            </w:r>
          </w:p>
        </w:tc>
      </w:tr>
      <w:tr w:rsidR="00CD35E8" w:rsidRPr="00CD35E8" w:rsidTr="00432B56">
        <w:trPr>
          <w:trHeight w:val="456"/>
        </w:trPr>
        <w:tc>
          <w:tcPr>
            <w:tcW w:w="2127" w:type="dxa"/>
            <w:tcBorders>
              <w:top w:val="single" w:sz="4" w:space="0" w:color="000000"/>
              <w:left w:val="single" w:sz="4" w:space="0" w:color="000000"/>
              <w:bottom w:val="single" w:sz="4" w:space="0" w:color="000000"/>
              <w:right w:val="single" w:sz="4" w:space="0" w:color="000000"/>
            </w:tcBorders>
            <w:vAlign w:val="center"/>
          </w:tcPr>
          <w:p w:rsidR="00CD35E8" w:rsidRPr="005031CB" w:rsidRDefault="00CD35E8" w:rsidP="00432B56">
            <w:pPr>
              <w:spacing w:before="0"/>
              <w:jc w:val="left"/>
              <w:rPr>
                <w:sz w:val="20"/>
                <w:szCs w:val="20"/>
              </w:rPr>
            </w:pPr>
            <w:r>
              <w:rPr>
                <w:sz w:val="20"/>
                <w:szCs w:val="20"/>
              </w:rPr>
              <w:t>Total HFC imports</w:t>
            </w:r>
          </w:p>
        </w:tc>
        <w:tc>
          <w:tcPr>
            <w:tcW w:w="1134" w:type="dxa"/>
            <w:tcBorders>
              <w:top w:val="single" w:sz="4" w:space="0" w:color="000000"/>
              <w:left w:val="single" w:sz="4" w:space="0" w:color="000000"/>
              <w:bottom w:val="single" w:sz="4" w:space="0" w:color="000000"/>
              <w:right w:val="single" w:sz="4" w:space="0" w:color="000000"/>
            </w:tcBorders>
            <w:vAlign w:val="center"/>
          </w:tcPr>
          <w:p w:rsidR="00CD35E8" w:rsidRPr="00CD35E8" w:rsidRDefault="00CD35E8" w:rsidP="00CD35E8">
            <w:pPr>
              <w:spacing w:before="0"/>
              <w:jc w:val="center"/>
              <w:rPr>
                <w:rFonts w:eastAsia="Times New Roman" w:cs="Times New Roman"/>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D35E8" w:rsidRPr="00CD35E8" w:rsidRDefault="00CD35E8" w:rsidP="00CD35E8">
            <w:pPr>
              <w:spacing w:before="0"/>
              <w:jc w:val="center"/>
              <w:rPr>
                <w:rFonts w:eastAsia="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D35E8" w:rsidRPr="00CD35E8" w:rsidRDefault="00CD35E8" w:rsidP="00CD35E8">
            <w:pPr>
              <w:spacing w:before="0"/>
              <w:jc w:val="center"/>
              <w:rPr>
                <w:rFonts w:eastAsia="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D35E8" w:rsidRPr="00CD35E8" w:rsidRDefault="00F01307" w:rsidP="00CD35E8">
            <w:pPr>
              <w:spacing w:before="0"/>
              <w:jc w:val="center"/>
              <w:rPr>
                <w:rFonts w:eastAsia="Times New Roman" w:cs="Times New Roman"/>
                <w:color w:val="000000"/>
                <w:sz w:val="20"/>
                <w:szCs w:val="20"/>
              </w:rPr>
            </w:pPr>
            <w:r>
              <w:rPr>
                <w:rFonts w:eastAsia="Times New Roman" w:cs="Times New Roman"/>
                <w:color w:val="000000"/>
                <w:sz w:val="20"/>
                <w:szCs w:val="20"/>
              </w:rPr>
              <w:t>6,638.9</w:t>
            </w:r>
          </w:p>
        </w:tc>
        <w:tc>
          <w:tcPr>
            <w:tcW w:w="992" w:type="dxa"/>
            <w:tcBorders>
              <w:top w:val="single" w:sz="4" w:space="0" w:color="000000"/>
              <w:left w:val="single" w:sz="4" w:space="0" w:color="000000"/>
              <w:bottom w:val="single" w:sz="4" w:space="0" w:color="000000"/>
              <w:right w:val="single" w:sz="4" w:space="0" w:color="000000"/>
            </w:tcBorders>
            <w:vAlign w:val="center"/>
          </w:tcPr>
          <w:p w:rsidR="00CD35E8" w:rsidRPr="00CD35E8" w:rsidRDefault="00CD35E8" w:rsidP="00CD35E8">
            <w:pPr>
              <w:spacing w:before="0"/>
              <w:jc w:val="center"/>
              <w:rPr>
                <w:rFonts w:eastAsia="Times New Roman" w:cs="Times New Roman"/>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D35E8" w:rsidRPr="00CD35E8" w:rsidRDefault="00CD35E8" w:rsidP="00CD35E8">
            <w:pPr>
              <w:spacing w:before="0"/>
              <w:jc w:val="center"/>
              <w:rPr>
                <w:rFonts w:eastAsia="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D35E8" w:rsidRPr="00CD35E8" w:rsidRDefault="00F01307" w:rsidP="00F01307">
            <w:pPr>
              <w:spacing w:before="0"/>
              <w:jc w:val="center"/>
              <w:rPr>
                <w:rFonts w:eastAsia="Times New Roman" w:cs="Times New Roman"/>
                <w:color w:val="000000"/>
                <w:sz w:val="20"/>
                <w:szCs w:val="20"/>
              </w:rPr>
            </w:pPr>
            <w:r>
              <w:rPr>
                <w:rFonts w:eastAsia="Times New Roman" w:cs="Times New Roman"/>
                <w:color w:val="000000"/>
                <w:sz w:val="20"/>
                <w:szCs w:val="20"/>
              </w:rPr>
              <w:t>7690.7</w:t>
            </w:r>
          </w:p>
        </w:tc>
      </w:tr>
      <w:tr w:rsidR="00CD35E8" w:rsidRPr="00CD35E8" w:rsidTr="00CA72DB">
        <w:trPr>
          <w:trHeight w:val="456"/>
        </w:trPr>
        <w:tc>
          <w:tcPr>
            <w:tcW w:w="8505" w:type="dxa"/>
            <w:gridSpan w:val="7"/>
            <w:tcBorders>
              <w:top w:val="single" w:sz="4" w:space="0" w:color="000000"/>
              <w:left w:val="single" w:sz="4" w:space="0" w:color="000000"/>
              <w:bottom w:val="single" w:sz="4" w:space="0" w:color="000000"/>
              <w:right w:val="single" w:sz="4" w:space="0" w:color="000000"/>
            </w:tcBorders>
            <w:vAlign w:val="center"/>
          </w:tcPr>
          <w:p w:rsidR="00CD35E8" w:rsidRPr="006E1935" w:rsidRDefault="00CD35E8" w:rsidP="00432B56">
            <w:pPr>
              <w:spacing w:before="60" w:after="60"/>
              <w:jc w:val="right"/>
              <w:rPr>
                <w:rFonts w:eastAsia="Times New Roman" w:cs="Times New Roman"/>
                <w:color w:val="000000"/>
                <w:sz w:val="20"/>
                <w:szCs w:val="20"/>
              </w:rPr>
            </w:pPr>
            <w:r>
              <w:rPr>
                <w:sz w:val="20"/>
                <w:szCs w:val="20"/>
              </w:rPr>
              <w:t>NAA proposal calculated baseline</w:t>
            </w:r>
          </w:p>
        </w:tc>
        <w:tc>
          <w:tcPr>
            <w:tcW w:w="1134" w:type="dxa"/>
            <w:tcBorders>
              <w:top w:val="single" w:sz="4" w:space="0" w:color="000000"/>
              <w:left w:val="single" w:sz="4" w:space="0" w:color="000000"/>
              <w:bottom w:val="single" w:sz="4" w:space="0" w:color="000000"/>
              <w:right w:val="single" w:sz="4" w:space="0" w:color="000000"/>
            </w:tcBorders>
            <w:vAlign w:val="center"/>
          </w:tcPr>
          <w:p w:rsidR="00CD35E8" w:rsidRPr="006E1935" w:rsidRDefault="00CA72DB" w:rsidP="00CD35E8">
            <w:pPr>
              <w:spacing w:before="0"/>
              <w:jc w:val="center"/>
              <w:rPr>
                <w:rFonts w:eastAsia="Times New Roman" w:cs="Times New Roman"/>
                <w:color w:val="000000"/>
                <w:sz w:val="20"/>
                <w:szCs w:val="20"/>
              </w:rPr>
            </w:pPr>
            <w:r>
              <w:rPr>
                <w:rFonts w:eastAsia="Times New Roman" w:cs="Times New Roman"/>
                <w:color w:val="000000"/>
                <w:sz w:val="20"/>
                <w:szCs w:val="20"/>
              </w:rPr>
              <w:t>9,954.9</w:t>
            </w:r>
          </w:p>
        </w:tc>
      </w:tr>
    </w:tbl>
    <w:p w:rsidR="00B554F4" w:rsidRDefault="00B554F4" w:rsidP="00B554F4">
      <w:pPr>
        <w:rPr>
          <w:rFonts w:cs="Times New Roman"/>
          <w:szCs w:val="22"/>
          <w:lang w:val="en-US"/>
        </w:rPr>
      </w:pPr>
    </w:p>
    <w:p w:rsidR="00FE41C2" w:rsidRDefault="00FE41C2" w:rsidP="00B554F4">
      <w:pPr>
        <w:rPr>
          <w:rFonts w:cs="Times New Roman"/>
          <w:szCs w:val="22"/>
          <w:lang w:val="en-US"/>
        </w:rPr>
      </w:pPr>
    </w:p>
    <w:p w:rsidR="00FE41C2" w:rsidRDefault="00FE41C2" w:rsidP="00B554F4">
      <w:pPr>
        <w:rPr>
          <w:rFonts w:cs="Times New Roman"/>
          <w:szCs w:val="22"/>
          <w:lang w:val="en-US"/>
        </w:rPr>
      </w:pPr>
    </w:p>
    <w:p w:rsidR="00FE41C2" w:rsidRDefault="00FE41C2" w:rsidP="00B554F4">
      <w:pPr>
        <w:rPr>
          <w:rFonts w:cs="Times New Roman"/>
          <w:szCs w:val="22"/>
          <w:lang w:val="en-US"/>
        </w:rPr>
      </w:pPr>
    </w:p>
    <w:p w:rsidR="00FE41C2" w:rsidRDefault="00FE41C2" w:rsidP="00B554F4">
      <w:pPr>
        <w:rPr>
          <w:rFonts w:cs="Times New Roman"/>
          <w:szCs w:val="22"/>
          <w:lang w:val="en-US"/>
        </w:rPr>
      </w:pPr>
    </w:p>
    <w:p w:rsidR="00FE41C2" w:rsidRDefault="00FE41C2" w:rsidP="00B554F4">
      <w:pPr>
        <w:rPr>
          <w:rFonts w:cs="Times New Roman"/>
          <w:szCs w:val="22"/>
          <w:lang w:val="en-US"/>
        </w:rPr>
      </w:pPr>
    </w:p>
    <w:p w:rsidR="00FE41C2" w:rsidRDefault="00FE41C2" w:rsidP="00B554F4">
      <w:pPr>
        <w:rPr>
          <w:rFonts w:cs="Times New Roman"/>
          <w:szCs w:val="22"/>
          <w:lang w:val="en-US"/>
        </w:rPr>
      </w:pPr>
    </w:p>
    <w:p w:rsidR="00FE41C2" w:rsidRDefault="00FE41C2" w:rsidP="00B554F4">
      <w:pPr>
        <w:rPr>
          <w:rFonts w:cs="Times New Roman"/>
          <w:szCs w:val="22"/>
          <w:lang w:val="en-US"/>
        </w:rPr>
      </w:pPr>
    </w:p>
    <w:p w:rsidR="00FE41C2" w:rsidRDefault="00FE41C2" w:rsidP="00B554F4">
      <w:pPr>
        <w:rPr>
          <w:rFonts w:cs="Times New Roman"/>
          <w:szCs w:val="22"/>
          <w:lang w:val="en-US"/>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1134"/>
        <w:gridCol w:w="992"/>
        <w:gridCol w:w="1134"/>
        <w:gridCol w:w="1134"/>
        <w:gridCol w:w="992"/>
        <w:gridCol w:w="992"/>
        <w:gridCol w:w="1134"/>
      </w:tblGrid>
      <w:tr w:rsidR="00FE41C2" w:rsidRPr="00CA72DB" w:rsidTr="00FE41C2">
        <w:trPr>
          <w:trHeight w:val="456"/>
        </w:trPr>
        <w:tc>
          <w:tcPr>
            <w:tcW w:w="6521" w:type="dxa"/>
            <w:gridSpan w:val="5"/>
            <w:tcBorders>
              <w:top w:val="single" w:sz="4" w:space="0" w:color="000000"/>
              <w:left w:val="single" w:sz="4" w:space="0" w:color="000000"/>
              <w:bottom w:val="single" w:sz="4" w:space="0" w:color="000000"/>
              <w:right w:val="single" w:sz="4" w:space="0" w:color="FFFFFF" w:themeColor="background1"/>
            </w:tcBorders>
            <w:shd w:val="clear" w:color="auto" w:fill="0C0C0C"/>
            <w:vAlign w:val="center"/>
          </w:tcPr>
          <w:p w:rsidR="00FE41C2" w:rsidRPr="00CA72DB" w:rsidRDefault="00FE41C2" w:rsidP="00FE41C2">
            <w:pPr>
              <w:spacing w:after="120"/>
              <w:jc w:val="left"/>
              <w:rPr>
                <w:color w:val="FFFFFF" w:themeColor="background1"/>
                <w:szCs w:val="22"/>
              </w:rPr>
            </w:pPr>
            <w:r w:rsidRPr="00CA72DB">
              <w:rPr>
                <w:color w:val="FFFFFF" w:themeColor="background1"/>
                <w:szCs w:val="22"/>
              </w:rPr>
              <w:t xml:space="preserve">2013 </w:t>
            </w:r>
            <w:r>
              <w:rPr>
                <w:color w:val="FFFFFF" w:themeColor="background1"/>
                <w:szCs w:val="22"/>
              </w:rPr>
              <w:t>C</w:t>
            </w:r>
            <w:r w:rsidRPr="00CA72DB">
              <w:rPr>
                <w:color w:val="FFFFFF" w:themeColor="background1"/>
                <w:szCs w:val="22"/>
              </w:rPr>
              <w:t>onsumption estimate</w:t>
            </w:r>
          </w:p>
        </w:tc>
        <w:tc>
          <w:tcPr>
            <w:tcW w:w="992"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0C0C0C"/>
            <w:vAlign w:val="center"/>
          </w:tcPr>
          <w:p w:rsidR="00FE41C2" w:rsidRPr="00CA72DB" w:rsidRDefault="00FE41C2" w:rsidP="00FE41C2">
            <w:pPr>
              <w:spacing w:after="120"/>
              <w:jc w:val="center"/>
              <w:rPr>
                <w:color w:val="FFFFFF" w:themeColor="background1"/>
                <w:szCs w:val="22"/>
              </w:rPr>
            </w:pPr>
            <w:r w:rsidRPr="00CA72DB">
              <w:rPr>
                <w:color w:val="FFFFFF" w:themeColor="background1"/>
                <w:szCs w:val="22"/>
              </w:rPr>
              <w:t>2013 (tonnes)</w:t>
            </w:r>
          </w:p>
        </w:tc>
        <w:tc>
          <w:tcPr>
            <w:tcW w:w="992"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0C0C0C"/>
            <w:vAlign w:val="center"/>
          </w:tcPr>
          <w:p w:rsidR="00FE41C2" w:rsidRPr="00CA72DB" w:rsidRDefault="00FE41C2" w:rsidP="00FE41C2">
            <w:pPr>
              <w:spacing w:after="120"/>
              <w:jc w:val="center"/>
              <w:rPr>
                <w:color w:val="FFFFFF" w:themeColor="background1"/>
                <w:szCs w:val="22"/>
              </w:rPr>
            </w:pPr>
            <w:r w:rsidRPr="00CA72DB">
              <w:rPr>
                <w:color w:val="FFFFFF" w:themeColor="background1"/>
                <w:szCs w:val="22"/>
              </w:rPr>
              <w:t>GWP (AR4)</w:t>
            </w:r>
          </w:p>
        </w:tc>
        <w:tc>
          <w:tcPr>
            <w:tcW w:w="1134" w:type="dxa"/>
            <w:tcBorders>
              <w:top w:val="single" w:sz="4" w:space="0" w:color="000000"/>
              <w:left w:val="single" w:sz="4" w:space="0" w:color="FFFFFF" w:themeColor="background1"/>
              <w:bottom w:val="single" w:sz="4" w:space="0" w:color="000000"/>
              <w:right w:val="single" w:sz="4" w:space="0" w:color="000000"/>
            </w:tcBorders>
            <w:shd w:val="clear" w:color="auto" w:fill="0C0C0C"/>
            <w:vAlign w:val="center"/>
          </w:tcPr>
          <w:p w:rsidR="00FE41C2" w:rsidRPr="00CA72DB" w:rsidRDefault="00FE41C2" w:rsidP="00FE41C2">
            <w:pPr>
              <w:spacing w:after="120"/>
              <w:jc w:val="center"/>
              <w:rPr>
                <w:color w:val="FFFFFF" w:themeColor="background1"/>
                <w:szCs w:val="22"/>
              </w:rPr>
            </w:pPr>
            <w:r w:rsidRPr="00CA72DB">
              <w:rPr>
                <w:color w:val="FFFFFF" w:themeColor="background1"/>
                <w:szCs w:val="22"/>
              </w:rPr>
              <w:t>kt CO</w:t>
            </w:r>
            <w:r w:rsidRPr="00CA72DB">
              <w:rPr>
                <w:color w:val="FFFFFF" w:themeColor="background1"/>
                <w:szCs w:val="22"/>
                <w:vertAlign w:val="subscript"/>
              </w:rPr>
              <w:t>2</w:t>
            </w:r>
            <w:r w:rsidR="00977C4A" w:rsidRPr="001C7B87">
              <w:rPr>
                <w:color w:val="FFFFFF" w:themeColor="background1"/>
                <w:szCs w:val="22"/>
              </w:rPr>
              <w:t>-</w:t>
            </w:r>
            <w:r w:rsidRPr="00CA72DB">
              <w:rPr>
                <w:color w:val="FFFFFF" w:themeColor="background1"/>
                <w:szCs w:val="22"/>
              </w:rPr>
              <w:t>e (AR4)</w:t>
            </w:r>
          </w:p>
        </w:tc>
      </w:tr>
      <w:tr w:rsidR="00FE41C2" w:rsidRPr="00CA72DB" w:rsidTr="00FE41C2">
        <w:trPr>
          <w:trHeight w:val="456"/>
        </w:trPr>
        <w:tc>
          <w:tcPr>
            <w:tcW w:w="2127" w:type="dxa"/>
            <w:tcBorders>
              <w:top w:val="single" w:sz="4" w:space="0" w:color="000000"/>
              <w:left w:val="single" w:sz="4" w:space="0" w:color="000000"/>
              <w:bottom w:val="single" w:sz="4" w:space="0" w:color="000000"/>
              <w:right w:val="single" w:sz="4" w:space="0" w:color="000000"/>
            </w:tcBorders>
            <w:vAlign w:val="center"/>
          </w:tcPr>
          <w:p w:rsidR="00FE41C2" w:rsidRPr="005031CB" w:rsidRDefault="00FE41C2" w:rsidP="00FE41C2">
            <w:pPr>
              <w:spacing w:before="0"/>
              <w:jc w:val="left"/>
              <w:rPr>
                <w:sz w:val="20"/>
                <w:szCs w:val="20"/>
              </w:rPr>
            </w:pPr>
            <w:r w:rsidRPr="00CA72DB">
              <w:rPr>
                <w:sz w:val="20"/>
                <w:szCs w:val="20"/>
              </w:rPr>
              <w:t>HCFC-22</w:t>
            </w: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565.0</w:t>
            </w:r>
          </w:p>
        </w:tc>
        <w:tc>
          <w:tcPr>
            <w:tcW w:w="992"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1810</w:t>
            </w:r>
          </w:p>
        </w:tc>
        <w:tc>
          <w:tcPr>
            <w:tcW w:w="1134"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1,022.7</w:t>
            </w:r>
          </w:p>
        </w:tc>
      </w:tr>
      <w:tr w:rsidR="00FE41C2" w:rsidRPr="00CA72DB" w:rsidTr="00FE41C2">
        <w:trPr>
          <w:trHeight w:val="456"/>
        </w:trPr>
        <w:tc>
          <w:tcPr>
            <w:tcW w:w="2127" w:type="dxa"/>
            <w:tcBorders>
              <w:top w:val="single" w:sz="4" w:space="0" w:color="000000"/>
              <w:left w:val="single" w:sz="4" w:space="0" w:color="000000"/>
              <w:bottom w:val="single" w:sz="4" w:space="0" w:color="000000"/>
              <w:right w:val="single" w:sz="4" w:space="0" w:color="000000"/>
            </w:tcBorders>
            <w:vAlign w:val="center"/>
          </w:tcPr>
          <w:p w:rsidR="00FE41C2" w:rsidRPr="005031CB" w:rsidRDefault="00FE41C2" w:rsidP="00FE41C2">
            <w:pPr>
              <w:spacing w:before="0"/>
              <w:jc w:val="left"/>
              <w:rPr>
                <w:sz w:val="20"/>
                <w:szCs w:val="20"/>
              </w:rPr>
            </w:pPr>
            <w:r w:rsidRPr="00CA72DB">
              <w:rPr>
                <w:sz w:val="20"/>
                <w:szCs w:val="20"/>
              </w:rPr>
              <w:t>HCFC Mix</w:t>
            </w: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77</w:t>
            </w:r>
          </w:p>
        </w:tc>
        <w:tc>
          <w:tcPr>
            <w:tcW w:w="1134"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1.5</w:t>
            </w:r>
          </w:p>
        </w:tc>
      </w:tr>
      <w:tr w:rsidR="00FE41C2" w:rsidRPr="00CA72DB" w:rsidTr="00FE41C2">
        <w:trPr>
          <w:trHeight w:val="456"/>
        </w:trPr>
        <w:tc>
          <w:tcPr>
            <w:tcW w:w="2127" w:type="dxa"/>
            <w:tcBorders>
              <w:top w:val="single" w:sz="4" w:space="0" w:color="000000"/>
              <w:left w:val="single" w:sz="4" w:space="0" w:color="000000"/>
              <w:bottom w:val="single" w:sz="4" w:space="0" w:color="000000"/>
              <w:right w:val="single" w:sz="4" w:space="0" w:color="000000"/>
            </w:tcBorders>
            <w:vAlign w:val="center"/>
          </w:tcPr>
          <w:p w:rsidR="00FE41C2" w:rsidRPr="005031CB" w:rsidRDefault="00FE41C2" w:rsidP="00FE41C2">
            <w:pPr>
              <w:spacing w:before="0"/>
              <w:jc w:val="left"/>
              <w:rPr>
                <w:sz w:val="20"/>
                <w:szCs w:val="20"/>
              </w:rPr>
            </w:pPr>
            <w:r w:rsidRPr="00CA72DB">
              <w:rPr>
                <w:sz w:val="20"/>
                <w:szCs w:val="20"/>
              </w:rPr>
              <w:t>HFC-134a</w:t>
            </w: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1,700.0</w:t>
            </w:r>
          </w:p>
        </w:tc>
        <w:tc>
          <w:tcPr>
            <w:tcW w:w="992"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1430</w:t>
            </w:r>
          </w:p>
        </w:tc>
        <w:tc>
          <w:tcPr>
            <w:tcW w:w="1134"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2,431.0</w:t>
            </w:r>
          </w:p>
        </w:tc>
      </w:tr>
      <w:tr w:rsidR="00FE41C2" w:rsidRPr="00CA72DB" w:rsidTr="00FE41C2">
        <w:trPr>
          <w:trHeight w:val="456"/>
        </w:trPr>
        <w:tc>
          <w:tcPr>
            <w:tcW w:w="2127" w:type="dxa"/>
            <w:tcBorders>
              <w:top w:val="single" w:sz="4" w:space="0" w:color="000000"/>
              <w:left w:val="single" w:sz="4" w:space="0" w:color="000000"/>
              <w:bottom w:val="single" w:sz="4" w:space="0" w:color="000000"/>
              <w:right w:val="single" w:sz="4" w:space="0" w:color="000000"/>
            </w:tcBorders>
            <w:vAlign w:val="center"/>
          </w:tcPr>
          <w:p w:rsidR="00FE41C2" w:rsidRPr="005031CB" w:rsidRDefault="00FE41C2" w:rsidP="00FE41C2">
            <w:pPr>
              <w:spacing w:before="0"/>
              <w:jc w:val="left"/>
              <w:rPr>
                <w:sz w:val="20"/>
                <w:szCs w:val="20"/>
              </w:rPr>
            </w:pPr>
            <w:r w:rsidRPr="00CA72DB">
              <w:rPr>
                <w:sz w:val="20"/>
                <w:szCs w:val="20"/>
              </w:rPr>
              <w:t>HFC-404A</w:t>
            </w: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640.0</w:t>
            </w:r>
          </w:p>
        </w:tc>
        <w:tc>
          <w:tcPr>
            <w:tcW w:w="992"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3922</w:t>
            </w:r>
          </w:p>
        </w:tc>
        <w:tc>
          <w:tcPr>
            <w:tcW w:w="1134"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2,510.1</w:t>
            </w:r>
          </w:p>
        </w:tc>
      </w:tr>
      <w:tr w:rsidR="00FE41C2" w:rsidRPr="00CA72DB" w:rsidTr="00FE41C2">
        <w:trPr>
          <w:trHeight w:val="456"/>
        </w:trPr>
        <w:tc>
          <w:tcPr>
            <w:tcW w:w="2127" w:type="dxa"/>
            <w:tcBorders>
              <w:top w:val="single" w:sz="4" w:space="0" w:color="000000"/>
              <w:left w:val="single" w:sz="4" w:space="0" w:color="000000"/>
              <w:bottom w:val="single" w:sz="4" w:space="0" w:color="000000"/>
              <w:right w:val="single" w:sz="4" w:space="0" w:color="000000"/>
            </w:tcBorders>
            <w:vAlign w:val="center"/>
          </w:tcPr>
          <w:p w:rsidR="00FE41C2" w:rsidRPr="005031CB" w:rsidRDefault="00FE41C2" w:rsidP="00FE41C2">
            <w:pPr>
              <w:spacing w:before="0"/>
              <w:jc w:val="left"/>
              <w:rPr>
                <w:sz w:val="20"/>
                <w:szCs w:val="20"/>
              </w:rPr>
            </w:pPr>
            <w:r w:rsidRPr="00CA72DB">
              <w:rPr>
                <w:sz w:val="20"/>
                <w:szCs w:val="20"/>
              </w:rPr>
              <w:t>HFC-407F</w:t>
            </w: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40.0</w:t>
            </w:r>
          </w:p>
        </w:tc>
        <w:tc>
          <w:tcPr>
            <w:tcW w:w="992"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2107</w:t>
            </w:r>
          </w:p>
        </w:tc>
        <w:tc>
          <w:tcPr>
            <w:tcW w:w="1134"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84.3</w:t>
            </w:r>
          </w:p>
        </w:tc>
      </w:tr>
      <w:tr w:rsidR="00FE41C2" w:rsidRPr="00CA72DB" w:rsidTr="00FE41C2">
        <w:trPr>
          <w:trHeight w:val="456"/>
        </w:trPr>
        <w:tc>
          <w:tcPr>
            <w:tcW w:w="2127" w:type="dxa"/>
            <w:tcBorders>
              <w:top w:val="single" w:sz="4" w:space="0" w:color="000000"/>
              <w:left w:val="single" w:sz="4" w:space="0" w:color="000000"/>
              <w:bottom w:val="single" w:sz="4" w:space="0" w:color="000000"/>
              <w:right w:val="single" w:sz="4" w:space="0" w:color="000000"/>
            </w:tcBorders>
            <w:vAlign w:val="center"/>
          </w:tcPr>
          <w:p w:rsidR="00FE41C2" w:rsidRPr="005031CB" w:rsidRDefault="00FE41C2" w:rsidP="00FE41C2">
            <w:pPr>
              <w:spacing w:before="0"/>
              <w:jc w:val="left"/>
              <w:rPr>
                <w:sz w:val="20"/>
                <w:szCs w:val="20"/>
              </w:rPr>
            </w:pPr>
            <w:r w:rsidRPr="00CA72DB">
              <w:rPr>
                <w:sz w:val="20"/>
                <w:szCs w:val="20"/>
              </w:rPr>
              <w:t>HFC-407C</w:t>
            </w: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150.0</w:t>
            </w:r>
          </w:p>
        </w:tc>
        <w:tc>
          <w:tcPr>
            <w:tcW w:w="992"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1774</w:t>
            </w:r>
          </w:p>
        </w:tc>
        <w:tc>
          <w:tcPr>
            <w:tcW w:w="1134"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266.1</w:t>
            </w:r>
          </w:p>
        </w:tc>
      </w:tr>
      <w:tr w:rsidR="00FE41C2" w:rsidRPr="00CA72DB" w:rsidTr="00FE41C2">
        <w:trPr>
          <w:trHeight w:val="456"/>
        </w:trPr>
        <w:tc>
          <w:tcPr>
            <w:tcW w:w="2127" w:type="dxa"/>
            <w:tcBorders>
              <w:top w:val="single" w:sz="4" w:space="0" w:color="000000"/>
              <w:left w:val="single" w:sz="4" w:space="0" w:color="000000"/>
              <w:bottom w:val="single" w:sz="4" w:space="0" w:color="000000"/>
              <w:right w:val="single" w:sz="4" w:space="0" w:color="000000"/>
            </w:tcBorders>
            <w:vAlign w:val="center"/>
          </w:tcPr>
          <w:p w:rsidR="00FE41C2" w:rsidRPr="005031CB" w:rsidRDefault="00FE41C2" w:rsidP="00FE41C2">
            <w:pPr>
              <w:spacing w:before="0"/>
              <w:jc w:val="left"/>
              <w:rPr>
                <w:sz w:val="20"/>
                <w:szCs w:val="20"/>
              </w:rPr>
            </w:pPr>
            <w:r w:rsidRPr="00CA72DB">
              <w:rPr>
                <w:sz w:val="20"/>
                <w:szCs w:val="20"/>
              </w:rPr>
              <w:t>HFC-410A</w:t>
            </w: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575.0</w:t>
            </w:r>
          </w:p>
        </w:tc>
        <w:tc>
          <w:tcPr>
            <w:tcW w:w="992"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2088</w:t>
            </w:r>
          </w:p>
        </w:tc>
        <w:tc>
          <w:tcPr>
            <w:tcW w:w="1134"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1,200.6</w:t>
            </w:r>
          </w:p>
        </w:tc>
      </w:tr>
      <w:tr w:rsidR="00FE41C2" w:rsidRPr="00CA72DB" w:rsidTr="00FE41C2">
        <w:trPr>
          <w:trHeight w:val="456"/>
        </w:trPr>
        <w:tc>
          <w:tcPr>
            <w:tcW w:w="2127" w:type="dxa"/>
            <w:tcBorders>
              <w:top w:val="single" w:sz="4" w:space="0" w:color="000000"/>
              <w:left w:val="single" w:sz="4" w:space="0" w:color="000000"/>
              <w:bottom w:val="single" w:sz="4" w:space="0" w:color="000000"/>
              <w:right w:val="single" w:sz="4" w:space="0" w:color="000000"/>
            </w:tcBorders>
            <w:vAlign w:val="center"/>
          </w:tcPr>
          <w:p w:rsidR="00FE41C2" w:rsidRPr="005031CB" w:rsidRDefault="00FE41C2" w:rsidP="00FE41C2">
            <w:pPr>
              <w:spacing w:before="0"/>
              <w:jc w:val="left"/>
              <w:rPr>
                <w:sz w:val="20"/>
                <w:szCs w:val="20"/>
              </w:rPr>
            </w:pPr>
            <w:r w:rsidRPr="00CA72DB">
              <w:rPr>
                <w:sz w:val="20"/>
                <w:szCs w:val="20"/>
              </w:rPr>
              <w:t>HFC-Mix</w:t>
            </w: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E41C2" w:rsidRPr="00CD35E8" w:rsidRDefault="00FE41C2" w:rsidP="00FE41C2">
            <w:pPr>
              <w:spacing w:before="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300.0</w:t>
            </w:r>
          </w:p>
        </w:tc>
        <w:tc>
          <w:tcPr>
            <w:tcW w:w="992"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3220</w:t>
            </w:r>
          </w:p>
        </w:tc>
        <w:tc>
          <w:tcPr>
            <w:tcW w:w="1134"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966.0</w:t>
            </w:r>
          </w:p>
        </w:tc>
      </w:tr>
      <w:tr w:rsidR="00FE41C2" w:rsidRPr="00CA72DB" w:rsidTr="00FE41C2">
        <w:trPr>
          <w:trHeight w:val="456"/>
        </w:trPr>
        <w:tc>
          <w:tcPr>
            <w:tcW w:w="2127" w:type="dxa"/>
            <w:tcBorders>
              <w:top w:val="single" w:sz="4" w:space="0" w:color="000000"/>
              <w:left w:val="single" w:sz="4" w:space="0" w:color="000000"/>
              <w:bottom w:val="single" w:sz="4" w:space="0" w:color="000000"/>
              <w:right w:val="single" w:sz="4" w:space="0" w:color="000000"/>
            </w:tcBorders>
            <w:vAlign w:val="center"/>
          </w:tcPr>
          <w:p w:rsidR="00FE41C2" w:rsidRDefault="00FE41C2" w:rsidP="00FE41C2">
            <w:pPr>
              <w:spacing w:before="0"/>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41C2" w:rsidRPr="00CD35E8" w:rsidRDefault="00FE41C2" w:rsidP="00FE41C2">
            <w:pPr>
              <w:spacing w:before="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41C2" w:rsidRPr="00CD35E8" w:rsidRDefault="00FE41C2" w:rsidP="00FE41C2">
            <w:pPr>
              <w:spacing w:befor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41C2" w:rsidRPr="00CD35E8" w:rsidRDefault="00FE41C2" w:rsidP="00FE41C2">
            <w:pPr>
              <w:spacing w:before="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41C2" w:rsidRPr="00CD35E8" w:rsidRDefault="00FE41C2" w:rsidP="00FE41C2">
            <w:pPr>
              <w:spacing w:before="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3,990.0</w:t>
            </w:r>
          </w:p>
        </w:tc>
        <w:tc>
          <w:tcPr>
            <w:tcW w:w="992"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41C2" w:rsidRPr="00CA72DB" w:rsidRDefault="00FE41C2" w:rsidP="00FE41C2">
            <w:pPr>
              <w:spacing w:before="0"/>
              <w:jc w:val="center"/>
              <w:rPr>
                <w:rFonts w:eastAsia="Times New Roman" w:cs="Times New Roman"/>
                <w:color w:val="000000"/>
                <w:sz w:val="20"/>
                <w:szCs w:val="20"/>
              </w:rPr>
            </w:pPr>
            <w:r w:rsidRPr="00CA72DB">
              <w:rPr>
                <w:rFonts w:eastAsia="Times New Roman" w:cs="Times New Roman"/>
                <w:color w:val="000000"/>
                <w:sz w:val="20"/>
                <w:szCs w:val="20"/>
              </w:rPr>
              <w:t>8,482.3</w:t>
            </w:r>
          </w:p>
        </w:tc>
      </w:tr>
      <w:tr w:rsidR="00FE41C2" w:rsidRPr="005031CB" w:rsidTr="00FE41C2">
        <w:trPr>
          <w:trHeight w:val="456"/>
        </w:trPr>
        <w:tc>
          <w:tcPr>
            <w:tcW w:w="8505" w:type="dxa"/>
            <w:gridSpan w:val="7"/>
            <w:tcBorders>
              <w:top w:val="single" w:sz="4" w:space="0" w:color="000000"/>
              <w:left w:val="single" w:sz="4" w:space="0" w:color="000000"/>
              <w:bottom w:val="single" w:sz="4" w:space="0" w:color="000000"/>
              <w:right w:val="single" w:sz="4" w:space="0" w:color="000000"/>
            </w:tcBorders>
            <w:vAlign w:val="center"/>
          </w:tcPr>
          <w:p w:rsidR="00FE41C2" w:rsidRPr="00CD35E8" w:rsidRDefault="00FE41C2" w:rsidP="00FE41C2">
            <w:pPr>
              <w:spacing w:before="0"/>
              <w:jc w:val="right"/>
              <w:rPr>
                <w:sz w:val="20"/>
                <w:szCs w:val="20"/>
              </w:rPr>
            </w:pPr>
            <w:r>
              <w:rPr>
                <w:sz w:val="20"/>
                <w:szCs w:val="20"/>
              </w:rPr>
              <w:t>Reduction from baseline</w:t>
            </w:r>
          </w:p>
        </w:tc>
        <w:tc>
          <w:tcPr>
            <w:tcW w:w="1134" w:type="dxa"/>
            <w:tcBorders>
              <w:top w:val="single" w:sz="4" w:space="0" w:color="000000"/>
              <w:left w:val="single" w:sz="4" w:space="0" w:color="000000"/>
              <w:bottom w:val="single" w:sz="4" w:space="0" w:color="000000"/>
              <w:right w:val="single" w:sz="4" w:space="0" w:color="000000"/>
            </w:tcBorders>
            <w:vAlign w:val="center"/>
          </w:tcPr>
          <w:p w:rsidR="00FE41C2" w:rsidRPr="00CD35E8" w:rsidRDefault="00FE41C2" w:rsidP="00FE41C2">
            <w:pPr>
              <w:spacing w:before="0"/>
              <w:jc w:val="center"/>
              <w:rPr>
                <w:sz w:val="20"/>
                <w:szCs w:val="20"/>
              </w:rPr>
            </w:pPr>
            <w:r>
              <w:rPr>
                <w:sz w:val="20"/>
                <w:szCs w:val="20"/>
              </w:rPr>
              <w:t>14.8%</w:t>
            </w:r>
          </w:p>
        </w:tc>
      </w:tr>
    </w:tbl>
    <w:p w:rsidR="00B554F4" w:rsidRDefault="00B554F4" w:rsidP="00B554F4">
      <w:pPr>
        <w:rPr>
          <w:rFonts w:cs="Times New Roman"/>
          <w:szCs w:val="22"/>
          <w:lang w:val="en-US"/>
        </w:rPr>
      </w:pPr>
    </w:p>
    <w:p w:rsidR="00AA5820" w:rsidRDefault="00AA5820">
      <w:pPr>
        <w:spacing w:before="0"/>
        <w:jc w:val="left"/>
        <w:rPr>
          <w:rFonts w:asciiTheme="majorHAnsi" w:hAnsiTheme="majorHAnsi"/>
          <w:b/>
          <w:sz w:val="28"/>
          <w:szCs w:val="28"/>
        </w:rPr>
      </w:pPr>
      <w:r>
        <w:rPr>
          <w:rFonts w:asciiTheme="majorHAnsi" w:hAnsiTheme="majorHAnsi"/>
          <w:b/>
          <w:sz w:val="28"/>
          <w:szCs w:val="28"/>
        </w:rPr>
        <w:br w:type="page"/>
      </w:r>
    </w:p>
    <w:p w:rsidR="00FE41C2" w:rsidRPr="00AA5820" w:rsidRDefault="00FE41C2" w:rsidP="00AA5820">
      <w:pPr>
        <w:spacing w:after="120"/>
        <w:jc w:val="left"/>
        <w:rPr>
          <w:rFonts w:asciiTheme="majorHAnsi" w:hAnsiTheme="majorHAnsi"/>
          <w:b/>
          <w:sz w:val="28"/>
          <w:szCs w:val="28"/>
        </w:rPr>
      </w:pPr>
      <w:r w:rsidRPr="00AA5820">
        <w:rPr>
          <w:rFonts w:asciiTheme="majorHAnsi" w:hAnsiTheme="majorHAnsi"/>
          <w:b/>
          <w:sz w:val="28"/>
          <w:szCs w:val="28"/>
        </w:rPr>
        <w:t xml:space="preserve">A2: </w:t>
      </w:r>
      <w:r w:rsidR="00AA5820" w:rsidRPr="00AA5820">
        <w:rPr>
          <w:rFonts w:asciiTheme="majorHAnsi" w:hAnsiTheme="majorHAnsi"/>
          <w:b/>
          <w:sz w:val="28"/>
          <w:szCs w:val="28"/>
        </w:rPr>
        <w:t>Comparison</w:t>
      </w:r>
      <w:r w:rsidRPr="00AA5820">
        <w:rPr>
          <w:rFonts w:asciiTheme="majorHAnsi" w:hAnsiTheme="majorHAnsi"/>
          <w:b/>
          <w:sz w:val="28"/>
          <w:szCs w:val="28"/>
        </w:rPr>
        <w:t xml:space="preserve"> of key elements of the 2013 HFC Amendment Proposals</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5"/>
        <w:gridCol w:w="5244"/>
      </w:tblGrid>
      <w:tr w:rsidR="00AA5820" w:rsidRPr="00C71B9B" w:rsidTr="00AA5820">
        <w:trPr>
          <w:trHeight w:hRule="exact" w:val="397"/>
          <w:tblHeader/>
        </w:trPr>
        <w:tc>
          <w:tcPr>
            <w:tcW w:w="4395" w:type="dxa"/>
            <w:tcBorders>
              <w:right w:val="single" w:sz="4" w:space="0" w:color="FFFFFF" w:themeColor="background1"/>
            </w:tcBorders>
            <w:shd w:val="clear" w:color="auto" w:fill="0C0C0C"/>
            <w:vAlign w:val="center"/>
          </w:tcPr>
          <w:p w:rsidR="00AA5820" w:rsidRPr="00C71B9B" w:rsidRDefault="00AA5820" w:rsidP="00AA5820">
            <w:pPr>
              <w:spacing w:after="120"/>
              <w:jc w:val="left"/>
              <w:rPr>
                <w:b/>
              </w:rPr>
            </w:pPr>
            <w:r w:rsidRPr="00C71B9B">
              <w:rPr>
                <w:b/>
              </w:rPr>
              <w:t>North American proposal</w:t>
            </w:r>
          </w:p>
        </w:tc>
        <w:tc>
          <w:tcPr>
            <w:tcW w:w="5244" w:type="dxa"/>
            <w:tcBorders>
              <w:left w:val="single" w:sz="4" w:space="0" w:color="FFFFFF" w:themeColor="background1"/>
            </w:tcBorders>
            <w:shd w:val="clear" w:color="auto" w:fill="0C0C0C"/>
            <w:vAlign w:val="center"/>
          </w:tcPr>
          <w:p w:rsidR="00AA5820" w:rsidRPr="00C71B9B" w:rsidRDefault="00AA5820" w:rsidP="00AA5820">
            <w:pPr>
              <w:spacing w:after="120"/>
              <w:jc w:val="left"/>
              <w:rPr>
                <w:b/>
              </w:rPr>
            </w:pPr>
            <w:r w:rsidRPr="00C71B9B">
              <w:rPr>
                <w:b/>
              </w:rPr>
              <w:t>Micronesian Proposal</w:t>
            </w:r>
          </w:p>
        </w:tc>
      </w:tr>
      <w:tr w:rsidR="00AA5820" w:rsidRPr="004F2E46" w:rsidTr="00AA5820">
        <w:tc>
          <w:tcPr>
            <w:tcW w:w="4395" w:type="dxa"/>
          </w:tcPr>
          <w:p w:rsidR="00AA5820" w:rsidRPr="004F2E46" w:rsidRDefault="00AA5820" w:rsidP="00AA5820">
            <w:pPr>
              <w:contextualSpacing/>
              <w:rPr>
                <w:b/>
                <w:sz w:val="21"/>
                <w:szCs w:val="21"/>
              </w:rPr>
            </w:pPr>
            <w:r w:rsidRPr="004F2E46">
              <w:rPr>
                <w:b/>
                <w:sz w:val="21"/>
                <w:szCs w:val="21"/>
              </w:rPr>
              <w:t xml:space="preserve">Transfer of consumption </w:t>
            </w:r>
          </w:p>
          <w:p w:rsidR="00AA5820" w:rsidRPr="004F2E46" w:rsidRDefault="00AA5820" w:rsidP="00AA5820">
            <w:pPr>
              <w:contextualSpacing/>
              <w:rPr>
                <w:sz w:val="21"/>
                <w:szCs w:val="21"/>
              </w:rPr>
            </w:pPr>
            <w:r w:rsidRPr="004F2E46">
              <w:rPr>
                <w:sz w:val="21"/>
                <w:szCs w:val="21"/>
              </w:rPr>
              <w:t xml:space="preserve">Non-A5 can transfer consumption to another party on certain conditions. </w:t>
            </w:r>
          </w:p>
        </w:tc>
        <w:tc>
          <w:tcPr>
            <w:tcW w:w="5244" w:type="dxa"/>
          </w:tcPr>
          <w:p w:rsidR="00AA5820" w:rsidRPr="004F2E46" w:rsidRDefault="00AA5820" w:rsidP="00AA5820">
            <w:pPr>
              <w:contextualSpacing/>
              <w:rPr>
                <w:b/>
                <w:sz w:val="21"/>
                <w:szCs w:val="21"/>
              </w:rPr>
            </w:pPr>
            <w:r w:rsidRPr="004F2E46">
              <w:rPr>
                <w:b/>
                <w:sz w:val="21"/>
                <w:szCs w:val="21"/>
              </w:rPr>
              <w:t xml:space="preserve">Transfer of consumption </w:t>
            </w:r>
          </w:p>
          <w:p w:rsidR="00AA5820" w:rsidRPr="004F2E46" w:rsidRDefault="00AA5820" w:rsidP="00AA5820">
            <w:pPr>
              <w:contextualSpacing/>
              <w:rPr>
                <w:sz w:val="21"/>
                <w:szCs w:val="21"/>
              </w:rPr>
            </w:pPr>
            <w:r w:rsidRPr="004F2E46">
              <w:rPr>
                <w:sz w:val="21"/>
                <w:szCs w:val="21"/>
              </w:rPr>
              <w:t xml:space="preserve">Non-A5 parties can transfer consumption to other non A5 on certain conditions. </w:t>
            </w:r>
          </w:p>
        </w:tc>
      </w:tr>
      <w:tr w:rsidR="00AA5820" w:rsidRPr="004F2E46" w:rsidTr="00AA5820">
        <w:tc>
          <w:tcPr>
            <w:tcW w:w="4395" w:type="dxa"/>
            <w:tcBorders>
              <w:bottom w:val="nil"/>
            </w:tcBorders>
          </w:tcPr>
          <w:p w:rsidR="00AA5820" w:rsidRPr="004F2E46" w:rsidRDefault="00AA5820" w:rsidP="00AA5820">
            <w:pPr>
              <w:contextualSpacing/>
              <w:rPr>
                <w:b/>
                <w:sz w:val="21"/>
                <w:szCs w:val="21"/>
              </w:rPr>
            </w:pPr>
            <w:r w:rsidRPr="004F2E46">
              <w:rPr>
                <w:b/>
                <w:sz w:val="21"/>
                <w:szCs w:val="21"/>
              </w:rPr>
              <w:t>Reduction schedule for non-A5s</w:t>
            </w:r>
          </w:p>
          <w:p w:rsidR="00AA5820" w:rsidRPr="004F2E46" w:rsidRDefault="00AA5820" w:rsidP="00AA5820">
            <w:pPr>
              <w:contextualSpacing/>
              <w:rPr>
                <w:sz w:val="21"/>
                <w:szCs w:val="21"/>
              </w:rPr>
            </w:pPr>
            <w:r w:rsidRPr="004F2E46">
              <w:rPr>
                <w:sz w:val="21"/>
                <w:szCs w:val="21"/>
              </w:rPr>
              <w:t>2016 – 10% reduction</w:t>
            </w:r>
          </w:p>
          <w:p w:rsidR="00AA5820" w:rsidRPr="004F2E46" w:rsidRDefault="00AA5820" w:rsidP="00AA5820">
            <w:pPr>
              <w:contextualSpacing/>
              <w:rPr>
                <w:sz w:val="21"/>
                <w:szCs w:val="21"/>
              </w:rPr>
            </w:pPr>
            <w:r w:rsidRPr="004F2E46">
              <w:rPr>
                <w:sz w:val="21"/>
                <w:szCs w:val="21"/>
              </w:rPr>
              <w:t xml:space="preserve">2022 – 35% reduction </w:t>
            </w:r>
          </w:p>
          <w:p w:rsidR="00AA5820" w:rsidRPr="004F2E46" w:rsidRDefault="00AA5820" w:rsidP="00AA5820">
            <w:pPr>
              <w:contextualSpacing/>
              <w:rPr>
                <w:sz w:val="21"/>
                <w:szCs w:val="21"/>
              </w:rPr>
            </w:pPr>
            <w:r w:rsidRPr="004F2E46">
              <w:rPr>
                <w:sz w:val="21"/>
                <w:szCs w:val="21"/>
              </w:rPr>
              <w:t xml:space="preserve">2029 – 70% reduction </w:t>
            </w:r>
          </w:p>
          <w:p w:rsidR="00AA5820" w:rsidRPr="004F2E46" w:rsidRDefault="00AA5820" w:rsidP="00AA5820">
            <w:pPr>
              <w:contextualSpacing/>
              <w:rPr>
                <w:sz w:val="21"/>
                <w:szCs w:val="21"/>
              </w:rPr>
            </w:pPr>
            <w:r w:rsidRPr="004F2E46">
              <w:rPr>
                <w:sz w:val="21"/>
                <w:szCs w:val="21"/>
              </w:rPr>
              <w:t xml:space="preserve">2033 – 85% reduction </w:t>
            </w:r>
          </w:p>
        </w:tc>
        <w:tc>
          <w:tcPr>
            <w:tcW w:w="5244" w:type="dxa"/>
            <w:tcBorders>
              <w:bottom w:val="nil"/>
            </w:tcBorders>
          </w:tcPr>
          <w:p w:rsidR="00AA5820" w:rsidRPr="004F2E46" w:rsidRDefault="00AA5820" w:rsidP="00AA5820">
            <w:pPr>
              <w:contextualSpacing/>
              <w:rPr>
                <w:b/>
                <w:sz w:val="21"/>
                <w:szCs w:val="21"/>
              </w:rPr>
            </w:pPr>
            <w:r w:rsidRPr="004F2E46">
              <w:rPr>
                <w:b/>
                <w:sz w:val="21"/>
                <w:szCs w:val="21"/>
              </w:rPr>
              <w:t>Reduction schedule for non-A5s</w:t>
            </w:r>
          </w:p>
          <w:p w:rsidR="00AA5820" w:rsidRPr="004F2E46" w:rsidRDefault="00AA5820" w:rsidP="00AA5820">
            <w:pPr>
              <w:contextualSpacing/>
              <w:rPr>
                <w:sz w:val="21"/>
                <w:szCs w:val="21"/>
              </w:rPr>
            </w:pPr>
            <w:r w:rsidRPr="004F2E46">
              <w:rPr>
                <w:sz w:val="21"/>
                <w:szCs w:val="21"/>
              </w:rPr>
              <w:t>2016 – 15% reduction</w:t>
            </w:r>
          </w:p>
          <w:p w:rsidR="00AA5820" w:rsidRPr="004F2E46" w:rsidRDefault="00AA5820" w:rsidP="00AA5820">
            <w:pPr>
              <w:contextualSpacing/>
              <w:rPr>
                <w:sz w:val="21"/>
                <w:szCs w:val="21"/>
              </w:rPr>
            </w:pPr>
            <w:r w:rsidRPr="004F2E46">
              <w:rPr>
                <w:sz w:val="21"/>
                <w:szCs w:val="21"/>
              </w:rPr>
              <w:t>2019 – 30% reduction</w:t>
            </w:r>
          </w:p>
          <w:p w:rsidR="00AA5820" w:rsidRPr="004F2E46" w:rsidRDefault="00AA5820" w:rsidP="00AA5820">
            <w:pPr>
              <w:contextualSpacing/>
              <w:rPr>
                <w:sz w:val="21"/>
                <w:szCs w:val="21"/>
              </w:rPr>
            </w:pPr>
            <w:r w:rsidRPr="004F2E46">
              <w:rPr>
                <w:sz w:val="21"/>
                <w:szCs w:val="21"/>
              </w:rPr>
              <w:t xml:space="preserve">2022 – 45% reduction </w:t>
            </w:r>
          </w:p>
          <w:p w:rsidR="00AA5820" w:rsidRPr="004F2E46" w:rsidRDefault="00AA5820" w:rsidP="00AA5820">
            <w:pPr>
              <w:contextualSpacing/>
              <w:rPr>
                <w:sz w:val="21"/>
                <w:szCs w:val="21"/>
              </w:rPr>
            </w:pPr>
            <w:r w:rsidRPr="004F2E46">
              <w:rPr>
                <w:sz w:val="21"/>
                <w:szCs w:val="21"/>
              </w:rPr>
              <w:t xml:space="preserve">2025 – 55% reduction </w:t>
            </w:r>
          </w:p>
          <w:p w:rsidR="00AA5820" w:rsidRPr="004F2E46" w:rsidRDefault="00AA5820" w:rsidP="00AA5820">
            <w:pPr>
              <w:contextualSpacing/>
              <w:rPr>
                <w:sz w:val="21"/>
                <w:szCs w:val="21"/>
              </w:rPr>
            </w:pPr>
            <w:r w:rsidRPr="004F2E46">
              <w:rPr>
                <w:sz w:val="21"/>
                <w:szCs w:val="21"/>
              </w:rPr>
              <w:t xml:space="preserve">2028 – 70% reduction </w:t>
            </w:r>
          </w:p>
          <w:p w:rsidR="00AA5820" w:rsidRPr="004F2E46" w:rsidRDefault="00AA5820" w:rsidP="00AA5820">
            <w:pPr>
              <w:contextualSpacing/>
              <w:rPr>
                <w:sz w:val="21"/>
                <w:szCs w:val="21"/>
              </w:rPr>
            </w:pPr>
            <w:r w:rsidRPr="004F2E46">
              <w:rPr>
                <w:sz w:val="21"/>
                <w:szCs w:val="21"/>
              </w:rPr>
              <w:t xml:space="preserve">2031 – 85% reduction </w:t>
            </w:r>
          </w:p>
          <w:p w:rsidR="00AA5820" w:rsidRPr="004F2E46" w:rsidRDefault="00AA5820" w:rsidP="00AA5820">
            <w:pPr>
              <w:contextualSpacing/>
              <w:rPr>
                <w:sz w:val="21"/>
                <w:szCs w:val="21"/>
              </w:rPr>
            </w:pPr>
            <w:r w:rsidRPr="004F2E46">
              <w:rPr>
                <w:sz w:val="21"/>
                <w:szCs w:val="21"/>
              </w:rPr>
              <w:t xml:space="preserve">2034  - 90% reduction </w:t>
            </w:r>
          </w:p>
          <w:p w:rsidR="00AA5820" w:rsidRPr="004F2E46" w:rsidRDefault="00AA5820" w:rsidP="00AA5820">
            <w:pPr>
              <w:contextualSpacing/>
              <w:rPr>
                <w:b/>
                <w:sz w:val="21"/>
                <w:szCs w:val="21"/>
              </w:rPr>
            </w:pPr>
          </w:p>
        </w:tc>
      </w:tr>
      <w:tr w:rsidR="00AA5820" w:rsidRPr="004F2E46" w:rsidTr="00AA5820">
        <w:tc>
          <w:tcPr>
            <w:tcW w:w="4395" w:type="dxa"/>
            <w:tcBorders>
              <w:top w:val="nil"/>
              <w:bottom w:val="nil"/>
            </w:tcBorders>
          </w:tcPr>
          <w:p w:rsidR="00AA5820" w:rsidRPr="004F2E46" w:rsidRDefault="00AA5820" w:rsidP="00AA5820">
            <w:pPr>
              <w:contextualSpacing/>
              <w:rPr>
                <w:sz w:val="21"/>
                <w:szCs w:val="21"/>
              </w:rPr>
            </w:pPr>
            <w:r w:rsidRPr="004F2E46">
              <w:rPr>
                <w:sz w:val="21"/>
                <w:szCs w:val="21"/>
              </w:rPr>
              <w:t>Consumption baseline: average of 85% HCFC and 100% HFC consumption for 2008, 2009 and 2010.</w:t>
            </w:r>
          </w:p>
        </w:tc>
        <w:tc>
          <w:tcPr>
            <w:tcW w:w="5244" w:type="dxa"/>
            <w:tcBorders>
              <w:top w:val="nil"/>
              <w:bottom w:val="nil"/>
            </w:tcBorders>
          </w:tcPr>
          <w:p w:rsidR="00AA5820" w:rsidRPr="004F2E46" w:rsidRDefault="00AA5820" w:rsidP="00AA5820">
            <w:pPr>
              <w:contextualSpacing/>
              <w:rPr>
                <w:sz w:val="21"/>
                <w:szCs w:val="21"/>
              </w:rPr>
            </w:pPr>
            <w:r w:rsidRPr="004F2E46">
              <w:rPr>
                <w:sz w:val="21"/>
                <w:szCs w:val="21"/>
              </w:rPr>
              <w:t xml:space="preserve">Consumption baseline: average of 2004, 2005 and 2006 HCFC and HFC consumption.  </w:t>
            </w:r>
          </w:p>
        </w:tc>
      </w:tr>
      <w:tr w:rsidR="00AA5820" w:rsidRPr="004F2E46" w:rsidTr="00AA5820">
        <w:tc>
          <w:tcPr>
            <w:tcW w:w="4395" w:type="dxa"/>
          </w:tcPr>
          <w:p w:rsidR="00AA5820" w:rsidRPr="004F2E46" w:rsidRDefault="00AA5820" w:rsidP="00AA5820">
            <w:pPr>
              <w:contextualSpacing/>
              <w:rPr>
                <w:b/>
                <w:sz w:val="21"/>
                <w:szCs w:val="21"/>
              </w:rPr>
            </w:pPr>
            <w:r w:rsidRPr="004F2E46">
              <w:rPr>
                <w:b/>
                <w:sz w:val="21"/>
                <w:szCs w:val="21"/>
              </w:rPr>
              <w:t xml:space="preserve">Trade ban with non-Parties </w:t>
            </w:r>
          </w:p>
          <w:p w:rsidR="00AA5820" w:rsidRPr="004F2E46" w:rsidRDefault="00AA5820" w:rsidP="00AA5820">
            <w:pPr>
              <w:contextualSpacing/>
              <w:rPr>
                <w:sz w:val="21"/>
                <w:szCs w:val="21"/>
              </w:rPr>
            </w:pPr>
            <w:r w:rsidRPr="004F2E46">
              <w:rPr>
                <w:sz w:val="21"/>
                <w:szCs w:val="21"/>
              </w:rPr>
              <w:t xml:space="preserve">Import and export ban introduced one year after entry into force. </w:t>
            </w:r>
          </w:p>
        </w:tc>
        <w:tc>
          <w:tcPr>
            <w:tcW w:w="5244" w:type="dxa"/>
          </w:tcPr>
          <w:p w:rsidR="00AA5820" w:rsidRPr="004F2E46" w:rsidRDefault="00AA5820" w:rsidP="00AA5820">
            <w:pPr>
              <w:contextualSpacing/>
              <w:rPr>
                <w:b/>
                <w:sz w:val="21"/>
                <w:szCs w:val="21"/>
              </w:rPr>
            </w:pPr>
            <w:r w:rsidRPr="004F2E46">
              <w:rPr>
                <w:b/>
                <w:sz w:val="21"/>
                <w:szCs w:val="21"/>
              </w:rPr>
              <w:t xml:space="preserve">Trade ban with non-Parties </w:t>
            </w:r>
          </w:p>
          <w:p w:rsidR="00AA5820" w:rsidRPr="004F2E46" w:rsidRDefault="00AA5820" w:rsidP="00AA5820">
            <w:pPr>
              <w:contextualSpacing/>
              <w:rPr>
                <w:sz w:val="21"/>
                <w:szCs w:val="21"/>
              </w:rPr>
            </w:pPr>
            <w:r w:rsidRPr="004F2E46">
              <w:rPr>
                <w:sz w:val="21"/>
                <w:szCs w:val="21"/>
              </w:rPr>
              <w:t xml:space="preserve">Import and export ban introduced 12 months after entry into force. </w:t>
            </w:r>
          </w:p>
          <w:p w:rsidR="00AA5820" w:rsidRPr="004F2E46" w:rsidRDefault="00AA5820" w:rsidP="00AA5820">
            <w:pPr>
              <w:contextualSpacing/>
              <w:rPr>
                <w:sz w:val="21"/>
                <w:szCs w:val="21"/>
              </w:rPr>
            </w:pPr>
          </w:p>
          <w:p w:rsidR="00AA5820" w:rsidRPr="004F2E46" w:rsidRDefault="00AA5820" w:rsidP="00AA5820">
            <w:pPr>
              <w:contextualSpacing/>
              <w:rPr>
                <w:sz w:val="21"/>
                <w:szCs w:val="21"/>
              </w:rPr>
            </w:pPr>
            <w:r w:rsidRPr="004F2E46">
              <w:rPr>
                <w:sz w:val="21"/>
                <w:szCs w:val="21"/>
              </w:rPr>
              <w:t xml:space="preserve">Within 3 years, an annex of products containing HFCs to be elaborated. Imports from non-Parties to be banned. </w:t>
            </w:r>
          </w:p>
          <w:p w:rsidR="00AA5820" w:rsidRPr="004F2E46" w:rsidRDefault="00AA5820" w:rsidP="00AA5820">
            <w:pPr>
              <w:contextualSpacing/>
              <w:rPr>
                <w:sz w:val="21"/>
                <w:szCs w:val="21"/>
              </w:rPr>
            </w:pPr>
          </w:p>
          <w:p w:rsidR="00AA5820" w:rsidRPr="004F2E46" w:rsidRDefault="00AA5820" w:rsidP="00AA5820">
            <w:pPr>
              <w:contextualSpacing/>
              <w:rPr>
                <w:sz w:val="21"/>
                <w:szCs w:val="21"/>
              </w:rPr>
            </w:pPr>
            <w:r w:rsidRPr="004F2E46">
              <w:rPr>
                <w:sz w:val="21"/>
                <w:szCs w:val="21"/>
              </w:rPr>
              <w:t xml:space="preserve">Within 3 years, Parties will determine the feasibility of banning imports of products produced with HFCs. </w:t>
            </w:r>
          </w:p>
        </w:tc>
      </w:tr>
      <w:tr w:rsidR="00AA5820" w:rsidRPr="004F2E46" w:rsidTr="00AA5820">
        <w:tc>
          <w:tcPr>
            <w:tcW w:w="4395" w:type="dxa"/>
          </w:tcPr>
          <w:p w:rsidR="00AA5820" w:rsidRPr="004F2E46" w:rsidRDefault="00AA5820" w:rsidP="00AA5820">
            <w:pPr>
              <w:contextualSpacing/>
              <w:rPr>
                <w:b/>
                <w:sz w:val="21"/>
                <w:szCs w:val="21"/>
              </w:rPr>
            </w:pPr>
            <w:r w:rsidRPr="004F2E46">
              <w:rPr>
                <w:b/>
                <w:sz w:val="21"/>
                <w:szCs w:val="21"/>
              </w:rPr>
              <w:t xml:space="preserve">Licensing </w:t>
            </w:r>
          </w:p>
          <w:p w:rsidR="00AA5820" w:rsidRPr="004F2E46" w:rsidRDefault="00AA5820" w:rsidP="00AA5820">
            <w:pPr>
              <w:contextualSpacing/>
              <w:rPr>
                <w:sz w:val="21"/>
                <w:szCs w:val="21"/>
              </w:rPr>
            </w:pPr>
            <w:r w:rsidRPr="004F2E46">
              <w:rPr>
                <w:sz w:val="21"/>
                <w:szCs w:val="21"/>
              </w:rPr>
              <w:t xml:space="preserve">Import and export licensing requirements for new, used, recycled and reclaimed HFCs. A5 parties can delay to 2018. </w:t>
            </w:r>
          </w:p>
        </w:tc>
        <w:tc>
          <w:tcPr>
            <w:tcW w:w="5244" w:type="dxa"/>
          </w:tcPr>
          <w:p w:rsidR="00AA5820" w:rsidRPr="004F2E46" w:rsidRDefault="00AA5820" w:rsidP="00AA5820">
            <w:pPr>
              <w:contextualSpacing/>
              <w:rPr>
                <w:b/>
                <w:sz w:val="21"/>
                <w:szCs w:val="21"/>
              </w:rPr>
            </w:pPr>
            <w:r w:rsidRPr="004F2E46">
              <w:rPr>
                <w:b/>
                <w:sz w:val="21"/>
                <w:szCs w:val="21"/>
              </w:rPr>
              <w:t xml:space="preserve">Licensing </w:t>
            </w:r>
          </w:p>
          <w:p w:rsidR="00AA5820" w:rsidRPr="004F2E46" w:rsidRDefault="00AA5820" w:rsidP="00AA5820">
            <w:pPr>
              <w:contextualSpacing/>
              <w:rPr>
                <w:sz w:val="21"/>
                <w:szCs w:val="21"/>
              </w:rPr>
            </w:pPr>
            <w:r w:rsidRPr="004F2E46">
              <w:rPr>
                <w:sz w:val="21"/>
                <w:szCs w:val="21"/>
              </w:rPr>
              <w:t xml:space="preserve">Import and export licensing requirements for new, used, recycled and reclaimed HFCs from 2016. A5 parties can delay to 2018. </w:t>
            </w:r>
          </w:p>
        </w:tc>
      </w:tr>
      <w:tr w:rsidR="00AA5820" w:rsidRPr="004F2E46" w:rsidTr="00AA5820">
        <w:tc>
          <w:tcPr>
            <w:tcW w:w="4395" w:type="dxa"/>
            <w:tcBorders>
              <w:bottom w:val="nil"/>
            </w:tcBorders>
          </w:tcPr>
          <w:p w:rsidR="00AA5820" w:rsidRPr="004F2E46" w:rsidRDefault="00AA5820" w:rsidP="00AA5820">
            <w:pPr>
              <w:contextualSpacing/>
              <w:rPr>
                <w:b/>
                <w:sz w:val="21"/>
                <w:szCs w:val="21"/>
              </w:rPr>
            </w:pPr>
            <w:r w:rsidRPr="004F2E46">
              <w:rPr>
                <w:b/>
                <w:sz w:val="21"/>
                <w:szCs w:val="21"/>
              </w:rPr>
              <w:t>Reduction schedule for A5s</w:t>
            </w:r>
          </w:p>
          <w:p w:rsidR="00AA5820" w:rsidRPr="004F2E46" w:rsidRDefault="00AA5820" w:rsidP="00AA5820">
            <w:pPr>
              <w:contextualSpacing/>
              <w:rPr>
                <w:sz w:val="21"/>
                <w:szCs w:val="21"/>
              </w:rPr>
            </w:pPr>
            <w:r w:rsidRPr="004F2E46">
              <w:rPr>
                <w:sz w:val="21"/>
                <w:szCs w:val="21"/>
              </w:rPr>
              <w:t>2018 – 0% reduction (2 year delay, +10%)</w:t>
            </w:r>
          </w:p>
          <w:p w:rsidR="00AA5820" w:rsidRPr="004F2E46" w:rsidRDefault="00AA5820" w:rsidP="00AA5820">
            <w:pPr>
              <w:contextualSpacing/>
              <w:rPr>
                <w:sz w:val="21"/>
                <w:szCs w:val="21"/>
              </w:rPr>
            </w:pPr>
            <w:r w:rsidRPr="004F2E46">
              <w:rPr>
                <w:sz w:val="21"/>
                <w:szCs w:val="21"/>
              </w:rPr>
              <w:t>2025 – 25% reduction (3 year delay, +10%)</w:t>
            </w:r>
          </w:p>
          <w:p w:rsidR="00AA5820" w:rsidRPr="004F2E46" w:rsidRDefault="00AA5820" w:rsidP="00AA5820">
            <w:pPr>
              <w:contextualSpacing/>
              <w:rPr>
                <w:sz w:val="21"/>
                <w:szCs w:val="21"/>
              </w:rPr>
            </w:pPr>
            <w:r w:rsidRPr="004F2E46">
              <w:rPr>
                <w:sz w:val="21"/>
                <w:szCs w:val="21"/>
              </w:rPr>
              <w:t>2030 – 60% reduction (1 year delay, +10%)</w:t>
            </w:r>
          </w:p>
          <w:p w:rsidR="00AA5820" w:rsidRPr="004F2E46" w:rsidRDefault="00AA5820" w:rsidP="00AA5820">
            <w:pPr>
              <w:contextualSpacing/>
              <w:rPr>
                <w:sz w:val="21"/>
                <w:szCs w:val="21"/>
              </w:rPr>
            </w:pPr>
            <w:r w:rsidRPr="004F2E46">
              <w:rPr>
                <w:sz w:val="21"/>
                <w:szCs w:val="21"/>
              </w:rPr>
              <w:t xml:space="preserve">2043 – 85% reduction (10 year delay, +10%) </w:t>
            </w:r>
          </w:p>
          <w:p w:rsidR="00AA5820" w:rsidRPr="004F2E46" w:rsidRDefault="00AA5820" w:rsidP="00AA5820">
            <w:pPr>
              <w:contextualSpacing/>
              <w:rPr>
                <w:sz w:val="21"/>
                <w:szCs w:val="21"/>
              </w:rPr>
            </w:pPr>
          </w:p>
          <w:p w:rsidR="00AA5820" w:rsidRPr="004F2E46" w:rsidRDefault="00AA5820" w:rsidP="00AA5820">
            <w:pPr>
              <w:contextualSpacing/>
              <w:rPr>
                <w:sz w:val="21"/>
                <w:szCs w:val="21"/>
              </w:rPr>
            </w:pPr>
          </w:p>
        </w:tc>
        <w:tc>
          <w:tcPr>
            <w:tcW w:w="5244" w:type="dxa"/>
            <w:tcBorders>
              <w:bottom w:val="nil"/>
            </w:tcBorders>
          </w:tcPr>
          <w:p w:rsidR="00AA5820" w:rsidRPr="004F2E46" w:rsidRDefault="00AA5820" w:rsidP="00AA5820">
            <w:pPr>
              <w:contextualSpacing/>
              <w:rPr>
                <w:b/>
                <w:sz w:val="21"/>
                <w:szCs w:val="21"/>
              </w:rPr>
            </w:pPr>
            <w:r w:rsidRPr="004F2E46">
              <w:rPr>
                <w:b/>
                <w:sz w:val="21"/>
                <w:szCs w:val="21"/>
              </w:rPr>
              <w:t>Reduction schedule for A5s</w:t>
            </w:r>
          </w:p>
          <w:p w:rsidR="00AA5820" w:rsidRPr="004F2E46" w:rsidRDefault="00AA5820" w:rsidP="00AA5820">
            <w:pPr>
              <w:contextualSpacing/>
              <w:rPr>
                <w:sz w:val="21"/>
                <w:szCs w:val="21"/>
              </w:rPr>
            </w:pPr>
            <w:r w:rsidRPr="004F2E46">
              <w:rPr>
                <w:sz w:val="21"/>
                <w:szCs w:val="21"/>
              </w:rPr>
              <w:t>2016 – 15% reduction ([X] year delay +10%)</w:t>
            </w:r>
          </w:p>
          <w:p w:rsidR="00AA5820" w:rsidRPr="004F2E46" w:rsidRDefault="00AA5820" w:rsidP="00AA5820">
            <w:pPr>
              <w:contextualSpacing/>
              <w:rPr>
                <w:sz w:val="21"/>
                <w:szCs w:val="21"/>
              </w:rPr>
            </w:pPr>
            <w:r w:rsidRPr="004F2E46">
              <w:rPr>
                <w:sz w:val="21"/>
                <w:szCs w:val="21"/>
              </w:rPr>
              <w:t>2019 – 30% reduction ([X] year delay +10%)</w:t>
            </w:r>
          </w:p>
          <w:p w:rsidR="00AA5820" w:rsidRPr="004F2E46" w:rsidRDefault="00AA5820" w:rsidP="00AA5820">
            <w:pPr>
              <w:contextualSpacing/>
              <w:rPr>
                <w:sz w:val="21"/>
                <w:szCs w:val="21"/>
              </w:rPr>
            </w:pPr>
            <w:r w:rsidRPr="004F2E46">
              <w:rPr>
                <w:sz w:val="21"/>
                <w:szCs w:val="21"/>
              </w:rPr>
              <w:t>2022 – 45% reduction ([X] year delay +10%)</w:t>
            </w:r>
          </w:p>
          <w:p w:rsidR="00AA5820" w:rsidRPr="004F2E46" w:rsidRDefault="00AA5820" w:rsidP="00AA5820">
            <w:pPr>
              <w:contextualSpacing/>
              <w:rPr>
                <w:sz w:val="21"/>
                <w:szCs w:val="21"/>
              </w:rPr>
            </w:pPr>
            <w:r w:rsidRPr="004F2E46">
              <w:rPr>
                <w:sz w:val="21"/>
                <w:szCs w:val="21"/>
              </w:rPr>
              <w:t>2025 – 55% reduction ([X] year delay +10%)</w:t>
            </w:r>
          </w:p>
          <w:p w:rsidR="00AA5820" w:rsidRPr="004F2E46" w:rsidRDefault="00AA5820" w:rsidP="00AA5820">
            <w:pPr>
              <w:contextualSpacing/>
              <w:rPr>
                <w:sz w:val="21"/>
                <w:szCs w:val="21"/>
              </w:rPr>
            </w:pPr>
            <w:r w:rsidRPr="004F2E46">
              <w:rPr>
                <w:sz w:val="21"/>
                <w:szCs w:val="21"/>
              </w:rPr>
              <w:t>2028 – 70% reduction ([X] year delay +10%)</w:t>
            </w:r>
          </w:p>
          <w:p w:rsidR="00AA5820" w:rsidRPr="004F2E46" w:rsidRDefault="00AA5820" w:rsidP="00AA5820">
            <w:pPr>
              <w:contextualSpacing/>
              <w:rPr>
                <w:sz w:val="21"/>
                <w:szCs w:val="21"/>
              </w:rPr>
            </w:pPr>
            <w:r w:rsidRPr="004F2E46">
              <w:rPr>
                <w:sz w:val="21"/>
                <w:szCs w:val="21"/>
              </w:rPr>
              <w:t>2031 – 85% reduction ([X] year delay +10%)</w:t>
            </w:r>
          </w:p>
          <w:p w:rsidR="00AA5820" w:rsidRPr="004F2E46" w:rsidRDefault="00AA5820" w:rsidP="00AA5820">
            <w:pPr>
              <w:contextualSpacing/>
              <w:rPr>
                <w:sz w:val="21"/>
                <w:szCs w:val="21"/>
              </w:rPr>
            </w:pPr>
            <w:r w:rsidRPr="004F2E46">
              <w:rPr>
                <w:sz w:val="21"/>
                <w:szCs w:val="21"/>
              </w:rPr>
              <w:t>2034 - 90% reduction ([X] year delay +10%)</w:t>
            </w:r>
          </w:p>
          <w:p w:rsidR="00AA5820" w:rsidRPr="004F2E46" w:rsidRDefault="00AA5820" w:rsidP="00AA5820">
            <w:pPr>
              <w:contextualSpacing/>
              <w:rPr>
                <w:sz w:val="21"/>
                <w:szCs w:val="21"/>
              </w:rPr>
            </w:pPr>
          </w:p>
        </w:tc>
      </w:tr>
      <w:tr w:rsidR="00AA5820" w:rsidRPr="004F2E46" w:rsidTr="00AA5820">
        <w:tc>
          <w:tcPr>
            <w:tcW w:w="4395" w:type="dxa"/>
            <w:tcBorders>
              <w:top w:val="nil"/>
              <w:bottom w:val="nil"/>
            </w:tcBorders>
          </w:tcPr>
          <w:p w:rsidR="00AA5820" w:rsidRPr="004F2E46" w:rsidRDefault="00AA5820" w:rsidP="00AA5820">
            <w:pPr>
              <w:contextualSpacing/>
              <w:rPr>
                <w:sz w:val="21"/>
                <w:szCs w:val="21"/>
              </w:rPr>
            </w:pPr>
            <w:r w:rsidRPr="004F2E46">
              <w:rPr>
                <w:sz w:val="21"/>
                <w:szCs w:val="21"/>
              </w:rPr>
              <w:t xml:space="preserve">Consumption baseline: 90% of average of 2008, 2009 and 2010 HCFC consumption. </w:t>
            </w:r>
          </w:p>
        </w:tc>
        <w:tc>
          <w:tcPr>
            <w:tcW w:w="5244" w:type="dxa"/>
            <w:tcBorders>
              <w:top w:val="nil"/>
              <w:bottom w:val="nil"/>
            </w:tcBorders>
          </w:tcPr>
          <w:p w:rsidR="00AA5820" w:rsidRPr="004F2E46" w:rsidRDefault="00AA5820" w:rsidP="00AA5820">
            <w:pPr>
              <w:contextualSpacing/>
              <w:rPr>
                <w:sz w:val="21"/>
                <w:szCs w:val="21"/>
              </w:rPr>
            </w:pPr>
            <w:r w:rsidRPr="004F2E46">
              <w:rPr>
                <w:sz w:val="21"/>
                <w:szCs w:val="21"/>
              </w:rPr>
              <w:t xml:space="preserve">Consumption baseline: average of [20XX to 20XX] HCFC consumption.  </w:t>
            </w:r>
          </w:p>
        </w:tc>
      </w:tr>
      <w:tr w:rsidR="00AA5820" w:rsidRPr="004F2E46" w:rsidTr="00AA5820">
        <w:tc>
          <w:tcPr>
            <w:tcW w:w="4395" w:type="dxa"/>
          </w:tcPr>
          <w:p w:rsidR="00AA5820" w:rsidRPr="004F2E46" w:rsidRDefault="00AA5820" w:rsidP="00AA5820">
            <w:pPr>
              <w:contextualSpacing/>
              <w:rPr>
                <w:b/>
                <w:sz w:val="21"/>
                <w:szCs w:val="21"/>
              </w:rPr>
            </w:pPr>
            <w:r w:rsidRPr="004F2E46">
              <w:rPr>
                <w:b/>
                <w:sz w:val="21"/>
                <w:szCs w:val="21"/>
              </w:rPr>
              <w:t xml:space="preserve">Reporting requirements </w:t>
            </w:r>
          </w:p>
          <w:p w:rsidR="00AA5820" w:rsidRPr="004F2E46" w:rsidRDefault="00AA5820" w:rsidP="00AA5820">
            <w:pPr>
              <w:contextualSpacing/>
              <w:rPr>
                <w:sz w:val="21"/>
                <w:szCs w:val="21"/>
              </w:rPr>
            </w:pPr>
            <w:r w:rsidRPr="004F2E46">
              <w:rPr>
                <w:sz w:val="21"/>
                <w:szCs w:val="21"/>
              </w:rPr>
              <w:t xml:space="preserve">Annual reports on production, imports, exports, feedstock and amount destroyed. </w:t>
            </w:r>
          </w:p>
        </w:tc>
        <w:tc>
          <w:tcPr>
            <w:tcW w:w="5244" w:type="dxa"/>
          </w:tcPr>
          <w:p w:rsidR="00AA5820" w:rsidRPr="004F2E46" w:rsidRDefault="00AA5820" w:rsidP="00AA5820">
            <w:pPr>
              <w:contextualSpacing/>
              <w:rPr>
                <w:b/>
                <w:sz w:val="21"/>
                <w:szCs w:val="21"/>
              </w:rPr>
            </w:pPr>
            <w:r w:rsidRPr="004F2E46">
              <w:rPr>
                <w:b/>
                <w:sz w:val="21"/>
                <w:szCs w:val="21"/>
              </w:rPr>
              <w:t xml:space="preserve">Reporting requirements </w:t>
            </w:r>
          </w:p>
          <w:p w:rsidR="00AA5820" w:rsidRPr="004F2E46" w:rsidRDefault="00AA5820" w:rsidP="00AA5820">
            <w:pPr>
              <w:contextualSpacing/>
              <w:rPr>
                <w:sz w:val="21"/>
                <w:szCs w:val="21"/>
              </w:rPr>
            </w:pPr>
            <w:r w:rsidRPr="004F2E46">
              <w:rPr>
                <w:sz w:val="21"/>
                <w:szCs w:val="21"/>
              </w:rPr>
              <w:t xml:space="preserve">Annual reports on production, imports, exports, feedstock and amount destroyed. </w:t>
            </w:r>
          </w:p>
        </w:tc>
      </w:tr>
      <w:tr w:rsidR="00AA5820" w:rsidRPr="004F2E46" w:rsidTr="00AA5820">
        <w:tc>
          <w:tcPr>
            <w:tcW w:w="4395" w:type="dxa"/>
          </w:tcPr>
          <w:p w:rsidR="00AA5820" w:rsidRPr="004F2E46" w:rsidRDefault="00AA5820" w:rsidP="00AA5820">
            <w:pPr>
              <w:contextualSpacing/>
              <w:rPr>
                <w:b/>
                <w:sz w:val="21"/>
                <w:szCs w:val="21"/>
              </w:rPr>
            </w:pPr>
            <w:r w:rsidRPr="004F2E46">
              <w:rPr>
                <w:b/>
                <w:sz w:val="21"/>
                <w:szCs w:val="21"/>
              </w:rPr>
              <w:t>Funding</w:t>
            </w:r>
          </w:p>
          <w:p w:rsidR="00AA5820" w:rsidRPr="004F2E46" w:rsidRDefault="00AA5820" w:rsidP="00AA5820">
            <w:pPr>
              <w:contextualSpacing/>
              <w:rPr>
                <w:sz w:val="21"/>
                <w:szCs w:val="21"/>
              </w:rPr>
            </w:pPr>
            <w:r w:rsidRPr="004F2E46">
              <w:rPr>
                <w:sz w:val="21"/>
                <w:szCs w:val="21"/>
              </w:rPr>
              <w:t>Article 10 to include funding for reducing consumption and production of HFCs.</w:t>
            </w:r>
          </w:p>
        </w:tc>
        <w:tc>
          <w:tcPr>
            <w:tcW w:w="5244" w:type="dxa"/>
          </w:tcPr>
          <w:p w:rsidR="00AA5820" w:rsidRPr="004F2E46" w:rsidRDefault="00AA5820" w:rsidP="00AA5820">
            <w:pPr>
              <w:contextualSpacing/>
              <w:rPr>
                <w:b/>
                <w:sz w:val="21"/>
                <w:szCs w:val="21"/>
              </w:rPr>
            </w:pPr>
            <w:r w:rsidRPr="004F2E46">
              <w:rPr>
                <w:b/>
                <w:sz w:val="21"/>
                <w:szCs w:val="21"/>
              </w:rPr>
              <w:t xml:space="preserve">Funding </w:t>
            </w:r>
          </w:p>
          <w:p w:rsidR="00AA5820" w:rsidRPr="004F2E46" w:rsidRDefault="00AA5820" w:rsidP="00AA5820">
            <w:pPr>
              <w:contextualSpacing/>
              <w:rPr>
                <w:sz w:val="21"/>
                <w:szCs w:val="21"/>
              </w:rPr>
            </w:pPr>
            <w:r w:rsidRPr="004F2E46">
              <w:rPr>
                <w:sz w:val="21"/>
                <w:szCs w:val="21"/>
              </w:rPr>
              <w:t>Article 10 to include funding for reducing consumption and production of HFCs.</w:t>
            </w:r>
          </w:p>
        </w:tc>
      </w:tr>
      <w:tr w:rsidR="00AA5820" w:rsidRPr="004F2E46" w:rsidTr="00AA5820">
        <w:tc>
          <w:tcPr>
            <w:tcW w:w="4395" w:type="dxa"/>
          </w:tcPr>
          <w:p w:rsidR="00AA5820" w:rsidRPr="004F2E46" w:rsidRDefault="00AA5820" w:rsidP="00AA5820">
            <w:pPr>
              <w:contextualSpacing/>
              <w:rPr>
                <w:b/>
                <w:sz w:val="21"/>
                <w:szCs w:val="21"/>
              </w:rPr>
            </w:pPr>
            <w:r w:rsidRPr="004F2E46">
              <w:rPr>
                <w:b/>
                <w:sz w:val="21"/>
                <w:szCs w:val="21"/>
              </w:rPr>
              <w:t>Annex F</w:t>
            </w:r>
          </w:p>
          <w:p w:rsidR="00AA5820" w:rsidRPr="004F2E46" w:rsidRDefault="00AA5820" w:rsidP="00AA5820">
            <w:pPr>
              <w:contextualSpacing/>
              <w:rPr>
                <w:sz w:val="21"/>
                <w:szCs w:val="21"/>
              </w:rPr>
            </w:pPr>
            <w:r w:rsidRPr="004F2E46">
              <w:rPr>
                <w:sz w:val="21"/>
                <w:szCs w:val="21"/>
              </w:rPr>
              <w:t>Group I – 18 HFC based on 100 GWP. Two HFOs were excluded.  Group II – HFC-23</w:t>
            </w:r>
          </w:p>
        </w:tc>
        <w:tc>
          <w:tcPr>
            <w:tcW w:w="5244" w:type="dxa"/>
          </w:tcPr>
          <w:p w:rsidR="00AA5820" w:rsidRPr="004F2E46" w:rsidRDefault="00AA5820" w:rsidP="00AA5820">
            <w:pPr>
              <w:contextualSpacing/>
              <w:rPr>
                <w:b/>
                <w:sz w:val="21"/>
                <w:szCs w:val="21"/>
              </w:rPr>
            </w:pPr>
            <w:r w:rsidRPr="004F2E46">
              <w:rPr>
                <w:b/>
                <w:sz w:val="21"/>
                <w:szCs w:val="21"/>
              </w:rPr>
              <w:t>Annex F</w:t>
            </w:r>
          </w:p>
          <w:p w:rsidR="00AA5820" w:rsidRPr="004F2E46" w:rsidRDefault="00AA5820" w:rsidP="00AA5820">
            <w:pPr>
              <w:contextualSpacing/>
              <w:rPr>
                <w:sz w:val="21"/>
                <w:szCs w:val="21"/>
              </w:rPr>
            </w:pPr>
            <w:r w:rsidRPr="004F2E46">
              <w:rPr>
                <w:sz w:val="21"/>
                <w:szCs w:val="21"/>
              </w:rPr>
              <w:t>Group I – 20 HFCs incl two HFOs with GWPs based on 100 GWP.  Group II – HFC-23</w:t>
            </w:r>
          </w:p>
        </w:tc>
      </w:tr>
      <w:tr w:rsidR="00AA5820" w:rsidRPr="004F2E46" w:rsidTr="00AA5820">
        <w:tc>
          <w:tcPr>
            <w:tcW w:w="4395" w:type="dxa"/>
          </w:tcPr>
          <w:p w:rsidR="00AA5820" w:rsidRPr="004F2E46" w:rsidRDefault="00AA5820" w:rsidP="00AA5820">
            <w:pPr>
              <w:contextualSpacing/>
              <w:rPr>
                <w:b/>
                <w:sz w:val="21"/>
                <w:szCs w:val="21"/>
              </w:rPr>
            </w:pPr>
            <w:r w:rsidRPr="004F2E46">
              <w:rPr>
                <w:b/>
                <w:sz w:val="21"/>
                <w:szCs w:val="21"/>
              </w:rPr>
              <w:t>Relation with UNFCCC and Kyoto</w:t>
            </w:r>
          </w:p>
          <w:p w:rsidR="00AA5820" w:rsidRPr="004F2E46" w:rsidRDefault="00AA5820" w:rsidP="00AA5820">
            <w:pPr>
              <w:contextualSpacing/>
              <w:rPr>
                <w:sz w:val="21"/>
                <w:szCs w:val="21"/>
              </w:rPr>
            </w:pPr>
            <w:r w:rsidRPr="004F2E46">
              <w:rPr>
                <w:sz w:val="21"/>
                <w:szCs w:val="21"/>
              </w:rPr>
              <w:t xml:space="preserve">This amendment is not intended to exempt HFCs from UNFCCC and Kyoto Protocol.  </w:t>
            </w:r>
          </w:p>
        </w:tc>
        <w:tc>
          <w:tcPr>
            <w:tcW w:w="5244" w:type="dxa"/>
          </w:tcPr>
          <w:p w:rsidR="00AA5820" w:rsidRPr="004F2E46" w:rsidRDefault="00AA5820" w:rsidP="00AA5820">
            <w:pPr>
              <w:contextualSpacing/>
              <w:rPr>
                <w:b/>
                <w:sz w:val="21"/>
                <w:szCs w:val="21"/>
              </w:rPr>
            </w:pPr>
            <w:r w:rsidRPr="004F2E46">
              <w:rPr>
                <w:b/>
                <w:sz w:val="21"/>
                <w:szCs w:val="21"/>
              </w:rPr>
              <w:t>Relation with UNFCCC and Kyoto</w:t>
            </w:r>
          </w:p>
          <w:p w:rsidR="00AA5820" w:rsidRPr="004F2E46" w:rsidRDefault="00AA5820" w:rsidP="00AA5820">
            <w:pPr>
              <w:contextualSpacing/>
              <w:rPr>
                <w:sz w:val="21"/>
                <w:szCs w:val="21"/>
              </w:rPr>
            </w:pPr>
            <w:r w:rsidRPr="004F2E46">
              <w:rPr>
                <w:sz w:val="21"/>
                <w:szCs w:val="21"/>
              </w:rPr>
              <w:t>This amendment is not intended to exempt HFCs from UNFCCC and Kyoto Protocol.</w:t>
            </w:r>
          </w:p>
        </w:tc>
      </w:tr>
    </w:tbl>
    <w:p w:rsidR="00925DF3" w:rsidRPr="00220AB1" w:rsidRDefault="00CC13DC">
      <w:pPr>
        <w:spacing w:before="0"/>
        <w:jc w:val="left"/>
        <w:rPr>
          <w:rFonts w:asciiTheme="majorHAnsi" w:hAnsiTheme="majorHAnsi"/>
          <w:b/>
          <w:sz w:val="32"/>
          <w:szCs w:val="32"/>
        </w:rPr>
      </w:pPr>
      <w:r w:rsidRPr="00220AB1">
        <w:rPr>
          <w:rFonts w:asciiTheme="majorHAnsi" w:hAnsiTheme="majorHAnsi"/>
          <w:b/>
          <w:sz w:val="32"/>
          <w:szCs w:val="32"/>
        </w:rPr>
        <w:t>Appendix</w:t>
      </w:r>
      <w:r w:rsidR="00220AB1">
        <w:rPr>
          <w:rFonts w:asciiTheme="majorHAnsi" w:hAnsiTheme="majorHAnsi"/>
          <w:b/>
          <w:sz w:val="32"/>
          <w:szCs w:val="32"/>
        </w:rPr>
        <w:t xml:space="preserve"> </w:t>
      </w:r>
      <w:r w:rsidR="00FE41C2">
        <w:rPr>
          <w:rFonts w:asciiTheme="majorHAnsi" w:hAnsiTheme="majorHAnsi"/>
          <w:b/>
          <w:sz w:val="32"/>
          <w:szCs w:val="32"/>
        </w:rPr>
        <w:t>B</w:t>
      </w:r>
      <w:r w:rsidRPr="00482A8A">
        <w:rPr>
          <w:rFonts w:asciiTheme="majorHAnsi" w:hAnsiTheme="majorHAnsi"/>
          <w:b/>
          <w:sz w:val="32"/>
          <w:szCs w:val="32"/>
        </w:rPr>
        <w:t>:</w:t>
      </w:r>
      <w:r w:rsidRPr="00220AB1">
        <w:rPr>
          <w:rFonts w:asciiTheme="majorHAnsi" w:hAnsiTheme="majorHAnsi"/>
          <w:b/>
          <w:sz w:val="32"/>
          <w:szCs w:val="32"/>
        </w:rPr>
        <w:t xml:space="preserve"> </w:t>
      </w:r>
      <w:r w:rsidR="00D509BE">
        <w:rPr>
          <w:rFonts w:asciiTheme="majorHAnsi" w:hAnsiTheme="majorHAnsi"/>
          <w:b/>
          <w:sz w:val="32"/>
          <w:szCs w:val="32"/>
        </w:rPr>
        <w:t>Methodology</w:t>
      </w:r>
    </w:p>
    <w:p w:rsidR="00745891" w:rsidRPr="00114173" w:rsidRDefault="00745891" w:rsidP="00114173">
      <w:pPr>
        <w:rPr>
          <w:rFonts w:cs="Times New Roman"/>
          <w:szCs w:val="22"/>
          <w:lang w:val="en-US"/>
        </w:rPr>
      </w:pPr>
      <w:r w:rsidRPr="00114173">
        <w:rPr>
          <w:rFonts w:cs="Times New Roman"/>
          <w:szCs w:val="22"/>
          <w:lang w:val="en-US"/>
        </w:rPr>
        <w:t xml:space="preserve">The data presented in this report has been derived from an extensive Excel workbook that has, at its core, a stock model of RAC employed in Australia. </w:t>
      </w:r>
    </w:p>
    <w:p w:rsidR="00745891" w:rsidRPr="00114173" w:rsidRDefault="00745891" w:rsidP="00F47E8A">
      <w:pPr>
        <w:spacing w:before="240"/>
        <w:rPr>
          <w:rFonts w:asciiTheme="majorHAnsi" w:hAnsiTheme="majorHAnsi"/>
          <w:b/>
          <w:sz w:val="24"/>
        </w:rPr>
      </w:pPr>
      <w:r w:rsidRPr="00114173">
        <w:rPr>
          <w:rFonts w:asciiTheme="majorHAnsi" w:hAnsiTheme="majorHAnsi"/>
          <w:b/>
          <w:sz w:val="24"/>
        </w:rPr>
        <w:t>Data underlying the stock model</w:t>
      </w:r>
    </w:p>
    <w:p w:rsidR="00745891" w:rsidRPr="00114173" w:rsidRDefault="00745891" w:rsidP="00114173">
      <w:pPr>
        <w:rPr>
          <w:rFonts w:cs="Times New Roman"/>
          <w:szCs w:val="22"/>
          <w:lang w:val="en-US"/>
        </w:rPr>
      </w:pPr>
      <w:r w:rsidRPr="00114173">
        <w:rPr>
          <w:rFonts w:cs="Times New Roman"/>
          <w:szCs w:val="22"/>
          <w:lang w:val="en-US"/>
        </w:rPr>
        <w:t xml:space="preserve">This stock model was first developed in 2006 during research for what became the first edition of Cold Hard Facts (CHF1). Primary data sources used for the construction of the </w:t>
      </w:r>
      <w:r w:rsidR="00E4085D">
        <w:rPr>
          <w:rFonts w:cs="Times New Roman"/>
          <w:szCs w:val="22"/>
          <w:lang w:val="en-US"/>
        </w:rPr>
        <w:t xml:space="preserve">original </w:t>
      </w:r>
      <w:r w:rsidRPr="00114173">
        <w:rPr>
          <w:rFonts w:cs="Times New Roman"/>
          <w:szCs w:val="22"/>
          <w:lang w:val="en-US"/>
        </w:rPr>
        <w:t>stock model included:</w:t>
      </w:r>
    </w:p>
    <w:p w:rsidR="00E4085D" w:rsidRPr="00E4085D" w:rsidRDefault="00E4085D" w:rsidP="00E4085D">
      <w:pPr>
        <w:pStyle w:val="ListParagraph"/>
        <w:numPr>
          <w:ilvl w:val="0"/>
          <w:numId w:val="2"/>
        </w:numPr>
        <w:spacing w:before="120" w:after="0"/>
        <w:ind w:left="357"/>
        <w:contextualSpacing w:val="0"/>
        <w:jc w:val="both"/>
        <w:rPr>
          <w:rFonts w:ascii="Times New Roman" w:hAnsi="Times New Roman"/>
          <w:lang w:val="en-US"/>
        </w:rPr>
      </w:pPr>
      <w:r w:rsidRPr="00E4085D">
        <w:rPr>
          <w:rFonts w:ascii="Times New Roman" w:hAnsi="Times New Roman"/>
          <w:lang w:val="en-US"/>
        </w:rPr>
        <w:t xml:space="preserve">Australian Customs </w:t>
      </w:r>
      <w:r>
        <w:rPr>
          <w:rFonts w:ascii="Times New Roman" w:hAnsi="Times New Roman"/>
          <w:lang w:val="en-US"/>
        </w:rPr>
        <w:t xml:space="preserve">import </w:t>
      </w:r>
      <w:r w:rsidRPr="00E4085D">
        <w:rPr>
          <w:rFonts w:ascii="Times New Roman" w:hAnsi="Times New Roman"/>
          <w:lang w:val="en-US"/>
        </w:rPr>
        <w:t xml:space="preserve">reports </w:t>
      </w:r>
      <w:r>
        <w:rPr>
          <w:rFonts w:ascii="Times New Roman" w:hAnsi="Times New Roman"/>
          <w:lang w:val="en-US"/>
        </w:rPr>
        <w:t xml:space="preserve">for </w:t>
      </w:r>
      <w:r w:rsidRPr="00E4085D">
        <w:rPr>
          <w:rFonts w:ascii="Times New Roman" w:hAnsi="Times New Roman"/>
          <w:lang w:val="en-US"/>
        </w:rPr>
        <w:t xml:space="preserve">various </w:t>
      </w:r>
      <w:r>
        <w:rPr>
          <w:rFonts w:ascii="Times New Roman" w:hAnsi="Times New Roman"/>
          <w:lang w:val="en-US"/>
        </w:rPr>
        <w:t xml:space="preserve">product </w:t>
      </w:r>
      <w:r w:rsidRPr="00E4085D">
        <w:rPr>
          <w:rFonts w:ascii="Times New Roman" w:hAnsi="Times New Roman"/>
          <w:lang w:val="en-US"/>
        </w:rPr>
        <w:t xml:space="preserve">categories </w:t>
      </w:r>
      <w:r>
        <w:rPr>
          <w:rFonts w:ascii="Times New Roman" w:hAnsi="Times New Roman"/>
          <w:lang w:val="en-US"/>
        </w:rPr>
        <w:t>(primarily air conditioning equipment by capacity, and some categories)</w:t>
      </w:r>
      <w:r w:rsidRPr="00E4085D">
        <w:rPr>
          <w:rFonts w:ascii="Times New Roman" w:hAnsi="Times New Roman"/>
          <w:lang w:val="en-US"/>
        </w:rPr>
        <w:t>;</w:t>
      </w:r>
    </w:p>
    <w:p w:rsidR="00E4085D" w:rsidRPr="00E4085D" w:rsidRDefault="00E4085D" w:rsidP="00E4085D">
      <w:pPr>
        <w:pStyle w:val="ListParagraph"/>
        <w:numPr>
          <w:ilvl w:val="0"/>
          <w:numId w:val="2"/>
        </w:numPr>
        <w:spacing w:before="120" w:after="0"/>
        <w:ind w:left="357"/>
        <w:contextualSpacing w:val="0"/>
        <w:jc w:val="both"/>
        <w:rPr>
          <w:rFonts w:ascii="Times New Roman" w:hAnsi="Times New Roman"/>
          <w:lang w:val="en-US"/>
        </w:rPr>
      </w:pPr>
      <w:r w:rsidRPr="00E4085D">
        <w:rPr>
          <w:rFonts w:ascii="Times New Roman" w:hAnsi="Times New Roman"/>
          <w:lang w:val="en-US"/>
        </w:rPr>
        <w:t xml:space="preserve">Department of Environment Water Heritage and the Arts (DEWHA) data </w:t>
      </w:r>
      <w:r>
        <w:rPr>
          <w:rFonts w:ascii="Times New Roman" w:hAnsi="Times New Roman"/>
          <w:lang w:val="en-US"/>
        </w:rPr>
        <w:t xml:space="preserve">on </w:t>
      </w:r>
      <w:r w:rsidRPr="00E4085D">
        <w:rPr>
          <w:rFonts w:ascii="Times New Roman" w:hAnsi="Times New Roman"/>
          <w:lang w:val="en-US"/>
        </w:rPr>
        <w:t>pre-cha</w:t>
      </w:r>
      <w:r>
        <w:rPr>
          <w:rFonts w:ascii="Times New Roman" w:hAnsi="Times New Roman"/>
          <w:lang w:val="en-US"/>
        </w:rPr>
        <w:t>r</w:t>
      </w:r>
      <w:r w:rsidRPr="00E4085D">
        <w:rPr>
          <w:rFonts w:ascii="Times New Roman" w:hAnsi="Times New Roman"/>
          <w:lang w:val="en-US"/>
        </w:rPr>
        <w:t>ged equipment imports</w:t>
      </w:r>
      <w:r>
        <w:rPr>
          <w:rFonts w:ascii="Times New Roman" w:hAnsi="Times New Roman"/>
          <w:lang w:val="en-US"/>
        </w:rPr>
        <w:t xml:space="preserve"> for 2005 and 2006</w:t>
      </w:r>
      <w:r w:rsidRPr="00E4085D">
        <w:rPr>
          <w:rFonts w:ascii="Times New Roman" w:hAnsi="Times New Roman"/>
          <w:lang w:val="en-US"/>
        </w:rPr>
        <w:t>;</w:t>
      </w:r>
    </w:p>
    <w:p w:rsidR="00114173" w:rsidRPr="00114173" w:rsidRDefault="00745891" w:rsidP="00E4085D">
      <w:pPr>
        <w:pStyle w:val="ListParagraph"/>
        <w:numPr>
          <w:ilvl w:val="0"/>
          <w:numId w:val="2"/>
        </w:numPr>
        <w:spacing w:before="120" w:after="0"/>
        <w:ind w:left="357"/>
        <w:contextualSpacing w:val="0"/>
        <w:jc w:val="both"/>
        <w:rPr>
          <w:rFonts w:ascii="Times New Roman" w:hAnsi="Times New Roman"/>
          <w:lang w:val="en-US"/>
        </w:rPr>
      </w:pPr>
      <w:r w:rsidRPr="00E4085D">
        <w:rPr>
          <w:rFonts w:ascii="Times New Roman" w:hAnsi="Times New Roman"/>
          <w:lang w:val="en-US"/>
        </w:rPr>
        <w:t xml:space="preserve">Commercial market research estimating the numbers of residential and small commercial split </w:t>
      </w:r>
      <w:r w:rsidR="00E4085D">
        <w:rPr>
          <w:rFonts w:ascii="Times New Roman" w:hAnsi="Times New Roman"/>
          <w:lang w:val="en-US"/>
        </w:rPr>
        <w:t xml:space="preserve">and packaged </w:t>
      </w:r>
      <w:r w:rsidRPr="00E4085D">
        <w:rPr>
          <w:rFonts w:ascii="Times New Roman" w:hAnsi="Times New Roman"/>
          <w:lang w:val="en-US"/>
        </w:rPr>
        <w:t>air conditioning systems sold in the few years prior to 2006</w:t>
      </w:r>
      <w:r w:rsidR="00E4085D">
        <w:rPr>
          <w:rFonts w:ascii="Times New Roman" w:hAnsi="Times New Roman"/>
          <w:lang w:val="en-US"/>
        </w:rPr>
        <w:t xml:space="preserve"> (by capacity and product type)</w:t>
      </w:r>
      <w:r w:rsidRPr="00E4085D">
        <w:rPr>
          <w:rFonts w:ascii="Times New Roman" w:hAnsi="Times New Roman"/>
          <w:lang w:val="en-US"/>
        </w:rPr>
        <w:t>;</w:t>
      </w:r>
    </w:p>
    <w:p w:rsidR="00114173" w:rsidRDefault="00745891" w:rsidP="00E4085D">
      <w:pPr>
        <w:pStyle w:val="ListParagraph"/>
        <w:numPr>
          <w:ilvl w:val="0"/>
          <w:numId w:val="2"/>
        </w:numPr>
        <w:spacing w:before="120" w:after="0"/>
        <w:ind w:left="357"/>
        <w:contextualSpacing w:val="0"/>
        <w:jc w:val="both"/>
        <w:rPr>
          <w:rFonts w:ascii="Times New Roman" w:hAnsi="Times New Roman"/>
          <w:lang w:val="en-US"/>
        </w:rPr>
      </w:pPr>
      <w:r w:rsidRPr="00114173">
        <w:rPr>
          <w:rFonts w:ascii="Times New Roman" w:hAnsi="Times New Roman"/>
          <w:lang w:val="en-US"/>
        </w:rPr>
        <w:t>Various sales datasets, some partial, from 2004 and going back as far as 1995 for domestic refrigeration, residential and small commercial air conditioning was collected from a number of importers, manufacturers and from published market research, constructed into the early years of the model and then exposed for industry comment and review;</w:t>
      </w:r>
    </w:p>
    <w:p w:rsidR="00114173" w:rsidRDefault="00745891" w:rsidP="00E4085D">
      <w:pPr>
        <w:pStyle w:val="ListParagraph"/>
        <w:numPr>
          <w:ilvl w:val="0"/>
          <w:numId w:val="2"/>
        </w:numPr>
        <w:spacing w:before="120" w:after="0"/>
        <w:ind w:left="357"/>
        <w:contextualSpacing w:val="0"/>
        <w:jc w:val="both"/>
        <w:rPr>
          <w:rFonts w:ascii="Times New Roman" w:hAnsi="Times New Roman"/>
          <w:lang w:val="en-US"/>
        </w:rPr>
      </w:pPr>
      <w:r w:rsidRPr="00114173">
        <w:rPr>
          <w:rFonts w:ascii="Times New Roman" w:hAnsi="Times New Roman"/>
          <w:lang w:val="en-US"/>
        </w:rPr>
        <w:t xml:space="preserve">Personal communications and interviews with manufacturers and importers of commercial </w:t>
      </w:r>
      <w:r w:rsidR="00114173">
        <w:rPr>
          <w:rFonts w:ascii="Times New Roman" w:hAnsi="Times New Roman"/>
          <w:lang w:val="en-US"/>
        </w:rPr>
        <w:t>split systems and chillers, and</w:t>
      </w:r>
    </w:p>
    <w:p w:rsidR="00745891" w:rsidRPr="00114173" w:rsidRDefault="00745891" w:rsidP="00E4085D">
      <w:pPr>
        <w:pStyle w:val="ListParagraph"/>
        <w:numPr>
          <w:ilvl w:val="0"/>
          <w:numId w:val="2"/>
        </w:numPr>
        <w:spacing w:before="120" w:after="0"/>
        <w:ind w:left="357"/>
        <w:contextualSpacing w:val="0"/>
        <w:jc w:val="both"/>
        <w:rPr>
          <w:rFonts w:ascii="Times New Roman" w:hAnsi="Times New Roman"/>
          <w:lang w:val="en-US"/>
        </w:rPr>
      </w:pPr>
      <w:r w:rsidRPr="00114173">
        <w:rPr>
          <w:rFonts w:ascii="Times New Roman" w:hAnsi="Times New Roman"/>
          <w:lang w:val="en-US"/>
        </w:rPr>
        <w:t>Personal communications and interviews with manufacturers of commercial and domestic refrigeration systems.</w:t>
      </w:r>
    </w:p>
    <w:p w:rsidR="00745891" w:rsidRPr="00114173" w:rsidRDefault="00745891" w:rsidP="00E4085D">
      <w:pPr>
        <w:rPr>
          <w:rFonts w:cs="Times New Roman"/>
          <w:szCs w:val="22"/>
          <w:lang w:val="en-US"/>
        </w:rPr>
      </w:pPr>
      <w:r w:rsidRPr="00114173">
        <w:rPr>
          <w:rFonts w:cs="Times New Roman"/>
          <w:szCs w:val="22"/>
          <w:lang w:val="en-US"/>
        </w:rPr>
        <w:t xml:space="preserve">This extensive stock model eventually included estimates of stocks of equipment in all of the major classes of equipment and main applications from as early as 1996 through to 2006. </w:t>
      </w:r>
    </w:p>
    <w:p w:rsidR="00745891" w:rsidRPr="00114173" w:rsidRDefault="00745891" w:rsidP="00E4085D">
      <w:pPr>
        <w:rPr>
          <w:rFonts w:cs="Times New Roman"/>
          <w:szCs w:val="22"/>
          <w:lang w:val="en-US"/>
        </w:rPr>
      </w:pPr>
      <w:r w:rsidRPr="00114173">
        <w:rPr>
          <w:rFonts w:cs="Times New Roman"/>
          <w:szCs w:val="22"/>
          <w:lang w:val="en-US"/>
        </w:rPr>
        <w:t>Equipment retirement rates were developed using knowledge of manufacturers</w:t>
      </w:r>
      <w:r w:rsidR="007646C1">
        <w:rPr>
          <w:rFonts w:cs="Times New Roman"/>
          <w:szCs w:val="22"/>
          <w:lang w:val="en-US"/>
        </w:rPr>
        <w:t>’</w:t>
      </w:r>
      <w:r w:rsidRPr="00114173">
        <w:rPr>
          <w:rFonts w:cs="Times New Roman"/>
          <w:szCs w:val="22"/>
          <w:lang w:val="en-US"/>
        </w:rPr>
        <w:t xml:space="preserve"> warranty conditions, interviews with suppliers, designers and engineers.</w:t>
      </w:r>
    </w:p>
    <w:p w:rsidR="00745891" w:rsidRPr="00114173" w:rsidRDefault="00745891" w:rsidP="00E4085D">
      <w:pPr>
        <w:rPr>
          <w:rFonts w:cs="Times New Roman"/>
          <w:szCs w:val="22"/>
          <w:lang w:val="en-US"/>
        </w:rPr>
      </w:pPr>
      <w:r w:rsidRPr="00114173">
        <w:rPr>
          <w:rFonts w:cs="Times New Roman"/>
          <w:szCs w:val="22"/>
          <w:lang w:val="en-US"/>
        </w:rPr>
        <w:t>Since 2007 when the CHF1 was published, the stock model has been used by the original authors for several major studies in this field, each one adding something to the scope and substance of the model.</w:t>
      </w:r>
    </w:p>
    <w:p w:rsidR="00745891" w:rsidRDefault="00745891" w:rsidP="00E4085D">
      <w:pPr>
        <w:rPr>
          <w:rFonts w:cs="Times New Roman"/>
          <w:szCs w:val="22"/>
          <w:lang w:val="en-US"/>
        </w:rPr>
      </w:pPr>
      <w:r w:rsidRPr="00114173">
        <w:rPr>
          <w:rFonts w:cs="Times New Roman"/>
          <w:szCs w:val="22"/>
          <w:lang w:val="en-US"/>
        </w:rPr>
        <w:t>As a result, the original stock model has been extended and refined with new sources of data and ma</w:t>
      </w:r>
      <w:r w:rsidR="003C6CAB">
        <w:rPr>
          <w:rFonts w:cs="Times New Roman"/>
          <w:szCs w:val="22"/>
          <w:lang w:val="en-US"/>
        </w:rPr>
        <w:t>rket intelligence that included:</w:t>
      </w:r>
    </w:p>
    <w:p w:rsidR="00114173" w:rsidRPr="00114173" w:rsidRDefault="00114173" w:rsidP="00E4085D">
      <w:pPr>
        <w:pStyle w:val="ListParagraph"/>
        <w:numPr>
          <w:ilvl w:val="0"/>
          <w:numId w:val="2"/>
        </w:numPr>
        <w:spacing w:before="120" w:after="0"/>
        <w:ind w:left="357"/>
        <w:contextualSpacing w:val="0"/>
        <w:jc w:val="both"/>
        <w:rPr>
          <w:rFonts w:ascii="Times New Roman" w:hAnsi="Times New Roman"/>
        </w:rPr>
      </w:pPr>
      <w:r>
        <w:rPr>
          <w:rFonts w:ascii="Times New Roman" w:hAnsi="Times New Roman"/>
        </w:rPr>
        <w:t xml:space="preserve">The latest issue the </w:t>
      </w:r>
      <w:r w:rsidRPr="00114173">
        <w:rPr>
          <w:rFonts w:ascii="Times New Roman" w:hAnsi="Times New Roman"/>
        </w:rPr>
        <w:t>Department of Sustainability, Environment, Water, Population and Communities</w:t>
      </w:r>
      <w:r>
        <w:rPr>
          <w:rFonts w:ascii="Times New Roman" w:hAnsi="Times New Roman"/>
        </w:rPr>
        <w:t xml:space="preserve"> </w:t>
      </w:r>
      <w:r w:rsidR="004B2E7E">
        <w:rPr>
          <w:rFonts w:ascii="Times New Roman" w:hAnsi="Times New Roman"/>
        </w:rPr>
        <w:t>data i</w:t>
      </w:r>
      <w:r>
        <w:rPr>
          <w:rFonts w:ascii="Times New Roman" w:hAnsi="Times New Roman"/>
        </w:rPr>
        <w:t xml:space="preserve">ncluding </w:t>
      </w:r>
      <w:r w:rsidRPr="00114173">
        <w:rPr>
          <w:rFonts w:ascii="Times New Roman" w:hAnsi="Times New Roman"/>
        </w:rPr>
        <w:t>bulk and pre-charged equipment import statistics by quantity, mass, species, licen</w:t>
      </w:r>
      <w:r w:rsidR="0070240A">
        <w:rPr>
          <w:rFonts w:ascii="Times New Roman" w:hAnsi="Times New Roman"/>
        </w:rPr>
        <w:t>c</w:t>
      </w:r>
      <w:r w:rsidRPr="00114173">
        <w:rPr>
          <w:rFonts w:ascii="Times New Roman" w:hAnsi="Times New Roman"/>
        </w:rPr>
        <w:t xml:space="preserve">e holder, product category from 2006 to 2013 </w:t>
      </w:r>
      <w:r>
        <w:rPr>
          <w:rFonts w:ascii="Times New Roman" w:hAnsi="Times New Roman"/>
        </w:rPr>
        <w:t>(</w:t>
      </w:r>
      <w:r w:rsidR="008C6F9E">
        <w:rPr>
          <w:rFonts w:ascii="Times New Roman" w:hAnsi="Times New Roman"/>
        </w:rPr>
        <w:t>DoE</w:t>
      </w:r>
      <w:r>
        <w:rPr>
          <w:rFonts w:ascii="Times New Roman" w:hAnsi="Times New Roman"/>
        </w:rPr>
        <w:t xml:space="preserve"> 201</w:t>
      </w:r>
      <w:r w:rsidR="008C6F9E">
        <w:rPr>
          <w:rFonts w:ascii="Times New Roman" w:hAnsi="Times New Roman"/>
        </w:rPr>
        <w:t>4</w:t>
      </w:r>
      <w:r>
        <w:rPr>
          <w:rFonts w:ascii="Times New Roman" w:hAnsi="Times New Roman"/>
        </w:rPr>
        <w:t>)</w:t>
      </w:r>
      <w:r w:rsidR="004B2E7E">
        <w:rPr>
          <w:rFonts w:ascii="Times New Roman" w:hAnsi="Times New Roman"/>
        </w:rPr>
        <w:t>;</w:t>
      </w:r>
      <w:r w:rsidR="00E4085D" w:rsidRPr="00E4085D">
        <w:rPr>
          <w:rStyle w:val="FootnoteReference"/>
          <w:lang w:val="en-US"/>
        </w:rPr>
        <w:t xml:space="preserve"> </w:t>
      </w:r>
      <w:r w:rsidR="00E4085D">
        <w:rPr>
          <w:rStyle w:val="FootnoteReference"/>
          <w:lang w:val="en-US"/>
        </w:rPr>
        <w:footnoteReference w:id="13"/>
      </w:r>
    </w:p>
    <w:p w:rsidR="00745891" w:rsidRPr="00114173" w:rsidRDefault="00745891" w:rsidP="00C73C6A">
      <w:pPr>
        <w:pStyle w:val="ListParagraph"/>
        <w:numPr>
          <w:ilvl w:val="0"/>
          <w:numId w:val="4"/>
        </w:numPr>
        <w:spacing w:before="120" w:after="0" w:line="240" w:lineRule="auto"/>
        <w:contextualSpacing w:val="0"/>
        <w:jc w:val="both"/>
        <w:rPr>
          <w:rFonts w:ascii="Times New Roman" w:hAnsi="Times New Roman"/>
          <w:lang w:val="en-US"/>
        </w:rPr>
      </w:pPr>
      <w:r w:rsidRPr="00114173">
        <w:rPr>
          <w:rFonts w:ascii="Times New Roman" w:hAnsi="Times New Roman"/>
          <w:lang w:val="en-US"/>
        </w:rPr>
        <w:t xml:space="preserve">Reviews of data included in Regulatory Impact Statements </w:t>
      </w:r>
      <w:r w:rsidR="00114173">
        <w:rPr>
          <w:rFonts w:ascii="Times New Roman" w:hAnsi="Times New Roman"/>
          <w:lang w:val="en-US"/>
        </w:rPr>
        <w:t xml:space="preserve">and product profiles </w:t>
      </w:r>
      <w:r w:rsidRPr="00114173">
        <w:rPr>
          <w:rFonts w:ascii="Times New Roman" w:hAnsi="Times New Roman"/>
          <w:lang w:val="en-US"/>
        </w:rPr>
        <w:t>for air conditioning equipment</w:t>
      </w:r>
      <w:r w:rsidR="00114173">
        <w:rPr>
          <w:rFonts w:ascii="Times New Roman" w:hAnsi="Times New Roman"/>
          <w:lang w:val="en-US"/>
        </w:rPr>
        <w:t xml:space="preserve"> (i.e. split systems, chillers, close control, portable, etc.)</w:t>
      </w:r>
      <w:r w:rsidR="004B2E7E">
        <w:rPr>
          <w:rFonts w:ascii="Times New Roman" w:hAnsi="Times New Roman"/>
          <w:lang w:val="en-US"/>
        </w:rPr>
        <w:t>, domestic refrigerators and freezers, non-domestic refrigeration (</w:t>
      </w:r>
      <w:r w:rsidR="004B2E7E" w:rsidRPr="004B2E7E">
        <w:rPr>
          <w:rFonts w:ascii="Times New Roman" w:hAnsi="Times New Roman"/>
          <w:lang w:val="en-US"/>
        </w:rPr>
        <w:t>E3 2009</w:t>
      </w:r>
      <w:r w:rsidR="004B2E7E">
        <w:rPr>
          <w:rFonts w:ascii="Times New Roman" w:hAnsi="Times New Roman"/>
          <w:lang w:val="en-US"/>
        </w:rPr>
        <w:t>), and other products such as hot water heat pumps (</w:t>
      </w:r>
      <w:r w:rsidR="004B2E7E" w:rsidRPr="00D37A89">
        <w:rPr>
          <w:rFonts w:ascii="Times New Roman" w:hAnsi="Times New Roman"/>
          <w:sz w:val="20"/>
          <w:szCs w:val="20"/>
        </w:rPr>
        <w:t>E3 2012</w:t>
      </w:r>
      <w:r w:rsidR="004B2E7E">
        <w:rPr>
          <w:rFonts w:ascii="Times New Roman" w:hAnsi="Times New Roman"/>
          <w:sz w:val="20"/>
          <w:szCs w:val="20"/>
        </w:rPr>
        <w:t>)</w:t>
      </w:r>
      <w:r w:rsidR="004B2E7E">
        <w:rPr>
          <w:rFonts w:ascii="Times New Roman" w:hAnsi="Times New Roman"/>
          <w:lang w:val="en-US"/>
        </w:rPr>
        <w:t>;</w:t>
      </w:r>
    </w:p>
    <w:p w:rsidR="00745891" w:rsidRPr="00114173" w:rsidRDefault="00745891" w:rsidP="00C73C6A">
      <w:pPr>
        <w:pStyle w:val="ListParagraph"/>
        <w:numPr>
          <w:ilvl w:val="0"/>
          <w:numId w:val="4"/>
        </w:numPr>
        <w:spacing w:before="120" w:after="0" w:line="240" w:lineRule="auto"/>
        <w:contextualSpacing w:val="0"/>
        <w:jc w:val="both"/>
        <w:rPr>
          <w:rFonts w:ascii="Times New Roman" w:hAnsi="Times New Roman"/>
          <w:lang w:val="en-US"/>
        </w:rPr>
      </w:pPr>
      <w:r w:rsidRPr="00114173">
        <w:rPr>
          <w:rFonts w:ascii="Times New Roman" w:hAnsi="Times New Roman"/>
          <w:lang w:val="en-US"/>
        </w:rPr>
        <w:t>Reviews of data created for models of domestic energy production;</w:t>
      </w:r>
    </w:p>
    <w:p w:rsidR="00D509BE" w:rsidRDefault="00745891" w:rsidP="00C73C6A">
      <w:pPr>
        <w:pStyle w:val="ListParagraph"/>
        <w:numPr>
          <w:ilvl w:val="0"/>
          <w:numId w:val="4"/>
        </w:numPr>
        <w:spacing w:before="120" w:after="0" w:line="240" w:lineRule="auto"/>
        <w:contextualSpacing w:val="0"/>
        <w:jc w:val="both"/>
        <w:rPr>
          <w:rFonts w:ascii="Times New Roman" w:hAnsi="Times New Roman"/>
          <w:lang w:val="en-US"/>
        </w:rPr>
      </w:pPr>
      <w:r w:rsidRPr="00114173">
        <w:rPr>
          <w:rFonts w:ascii="Times New Roman" w:hAnsi="Times New Roman"/>
          <w:lang w:val="en-US"/>
        </w:rPr>
        <w:t>Interviews with and surveys of manufacturers, importers and resellers of equipment, and with importers and wholesalers of refrigerant gas, parts and tools for the purpose of other RAC industry related studies;</w:t>
      </w:r>
    </w:p>
    <w:p w:rsidR="004B2E7E" w:rsidRPr="004B2E7E" w:rsidRDefault="004B2E7E" w:rsidP="00C73C6A">
      <w:pPr>
        <w:pStyle w:val="ListParagraph"/>
        <w:numPr>
          <w:ilvl w:val="0"/>
          <w:numId w:val="4"/>
        </w:numPr>
        <w:spacing w:before="120" w:after="0" w:line="240" w:lineRule="auto"/>
        <w:contextualSpacing w:val="0"/>
        <w:jc w:val="both"/>
        <w:rPr>
          <w:rFonts w:ascii="Times New Roman" w:hAnsi="Times New Roman"/>
          <w:lang w:val="en-US"/>
        </w:rPr>
      </w:pPr>
      <w:r w:rsidRPr="004B2E7E">
        <w:rPr>
          <w:rFonts w:ascii="Times New Roman" w:hAnsi="Times New Roman"/>
          <w:lang w:val="en-US"/>
        </w:rPr>
        <w:t>Interviews with industry associations and professional bodies for the purposes of other industry and government programs;</w:t>
      </w:r>
    </w:p>
    <w:p w:rsidR="004B2E7E" w:rsidRPr="004B2E7E" w:rsidRDefault="004B2E7E" w:rsidP="00C73C6A">
      <w:pPr>
        <w:pStyle w:val="ListParagraph"/>
        <w:numPr>
          <w:ilvl w:val="0"/>
          <w:numId w:val="4"/>
        </w:numPr>
        <w:spacing w:before="120" w:after="0" w:line="240" w:lineRule="auto"/>
        <w:contextualSpacing w:val="0"/>
        <w:jc w:val="both"/>
        <w:rPr>
          <w:rFonts w:ascii="Times New Roman" w:hAnsi="Times New Roman"/>
          <w:lang w:val="en-US"/>
        </w:rPr>
      </w:pPr>
      <w:r w:rsidRPr="004B2E7E">
        <w:rPr>
          <w:rFonts w:ascii="Times New Roman" w:hAnsi="Times New Roman"/>
          <w:lang w:val="en-US"/>
        </w:rPr>
        <w:t>In-confidence industry wide surveys of major participants selling commercial refrigeration condensing units and compressors dissected by capacity and refrigerant;</w:t>
      </w:r>
    </w:p>
    <w:p w:rsidR="004B2E7E" w:rsidRPr="004B2E7E" w:rsidRDefault="004B2E7E" w:rsidP="00C73C6A">
      <w:pPr>
        <w:pStyle w:val="ListParagraph"/>
        <w:numPr>
          <w:ilvl w:val="0"/>
          <w:numId w:val="4"/>
        </w:numPr>
        <w:spacing w:before="120" w:after="0" w:line="240" w:lineRule="auto"/>
        <w:contextualSpacing w:val="0"/>
        <w:jc w:val="both"/>
        <w:rPr>
          <w:rFonts w:ascii="Times New Roman" w:hAnsi="Times New Roman"/>
          <w:lang w:val="en-US"/>
        </w:rPr>
      </w:pPr>
      <w:r w:rsidRPr="004B2E7E">
        <w:rPr>
          <w:rFonts w:ascii="Times New Roman" w:hAnsi="Times New Roman"/>
          <w:lang w:val="en-US"/>
        </w:rPr>
        <w:t>In-confidence industry wide surveys of suppliers, up-stream processors and end-users of natural refrigerants to establish aggregate industry measures.</w:t>
      </w:r>
    </w:p>
    <w:p w:rsidR="004B2E7E" w:rsidRPr="004B2E7E" w:rsidRDefault="004B2E7E" w:rsidP="00C73C6A">
      <w:pPr>
        <w:pStyle w:val="ListParagraph"/>
        <w:numPr>
          <w:ilvl w:val="0"/>
          <w:numId w:val="4"/>
        </w:numPr>
        <w:spacing w:before="120" w:after="0" w:line="240" w:lineRule="auto"/>
        <w:contextualSpacing w:val="0"/>
        <w:jc w:val="both"/>
        <w:rPr>
          <w:rFonts w:ascii="Times New Roman" w:hAnsi="Times New Roman"/>
          <w:lang w:val="en-US"/>
        </w:rPr>
      </w:pPr>
      <w:r w:rsidRPr="004B2E7E">
        <w:rPr>
          <w:rFonts w:ascii="Times New Roman" w:hAnsi="Times New Roman"/>
          <w:lang w:val="en-US"/>
        </w:rPr>
        <w:t>Surveys of stock on the floor of domestic equipment retailers.</w:t>
      </w:r>
    </w:p>
    <w:p w:rsidR="004B2E7E" w:rsidRDefault="004B2E7E" w:rsidP="004B2E7E">
      <w:pPr>
        <w:rPr>
          <w:rFonts w:cs="Times New Roman"/>
          <w:szCs w:val="22"/>
          <w:lang w:val="en-US"/>
        </w:rPr>
      </w:pPr>
      <w:r w:rsidRPr="004B2E7E">
        <w:rPr>
          <w:rFonts w:cs="Times New Roman"/>
          <w:szCs w:val="22"/>
          <w:lang w:val="en-US"/>
        </w:rPr>
        <w:t>The authors were unable to identify any similar stock model for any other economy to compare the methodology with, the main outputs or the structure of the model.</w:t>
      </w:r>
    </w:p>
    <w:p w:rsidR="001F5E4C" w:rsidRPr="001F5E4C" w:rsidRDefault="001F5E4C" w:rsidP="00F47E8A">
      <w:pPr>
        <w:spacing w:before="240"/>
        <w:rPr>
          <w:rFonts w:asciiTheme="majorHAnsi" w:hAnsiTheme="majorHAnsi"/>
          <w:b/>
          <w:sz w:val="24"/>
        </w:rPr>
      </w:pPr>
      <w:r w:rsidRPr="001F5E4C">
        <w:rPr>
          <w:rFonts w:asciiTheme="majorHAnsi" w:hAnsiTheme="majorHAnsi"/>
          <w:b/>
          <w:sz w:val="24"/>
        </w:rPr>
        <w:t xml:space="preserve">Product </w:t>
      </w:r>
      <w:r>
        <w:rPr>
          <w:rFonts w:asciiTheme="majorHAnsi" w:hAnsiTheme="majorHAnsi"/>
          <w:b/>
          <w:sz w:val="24"/>
        </w:rPr>
        <w:t>c</w:t>
      </w:r>
      <w:r w:rsidRPr="001F5E4C">
        <w:rPr>
          <w:rFonts w:asciiTheme="majorHAnsi" w:hAnsiTheme="majorHAnsi"/>
          <w:b/>
          <w:sz w:val="24"/>
        </w:rPr>
        <w:t xml:space="preserve">ategory </w:t>
      </w:r>
      <w:r>
        <w:rPr>
          <w:rFonts w:asciiTheme="majorHAnsi" w:hAnsiTheme="majorHAnsi"/>
          <w:b/>
          <w:sz w:val="24"/>
        </w:rPr>
        <w:t>s</w:t>
      </w:r>
      <w:r w:rsidRPr="001F5E4C">
        <w:rPr>
          <w:rFonts w:asciiTheme="majorHAnsi" w:hAnsiTheme="majorHAnsi"/>
          <w:b/>
          <w:sz w:val="24"/>
        </w:rPr>
        <w:t>tock models</w:t>
      </w:r>
    </w:p>
    <w:p w:rsidR="001F5E4C" w:rsidRPr="001F5E4C" w:rsidRDefault="001F5E4C" w:rsidP="001F5E4C">
      <w:pPr>
        <w:rPr>
          <w:rFonts w:cs="Times New Roman"/>
          <w:szCs w:val="22"/>
          <w:lang w:val="en-US"/>
        </w:rPr>
      </w:pPr>
      <w:r w:rsidRPr="001F5E4C">
        <w:rPr>
          <w:rFonts w:cs="Times New Roman"/>
          <w:szCs w:val="22"/>
          <w:lang w:val="en-US"/>
        </w:rPr>
        <w:t>More sophisticated stock models have been developed for major product categories where sufficient quality historical sales data has been discovered. These models use a cumulative distribution function of the normal distribution function to develop survival curves, stock models and equipment retirement estimates by refrigerant species or type.</w:t>
      </w:r>
    </w:p>
    <w:p w:rsidR="001F5E4C" w:rsidRPr="001F5E4C" w:rsidRDefault="001F5E4C" w:rsidP="001F5E4C">
      <w:pPr>
        <w:rPr>
          <w:rFonts w:cs="Times New Roman"/>
          <w:szCs w:val="22"/>
          <w:lang w:val="en-US"/>
        </w:rPr>
      </w:pPr>
      <w:r w:rsidRPr="001F5E4C">
        <w:rPr>
          <w:rFonts w:cs="Times New Roman"/>
          <w:szCs w:val="22"/>
          <w:lang w:val="en-US"/>
        </w:rPr>
        <w:t xml:space="preserve">Where data was available, the model calculates the number of units of a particular vintage that remain in service at the end of a given year as the total number of units sold in the year of the vintage, minus the proportion of units that have been scrapped prior to the end of the given year. </w:t>
      </w:r>
    </w:p>
    <w:p w:rsidR="001F5E4C" w:rsidRPr="001F5E4C" w:rsidRDefault="001F5E4C" w:rsidP="001F5E4C">
      <w:pPr>
        <w:rPr>
          <w:rFonts w:cs="Times New Roman"/>
          <w:szCs w:val="22"/>
          <w:lang w:val="en-US"/>
        </w:rPr>
      </w:pPr>
      <w:r w:rsidRPr="001F5E4C">
        <w:rPr>
          <w:rFonts w:cs="Times New Roman"/>
          <w:szCs w:val="22"/>
          <w:lang w:val="en-US"/>
        </w:rPr>
        <w:t>We assume that the lifetime of a unit is normally distributed with a mean lifespan (in years) and standard deviation (in years). The model assumes that on average, units are sold in the middle of a year. So for example, the number of units that were sold in the year 2000 that remain in service at the end of 2012 is given by, N</w:t>
      </w:r>
      <w:r w:rsidRPr="00F47E8A">
        <w:rPr>
          <w:rFonts w:cs="Times New Roman"/>
          <w:szCs w:val="22"/>
          <w:vertAlign w:val="subscript"/>
          <w:lang w:val="en-US"/>
        </w:rPr>
        <w:t>2000</w:t>
      </w:r>
      <w:r w:rsidRPr="001F5E4C">
        <w:rPr>
          <w:rFonts w:cs="Times New Roman"/>
          <w:szCs w:val="22"/>
          <w:lang w:val="en-US"/>
        </w:rPr>
        <w:t xml:space="preserve"> (1-p), where N</w:t>
      </w:r>
      <w:r w:rsidRPr="00F47E8A">
        <w:rPr>
          <w:rFonts w:cs="Times New Roman"/>
          <w:szCs w:val="22"/>
          <w:vertAlign w:val="subscript"/>
          <w:lang w:val="en-US"/>
        </w:rPr>
        <w:t>2000</w:t>
      </w:r>
      <w:r w:rsidRPr="001F5E4C">
        <w:rPr>
          <w:rFonts w:cs="Times New Roman"/>
          <w:szCs w:val="22"/>
          <w:lang w:val="en-US"/>
        </w:rPr>
        <w:t xml:space="preserve"> is the number of units sold in 2000, and p is the proportion that have been scrapped between 2000 and 2012 inclusive and is given by the following function:</w:t>
      </w:r>
    </w:p>
    <w:p w:rsidR="001F5E4C" w:rsidRPr="001F5E4C" w:rsidRDefault="001F5E4C" w:rsidP="001F5E4C">
      <w:pPr>
        <w:rPr>
          <w:rFonts w:cs="Times New Roman"/>
          <w:szCs w:val="22"/>
          <w:lang w:val="en-US"/>
        </w:rPr>
      </w:pPr>
      <w:r w:rsidRPr="001F5E4C">
        <w:rPr>
          <w:rFonts w:cs="Times New Roman"/>
          <w:szCs w:val="22"/>
          <w:lang w:val="en-US"/>
        </w:rPr>
        <w:t>Φ (2012-2000+0.5;μ,σ) = Φ (12.5;μ,σ)</w:t>
      </w:r>
    </w:p>
    <w:p w:rsidR="001F5E4C" w:rsidRPr="001F5E4C" w:rsidRDefault="001F5E4C" w:rsidP="001F5E4C">
      <w:pPr>
        <w:rPr>
          <w:rFonts w:cs="Times New Roman"/>
          <w:szCs w:val="22"/>
          <w:lang w:val="en-US"/>
        </w:rPr>
      </w:pPr>
      <w:r w:rsidRPr="001F5E4C">
        <w:rPr>
          <w:rFonts w:cs="Times New Roman"/>
          <w:szCs w:val="22"/>
          <w:lang w:val="en-US"/>
        </w:rPr>
        <w:t>Where Φ (x;μ,σ) is the cumulative distribution function (CDF) of the normal distribution with mean μ and standard deviation σ evaluated at x.</w:t>
      </w:r>
    </w:p>
    <w:p w:rsidR="001F5E4C" w:rsidRPr="001F5E4C" w:rsidRDefault="001F5E4C" w:rsidP="001F5E4C">
      <w:pPr>
        <w:rPr>
          <w:rFonts w:cs="Times New Roman"/>
          <w:szCs w:val="22"/>
          <w:lang w:val="en-US"/>
        </w:rPr>
      </w:pPr>
      <w:r w:rsidRPr="001F5E4C">
        <w:rPr>
          <w:rFonts w:cs="Times New Roman"/>
          <w:szCs w:val="22"/>
          <w:lang w:val="en-US"/>
        </w:rPr>
        <w:t>The number of units of a particular vintage that are retired in a given year equates to the number of units sold in the year of the vintage that remained in service at the beginning of the given year, minus the number that remain in service at the end of the given year.</w:t>
      </w:r>
    </w:p>
    <w:p w:rsidR="001F5E4C" w:rsidRPr="001F5E4C" w:rsidRDefault="001F5E4C" w:rsidP="001F5E4C">
      <w:pPr>
        <w:rPr>
          <w:rFonts w:cs="Times New Roman"/>
          <w:szCs w:val="22"/>
          <w:lang w:val="en-US"/>
        </w:rPr>
      </w:pPr>
      <w:r w:rsidRPr="001F5E4C">
        <w:rPr>
          <w:rFonts w:cs="Times New Roman"/>
          <w:szCs w:val="22"/>
          <w:lang w:val="en-US"/>
        </w:rPr>
        <w:t>The historical sales data is dissected by refrigerant species or type to predict the refrigerant mix of the bank and retiring equipment.</w:t>
      </w:r>
    </w:p>
    <w:p w:rsidR="001F5E4C" w:rsidRPr="001F5E4C" w:rsidRDefault="001F5E4C" w:rsidP="00F47E8A">
      <w:pPr>
        <w:spacing w:before="240"/>
        <w:rPr>
          <w:rFonts w:asciiTheme="majorHAnsi" w:hAnsiTheme="majorHAnsi"/>
          <w:b/>
          <w:sz w:val="24"/>
        </w:rPr>
      </w:pPr>
      <w:r w:rsidRPr="001F5E4C">
        <w:rPr>
          <w:rFonts w:asciiTheme="majorHAnsi" w:hAnsiTheme="majorHAnsi"/>
          <w:b/>
          <w:sz w:val="24"/>
        </w:rPr>
        <w:t xml:space="preserve">Gas </w:t>
      </w:r>
      <w:r>
        <w:rPr>
          <w:rFonts w:asciiTheme="majorHAnsi" w:hAnsiTheme="majorHAnsi"/>
          <w:b/>
          <w:sz w:val="24"/>
        </w:rPr>
        <w:t>c</w:t>
      </w:r>
      <w:r w:rsidRPr="001F5E4C">
        <w:rPr>
          <w:rFonts w:asciiTheme="majorHAnsi" w:hAnsiTheme="majorHAnsi"/>
          <w:b/>
          <w:sz w:val="24"/>
        </w:rPr>
        <w:t xml:space="preserve">harges and </w:t>
      </w:r>
      <w:r>
        <w:rPr>
          <w:rFonts w:asciiTheme="majorHAnsi" w:hAnsiTheme="majorHAnsi"/>
          <w:b/>
          <w:sz w:val="24"/>
        </w:rPr>
        <w:t>s</w:t>
      </w:r>
      <w:r w:rsidRPr="001F5E4C">
        <w:rPr>
          <w:rFonts w:asciiTheme="majorHAnsi" w:hAnsiTheme="majorHAnsi"/>
          <w:b/>
          <w:sz w:val="24"/>
        </w:rPr>
        <w:t>pecies</w:t>
      </w:r>
    </w:p>
    <w:p w:rsidR="001F5E4C" w:rsidRPr="001F5E4C" w:rsidRDefault="001F5E4C" w:rsidP="001F5E4C">
      <w:pPr>
        <w:rPr>
          <w:rFonts w:cs="Times New Roman"/>
          <w:szCs w:val="22"/>
          <w:lang w:val="en-US"/>
        </w:rPr>
      </w:pPr>
      <w:r w:rsidRPr="001F5E4C">
        <w:rPr>
          <w:rFonts w:cs="Times New Roman"/>
          <w:szCs w:val="22"/>
          <w:lang w:val="en-US"/>
        </w:rPr>
        <w:t>The size of the gas charges in various equipment classes are known from manufacturers</w:t>
      </w:r>
      <w:r w:rsidR="007646C1">
        <w:rPr>
          <w:rFonts w:cs="Times New Roman"/>
          <w:szCs w:val="22"/>
          <w:lang w:val="en-US"/>
        </w:rPr>
        <w:t>’</w:t>
      </w:r>
      <w:r w:rsidRPr="001F5E4C">
        <w:rPr>
          <w:rFonts w:cs="Times New Roman"/>
          <w:szCs w:val="22"/>
          <w:lang w:val="en-US"/>
        </w:rPr>
        <w:t xml:space="preserve"> documentation and checks of equipment and appliances in the market and for sale. The size of gas charges can be correlated (to some extent) with the input power and size of the compressor employed and the resulting refrigerating capacity of a piece of equipment.  </w:t>
      </w:r>
    </w:p>
    <w:p w:rsidR="001F5E4C" w:rsidRPr="001F5E4C" w:rsidRDefault="001F5E4C" w:rsidP="001F5E4C">
      <w:pPr>
        <w:rPr>
          <w:rFonts w:cs="Times New Roman"/>
          <w:szCs w:val="22"/>
          <w:lang w:val="en-US"/>
        </w:rPr>
      </w:pPr>
      <w:r w:rsidRPr="001F5E4C">
        <w:rPr>
          <w:rFonts w:cs="Times New Roman"/>
          <w:szCs w:val="22"/>
          <w:lang w:val="en-US"/>
        </w:rPr>
        <w:t>The gas species most commonly employed in the different products are known, although these are not entirely uniform. The proportion of any product in the stock of equipment that is estimated to employ a particular gas species can be checked in many cases by the mix of species employed in pre-charged equipment imports in any year, and against information gleaned from bulk importers and wholesalers of gas.</w:t>
      </w:r>
    </w:p>
    <w:p w:rsidR="001F5E4C" w:rsidRDefault="001F5E4C" w:rsidP="001F5E4C">
      <w:pPr>
        <w:rPr>
          <w:rFonts w:cs="Times New Roman"/>
          <w:szCs w:val="22"/>
          <w:lang w:val="en-US"/>
        </w:rPr>
      </w:pPr>
      <w:r w:rsidRPr="001F5E4C">
        <w:rPr>
          <w:rFonts w:cs="Times New Roman"/>
          <w:szCs w:val="22"/>
          <w:lang w:val="en-US"/>
        </w:rPr>
        <w:t>From 2006 to July 2012 DSEWPaC pre-charged equipment import data was dissected into specific equipment categories including;</w:t>
      </w:r>
    </w:p>
    <w:p w:rsidR="00F47E8A" w:rsidRPr="00F47E8A" w:rsidRDefault="00F47E8A" w:rsidP="00C73C6A">
      <w:pPr>
        <w:pStyle w:val="ListParagraph"/>
        <w:numPr>
          <w:ilvl w:val="0"/>
          <w:numId w:val="4"/>
        </w:numPr>
        <w:spacing w:before="120" w:after="0" w:line="240" w:lineRule="auto"/>
        <w:contextualSpacing w:val="0"/>
        <w:jc w:val="both"/>
        <w:rPr>
          <w:rFonts w:ascii="Times New Roman" w:hAnsi="Times New Roman"/>
          <w:lang w:val="en-US"/>
        </w:rPr>
      </w:pPr>
      <w:r w:rsidRPr="00F47E8A">
        <w:rPr>
          <w:rFonts w:ascii="Times New Roman" w:hAnsi="Times New Roman"/>
          <w:lang w:val="en-US"/>
        </w:rPr>
        <w:t>Air conditioning chillers;</w:t>
      </w:r>
    </w:p>
    <w:p w:rsidR="00F47E8A" w:rsidRPr="00F47E8A" w:rsidRDefault="00F47E8A" w:rsidP="00C73C6A">
      <w:pPr>
        <w:pStyle w:val="ListParagraph"/>
        <w:numPr>
          <w:ilvl w:val="0"/>
          <w:numId w:val="4"/>
        </w:numPr>
        <w:spacing w:before="120" w:after="0" w:line="240" w:lineRule="auto"/>
        <w:contextualSpacing w:val="0"/>
        <w:jc w:val="both"/>
        <w:rPr>
          <w:rFonts w:ascii="Times New Roman" w:hAnsi="Times New Roman"/>
          <w:lang w:val="en-US"/>
        </w:rPr>
      </w:pPr>
      <w:r w:rsidRPr="00F47E8A">
        <w:rPr>
          <w:rFonts w:ascii="Times New Roman" w:hAnsi="Times New Roman"/>
          <w:lang w:val="en-US"/>
        </w:rPr>
        <w:t xml:space="preserve">Packaged air conditioning equipment; </w:t>
      </w:r>
    </w:p>
    <w:p w:rsidR="00F47E8A" w:rsidRPr="00F47E8A" w:rsidRDefault="00F47E8A" w:rsidP="00C73C6A">
      <w:pPr>
        <w:pStyle w:val="ListParagraph"/>
        <w:numPr>
          <w:ilvl w:val="0"/>
          <w:numId w:val="4"/>
        </w:numPr>
        <w:spacing w:before="120" w:after="0" w:line="240" w:lineRule="auto"/>
        <w:contextualSpacing w:val="0"/>
        <w:jc w:val="both"/>
        <w:rPr>
          <w:rFonts w:ascii="Times New Roman" w:hAnsi="Times New Roman"/>
          <w:lang w:val="en-US"/>
        </w:rPr>
      </w:pPr>
      <w:r w:rsidRPr="00F47E8A">
        <w:rPr>
          <w:rFonts w:ascii="Times New Roman" w:hAnsi="Times New Roman"/>
          <w:lang w:val="en-US"/>
        </w:rPr>
        <w:t xml:space="preserve">Window/wall units; </w:t>
      </w:r>
    </w:p>
    <w:p w:rsidR="00F47E8A" w:rsidRPr="00F47E8A" w:rsidRDefault="00F47E8A" w:rsidP="00C73C6A">
      <w:pPr>
        <w:pStyle w:val="ListParagraph"/>
        <w:numPr>
          <w:ilvl w:val="0"/>
          <w:numId w:val="4"/>
        </w:numPr>
        <w:spacing w:before="120" w:after="0" w:line="240" w:lineRule="auto"/>
        <w:contextualSpacing w:val="0"/>
        <w:jc w:val="both"/>
        <w:rPr>
          <w:rFonts w:ascii="Times New Roman" w:hAnsi="Times New Roman"/>
          <w:lang w:val="en-US"/>
        </w:rPr>
      </w:pPr>
      <w:r w:rsidRPr="00F47E8A">
        <w:rPr>
          <w:rFonts w:ascii="Times New Roman" w:hAnsi="Times New Roman"/>
          <w:lang w:val="en-US"/>
        </w:rPr>
        <w:t xml:space="preserve">Portable air conditioning; </w:t>
      </w:r>
    </w:p>
    <w:p w:rsidR="00F47E8A" w:rsidRPr="00F47E8A" w:rsidRDefault="00F47E8A" w:rsidP="00C73C6A">
      <w:pPr>
        <w:pStyle w:val="ListParagraph"/>
        <w:numPr>
          <w:ilvl w:val="0"/>
          <w:numId w:val="4"/>
        </w:numPr>
        <w:spacing w:before="120" w:after="0" w:line="240" w:lineRule="auto"/>
        <w:contextualSpacing w:val="0"/>
        <w:jc w:val="both"/>
        <w:rPr>
          <w:rFonts w:ascii="Times New Roman" w:hAnsi="Times New Roman"/>
          <w:lang w:val="en-US"/>
        </w:rPr>
      </w:pPr>
      <w:r w:rsidRPr="00F47E8A">
        <w:rPr>
          <w:rFonts w:ascii="Times New Roman" w:hAnsi="Times New Roman"/>
          <w:lang w:val="en-US"/>
        </w:rPr>
        <w:t xml:space="preserve">Splits systems (single and multi-head/variable refrigerant flow); </w:t>
      </w:r>
    </w:p>
    <w:p w:rsidR="00F47E8A" w:rsidRPr="00F47E8A" w:rsidRDefault="00F47E8A" w:rsidP="00C73C6A">
      <w:pPr>
        <w:pStyle w:val="ListParagraph"/>
        <w:numPr>
          <w:ilvl w:val="0"/>
          <w:numId w:val="4"/>
        </w:numPr>
        <w:spacing w:before="120" w:after="0" w:line="240" w:lineRule="auto"/>
        <w:contextualSpacing w:val="0"/>
        <w:jc w:val="both"/>
        <w:rPr>
          <w:rFonts w:ascii="Times New Roman" w:hAnsi="Times New Roman"/>
          <w:lang w:val="en-US"/>
        </w:rPr>
      </w:pPr>
      <w:r w:rsidRPr="00F47E8A">
        <w:rPr>
          <w:rFonts w:ascii="Times New Roman" w:hAnsi="Times New Roman"/>
          <w:lang w:val="en-US"/>
        </w:rPr>
        <w:t xml:space="preserve">Aircraft; </w:t>
      </w:r>
    </w:p>
    <w:p w:rsidR="00F47E8A" w:rsidRPr="00F47E8A" w:rsidRDefault="00F47E8A" w:rsidP="00C73C6A">
      <w:pPr>
        <w:pStyle w:val="ListParagraph"/>
        <w:numPr>
          <w:ilvl w:val="0"/>
          <w:numId w:val="4"/>
        </w:numPr>
        <w:spacing w:before="120" w:after="0" w:line="240" w:lineRule="auto"/>
        <w:contextualSpacing w:val="0"/>
        <w:jc w:val="both"/>
        <w:rPr>
          <w:rFonts w:ascii="Times New Roman" w:hAnsi="Times New Roman"/>
          <w:lang w:val="en-US"/>
        </w:rPr>
      </w:pPr>
      <w:r w:rsidRPr="00F47E8A">
        <w:rPr>
          <w:rFonts w:ascii="Times New Roman" w:hAnsi="Times New Roman"/>
          <w:lang w:val="en-US"/>
        </w:rPr>
        <w:t>Other heat pumps;</w:t>
      </w:r>
    </w:p>
    <w:p w:rsidR="00F47E8A" w:rsidRPr="00F47E8A" w:rsidRDefault="00F47E8A" w:rsidP="00C73C6A">
      <w:pPr>
        <w:pStyle w:val="ListParagraph"/>
        <w:numPr>
          <w:ilvl w:val="0"/>
          <w:numId w:val="4"/>
        </w:numPr>
        <w:spacing w:before="120" w:after="0" w:line="240" w:lineRule="auto"/>
        <w:contextualSpacing w:val="0"/>
        <w:jc w:val="both"/>
        <w:rPr>
          <w:rFonts w:ascii="Times New Roman" w:hAnsi="Times New Roman"/>
          <w:lang w:val="en-US"/>
        </w:rPr>
      </w:pPr>
      <w:r w:rsidRPr="00F47E8A">
        <w:rPr>
          <w:rFonts w:ascii="Times New Roman" w:hAnsi="Times New Roman"/>
          <w:lang w:val="en-US"/>
        </w:rPr>
        <w:t xml:space="preserve"> Mobile air conditioning (vehicles less than and greater than 3.5t gross vehicle mass); </w:t>
      </w:r>
    </w:p>
    <w:p w:rsidR="00F47E8A" w:rsidRPr="00F47E8A" w:rsidRDefault="00F47E8A" w:rsidP="00C73C6A">
      <w:pPr>
        <w:pStyle w:val="ListParagraph"/>
        <w:numPr>
          <w:ilvl w:val="0"/>
          <w:numId w:val="4"/>
        </w:numPr>
        <w:spacing w:before="120" w:after="0" w:line="240" w:lineRule="auto"/>
        <w:contextualSpacing w:val="0"/>
        <w:jc w:val="both"/>
        <w:rPr>
          <w:rFonts w:ascii="Times New Roman" w:hAnsi="Times New Roman"/>
          <w:lang w:val="en-US"/>
        </w:rPr>
      </w:pPr>
      <w:r w:rsidRPr="00F47E8A">
        <w:rPr>
          <w:rFonts w:ascii="Times New Roman" w:hAnsi="Times New Roman"/>
          <w:lang w:val="en-US"/>
        </w:rPr>
        <w:t xml:space="preserve">Commercial refrigerated cabinets; </w:t>
      </w:r>
    </w:p>
    <w:p w:rsidR="00F47E8A" w:rsidRPr="00F47E8A" w:rsidRDefault="00F47E8A" w:rsidP="00C73C6A">
      <w:pPr>
        <w:pStyle w:val="ListParagraph"/>
        <w:numPr>
          <w:ilvl w:val="0"/>
          <w:numId w:val="4"/>
        </w:numPr>
        <w:spacing w:before="120" w:after="0" w:line="240" w:lineRule="auto"/>
        <w:contextualSpacing w:val="0"/>
        <w:jc w:val="both"/>
        <w:rPr>
          <w:rFonts w:ascii="Times New Roman" w:hAnsi="Times New Roman"/>
          <w:lang w:val="en-US"/>
        </w:rPr>
      </w:pPr>
      <w:r w:rsidRPr="00F47E8A">
        <w:rPr>
          <w:rFonts w:ascii="Times New Roman" w:hAnsi="Times New Roman"/>
          <w:lang w:val="en-US"/>
        </w:rPr>
        <w:t xml:space="preserve">Domestic refrigerators and freezers; </w:t>
      </w:r>
    </w:p>
    <w:p w:rsidR="00F47E8A" w:rsidRPr="00F47E8A" w:rsidRDefault="00F47E8A" w:rsidP="00C73C6A">
      <w:pPr>
        <w:pStyle w:val="ListParagraph"/>
        <w:numPr>
          <w:ilvl w:val="0"/>
          <w:numId w:val="4"/>
        </w:numPr>
        <w:spacing w:before="120" w:after="0" w:line="240" w:lineRule="auto"/>
        <w:contextualSpacing w:val="0"/>
        <w:jc w:val="both"/>
        <w:rPr>
          <w:rFonts w:ascii="Times New Roman" w:hAnsi="Times New Roman"/>
          <w:lang w:val="en-US"/>
        </w:rPr>
      </w:pPr>
      <w:r w:rsidRPr="00F47E8A">
        <w:rPr>
          <w:rFonts w:ascii="Times New Roman" w:hAnsi="Times New Roman"/>
          <w:lang w:val="en-US"/>
        </w:rPr>
        <w:t xml:space="preserve">Transport refrigeration (self and vehicle powered truck refrigeration), and; </w:t>
      </w:r>
    </w:p>
    <w:p w:rsidR="00F47E8A" w:rsidRPr="00F47E8A" w:rsidRDefault="00F47E8A" w:rsidP="00C73C6A">
      <w:pPr>
        <w:pStyle w:val="ListParagraph"/>
        <w:numPr>
          <w:ilvl w:val="0"/>
          <w:numId w:val="4"/>
        </w:numPr>
        <w:spacing w:before="120" w:after="0" w:line="240" w:lineRule="auto"/>
        <w:contextualSpacing w:val="0"/>
        <w:jc w:val="both"/>
        <w:rPr>
          <w:rFonts w:ascii="Times New Roman" w:hAnsi="Times New Roman"/>
          <w:lang w:val="en-US"/>
        </w:rPr>
      </w:pPr>
      <w:r w:rsidRPr="00F47E8A">
        <w:rPr>
          <w:rFonts w:ascii="Times New Roman" w:hAnsi="Times New Roman"/>
          <w:lang w:val="en-US"/>
        </w:rPr>
        <w:t xml:space="preserve">Other commercial refrigeration categories.  </w:t>
      </w:r>
    </w:p>
    <w:p w:rsidR="00E96D15" w:rsidRPr="00E96D15" w:rsidRDefault="00E96D15" w:rsidP="00E96D15">
      <w:pPr>
        <w:rPr>
          <w:rFonts w:cs="Times New Roman"/>
          <w:szCs w:val="22"/>
          <w:lang w:val="en-US"/>
        </w:rPr>
      </w:pPr>
      <w:r w:rsidRPr="00E96D15">
        <w:rPr>
          <w:rFonts w:cs="Times New Roman"/>
          <w:szCs w:val="22"/>
          <w:lang w:val="en-US"/>
        </w:rPr>
        <w:t xml:space="preserve">This information provided seven years of history that was reviewed in great detail to form or confirm views about average gas charges in various products, and the dissection and transition of refrigerant species in products.   </w:t>
      </w:r>
    </w:p>
    <w:p w:rsidR="00E96D15" w:rsidRPr="00E96D15" w:rsidRDefault="00E96D15" w:rsidP="00E96D15">
      <w:pPr>
        <w:spacing w:before="240"/>
        <w:rPr>
          <w:rFonts w:asciiTheme="majorHAnsi" w:hAnsiTheme="majorHAnsi"/>
          <w:b/>
          <w:sz w:val="24"/>
        </w:rPr>
      </w:pPr>
      <w:r w:rsidRPr="00E96D15">
        <w:rPr>
          <w:rFonts w:asciiTheme="majorHAnsi" w:hAnsiTheme="majorHAnsi"/>
          <w:b/>
          <w:sz w:val="24"/>
        </w:rPr>
        <w:t xml:space="preserve">The </w:t>
      </w:r>
      <w:r>
        <w:rPr>
          <w:rFonts w:asciiTheme="majorHAnsi" w:hAnsiTheme="majorHAnsi"/>
          <w:b/>
          <w:sz w:val="24"/>
        </w:rPr>
        <w:t>b</w:t>
      </w:r>
      <w:r w:rsidRPr="00E96D15">
        <w:rPr>
          <w:rFonts w:asciiTheme="majorHAnsi" w:hAnsiTheme="majorHAnsi"/>
          <w:b/>
          <w:sz w:val="24"/>
        </w:rPr>
        <w:t xml:space="preserve">ank of </w:t>
      </w:r>
      <w:r>
        <w:rPr>
          <w:rFonts w:asciiTheme="majorHAnsi" w:hAnsiTheme="majorHAnsi"/>
          <w:b/>
          <w:sz w:val="24"/>
        </w:rPr>
        <w:t>w</w:t>
      </w:r>
      <w:r w:rsidRPr="00E96D15">
        <w:rPr>
          <w:rFonts w:asciiTheme="majorHAnsi" w:hAnsiTheme="majorHAnsi"/>
          <w:b/>
          <w:sz w:val="24"/>
        </w:rPr>
        <w:t xml:space="preserve">orking </w:t>
      </w:r>
      <w:r>
        <w:rPr>
          <w:rFonts w:asciiTheme="majorHAnsi" w:hAnsiTheme="majorHAnsi"/>
          <w:b/>
          <w:sz w:val="24"/>
        </w:rPr>
        <w:t>g</w:t>
      </w:r>
      <w:r w:rsidRPr="00E96D15">
        <w:rPr>
          <w:rFonts w:asciiTheme="majorHAnsi" w:hAnsiTheme="majorHAnsi"/>
          <w:b/>
          <w:sz w:val="24"/>
        </w:rPr>
        <w:t>as</w:t>
      </w:r>
    </w:p>
    <w:p w:rsidR="00E96D15" w:rsidRPr="00E96D15" w:rsidRDefault="00E96D15" w:rsidP="00E96D15">
      <w:pPr>
        <w:rPr>
          <w:rFonts w:cs="Times New Roman"/>
          <w:szCs w:val="22"/>
          <w:lang w:val="en-US"/>
        </w:rPr>
      </w:pPr>
      <w:r w:rsidRPr="00E96D15">
        <w:rPr>
          <w:rFonts w:cs="Times New Roman"/>
          <w:szCs w:val="22"/>
          <w:lang w:val="en-US"/>
        </w:rPr>
        <w:t xml:space="preserve">Average charges of working gas in each product are used to calculate the total bank of working gas by equipment category and segment, and by gas species. </w:t>
      </w:r>
    </w:p>
    <w:p w:rsidR="00B45972" w:rsidRDefault="00E96D15" w:rsidP="00E96D15">
      <w:pPr>
        <w:rPr>
          <w:rFonts w:cs="Times New Roman"/>
          <w:szCs w:val="22"/>
          <w:lang w:val="en-US"/>
        </w:rPr>
      </w:pPr>
      <w:r>
        <w:rPr>
          <w:rFonts w:cs="Times New Roman"/>
          <w:szCs w:val="22"/>
          <w:lang w:val="en-US"/>
        </w:rPr>
        <w:t>L</w:t>
      </w:r>
      <w:r w:rsidRPr="00E96D15">
        <w:rPr>
          <w:rFonts w:cs="Times New Roman"/>
          <w:szCs w:val="22"/>
          <w:lang w:val="en-US"/>
        </w:rPr>
        <w:t xml:space="preserve">eak rates for products </w:t>
      </w:r>
      <w:r w:rsidR="0017032F">
        <w:rPr>
          <w:rFonts w:cs="Times New Roman"/>
          <w:szCs w:val="22"/>
          <w:lang w:val="en-US"/>
        </w:rPr>
        <w:t xml:space="preserve">operating on HFCs or HCFCs </w:t>
      </w:r>
      <w:r w:rsidRPr="00E96D15">
        <w:rPr>
          <w:rFonts w:cs="Times New Roman"/>
          <w:szCs w:val="22"/>
          <w:lang w:val="en-US"/>
        </w:rPr>
        <w:t xml:space="preserve">are used to calculate the volume of refrigerant gas applied to servicing </w:t>
      </w:r>
      <w:r w:rsidR="0017032F">
        <w:rPr>
          <w:rFonts w:cs="Times New Roman"/>
          <w:szCs w:val="22"/>
          <w:lang w:val="en-US"/>
        </w:rPr>
        <w:t>equipment segments in any year</w:t>
      </w:r>
      <w:r w:rsidR="00B45972">
        <w:rPr>
          <w:rFonts w:cs="Times New Roman"/>
          <w:szCs w:val="22"/>
          <w:lang w:val="en-US"/>
        </w:rPr>
        <w:t>.</w:t>
      </w:r>
      <w:r w:rsidR="00135E24">
        <w:rPr>
          <w:rFonts w:cs="Times New Roman"/>
          <w:szCs w:val="22"/>
          <w:lang w:val="en-US"/>
        </w:rPr>
        <w:t xml:space="preserve"> </w:t>
      </w:r>
      <w:r w:rsidRPr="00E96D15">
        <w:rPr>
          <w:rFonts w:cs="Times New Roman"/>
          <w:szCs w:val="22"/>
          <w:lang w:val="en-US"/>
        </w:rPr>
        <w:t xml:space="preserve">This service demand is reconciled against the known volumes imported. </w:t>
      </w:r>
      <w:r w:rsidR="00B45972">
        <w:rPr>
          <w:rFonts w:cs="Times New Roman"/>
          <w:szCs w:val="22"/>
          <w:lang w:val="en-US"/>
        </w:rPr>
        <w:t xml:space="preserve">Refer </w:t>
      </w:r>
      <w:r w:rsidR="00B45972" w:rsidRPr="00482A8A">
        <w:rPr>
          <w:rFonts w:cs="Times New Roman"/>
          <w:i/>
          <w:szCs w:val="22"/>
          <w:lang w:val="en-US"/>
        </w:rPr>
        <w:t xml:space="preserve">Appendix </w:t>
      </w:r>
      <w:r w:rsidR="008C6F9E">
        <w:rPr>
          <w:rFonts w:cs="Times New Roman"/>
          <w:i/>
          <w:szCs w:val="22"/>
          <w:lang w:val="en-US"/>
        </w:rPr>
        <w:t>C</w:t>
      </w:r>
      <w:r w:rsidR="00B45972" w:rsidRPr="00135E24">
        <w:rPr>
          <w:i/>
        </w:rPr>
        <w:t xml:space="preserve"> </w:t>
      </w:r>
      <w:r w:rsidR="00B45972" w:rsidRPr="00135E24">
        <w:rPr>
          <w:rFonts w:cs="Times New Roman"/>
          <w:i/>
          <w:szCs w:val="22"/>
          <w:lang w:val="en-US"/>
        </w:rPr>
        <w:t>Technical resources and assumptions</w:t>
      </w:r>
      <w:r w:rsidR="00B45972">
        <w:rPr>
          <w:rFonts w:cs="Times New Roman"/>
          <w:szCs w:val="22"/>
          <w:lang w:val="en-US"/>
        </w:rPr>
        <w:t xml:space="preserve"> for details of average charge and leak rate values used in calculations.</w:t>
      </w:r>
    </w:p>
    <w:p w:rsidR="00E96D15" w:rsidRPr="00E96D15" w:rsidRDefault="00E96D15" w:rsidP="00E96D15">
      <w:pPr>
        <w:rPr>
          <w:rFonts w:cs="Times New Roman"/>
          <w:szCs w:val="22"/>
          <w:lang w:val="en-US"/>
        </w:rPr>
      </w:pPr>
      <w:r w:rsidRPr="00E96D15">
        <w:rPr>
          <w:rFonts w:cs="Times New Roman"/>
          <w:szCs w:val="22"/>
          <w:lang w:val="en-US"/>
        </w:rPr>
        <w:t xml:space="preserve">DSEWPaC bulk import data provided detailed dissection of HCFC imports by type and blend, whereas HFC bulk import dissection was estimated based on reporting of HFC-134a, secondary refrigerants </w:t>
      </w:r>
      <w:r w:rsidR="0017032F">
        <w:rPr>
          <w:rFonts w:cs="Times New Roman"/>
          <w:szCs w:val="22"/>
          <w:lang w:val="en-US"/>
        </w:rPr>
        <w:t>(</w:t>
      </w:r>
      <w:r w:rsidR="0017032F" w:rsidRPr="0017032F">
        <w:rPr>
          <w:rFonts w:cs="Times New Roman"/>
          <w:szCs w:val="22"/>
          <w:lang w:val="en-US"/>
        </w:rPr>
        <w:t>HFC-23, HFC-32, HFC-125, HFC-143a, HFC-152a, HFC-227ea, HFC-236fa, HFC-245fa, HFC-365mfc, HFC-43-10mee, which are largely used in common refrigerant blends</w:t>
      </w:r>
      <w:r w:rsidR="0017032F">
        <w:rPr>
          <w:rFonts w:cs="Times New Roman"/>
          <w:szCs w:val="22"/>
          <w:lang w:val="en-US"/>
        </w:rPr>
        <w:t xml:space="preserve"> such as HFC-404A, HFC-410A and others</w:t>
      </w:r>
      <w:r w:rsidR="0017032F" w:rsidRPr="0017032F">
        <w:rPr>
          <w:rFonts w:cs="Times New Roman"/>
          <w:szCs w:val="22"/>
          <w:lang w:val="en-US"/>
        </w:rPr>
        <w:t xml:space="preserve">) </w:t>
      </w:r>
      <w:r w:rsidRPr="00E96D15">
        <w:rPr>
          <w:rFonts w:cs="Times New Roman"/>
          <w:szCs w:val="22"/>
          <w:lang w:val="en-US"/>
        </w:rPr>
        <w:t>and ‘exotic’ refrigerants</w:t>
      </w:r>
      <w:r w:rsidR="0017032F">
        <w:rPr>
          <w:rFonts w:cs="Times New Roman"/>
          <w:szCs w:val="22"/>
          <w:lang w:val="en-US"/>
        </w:rPr>
        <w:t xml:space="preserve"> typically used for laboratory research</w:t>
      </w:r>
      <w:r w:rsidRPr="00E96D15">
        <w:rPr>
          <w:rFonts w:cs="Times New Roman"/>
          <w:szCs w:val="22"/>
          <w:lang w:val="en-US"/>
        </w:rPr>
        <w:t xml:space="preserve">. Mid-way through 2011 full details of HFC bulk imports were provided by type and blend. Bulk gas is primarily imported for servicing and manufacturing RAC equipment, however other uses include charging new commercial refrigeration equipment with remote condensers which are predominantly </w:t>
      </w:r>
      <w:r w:rsidR="0017032F">
        <w:rPr>
          <w:rFonts w:cs="Times New Roman"/>
          <w:szCs w:val="22"/>
          <w:lang w:val="en-US"/>
        </w:rPr>
        <w:t xml:space="preserve">manufactured or imported with a nitrogen charge and </w:t>
      </w:r>
      <w:r w:rsidR="005E0833">
        <w:rPr>
          <w:rFonts w:cs="Times New Roman"/>
          <w:szCs w:val="22"/>
          <w:lang w:val="en-US"/>
        </w:rPr>
        <w:t>gassed</w:t>
      </w:r>
      <w:r w:rsidR="0017032F">
        <w:rPr>
          <w:rFonts w:cs="Times New Roman"/>
          <w:szCs w:val="22"/>
          <w:lang w:val="en-US"/>
        </w:rPr>
        <w:t xml:space="preserve"> </w:t>
      </w:r>
      <w:r w:rsidRPr="00E96D15">
        <w:rPr>
          <w:rFonts w:cs="Times New Roman"/>
          <w:szCs w:val="22"/>
          <w:lang w:val="en-US"/>
        </w:rPr>
        <w:t>on site. Smaller volumes are used in non-RAC applications including foam blowing, aerosols, fire protection</w:t>
      </w:r>
      <w:r w:rsidR="00BD3D73">
        <w:rPr>
          <w:rFonts w:cs="Times New Roman"/>
          <w:szCs w:val="22"/>
          <w:lang w:val="en-US"/>
        </w:rPr>
        <w:t>,</w:t>
      </w:r>
      <w:r w:rsidRPr="00E96D15">
        <w:rPr>
          <w:rFonts w:cs="Times New Roman"/>
          <w:szCs w:val="22"/>
          <w:lang w:val="en-US"/>
        </w:rPr>
        <w:t xml:space="preserve"> as cleaning agents</w:t>
      </w:r>
      <w:r w:rsidR="005E0833">
        <w:rPr>
          <w:rFonts w:cs="Times New Roman"/>
          <w:szCs w:val="22"/>
          <w:lang w:val="en-US"/>
        </w:rPr>
        <w:t xml:space="preserve"> (solvents)</w:t>
      </w:r>
      <w:r w:rsidR="00BD3D73">
        <w:rPr>
          <w:rFonts w:cs="Times New Roman"/>
          <w:szCs w:val="22"/>
          <w:lang w:val="en-US"/>
        </w:rPr>
        <w:t xml:space="preserve"> and</w:t>
      </w:r>
      <w:r w:rsidRPr="00E96D15">
        <w:rPr>
          <w:rFonts w:cs="Times New Roman"/>
          <w:szCs w:val="22"/>
          <w:lang w:val="en-US"/>
        </w:rPr>
        <w:t xml:space="preserve"> electricity </w:t>
      </w:r>
      <w:r w:rsidR="00BD3D73">
        <w:rPr>
          <w:rFonts w:cs="Times New Roman"/>
          <w:szCs w:val="22"/>
          <w:lang w:val="en-US"/>
        </w:rPr>
        <w:t>distribution</w:t>
      </w:r>
      <w:r w:rsidRPr="00E96D15">
        <w:rPr>
          <w:rFonts w:cs="Times New Roman"/>
          <w:szCs w:val="22"/>
          <w:lang w:val="en-US"/>
        </w:rPr>
        <w:t>.</w:t>
      </w:r>
    </w:p>
    <w:p w:rsidR="00E96D15" w:rsidRPr="00E96D15" w:rsidRDefault="00E96D15" w:rsidP="00E96D15">
      <w:pPr>
        <w:rPr>
          <w:rFonts w:cs="Times New Roman"/>
          <w:szCs w:val="22"/>
          <w:lang w:val="en-US"/>
        </w:rPr>
      </w:pPr>
      <w:r w:rsidRPr="00E96D15">
        <w:rPr>
          <w:rFonts w:cs="Times New Roman"/>
          <w:szCs w:val="22"/>
          <w:lang w:val="en-US"/>
        </w:rPr>
        <w:t>The volumes of refrigerant gas required for manufacturing is known by directly surveying equipment manufacturers with regard to their manufacturing output, the species employed in the equipment they make and sell, or charge and sell, and the charges employed in that equipment. Many manufacturers have also provided data on the volumes of bulk gases purchased in any year for their production.</w:t>
      </w:r>
    </w:p>
    <w:p w:rsidR="00E96D15" w:rsidRPr="00135E24" w:rsidRDefault="00E96D15" w:rsidP="00135E24">
      <w:pPr>
        <w:spacing w:before="240"/>
        <w:rPr>
          <w:rFonts w:asciiTheme="majorHAnsi" w:hAnsiTheme="majorHAnsi"/>
          <w:b/>
          <w:sz w:val="24"/>
        </w:rPr>
      </w:pPr>
      <w:r w:rsidRPr="00135E24">
        <w:rPr>
          <w:rFonts w:asciiTheme="majorHAnsi" w:hAnsiTheme="majorHAnsi"/>
          <w:b/>
          <w:sz w:val="24"/>
        </w:rPr>
        <w:t>Global Warming Potential (GWP)</w:t>
      </w:r>
    </w:p>
    <w:p w:rsidR="00E96D15" w:rsidRPr="00757B89" w:rsidRDefault="00E96D15" w:rsidP="00E96D15">
      <w:pPr>
        <w:rPr>
          <w:rFonts w:cs="Times New Roman"/>
          <w:szCs w:val="22"/>
          <w:lang w:val="en-US"/>
        </w:rPr>
      </w:pPr>
      <w:r w:rsidRPr="00757B89">
        <w:rPr>
          <w:rFonts w:cs="Times New Roman"/>
          <w:szCs w:val="22"/>
          <w:lang w:val="en-US"/>
        </w:rPr>
        <w:t>This report often has to refer to the GWP value of refrigerant gases. Unless otherwise stated, the GWP of any gas, or blend of gases is calculated using the values published in the Second Assessment Report (AR2) of the United Nations Framework Convention on Climate Change (UNFCCC), released in 1996</w:t>
      </w:r>
      <w:r w:rsidR="00C45BA1" w:rsidRPr="00757B89">
        <w:rPr>
          <w:rFonts w:cs="Times New Roman"/>
          <w:szCs w:val="22"/>
          <w:lang w:val="en-US"/>
        </w:rPr>
        <w:t xml:space="preserve"> by the Intergovernmental Panel on Climate Change</w:t>
      </w:r>
      <w:r w:rsidRPr="00757B89">
        <w:rPr>
          <w:rFonts w:cs="Times New Roman"/>
          <w:szCs w:val="22"/>
          <w:lang w:val="en-US"/>
        </w:rPr>
        <w:t xml:space="preserve">. </w:t>
      </w:r>
    </w:p>
    <w:p w:rsidR="006F6DC5" w:rsidRPr="00C321DD" w:rsidRDefault="004F6AA6" w:rsidP="00E96D15">
      <w:pPr>
        <w:rPr>
          <w:rFonts w:cs="Times New Roman"/>
          <w:szCs w:val="22"/>
        </w:rPr>
      </w:pPr>
      <w:r w:rsidRPr="00C321DD">
        <w:rPr>
          <w:rFonts w:cs="Times New Roman"/>
          <w:szCs w:val="22"/>
          <w:lang w:val="en-US"/>
        </w:rPr>
        <w:t>Revised GWP values were reported in the Fourth Assessment Report (AR4) in 2007</w:t>
      </w:r>
      <w:r w:rsidR="00977C4A" w:rsidRPr="00977C4A">
        <w:rPr>
          <w:rFonts w:cs="Times New Roman"/>
          <w:szCs w:val="22"/>
          <w:lang w:val="en-US"/>
        </w:rPr>
        <w:t xml:space="preserve"> and have been accepted for the 2</w:t>
      </w:r>
      <w:r w:rsidR="00977C4A" w:rsidRPr="00977C4A">
        <w:rPr>
          <w:rFonts w:cs="Times New Roman"/>
          <w:szCs w:val="22"/>
          <w:vertAlign w:val="superscript"/>
          <w:lang w:val="en-US"/>
        </w:rPr>
        <w:t>nd</w:t>
      </w:r>
      <w:r w:rsidR="00977C4A" w:rsidRPr="00977C4A">
        <w:rPr>
          <w:rFonts w:cs="Times New Roman"/>
          <w:szCs w:val="22"/>
          <w:lang w:val="en-US"/>
        </w:rPr>
        <w:t xml:space="preserve"> commitment period of the Kyoto Protocol</w:t>
      </w:r>
      <w:r w:rsidRPr="00C321DD">
        <w:rPr>
          <w:rFonts w:cs="Times New Roman"/>
          <w:szCs w:val="22"/>
          <w:lang w:val="en-US"/>
        </w:rPr>
        <w:t xml:space="preserve">, Australia’s legally binding emission obligations under the </w:t>
      </w:r>
      <w:r w:rsidR="00977C4A" w:rsidRPr="00977C4A">
        <w:rPr>
          <w:rFonts w:cs="Times New Roman"/>
          <w:szCs w:val="22"/>
          <w:lang w:val="en-US"/>
        </w:rPr>
        <w:t>1</w:t>
      </w:r>
      <w:r w:rsidR="00977C4A" w:rsidRPr="00977C4A">
        <w:rPr>
          <w:rFonts w:cs="Times New Roman"/>
          <w:szCs w:val="22"/>
          <w:vertAlign w:val="superscript"/>
          <w:lang w:val="en-US"/>
        </w:rPr>
        <w:t>st</w:t>
      </w:r>
      <w:r w:rsidR="00977C4A" w:rsidRPr="00977C4A">
        <w:rPr>
          <w:rFonts w:cs="Times New Roman"/>
          <w:szCs w:val="22"/>
          <w:lang w:val="en-US"/>
        </w:rPr>
        <w:t xml:space="preserve"> commitment period of the </w:t>
      </w:r>
      <w:r w:rsidRPr="00C321DD">
        <w:rPr>
          <w:rFonts w:cs="Times New Roman"/>
          <w:szCs w:val="22"/>
          <w:lang w:val="en-US"/>
        </w:rPr>
        <w:t>Kyoto Protocol are calculated based on AR2 and therefore Australian legislation, including the</w:t>
      </w:r>
      <w:r w:rsidR="000339E3">
        <w:rPr>
          <w:rFonts w:cs="Times New Roman"/>
          <w:szCs w:val="22"/>
          <w:lang w:val="en-US"/>
        </w:rPr>
        <w:t xml:space="preserve"> Ozone Protection and Synthetic Greenhouse Gas Management Act 1989 (OPSGGMA), cite GWPs from AR2</w:t>
      </w:r>
      <w:r w:rsidR="000339E3">
        <w:rPr>
          <w:rFonts w:cs="Times New Roman"/>
          <w:szCs w:val="22"/>
        </w:rPr>
        <w:t xml:space="preserve">. </w:t>
      </w:r>
    </w:p>
    <w:p w:rsidR="002E123D" w:rsidRPr="00C321DD" w:rsidRDefault="000339E3" w:rsidP="00E96D15">
      <w:pPr>
        <w:rPr>
          <w:rFonts w:cs="Times New Roman"/>
          <w:szCs w:val="22"/>
          <w:lang w:val="en-US"/>
        </w:rPr>
      </w:pPr>
      <w:r>
        <w:rPr>
          <w:rFonts w:cs="Times New Roman"/>
          <w:szCs w:val="22"/>
        </w:rPr>
        <w:t>W</w:t>
      </w:r>
      <w:r>
        <w:rPr>
          <w:rFonts w:cs="Times New Roman"/>
          <w:szCs w:val="22"/>
          <w:lang w:val="en-US"/>
        </w:rPr>
        <w:t>here gases that were not included in the AR2 assessment are referred to, the AR4 value is used, if it is available, and that is noted in a superscript after the GWP value (e.g. GWP of HCFC-409A is 1,585</w:t>
      </w:r>
      <w:r>
        <w:rPr>
          <w:rFonts w:cs="Times New Roman"/>
          <w:szCs w:val="22"/>
          <w:vertAlign w:val="superscript"/>
          <w:lang w:val="en-US"/>
        </w:rPr>
        <w:t>AR4</w:t>
      </w:r>
      <w:r>
        <w:rPr>
          <w:rFonts w:cs="Times New Roman"/>
          <w:szCs w:val="22"/>
          <w:lang w:val="en-US"/>
        </w:rPr>
        <w:t xml:space="preserve">). </w:t>
      </w:r>
    </w:p>
    <w:p w:rsidR="00E96D15" w:rsidRPr="00E96D15" w:rsidRDefault="000339E3" w:rsidP="00E96D15">
      <w:pPr>
        <w:rPr>
          <w:rFonts w:cs="Times New Roman"/>
          <w:szCs w:val="22"/>
          <w:lang w:val="en-US"/>
        </w:rPr>
      </w:pPr>
      <w:r>
        <w:rPr>
          <w:rFonts w:cs="Times New Roman"/>
          <w:szCs w:val="22"/>
          <w:lang w:val="en-US"/>
        </w:rPr>
        <w:t>A new class of substances, very low GWP HFCs or HFOs, was not available at the time of publication</w:t>
      </w:r>
      <w:r w:rsidR="00E96D15" w:rsidRPr="00E037BC">
        <w:rPr>
          <w:rFonts w:cs="Times New Roman"/>
          <w:szCs w:val="22"/>
          <w:lang w:val="en-US"/>
        </w:rPr>
        <w:t xml:space="preserve"> of AR4 and the claimed GWPs are based on industry data</w:t>
      </w:r>
      <w:r w:rsidR="002E123D" w:rsidRPr="00E037BC">
        <w:rPr>
          <w:rFonts w:cs="Times New Roman"/>
          <w:szCs w:val="22"/>
          <w:lang w:val="en-US"/>
        </w:rPr>
        <w:t>.</w:t>
      </w:r>
    </w:p>
    <w:p w:rsidR="00E037BC" w:rsidRDefault="00E96D15" w:rsidP="00E96D15">
      <w:pPr>
        <w:rPr>
          <w:rFonts w:cs="Times New Roman"/>
          <w:szCs w:val="22"/>
          <w:lang w:val="en-US"/>
        </w:rPr>
      </w:pPr>
      <w:r w:rsidRPr="00E96D15">
        <w:rPr>
          <w:rFonts w:cs="Times New Roman"/>
          <w:szCs w:val="22"/>
          <w:lang w:val="en-US"/>
        </w:rPr>
        <w:t xml:space="preserve">A table has been provided </w:t>
      </w:r>
      <w:r w:rsidR="00E037BC">
        <w:rPr>
          <w:rFonts w:cs="Times New Roman"/>
          <w:szCs w:val="22"/>
          <w:lang w:val="en-US"/>
        </w:rPr>
        <w:t>in Appendix B</w:t>
      </w:r>
      <w:r w:rsidRPr="00E96D15">
        <w:rPr>
          <w:rFonts w:cs="Times New Roman"/>
          <w:szCs w:val="22"/>
          <w:lang w:val="en-US"/>
        </w:rPr>
        <w:t xml:space="preserve"> that compares the GWP values published in the Second and the Fourth Asses</w:t>
      </w:r>
      <w:r w:rsidR="00E037BC">
        <w:rPr>
          <w:rFonts w:cs="Times New Roman"/>
          <w:szCs w:val="22"/>
          <w:lang w:val="en-US"/>
        </w:rPr>
        <w:t>sments, and the chemical mass composition used to calculate the GWP values of common blends.</w:t>
      </w:r>
    </w:p>
    <w:p w:rsidR="00E96D15" w:rsidRPr="00E96D15" w:rsidRDefault="00E96D15" w:rsidP="00E96D15">
      <w:pPr>
        <w:rPr>
          <w:rFonts w:cs="Times New Roman"/>
          <w:szCs w:val="22"/>
          <w:lang w:val="en-US"/>
        </w:rPr>
      </w:pPr>
      <w:r w:rsidRPr="00E96D15">
        <w:rPr>
          <w:rFonts w:cs="Times New Roman"/>
          <w:szCs w:val="22"/>
          <w:lang w:val="en-US"/>
        </w:rPr>
        <w:t xml:space="preserve">The GWP values of HFO substances (HFO-1234yf) are those cited by DuPont (DuPont 2010) and Honeywell as based on AR4. The IPCC, Fifth Assessment Report (AR5) </w:t>
      </w:r>
      <w:r w:rsidR="00E14C8A" w:rsidRPr="00E14C8A">
        <w:rPr>
          <w:rFonts w:cs="Times New Roman"/>
          <w:szCs w:val="22"/>
          <w:lang w:val="en-US"/>
        </w:rPr>
        <w:t>is well advanced, however is not publically available at the time of writing this report</w:t>
      </w:r>
      <w:r w:rsidRPr="00E96D15">
        <w:rPr>
          <w:rFonts w:cs="Times New Roman"/>
          <w:szCs w:val="22"/>
          <w:lang w:val="en-US"/>
        </w:rPr>
        <w:t xml:space="preserve">. </w:t>
      </w:r>
    </w:p>
    <w:p w:rsidR="00E96D15" w:rsidRPr="00B45972" w:rsidRDefault="00E96D15" w:rsidP="00B45972">
      <w:pPr>
        <w:spacing w:before="240"/>
        <w:rPr>
          <w:rFonts w:asciiTheme="majorHAnsi" w:hAnsiTheme="majorHAnsi"/>
          <w:b/>
          <w:sz w:val="24"/>
        </w:rPr>
      </w:pPr>
      <w:r w:rsidRPr="00B45972">
        <w:rPr>
          <w:rFonts w:asciiTheme="majorHAnsi" w:hAnsiTheme="majorHAnsi"/>
          <w:b/>
          <w:sz w:val="24"/>
        </w:rPr>
        <w:t>Direct Emissions</w:t>
      </w:r>
    </w:p>
    <w:p w:rsidR="00E96D15" w:rsidRPr="00E96D15" w:rsidRDefault="00E96D15" w:rsidP="00E96D15">
      <w:pPr>
        <w:rPr>
          <w:rFonts w:cs="Times New Roman"/>
          <w:szCs w:val="22"/>
          <w:lang w:val="en-US"/>
        </w:rPr>
      </w:pPr>
      <w:r w:rsidRPr="00E96D15">
        <w:rPr>
          <w:rFonts w:cs="Times New Roman"/>
          <w:szCs w:val="22"/>
          <w:lang w:val="en-US"/>
        </w:rPr>
        <w:t>Annual emissions of refrigerant gases from each product are calculated using an annual leak rate from each product, and applying that to the bank of working gas that has been calculated as being employed in each product.</w:t>
      </w:r>
    </w:p>
    <w:p w:rsidR="003961CE" w:rsidRPr="003961CE" w:rsidRDefault="003961CE" w:rsidP="003961CE">
      <w:pPr>
        <w:rPr>
          <w:rFonts w:cs="Times New Roman"/>
          <w:szCs w:val="22"/>
          <w:lang w:val="en-US"/>
        </w:rPr>
      </w:pPr>
      <w:r w:rsidRPr="003961CE">
        <w:rPr>
          <w:rFonts w:cs="Times New Roman"/>
          <w:szCs w:val="22"/>
          <w:lang w:val="en-US"/>
        </w:rPr>
        <w:t>There are four main types of direct emissions from RAC equipment:</w:t>
      </w:r>
    </w:p>
    <w:p w:rsidR="003961CE" w:rsidRPr="003961CE" w:rsidRDefault="003961CE" w:rsidP="00C73C6A">
      <w:pPr>
        <w:pStyle w:val="ListParagraph"/>
        <w:numPr>
          <w:ilvl w:val="0"/>
          <w:numId w:val="4"/>
        </w:numPr>
        <w:spacing w:before="120" w:after="0" w:line="240" w:lineRule="auto"/>
        <w:contextualSpacing w:val="0"/>
        <w:jc w:val="both"/>
        <w:rPr>
          <w:rFonts w:ascii="Times New Roman" w:hAnsi="Times New Roman"/>
          <w:lang w:val="en-US"/>
        </w:rPr>
      </w:pPr>
      <w:r w:rsidRPr="003961CE">
        <w:rPr>
          <w:rFonts w:ascii="Times New Roman" w:hAnsi="Times New Roman"/>
          <w:lang w:val="en-US"/>
        </w:rPr>
        <w:t>Gradual leaks during normal operation;</w:t>
      </w:r>
    </w:p>
    <w:p w:rsidR="003961CE" w:rsidRPr="003961CE" w:rsidRDefault="003961CE" w:rsidP="00C73C6A">
      <w:pPr>
        <w:pStyle w:val="ListParagraph"/>
        <w:numPr>
          <w:ilvl w:val="0"/>
          <w:numId w:val="4"/>
        </w:numPr>
        <w:spacing w:before="120" w:after="0" w:line="240" w:lineRule="auto"/>
        <w:contextualSpacing w:val="0"/>
        <w:jc w:val="both"/>
        <w:rPr>
          <w:rFonts w:ascii="Times New Roman" w:hAnsi="Times New Roman"/>
          <w:lang w:val="en-US"/>
        </w:rPr>
      </w:pPr>
      <w:r w:rsidRPr="003961CE">
        <w:rPr>
          <w:rFonts w:ascii="Times New Roman" w:hAnsi="Times New Roman"/>
          <w:lang w:val="en-US"/>
        </w:rPr>
        <w:t>Catastrophic losses during normal operation;</w:t>
      </w:r>
    </w:p>
    <w:p w:rsidR="003961CE" w:rsidRPr="003961CE" w:rsidRDefault="003961CE" w:rsidP="00C73C6A">
      <w:pPr>
        <w:pStyle w:val="ListParagraph"/>
        <w:numPr>
          <w:ilvl w:val="0"/>
          <w:numId w:val="4"/>
        </w:numPr>
        <w:spacing w:before="120" w:after="0" w:line="240" w:lineRule="auto"/>
        <w:contextualSpacing w:val="0"/>
        <w:jc w:val="both"/>
        <w:rPr>
          <w:rFonts w:ascii="Times New Roman" w:hAnsi="Times New Roman"/>
          <w:lang w:val="en-US"/>
        </w:rPr>
      </w:pPr>
      <w:r w:rsidRPr="003961CE">
        <w:rPr>
          <w:rFonts w:ascii="Times New Roman" w:hAnsi="Times New Roman"/>
          <w:lang w:val="en-US"/>
        </w:rPr>
        <w:t>Losses during equipment service and maintenance, and</w:t>
      </w:r>
    </w:p>
    <w:p w:rsidR="003961CE" w:rsidRPr="003961CE" w:rsidRDefault="003961CE" w:rsidP="00C73C6A">
      <w:pPr>
        <w:pStyle w:val="ListParagraph"/>
        <w:numPr>
          <w:ilvl w:val="0"/>
          <w:numId w:val="4"/>
        </w:numPr>
        <w:spacing w:before="120" w:after="0" w:line="240" w:lineRule="auto"/>
        <w:contextualSpacing w:val="0"/>
        <w:jc w:val="both"/>
        <w:rPr>
          <w:rFonts w:ascii="Times New Roman" w:hAnsi="Times New Roman"/>
          <w:lang w:val="en-US"/>
        </w:rPr>
      </w:pPr>
      <w:r w:rsidRPr="003961CE">
        <w:rPr>
          <w:rFonts w:ascii="Times New Roman" w:hAnsi="Times New Roman"/>
          <w:lang w:val="en-US"/>
        </w:rPr>
        <w:t>Losses at end of equipment life.</w:t>
      </w:r>
    </w:p>
    <w:p w:rsidR="003961CE" w:rsidRPr="003961CE" w:rsidRDefault="003961CE" w:rsidP="003961CE">
      <w:pPr>
        <w:rPr>
          <w:rFonts w:cs="Times New Roman"/>
          <w:szCs w:val="22"/>
          <w:lang w:val="en-US"/>
        </w:rPr>
      </w:pPr>
      <w:r w:rsidRPr="003961CE">
        <w:rPr>
          <w:rFonts w:cs="Times New Roman"/>
          <w:szCs w:val="22"/>
          <w:lang w:val="en-US"/>
        </w:rPr>
        <w:t xml:space="preserve">The annual leak rate referred to in this </w:t>
      </w:r>
      <w:r w:rsidRPr="00491313">
        <w:rPr>
          <w:rFonts w:cs="Times New Roman"/>
          <w:szCs w:val="22"/>
        </w:rPr>
        <w:t>report</w:t>
      </w:r>
      <w:r w:rsidRPr="003961CE">
        <w:rPr>
          <w:rFonts w:cs="Times New Roman"/>
          <w:szCs w:val="22"/>
          <w:lang w:val="en-US"/>
        </w:rPr>
        <w:t xml:space="preserve"> is expressed as a percentage of the initial charge</w:t>
      </w:r>
      <w:r>
        <w:rPr>
          <w:rFonts w:cs="Times New Roman"/>
          <w:szCs w:val="22"/>
          <w:lang w:val="en-US"/>
        </w:rPr>
        <w:t xml:space="preserve"> per annum and is calculated as the </w:t>
      </w:r>
      <w:r w:rsidRPr="003961CE">
        <w:rPr>
          <w:rFonts w:cs="Times New Roman"/>
          <w:szCs w:val="22"/>
          <w:lang w:val="en-US"/>
        </w:rPr>
        <w:t>sum of gradual leaks during normal operation plus;</w:t>
      </w:r>
      <w:r>
        <w:rPr>
          <w:rFonts w:cs="Times New Roman"/>
          <w:szCs w:val="22"/>
          <w:lang w:val="en-US"/>
        </w:rPr>
        <w:t xml:space="preserve"> c</w:t>
      </w:r>
      <w:r w:rsidRPr="003961CE">
        <w:rPr>
          <w:rFonts w:cs="Times New Roman"/>
          <w:szCs w:val="22"/>
          <w:lang w:val="en-US"/>
        </w:rPr>
        <w:t>atastrophic losses amortised over the life of the equipment plus;</w:t>
      </w:r>
      <w:r>
        <w:rPr>
          <w:rFonts w:cs="Times New Roman"/>
          <w:szCs w:val="22"/>
          <w:lang w:val="en-US"/>
        </w:rPr>
        <w:t xml:space="preserve"> </w:t>
      </w:r>
      <w:r w:rsidRPr="003961CE">
        <w:rPr>
          <w:rFonts w:cs="Times New Roman"/>
          <w:szCs w:val="22"/>
          <w:lang w:val="en-US"/>
        </w:rPr>
        <w:t>losses during service and maintenance.</w:t>
      </w:r>
    </w:p>
    <w:p w:rsidR="003961CE" w:rsidRPr="003961CE" w:rsidRDefault="003961CE" w:rsidP="003961CE">
      <w:pPr>
        <w:rPr>
          <w:rFonts w:cs="Times New Roman"/>
          <w:szCs w:val="22"/>
          <w:lang w:val="en-US"/>
        </w:rPr>
      </w:pPr>
      <w:r w:rsidRPr="003961CE">
        <w:rPr>
          <w:rFonts w:cs="Times New Roman"/>
          <w:szCs w:val="22"/>
          <w:lang w:val="en-US"/>
        </w:rPr>
        <w:t>In the case of mobile air conditioning equipment, the annual leak rate takes into account losses from vehicle crashes, which are classed as catastrophic losses.</w:t>
      </w:r>
    </w:p>
    <w:p w:rsidR="00D509BE" w:rsidRDefault="00D509BE">
      <w:pPr>
        <w:spacing w:before="0"/>
        <w:jc w:val="left"/>
        <w:rPr>
          <w:szCs w:val="22"/>
        </w:rPr>
      </w:pPr>
    </w:p>
    <w:p w:rsidR="00D509BE" w:rsidRDefault="00D509BE">
      <w:pPr>
        <w:spacing w:before="0"/>
        <w:jc w:val="left"/>
        <w:rPr>
          <w:szCs w:val="22"/>
        </w:rPr>
      </w:pPr>
    </w:p>
    <w:p w:rsidR="00EF7EDD" w:rsidRDefault="00EF7EDD">
      <w:pPr>
        <w:spacing w:before="0"/>
        <w:jc w:val="left"/>
        <w:rPr>
          <w:rFonts w:asciiTheme="majorHAnsi" w:hAnsiTheme="majorHAnsi"/>
          <w:b/>
          <w:sz w:val="32"/>
          <w:szCs w:val="32"/>
        </w:rPr>
      </w:pPr>
      <w:r>
        <w:rPr>
          <w:rFonts w:asciiTheme="majorHAnsi" w:hAnsiTheme="majorHAnsi"/>
          <w:b/>
          <w:sz w:val="32"/>
          <w:szCs w:val="32"/>
        </w:rPr>
        <w:br w:type="page"/>
      </w:r>
    </w:p>
    <w:p w:rsidR="00D509BE" w:rsidRPr="00220AB1" w:rsidRDefault="00D509BE" w:rsidP="00D509BE">
      <w:pPr>
        <w:spacing w:before="0"/>
        <w:jc w:val="left"/>
        <w:rPr>
          <w:rFonts w:asciiTheme="majorHAnsi" w:hAnsiTheme="majorHAnsi"/>
          <w:b/>
          <w:sz w:val="32"/>
          <w:szCs w:val="32"/>
        </w:rPr>
      </w:pPr>
      <w:r w:rsidRPr="00220AB1">
        <w:rPr>
          <w:rFonts w:asciiTheme="majorHAnsi" w:hAnsiTheme="majorHAnsi"/>
          <w:b/>
          <w:sz w:val="32"/>
          <w:szCs w:val="32"/>
        </w:rPr>
        <w:t>Appendix</w:t>
      </w:r>
      <w:r>
        <w:rPr>
          <w:rFonts w:asciiTheme="majorHAnsi" w:hAnsiTheme="majorHAnsi"/>
          <w:b/>
          <w:sz w:val="32"/>
          <w:szCs w:val="32"/>
        </w:rPr>
        <w:t xml:space="preserve"> </w:t>
      </w:r>
      <w:r w:rsidRPr="00482A8A">
        <w:rPr>
          <w:rFonts w:asciiTheme="majorHAnsi" w:hAnsiTheme="majorHAnsi"/>
          <w:b/>
          <w:sz w:val="32"/>
          <w:szCs w:val="32"/>
        </w:rPr>
        <w:t>B:</w:t>
      </w:r>
      <w:r w:rsidRPr="00220AB1">
        <w:rPr>
          <w:rFonts w:asciiTheme="majorHAnsi" w:hAnsiTheme="majorHAnsi"/>
          <w:b/>
          <w:sz w:val="32"/>
          <w:szCs w:val="32"/>
        </w:rPr>
        <w:t xml:space="preserve"> Technical resources and assumptions</w:t>
      </w:r>
    </w:p>
    <w:p w:rsidR="00D509BE" w:rsidRDefault="00D509BE">
      <w:pPr>
        <w:spacing w:before="0"/>
        <w:jc w:val="left"/>
        <w:rPr>
          <w:szCs w:val="22"/>
        </w:rPr>
      </w:pPr>
    </w:p>
    <w:p w:rsidR="00925DF3" w:rsidRDefault="00CC13DC">
      <w:pPr>
        <w:spacing w:before="0"/>
        <w:jc w:val="left"/>
        <w:rPr>
          <w:szCs w:val="22"/>
        </w:rPr>
      </w:pPr>
      <w:r>
        <w:rPr>
          <w:szCs w:val="22"/>
        </w:rPr>
        <w:t xml:space="preserve">This appendix </w:t>
      </w:r>
      <w:r w:rsidR="00220AB1">
        <w:rPr>
          <w:szCs w:val="22"/>
        </w:rPr>
        <w:t xml:space="preserve">summarises the </w:t>
      </w:r>
      <w:r w:rsidR="00925DF3">
        <w:rPr>
          <w:szCs w:val="22"/>
        </w:rPr>
        <w:t>main assumptions</w:t>
      </w:r>
      <w:r>
        <w:rPr>
          <w:szCs w:val="22"/>
        </w:rPr>
        <w:t xml:space="preserve"> </w:t>
      </w:r>
      <w:r w:rsidR="00220AB1">
        <w:rPr>
          <w:szCs w:val="22"/>
        </w:rPr>
        <w:t xml:space="preserve">used </w:t>
      </w:r>
      <w:r>
        <w:rPr>
          <w:szCs w:val="22"/>
        </w:rPr>
        <w:t>in the study, and provides other technical resources used in calculations.</w:t>
      </w:r>
    </w:p>
    <w:p w:rsidR="00CC13DC" w:rsidRPr="005D159D" w:rsidRDefault="008763B4" w:rsidP="00CC13DC">
      <w:pPr>
        <w:rPr>
          <w:i/>
          <w:szCs w:val="22"/>
        </w:rPr>
      </w:pPr>
      <w:bookmarkStart w:id="85" w:name="_Toc233084080"/>
      <w:bookmarkStart w:id="86" w:name="_Toc257360013"/>
      <w:r w:rsidRPr="00D02806">
        <w:rPr>
          <w:i/>
          <w:szCs w:val="22"/>
        </w:rPr>
        <w:t xml:space="preserve">Table </w:t>
      </w:r>
      <w:r w:rsidR="00B41499" w:rsidRPr="00D02806">
        <w:rPr>
          <w:i/>
          <w:szCs w:val="22"/>
        </w:rPr>
        <w:fldChar w:fldCharType="begin"/>
      </w:r>
      <w:r w:rsidRPr="00D02806">
        <w:rPr>
          <w:i/>
          <w:szCs w:val="22"/>
        </w:rPr>
        <w:instrText xml:space="preserve"> SEQ Table \* ARABIC </w:instrText>
      </w:r>
      <w:r w:rsidR="00B41499" w:rsidRPr="00D02806">
        <w:rPr>
          <w:i/>
          <w:szCs w:val="22"/>
        </w:rPr>
        <w:fldChar w:fldCharType="separate"/>
      </w:r>
      <w:r w:rsidR="008E0DB9">
        <w:rPr>
          <w:i/>
          <w:noProof/>
          <w:szCs w:val="22"/>
        </w:rPr>
        <w:t>9</w:t>
      </w:r>
      <w:r w:rsidR="00B41499" w:rsidRPr="00D02806">
        <w:rPr>
          <w:i/>
          <w:szCs w:val="22"/>
        </w:rPr>
        <w:fldChar w:fldCharType="end"/>
      </w:r>
      <w:r w:rsidR="00CC13DC" w:rsidRPr="005D159D">
        <w:rPr>
          <w:i/>
          <w:szCs w:val="22"/>
        </w:rPr>
        <w:t xml:space="preserve">: </w:t>
      </w:r>
      <w:r w:rsidR="00CC13DC" w:rsidRPr="00C02F5E">
        <w:rPr>
          <w:i/>
          <w:szCs w:val="22"/>
        </w:rPr>
        <w:t xml:space="preserve">GWP </w:t>
      </w:r>
      <w:r w:rsidR="00CC13DC">
        <w:rPr>
          <w:i/>
          <w:szCs w:val="22"/>
        </w:rPr>
        <w:t>factors</w:t>
      </w:r>
      <w:r w:rsidR="00CC13DC" w:rsidRPr="00C02F5E">
        <w:rPr>
          <w:i/>
          <w:szCs w:val="22"/>
        </w:rPr>
        <w:t xml:space="preserve"> of main refrigerant gas species</w:t>
      </w:r>
      <w:bookmarkEnd w:id="85"/>
      <w:bookmarkEnd w:id="8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09"/>
        <w:gridCol w:w="3248"/>
        <w:gridCol w:w="3248"/>
      </w:tblGrid>
      <w:tr w:rsidR="00CC13DC" w:rsidRPr="001C4E9E" w:rsidTr="00CC2CA6">
        <w:tc>
          <w:tcPr>
            <w:tcW w:w="3109" w:type="dxa"/>
            <w:tcBorders>
              <w:top w:val="single" w:sz="4" w:space="0" w:color="FFFFFF"/>
              <w:left w:val="single" w:sz="4" w:space="0" w:color="auto"/>
              <w:bottom w:val="single" w:sz="4" w:space="0" w:color="000000"/>
              <w:right w:val="single" w:sz="4" w:space="0" w:color="FFFFFF"/>
            </w:tcBorders>
            <w:shd w:val="clear" w:color="auto" w:fill="000000"/>
            <w:vAlign w:val="center"/>
          </w:tcPr>
          <w:p w:rsidR="00CC13DC" w:rsidRPr="001C4E9E" w:rsidRDefault="00CC13DC" w:rsidP="00CC13DC">
            <w:pPr>
              <w:spacing w:before="240" w:after="240"/>
              <w:jc w:val="left"/>
            </w:pPr>
            <w:r w:rsidRPr="001C4E9E">
              <w:t>Common substances</w:t>
            </w:r>
          </w:p>
        </w:tc>
        <w:tc>
          <w:tcPr>
            <w:tcW w:w="3248" w:type="dxa"/>
            <w:tcBorders>
              <w:top w:val="single" w:sz="4" w:space="0" w:color="FFFFFF"/>
              <w:left w:val="single" w:sz="4" w:space="0" w:color="FFFFFF"/>
              <w:bottom w:val="single" w:sz="4" w:space="0" w:color="000000"/>
              <w:right w:val="single" w:sz="4" w:space="0" w:color="FFFFFF"/>
            </w:tcBorders>
            <w:shd w:val="clear" w:color="auto" w:fill="000000"/>
            <w:vAlign w:val="center"/>
          </w:tcPr>
          <w:p w:rsidR="00CC13DC" w:rsidRPr="001C4E9E" w:rsidRDefault="00CC13DC" w:rsidP="00CC13DC">
            <w:pPr>
              <w:spacing w:before="240" w:after="240"/>
              <w:jc w:val="center"/>
            </w:pPr>
            <w:r>
              <w:t>AR2</w:t>
            </w:r>
            <w:r w:rsidRPr="001C4E9E">
              <w:t xml:space="preserve"> GWP-100</w:t>
            </w:r>
            <w:r w:rsidR="00522F8F">
              <w:t xml:space="preserve"> Year</w:t>
            </w:r>
          </w:p>
        </w:tc>
        <w:tc>
          <w:tcPr>
            <w:tcW w:w="3248" w:type="dxa"/>
            <w:tcBorders>
              <w:top w:val="single" w:sz="4" w:space="0" w:color="FFFFFF"/>
              <w:left w:val="single" w:sz="4" w:space="0" w:color="FFFFFF"/>
              <w:bottom w:val="single" w:sz="4" w:space="0" w:color="000000"/>
              <w:right w:val="single" w:sz="4" w:space="0" w:color="auto"/>
            </w:tcBorders>
            <w:shd w:val="clear" w:color="auto" w:fill="000000"/>
            <w:vAlign w:val="center"/>
          </w:tcPr>
          <w:p w:rsidR="00CC13DC" w:rsidRPr="001C4E9E" w:rsidRDefault="00CC13DC" w:rsidP="00CC13DC">
            <w:pPr>
              <w:spacing w:before="240" w:after="240"/>
              <w:jc w:val="center"/>
            </w:pPr>
            <w:r w:rsidRPr="001C4E9E">
              <w:t>AR4 GWP-100</w:t>
            </w:r>
            <w:r w:rsidR="00522F8F">
              <w:t xml:space="preserve"> Year</w:t>
            </w:r>
          </w:p>
        </w:tc>
      </w:tr>
      <w:tr w:rsidR="00CC13DC" w:rsidRPr="00AC6172" w:rsidTr="00CC2CA6">
        <w:tc>
          <w:tcPr>
            <w:tcW w:w="9605" w:type="dxa"/>
            <w:gridSpan w:val="3"/>
            <w:tcBorders>
              <w:top w:val="single" w:sz="4" w:space="0" w:color="000000"/>
            </w:tcBorders>
            <w:shd w:val="clear" w:color="auto" w:fill="CCFFFF"/>
            <w:vAlign w:val="center"/>
          </w:tcPr>
          <w:p w:rsidR="00CC13DC" w:rsidRPr="00AC6172" w:rsidRDefault="00CC13DC" w:rsidP="00CC13DC">
            <w:pPr>
              <w:spacing w:before="60" w:after="60"/>
              <w:rPr>
                <w:sz w:val="20"/>
              </w:rPr>
            </w:pPr>
            <w:r w:rsidRPr="00AC6172">
              <w:rPr>
                <w:sz w:val="20"/>
              </w:rPr>
              <w:t>Substances controlled by the Montreal Protocol</w:t>
            </w:r>
          </w:p>
        </w:tc>
      </w:tr>
      <w:tr w:rsidR="00CC13DC" w:rsidRPr="00AC6172" w:rsidTr="00CC2CA6">
        <w:tc>
          <w:tcPr>
            <w:tcW w:w="3109" w:type="dxa"/>
            <w:vAlign w:val="center"/>
          </w:tcPr>
          <w:p w:rsidR="00CC13DC" w:rsidRPr="00AC6172" w:rsidRDefault="00CC13DC" w:rsidP="00CC13DC">
            <w:pPr>
              <w:spacing w:before="60" w:after="60"/>
              <w:rPr>
                <w:sz w:val="20"/>
              </w:rPr>
            </w:pPr>
            <w:r w:rsidRPr="00AC6172">
              <w:rPr>
                <w:sz w:val="20"/>
              </w:rPr>
              <w:t>CFC-11</w:t>
            </w:r>
            <w:r>
              <w:rPr>
                <w:sz w:val="20"/>
              </w:rPr>
              <w:t xml:space="preserve"> </w:t>
            </w:r>
            <w:r w:rsidRPr="00690A68">
              <w:rPr>
                <w:sz w:val="20"/>
                <w:szCs w:val="20"/>
                <w:vertAlign w:val="superscript"/>
              </w:rPr>
              <w:t>(1)</w:t>
            </w:r>
          </w:p>
        </w:tc>
        <w:tc>
          <w:tcPr>
            <w:tcW w:w="3248" w:type="dxa"/>
            <w:vAlign w:val="center"/>
          </w:tcPr>
          <w:p w:rsidR="00CC13DC" w:rsidRPr="00AC6172" w:rsidRDefault="00322B70" w:rsidP="00CC13DC">
            <w:pPr>
              <w:spacing w:before="60" w:after="60"/>
              <w:jc w:val="center"/>
              <w:rPr>
                <w:sz w:val="20"/>
              </w:rPr>
            </w:pPr>
            <w:r>
              <w:rPr>
                <w:sz w:val="20"/>
              </w:rPr>
              <w:t>3</w:t>
            </w:r>
            <w:r w:rsidR="00CC13DC" w:rsidRPr="00AC6172">
              <w:rPr>
                <w:sz w:val="20"/>
              </w:rPr>
              <w:t>800</w:t>
            </w:r>
          </w:p>
        </w:tc>
        <w:tc>
          <w:tcPr>
            <w:tcW w:w="3248" w:type="dxa"/>
            <w:vAlign w:val="center"/>
          </w:tcPr>
          <w:p w:rsidR="00CC13DC" w:rsidRPr="00AC6172" w:rsidRDefault="00322B70" w:rsidP="00CC13DC">
            <w:pPr>
              <w:spacing w:before="60" w:after="60"/>
              <w:jc w:val="center"/>
              <w:rPr>
                <w:sz w:val="20"/>
              </w:rPr>
            </w:pPr>
            <w:r>
              <w:rPr>
                <w:sz w:val="20"/>
              </w:rPr>
              <w:t>4</w:t>
            </w:r>
            <w:r w:rsidR="00CC13DC" w:rsidRPr="00AC6172">
              <w:rPr>
                <w:sz w:val="20"/>
              </w:rPr>
              <w:t>750</w:t>
            </w:r>
          </w:p>
        </w:tc>
      </w:tr>
      <w:tr w:rsidR="00CC13DC" w:rsidRPr="00AC6172" w:rsidTr="00CC2CA6">
        <w:tc>
          <w:tcPr>
            <w:tcW w:w="3109" w:type="dxa"/>
            <w:vAlign w:val="center"/>
          </w:tcPr>
          <w:p w:rsidR="00CC13DC" w:rsidRPr="00AC6172" w:rsidRDefault="00CC13DC" w:rsidP="00CC13DC">
            <w:pPr>
              <w:spacing w:before="60" w:after="60"/>
              <w:rPr>
                <w:sz w:val="20"/>
              </w:rPr>
            </w:pPr>
            <w:r w:rsidRPr="00AC6172">
              <w:rPr>
                <w:sz w:val="20"/>
              </w:rPr>
              <w:t>CFC-12</w:t>
            </w:r>
            <w:r>
              <w:rPr>
                <w:sz w:val="20"/>
              </w:rPr>
              <w:t xml:space="preserve"> </w:t>
            </w:r>
            <w:r w:rsidRPr="00690A68">
              <w:rPr>
                <w:sz w:val="20"/>
                <w:szCs w:val="20"/>
                <w:vertAlign w:val="superscript"/>
              </w:rPr>
              <w:t>(1)</w:t>
            </w:r>
          </w:p>
        </w:tc>
        <w:tc>
          <w:tcPr>
            <w:tcW w:w="3248" w:type="dxa"/>
            <w:vAlign w:val="center"/>
          </w:tcPr>
          <w:p w:rsidR="00CC13DC" w:rsidRPr="00AC6172" w:rsidRDefault="00322B70" w:rsidP="00CC13DC">
            <w:pPr>
              <w:spacing w:before="60" w:after="60"/>
              <w:jc w:val="center"/>
              <w:rPr>
                <w:sz w:val="20"/>
              </w:rPr>
            </w:pPr>
            <w:r>
              <w:rPr>
                <w:sz w:val="20"/>
              </w:rPr>
              <w:t>8</w:t>
            </w:r>
            <w:r w:rsidR="00CC13DC" w:rsidRPr="00AC6172">
              <w:rPr>
                <w:sz w:val="20"/>
              </w:rPr>
              <w:t>100</w:t>
            </w:r>
          </w:p>
        </w:tc>
        <w:tc>
          <w:tcPr>
            <w:tcW w:w="3248" w:type="dxa"/>
            <w:vAlign w:val="center"/>
          </w:tcPr>
          <w:p w:rsidR="00CC13DC" w:rsidRPr="00AC6172" w:rsidRDefault="00CC13DC" w:rsidP="00322B70">
            <w:pPr>
              <w:spacing w:before="60" w:after="60"/>
              <w:jc w:val="center"/>
              <w:rPr>
                <w:sz w:val="20"/>
              </w:rPr>
            </w:pPr>
            <w:r w:rsidRPr="00AC6172">
              <w:rPr>
                <w:sz w:val="20"/>
              </w:rPr>
              <w:t>10900</w:t>
            </w:r>
          </w:p>
        </w:tc>
      </w:tr>
      <w:tr w:rsidR="00CC13DC" w:rsidRPr="00AC6172" w:rsidTr="00CC2CA6">
        <w:tc>
          <w:tcPr>
            <w:tcW w:w="3109" w:type="dxa"/>
            <w:vAlign w:val="center"/>
          </w:tcPr>
          <w:p w:rsidR="00CC13DC" w:rsidRPr="00AC6172" w:rsidRDefault="00CC13DC" w:rsidP="00CC13DC">
            <w:pPr>
              <w:spacing w:before="60" w:after="60"/>
              <w:rPr>
                <w:sz w:val="20"/>
              </w:rPr>
            </w:pPr>
            <w:r w:rsidRPr="00AC6172">
              <w:rPr>
                <w:sz w:val="20"/>
              </w:rPr>
              <w:t>HCFC-123</w:t>
            </w:r>
          </w:p>
        </w:tc>
        <w:tc>
          <w:tcPr>
            <w:tcW w:w="3248" w:type="dxa"/>
            <w:vAlign w:val="center"/>
          </w:tcPr>
          <w:p w:rsidR="00CC13DC" w:rsidRPr="00AC6172" w:rsidRDefault="00CC13DC" w:rsidP="00CC13DC">
            <w:pPr>
              <w:spacing w:before="60" w:after="60"/>
              <w:jc w:val="center"/>
              <w:rPr>
                <w:sz w:val="20"/>
              </w:rPr>
            </w:pPr>
            <w:r w:rsidRPr="00AC6172">
              <w:rPr>
                <w:sz w:val="20"/>
              </w:rPr>
              <w:t>90</w:t>
            </w:r>
          </w:p>
        </w:tc>
        <w:tc>
          <w:tcPr>
            <w:tcW w:w="3248" w:type="dxa"/>
            <w:vAlign w:val="center"/>
          </w:tcPr>
          <w:p w:rsidR="00CC13DC" w:rsidRPr="00AC6172" w:rsidRDefault="00CC13DC" w:rsidP="00CC13DC">
            <w:pPr>
              <w:spacing w:before="60" w:after="60"/>
              <w:jc w:val="center"/>
              <w:rPr>
                <w:sz w:val="20"/>
              </w:rPr>
            </w:pPr>
            <w:r w:rsidRPr="00AC6172">
              <w:rPr>
                <w:sz w:val="20"/>
              </w:rPr>
              <w:t>77</w:t>
            </w:r>
          </w:p>
        </w:tc>
      </w:tr>
      <w:tr w:rsidR="00CC13DC" w:rsidRPr="00AC6172" w:rsidTr="00CC2CA6">
        <w:tc>
          <w:tcPr>
            <w:tcW w:w="3109" w:type="dxa"/>
            <w:vAlign w:val="center"/>
          </w:tcPr>
          <w:p w:rsidR="00CC13DC" w:rsidRPr="00AC6172" w:rsidRDefault="00CC13DC" w:rsidP="00CC13DC">
            <w:pPr>
              <w:spacing w:before="60" w:after="60"/>
              <w:rPr>
                <w:sz w:val="20"/>
              </w:rPr>
            </w:pPr>
            <w:r w:rsidRPr="00AC6172">
              <w:rPr>
                <w:sz w:val="20"/>
              </w:rPr>
              <w:t>HCFC-22</w:t>
            </w:r>
          </w:p>
        </w:tc>
        <w:tc>
          <w:tcPr>
            <w:tcW w:w="3248" w:type="dxa"/>
            <w:vAlign w:val="center"/>
          </w:tcPr>
          <w:p w:rsidR="00CC13DC" w:rsidRPr="00AC6172" w:rsidRDefault="00322B70" w:rsidP="00CC13DC">
            <w:pPr>
              <w:spacing w:before="60" w:after="60"/>
              <w:jc w:val="center"/>
              <w:rPr>
                <w:sz w:val="20"/>
              </w:rPr>
            </w:pPr>
            <w:r>
              <w:rPr>
                <w:sz w:val="20"/>
              </w:rPr>
              <w:t>1</w:t>
            </w:r>
            <w:r w:rsidR="00CC13DC" w:rsidRPr="00AC6172">
              <w:rPr>
                <w:sz w:val="20"/>
              </w:rPr>
              <w:t>500</w:t>
            </w:r>
          </w:p>
        </w:tc>
        <w:tc>
          <w:tcPr>
            <w:tcW w:w="3248" w:type="dxa"/>
            <w:vAlign w:val="center"/>
          </w:tcPr>
          <w:p w:rsidR="00CC13DC" w:rsidRPr="00AC6172" w:rsidRDefault="00322B70" w:rsidP="00CC13DC">
            <w:pPr>
              <w:spacing w:before="60" w:after="60"/>
              <w:jc w:val="center"/>
              <w:rPr>
                <w:sz w:val="20"/>
              </w:rPr>
            </w:pPr>
            <w:r>
              <w:rPr>
                <w:sz w:val="20"/>
              </w:rPr>
              <w:t>1</w:t>
            </w:r>
            <w:r w:rsidR="00CC13DC" w:rsidRPr="00AC6172">
              <w:rPr>
                <w:sz w:val="20"/>
              </w:rPr>
              <w:t>810</w:t>
            </w:r>
          </w:p>
        </w:tc>
      </w:tr>
      <w:tr w:rsidR="00CC13DC" w:rsidRPr="00AC6172" w:rsidTr="00CC2CA6">
        <w:tc>
          <w:tcPr>
            <w:tcW w:w="3109" w:type="dxa"/>
            <w:vAlign w:val="center"/>
          </w:tcPr>
          <w:p w:rsidR="00CC13DC" w:rsidRPr="00AC6172" w:rsidRDefault="00CC13DC" w:rsidP="00CC13DC">
            <w:pPr>
              <w:spacing w:before="60" w:after="60"/>
              <w:rPr>
                <w:sz w:val="20"/>
              </w:rPr>
            </w:pPr>
            <w:r w:rsidRPr="00AC6172">
              <w:rPr>
                <w:sz w:val="20"/>
              </w:rPr>
              <w:t>HCFC-141b</w:t>
            </w:r>
          </w:p>
        </w:tc>
        <w:tc>
          <w:tcPr>
            <w:tcW w:w="3248" w:type="dxa"/>
            <w:vAlign w:val="center"/>
          </w:tcPr>
          <w:p w:rsidR="00CC13DC" w:rsidRPr="00AC6172" w:rsidRDefault="00CC13DC" w:rsidP="00CC13DC">
            <w:pPr>
              <w:spacing w:before="60" w:after="60"/>
              <w:jc w:val="center"/>
              <w:rPr>
                <w:sz w:val="20"/>
              </w:rPr>
            </w:pPr>
            <w:r w:rsidRPr="00AC6172">
              <w:rPr>
                <w:sz w:val="20"/>
              </w:rPr>
              <w:t>-</w:t>
            </w:r>
          </w:p>
        </w:tc>
        <w:tc>
          <w:tcPr>
            <w:tcW w:w="3248" w:type="dxa"/>
            <w:vAlign w:val="center"/>
          </w:tcPr>
          <w:p w:rsidR="00CC13DC" w:rsidRPr="00AC6172" w:rsidRDefault="00CC13DC" w:rsidP="00CC13DC">
            <w:pPr>
              <w:spacing w:before="60" w:after="60"/>
              <w:jc w:val="center"/>
              <w:rPr>
                <w:sz w:val="20"/>
              </w:rPr>
            </w:pPr>
            <w:r w:rsidRPr="00AC6172">
              <w:rPr>
                <w:sz w:val="20"/>
              </w:rPr>
              <w:t>725</w:t>
            </w:r>
          </w:p>
        </w:tc>
      </w:tr>
      <w:tr w:rsidR="00CC13DC" w:rsidRPr="00AC6172" w:rsidTr="00CC2CA6">
        <w:tc>
          <w:tcPr>
            <w:tcW w:w="3109" w:type="dxa"/>
            <w:vAlign w:val="center"/>
          </w:tcPr>
          <w:p w:rsidR="00CC13DC" w:rsidRPr="00AC6172" w:rsidRDefault="00CC13DC" w:rsidP="00CC13DC">
            <w:pPr>
              <w:spacing w:before="60" w:after="60"/>
              <w:rPr>
                <w:sz w:val="20"/>
              </w:rPr>
            </w:pPr>
            <w:r w:rsidRPr="00AC6172">
              <w:rPr>
                <w:sz w:val="20"/>
              </w:rPr>
              <w:t>HCFC-142b</w:t>
            </w:r>
          </w:p>
        </w:tc>
        <w:tc>
          <w:tcPr>
            <w:tcW w:w="3248" w:type="dxa"/>
            <w:vAlign w:val="center"/>
          </w:tcPr>
          <w:p w:rsidR="00CC13DC" w:rsidRPr="00AC6172" w:rsidRDefault="00322B70" w:rsidP="00CC13DC">
            <w:pPr>
              <w:spacing w:before="60" w:after="60"/>
              <w:jc w:val="center"/>
              <w:rPr>
                <w:sz w:val="20"/>
              </w:rPr>
            </w:pPr>
            <w:r>
              <w:rPr>
                <w:sz w:val="20"/>
              </w:rPr>
              <w:t>1</w:t>
            </w:r>
            <w:r w:rsidR="00CC13DC" w:rsidRPr="00AC6172">
              <w:rPr>
                <w:sz w:val="20"/>
              </w:rPr>
              <w:t>800</w:t>
            </w:r>
          </w:p>
        </w:tc>
        <w:tc>
          <w:tcPr>
            <w:tcW w:w="3248" w:type="dxa"/>
            <w:vAlign w:val="center"/>
          </w:tcPr>
          <w:p w:rsidR="00CC13DC" w:rsidRPr="00AC6172" w:rsidRDefault="00322B70" w:rsidP="00CC13DC">
            <w:pPr>
              <w:spacing w:before="60" w:after="60"/>
              <w:jc w:val="center"/>
              <w:rPr>
                <w:sz w:val="20"/>
              </w:rPr>
            </w:pPr>
            <w:r>
              <w:rPr>
                <w:sz w:val="20"/>
              </w:rPr>
              <w:t>2</w:t>
            </w:r>
            <w:r w:rsidR="00CC13DC" w:rsidRPr="00AC6172">
              <w:rPr>
                <w:sz w:val="20"/>
              </w:rPr>
              <w:t>310</w:t>
            </w:r>
          </w:p>
        </w:tc>
      </w:tr>
      <w:tr w:rsidR="00CC13DC" w:rsidRPr="00AC6172" w:rsidTr="00CC2CA6">
        <w:tc>
          <w:tcPr>
            <w:tcW w:w="3109" w:type="dxa"/>
            <w:vAlign w:val="center"/>
          </w:tcPr>
          <w:p w:rsidR="00CC13DC" w:rsidRPr="00AC6172" w:rsidRDefault="00CC13DC" w:rsidP="00CC13DC">
            <w:pPr>
              <w:spacing w:before="60" w:after="60"/>
              <w:rPr>
                <w:sz w:val="20"/>
              </w:rPr>
            </w:pPr>
            <w:r w:rsidRPr="00AC6172">
              <w:rPr>
                <w:sz w:val="20"/>
              </w:rPr>
              <w:t>HCFC-406A</w:t>
            </w:r>
          </w:p>
        </w:tc>
        <w:tc>
          <w:tcPr>
            <w:tcW w:w="3248" w:type="dxa"/>
            <w:vAlign w:val="center"/>
          </w:tcPr>
          <w:p w:rsidR="00CC13DC" w:rsidRPr="00AC6172" w:rsidRDefault="00CC13DC" w:rsidP="00CC13DC">
            <w:pPr>
              <w:spacing w:before="60" w:after="60"/>
              <w:jc w:val="center"/>
              <w:rPr>
                <w:sz w:val="20"/>
              </w:rPr>
            </w:pPr>
            <w:r w:rsidRPr="00AC6172">
              <w:rPr>
                <w:sz w:val="20"/>
              </w:rPr>
              <w:t>-</w:t>
            </w:r>
          </w:p>
        </w:tc>
        <w:tc>
          <w:tcPr>
            <w:tcW w:w="3248" w:type="dxa"/>
            <w:vAlign w:val="center"/>
          </w:tcPr>
          <w:p w:rsidR="00CC13DC" w:rsidRPr="00AC6172" w:rsidRDefault="00322B70" w:rsidP="00CC13DC">
            <w:pPr>
              <w:spacing w:before="60" w:after="60"/>
              <w:jc w:val="center"/>
              <w:rPr>
                <w:sz w:val="20"/>
              </w:rPr>
            </w:pPr>
            <w:r>
              <w:rPr>
                <w:sz w:val="20"/>
              </w:rPr>
              <w:t>1</w:t>
            </w:r>
            <w:r w:rsidR="00CC13DC" w:rsidRPr="00AC6172">
              <w:rPr>
                <w:sz w:val="20"/>
              </w:rPr>
              <w:t>943</w:t>
            </w:r>
          </w:p>
        </w:tc>
      </w:tr>
      <w:tr w:rsidR="00CC13DC" w:rsidRPr="00AC6172" w:rsidTr="00CC2CA6">
        <w:tc>
          <w:tcPr>
            <w:tcW w:w="3109" w:type="dxa"/>
            <w:vAlign w:val="center"/>
          </w:tcPr>
          <w:p w:rsidR="00CC13DC" w:rsidRPr="00AC6172" w:rsidRDefault="00CC13DC" w:rsidP="00CC13DC">
            <w:pPr>
              <w:spacing w:before="60" w:after="60"/>
              <w:rPr>
                <w:sz w:val="20"/>
              </w:rPr>
            </w:pPr>
            <w:r w:rsidRPr="00AC6172">
              <w:rPr>
                <w:sz w:val="20"/>
              </w:rPr>
              <w:t>HCFC-408A</w:t>
            </w:r>
          </w:p>
        </w:tc>
        <w:tc>
          <w:tcPr>
            <w:tcW w:w="3248" w:type="dxa"/>
            <w:vAlign w:val="center"/>
          </w:tcPr>
          <w:p w:rsidR="00CC13DC" w:rsidRPr="00AC6172" w:rsidRDefault="00CC13DC" w:rsidP="00CC13DC">
            <w:pPr>
              <w:spacing w:before="60" w:after="60"/>
              <w:jc w:val="center"/>
              <w:rPr>
                <w:sz w:val="20"/>
              </w:rPr>
            </w:pPr>
            <w:r w:rsidRPr="00AC6172">
              <w:rPr>
                <w:sz w:val="20"/>
              </w:rPr>
              <w:t>-</w:t>
            </w:r>
          </w:p>
        </w:tc>
        <w:tc>
          <w:tcPr>
            <w:tcW w:w="3248" w:type="dxa"/>
            <w:vAlign w:val="center"/>
          </w:tcPr>
          <w:p w:rsidR="00CC13DC" w:rsidRPr="00AC6172" w:rsidRDefault="00322B70" w:rsidP="00CC13DC">
            <w:pPr>
              <w:spacing w:before="60" w:after="60"/>
              <w:jc w:val="center"/>
              <w:rPr>
                <w:sz w:val="20"/>
              </w:rPr>
            </w:pPr>
            <w:r>
              <w:rPr>
                <w:sz w:val="20"/>
              </w:rPr>
              <w:t>3</w:t>
            </w:r>
            <w:r w:rsidR="00CC13DC" w:rsidRPr="00AC6172">
              <w:rPr>
                <w:sz w:val="20"/>
              </w:rPr>
              <w:t>152</w:t>
            </w:r>
          </w:p>
        </w:tc>
      </w:tr>
      <w:tr w:rsidR="00CC13DC" w:rsidRPr="00AC6172" w:rsidTr="00CC2CA6">
        <w:tc>
          <w:tcPr>
            <w:tcW w:w="3109" w:type="dxa"/>
            <w:vAlign w:val="center"/>
          </w:tcPr>
          <w:p w:rsidR="00CC13DC" w:rsidRPr="00AC6172" w:rsidRDefault="00CC13DC" w:rsidP="00CC13DC">
            <w:pPr>
              <w:spacing w:before="60" w:after="60"/>
              <w:rPr>
                <w:sz w:val="20"/>
              </w:rPr>
            </w:pPr>
            <w:r w:rsidRPr="00AC6172">
              <w:rPr>
                <w:sz w:val="20"/>
              </w:rPr>
              <w:t>HCFC-409A</w:t>
            </w:r>
          </w:p>
        </w:tc>
        <w:tc>
          <w:tcPr>
            <w:tcW w:w="3248" w:type="dxa"/>
            <w:vAlign w:val="center"/>
          </w:tcPr>
          <w:p w:rsidR="00CC13DC" w:rsidRPr="00AC6172" w:rsidRDefault="00CC13DC" w:rsidP="00CC13DC">
            <w:pPr>
              <w:spacing w:before="60" w:after="60"/>
              <w:jc w:val="center"/>
              <w:rPr>
                <w:sz w:val="20"/>
              </w:rPr>
            </w:pPr>
            <w:r w:rsidRPr="00AC6172">
              <w:rPr>
                <w:sz w:val="20"/>
              </w:rPr>
              <w:t>-</w:t>
            </w:r>
          </w:p>
        </w:tc>
        <w:tc>
          <w:tcPr>
            <w:tcW w:w="3248" w:type="dxa"/>
            <w:vAlign w:val="center"/>
          </w:tcPr>
          <w:p w:rsidR="00CC13DC" w:rsidRPr="00AC6172" w:rsidRDefault="00322B70" w:rsidP="00CC13DC">
            <w:pPr>
              <w:spacing w:before="60" w:after="60"/>
              <w:jc w:val="center"/>
              <w:rPr>
                <w:sz w:val="20"/>
              </w:rPr>
            </w:pPr>
            <w:r>
              <w:rPr>
                <w:sz w:val="20"/>
              </w:rPr>
              <w:t>1</w:t>
            </w:r>
            <w:r w:rsidR="00CC13DC" w:rsidRPr="00AC6172">
              <w:rPr>
                <w:sz w:val="20"/>
              </w:rPr>
              <w:t>585</w:t>
            </w:r>
          </w:p>
        </w:tc>
      </w:tr>
      <w:tr w:rsidR="00CC13DC" w:rsidRPr="00AC6172" w:rsidTr="00CC2CA6">
        <w:tc>
          <w:tcPr>
            <w:tcW w:w="3109" w:type="dxa"/>
            <w:vAlign w:val="center"/>
          </w:tcPr>
          <w:p w:rsidR="00CC13DC" w:rsidRPr="00AC6172" w:rsidRDefault="00CC13DC" w:rsidP="00CC13DC">
            <w:pPr>
              <w:spacing w:before="60" w:after="60"/>
              <w:rPr>
                <w:sz w:val="20"/>
              </w:rPr>
            </w:pPr>
            <w:r w:rsidRPr="00AC6172">
              <w:rPr>
                <w:sz w:val="20"/>
              </w:rPr>
              <w:t>HCFC-225ca</w:t>
            </w:r>
            <w:r>
              <w:rPr>
                <w:sz w:val="20"/>
              </w:rPr>
              <w:t xml:space="preserve"> </w:t>
            </w:r>
            <w:r w:rsidRPr="00690A68">
              <w:rPr>
                <w:sz w:val="20"/>
                <w:szCs w:val="20"/>
                <w:vertAlign w:val="superscript"/>
              </w:rPr>
              <w:t>(</w:t>
            </w:r>
            <w:r w:rsidR="002E5035">
              <w:rPr>
                <w:sz w:val="20"/>
                <w:szCs w:val="20"/>
                <w:vertAlign w:val="superscript"/>
              </w:rPr>
              <w:t>3</w:t>
            </w:r>
            <w:r w:rsidRPr="00690A68">
              <w:rPr>
                <w:sz w:val="20"/>
                <w:szCs w:val="20"/>
                <w:vertAlign w:val="superscript"/>
              </w:rPr>
              <w:t>)</w:t>
            </w:r>
          </w:p>
        </w:tc>
        <w:tc>
          <w:tcPr>
            <w:tcW w:w="3248" w:type="dxa"/>
            <w:vAlign w:val="center"/>
          </w:tcPr>
          <w:p w:rsidR="00CC13DC" w:rsidRPr="00AC6172" w:rsidRDefault="00CC13DC" w:rsidP="00CC13DC">
            <w:pPr>
              <w:spacing w:before="60" w:after="60"/>
              <w:jc w:val="center"/>
              <w:rPr>
                <w:sz w:val="20"/>
              </w:rPr>
            </w:pPr>
            <w:r w:rsidRPr="00AC6172">
              <w:rPr>
                <w:sz w:val="20"/>
              </w:rPr>
              <w:t>-</w:t>
            </w:r>
          </w:p>
        </w:tc>
        <w:tc>
          <w:tcPr>
            <w:tcW w:w="3248" w:type="dxa"/>
            <w:vAlign w:val="center"/>
          </w:tcPr>
          <w:p w:rsidR="00CC13DC" w:rsidRPr="00AC6172" w:rsidRDefault="00CC13DC" w:rsidP="00CC13DC">
            <w:pPr>
              <w:spacing w:before="60" w:after="60"/>
              <w:jc w:val="center"/>
              <w:rPr>
                <w:sz w:val="20"/>
              </w:rPr>
            </w:pPr>
            <w:r w:rsidRPr="00AC6172">
              <w:rPr>
                <w:sz w:val="20"/>
              </w:rPr>
              <w:t>122</w:t>
            </w:r>
          </w:p>
        </w:tc>
      </w:tr>
      <w:tr w:rsidR="00CC13DC" w:rsidRPr="00AC6172" w:rsidTr="00CC2CA6">
        <w:tc>
          <w:tcPr>
            <w:tcW w:w="3109" w:type="dxa"/>
            <w:tcBorders>
              <w:bottom w:val="single" w:sz="4" w:space="0" w:color="000000"/>
            </w:tcBorders>
            <w:vAlign w:val="center"/>
          </w:tcPr>
          <w:p w:rsidR="00CC13DC" w:rsidRPr="00AC6172" w:rsidRDefault="00CC13DC" w:rsidP="00CC13DC">
            <w:pPr>
              <w:spacing w:before="60" w:after="60"/>
              <w:rPr>
                <w:sz w:val="20"/>
              </w:rPr>
            </w:pPr>
            <w:r w:rsidRPr="00AC6172">
              <w:rPr>
                <w:sz w:val="20"/>
              </w:rPr>
              <w:t>HCFC-225cb</w:t>
            </w:r>
            <w:r>
              <w:rPr>
                <w:sz w:val="20"/>
              </w:rPr>
              <w:t xml:space="preserve"> </w:t>
            </w:r>
            <w:r w:rsidRPr="00690A68">
              <w:rPr>
                <w:sz w:val="20"/>
                <w:szCs w:val="20"/>
                <w:vertAlign w:val="superscript"/>
              </w:rPr>
              <w:t>(</w:t>
            </w:r>
            <w:r w:rsidR="002E5035">
              <w:rPr>
                <w:sz w:val="20"/>
                <w:szCs w:val="20"/>
                <w:vertAlign w:val="superscript"/>
              </w:rPr>
              <w:t>3</w:t>
            </w:r>
            <w:r w:rsidRPr="00690A68">
              <w:rPr>
                <w:sz w:val="20"/>
                <w:szCs w:val="20"/>
                <w:vertAlign w:val="superscript"/>
              </w:rPr>
              <w:t>)</w:t>
            </w:r>
          </w:p>
        </w:tc>
        <w:tc>
          <w:tcPr>
            <w:tcW w:w="3248" w:type="dxa"/>
            <w:tcBorders>
              <w:bottom w:val="single" w:sz="4" w:space="0" w:color="000000"/>
            </w:tcBorders>
            <w:vAlign w:val="center"/>
          </w:tcPr>
          <w:p w:rsidR="00CC13DC" w:rsidRPr="00AC6172" w:rsidRDefault="00CC13DC" w:rsidP="00CC13DC">
            <w:pPr>
              <w:spacing w:before="60" w:after="60"/>
              <w:jc w:val="center"/>
              <w:rPr>
                <w:sz w:val="20"/>
              </w:rPr>
            </w:pPr>
            <w:r w:rsidRPr="00AC6172">
              <w:rPr>
                <w:sz w:val="20"/>
              </w:rPr>
              <w:t>-</w:t>
            </w:r>
          </w:p>
        </w:tc>
        <w:tc>
          <w:tcPr>
            <w:tcW w:w="3248" w:type="dxa"/>
            <w:tcBorders>
              <w:bottom w:val="single" w:sz="4" w:space="0" w:color="000000"/>
            </w:tcBorders>
            <w:vAlign w:val="center"/>
          </w:tcPr>
          <w:p w:rsidR="00CC13DC" w:rsidRPr="00AC6172" w:rsidRDefault="00CC13DC" w:rsidP="00CC13DC">
            <w:pPr>
              <w:spacing w:before="60" w:after="60"/>
              <w:jc w:val="center"/>
              <w:rPr>
                <w:sz w:val="20"/>
              </w:rPr>
            </w:pPr>
            <w:r w:rsidRPr="00AC6172">
              <w:rPr>
                <w:sz w:val="20"/>
              </w:rPr>
              <w:t>595</w:t>
            </w:r>
          </w:p>
        </w:tc>
      </w:tr>
      <w:tr w:rsidR="00CC13DC" w:rsidRPr="00AC6172" w:rsidTr="00CC2CA6">
        <w:tc>
          <w:tcPr>
            <w:tcW w:w="9605" w:type="dxa"/>
            <w:gridSpan w:val="3"/>
            <w:shd w:val="clear" w:color="auto" w:fill="CCFFFF"/>
            <w:vAlign w:val="center"/>
          </w:tcPr>
          <w:p w:rsidR="00CC13DC" w:rsidRPr="00AC6172" w:rsidRDefault="00CC13DC" w:rsidP="00CC13DC">
            <w:pPr>
              <w:spacing w:before="60" w:after="60"/>
              <w:rPr>
                <w:sz w:val="20"/>
              </w:rPr>
            </w:pPr>
            <w:r w:rsidRPr="00AC6172">
              <w:rPr>
                <w:sz w:val="20"/>
              </w:rPr>
              <w:t>Hydrofluorocarbons (HFCs)</w:t>
            </w:r>
          </w:p>
        </w:tc>
      </w:tr>
      <w:tr w:rsidR="00322B70" w:rsidRPr="00AC6172" w:rsidTr="00CC2CA6">
        <w:tc>
          <w:tcPr>
            <w:tcW w:w="3109" w:type="dxa"/>
            <w:vAlign w:val="center"/>
          </w:tcPr>
          <w:p w:rsidR="00322B70" w:rsidRPr="00AC6172" w:rsidRDefault="00322B70" w:rsidP="00CC13DC">
            <w:pPr>
              <w:spacing w:before="60" w:after="60"/>
              <w:rPr>
                <w:sz w:val="20"/>
              </w:rPr>
            </w:pPr>
            <w:r>
              <w:rPr>
                <w:sz w:val="20"/>
              </w:rPr>
              <w:t>HFC-125</w:t>
            </w:r>
          </w:p>
        </w:tc>
        <w:tc>
          <w:tcPr>
            <w:tcW w:w="3248" w:type="dxa"/>
            <w:vAlign w:val="center"/>
          </w:tcPr>
          <w:p w:rsidR="00322B70" w:rsidRPr="00AC6172" w:rsidRDefault="00322B70" w:rsidP="00CC13DC">
            <w:pPr>
              <w:spacing w:before="60" w:after="60"/>
              <w:jc w:val="center"/>
              <w:rPr>
                <w:sz w:val="20"/>
              </w:rPr>
            </w:pPr>
            <w:r>
              <w:rPr>
                <w:sz w:val="20"/>
              </w:rPr>
              <w:t>2800</w:t>
            </w:r>
          </w:p>
        </w:tc>
        <w:tc>
          <w:tcPr>
            <w:tcW w:w="3248" w:type="dxa"/>
            <w:vAlign w:val="center"/>
          </w:tcPr>
          <w:p w:rsidR="00322B70" w:rsidRPr="00AC6172" w:rsidRDefault="00322B70" w:rsidP="00CC13DC">
            <w:pPr>
              <w:spacing w:before="60" w:after="60"/>
              <w:jc w:val="center"/>
              <w:rPr>
                <w:sz w:val="20"/>
              </w:rPr>
            </w:pPr>
            <w:r>
              <w:rPr>
                <w:sz w:val="20"/>
              </w:rPr>
              <w:t>3500</w:t>
            </w:r>
          </w:p>
        </w:tc>
      </w:tr>
      <w:tr w:rsidR="00CC13DC" w:rsidRPr="00AC6172" w:rsidTr="00CC2CA6">
        <w:tc>
          <w:tcPr>
            <w:tcW w:w="3109" w:type="dxa"/>
            <w:vAlign w:val="center"/>
          </w:tcPr>
          <w:p w:rsidR="00CC13DC" w:rsidRPr="00AC6172" w:rsidRDefault="00CC13DC" w:rsidP="00CC13DC">
            <w:pPr>
              <w:spacing w:before="60" w:after="60"/>
              <w:rPr>
                <w:sz w:val="20"/>
              </w:rPr>
            </w:pPr>
            <w:r w:rsidRPr="00AC6172">
              <w:rPr>
                <w:sz w:val="20"/>
              </w:rPr>
              <w:t>HFC-134a</w:t>
            </w:r>
          </w:p>
        </w:tc>
        <w:tc>
          <w:tcPr>
            <w:tcW w:w="3248" w:type="dxa"/>
            <w:vAlign w:val="center"/>
          </w:tcPr>
          <w:p w:rsidR="00CC13DC" w:rsidRPr="00AC6172" w:rsidRDefault="00322B70" w:rsidP="00CC13DC">
            <w:pPr>
              <w:spacing w:before="60" w:after="60"/>
              <w:jc w:val="center"/>
              <w:rPr>
                <w:sz w:val="20"/>
              </w:rPr>
            </w:pPr>
            <w:r>
              <w:rPr>
                <w:sz w:val="20"/>
              </w:rPr>
              <w:t>1</w:t>
            </w:r>
            <w:r w:rsidR="00CC13DC" w:rsidRPr="00AC6172">
              <w:rPr>
                <w:sz w:val="20"/>
              </w:rPr>
              <w:t>300</w:t>
            </w:r>
          </w:p>
        </w:tc>
        <w:tc>
          <w:tcPr>
            <w:tcW w:w="3248" w:type="dxa"/>
            <w:vAlign w:val="center"/>
          </w:tcPr>
          <w:p w:rsidR="00CC13DC" w:rsidRPr="00AC6172" w:rsidRDefault="00CC13DC" w:rsidP="00CC13DC">
            <w:pPr>
              <w:spacing w:before="60" w:after="60"/>
              <w:jc w:val="center"/>
              <w:rPr>
                <w:sz w:val="20"/>
              </w:rPr>
            </w:pPr>
            <w:r w:rsidRPr="00AC6172">
              <w:rPr>
                <w:sz w:val="20"/>
              </w:rPr>
              <w:t>1430</w:t>
            </w:r>
          </w:p>
        </w:tc>
      </w:tr>
      <w:tr w:rsidR="00322B70" w:rsidRPr="00AC6172" w:rsidTr="00CC2CA6">
        <w:tc>
          <w:tcPr>
            <w:tcW w:w="3109" w:type="dxa"/>
            <w:vAlign w:val="center"/>
          </w:tcPr>
          <w:p w:rsidR="00322B70" w:rsidRPr="00AC6172" w:rsidRDefault="00322B70" w:rsidP="00CC13DC">
            <w:pPr>
              <w:spacing w:before="60" w:after="60"/>
              <w:rPr>
                <w:sz w:val="20"/>
              </w:rPr>
            </w:pPr>
            <w:r>
              <w:rPr>
                <w:sz w:val="20"/>
              </w:rPr>
              <w:t>HFC-236fa</w:t>
            </w:r>
          </w:p>
        </w:tc>
        <w:tc>
          <w:tcPr>
            <w:tcW w:w="3248" w:type="dxa"/>
            <w:vAlign w:val="center"/>
          </w:tcPr>
          <w:p w:rsidR="00322B70" w:rsidRPr="00AC6172" w:rsidRDefault="00322B70" w:rsidP="00CC13DC">
            <w:pPr>
              <w:spacing w:before="60" w:after="60"/>
              <w:jc w:val="center"/>
              <w:rPr>
                <w:sz w:val="20"/>
              </w:rPr>
            </w:pPr>
            <w:r>
              <w:rPr>
                <w:sz w:val="20"/>
              </w:rPr>
              <w:t>6300</w:t>
            </w:r>
          </w:p>
        </w:tc>
        <w:tc>
          <w:tcPr>
            <w:tcW w:w="3248" w:type="dxa"/>
            <w:vAlign w:val="center"/>
          </w:tcPr>
          <w:p w:rsidR="00322B70" w:rsidRPr="00AC6172" w:rsidRDefault="00322B70" w:rsidP="00CC13DC">
            <w:pPr>
              <w:spacing w:before="60" w:after="60"/>
              <w:jc w:val="center"/>
              <w:rPr>
                <w:sz w:val="20"/>
              </w:rPr>
            </w:pPr>
            <w:r>
              <w:rPr>
                <w:sz w:val="20"/>
              </w:rPr>
              <w:t>9810</w:t>
            </w:r>
          </w:p>
        </w:tc>
      </w:tr>
      <w:tr w:rsidR="00CC13DC" w:rsidRPr="00AC6172" w:rsidTr="00CC2CA6">
        <w:tc>
          <w:tcPr>
            <w:tcW w:w="3109" w:type="dxa"/>
            <w:vAlign w:val="center"/>
          </w:tcPr>
          <w:p w:rsidR="00CC13DC" w:rsidRPr="00AC6172" w:rsidRDefault="00CC13DC" w:rsidP="00CC13DC">
            <w:pPr>
              <w:spacing w:before="60" w:after="60"/>
              <w:rPr>
                <w:sz w:val="20"/>
              </w:rPr>
            </w:pPr>
            <w:r w:rsidRPr="00AC6172">
              <w:rPr>
                <w:sz w:val="20"/>
              </w:rPr>
              <w:t>HFC-404A</w:t>
            </w:r>
            <w:r w:rsidR="009F51EE">
              <w:rPr>
                <w:sz w:val="20"/>
              </w:rPr>
              <w:t xml:space="preserve"> </w:t>
            </w:r>
            <w:r w:rsidR="009F51EE" w:rsidRPr="00690A68">
              <w:rPr>
                <w:sz w:val="20"/>
                <w:szCs w:val="20"/>
                <w:vertAlign w:val="superscript"/>
              </w:rPr>
              <w:t>(</w:t>
            </w:r>
            <w:r w:rsidR="009F51EE">
              <w:rPr>
                <w:sz w:val="20"/>
                <w:szCs w:val="20"/>
                <w:vertAlign w:val="superscript"/>
              </w:rPr>
              <w:t>2</w:t>
            </w:r>
            <w:r w:rsidR="009F51EE" w:rsidRPr="00690A68">
              <w:rPr>
                <w:sz w:val="20"/>
                <w:szCs w:val="20"/>
                <w:vertAlign w:val="superscript"/>
              </w:rPr>
              <w:t>)</w:t>
            </w:r>
          </w:p>
        </w:tc>
        <w:tc>
          <w:tcPr>
            <w:tcW w:w="3248" w:type="dxa"/>
            <w:vAlign w:val="center"/>
          </w:tcPr>
          <w:p w:rsidR="00CC13DC" w:rsidRPr="00AC6172" w:rsidRDefault="00322B70" w:rsidP="00CC13DC">
            <w:pPr>
              <w:spacing w:before="60" w:after="60"/>
              <w:jc w:val="center"/>
              <w:rPr>
                <w:sz w:val="20"/>
              </w:rPr>
            </w:pPr>
            <w:r>
              <w:rPr>
                <w:sz w:val="20"/>
              </w:rPr>
              <w:t>3</w:t>
            </w:r>
            <w:r w:rsidR="00CC13DC" w:rsidRPr="00AC6172">
              <w:rPr>
                <w:sz w:val="20"/>
              </w:rPr>
              <w:t>260</w:t>
            </w:r>
          </w:p>
        </w:tc>
        <w:tc>
          <w:tcPr>
            <w:tcW w:w="3248" w:type="dxa"/>
            <w:vAlign w:val="center"/>
          </w:tcPr>
          <w:p w:rsidR="00CC13DC" w:rsidRPr="00AC6172" w:rsidRDefault="00322B70" w:rsidP="00CC13DC">
            <w:pPr>
              <w:spacing w:before="60" w:after="60"/>
              <w:jc w:val="center"/>
              <w:rPr>
                <w:sz w:val="20"/>
              </w:rPr>
            </w:pPr>
            <w:r>
              <w:rPr>
                <w:sz w:val="20"/>
              </w:rPr>
              <w:t>3</w:t>
            </w:r>
            <w:r w:rsidR="00CC13DC" w:rsidRPr="00AC6172">
              <w:rPr>
                <w:sz w:val="20"/>
              </w:rPr>
              <w:t>922</w:t>
            </w:r>
          </w:p>
        </w:tc>
      </w:tr>
      <w:tr w:rsidR="00CC13DC" w:rsidRPr="00AC6172" w:rsidTr="00CC2CA6">
        <w:tc>
          <w:tcPr>
            <w:tcW w:w="3109" w:type="dxa"/>
            <w:vAlign w:val="center"/>
          </w:tcPr>
          <w:p w:rsidR="00CC13DC" w:rsidRPr="00AC6172" w:rsidRDefault="00CC13DC" w:rsidP="00CC13DC">
            <w:pPr>
              <w:spacing w:before="60" w:after="60"/>
              <w:rPr>
                <w:sz w:val="20"/>
              </w:rPr>
            </w:pPr>
            <w:r w:rsidRPr="00AC6172">
              <w:rPr>
                <w:sz w:val="20"/>
              </w:rPr>
              <w:t>HFC-407C</w:t>
            </w:r>
          </w:p>
        </w:tc>
        <w:tc>
          <w:tcPr>
            <w:tcW w:w="3248" w:type="dxa"/>
            <w:vAlign w:val="center"/>
          </w:tcPr>
          <w:p w:rsidR="00CC13DC" w:rsidRPr="00AC6172" w:rsidRDefault="00322B70" w:rsidP="00CC13DC">
            <w:pPr>
              <w:spacing w:before="60" w:after="60"/>
              <w:jc w:val="center"/>
              <w:rPr>
                <w:sz w:val="20"/>
              </w:rPr>
            </w:pPr>
            <w:r>
              <w:rPr>
                <w:sz w:val="20"/>
              </w:rPr>
              <w:t>1</w:t>
            </w:r>
            <w:r w:rsidR="00CC13DC" w:rsidRPr="00AC6172">
              <w:rPr>
                <w:sz w:val="20"/>
              </w:rPr>
              <w:t>526</w:t>
            </w:r>
          </w:p>
        </w:tc>
        <w:tc>
          <w:tcPr>
            <w:tcW w:w="3248" w:type="dxa"/>
            <w:vAlign w:val="center"/>
          </w:tcPr>
          <w:p w:rsidR="00CC13DC" w:rsidRPr="00AC6172" w:rsidRDefault="00322B70" w:rsidP="00CC13DC">
            <w:pPr>
              <w:spacing w:before="60" w:after="60"/>
              <w:jc w:val="center"/>
              <w:rPr>
                <w:sz w:val="20"/>
              </w:rPr>
            </w:pPr>
            <w:r>
              <w:rPr>
                <w:sz w:val="20"/>
              </w:rPr>
              <w:t>1</w:t>
            </w:r>
            <w:r w:rsidR="00CC13DC" w:rsidRPr="00AC6172">
              <w:rPr>
                <w:sz w:val="20"/>
              </w:rPr>
              <w:t>774</w:t>
            </w:r>
          </w:p>
        </w:tc>
      </w:tr>
      <w:tr w:rsidR="00EE24C5" w:rsidRPr="00AC6172" w:rsidTr="00CC2CA6">
        <w:tc>
          <w:tcPr>
            <w:tcW w:w="3109" w:type="dxa"/>
            <w:vAlign w:val="center"/>
          </w:tcPr>
          <w:p w:rsidR="00EE24C5" w:rsidRPr="00AC6172" w:rsidRDefault="00EE24C5" w:rsidP="00CC13DC">
            <w:pPr>
              <w:spacing w:before="60" w:after="60"/>
              <w:rPr>
                <w:sz w:val="20"/>
              </w:rPr>
            </w:pPr>
            <w:r>
              <w:rPr>
                <w:sz w:val="20"/>
              </w:rPr>
              <w:t>HFC-407F</w:t>
            </w:r>
          </w:p>
        </w:tc>
        <w:tc>
          <w:tcPr>
            <w:tcW w:w="3248" w:type="dxa"/>
            <w:vAlign w:val="center"/>
          </w:tcPr>
          <w:p w:rsidR="00EE24C5" w:rsidRPr="00AC6172" w:rsidRDefault="00322B70" w:rsidP="00CC13DC">
            <w:pPr>
              <w:spacing w:before="60" w:after="60"/>
              <w:jc w:val="center"/>
              <w:rPr>
                <w:sz w:val="20"/>
              </w:rPr>
            </w:pPr>
            <w:r>
              <w:rPr>
                <w:sz w:val="20"/>
              </w:rPr>
              <w:t>1</w:t>
            </w:r>
            <w:r w:rsidR="00EE24C5">
              <w:rPr>
                <w:sz w:val="20"/>
              </w:rPr>
              <w:t>824</w:t>
            </w:r>
          </w:p>
        </w:tc>
        <w:tc>
          <w:tcPr>
            <w:tcW w:w="3248" w:type="dxa"/>
            <w:vAlign w:val="center"/>
          </w:tcPr>
          <w:p w:rsidR="00EE24C5" w:rsidRPr="00AC6172" w:rsidRDefault="00322B70" w:rsidP="00CC13DC">
            <w:pPr>
              <w:spacing w:before="60" w:after="60"/>
              <w:jc w:val="center"/>
              <w:rPr>
                <w:sz w:val="20"/>
              </w:rPr>
            </w:pPr>
            <w:r>
              <w:rPr>
                <w:sz w:val="20"/>
              </w:rPr>
              <w:t>2</w:t>
            </w:r>
            <w:r w:rsidR="00EE24C5">
              <w:rPr>
                <w:sz w:val="20"/>
              </w:rPr>
              <w:t>107</w:t>
            </w:r>
          </w:p>
        </w:tc>
      </w:tr>
      <w:tr w:rsidR="00CC13DC" w:rsidRPr="00AC6172" w:rsidTr="00CC2CA6">
        <w:tc>
          <w:tcPr>
            <w:tcW w:w="3109" w:type="dxa"/>
            <w:vAlign w:val="center"/>
          </w:tcPr>
          <w:p w:rsidR="00CC13DC" w:rsidRPr="00AC6172" w:rsidRDefault="00CC13DC" w:rsidP="00CC13DC">
            <w:pPr>
              <w:spacing w:before="60" w:after="60"/>
              <w:rPr>
                <w:sz w:val="20"/>
              </w:rPr>
            </w:pPr>
            <w:r w:rsidRPr="00AC6172">
              <w:rPr>
                <w:sz w:val="20"/>
              </w:rPr>
              <w:t>HFC-410A</w:t>
            </w:r>
          </w:p>
        </w:tc>
        <w:tc>
          <w:tcPr>
            <w:tcW w:w="3248" w:type="dxa"/>
            <w:vAlign w:val="center"/>
          </w:tcPr>
          <w:p w:rsidR="00CC13DC" w:rsidRPr="00AC6172" w:rsidRDefault="00322B70" w:rsidP="00CC13DC">
            <w:pPr>
              <w:spacing w:before="60" w:after="60"/>
              <w:jc w:val="center"/>
              <w:rPr>
                <w:sz w:val="20"/>
              </w:rPr>
            </w:pPr>
            <w:r>
              <w:rPr>
                <w:sz w:val="20"/>
              </w:rPr>
              <w:t>1</w:t>
            </w:r>
            <w:r w:rsidR="00CC13DC" w:rsidRPr="00AC6172">
              <w:rPr>
                <w:sz w:val="20"/>
              </w:rPr>
              <w:t>725</w:t>
            </w:r>
          </w:p>
        </w:tc>
        <w:tc>
          <w:tcPr>
            <w:tcW w:w="3248" w:type="dxa"/>
            <w:vAlign w:val="center"/>
          </w:tcPr>
          <w:p w:rsidR="00CC13DC" w:rsidRPr="00AC6172" w:rsidRDefault="00322B70" w:rsidP="00CC13DC">
            <w:pPr>
              <w:spacing w:before="60" w:after="60"/>
              <w:jc w:val="center"/>
              <w:rPr>
                <w:sz w:val="20"/>
              </w:rPr>
            </w:pPr>
            <w:r>
              <w:rPr>
                <w:sz w:val="20"/>
              </w:rPr>
              <w:t>2</w:t>
            </w:r>
            <w:r w:rsidR="00CC13DC" w:rsidRPr="00AC6172">
              <w:rPr>
                <w:sz w:val="20"/>
              </w:rPr>
              <w:t>088</w:t>
            </w:r>
          </w:p>
        </w:tc>
      </w:tr>
      <w:tr w:rsidR="00CC13DC" w:rsidRPr="00AC6172" w:rsidTr="00CC2CA6">
        <w:tc>
          <w:tcPr>
            <w:tcW w:w="3109" w:type="dxa"/>
            <w:vAlign w:val="center"/>
          </w:tcPr>
          <w:p w:rsidR="00CC13DC" w:rsidRPr="00AC6172" w:rsidRDefault="00CC13DC" w:rsidP="00CC13DC">
            <w:pPr>
              <w:spacing w:before="60" w:after="60"/>
              <w:rPr>
                <w:sz w:val="20"/>
              </w:rPr>
            </w:pPr>
            <w:r w:rsidRPr="00AC6172">
              <w:rPr>
                <w:sz w:val="20"/>
              </w:rPr>
              <w:t>HFC-417A</w:t>
            </w:r>
          </w:p>
        </w:tc>
        <w:tc>
          <w:tcPr>
            <w:tcW w:w="3248" w:type="dxa"/>
            <w:vAlign w:val="center"/>
          </w:tcPr>
          <w:p w:rsidR="00CC13DC" w:rsidRPr="00AC6172" w:rsidRDefault="00322B70" w:rsidP="00CC13DC">
            <w:pPr>
              <w:spacing w:before="60" w:after="60"/>
              <w:jc w:val="center"/>
              <w:rPr>
                <w:sz w:val="20"/>
              </w:rPr>
            </w:pPr>
            <w:r>
              <w:rPr>
                <w:sz w:val="20"/>
              </w:rPr>
              <w:t>1</w:t>
            </w:r>
            <w:r w:rsidR="00CC13DC" w:rsidRPr="00AC6172">
              <w:rPr>
                <w:sz w:val="20"/>
              </w:rPr>
              <w:t>955</w:t>
            </w:r>
          </w:p>
        </w:tc>
        <w:tc>
          <w:tcPr>
            <w:tcW w:w="3248" w:type="dxa"/>
            <w:vAlign w:val="center"/>
          </w:tcPr>
          <w:p w:rsidR="00CC13DC" w:rsidRPr="00AC6172" w:rsidRDefault="00322B70" w:rsidP="00CC13DC">
            <w:pPr>
              <w:spacing w:before="60" w:after="60"/>
              <w:jc w:val="center"/>
              <w:rPr>
                <w:sz w:val="20"/>
              </w:rPr>
            </w:pPr>
            <w:r>
              <w:rPr>
                <w:sz w:val="20"/>
              </w:rPr>
              <w:t>2</w:t>
            </w:r>
            <w:r w:rsidR="00CC13DC" w:rsidRPr="00AC6172">
              <w:rPr>
                <w:sz w:val="20"/>
              </w:rPr>
              <w:t>346</w:t>
            </w:r>
          </w:p>
        </w:tc>
      </w:tr>
      <w:tr w:rsidR="00CC2CA6" w:rsidRPr="00AC6172" w:rsidTr="00CC2CA6">
        <w:tc>
          <w:tcPr>
            <w:tcW w:w="3109" w:type="dxa"/>
            <w:vAlign w:val="center"/>
          </w:tcPr>
          <w:p w:rsidR="00CC2CA6" w:rsidRPr="00AC6172" w:rsidRDefault="00CC2CA6" w:rsidP="00CC13DC">
            <w:pPr>
              <w:spacing w:before="60" w:after="60"/>
              <w:rPr>
                <w:sz w:val="20"/>
              </w:rPr>
            </w:pPr>
            <w:r w:rsidRPr="00AC6172">
              <w:rPr>
                <w:sz w:val="20"/>
              </w:rPr>
              <w:t>HFC-</w:t>
            </w:r>
            <w:r>
              <w:rPr>
                <w:sz w:val="20"/>
              </w:rPr>
              <w:t>428A</w:t>
            </w:r>
          </w:p>
        </w:tc>
        <w:tc>
          <w:tcPr>
            <w:tcW w:w="3248" w:type="dxa"/>
            <w:vAlign w:val="center"/>
          </w:tcPr>
          <w:p w:rsidR="00CC2CA6" w:rsidRPr="00AC6172" w:rsidRDefault="00322B70" w:rsidP="00CC13DC">
            <w:pPr>
              <w:spacing w:before="60" w:after="60"/>
              <w:jc w:val="center"/>
              <w:rPr>
                <w:sz w:val="20"/>
              </w:rPr>
            </w:pPr>
            <w:r>
              <w:rPr>
                <w:sz w:val="20"/>
              </w:rPr>
              <w:t>2</w:t>
            </w:r>
            <w:r w:rsidR="00CC2CA6">
              <w:rPr>
                <w:sz w:val="20"/>
              </w:rPr>
              <w:t>930</w:t>
            </w:r>
          </w:p>
        </w:tc>
        <w:tc>
          <w:tcPr>
            <w:tcW w:w="3248" w:type="dxa"/>
            <w:vAlign w:val="center"/>
          </w:tcPr>
          <w:p w:rsidR="00CC2CA6" w:rsidRPr="00AC6172" w:rsidRDefault="00322B70" w:rsidP="00CC13DC">
            <w:pPr>
              <w:spacing w:before="60" w:after="60"/>
              <w:jc w:val="center"/>
              <w:rPr>
                <w:sz w:val="20"/>
              </w:rPr>
            </w:pPr>
            <w:r>
              <w:rPr>
                <w:sz w:val="20"/>
              </w:rPr>
              <w:t>2</w:t>
            </w:r>
            <w:r w:rsidR="00CC2CA6" w:rsidRPr="00C36D3D">
              <w:rPr>
                <w:sz w:val="20"/>
              </w:rPr>
              <w:t>265</w:t>
            </w:r>
          </w:p>
        </w:tc>
      </w:tr>
      <w:tr w:rsidR="00CC2CA6" w:rsidRPr="00AC6172" w:rsidTr="00CC2CA6">
        <w:tc>
          <w:tcPr>
            <w:tcW w:w="3109" w:type="dxa"/>
            <w:vAlign w:val="center"/>
          </w:tcPr>
          <w:p w:rsidR="00CC2CA6" w:rsidRPr="00AC6172" w:rsidRDefault="00CC2CA6" w:rsidP="00CC13DC">
            <w:pPr>
              <w:spacing w:before="60" w:after="60"/>
              <w:rPr>
                <w:sz w:val="20"/>
              </w:rPr>
            </w:pPr>
            <w:r>
              <w:rPr>
                <w:sz w:val="20"/>
              </w:rPr>
              <w:t>HFC-438A</w:t>
            </w:r>
          </w:p>
        </w:tc>
        <w:tc>
          <w:tcPr>
            <w:tcW w:w="3248" w:type="dxa"/>
            <w:vAlign w:val="center"/>
          </w:tcPr>
          <w:p w:rsidR="00CC2CA6" w:rsidRPr="00AC6172" w:rsidRDefault="00322B70" w:rsidP="00CC13DC">
            <w:pPr>
              <w:spacing w:before="60" w:after="60"/>
              <w:jc w:val="center"/>
              <w:rPr>
                <w:sz w:val="20"/>
              </w:rPr>
            </w:pPr>
            <w:r>
              <w:rPr>
                <w:sz w:val="20"/>
              </w:rPr>
              <w:t>1</w:t>
            </w:r>
            <w:r w:rsidR="00CC2CA6" w:rsidRPr="001B5795">
              <w:rPr>
                <w:sz w:val="20"/>
              </w:rPr>
              <w:t>890</w:t>
            </w:r>
          </w:p>
        </w:tc>
        <w:tc>
          <w:tcPr>
            <w:tcW w:w="3248" w:type="dxa"/>
            <w:vAlign w:val="center"/>
          </w:tcPr>
          <w:p w:rsidR="00CC2CA6" w:rsidRPr="00AC6172" w:rsidRDefault="00322B70" w:rsidP="00CC13DC">
            <w:pPr>
              <w:spacing w:before="60" w:after="60"/>
              <w:jc w:val="center"/>
              <w:rPr>
                <w:sz w:val="20"/>
              </w:rPr>
            </w:pPr>
            <w:r>
              <w:rPr>
                <w:sz w:val="20"/>
              </w:rPr>
              <w:t>3</w:t>
            </w:r>
            <w:r w:rsidR="00CC2CA6" w:rsidRPr="00C36D3D">
              <w:rPr>
                <w:sz w:val="20"/>
              </w:rPr>
              <w:t>667</w:t>
            </w:r>
          </w:p>
        </w:tc>
      </w:tr>
      <w:tr w:rsidR="00CC2CA6" w:rsidRPr="00AC6172" w:rsidTr="00CC2CA6">
        <w:tc>
          <w:tcPr>
            <w:tcW w:w="3109" w:type="dxa"/>
            <w:vAlign w:val="center"/>
          </w:tcPr>
          <w:p w:rsidR="00CC2CA6" w:rsidRPr="00AC6172" w:rsidRDefault="00CC2CA6" w:rsidP="00CC13DC">
            <w:pPr>
              <w:spacing w:before="60" w:after="60"/>
              <w:rPr>
                <w:sz w:val="20"/>
              </w:rPr>
            </w:pPr>
            <w:r>
              <w:rPr>
                <w:sz w:val="20"/>
              </w:rPr>
              <w:t>HFC-507A</w:t>
            </w:r>
          </w:p>
        </w:tc>
        <w:tc>
          <w:tcPr>
            <w:tcW w:w="3248" w:type="dxa"/>
            <w:vAlign w:val="center"/>
          </w:tcPr>
          <w:p w:rsidR="00CC2CA6" w:rsidRPr="00AC6172" w:rsidRDefault="00322B70" w:rsidP="00CC13DC">
            <w:pPr>
              <w:spacing w:before="60" w:after="60"/>
              <w:jc w:val="center"/>
              <w:rPr>
                <w:sz w:val="20"/>
              </w:rPr>
            </w:pPr>
            <w:r>
              <w:rPr>
                <w:sz w:val="20"/>
              </w:rPr>
              <w:t>3</w:t>
            </w:r>
            <w:r w:rsidR="00CC2CA6" w:rsidRPr="001B5795">
              <w:rPr>
                <w:sz w:val="20"/>
              </w:rPr>
              <w:t>300</w:t>
            </w:r>
          </w:p>
        </w:tc>
        <w:tc>
          <w:tcPr>
            <w:tcW w:w="3248" w:type="dxa"/>
            <w:vAlign w:val="center"/>
          </w:tcPr>
          <w:p w:rsidR="00CC2CA6" w:rsidRPr="00AC6172" w:rsidRDefault="00322B70" w:rsidP="00CC13DC">
            <w:pPr>
              <w:spacing w:before="60" w:after="60"/>
              <w:jc w:val="center"/>
              <w:rPr>
                <w:sz w:val="20"/>
              </w:rPr>
            </w:pPr>
            <w:r>
              <w:rPr>
                <w:sz w:val="20"/>
              </w:rPr>
              <w:t>3</w:t>
            </w:r>
            <w:r w:rsidR="00CC2CA6" w:rsidRPr="00C36D3D">
              <w:rPr>
                <w:sz w:val="20"/>
              </w:rPr>
              <w:t>985</w:t>
            </w:r>
          </w:p>
        </w:tc>
      </w:tr>
      <w:tr w:rsidR="00CC2CA6" w:rsidRPr="00AC6172" w:rsidTr="00CC2CA6">
        <w:tc>
          <w:tcPr>
            <w:tcW w:w="3109" w:type="dxa"/>
            <w:vAlign w:val="center"/>
          </w:tcPr>
          <w:p w:rsidR="00CC2CA6" w:rsidRPr="00AC6172" w:rsidRDefault="00CC2CA6" w:rsidP="00CC13DC">
            <w:pPr>
              <w:spacing w:before="60" w:after="60"/>
              <w:rPr>
                <w:sz w:val="20"/>
              </w:rPr>
            </w:pPr>
            <w:r w:rsidRPr="00AC6172">
              <w:rPr>
                <w:sz w:val="20"/>
              </w:rPr>
              <w:t>HFC-227ea</w:t>
            </w:r>
            <w:r>
              <w:rPr>
                <w:sz w:val="20"/>
              </w:rPr>
              <w:t xml:space="preserve"> </w:t>
            </w:r>
            <w:r w:rsidRPr="00690A68">
              <w:rPr>
                <w:sz w:val="20"/>
                <w:szCs w:val="20"/>
                <w:vertAlign w:val="superscript"/>
              </w:rPr>
              <w:t>(</w:t>
            </w:r>
            <w:r w:rsidR="002E5035">
              <w:rPr>
                <w:sz w:val="20"/>
                <w:szCs w:val="20"/>
                <w:vertAlign w:val="superscript"/>
              </w:rPr>
              <w:t>3</w:t>
            </w:r>
            <w:r w:rsidRPr="00690A68">
              <w:rPr>
                <w:sz w:val="20"/>
                <w:szCs w:val="20"/>
                <w:vertAlign w:val="superscript"/>
              </w:rPr>
              <w:t>)</w:t>
            </w:r>
          </w:p>
        </w:tc>
        <w:tc>
          <w:tcPr>
            <w:tcW w:w="3248" w:type="dxa"/>
            <w:vAlign w:val="center"/>
          </w:tcPr>
          <w:p w:rsidR="00CC2CA6" w:rsidRPr="00AC6172" w:rsidRDefault="00322B70" w:rsidP="00CC13DC">
            <w:pPr>
              <w:spacing w:before="60" w:after="60"/>
              <w:jc w:val="center"/>
              <w:rPr>
                <w:sz w:val="20"/>
              </w:rPr>
            </w:pPr>
            <w:r>
              <w:rPr>
                <w:sz w:val="20"/>
              </w:rPr>
              <w:t>2</w:t>
            </w:r>
            <w:r w:rsidR="00CC2CA6" w:rsidRPr="00AC6172">
              <w:rPr>
                <w:sz w:val="20"/>
              </w:rPr>
              <w:t>900</w:t>
            </w:r>
          </w:p>
        </w:tc>
        <w:tc>
          <w:tcPr>
            <w:tcW w:w="3248" w:type="dxa"/>
            <w:vAlign w:val="center"/>
          </w:tcPr>
          <w:p w:rsidR="00CC2CA6" w:rsidRPr="00AC6172" w:rsidRDefault="00322B70" w:rsidP="00CC13DC">
            <w:pPr>
              <w:spacing w:before="60" w:after="60"/>
              <w:jc w:val="center"/>
              <w:rPr>
                <w:sz w:val="20"/>
              </w:rPr>
            </w:pPr>
            <w:r>
              <w:rPr>
                <w:sz w:val="20"/>
              </w:rPr>
              <w:t>3</w:t>
            </w:r>
            <w:r w:rsidR="00CC2CA6" w:rsidRPr="00AC6172">
              <w:rPr>
                <w:sz w:val="20"/>
              </w:rPr>
              <w:t>220</w:t>
            </w:r>
          </w:p>
        </w:tc>
      </w:tr>
      <w:tr w:rsidR="00CC2CA6" w:rsidRPr="00AC6172" w:rsidTr="00CC2CA6">
        <w:tc>
          <w:tcPr>
            <w:tcW w:w="3109" w:type="dxa"/>
            <w:vAlign w:val="center"/>
          </w:tcPr>
          <w:p w:rsidR="00CC2CA6" w:rsidRPr="00AC6172" w:rsidRDefault="00CC2CA6" w:rsidP="00CC13DC">
            <w:pPr>
              <w:spacing w:before="60" w:after="60"/>
              <w:rPr>
                <w:sz w:val="20"/>
              </w:rPr>
            </w:pPr>
            <w:r w:rsidRPr="00AC6172">
              <w:rPr>
                <w:sz w:val="20"/>
              </w:rPr>
              <w:t>HFC-245fa</w:t>
            </w:r>
            <w:r>
              <w:rPr>
                <w:sz w:val="20"/>
              </w:rPr>
              <w:t xml:space="preserve"> </w:t>
            </w:r>
            <w:r w:rsidRPr="00690A68">
              <w:rPr>
                <w:sz w:val="20"/>
                <w:szCs w:val="20"/>
                <w:vertAlign w:val="superscript"/>
              </w:rPr>
              <w:t>(</w:t>
            </w:r>
            <w:r w:rsidR="002E5035">
              <w:rPr>
                <w:sz w:val="20"/>
                <w:szCs w:val="20"/>
                <w:vertAlign w:val="superscript"/>
              </w:rPr>
              <w:t>3</w:t>
            </w:r>
            <w:r w:rsidRPr="00690A68">
              <w:rPr>
                <w:sz w:val="20"/>
                <w:szCs w:val="20"/>
                <w:vertAlign w:val="superscript"/>
              </w:rPr>
              <w:t>)</w:t>
            </w:r>
          </w:p>
        </w:tc>
        <w:tc>
          <w:tcPr>
            <w:tcW w:w="3248" w:type="dxa"/>
            <w:vAlign w:val="center"/>
          </w:tcPr>
          <w:p w:rsidR="00CC2CA6" w:rsidRPr="00AC6172" w:rsidRDefault="00CC2CA6" w:rsidP="00CC13DC">
            <w:pPr>
              <w:spacing w:before="60" w:after="60"/>
              <w:jc w:val="center"/>
              <w:rPr>
                <w:sz w:val="20"/>
              </w:rPr>
            </w:pPr>
            <w:r w:rsidRPr="00AC6172">
              <w:rPr>
                <w:sz w:val="20"/>
              </w:rPr>
              <w:t>-</w:t>
            </w:r>
          </w:p>
        </w:tc>
        <w:tc>
          <w:tcPr>
            <w:tcW w:w="3248" w:type="dxa"/>
            <w:vAlign w:val="center"/>
          </w:tcPr>
          <w:p w:rsidR="00CC2CA6" w:rsidRPr="00AC6172" w:rsidRDefault="00322B70" w:rsidP="00CC13DC">
            <w:pPr>
              <w:spacing w:before="60" w:after="60"/>
              <w:jc w:val="center"/>
              <w:rPr>
                <w:sz w:val="20"/>
              </w:rPr>
            </w:pPr>
            <w:r>
              <w:rPr>
                <w:sz w:val="20"/>
              </w:rPr>
              <w:t>1</w:t>
            </w:r>
            <w:r w:rsidR="00CC2CA6" w:rsidRPr="00AC6172">
              <w:rPr>
                <w:sz w:val="20"/>
              </w:rPr>
              <w:t>030</w:t>
            </w:r>
          </w:p>
        </w:tc>
      </w:tr>
      <w:tr w:rsidR="00CC2CA6" w:rsidRPr="00AC6172" w:rsidTr="00CC2CA6">
        <w:tc>
          <w:tcPr>
            <w:tcW w:w="3109" w:type="dxa"/>
            <w:tcBorders>
              <w:bottom w:val="single" w:sz="4" w:space="0" w:color="000000"/>
            </w:tcBorders>
            <w:vAlign w:val="center"/>
          </w:tcPr>
          <w:p w:rsidR="00CC2CA6" w:rsidRPr="00AC6172" w:rsidRDefault="00CC2CA6" w:rsidP="00CC13DC">
            <w:pPr>
              <w:spacing w:before="60" w:after="60"/>
              <w:rPr>
                <w:sz w:val="20"/>
              </w:rPr>
            </w:pPr>
            <w:r w:rsidRPr="00AC6172">
              <w:rPr>
                <w:sz w:val="20"/>
              </w:rPr>
              <w:t>HFC-365mfc</w:t>
            </w:r>
            <w:r>
              <w:rPr>
                <w:sz w:val="20"/>
              </w:rPr>
              <w:t xml:space="preserve"> </w:t>
            </w:r>
            <w:r w:rsidRPr="00690A68">
              <w:rPr>
                <w:sz w:val="20"/>
                <w:szCs w:val="20"/>
                <w:vertAlign w:val="superscript"/>
              </w:rPr>
              <w:t>(</w:t>
            </w:r>
            <w:r w:rsidR="002E5035">
              <w:rPr>
                <w:sz w:val="20"/>
                <w:szCs w:val="20"/>
                <w:vertAlign w:val="superscript"/>
              </w:rPr>
              <w:t>3</w:t>
            </w:r>
            <w:r w:rsidRPr="00690A68">
              <w:rPr>
                <w:sz w:val="20"/>
                <w:szCs w:val="20"/>
                <w:vertAlign w:val="superscript"/>
              </w:rPr>
              <w:t>)</w:t>
            </w:r>
          </w:p>
        </w:tc>
        <w:tc>
          <w:tcPr>
            <w:tcW w:w="3248" w:type="dxa"/>
            <w:tcBorders>
              <w:bottom w:val="single" w:sz="4" w:space="0" w:color="000000"/>
            </w:tcBorders>
            <w:vAlign w:val="center"/>
          </w:tcPr>
          <w:p w:rsidR="00CC2CA6" w:rsidRPr="00AC6172" w:rsidRDefault="00CC2CA6" w:rsidP="00CC13DC">
            <w:pPr>
              <w:spacing w:before="60" w:after="60"/>
              <w:jc w:val="center"/>
              <w:rPr>
                <w:sz w:val="20"/>
              </w:rPr>
            </w:pPr>
            <w:r w:rsidRPr="00AC6172">
              <w:rPr>
                <w:sz w:val="20"/>
              </w:rPr>
              <w:t>-</w:t>
            </w:r>
          </w:p>
        </w:tc>
        <w:tc>
          <w:tcPr>
            <w:tcW w:w="3248" w:type="dxa"/>
            <w:tcBorders>
              <w:bottom w:val="single" w:sz="4" w:space="0" w:color="000000"/>
            </w:tcBorders>
            <w:vAlign w:val="center"/>
          </w:tcPr>
          <w:p w:rsidR="00CC2CA6" w:rsidRPr="00AC6172" w:rsidRDefault="00CC2CA6" w:rsidP="00CC13DC">
            <w:pPr>
              <w:spacing w:before="60" w:after="60"/>
              <w:jc w:val="center"/>
              <w:rPr>
                <w:sz w:val="20"/>
              </w:rPr>
            </w:pPr>
            <w:r w:rsidRPr="00AC6172">
              <w:rPr>
                <w:sz w:val="20"/>
              </w:rPr>
              <w:t>794</w:t>
            </w:r>
          </w:p>
        </w:tc>
      </w:tr>
      <w:tr w:rsidR="00CC2CA6" w:rsidRPr="00AC6172" w:rsidTr="00CC2CA6">
        <w:tc>
          <w:tcPr>
            <w:tcW w:w="9605" w:type="dxa"/>
            <w:gridSpan w:val="3"/>
            <w:shd w:val="clear" w:color="auto" w:fill="CCFFFF"/>
            <w:vAlign w:val="center"/>
          </w:tcPr>
          <w:p w:rsidR="00CC2CA6" w:rsidRPr="00AC6172" w:rsidRDefault="00CC2CA6" w:rsidP="002E5035">
            <w:pPr>
              <w:spacing w:before="60" w:after="60"/>
              <w:rPr>
                <w:sz w:val="20"/>
              </w:rPr>
            </w:pPr>
            <w:r w:rsidRPr="00AC6172">
              <w:rPr>
                <w:sz w:val="20"/>
              </w:rPr>
              <w:t>Low</w:t>
            </w:r>
            <w:r w:rsidR="00322B70">
              <w:rPr>
                <w:sz w:val="20"/>
              </w:rPr>
              <w:t>er</w:t>
            </w:r>
            <w:r w:rsidRPr="00AC6172">
              <w:rPr>
                <w:sz w:val="20"/>
              </w:rPr>
              <w:t xml:space="preserve"> </w:t>
            </w:r>
            <w:r w:rsidR="00322B70">
              <w:rPr>
                <w:sz w:val="20"/>
              </w:rPr>
              <w:t xml:space="preserve">or nil </w:t>
            </w:r>
            <w:r w:rsidRPr="00AC6172">
              <w:rPr>
                <w:sz w:val="20"/>
              </w:rPr>
              <w:t>GWP alternatives</w:t>
            </w:r>
            <w:r>
              <w:rPr>
                <w:sz w:val="20"/>
              </w:rPr>
              <w:t xml:space="preserve"> </w:t>
            </w:r>
          </w:p>
        </w:tc>
      </w:tr>
      <w:tr w:rsidR="00CC2CA6" w:rsidRPr="00AC6172" w:rsidTr="00CC2CA6">
        <w:tc>
          <w:tcPr>
            <w:tcW w:w="3109" w:type="dxa"/>
            <w:vAlign w:val="center"/>
          </w:tcPr>
          <w:p w:rsidR="00CC2CA6" w:rsidRPr="00AC6172" w:rsidRDefault="00CC2CA6" w:rsidP="002E5035">
            <w:pPr>
              <w:spacing w:before="60" w:after="60"/>
              <w:rPr>
                <w:sz w:val="20"/>
              </w:rPr>
            </w:pPr>
            <w:r w:rsidRPr="00AC6172">
              <w:rPr>
                <w:sz w:val="20"/>
              </w:rPr>
              <w:t>HC-600a</w:t>
            </w:r>
            <w:r w:rsidR="009F51EE">
              <w:rPr>
                <w:sz w:val="20"/>
              </w:rPr>
              <w:t xml:space="preserve"> </w:t>
            </w:r>
            <w:r w:rsidR="009F51EE" w:rsidRPr="00690A68">
              <w:rPr>
                <w:sz w:val="20"/>
                <w:szCs w:val="20"/>
                <w:vertAlign w:val="superscript"/>
              </w:rPr>
              <w:t>(</w:t>
            </w:r>
            <w:r w:rsidR="002E5035">
              <w:rPr>
                <w:sz w:val="20"/>
                <w:szCs w:val="20"/>
                <w:vertAlign w:val="superscript"/>
              </w:rPr>
              <w:t>4</w:t>
            </w:r>
            <w:r w:rsidR="009F51EE" w:rsidRPr="00690A68">
              <w:rPr>
                <w:sz w:val="20"/>
                <w:szCs w:val="20"/>
                <w:vertAlign w:val="superscript"/>
              </w:rPr>
              <w:t>)</w:t>
            </w:r>
          </w:p>
        </w:tc>
        <w:tc>
          <w:tcPr>
            <w:tcW w:w="3248" w:type="dxa"/>
            <w:vAlign w:val="center"/>
          </w:tcPr>
          <w:p w:rsidR="00CC2CA6" w:rsidRPr="00AC6172" w:rsidRDefault="00CC2CA6" w:rsidP="00CC13DC">
            <w:pPr>
              <w:spacing w:before="60" w:after="60"/>
              <w:jc w:val="center"/>
              <w:rPr>
                <w:sz w:val="20"/>
              </w:rPr>
            </w:pPr>
            <w:r w:rsidRPr="00AC6172">
              <w:rPr>
                <w:sz w:val="20"/>
              </w:rPr>
              <w:t>-</w:t>
            </w:r>
          </w:p>
        </w:tc>
        <w:tc>
          <w:tcPr>
            <w:tcW w:w="3248" w:type="dxa"/>
            <w:vAlign w:val="center"/>
          </w:tcPr>
          <w:p w:rsidR="00CC2CA6" w:rsidRPr="00AC6172" w:rsidRDefault="00CC2CA6" w:rsidP="00CC13DC">
            <w:pPr>
              <w:spacing w:before="60" w:after="60"/>
              <w:jc w:val="center"/>
              <w:rPr>
                <w:sz w:val="20"/>
              </w:rPr>
            </w:pPr>
            <w:r w:rsidRPr="00AC6172">
              <w:rPr>
                <w:sz w:val="20"/>
              </w:rPr>
              <w:t>3</w:t>
            </w:r>
          </w:p>
        </w:tc>
      </w:tr>
      <w:tr w:rsidR="00CC2CA6" w:rsidRPr="00AC6172" w:rsidTr="00CC2CA6">
        <w:tc>
          <w:tcPr>
            <w:tcW w:w="3109" w:type="dxa"/>
            <w:vAlign w:val="center"/>
          </w:tcPr>
          <w:p w:rsidR="00CC2CA6" w:rsidRPr="00AC6172" w:rsidRDefault="00CC2CA6" w:rsidP="00CC13DC">
            <w:pPr>
              <w:spacing w:before="60" w:after="60"/>
              <w:rPr>
                <w:sz w:val="20"/>
              </w:rPr>
            </w:pPr>
            <w:r w:rsidRPr="00AC6172">
              <w:rPr>
                <w:sz w:val="20"/>
              </w:rPr>
              <w:t>HC-290</w:t>
            </w:r>
          </w:p>
        </w:tc>
        <w:tc>
          <w:tcPr>
            <w:tcW w:w="3248" w:type="dxa"/>
            <w:vAlign w:val="center"/>
          </w:tcPr>
          <w:p w:rsidR="00CC2CA6" w:rsidRPr="00AC6172" w:rsidRDefault="00CC2CA6" w:rsidP="00CC13DC">
            <w:pPr>
              <w:spacing w:before="60" w:after="60"/>
              <w:jc w:val="center"/>
              <w:rPr>
                <w:sz w:val="20"/>
              </w:rPr>
            </w:pPr>
            <w:r w:rsidRPr="00AC6172">
              <w:rPr>
                <w:sz w:val="20"/>
              </w:rPr>
              <w:t>-</w:t>
            </w:r>
          </w:p>
        </w:tc>
        <w:tc>
          <w:tcPr>
            <w:tcW w:w="3248" w:type="dxa"/>
            <w:vAlign w:val="center"/>
          </w:tcPr>
          <w:p w:rsidR="00CC2CA6" w:rsidRPr="00AC6172" w:rsidRDefault="00CC2CA6" w:rsidP="00CC13DC">
            <w:pPr>
              <w:spacing w:before="60" w:after="60"/>
              <w:jc w:val="center"/>
              <w:rPr>
                <w:sz w:val="20"/>
              </w:rPr>
            </w:pPr>
            <w:r w:rsidRPr="00AC6172">
              <w:rPr>
                <w:sz w:val="20"/>
              </w:rPr>
              <w:t>3</w:t>
            </w:r>
          </w:p>
        </w:tc>
      </w:tr>
      <w:tr w:rsidR="00CC2CA6" w:rsidRPr="00AC6172" w:rsidTr="00CC2CA6">
        <w:tc>
          <w:tcPr>
            <w:tcW w:w="3109" w:type="dxa"/>
            <w:vAlign w:val="center"/>
          </w:tcPr>
          <w:p w:rsidR="00CC2CA6" w:rsidRPr="00AC6172" w:rsidRDefault="00CC2CA6" w:rsidP="00CC13DC">
            <w:pPr>
              <w:spacing w:before="60" w:after="60"/>
              <w:rPr>
                <w:sz w:val="20"/>
              </w:rPr>
            </w:pPr>
            <w:r w:rsidRPr="00AC6172">
              <w:rPr>
                <w:sz w:val="20"/>
              </w:rPr>
              <w:t>CO</w:t>
            </w:r>
            <w:r w:rsidRPr="008C5E3F">
              <w:rPr>
                <w:sz w:val="20"/>
                <w:vertAlign w:val="subscript"/>
              </w:rPr>
              <w:t>2</w:t>
            </w:r>
            <w:r w:rsidRPr="00AC6172">
              <w:rPr>
                <w:sz w:val="20"/>
              </w:rPr>
              <w:t xml:space="preserve"> (R744)</w:t>
            </w:r>
          </w:p>
        </w:tc>
        <w:tc>
          <w:tcPr>
            <w:tcW w:w="3248" w:type="dxa"/>
            <w:vAlign w:val="center"/>
          </w:tcPr>
          <w:p w:rsidR="00CC2CA6" w:rsidRPr="00AC6172" w:rsidRDefault="00CC2CA6" w:rsidP="00CC13DC">
            <w:pPr>
              <w:spacing w:before="60" w:after="60"/>
              <w:jc w:val="center"/>
              <w:rPr>
                <w:sz w:val="20"/>
              </w:rPr>
            </w:pPr>
            <w:r w:rsidRPr="00AC6172">
              <w:rPr>
                <w:sz w:val="20"/>
              </w:rPr>
              <w:t>-</w:t>
            </w:r>
          </w:p>
        </w:tc>
        <w:tc>
          <w:tcPr>
            <w:tcW w:w="3248" w:type="dxa"/>
            <w:vAlign w:val="center"/>
          </w:tcPr>
          <w:p w:rsidR="00CC2CA6" w:rsidRPr="00AC6172" w:rsidRDefault="00CC2CA6" w:rsidP="00CC13DC">
            <w:pPr>
              <w:spacing w:before="60" w:after="60"/>
              <w:jc w:val="center"/>
              <w:rPr>
                <w:sz w:val="20"/>
              </w:rPr>
            </w:pPr>
            <w:r w:rsidRPr="00AC6172">
              <w:rPr>
                <w:sz w:val="20"/>
              </w:rPr>
              <w:t>1</w:t>
            </w:r>
          </w:p>
        </w:tc>
      </w:tr>
      <w:tr w:rsidR="00CC2CA6" w:rsidRPr="00AC6172" w:rsidTr="00CC2CA6">
        <w:tc>
          <w:tcPr>
            <w:tcW w:w="3109" w:type="dxa"/>
            <w:vAlign w:val="center"/>
          </w:tcPr>
          <w:p w:rsidR="00CC2CA6" w:rsidRPr="00AC6172" w:rsidRDefault="00CC2CA6" w:rsidP="00CC13DC">
            <w:pPr>
              <w:spacing w:before="60" w:after="60"/>
              <w:rPr>
                <w:sz w:val="20"/>
              </w:rPr>
            </w:pPr>
            <w:r w:rsidRPr="00AC6172">
              <w:rPr>
                <w:sz w:val="20"/>
              </w:rPr>
              <w:t>Ammonia (R717)</w:t>
            </w:r>
          </w:p>
        </w:tc>
        <w:tc>
          <w:tcPr>
            <w:tcW w:w="3248" w:type="dxa"/>
            <w:vAlign w:val="center"/>
          </w:tcPr>
          <w:p w:rsidR="00CC2CA6" w:rsidRPr="00AC6172" w:rsidRDefault="00CC2CA6" w:rsidP="00CC13DC">
            <w:pPr>
              <w:spacing w:before="60" w:after="60"/>
              <w:jc w:val="center"/>
              <w:rPr>
                <w:sz w:val="20"/>
              </w:rPr>
            </w:pPr>
            <w:r w:rsidRPr="00AC6172">
              <w:rPr>
                <w:sz w:val="20"/>
              </w:rPr>
              <w:t>-</w:t>
            </w:r>
          </w:p>
        </w:tc>
        <w:tc>
          <w:tcPr>
            <w:tcW w:w="3248" w:type="dxa"/>
            <w:vAlign w:val="center"/>
          </w:tcPr>
          <w:p w:rsidR="00CC2CA6" w:rsidRPr="00AC6172" w:rsidRDefault="00CC2CA6" w:rsidP="00CC13DC">
            <w:pPr>
              <w:spacing w:before="60" w:after="60"/>
              <w:jc w:val="center"/>
              <w:rPr>
                <w:sz w:val="20"/>
              </w:rPr>
            </w:pPr>
            <w:r w:rsidRPr="00AC6172">
              <w:rPr>
                <w:sz w:val="20"/>
              </w:rPr>
              <w:t>0</w:t>
            </w:r>
          </w:p>
        </w:tc>
      </w:tr>
      <w:tr w:rsidR="00CC2CA6" w:rsidRPr="00AC6172" w:rsidTr="00CC2CA6">
        <w:tc>
          <w:tcPr>
            <w:tcW w:w="3109" w:type="dxa"/>
            <w:vAlign w:val="center"/>
          </w:tcPr>
          <w:p w:rsidR="00CC2CA6" w:rsidRPr="00AC6172" w:rsidRDefault="00CC2CA6" w:rsidP="001D1740">
            <w:pPr>
              <w:spacing w:before="60" w:after="60"/>
              <w:rPr>
                <w:sz w:val="20"/>
              </w:rPr>
            </w:pPr>
            <w:r w:rsidRPr="00AC6172">
              <w:rPr>
                <w:sz w:val="20"/>
              </w:rPr>
              <w:t>HFO-1234yf</w:t>
            </w:r>
            <w:r w:rsidR="009F51EE">
              <w:rPr>
                <w:sz w:val="20"/>
              </w:rPr>
              <w:t xml:space="preserve"> </w:t>
            </w:r>
            <w:r w:rsidR="002E5035" w:rsidRPr="00690A68">
              <w:rPr>
                <w:sz w:val="20"/>
                <w:szCs w:val="20"/>
                <w:vertAlign w:val="superscript"/>
              </w:rPr>
              <w:t>(</w:t>
            </w:r>
            <w:r w:rsidR="002E5035">
              <w:rPr>
                <w:sz w:val="20"/>
                <w:szCs w:val="20"/>
                <w:vertAlign w:val="superscript"/>
              </w:rPr>
              <w:t>5</w:t>
            </w:r>
            <w:r w:rsidR="002E5035" w:rsidRPr="00690A68">
              <w:rPr>
                <w:sz w:val="20"/>
                <w:szCs w:val="20"/>
                <w:vertAlign w:val="superscript"/>
              </w:rPr>
              <w:t>)</w:t>
            </w:r>
          </w:p>
        </w:tc>
        <w:tc>
          <w:tcPr>
            <w:tcW w:w="3248" w:type="dxa"/>
            <w:vAlign w:val="center"/>
          </w:tcPr>
          <w:p w:rsidR="00CC2CA6" w:rsidRPr="00AC6172" w:rsidRDefault="00CC2CA6" w:rsidP="00CC13DC">
            <w:pPr>
              <w:spacing w:before="60" w:after="60"/>
              <w:jc w:val="center"/>
              <w:rPr>
                <w:sz w:val="20"/>
              </w:rPr>
            </w:pPr>
            <w:r w:rsidRPr="00AC6172">
              <w:rPr>
                <w:sz w:val="20"/>
              </w:rPr>
              <w:t>-</w:t>
            </w:r>
          </w:p>
        </w:tc>
        <w:tc>
          <w:tcPr>
            <w:tcW w:w="3248" w:type="dxa"/>
            <w:vAlign w:val="center"/>
          </w:tcPr>
          <w:p w:rsidR="00CC2CA6" w:rsidRPr="00AC6172" w:rsidRDefault="00CC2CA6" w:rsidP="00CC13DC">
            <w:pPr>
              <w:spacing w:before="60" w:after="60"/>
              <w:jc w:val="center"/>
              <w:rPr>
                <w:sz w:val="20"/>
              </w:rPr>
            </w:pPr>
            <w:r w:rsidRPr="00AC6172">
              <w:rPr>
                <w:sz w:val="20"/>
              </w:rPr>
              <w:t>4</w:t>
            </w:r>
          </w:p>
        </w:tc>
      </w:tr>
      <w:tr w:rsidR="00CC2CA6" w:rsidRPr="00AC6172" w:rsidTr="00CC2CA6">
        <w:tc>
          <w:tcPr>
            <w:tcW w:w="3109" w:type="dxa"/>
            <w:vAlign w:val="center"/>
          </w:tcPr>
          <w:p w:rsidR="00CC2CA6" w:rsidRPr="00AC6172" w:rsidRDefault="00CC2CA6" w:rsidP="00CC13DC">
            <w:pPr>
              <w:spacing w:before="60" w:after="60"/>
              <w:rPr>
                <w:sz w:val="20"/>
              </w:rPr>
            </w:pPr>
            <w:r w:rsidRPr="00AC6172">
              <w:rPr>
                <w:sz w:val="20"/>
              </w:rPr>
              <w:t>HFO-1234ze</w:t>
            </w:r>
            <w:r w:rsidR="001D1740">
              <w:rPr>
                <w:sz w:val="20"/>
              </w:rPr>
              <w:t>(E)</w:t>
            </w:r>
          </w:p>
        </w:tc>
        <w:tc>
          <w:tcPr>
            <w:tcW w:w="3248" w:type="dxa"/>
            <w:vAlign w:val="center"/>
          </w:tcPr>
          <w:p w:rsidR="00CC2CA6" w:rsidRPr="00AC6172" w:rsidRDefault="00CC2CA6" w:rsidP="00CC13DC">
            <w:pPr>
              <w:spacing w:before="60" w:after="60"/>
              <w:jc w:val="center"/>
              <w:rPr>
                <w:sz w:val="20"/>
              </w:rPr>
            </w:pPr>
            <w:r w:rsidRPr="00AC6172">
              <w:rPr>
                <w:sz w:val="20"/>
              </w:rPr>
              <w:t>-</w:t>
            </w:r>
          </w:p>
        </w:tc>
        <w:tc>
          <w:tcPr>
            <w:tcW w:w="3248" w:type="dxa"/>
            <w:vAlign w:val="center"/>
          </w:tcPr>
          <w:p w:rsidR="00CC2CA6" w:rsidRPr="00AC6172" w:rsidRDefault="00CC2CA6" w:rsidP="00CC13DC">
            <w:pPr>
              <w:spacing w:before="60" w:after="60"/>
              <w:jc w:val="center"/>
              <w:rPr>
                <w:sz w:val="20"/>
              </w:rPr>
            </w:pPr>
            <w:r w:rsidRPr="00AC6172">
              <w:rPr>
                <w:sz w:val="20"/>
              </w:rPr>
              <w:t>6</w:t>
            </w:r>
          </w:p>
        </w:tc>
      </w:tr>
      <w:tr w:rsidR="001D1740" w:rsidRPr="00AC6172" w:rsidTr="00CC2CA6">
        <w:tc>
          <w:tcPr>
            <w:tcW w:w="3109" w:type="dxa"/>
            <w:vAlign w:val="center"/>
          </w:tcPr>
          <w:p w:rsidR="001D1740" w:rsidRPr="00AC6172" w:rsidRDefault="001D1740" w:rsidP="00CC13DC">
            <w:pPr>
              <w:spacing w:before="60" w:after="60"/>
              <w:rPr>
                <w:sz w:val="20"/>
              </w:rPr>
            </w:pPr>
            <w:r w:rsidRPr="001D1740">
              <w:rPr>
                <w:sz w:val="20"/>
              </w:rPr>
              <w:t>HFO-1233zd</w:t>
            </w:r>
          </w:p>
        </w:tc>
        <w:tc>
          <w:tcPr>
            <w:tcW w:w="3248" w:type="dxa"/>
            <w:vAlign w:val="center"/>
          </w:tcPr>
          <w:p w:rsidR="001D1740" w:rsidRPr="00AC6172" w:rsidRDefault="001D1740" w:rsidP="00CC13DC">
            <w:pPr>
              <w:spacing w:before="60" w:after="60"/>
              <w:jc w:val="center"/>
              <w:rPr>
                <w:sz w:val="20"/>
              </w:rPr>
            </w:pPr>
            <w:r>
              <w:rPr>
                <w:sz w:val="20"/>
              </w:rPr>
              <w:t>-</w:t>
            </w:r>
          </w:p>
        </w:tc>
        <w:tc>
          <w:tcPr>
            <w:tcW w:w="3248" w:type="dxa"/>
            <w:vAlign w:val="center"/>
          </w:tcPr>
          <w:p w:rsidR="001D1740" w:rsidRPr="00AC6172" w:rsidRDefault="008C6F9E" w:rsidP="00CC13DC">
            <w:pPr>
              <w:spacing w:before="60" w:after="60"/>
              <w:jc w:val="center"/>
              <w:rPr>
                <w:sz w:val="20"/>
              </w:rPr>
            </w:pPr>
            <w:r w:rsidRPr="008C6F9E">
              <w:rPr>
                <w:sz w:val="20"/>
              </w:rPr>
              <w:t>6</w:t>
            </w:r>
          </w:p>
        </w:tc>
      </w:tr>
      <w:tr w:rsidR="00CC2CA6" w:rsidRPr="00AC6172" w:rsidTr="00CC2CA6">
        <w:tc>
          <w:tcPr>
            <w:tcW w:w="3109" w:type="dxa"/>
            <w:vAlign w:val="center"/>
          </w:tcPr>
          <w:p w:rsidR="00CC2CA6" w:rsidRPr="00AC6172" w:rsidRDefault="00CC2CA6" w:rsidP="00CC13DC">
            <w:pPr>
              <w:spacing w:before="60" w:after="60"/>
              <w:rPr>
                <w:sz w:val="20"/>
              </w:rPr>
            </w:pPr>
            <w:r w:rsidRPr="00AC6172">
              <w:rPr>
                <w:sz w:val="20"/>
              </w:rPr>
              <w:t>HFC-152a</w:t>
            </w:r>
          </w:p>
        </w:tc>
        <w:tc>
          <w:tcPr>
            <w:tcW w:w="3248" w:type="dxa"/>
            <w:vAlign w:val="center"/>
          </w:tcPr>
          <w:p w:rsidR="00CC2CA6" w:rsidRPr="00AC6172" w:rsidRDefault="00CC2CA6" w:rsidP="00CC13DC">
            <w:pPr>
              <w:spacing w:before="60" w:after="60"/>
              <w:jc w:val="center"/>
              <w:rPr>
                <w:sz w:val="20"/>
              </w:rPr>
            </w:pPr>
            <w:r w:rsidRPr="00AC6172">
              <w:rPr>
                <w:sz w:val="20"/>
              </w:rPr>
              <w:t>140</w:t>
            </w:r>
          </w:p>
        </w:tc>
        <w:tc>
          <w:tcPr>
            <w:tcW w:w="3248" w:type="dxa"/>
            <w:vAlign w:val="center"/>
          </w:tcPr>
          <w:p w:rsidR="00CC2CA6" w:rsidRPr="00AC6172" w:rsidRDefault="00CC2CA6" w:rsidP="00CC13DC">
            <w:pPr>
              <w:spacing w:before="60" w:after="60"/>
              <w:jc w:val="center"/>
              <w:rPr>
                <w:sz w:val="20"/>
              </w:rPr>
            </w:pPr>
            <w:r w:rsidRPr="00AC6172">
              <w:rPr>
                <w:sz w:val="20"/>
              </w:rPr>
              <w:t>124</w:t>
            </w:r>
          </w:p>
        </w:tc>
      </w:tr>
      <w:tr w:rsidR="00CC2CA6" w:rsidRPr="00AC6172" w:rsidTr="00CC2CA6">
        <w:tc>
          <w:tcPr>
            <w:tcW w:w="3109" w:type="dxa"/>
            <w:vAlign w:val="center"/>
          </w:tcPr>
          <w:p w:rsidR="00CC2CA6" w:rsidRPr="00AC6172" w:rsidRDefault="00CC2CA6" w:rsidP="00CC13DC">
            <w:pPr>
              <w:spacing w:before="60" w:after="60"/>
              <w:rPr>
                <w:sz w:val="20"/>
              </w:rPr>
            </w:pPr>
            <w:r>
              <w:rPr>
                <w:sz w:val="20"/>
              </w:rPr>
              <w:t>HFC-32</w:t>
            </w:r>
          </w:p>
        </w:tc>
        <w:tc>
          <w:tcPr>
            <w:tcW w:w="3248" w:type="dxa"/>
            <w:vAlign w:val="center"/>
          </w:tcPr>
          <w:p w:rsidR="00CC2CA6" w:rsidRPr="00AC6172" w:rsidRDefault="00CC2CA6" w:rsidP="00CC13DC">
            <w:pPr>
              <w:spacing w:before="60" w:after="60"/>
              <w:jc w:val="center"/>
              <w:rPr>
                <w:sz w:val="20"/>
              </w:rPr>
            </w:pPr>
            <w:r>
              <w:rPr>
                <w:sz w:val="20"/>
              </w:rPr>
              <w:t>650</w:t>
            </w:r>
          </w:p>
        </w:tc>
        <w:tc>
          <w:tcPr>
            <w:tcW w:w="3248" w:type="dxa"/>
            <w:vAlign w:val="center"/>
          </w:tcPr>
          <w:p w:rsidR="00CC2CA6" w:rsidRPr="00AC6172" w:rsidRDefault="00CC2CA6" w:rsidP="00CC13DC">
            <w:pPr>
              <w:spacing w:before="60" w:after="60"/>
              <w:jc w:val="center"/>
              <w:rPr>
                <w:sz w:val="20"/>
              </w:rPr>
            </w:pPr>
            <w:r>
              <w:rPr>
                <w:sz w:val="20"/>
              </w:rPr>
              <w:t>675</w:t>
            </w:r>
          </w:p>
        </w:tc>
      </w:tr>
    </w:tbl>
    <w:p w:rsidR="00CC13DC" w:rsidRPr="005169C2" w:rsidRDefault="00CC13DC" w:rsidP="00C73C6A">
      <w:pPr>
        <w:pStyle w:val="ListParagraph"/>
        <w:numPr>
          <w:ilvl w:val="0"/>
          <w:numId w:val="5"/>
        </w:numPr>
        <w:spacing w:before="60" w:after="0" w:line="240" w:lineRule="auto"/>
        <w:ind w:left="357" w:hanging="357"/>
        <w:contextualSpacing w:val="0"/>
        <w:jc w:val="both"/>
        <w:rPr>
          <w:rFonts w:ascii="Times New Roman" w:hAnsi="Times New Roman"/>
          <w:sz w:val="20"/>
          <w:szCs w:val="20"/>
        </w:rPr>
      </w:pPr>
      <w:r w:rsidRPr="005169C2">
        <w:rPr>
          <w:rFonts w:ascii="Times New Roman" w:hAnsi="Times New Roman"/>
          <w:sz w:val="20"/>
          <w:szCs w:val="20"/>
        </w:rPr>
        <w:t>No longer in common use, banned in 1996. GWP values of blends such as HFC-404A and others are calculated based on the mass composition of substances listed in the IPCC assessment reports.</w:t>
      </w:r>
    </w:p>
    <w:p w:rsidR="00CC13DC" w:rsidRPr="005169C2" w:rsidRDefault="00CC13DC" w:rsidP="00C73C6A">
      <w:pPr>
        <w:pStyle w:val="ListParagraph"/>
        <w:numPr>
          <w:ilvl w:val="0"/>
          <w:numId w:val="5"/>
        </w:numPr>
        <w:spacing w:before="60" w:after="0" w:line="240" w:lineRule="auto"/>
        <w:ind w:left="357" w:hanging="357"/>
        <w:contextualSpacing w:val="0"/>
        <w:jc w:val="both"/>
        <w:rPr>
          <w:rFonts w:ascii="Times New Roman" w:hAnsi="Times New Roman"/>
          <w:sz w:val="20"/>
          <w:szCs w:val="20"/>
        </w:rPr>
      </w:pPr>
      <w:r w:rsidRPr="005169C2">
        <w:rPr>
          <w:rFonts w:ascii="Times New Roman" w:hAnsi="Times New Roman"/>
          <w:sz w:val="20"/>
          <w:szCs w:val="20"/>
        </w:rPr>
        <w:t>All references to HFC-404A include both HFC-404A with a chemical composition of HFC-125/143a/134a (44.0/52.0/4.0) and HFC-507A with a chemical composition of HFC-125/143a (50.0/50.0) as they are very similar in mass composition and service the same applications.</w:t>
      </w:r>
    </w:p>
    <w:p w:rsidR="002E5035" w:rsidRDefault="002E5035" w:rsidP="002E5035">
      <w:pPr>
        <w:pStyle w:val="ListParagraph"/>
        <w:numPr>
          <w:ilvl w:val="0"/>
          <w:numId w:val="5"/>
        </w:numPr>
        <w:spacing w:before="60" w:after="0" w:line="240" w:lineRule="auto"/>
        <w:ind w:left="357" w:hanging="357"/>
        <w:contextualSpacing w:val="0"/>
        <w:jc w:val="both"/>
        <w:rPr>
          <w:rFonts w:ascii="Times New Roman" w:hAnsi="Times New Roman"/>
          <w:sz w:val="20"/>
          <w:szCs w:val="20"/>
        </w:rPr>
      </w:pPr>
      <w:r w:rsidRPr="005169C2">
        <w:rPr>
          <w:rFonts w:ascii="Times New Roman" w:hAnsi="Times New Roman"/>
          <w:sz w:val="20"/>
          <w:szCs w:val="20"/>
        </w:rPr>
        <w:t>Not used as refrigerant in RAC applications, substances used for foam blowing applications, fire protection and as solvents.</w:t>
      </w:r>
    </w:p>
    <w:p w:rsidR="009F51EE" w:rsidRPr="005169C2" w:rsidRDefault="009F51EE" w:rsidP="009F51EE">
      <w:pPr>
        <w:pStyle w:val="ListParagraph"/>
        <w:numPr>
          <w:ilvl w:val="0"/>
          <w:numId w:val="5"/>
        </w:numPr>
        <w:spacing w:before="60" w:after="0" w:line="240" w:lineRule="auto"/>
        <w:ind w:left="357" w:hanging="357"/>
        <w:contextualSpacing w:val="0"/>
        <w:jc w:val="both"/>
        <w:rPr>
          <w:rFonts w:ascii="Times New Roman" w:hAnsi="Times New Roman"/>
          <w:sz w:val="20"/>
          <w:szCs w:val="20"/>
        </w:rPr>
      </w:pPr>
      <w:r w:rsidRPr="005169C2">
        <w:rPr>
          <w:rFonts w:ascii="Times New Roman" w:hAnsi="Times New Roman"/>
          <w:sz w:val="20"/>
          <w:szCs w:val="20"/>
        </w:rPr>
        <w:t>HC-600a and HC-290 are not published in the AR2 or AR4.</w:t>
      </w:r>
    </w:p>
    <w:p w:rsidR="009F51EE" w:rsidRPr="002E5035" w:rsidRDefault="002E5035" w:rsidP="00C73C6A">
      <w:pPr>
        <w:pStyle w:val="ListParagraph"/>
        <w:numPr>
          <w:ilvl w:val="0"/>
          <w:numId w:val="5"/>
        </w:numPr>
        <w:spacing w:before="60" w:after="0" w:line="240" w:lineRule="auto"/>
        <w:ind w:left="357" w:hanging="357"/>
        <w:contextualSpacing w:val="0"/>
        <w:jc w:val="both"/>
        <w:rPr>
          <w:rFonts w:ascii="Times New Roman" w:hAnsi="Times New Roman"/>
          <w:sz w:val="20"/>
          <w:szCs w:val="20"/>
        </w:rPr>
      </w:pPr>
      <w:r w:rsidRPr="002E5035">
        <w:rPr>
          <w:rFonts w:ascii="Times New Roman" w:hAnsi="Times New Roman"/>
          <w:sz w:val="20"/>
          <w:szCs w:val="20"/>
        </w:rPr>
        <w:t xml:space="preserve">These are new substances and were not reviewed, included or published in the IPCC, Fourth Assessment Report published in 2007. The GWP values of HFO substances are those cited by DuPont and Honeywell as based on AR4. </w:t>
      </w:r>
      <w:r w:rsidR="009F51EE" w:rsidRPr="002E5035">
        <w:rPr>
          <w:rFonts w:ascii="Times New Roman" w:hAnsi="Times New Roman"/>
          <w:sz w:val="20"/>
          <w:szCs w:val="20"/>
        </w:rPr>
        <w:t>The GWPs of HFOs has recently re-evaluated by the UN with HFO-1233zd and HFO-1234ze with a GWP of 1; and HFO-1234yf with a GWP of less than 1. This report uses previous cited values to maintain consistency.</w:t>
      </w:r>
    </w:p>
    <w:p w:rsidR="008763B4" w:rsidRDefault="008763B4">
      <w:pPr>
        <w:spacing w:before="0"/>
        <w:jc w:val="left"/>
      </w:pPr>
      <w:r>
        <w:br w:type="page"/>
      </w:r>
    </w:p>
    <w:p w:rsidR="00CC13DC" w:rsidRPr="00CC13DC" w:rsidRDefault="00CC13DC" w:rsidP="00CC13DC">
      <w:r w:rsidRPr="00CC13DC">
        <w:t xml:space="preserve">The </w:t>
      </w:r>
      <w:r>
        <w:t>ASHRAE r</w:t>
      </w:r>
      <w:r w:rsidR="00220AB1">
        <w:t xml:space="preserve">efrigerant </w:t>
      </w:r>
      <w:r w:rsidRPr="00CC13DC">
        <w:t>mass chemical compositions are used to calculate the GWP values of these blends from the Second Assessment Report (AR2) of the United Nations Framework Convention on Climate Change (UNFCCC), released in 1996 (IPCC 1996). While these values have since been superseded by the Fourth Assessment Report (AR4) in 2007, all of the Australian legislation that refers to the GWP of HFCs use the values listed originally in AR2, based on Australia’s obligation under the Kyoto Protocol.</w:t>
      </w:r>
    </w:p>
    <w:p w:rsidR="00925DF3" w:rsidRDefault="00925DF3">
      <w:pPr>
        <w:spacing w:before="0"/>
        <w:jc w:val="left"/>
        <w:rPr>
          <w:szCs w:val="22"/>
        </w:rPr>
      </w:pPr>
    </w:p>
    <w:p w:rsidR="00925DF3" w:rsidRPr="000226CB" w:rsidRDefault="008763B4" w:rsidP="00925DF3">
      <w:pPr>
        <w:rPr>
          <w:i/>
          <w:szCs w:val="22"/>
        </w:rPr>
      </w:pPr>
      <w:bookmarkStart w:id="87" w:name="_Toc233084081"/>
      <w:bookmarkStart w:id="88" w:name="_Toc257360014"/>
      <w:r w:rsidRPr="00D02806">
        <w:rPr>
          <w:i/>
          <w:szCs w:val="22"/>
        </w:rPr>
        <w:t xml:space="preserve">Table </w:t>
      </w:r>
      <w:r w:rsidR="00B41499" w:rsidRPr="00D02806">
        <w:rPr>
          <w:i/>
          <w:szCs w:val="22"/>
        </w:rPr>
        <w:fldChar w:fldCharType="begin"/>
      </w:r>
      <w:r w:rsidRPr="00D02806">
        <w:rPr>
          <w:i/>
          <w:szCs w:val="22"/>
        </w:rPr>
        <w:instrText xml:space="preserve"> SEQ Table \* ARABIC </w:instrText>
      </w:r>
      <w:r w:rsidR="00B41499" w:rsidRPr="00D02806">
        <w:rPr>
          <w:i/>
          <w:szCs w:val="22"/>
        </w:rPr>
        <w:fldChar w:fldCharType="separate"/>
      </w:r>
      <w:r w:rsidR="008E0DB9">
        <w:rPr>
          <w:i/>
          <w:noProof/>
          <w:szCs w:val="22"/>
        </w:rPr>
        <w:t>10</w:t>
      </w:r>
      <w:r w:rsidR="00B41499" w:rsidRPr="00D02806">
        <w:rPr>
          <w:i/>
          <w:szCs w:val="22"/>
        </w:rPr>
        <w:fldChar w:fldCharType="end"/>
      </w:r>
      <w:r w:rsidR="00925DF3" w:rsidRPr="000226CB">
        <w:rPr>
          <w:i/>
          <w:szCs w:val="22"/>
        </w:rPr>
        <w:t xml:space="preserve">: </w:t>
      </w:r>
      <w:r w:rsidR="00390AC1" w:rsidRPr="00390AC1">
        <w:rPr>
          <w:i/>
          <w:szCs w:val="22"/>
        </w:rPr>
        <w:t xml:space="preserve">ASHRAE Refrigerant designation </w:t>
      </w:r>
      <w:r w:rsidR="00390AC1">
        <w:rPr>
          <w:i/>
          <w:szCs w:val="22"/>
        </w:rPr>
        <w:t>and refrigerant mass composition of common blends used in Australia</w:t>
      </w:r>
      <w:bookmarkEnd w:id="87"/>
      <w:bookmarkEnd w:id="8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00"/>
        <w:gridCol w:w="5139"/>
      </w:tblGrid>
      <w:tr w:rsidR="00925DF3" w:rsidRPr="00923150" w:rsidTr="005F2CFD">
        <w:trPr>
          <w:trHeight w:val="684"/>
        </w:trPr>
        <w:tc>
          <w:tcPr>
            <w:tcW w:w="4500" w:type="dxa"/>
            <w:tcBorders>
              <w:top w:val="single" w:sz="8" w:space="0" w:color="auto"/>
              <w:left w:val="single" w:sz="8" w:space="0" w:color="auto"/>
              <w:bottom w:val="single" w:sz="4" w:space="0" w:color="000000"/>
              <w:right w:val="single" w:sz="4" w:space="0" w:color="FFFFFF"/>
            </w:tcBorders>
            <w:shd w:val="clear" w:color="auto" w:fill="000000"/>
            <w:vAlign w:val="center"/>
          </w:tcPr>
          <w:p w:rsidR="00925DF3" w:rsidRPr="00923150" w:rsidRDefault="00925DF3" w:rsidP="00925DF3">
            <w:pPr>
              <w:spacing w:after="120"/>
              <w:ind w:left="34"/>
              <w:jc w:val="left"/>
            </w:pPr>
            <w:r w:rsidRPr="00925DF3">
              <w:t>ASHRAE Refrigerant designation</w:t>
            </w:r>
          </w:p>
        </w:tc>
        <w:tc>
          <w:tcPr>
            <w:tcW w:w="5139" w:type="dxa"/>
            <w:tcBorders>
              <w:top w:val="single" w:sz="8" w:space="0" w:color="auto"/>
              <w:left w:val="single" w:sz="4" w:space="0" w:color="FFFFFF"/>
              <w:bottom w:val="single" w:sz="4" w:space="0" w:color="000000"/>
              <w:right w:val="single" w:sz="8" w:space="0" w:color="auto"/>
            </w:tcBorders>
            <w:shd w:val="clear" w:color="auto" w:fill="000000"/>
            <w:vAlign w:val="center"/>
          </w:tcPr>
          <w:p w:rsidR="00925DF3" w:rsidRPr="00923150" w:rsidRDefault="00925DF3" w:rsidP="003C6CAB">
            <w:pPr>
              <w:spacing w:after="120"/>
              <w:jc w:val="center"/>
            </w:pPr>
            <w:r w:rsidRPr="00F52619">
              <w:t xml:space="preserve">Refrigerant </w:t>
            </w:r>
            <w:r w:rsidR="001672F5">
              <w:t>c</w:t>
            </w:r>
            <w:r w:rsidR="003C6CAB">
              <w:t>omposition (Mass %)</w:t>
            </w:r>
          </w:p>
        </w:tc>
      </w:tr>
      <w:tr w:rsidR="00925DF3" w:rsidRPr="00923150" w:rsidTr="00390AC1">
        <w:trPr>
          <w:trHeight w:val="456"/>
        </w:trPr>
        <w:tc>
          <w:tcPr>
            <w:tcW w:w="9639" w:type="dxa"/>
            <w:gridSpan w:val="2"/>
            <w:shd w:val="clear" w:color="auto" w:fill="CCFFFF"/>
            <w:vAlign w:val="center"/>
          </w:tcPr>
          <w:p w:rsidR="00925DF3" w:rsidRPr="00C179F1" w:rsidRDefault="00925DF3" w:rsidP="001672F5">
            <w:pPr>
              <w:spacing w:before="60" w:after="60"/>
              <w:jc w:val="center"/>
            </w:pPr>
            <w:r w:rsidRPr="00925DF3">
              <w:t xml:space="preserve">Refrigerant </w:t>
            </w:r>
            <w:r w:rsidR="001672F5">
              <w:t>b</w:t>
            </w:r>
            <w:r w:rsidRPr="00925DF3">
              <w:t>lends: Zeotropes</w:t>
            </w:r>
          </w:p>
        </w:tc>
      </w:tr>
      <w:tr w:rsidR="00925DF3" w:rsidRPr="00923150" w:rsidTr="00390AC1">
        <w:trPr>
          <w:trHeight w:val="456"/>
        </w:trPr>
        <w:tc>
          <w:tcPr>
            <w:tcW w:w="4500" w:type="dxa"/>
            <w:vAlign w:val="center"/>
          </w:tcPr>
          <w:p w:rsidR="00925DF3" w:rsidRPr="00876FAE" w:rsidRDefault="00925DF3" w:rsidP="00390AC1">
            <w:pPr>
              <w:spacing w:before="60" w:after="60"/>
              <w:ind w:left="34"/>
              <w:jc w:val="center"/>
            </w:pPr>
            <w:r w:rsidRPr="00942B4C">
              <w:t>404A</w:t>
            </w:r>
          </w:p>
        </w:tc>
        <w:tc>
          <w:tcPr>
            <w:tcW w:w="5139" w:type="dxa"/>
            <w:vAlign w:val="center"/>
          </w:tcPr>
          <w:p w:rsidR="00925DF3" w:rsidRPr="00876FAE" w:rsidRDefault="00925DF3" w:rsidP="00925DF3">
            <w:pPr>
              <w:spacing w:before="60" w:after="60"/>
              <w:jc w:val="left"/>
            </w:pPr>
            <w:r w:rsidRPr="00942B4C">
              <w:t>R-125/143a/134a (44.0/52.0/4.0)</w:t>
            </w:r>
          </w:p>
        </w:tc>
      </w:tr>
      <w:tr w:rsidR="00925DF3" w:rsidRPr="00923150" w:rsidTr="00390AC1">
        <w:trPr>
          <w:trHeight w:val="456"/>
        </w:trPr>
        <w:tc>
          <w:tcPr>
            <w:tcW w:w="4500" w:type="dxa"/>
            <w:vAlign w:val="center"/>
          </w:tcPr>
          <w:p w:rsidR="00925DF3" w:rsidRPr="00521292" w:rsidRDefault="00925DF3" w:rsidP="00390AC1">
            <w:pPr>
              <w:spacing w:before="60" w:after="60"/>
              <w:ind w:left="34"/>
              <w:jc w:val="center"/>
            </w:pPr>
            <w:r w:rsidRPr="00942B4C">
              <w:t>406A</w:t>
            </w:r>
          </w:p>
        </w:tc>
        <w:tc>
          <w:tcPr>
            <w:tcW w:w="5139" w:type="dxa"/>
            <w:vAlign w:val="center"/>
          </w:tcPr>
          <w:p w:rsidR="00925DF3" w:rsidRPr="00B75B79" w:rsidRDefault="00925DF3" w:rsidP="00925DF3">
            <w:pPr>
              <w:spacing w:before="60" w:after="60"/>
              <w:jc w:val="left"/>
            </w:pPr>
            <w:r w:rsidRPr="00942B4C">
              <w:t>R-22/600a/142b (55.0/4.0/41.0)</w:t>
            </w:r>
          </w:p>
        </w:tc>
      </w:tr>
      <w:tr w:rsidR="00925DF3" w:rsidRPr="00923150" w:rsidTr="00390AC1">
        <w:trPr>
          <w:trHeight w:val="456"/>
        </w:trPr>
        <w:tc>
          <w:tcPr>
            <w:tcW w:w="4500" w:type="dxa"/>
            <w:vAlign w:val="center"/>
          </w:tcPr>
          <w:p w:rsidR="00925DF3" w:rsidRPr="00521292" w:rsidRDefault="00925DF3" w:rsidP="00390AC1">
            <w:pPr>
              <w:spacing w:before="60" w:after="60"/>
              <w:ind w:left="34"/>
              <w:jc w:val="center"/>
            </w:pPr>
            <w:r w:rsidRPr="00942B4C">
              <w:t>407C</w:t>
            </w:r>
          </w:p>
        </w:tc>
        <w:tc>
          <w:tcPr>
            <w:tcW w:w="5139" w:type="dxa"/>
            <w:vAlign w:val="center"/>
          </w:tcPr>
          <w:p w:rsidR="00925DF3" w:rsidRPr="00B75B79" w:rsidRDefault="00925DF3" w:rsidP="00925DF3">
            <w:pPr>
              <w:spacing w:before="60" w:after="60"/>
              <w:jc w:val="left"/>
            </w:pPr>
            <w:r w:rsidRPr="00942B4C">
              <w:t>R-32/125/134a (23.0/25.0/52.0)</w:t>
            </w:r>
          </w:p>
        </w:tc>
      </w:tr>
      <w:tr w:rsidR="00925DF3" w:rsidRPr="00923150" w:rsidTr="00390AC1">
        <w:trPr>
          <w:trHeight w:val="456"/>
        </w:trPr>
        <w:tc>
          <w:tcPr>
            <w:tcW w:w="4500" w:type="dxa"/>
            <w:vAlign w:val="center"/>
          </w:tcPr>
          <w:p w:rsidR="00925DF3" w:rsidRPr="00C179F1" w:rsidRDefault="00925DF3" w:rsidP="00390AC1">
            <w:pPr>
              <w:spacing w:before="60" w:after="60"/>
              <w:ind w:left="34"/>
              <w:jc w:val="center"/>
            </w:pPr>
            <w:r w:rsidRPr="00C826D7">
              <w:t>407F</w:t>
            </w:r>
          </w:p>
        </w:tc>
        <w:tc>
          <w:tcPr>
            <w:tcW w:w="5139" w:type="dxa"/>
            <w:vAlign w:val="center"/>
          </w:tcPr>
          <w:p w:rsidR="00925DF3" w:rsidRPr="00C179F1" w:rsidRDefault="00925DF3" w:rsidP="00925DF3">
            <w:pPr>
              <w:spacing w:before="60" w:after="60"/>
              <w:jc w:val="left"/>
            </w:pPr>
            <w:r w:rsidRPr="00C826D7">
              <w:t>R-32/125/134a (30.0/30.0/40.0)</w:t>
            </w:r>
          </w:p>
        </w:tc>
      </w:tr>
      <w:tr w:rsidR="00925DF3" w:rsidRPr="00923150" w:rsidTr="00390AC1">
        <w:trPr>
          <w:trHeight w:val="456"/>
        </w:trPr>
        <w:tc>
          <w:tcPr>
            <w:tcW w:w="4500" w:type="dxa"/>
            <w:vAlign w:val="center"/>
          </w:tcPr>
          <w:p w:rsidR="00925DF3" w:rsidRPr="00C179F1" w:rsidRDefault="00925DF3" w:rsidP="00390AC1">
            <w:pPr>
              <w:spacing w:before="60" w:after="60"/>
              <w:ind w:left="34"/>
              <w:jc w:val="center"/>
            </w:pPr>
            <w:r w:rsidRPr="00C826D7">
              <w:t>408A</w:t>
            </w:r>
          </w:p>
        </w:tc>
        <w:tc>
          <w:tcPr>
            <w:tcW w:w="5139" w:type="dxa"/>
            <w:vAlign w:val="center"/>
          </w:tcPr>
          <w:p w:rsidR="00925DF3" w:rsidRPr="00C179F1" w:rsidRDefault="00925DF3" w:rsidP="00925DF3">
            <w:pPr>
              <w:spacing w:before="60" w:after="60"/>
              <w:jc w:val="left"/>
            </w:pPr>
            <w:r w:rsidRPr="00C826D7">
              <w:t>R-125/143a/22 (7.0/46.0/47.0)</w:t>
            </w:r>
          </w:p>
        </w:tc>
      </w:tr>
      <w:tr w:rsidR="00925DF3" w:rsidRPr="00923150" w:rsidTr="00390AC1">
        <w:trPr>
          <w:trHeight w:val="456"/>
        </w:trPr>
        <w:tc>
          <w:tcPr>
            <w:tcW w:w="4500" w:type="dxa"/>
            <w:vAlign w:val="center"/>
          </w:tcPr>
          <w:p w:rsidR="00925DF3" w:rsidRPr="00C179F1" w:rsidRDefault="00925DF3" w:rsidP="00390AC1">
            <w:pPr>
              <w:spacing w:before="60" w:after="60"/>
              <w:ind w:left="34"/>
              <w:jc w:val="center"/>
            </w:pPr>
            <w:r w:rsidRPr="00C826D7">
              <w:t>409A</w:t>
            </w:r>
          </w:p>
        </w:tc>
        <w:tc>
          <w:tcPr>
            <w:tcW w:w="5139" w:type="dxa"/>
            <w:vAlign w:val="center"/>
          </w:tcPr>
          <w:p w:rsidR="00925DF3" w:rsidRPr="00C179F1" w:rsidRDefault="00925DF3" w:rsidP="00925DF3">
            <w:pPr>
              <w:spacing w:before="60" w:after="60"/>
              <w:jc w:val="left"/>
            </w:pPr>
            <w:r w:rsidRPr="00C826D7">
              <w:t>R-22/124/142b (60.0/25.0/15.0)</w:t>
            </w:r>
          </w:p>
        </w:tc>
      </w:tr>
      <w:tr w:rsidR="00925DF3" w:rsidRPr="00923150" w:rsidTr="00390AC1">
        <w:trPr>
          <w:trHeight w:val="456"/>
        </w:trPr>
        <w:tc>
          <w:tcPr>
            <w:tcW w:w="4500" w:type="dxa"/>
            <w:vAlign w:val="center"/>
          </w:tcPr>
          <w:p w:rsidR="00925DF3" w:rsidRPr="00C179F1" w:rsidRDefault="00925DF3" w:rsidP="00390AC1">
            <w:pPr>
              <w:spacing w:before="60" w:after="60"/>
              <w:ind w:left="34"/>
              <w:jc w:val="center"/>
            </w:pPr>
            <w:r w:rsidRPr="00C826D7">
              <w:t>409B</w:t>
            </w:r>
          </w:p>
        </w:tc>
        <w:tc>
          <w:tcPr>
            <w:tcW w:w="5139" w:type="dxa"/>
            <w:vAlign w:val="center"/>
          </w:tcPr>
          <w:p w:rsidR="00925DF3" w:rsidRPr="00C179F1" w:rsidRDefault="00925DF3" w:rsidP="00925DF3">
            <w:pPr>
              <w:spacing w:before="60" w:after="60"/>
              <w:jc w:val="left"/>
            </w:pPr>
            <w:r w:rsidRPr="00C826D7">
              <w:t>R-22/124/142b (65.0/25.0/10.0)</w:t>
            </w:r>
          </w:p>
        </w:tc>
      </w:tr>
      <w:tr w:rsidR="00925DF3" w:rsidRPr="00923150" w:rsidTr="00390AC1">
        <w:trPr>
          <w:trHeight w:val="456"/>
        </w:trPr>
        <w:tc>
          <w:tcPr>
            <w:tcW w:w="4500" w:type="dxa"/>
            <w:vAlign w:val="center"/>
          </w:tcPr>
          <w:p w:rsidR="00925DF3" w:rsidRPr="00C179F1" w:rsidRDefault="00925DF3" w:rsidP="00390AC1">
            <w:pPr>
              <w:spacing w:before="60" w:after="60"/>
              <w:ind w:left="34"/>
              <w:jc w:val="center"/>
            </w:pPr>
            <w:r w:rsidRPr="00C826D7">
              <w:t>410A</w:t>
            </w:r>
          </w:p>
        </w:tc>
        <w:tc>
          <w:tcPr>
            <w:tcW w:w="5139" w:type="dxa"/>
            <w:vAlign w:val="center"/>
          </w:tcPr>
          <w:p w:rsidR="00925DF3" w:rsidRPr="00C179F1" w:rsidRDefault="00925DF3" w:rsidP="00925DF3">
            <w:pPr>
              <w:spacing w:before="60" w:after="60"/>
              <w:jc w:val="left"/>
            </w:pPr>
            <w:r w:rsidRPr="00C826D7">
              <w:t>R-32/125 (50.0/50.0)</w:t>
            </w:r>
          </w:p>
        </w:tc>
      </w:tr>
      <w:tr w:rsidR="00925DF3" w:rsidRPr="00923150" w:rsidTr="00390AC1">
        <w:trPr>
          <w:trHeight w:val="456"/>
        </w:trPr>
        <w:tc>
          <w:tcPr>
            <w:tcW w:w="4500" w:type="dxa"/>
            <w:vAlign w:val="center"/>
          </w:tcPr>
          <w:p w:rsidR="00925DF3" w:rsidRPr="00C179F1" w:rsidRDefault="00925DF3" w:rsidP="00390AC1">
            <w:pPr>
              <w:spacing w:before="60" w:after="60"/>
              <w:ind w:left="34"/>
              <w:jc w:val="center"/>
            </w:pPr>
            <w:r w:rsidRPr="00743009">
              <w:t>436A</w:t>
            </w:r>
          </w:p>
        </w:tc>
        <w:tc>
          <w:tcPr>
            <w:tcW w:w="5139" w:type="dxa"/>
            <w:vAlign w:val="center"/>
          </w:tcPr>
          <w:p w:rsidR="00925DF3" w:rsidRPr="00C179F1" w:rsidRDefault="00925DF3" w:rsidP="00925DF3">
            <w:pPr>
              <w:spacing w:before="60" w:after="60"/>
              <w:jc w:val="left"/>
            </w:pPr>
            <w:r w:rsidRPr="00743009">
              <w:t>R-290/600a (56.0/44.0)</w:t>
            </w:r>
          </w:p>
        </w:tc>
      </w:tr>
      <w:tr w:rsidR="00925DF3" w:rsidRPr="00923150" w:rsidTr="00390AC1">
        <w:trPr>
          <w:trHeight w:val="456"/>
        </w:trPr>
        <w:tc>
          <w:tcPr>
            <w:tcW w:w="4500" w:type="dxa"/>
            <w:tcBorders>
              <w:bottom w:val="single" w:sz="4" w:space="0" w:color="000000"/>
            </w:tcBorders>
            <w:vAlign w:val="center"/>
          </w:tcPr>
          <w:p w:rsidR="00925DF3" w:rsidRPr="00C179F1" w:rsidRDefault="00925DF3" w:rsidP="00390AC1">
            <w:pPr>
              <w:spacing w:before="60" w:after="60"/>
              <w:ind w:left="34"/>
              <w:jc w:val="center"/>
            </w:pPr>
            <w:r w:rsidRPr="00743009">
              <w:t>436B</w:t>
            </w:r>
          </w:p>
        </w:tc>
        <w:tc>
          <w:tcPr>
            <w:tcW w:w="5139" w:type="dxa"/>
            <w:tcBorders>
              <w:bottom w:val="single" w:sz="4" w:space="0" w:color="000000"/>
            </w:tcBorders>
            <w:vAlign w:val="center"/>
          </w:tcPr>
          <w:p w:rsidR="00925DF3" w:rsidRPr="00C179F1" w:rsidRDefault="00925DF3" w:rsidP="00925DF3">
            <w:pPr>
              <w:spacing w:before="60" w:after="60"/>
              <w:jc w:val="left"/>
            </w:pPr>
            <w:r w:rsidRPr="00743009">
              <w:t>R-290/600a (52.0/48.0)</w:t>
            </w:r>
          </w:p>
        </w:tc>
      </w:tr>
      <w:tr w:rsidR="00925DF3" w:rsidRPr="00923150" w:rsidTr="00390AC1">
        <w:trPr>
          <w:trHeight w:val="456"/>
        </w:trPr>
        <w:tc>
          <w:tcPr>
            <w:tcW w:w="9639" w:type="dxa"/>
            <w:gridSpan w:val="2"/>
            <w:shd w:val="clear" w:color="auto" w:fill="CCFFFF"/>
            <w:vAlign w:val="center"/>
          </w:tcPr>
          <w:p w:rsidR="00925DF3" w:rsidRPr="00C179F1" w:rsidRDefault="00925DF3" w:rsidP="001672F5">
            <w:pPr>
              <w:spacing w:before="60" w:after="60"/>
              <w:jc w:val="center"/>
            </w:pPr>
            <w:r w:rsidRPr="00925DF3">
              <w:t xml:space="preserve">Refrigerant </w:t>
            </w:r>
            <w:r w:rsidR="001672F5">
              <w:t>b</w:t>
            </w:r>
            <w:r w:rsidRPr="00925DF3">
              <w:t xml:space="preserve">lends: </w:t>
            </w:r>
            <w:r>
              <w:t>Azeotropes</w:t>
            </w:r>
          </w:p>
        </w:tc>
      </w:tr>
      <w:tr w:rsidR="00925DF3" w:rsidRPr="00923150" w:rsidTr="00390AC1">
        <w:trPr>
          <w:trHeight w:val="456"/>
        </w:trPr>
        <w:tc>
          <w:tcPr>
            <w:tcW w:w="4500" w:type="dxa"/>
            <w:vAlign w:val="center"/>
          </w:tcPr>
          <w:p w:rsidR="00925DF3" w:rsidRPr="00876FAE" w:rsidRDefault="00925DF3" w:rsidP="001672F5">
            <w:pPr>
              <w:spacing w:before="60" w:after="60"/>
              <w:ind w:left="34"/>
              <w:jc w:val="center"/>
            </w:pPr>
            <w:r w:rsidRPr="00023DE7">
              <w:t>507A</w:t>
            </w:r>
          </w:p>
        </w:tc>
        <w:tc>
          <w:tcPr>
            <w:tcW w:w="5139" w:type="dxa"/>
            <w:vAlign w:val="center"/>
          </w:tcPr>
          <w:p w:rsidR="00925DF3" w:rsidRPr="00876FAE" w:rsidRDefault="00925DF3" w:rsidP="00925DF3">
            <w:pPr>
              <w:spacing w:before="60" w:after="60"/>
              <w:jc w:val="left"/>
            </w:pPr>
            <w:r w:rsidRPr="00023DE7">
              <w:t>R-125/143a (50.0/50.0)</w:t>
            </w:r>
          </w:p>
        </w:tc>
      </w:tr>
    </w:tbl>
    <w:p w:rsidR="001672F5" w:rsidRPr="005169C2" w:rsidRDefault="001672F5" w:rsidP="00C73C6A">
      <w:pPr>
        <w:pStyle w:val="ListParagraph"/>
        <w:numPr>
          <w:ilvl w:val="0"/>
          <w:numId w:val="6"/>
        </w:numPr>
        <w:spacing w:before="60" w:after="0" w:line="240" w:lineRule="auto"/>
        <w:contextualSpacing w:val="0"/>
        <w:jc w:val="both"/>
        <w:rPr>
          <w:rFonts w:ascii="Times New Roman" w:hAnsi="Times New Roman"/>
          <w:sz w:val="20"/>
          <w:szCs w:val="20"/>
        </w:rPr>
      </w:pPr>
      <w:r w:rsidRPr="005169C2">
        <w:rPr>
          <w:rFonts w:ascii="Times New Roman" w:hAnsi="Times New Roman"/>
          <w:sz w:val="20"/>
          <w:szCs w:val="20"/>
        </w:rPr>
        <w:t>The contents of this table is from ANSI/ASHRAE 34-2010, Designation and Safety Classification of Refrigerant, which is published on the ASHRAE website.</w:t>
      </w:r>
    </w:p>
    <w:p w:rsidR="00EF7EDD" w:rsidRDefault="00EF7EDD">
      <w:pPr>
        <w:spacing w:before="0"/>
        <w:jc w:val="left"/>
        <w:rPr>
          <w:i/>
          <w:szCs w:val="22"/>
        </w:rPr>
      </w:pPr>
      <w:r>
        <w:rPr>
          <w:i/>
          <w:szCs w:val="22"/>
        </w:rPr>
        <w:br w:type="page"/>
      </w:r>
    </w:p>
    <w:p w:rsidR="000C35EE" w:rsidRPr="005D159D" w:rsidRDefault="008763B4" w:rsidP="000C35EE">
      <w:pPr>
        <w:rPr>
          <w:i/>
          <w:szCs w:val="22"/>
        </w:rPr>
      </w:pPr>
      <w:bookmarkStart w:id="89" w:name="_Toc233084084"/>
      <w:bookmarkStart w:id="90" w:name="_Toc257360015"/>
      <w:r w:rsidRPr="00D02806">
        <w:rPr>
          <w:i/>
          <w:szCs w:val="22"/>
        </w:rPr>
        <w:t xml:space="preserve">Table </w:t>
      </w:r>
      <w:r w:rsidR="00B41499" w:rsidRPr="00D02806">
        <w:rPr>
          <w:i/>
          <w:szCs w:val="22"/>
        </w:rPr>
        <w:fldChar w:fldCharType="begin"/>
      </w:r>
      <w:r w:rsidRPr="00D02806">
        <w:rPr>
          <w:i/>
          <w:szCs w:val="22"/>
        </w:rPr>
        <w:instrText xml:space="preserve"> SEQ Table \* ARABIC </w:instrText>
      </w:r>
      <w:r w:rsidR="00B41499" w:rsidRPr="00D02806">
        <w:rPr>
          <w:i/>
          <w:szCs w:val="22"/>
        </w:rPr>
        <w:fldChar w:fldCharType="separate"/>
      </w:r>
      <w:r w:rsidR="008E0DB9">
        <w:rPr>
          <w:i/>
          <w:noProof/>
          <w:szCs w:val="22"/>
        </w:rPr>
        <w:t>11</w:t>
      </w:r>
      <w:r w:rsidR="00B41499" w:rsidRPr="00D02806">
        <w:rPr>
          <w:i/>
          <w:szCs w:val="22"/>
        </w:rPr>
        <w:fldChar w:fldCharType="end"/>
      </w:r>
      <w:r w:rsidR="000C35EE" w:rsidRPr="005D159D">
        <w:rPr>
          <w:i/>
          <w:szCs w:val="22"/>
        </w:rPr>
        <w:t xml:space="preserve">: </w:t>
      </w:r>
      <w:r w:rsidR="000C35EE">
        <w:rPr>
          <w:i/>
          <w:szCs w:val="22"/>
        </w:rPr>
        <w:t>Technical characteristics for product categories (average charge, leak rates, lifespan, end-of-life percentage)</w:t>
      </w:r>
      <w:bookmarkEnd w:id="89"/>
      <w:bookmarkEnd w:id="9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6"/>
        <w:gridCol w:w="3544"/>
        <w:gridCol w:w="964"/>
        <w:gridCol w:w="964"/>
        <w:gridCol w:w="964"/>
        <w:gridCol w:w="964"/>
        <w:gridCol w:w="964"/>
      </w:tblGrid>
      <w:tr w:rsidR="000C35EE" w:rsidRPr="00082C2C" w:rsidTr="00F21B2A">
        <w:trPr>
          <w:trHeight w:val="440"/>
        </w:trPr>
        <w:tc>
          <w:tcPr>
            <w:tcW w:w="1276" w:type="dxa"/>
            <w:vMerge w:val="restart"/>
            <w:tcBorders>
              <w:top w:val="single" w:sz="8" w:space="0" w:color="auto"/>
              <w:left w:val="single" w:sz="8" w:space="0" w:color="auto"/>
              <w:bottom w:val="single" w:sz="4" w:space="0" w:color="FFFFFF" w:themeColor="background1"/>
              <w:right w:val="single" w:sz="4" w:space="0" w:color="FFFFFF" w:themeColor="background1"/>
            </w:tcBorders>
            <w:shd w:val="clear" w:color="auto" w:fill="000000"/>
            <w:vAlign w:val="center"/>
          </w:tcPr>
          <w:p w:rsidR="000C35EE" w:rsidRPr="00082C2C" w:rsidRDefault="000C35EE" w:rsidP="000C35EE">
            <w:pPr>
              <w:spacing w:after="120"/>
              <w:ind w:left="34"/>
              <w:rPr>
                <w:szCs w:val="22"/>
              </w:rPr>
            </w:pPr>
            <w:r w:rsidRPr="00082C2C">
              <w:rPr>
                <w:szCs w:val="22"/>
              </w:rPr>
              <w:t>Category code</w:t>
            </w:r>
          </w:p>
        </w:tc>
        <w:tc>
          <w:tcPr>
            <w:tcW w:w="3544" w:type="dxa"/>
            <w:vMerge w:val="restart"/>
            <w:tcBorders>
              <w:top w:val="single" w:sz="8" w:space="0" w:color="auto"/>
              <w:left w:val="single" w:sz="4" w:space="0" w:color="FFFFFF" w:themeColor="background1"/>
              <w:bottom w:val="single" w:sz="4" w:space="0" w:color="FFFFFF" w:themeColor="background1"/>
              <w:right w:val="single" w:sz="4" w:space="0" w:color="FFFFFF" w:themeColor="background1"/>
            </w:tcBorders>
            <w:shd w:val="clear" w:color="auto" w:fill="000000"/>
            <w:vAlign w:val="center"/>
          </w:tcPr>
          <w:p w:rsidR="000C35EE" w:rsidRPr="00082C2C" w:rsidRDefault="000C35EE" w:rsidP="000C35EE">
            <w:pPr>
              <w:spacing w:after="120"/>
              <w:jc w:val="center"/>
              <w:rPr>
                <w:szCs w:val="22"/>
              </w:rPr>
            </w:pPr>
            <w:r w:rsidRPr="00082C2C">
              <w:rPr>
                <w:szCs w:val="22"/>
              </w:rPr>
              <w:t>Product category</w:t>
            </w:r>
          </w:p>
        </w:tc>
        <w:tc>
          <w:tcPr>
            <w:tcW w:w="964" w:type="dxa"/>
            <w:vMerge w:val="restart"/>
            <w:tcBorders>
              <w:top w:val="single" w:sz="8" w:space="0" w:color="auto"/>
              <w:left w:val="single" w:sz="4" w:space="0" w:color="FFFFFF" w:themeColor="background1"/>
              <w:bottom w:val="single" w:sz="4" w:space="0" w:color="FFFFFF" w:themeColor="background1"/>
              <w:right w:val="single" w:sz="4" w:space="0" w:color="FFFFFF" w:themeColor="background1"/>
            </w:tcBorders>
            <w:shd w:val="clear" w:color="auto" w:fill="000000"/>
            <w:vAlign w:val="center"/>
          </w:tcPr>
          <w:p w:rsidR="000C35EE" w:rsidRPr="00082C2C" w:rsidRDefault="000C35EE" w:rsidP="000C35EE">
            <w:pPr>
              <w:spacing w:after="120"/>
              <w:jc w:val="center"/>
              <w:rPr>
                <w:szCs w:val="22"/>
              </w:rPr>
            </w:pPr>
            <w:r w:rsidRPr="00082C2C">
              <w:rPr>
                <w:szCs w:val="22"/>
              </w:rPr>
              <w:t>Average charge (kg)</w:t>
            </w:r>
          </w:p>
        </w:tc>
        <w:tc>
          <w:tcPr>
            <w:tcW w:w="1928" w:type="dxa"/>
            <w:gridSpan w:val="2"/>
            <w:tcBorders>
              <w:top w:val="single" w:sz="8" w:space="0" w:color="auto"/>
              <w:left w:val="single" w:sz="4" w:space="0" w:color="FFFFFF" w:themeColor="background1"/>
              <w:bottom w:val="single" w:sz="4" w:space="0" w:color="FFFFFF" w:themeColor="background1"/>
              <w:right w:val="single" w:sz="4" w:space="0" w:color="FFFFFF" w:themeColor="background1"/>
            </w:tcBorders>
            <w:shd w:val="clear" w:color="auto" w:fill="000000"/>
            <w:vAlign w:val="center"/>
          </w:tcPr>
          <w:p w:rsidR="000C35EE" w:rsidRPr="00082C2C" w:rsidRDefault="000C35EE" w:rsidP="000C35EE">
            <w:pPr>
              <w:spacing w:after="120"/>
              <w:jc w:val="center"/>
              <w:rPr>
                <w:szCs w:val="22"/>
              </w:rPr>
            </w:pPr>
            <w:r w:rsidRPr="00082C2C">
              <w:rPr>
                <w:szCs w:val="22"/>
              </w:rPr>
              <w:t>Leak rates (%)</w:t>
            </w:r>
          </w:p>
        </w:tc>
        <w:tc>
          <w:tcPr>
            <w:tcW w:w="964" w:type="dxa"/>
            <w:vMerge w:val="restart"/>
            <w:tcBorders>
              <w:top w:val="single" w:sz="8" w:space="0" w:color="auto"/>
              <w:left w:val="single" w:sz="4" w:space="0" w:color="FFFFFF" w:themeColor="background1"/>
              <w:bottom w:val="single" w:sz="4" w:space="0" w:color="FFFFFF" w:themeColor="background1"/>
              <w:right w:val="single" w:sz="4" w:space="0" w:color="FFFFFF" w:themeColor="background1"/>
            </w:tcBorders>
            <w:shd w:val="clear" w:color="auto" w:fill="000000"/>
            <w:vAlign w:val="center"/>
          </w:tcPr>
          <w:p w:rsidR="000C35EE" w:rsidRPr="009F0103" w:rsidRDefault="000C35EE" w:rsidP="000C35EE">
            <w:pPr>
              <w:spacing w:after="120"/>
              <w:jc w:val="center"/>
              <w:rPr>
                <w:sz w:val="20"/>
                <w:szCs w:val="20"/>
              </w:rPr>
            </w:pPr>
            <w:r w:rsidRPr="009F0103">
              <w:rPr>
                <w:sz w:val="20"/>
                <w:szCs w:val="20"/>
              </w:rPr>
              <w:t>Av. Lifespan (Yrs)</w:t>
            </w:r>
          </w:p>
        </w:tc>
        <w:tc>
          <w:tcPr>
            <w:tcW w:w="964" w:type="dxa"/>
            <w:vMerge w:val="restart"/>
            <w:tcBorders>
              <w:top w:val="single" w:sz="8" w:space="0" w:color="auto"/>
              <w:left w:val="single" w:sz="4" w:space="0" w:color="FFFFFF" w:themeColor="background1"/>
              <w:bottom w:val="single" w:sz="4" w:space="0" w:color="FFFFFF" w:themeColor="background1"/>
              <w:right w:val="single" w:sz="8" w:space="0" w:color="auto"/>
            </w:tcBorders>
            <w:shd w:val="clear" w:color="auto" w:fill="000000"/>
            <w:vAlign w:val="center"/>
          </w:tcPr>
          <w:p w:rsidR="000C35EE" w:rsidRPr="00082C2C" w:rsidRDefault="000C35EE" w:rsidP="000C35EE">
            <w:pPr>
              <w:spacing w:after="120"/>
              <w:jc w:val="center"/>
              <w:rPr>
                <w:szCs w:val="22"/>
              </w:rPr>
            </w:pPr>
            <w:r w:rsidRPr="00082C2C">
              <w:rPr>
                <w:szCs w:val="22"/>
              </w:rPr>
              <w:t>EOL (%)</w:t>
            </w:r>
          </w:p>
        </w:tc>
      </w:tr>
      <w:tr w:rsidR="000C35EE" w:rsidRPr="00082C2C" w:rsidTr="00F21B2A">
        <w:trPr>
          <w:trHeight w:val="456"/>
        </w:trPr>
        <w:tc>
          <w:tcPr>
            <w:tcW w:w="1276" w:type="dxa"/>
            <w:vMerge/>
            <w:tcBorders>
              <w:top w:val="single" w:sz="4" w:space="0" w:color="FFFFFF" w:themeColor="background1"/>
              <w:left w:val="single" w:sz="8" w:space="0" w:color="auto"/>
              <w:right w:val="single" w:sz="4" w:space="0" w:color="FFFFFF" w:themeColor="background1"/>
            </w:tcBorders>
            <w:vAlign w:val="center"/>
          </w:tcPr>
          <w:p w:rsidR="000C35EE" w:rsidRPr="00082C2C" w:rsidRDefault="000C35EE" w:rsidP="000C35EE">
            <w:pPr>
              <w:spacing w:before="60" w:after="60"/>
              <w:ind w:left="34"/>
              <w:jc w:val="left"/>
              <w:rPr>
                <w:szCs w:val="22"/>
              </w:rPr>
            </w:pPr>
          </w:p>
        </w:tc>
        <w:tc>
          <w:tcPr>
            <w:tcW w:w="3544" w:type="dxa"/>
            <w:vMerge/>
            <w:tcBorders>
              <w:top w:val="single" w:sz="4" w:space="0" w:color="FFFFFF" w:themeColor="background1"/>
              <w:left w:val="single" w:sz="4" w:space="0" w:color="FFFFFF" w:themeColor="background1"/>
              <w:right w:val="single" w:sz="4" w:space="0" w:color="FFFFFF" w:themeColor="background1"/>
            </w:tcBorders>
            <w:vAlign w:val="center"/>
          </w:tcPr>
          <w:p w:rsidR="000C35EE" w:rsidRPr="00082C2C" w:rsidRDefault="000C35EE" w:rsidP="000C35EE">
            <w:pPr>
              <w:spacing w:before="60" w:after="60"/>
              <w:jc w:val="center"/>
              <w:rPr>
                <w:szCs w:val="22"/>
              </w:rPr>
            </w:pPr>
          </w:p>
        </w:tc>
        <w:tc>
          <w:tcPr>
            <w:tcW w:w="964" w:type="dxa"/>
            <w:vMerge/>
            <w:tcBorders>
              <w:top w:val="single" w:sz="4" w:space="0" w:color="FFFFFF" w:themeColor="background1"/>
              <w:left w:val="single" w:sz="4" w:space="0" w:color="FFFFFF" w:themeColor="background1"/>
              <w:right w:val="single" w:sz="4" w:space="0" w:color="FFFFFF" w:themeColor="background1"/>
            </w:tcBorders>
            <w:vAlign w:val="center"/>
          </w:tcPr>
          <w:p w:rsidR="000C35EE" w:rsidRPr="00082C2C" w:rsidRDefault="000C35EE" w:rsidP="000C35EE">
            <w:pPr>
              <w:spacing w:before="60" w:after="60"/>
              <w:jc w:val="center"/>
              <w:rPr>
                <w:szCs w:val="22"/>
              </w:rPr>
            </w:pPr>
          </w:p>
        </w:tc>
        <w:tc>
          <w:tcPr>
            <w:tcW w:w="964" w:type="dxa"/>
            <w:tcBorders>
              <w:top w:val="single" w:sz="4" w:space="0" w:color="FFFFFF" w:themeColor="background1"/>
              <w:left w:val="single" w:sz="4" w:space="0" w:color="FFFFFF" w:themeColor="background1"/>
              <w:right w:val="single" w:sz="4" w:space="0" w:color="FFFFFF" w:themeColor="background1"/>
            </w:tcBorders>
            <w:shd w:val="clear" w:color="auto" w:fill="000000"/>
            <w:vAlign w:val="center"/>
          </w:tcPr>
          <w:p w:rsidR="000C35EE" w:rsidRPr="00082C2C" w:rsidRDefault="000C35EE" w:rsidP="000C35EE">
            <w:pPr>
              <w:spacing w:before="60" w:after="60"/>
              <w:jc w:val="center"/>
              <w:rPr>
                <w:color w:val="FFFFFF" w:themeColor="background1"/>
                <w:szCs w:val="22"/>
              </w:rPr>
            </w:pPr>
            <w:r w:rsidRPr="00082C2C">
              <w:rPr>
                <w:color w:val="FFFFFF" w:themeColor="background1"/>
                <w:szCs w:val="22"/>
              </w:rPr>
              <w:t>HCFCs</w:t>
            </w:r>
          </w:p>
        </w:tc>
        <w:tc>
          <w:tcPr>
            <w:tcW w:w="964" w:type="dxa"/>
            <w:tcBorders>
              <w:top w:val="single" w:sz="4" w:space="0" w:color="FFFFFF" w:themeColor="background1"/>
              <w:left w:val="single" w:sz="4" w:space="0" w:color="FFFFFF" w:themeColor="background1"/>
              <w:right w:val="single" w:sz="4" w:space="0" w:color="FFFFFF" w:themeColor="background1"/>
            </w:tcBorders>
            <w:shd w:val="clear" w:color="auto" w:fill="000000"/>
            <w:vAlign w:val="center"/>
          </w:tcPr>
          <w:p w:rsidR="000C35EE" w:rsidRPr="00082C2C" w:rsidRDefault="000C35EE" w:rsidP="000C35EE">
            <w:pPr>
              <w:spacing w:before="60" w:after="60"/>
              <w:jc w:val="center"/>
              <w:rPr>
                <w:color w:val="FFFFFF" w:themeColor="background1"/>
                <w:szCs w:val="22"/>
              </w:rPr>
            </w:pPr>
            <w:r w:rsidRPr="00082C2C">
              <w:rPr>
                <w:color w:val="FFFFFF" w:themeColor="background1"/>
                <w:szCs w:val="22"/>
              </w:rPr>
              <w:t>HFCs</w:t>
            </w:r>
          </w:p>
        </w:tc>
        <w:tc>
          <w:tcPr>
            <w:tcW w:w="964" w:type="dxa"/>
            <w:vMerge/>
            <w:tcBorders>
              <w:top w:val="single" w:sz="4" w:space="0" w:color="FFFFFF" w:themeColor="background1"/>
              <w:left w:val="single" w:sz="4" w:space="0" w:color="FFFFFF" w:themeColor="background1"/>
              <w:right w:val="single" w:sz="4" w:space="0" w:color="FFFFFF" w:themeColor="background1"/>
            </w:tcBorders>
            <w:vAlign w:val="center"/>
          </w:tcPr>
          <w:p w:rsidR="000C35EE" w:rsidRPr="00082C2C" w:rsidRDefault="000C35EE" w:rsidP="000C35EE">
            <w:pPr>
              <w:spacing w:before="60" w:after="60"/>
              <w:jc w:val="center"/>
              <w:rPr>
                <w:szCs w:val="22"/>
              </w:rPr>
            </w:pPr>
          </w:p>
        </w:tc>
        <w:tc>
          <w:tcPr>
            <w:tcW w:w="964" w:type="dxa"/>
            <w:vMerge/>
            <w:tcBorders>
              <w:top w:val="single" w:sz="4" w:space="0" w:color="FFFFFF" w:themeColor="background1"/>
              <w:left w:val="single" w:sz="4" w:space="0" w:color="FFFFFF" w:themeColor="background1"/>
              <w:right w:val="single" w:sz="8" w:space="0" w:color="auto"/>
            </w:tcBorders>
            <w:vAlign w:val="center"/>
          </w:tcPr>
          <w:p w:rsidR="000C35EE" w:rsidRPr="00082C2C" w:rsidRDefault="000C35EE" w:rsidP="000C35EE">
            <w:pPr>
              <w:spacing w:before="60" w:after="60"/>
              <w:jc w:val="center"/>
              <w:rPr>
                <w:szCs w:val="22"/>
              </w:rPr>
            </w:pPr>
          </w:p>
        </w:tc>
      </w:tr>
      <w:tr w:rsidR="006C0926" w:rsidRPr="005031CB" w:rsidTr="005031CB">
        <w:trPr>
          <w:trHeight w:val="456"/>
        </w:trPr>
        <w:tc>
          <w:tcPr>
            <w:tcW w:w="9640" w:type="dxa"/>
            <w:gridSpan w:val="7"/>
            <w:tcBorders>
              <w:top w:val="single" w:sz="4" w:space="0" w:color="000000"/>
            </w:tcBorders>
            <w:shd w:val="clear" w:color="auto" w:fill="CCFFFF"/>
            <w:vAlign w:val="center"/>
          </w:tcPr>
          <w:p w:rsidR="006C0926" w:rsidRPr="005031CB" w:rsidRDefault="006C0926" w:rsidP="006C0926">
            <w:pPr>
              <w:spacing w:before="60" w:after="60"/>
              <w:jc w:val="center"/>
              <w:rPr>
                <w:sz w:val="20"/>
                <w:szCs w:val="20"/>
              </w:rPr>
            </w:pPr>
            <w:r w:rsidRPr="005031CB">
              <w:rPr>
                <w:sz w:val="20"/>
                <w:szCs w:val="20"/>
              </w:rPr>
              <w:t>STATIONARY AIR CONDITIONING</w:t>
            </w:r>
          </w:p>
        </w:tc>
      </w:tr>
      <w:tr w:rsidR="00C4782B" w:rsidRPr="005031CB" w:rsidTr="009A68DD">
        <w:trPr>
          <w:trHeight w:val="456"/>
        </w:trPr>
        <w:tc>
          <w:tcPr>
            <w:tcW w:w="1276" w:type="dxa"/>
            <w:tcBorders>
              <w:top w:val="single" w:sz="4" w:space="0" w:color="000000"/>
            </w:tcBorders>
            <w:vAlign w:val="center"/>
          </w:tcPr>
          <w:p w:rsidR="00C4782B" w:rsidRPr="005031CB" w:rsidRDefault="00C4782B" w:rsidP="000C35EE">
            <w:pPr>
              <w:spacing w:before="60" w:after="60"/>
              <w:ind w:left="34"/>
              <w:jc w:val="left"/>
              <w:rPr>
                <w:sz w:val="20"/>
                <w:szCs w:val="20"/>
              </w:rPr>
            </w:pPr>
            <w:r w:rsidRPr="005031CB">
              <w:rPr>
                <w:sz w:val="20"/>
                <w:szCs w:val="20"/>
              </w:rPr>
              <w:t>AC1</w:t>
            </w:r>
          </w:p>
        </w:tc>
        <w:tc>
          <w:tcPr>
            <w:tcW w:w="3544" w:type="dxa"/>
            <w:tcBorders>
              <w:top w:val="single" w:sz="4" w:space="0" w:color="000000"/>
            </w:tcBorders>
            <w:vAlign w:val="center"/>
          </w:tcPr>
          <w:p w:rsidR="00C4782B" w:rsidRPr="005031CB" w:rsidRDefault="00C4782B" w:rsidP="00C4782B">
            <w:pPr>
              <w:spacing w:before="60" w:after="60"/>
              <w:jc w:val="left"/>
              <w:rPr>
                <w:sz w:val="20"/>
                <w:szCs w:val="20"/>
              </w:rPr>
            </w:pPr>
            <w:r w:rsidRPr="005031CB">
              <w:rPr>
                <w:sz w:val="20"/>
                <w:szCs w:val="20"/>
              </w:rPr>
              <w:t>Single split: non-ducted: 1 &amp; 3 phase</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1.7</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8.0%</w:t>
            </w:r>
          </w:p>
        </w:tc>
        <w:tc>
          <w:tcPr>
            <w:tcW w:w="964" w:type="dxa"/>
            <w:tcBorders>
              <w:top w:val="single" w:sz="4" w:space="0" w:color="000000"/>
            </w:tcBorders>
            <w:vAlign w:val="center"/>
          </w:tcPr>
          <w:p w:rsidR="00C4782B" w:rsidRPr="005031CB" w:rsidRDefault="00094FE8" w:rsidP="000C35EE">
            <w:pPr>
              <w:spacing w:before="60" w:after="60"/>
              <w:jc w:val="center"/>
              <w:rPr>
                <w:sz w:val="20"/>
                <w:szCs w:val="20"/>
              </w:rPr>
            </w:pPr>
            <w:r>
              <w:rPr>
                <w:sz w:val="20"/>
                <w:szCs w:val="20"/>
              </w:rPr>
              <w:t>3</w:t>
            </w:r>
            <w:r w:rsidR="00C4782B" w:rsidRPr="005031CB">
              <w:rPr>
                <w:sz w:val="20"/>
                <w:szCs w:val="20"/>
              </w:rPr>
              <w:t>.0%</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12</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80%</w:t>
            </w:r>
          </w:p>
        </w:tc>
      </w:tr>
      <w:tr w:rsidR="00C4782B" w:rsidRPr="005031CB" w:rsidTr="009A68DD">
        <w:trPr>
          <w:trHeight w:val="456"/>
        </w:trPr>
        <w:tc>
          <w:tcPr>
            <w:tcW w:w="1276" w:type="dxa"/>
            <w:tcBorders>
              <w:top w:val="single" w:sz="4" w:space="0" w:color="000000"/>
            </w:tcBorders>
            <w:vAlign w:val="center"/>
          </w:tcPr>
          <w:p w:rsidR="00C4782B" w:rsidRPr="005031CB" w:rsidRDefault="00C4782B" w:rsidP="000C35EE">
            <w:pPr>
              <w:spacing w:before="60" w:after="60"/>
              <w:ind w:left="34"/>
              <w:jc w:val="left"/>
              <w:rPr>
                <w:sz w:val="20"/>
                <w:szCs w:val="20"/>
              </w:rPr>
            </w:pPr>
            <w:r w:rsidRPr="005031CB">
              <w:rPr>
                <w:sz w:val="20"/>
                <w:szCs w:val="20"/>
              </w:rPr>
              <w:t>AC2</w:t>
            </w:r>
          </w:p>
        </w:tc>
        <w:tc>
          <w:tcPr>
            <w:tcW w:w="3544" w:type="dxa"/>
            <w:tcBorders>
              <w:top w:val="single" w:sz="4" w:space="0" w:color="000000"/>
            </w:tcBorders>
            <w:vAlign w:val="center"/>
          </w:tcPr>
          <w:p w:rsidR="00C4782B" w:rsidRPr="005031CB" w:rsidRDefault="00C4782B" w:rsidP="00522F8F">
            <w:pPr>
              <w:spacing w:before="60" w:after="60"/>
              <w:jc w:val="left"/>
              <w:rPr>
                <w:sz w:val="20"/>
                <w:szCs w:val="20"/>
              </w:rPr>
            </w:pPr>
            <w:r w:rsidRPr="005031CB">
              <w:rPr>
                <w:sz w:val="20"/>
                <w:szCs w:val="20"/>
              </w:rPr>
              <w:t>Single split: ducted: 1 &amp; 3 phase</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4.7</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8.0%</w:t>
            </w:r>
          </w:p>
        </w:tc>
        <w:tc>
          <w:tcPr>
            <w:tcW w:w="964" w:type="dxa"/>
            <w:tcBorders>
              <w:top w:val="single" w:sz="4" w:space="0" w:color="000000"/>
            </w:tcBorders>
            <w:vAlign w:val="center"/>
          </w:tcPr>
          <w:p w:rsidR="00C4782B" w:rsidRPr="005031CB" w:rsidRDefault="00094FE8" w:rsidP="000C35EE">
            <w:pPr>
              <w:spacing w:before="60" w:after="60"/>
              <w:jc w:val="center"/>
              <w:rPr>
                <w:sz w:val="20"/>
                <w:szCs w:val="20"/>
              </w:rPr>
            </w:pPr>
            <w:r>
              <w:rPr>
                <w:sz w:val="20"/>
                <w:szCs w:val="20"/>
              </w:rPr>
              <w:t>3</w:t>
            </w:r>
            <w:r w:rsidR="00C4782B" w:rsidRPr="005031CB">
              <w:rPr>
                <w:sz w:val="20"/>
                <w:szCs w:val="20"/>
              </w:rPr>
              <w:t>.0%</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12</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80%</w:t>
            </w:r>
          </w:p>
        </w:tc>
      </w:tr>
      <w:tr w:rsidR="00C4782B" w:rsidRPr="005031CB" w:rsidTr="009A68DD">
        <w:trPr>
          <w:trHeight w:val="456"/>
        </w:trPr>
        <w:tc>
          <w:tcPr>
            <w:tcW w:w="1276" w:type="dxa"/>
            <w:tcBorders>
              <w:top w:val="single" w:sz="4" w:space="0" w:color="000000"/>
            </w:tcBorders>
            <w:vAlign w:val="center"/>
          </w:tcPr>
          <w:p w:rsidR="00C4782B" w:rsidRPr="005031CB" w:rsidRDefault="00C4782B" w:rsidP="000C35EE">
            <w:pPr>
              <w:spacing w:before="60" w:after="60"/>
              <w:ind w:left="34"/>
              <w:jc w:val="left"/>
              <w:rPr>
                <w:sz w:val="20"/>
                <w:szCs w:val="20"/>
              </w:rPr>
            </w:pPr>
            <w:r w:rsidRPr="005031CB">
              <w:rPr>
                <w:sz w:val="20"/>
                <w:szCs w:val="20"/>
              </w:rPr>
              <w:t>AC3</w:t>
            </w:r>
          </w:p>
        </w:tc>
        <w:tc>
          <w:tcPr>
            <w:tcW w:w="3544" w:type="dxa"/>
            <w:tcBorders>
              <w:top w:val="single" w:sz="4" w:space="0" w:color="000000"/>
            </w:tcBorders>
            <w:vAlign w:val="center"/>
          </w:tcPr>
          <w:p w:rsidR="00C4782B" w:rsidRPr="005031CB" w:rsidRDefault="00C4782B" w:rsidP="00513F57">
            <w:pPr>
              <w:spacing w:before="60" w:after="60"/>
              <w:jc w:val="left"/>
              <w:rPr>
                <w:sz w:val="20"/>
                <w:szCs w:val="20"/>
              </w:rPr>
            </w:pPr>
            <w:r w:rsidRPr="005031CB">
              <w:rPr>
                <w:sz w:val="20"/>
                <w:szCs w:val="20"/>
              </w:rPr>
              <w:t>Non-</w:t>
            </w:r>
            <w:r w:rsidR="00513F57">
              <w:rPr>
                <w:sz w:val="20"/>
                <w:szCs w:val="20"/>
              </w:rPr>
              <w:t>d</w:t>
            </w:r>
            <w:r w:rsidRPr="005031CB">
              <w:rPr>
                <w:sz w:val="20"/>
                <w:szCs w:val="20"/>
              </w:rPr>
              <w:t xml:space="preserve">ucted: </w:t>
            </w:r>
            <w:r w:rsidR="00513F57">
              <w:rPr>
                <w:sz w:val="20"/>
                <w:szCs w:val="20"/>
              </w:rPr>
              <w:t>u</w:t>
            </w:r>
            <w:r w:rsidRPr="005031CB">
              <w:rPr>
                <w:sz w:val="20"/>
                <w:szCs w:val="20"/>
              </w:rPr>
              <w:t xml:space="preserve">nitary 0-10 kWr </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0.75</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4.0%</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3.0%</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10</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80%</w:t>
            </w:r>
          </w:p>
        </w:tc>
      </w:tr>
      <w:tr w:rsidR="00C4782B" w:rsidRPr="005031CB" w:rsidTr="009A68DD">
        <w:trPr>
          <w:trHeight w:val="456"/>
        </w:trPr>
        <w:tc>
          <w:tcPr>
            <w:tcW w:w="1276" w:type="dxa"/>
            <w:tcBorders>
              <w:top w:val="single" w:sz="4" w:space="0" w:color="000000"/>
            </w:tcBorders>
            <w:vAlign w:val="center"/>
          </w:tcPr>
          <w:p w:rsidR="00C4782B" w:rsidRPr="005031CB" w:rsidRDefault="00C4782B" w:rsidP="000C35EE">
            <w:pPr>
              <w:spacing w:before="60" w:after="60"/>
              <w:ind w:left="34"/>
              <w:jc w:val="left"/>
              <w:rPr>
                <w:sz w:val="20"/>
                <w:szCs w:val="20"/>
              </w:rPr>
            </w:pPr>
            <w:r w:rsidRPr="005031CB">
              <w:rPr>
                <w:sz w:val="20"/>
                <w:szCs w:val="20"/>
              </w:rPr>
              <w:t>AC4</w:t>
            </w:r>
          </w:p>
        </w:tc>
        <w:tc>
          <w:tcPr>
            <w:tcW w:w="3544" w:type="dxa"/>
            <w:tcBorders>
              <w:top w:val="single" w:sz="4" w:space="0" w:color="000000"/>
            </w:tcBorders>
            <w:vAlign w:val="center"/>
          </w:tcPr>
          <w:p w:rsidR="00C4782B" w:rsidRPr="005031CB" w:rsidRDefault="00C4782B" w:rsidP="00C4782B">
            <w:pPr>
              <w:spacing w:before="60" w:after="60"/>
              <w:jc w:val="left"/>
              <w:rPr>
                <w:sz w:val="20"/>
                <w:szCs w:val="20"/>
              </w:rPr>
            </w:pPr>
            <w:r w:rsidRPr="005031CB">
              <w:rPr>
                <w:sz w:val="20"/>
                <w:szCs w:val="20"/>
              </w:rPr>
              <w:t>Portable AC 0-10 kWr</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0.6</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1.0%</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1.0%</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7</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90%</w:t>
            </w:r>
          </w:p>
        </w:tc>
      </w:tr>
      <w:tr w:rsidR="00C4782B" w:rsidRPr="005031CB" w:rsidTr="009A68DD">
        <w:trPr>
          <w:trHeight w:val="456"/>
        </w:trPr>
        <w:tc>
          <w:tcPr>
            <w:tcW w:w="1276" w:type="dxa"/>
            <w:tcBorders>
              <w:top w:val="single" w:sz="4" w:space="0" w:color="000000"/>
            </w:tcBorders>
            <w:vAlign w:val="center"/>
          </w:tcPr>
          <w:p w:rsidR="00C4782B" w:rsidRPr="005031CB" w:rsidRDefault="00C4782B" w:rsidP="000C35EE">
            <w:pPr>
              <w:spacing w:before="60" w:after="60"/>
              <w:ind w:left="34"/>
              <w:jc w:val="left"/>
              <w:rPr>
                <w:sz w:val="20"/>
                <w:szCs w:val="20"/>
              </w:rPr>
            </w:pPr>
            <w:r w:rsidRPr="005031CB">
              <w:rPr>
                <w:sz w:val="20"/>
                <w:szCs w:val="20"/>
              </w:rPr>
              <w:t>AC5-1</w:t>
            </w:r>
          </w:p>
        </w:tc>
        <w:tc>
          <w:tcPr>
            <w:tcW w:w="3544" w:type="dxa"/>
            <w:tcBorders>
              <w:top w:val="single" w:sz="4" w:space="0" w:color="000000"/>
            </w:tcBorders>
            <w:vAlign w:val="center"/>
          </w:tcPr>
          <w:p w:rsidR="00C4782B" w:rsidRPr="005031CB" w:rsidRDefault="00C4782B" w:rsidP="00C4782B">
            <w:pPr>
              <w:spacing w:before="60" w:after="60"/>
              <w:jc w:val="left"/>
              <w:rPr>
                <w:sz w:val="20"/>
                <w:szCs w:val="20"/>
              </w:rPr>
            </w:pPr>
            <w:r w:rsidRPr="005031CB">
              <w:rPr>
                <w:sz w:val="20"/>
                <w:szCs w:val="20"/>
              </w:rPr>
              <w:t>&lt;500 kWr</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60</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8.0%</w:t>
            </w:r>
          </w:p>
        </w:tc>
        <w:tc>
          <w:tcPr>
            <w:tcW w:w="964" w:type="dxa"/>
            <w:tcBorders>
              <w:top w:val="single" w:sz="4" w:space="0" w:color="000000"/>
            </w:tcBorders>
            <w:vAlign w:val="center"/>
          </w:tcPr>
          <w:p w:rsidR="00C4782B" w:rsidRPr="005031CB" w:rsidRDefault="00094FE8" w:rsidP="000C35EE">
            <w:pPr>
              <w:spacing w:before="60" w:after="60"/>
              <w:jc w:val="center"/>
              <w:rPr>
                <w:sz w:val="20"/>
                <w:szCs w:val="20"/>
              </w:rPr>
            </w:pPr>
            <w:r>
              <w:rPr>
                <w:sz w:val="20"/>
                <w:szCs w:val="20"/>
              </w:rPr>
              <w:t>4</w:t>
            </w:r>
            <w:r w:rsidR="00C4782B" w:rsidRPr="005031CB">
              <w:rPr>
                <w:sz w:val="20"/>
                <w:szCs w:val="20"/>
              </w:rPr>
              <w:t>.0%</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15</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80%</w:t>
            </w:r>
          </w:p>
        </w:tc>
      </w:tr>
      <w:tr w:rsidR="00C4782B" w:rsidRPr="005031CB" w:rsidTr="009A68DD">
        <w:trPr>
          <w:trHeight w:val="456"/>
        </w:trPr>
        <w:tc>
          <w:tcPr>
            <w:tcW w:w="1276" w:type="dxa"/>
            <w:tcBorders>
              <w:top w:val="single" w:sz="4" w:space="0" w:color="000000"/>
            </w:tcBorders>
            <w:vAlign w:val="center"/>
          </w:tcPr>
          <w:p w:rsidR="00C4782B" w:rsidRPr="005031CB" w:rsidRDefault="00C4782B" w:rsidP="000C35EE">
            <w:pPr>
              <w:spacing w:before="60" w:after="60"/>
              <w:ind w:left="34"/>
              <w:jc w:val="left"/>
              <w:rPr>
                <w:sz w:val="20"/>
                <w:szCs w:val="20"/>
              </w:rPr>
            </w:pPr>
            <w:r w:rsidRPr="005031CB">
              <w:rPr>
                <w:sz w:val="20"/>
                <w:szCs w:val="20"/>
              </w:rPr>
              <w:t>AC5-2</w:t>
            </w:r>
          </w:p>
        </w:tc>
        <w:tc>
          <w:tcPr>
            <w:tcW w:w="3544" w:type="dxa"/>
            <w:tcBorders>
              <w:top w:val="single" w:sz="4" w:space="0" w:color="000000"/>
            </w:tcBorders>
            <w:vAlign w:val="center"/>
          </w:tcPr>
          <w:p w:rsidR="00C4782B" w:rsidRPr="005031CB" w:rsidRDefault="00C4782B" w:rsidP="00C4782B">
            <w:pPr>
              <w:spacing w:before="60" w:after="60"/>
              <w:jc w:val="left"/>
              <w:rPr>
                <w:sz w:val="20"/>
                <w:szCs w:val="20"/>
              </w:rPr>
            </w:pPr>
            <w:r w:rsidRPr="005031CB">
              <w:rPr>
                <w:sz w:val="20"/>
                <w:szCs w:val="20"/>
              </w:rPr>
              <w:t>&gt;500 &amp; &lt;1000 kWr</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210</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8.0%</w:t>
            </w:r>
          </w:p>
        </w:tc>
        <w:tc>
          <w:tcPr>
            <w:tcW w:w="964" w:type="dxa"/>
            <w:tcBorders>
              <w:top w:val="single" w:sz="4" w:space="0" w:color="000000"/>
            </w:tcBorders>
            <w:vAlign w:val="center"/>
          </w:tcPr>
          <w:p w:rsidR="00C4782B" w:rsidRPr="005031CB" w:rsidRDefault="00094FE8" w:rsidP="000C35EE">
            <w:pPr>
              <w:spacing w:before="60" w:after="60"/>
              <w:jc w:val="center"/>
              <w:rPr>
                <w:sz w:val="20"/>
                <w:szCs w:val="20"/>
              </w:rPr>
            </w:pPr>
            <w:r>
              <w:rPr>
                <w:sz w:val="20"/>
                <w:szCs w:val="20"/>
              </w:rPr>
              <w:t>4</w:t>
            </w:r>
            <w:r w:rsidR="00C4782B" w:rsidRPr="005031CB">
              <w:rPr>
                <w:sz w:val="20"/>
                <w:szCs w:val="20"/>
              </w:rPr>
              <w:t>.0%</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20</w:t>
            </w:r>
          </w:p>
        </w:tc>
        <w:tc>
          <w:tcPr>
            <w:tcW w:w="964" w:type="dxa"/>
            <w:tcBorders>
              <w:top w:val="single" w:sz="4" w:space="0" w:color="000000"/>
            </w:tcBorders>
            <w:vAlign w:val="center"/>
          </w:tcPr>
          <w:p w:rsidR="00C4782B" w:rsidRPr="005031CB" w:rsidRDefault="00C4782B" w:rsidP="000C35EE">
            <w:pPr>
              <w:spacing w:before="60" w:after="60"/>
              <w:jc w:val="center"/>
              <w:rPr>
                <w:sz w:val="20"/>
                <w:szCs w:val="20"/>
              </w:rPr>
            </w:pPr>
            <w:r w:rsidRPr="005031CB">
              <w:rPr>
                <w:sz w:val="20"/>
                <w:szCs w:val="20"/>
              </w:rPr>
              <w:t>80%</w:t>
            </w:r>
          </w:p>
        </w:tc>
      </w:tr>
      <w:tr w:rsidR="00C408C0" w:rsidRPr="005031CB" w:rsidTr="009A68DD">
        <w:trPr>
          <w:trHeight w:val="456"/>
        </w:trPr>
        <w:tc>
          <w:tcPr>
            <w:tcW w:w="1276" w:type="dxa"/>
            <w:tcBorders>
              <w:top w:val="single" w:sz="4" w:space="0" w:color="000000"/>
            </w:tcBorders>
            <w:vAlign w:val="center"/>
          </w:tcPr>
          <w:p w:rsidR="00C408C0" w:rsidRPr="005031CB" w:rsidRDefault="00C408C0" w:rsidP="000C35EE">
            <w:pPr>
              <w:spacing w:before="60" w:after="60"/>
              <w:ind w:left="34"/>
              <w:jc w:val="left"/>
              <w:rPr>
                <w:sz w:val="20"/>
                <w:szCs w:val="20"/>
              </w:rPr>
            </w:pPr>
            <w:r w:rsidRPr="005031CB">
              <w:rPr>
                <w:sz w:val="20"/>
                <w:szCs w:val="20"/>
              </w:rPr>
              <w:t>AC5-2</w:t>
            </w:r>
          </w:p>
        </w:tc>
        <w:tc>
          <w:tcPr>
            <w:tcW w:w="3544" w:type="dxa"/>
            <w:tcBorders>
              <w:top w:val="single" w:sz="4" w:space="0" w:color="000000"/>
            </w:tcBorders>
            <w:vAlign w:val="center"/>
          </w:tcPr>
          <w:p w:rsidR="00C408C0" w:rsidRPr="005031CB" w:rsidRDefault="00C408C0" w:rsidP="00C4782B">
            <w:pPr>
              <w:spacing w:before="60" w:after="60"/>
              <w:jc w:val="left"/>
              <w:rPr>
                <w:sz w:val="20"/>
                <w:szCs w:val="20"/>
              </w:rPr>
            </w:pPr>
            <w:r w:rsidRPr="005031CB">
              <w:rPr>
                <w:sz w:val="20"/>
                <w:szCs w:val="20"/>
              </w:rPr>
              <w:t>&gt;500 &amp; &lt;1000 kWr (HFC-123)</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180</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1.0%</w:t>
            </w:r>
          </w:p>
        </w:tc>
        <w:tc>
          <w:tcPr>
            <w:tcW w:w="964" w:type="dxa"/>
            <w:tcBorders>
              <w:top w:val="single" w:sz="4" w:space="0" w:color="000000"/>
            </w:tcBorders>
            <w:vAlign w:val="center"/>
          </w:tcPr>
          <w:p w:rsidR="00C408C0" w:rsidRPr="005031CB" w:rsidRDefault="009F0103" w:rsidP="000C35EE">
            <w:pPr>
              <w:spacing w:before="60" w:after="60"/>
              <w:jc w:val="center"/>
              <w:rPr>
                <w:sz w:val="20"/>
                <w:szCs w:val="20"/>
              </w:rPr>
            </w:pPr>
            <w:r w:rsidRPr="005031CB">
              <w:rPr>
                <w:sz w:val="20"/>
                <w:szCs w:val="20"/>
              </w:rPr>
              <w:t>n.a.</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20</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80%</w:t>
            </w:r>
          </w:p>
        </w:tc>
      </w:tr>
      <w:tr w:rsidR="00C408C0" w:rsidRPr="005031CB" w:rsidTr="009A68DD">
        <w:trPr>
          <w:trHeight w:val="456"/>
        </w:trPr>
        <w:tc>
          <w:tcPr>
            <w:tcW w:w="1276" w:type="dxa"/>
            <w:tcBorders>
              <w:top w:val="single" w:sz="4" w:space="0" w:color="000000"/>
            </w:tcBorders>
            <w:vAlign w:val="center"/>
          </w:tcPr>
          <w:p w:rsidR="00C408C0" w:rsidRPr="005031CB" w:rsidRDefault="00C408C0" w:rsidP="000C35EE">
            <w:pPr>
              <w:spacing w:before="60" w:after="60"/>
              <w:ind w:left="34"/>
              <w:jc w:val="left"/>
              <w:rPr>
                <w:sz w:val="20"/>
                <w:szCs w:val="20"/>
              </w:rPr>
            </w:pPr>
            <w:r w:rsidRPr="005031CB">
              <w:rPr>
                <w:sz w:val="20"/>
                <w:szCs w:val="20"/>
              </w:rPr>
              <w:t>AC5-3</w:t>
            </w:r>
          </w:p>
        </w:tc>
        <w:tc>
          <w:tcPr>
            <w:tcW w:w="3544" w:type="dxa"/>
            <w:tcBorders>
              <w:top w:val="single" w:sz="4" w:space="0" w:color="000000"/>
            </w:tcBorders>
            <w:vAlign w:val="center"/>
          </w:tcPr>
          <w:p w:rsidR="00C408C0" w:rsidRPr="005031CB" w:rsidRDefault="00C408C0" w:rsidP="00C4782B">
            <w:pPr>
              <w:spacing w:before="60" w:after="60"/>
              <w:jc w:val="left"/>
              <w:rPr>
                <w:sz w:val="20"/>
                <w:szCs w:val="20"/>
              </w:rPr>
            </w:pPr>
            <w:r w:rsidRPr="005031CB">
              <w:rPr>
                <w:sz w:val="20"/>
                <w:szCs w:val="20"/>
              </w:rPr>
              <w:t>&gt;1000 kWr</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620</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8.0%</w:t>
            </w:r>
          </w:p>
        </w:tc>
        <w:tc>
          <w:tcPr>
            <w:tcW w:w="964" w:type="dxa"/>
            <w:tcBorders>
              <w:top w:val="single" w:sz="4" w:space="0" w:color="000000"/>
            </w:tcBorders>
            <w:vAlign w:val="center"/>
          </w:tcPr>
          <w:p w:rsidR="00C408C0" w:rsidRPr="005031CB" w:rsidRDefault="00094FE8" w:rsidP="000C35EE">
            <w:pPr>
              <w:spacing w:before="60" w:after="60"/>
              <w:jc w:val="center"/>
              <w:rPr>
                <w:sz w:val="20"/>
                <w:szCs w:val="20"/>
              </w:rPr>
            </w:pPr>
            <w:r>
              <w:rPr>
                <w:sz w:val="20"/>
                <w:szCs w:val="20"/>
              </w:rPr>
              <w:t>4</w:t>
            </w:r>
            <w:r w:rsidR="00C408C0" w:rsidRPr="005031CB">
              <w:rPr>
                <w:sz w:val="20"/>
                <w:szCs w:val="20"/>
              </w:rPr>
              <w:t>.0%</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25</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80%</w:t>
            </w:r>
          </w:p>
        </w:tc>
      </w:tr>
      <w:tr w:rsidR="00C408C0" w:rsidRPr="005031CB" w:rsidTr="009A68DD">
        <w:trPr>
          <w:trHeight w:val="456"/>
        </w:trPr>
        <w:tc>
          <w:tcPr>
            <w:tcW w:w="1276" w:type="dxa"/>
            <w:tcBorders>
              <w:top w:val="single" w:sz="4" w:space="0" w:color="000000"/>
            </w:tcBorders>
            <w:vAlign w:val="center"/>
          </w:tcPr>
          <w:p w:rsidR="00C408C0" w:rsidRPr="005031CB" w:rsidRDefault="00C408C0" w:rsidP="000C35EE">
            <w:pPr>
              <w:spacing w:before="60" w:after="60"/>
              <w:ind w:left="34"/>
              <w:jc w:val="left"/>
              <w:rPr>
                <w:sz w:val="20"/>
                <w:szCs w:val="20"/>
              </w:rPr>
            </w:pPr>
            <w:r w:rsidRPr="005031CB">
              <w:rPr>
                <w:sz w:val="20"/>
                <w:szCs w:val="20"/>
              </w:rPr>
              <w:t>AC5-3</w:t>
            </w:r>
          </w:p>
        </w:tc>
        <w:tc>
          <w:tcPr>
            <w:tcW w:w="3544" w:type="dxa"/>
            <w:tcBorders>
              <w:top w:val="single" w:sz="4" w:space="0" w:color="000000"/>
            </w:tcBorders>
            <w:vAlign w:val="center"/>
          </w:tcPr>
          <w:p w:rsidR="00C408C0" w:rsidRPr="005031CB" w:rsidRDefault="00C408C0" w:rsidP="00C4782B">
            <w:pPr>
              <w:spacing w:before="60" w:after="60"/>
              <w:jc w:val="left"/>
              <w:rPr>
                <w:sz w:val="20"/>
                <w:szCs w:val="20"/>
              </w:rPr>
            </w:pPr>
            <w:r w:rsidRPr="005031CB">
              <w:rPr>
                <w:sz w:val="20"/>
                <w:szCs w:val="20"/>
              </w:rPr>
              <w:t>&gt;1000 kWr (HFC-123)</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670</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1.0%</w:t>
            </w:r>
          </w:p>
        </w:tc>
        <w:tc>
          <w:tcPr>
            <w:tcW w:w="964" w:type="dxa"/>
            <w:tcBorders>
              <w:top w:val="single" w:sz="4" w:space="0" w:color="000000"/>
            </w:tcBorders>
            <w:vAlign w:val="center"/>
          </w:tcPr>
          <w:p w:rsidR="00C408C0" w:rsidRPr="005031CB" w:rsidRDefault="009F0103" w:rsidP="000C35EE">
            <w:pPr>
              <w:spacing w:before="60" w:after="60"/>
              <w:jc w:val="center"/>
              <w:rPr>
                <w:sz w:val="20"/>
                <w:szCs w:val="20"/>
              </w:rPr>
            </w:pPr>
            <w:r w:rsidRPr="005031CB">
              <w:rPr>
                <w:sz w:val="20"/>
                <w:szCs w:val="20"/>
              </w:rPr>
              <w:t>n.a.</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25</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80%</w:t>
            </w:r>
          </w:p>
        </w:tc>
      </w:tr>
      <w:tr w:rsidR="00C408C0" w:rsidRPr="005031CB" w:rsidTr="009A68DD">
        <w:trPr>
          <w:trHeight w:val="456"/>
        </w:trPr>
        <w:tc>
          <w:tcPr>
            <w:tcW w:w="1276" w:type="dxa"/>
            <w:tcBorders>
              <w:top w:val="single" w:sz="4" w:space="0" w:color="000000"/>
            </w:tcBorders>
            <w:vAlign w:val="center"/>
          </w:tcPr>
          <w:p w:rsidR="00C408C0" w:rsidRPr="005031CB" w:rsidRDefault="00C408C0" w:rsidP="000C35EE">
            <w:pPr>
              <w:spacing w:before="60" w:after="60"/>
              <w:ind w:left="34"/>
              <w:jc w:val="left"/>
              <w:rPr>
                <w:sz w:val="20"/>
                <w:szCs w:val="20"/>
              </w:rPr>
            </w:pPr>
            <w:r w:rsidRPr="005031CB">
              <w:rPr>
                <w:sz w:val="20"/>
                <w:szCs w:val="20"/>
              </w:rPr>
              <w:t>AC6-1</w:t>
            </w:r>
          </w:p>
        </w:tc>
        <w:tc>
          <w:tcPr>
            <w:tcW w:w="3544" w:type="dxa"/>
            <w:tcBorders>
              <w:top w:val="single" w:sz="4" w:space="0" w:color="000000"/>
            </w:tcBorders>
            <w:vAlign w:val="center"/>
          </w:tcPr>
          <w:p w:rsidR="00C408C0" w:rsidRPr="005031CB" w:rsidRDefault="00C408C0" w:rsidP="00C4782B">
            <w:pPr>
              <w:spacing w:before="60" w:after="60"/>
              <w:jc w:val="left"/>
              <w:rPr>
                <w:sz w:val="20"/>
                <w:szCs w:val="20"/>
              </w:rPr>
            </w:pPr>
            <w:r w:rsidRPr="005031CB">
              <w:rPr>
                <w:sz w:val="20"/>
                <w:szCs w:val="20"/>
              </w:rPr>
              <w:t>RT Packaged systems</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12.2</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8.0%</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4.0%</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15</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80%</w:t>
            </w:r>
          </w:p>
        </w:tc>
      </w:tr>
      <w:tr w:rsidR="00C408C0" w:rsidRPr="005031CB" w:rsidTr="009A68DD">
        <w:trPr>
          <w:trHeight w:val="456"/>
        </w:trPr>
        <w:tc>
          <w:tcPr>
            <w:tcW w:w="1276" w:type="dxa"/>
            <w:tcBorders>
              <w:top w:val="single" w:sz="4" w:space="0" w:color="000000"/>
            </w:tcBorders>
            <w:vAlign w:val="center"/>
          </w:tcPr>
          <w:p w:rsidR="00C408C0" w:rsidRPr="005031CB" w:rsidRDefault="00C408C0" w:rsidP="000C35EE">
            <w:pPr>
              <w:spacing w:before="60" w:after="60"/>
              <w:ind w:left="34"/>
              <w:jc w:val="left"/>
              <w:rPr>
                <w:sz w:val="20"/>
                <w:szCs w:val="20"/>
              </w:rPr>
            </w:pPr>
            <w:r w:rsidRPr="005031CB">
              <w:rPr>
                <w:sz w:val="20"/>
                <w:szCs w:val="20"/>
              </w:rPr>
              <w:t>AC6-2</w:t>
            </w:r>
          </w:p>
        </w:tc>
        <w:tc>
          <w:tcPr>
            <w:tcW w:w="3544" w:type="dxa"/>
            <w:tcBorders>
              <w:top w:val="single" w:sz="4" w:space="0" w:color="000000"/>
            </w:tcBorders>
            <w:vAlign w:val="center"/>
          </w:tcPr>
          <w:p w:rsidR="00C408C0" w:rsidRPr="005031CB" w:rsidRDefault="00C408C0" w:rsidP="00C4782B">
            <w:pPr>
              <w:spacing w:before="60" w:after="60"/>
              <w:jc w:val="left"/>
              <w:rPr>
                <w:sz w:val="20"/>
                <w:szCs w:val="20"/>
              </w:rPr>
            </w:pPr>
            <w:r w:rsidRPr="005031CB">
              <w:rPr>
                <w:sz w:val="20"/>
                <w:szCs w:val="20"/>
              </w:rPr>
              <w:t>Multi split/VRF</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8.0</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8.0%</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4.0%</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15</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80%</w:t>
            </w:r>
          </w:p>
        </w:tc>
      </w:tr>
      <w:tr w:rsidR="00C408C0" w:rsidRPr="005031CB" w:rsidTr="009A68DD">
        <w:trPr>
          <w:trHeight w:val="456"/>
        </w:trPr>
        <w:tc>
          <w:tcPr>
            <w:tcW w:w="1276" w:type="dxa"/>
            <w:tcBorders>
              <w:top w:val="single" w:sz="4" w:space="0" w:color="000000"/>
            </w:tcBorders>
            <w:vAlign w:val="center"/>
          </w:tcPr>
          <w:p w:rsidR="00C408C0" w:rsidRPr="005031CB" w:rsidRDefault="00C408C0" w:rsidP="000C35EE">
            <w:pPr>
              <w:spacing w:before="60" w:after="60"/>
              <w:ind w:left="34"/>
              <w:jc w:val="left"/>
              <w:rPr>
                <w:sz w:val="20"/>
                <w:szCs w:val="20"/>
              </w:rPr>
            </w:pPr>
            <w:r w:rsidRPr="005031CB">
              <w:rPr>
                <w:sz w:val="20"/>
                <w:szCs w:val="20"/>
              </w:rPr>
              <w:t>AC6-3</w:t>
            </w:r>
          </w:p>
        </w:tc>
        <w:tc>
          <w:tcPr>
            <w:tcW w:w="3544" w:type="dxa"/>
            <w:tcBorders>
              <w:top w:val="single" w:sz="4" w:space="0" w:color="000000"/>
            </w:tcBorders>
            <w:vAlign w:val="center"/>
          </w:tcPr>
          <w:p w:rsidR="00C408C0" w:rsidRPr="005031CB" w:rsidRDefault="00C408C0" w:rsidP="00C4782B">
            <w:pPr>
              <w:spacing w:before="60" w:after="60"/>
              <w:jc w:val="left"/>
              <w:rPr>
                <w:sz w:val="20"/>
                <w:szCs w:val="20"/>
              </w:rPr>
            </w:pPr>
            <w:r w:rsidRPr="005031CB">
              <w:rPr>
                <w:sz w:val="20"/>
                <w:szCs w:val="20"/>
              </w:rPr>
              <w:t>Close control</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30.0</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8.0%</w:t>
            </w:r>
          </w:p>
        </w:tc>
        <w:tc>
          <w:tcPr>
            <w:tcW w:w="964" w:type="dxa"/>
            <w:tcBorders>
              <w:top w:val="single" w:sz="4" w:space="0" w:color="000000"/>
            </w:tcBorders>
            <w:vAlign w:val="center"/>
          </w:tcPr>
          <w:p w:rsidR="00C408C0" w:rsidRPr="005031CB" w:rsidRDefault="00094FE8" w:rsidP="000C35EE">
            <w:pPr>
              <w:spacing w:before="60" w:after="60"/>
              <w:jc w:val="center"/>
              <w:rPr>
                <w:sz w:val="20"/>
                <w:szCs w:val="20"/>
              </w:rPr>
            </w:pPr>
            <w:r>
              <w:rPr>
                <w:sz w:val="20"/>
                <w:szCs w:val="20"/>
              </w:rPr>
              <w:t>4</w:t>
            </w:r>
            <w:r w:rsidR="00C408C0" w:rsidRPr="005031CB">
              <w:rPr>
                <w:sz w:val="20"/>
                <w:szCs w:val="20"/>
              </w:rPr>
              <w:t>.0%</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15</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80%</w:t>
            </w:r>
          </w:p>
        </w:tc>
      </w:tr>
      <w:tr w:rsidR="00C408C0" w:rsidRPr="005031CB" w:rsidTr="009A68DD">
        <w:trPr>
          <w:trHeight w:val="456"/>
        </w:trPr>
        <w:tc>
          <w:tcPr>
            <w:tcW w:w="1276" w:type="dxa"/>
            <w:tcBorders>
              <w:top w:val="single" w:sz="4" w:space="0" w:color="000000"/>
            </w:tcBorders>
            <w:vAlign w:val="center"/>
          </w:tcPr>
          <w:p w:rsidR="00C408C0" w:rsidRPr="005031CB" w:rsidRDefault="00C408C0" w:rsidP="000C35EE">
            <w:pPr>
              <w:spacing w:before="60" w:after="60"/>
              <w:ind w:left="34"/>
              <w:jc w:val="left"/>
              <w:rPr>
                <w:sz w:val="20"/>
                <w:szCs w:val="20"/>
              </w:rPr>
            </w:pPr>
            <w:r w:rsidRPr="005031CB">
              <w:rPr>
                <w:sz w:val="20"/>
                <w:szCs w:val="20"/>
              </w:rPr>
              <w:t>AC6-4</w:t>
            </w:r>
          </w:p>
        </w:tc>
        <w:tc>
          <w:tcPr>
            <w:tcW w:w="3544" w:type="dxa"/>
            <w:tcBorders>
              <w:top w:val="single" w:sz="4" w:space="0" w:color="000000"/>
            </w:tcBorders>
            <w:vAlign w:val="center"/>
          </w:tcPr>
          <w:p w:rsidR="00C408C0" w:rsidRPr="005031CB" w:rsidRDefault="00C408C0" w:rsidP="00C4782B">
            <w:pPr>
              <w:spacing w:before="60" w:after="60"/>
              <w:jc w:val="left"/>
              <w:rPr>
                <w:sz w:val="20"/>
                <w:szCs w:val="20"/>
              </w:rPr>
            </w:pPr>
            <w:r w:rsidRPr="005031CB">
              <w:rPr>
                <w:sz w:val="20"/>
                <w:szCs w:val="20"/>
              </w:rPr>
              <w:t>HW heat pump: commercial</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110.0</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8.0%</w:t>
            </w:r>
          </w:p>
        </w:tc>
        <w:tc>
          <w:tcPr>
            <w:tcW w:w="964" w:type="dxa"/>
            <w:tcBorders>
              <w:top w:val="single" w:sz="4" w:space="0" w:color="000000"/>
            </w:tcBorders>
            <w:vAlign w:val="center"/>
          </w:tcPr>
          <w:p w:rsidR="00C408C0" w:rsidRPr="005031CB" w:rsidRDefault="00094FE8" w:rsidP="000C35EE">
            <w:pPr>
              <w:spacing w:before="60" w:after="60"/>
              <w:jc w:val="center"/>
              <w:rPr>
                <w:sz w:val="20"/>
                <w:szCs w:val="20"/>
              </w:rPr>
            </w:pPr>
            <w:r>
              <w:rPr>
                <w:sz w:val="20"/>
                <w:szCs w:val="20"/>
              </w:rPr>
              <w:t>4</w:t>
            </w:r>
            <w:r w:rsidR="00C408C0" w:rsidRPr="005031CB">
              <w:rPr>
                <w:sz w:val="20"/>
                <w:szCs w:val="20"/>
              </w:rPr>
              <w:t>.0%</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20</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80%</w:t>
            </w:r>
          </w:p>
        </w:tc>
      </w:tr>
      <w:tr w:rsidR="00C408C0" w:rsidRPr="005031CB" w:rsidTr="009A68DD">
        <w:trPr>
          <w:trHeight w:val="456"/>
        </w:trPr>
        <w:tc>
          <w:tcPr>
            <w:tcW w:w="1276" w:type="dxa"/>
            <w:tcBorders>
              <w:top w:val="single" w:sz="4" w:space="0" w:color="000000"/>
            </w:tcBorders>
            <w:vAlign w:val="center"/>
          </w:tcPr>
          <w:p w:rsidR="00C408C0" w:rsidRPr="005031CB" w:rsidRDefault="00C408C0" w:rsidP="000C35EE">
            <w:pPr>
              <w:spacing w:before="60" w:after="60"/>
              <w:ind w:left="34"/>
              <w:jc w:val="left"/>
              <w:rPr>
                <w:sz w:val="20"/>
                <w:szCs w:val="20"/>
              </w:rPr>
            </w:pPr>
            <w:r w:rsidRPr="005031CB">
              <w:rPr>
                <w:sz w:val="20"/>
                <w:szCs w:val="20"/>
              </w:rPr>
              <w:t>AC6-5</w:t>
            </w:r>
          </w:p>
        </w:tc>
        <w:tc>
          <w:tcPr>
            <w:tcW w:w="3544" w:type="dxa"/>
            <w:tcBorders>
              <w:top w:val="single" w:sz="4" w:space="0" w:color="000000"/>
            </w:tcBorders>
            <w:vAlign w:val="center"/>
          </w:tcPr>
          <w:p w:rsidR="00C408C0" w:rsidRPr="005031CB" w:rsidRDefault="00C408C0" w:rsidP="00C4782B">
            <w:pPr>
              <w:spacing w:before="60" w:after="60"/>
              <w:jc w:val="left"/>
              <w:rPr>
                <w:sz w:val="20"/>
                <w:szCs w:val="20"/>
              </w:rPr>
            </w:pPr>
            <w:r w:rsidRPr="005031CB">
              <w:rPr>
                <w:sz w:val="20"/>
                <w:szCs w:val="20"/>
              </w:rPr>
              <w:t>Pool heat pump</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2.8</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8.0%</w:t>
            </w:r>
          </w:p>
        </w:tc>
        <w:tc>
          <w:tcPr>
            <w:tcW w:w="964" w:type="dxa"/>
            <w:tcBorders>
              <w:top w:val="single" w:sz="4" w:space="0" w:color="000000"/>
            </w:tcBorders>
            <w:vAlign w:val="center"/>
          </w:tcPr>
          <w:p w:rsidR="00C408C0" w:rsidRPr="005031CB" w:rsidRDefault="00094FE8" w:rsidP="000C35EE">
            <w:pPr>
              <w:spacing w:before="60" w:after="60"/>
              <w:jc w:val="center"/>
              <w:rPr>
                <w:sz w:val="20"/>
                <w:szCs w:val="20"/>
              </w:rPr>
            </w:pPr>
            <w:r>
              <w:rPr>
                <w:sz w:val="20"/>
                <w:szCs w:val="20"/>
              </w:rPr>
              <w:t>4</w:t>
            </w:r>
            <w:r w:rsidR="00C408C0" w:rsidRPr="005031CB">
              <w:rPr>
                <w:sz w:val="20"/>
                <w:szCs w:val="20"/>
              </w:rPr>
              <w:t>.0%</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15</w:t>
            </w:r>
          </w:p>
        </w:tc>
        <w:tc>
          <w:tcPr>
            <w:tcW w:w="964" w:type="dxa"/>
            <w:tcBorders>
              <w:top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80%</w:t>
            </w:r>
          </w:p>
        </w:tc>
      </w:tr>
      <w:tr w:rsidR="00C408C0" w:rsidRPr="005031CB" w:rsidTr="009A68DD">
        <w:trPr>
          <w:trHeight w:val="456"/>
        </w:trPr>
        <w:tc>
          <w:tcPr>
            <w:tcW w:w="1276" w:type="dxa"/>
            <w:tcBorders>
              <w:top w:val="single" w:sz="4" w:space="0" w:color="000000"/>
              <w:bottom w:val="single" w:sz="4" w:space="0" w:color="000000"/>
            </w:tcBorders>
            <w:vAlign w:val="center"/>
          </w:tcPr>
          <w:p w:rsidR="00C408C0" w:rsidRPr="005031CB" w:rsidRDefault="00C408C0" w:rsidP="000C35EE">
            <w:pPr>
              <w:spacing w:before="60" w:after="60"/>
              <w:ind w:left="34"/>
              <w:jc w:val="left"/>
              <w:rPr>
                <w:sz w:val="20"/>
                <w:szCs w:val="20"/>
              </w:rPr>
            </w:pPr>
            <w:r w:rsidRPr="005031CB">
              <w:rPr>
                <w:sz w:val="20"/>
                <w:szCs w:val="20"/>
              </w:rPr>
              <w:t>AC7</w:t>
            </w:r>
          </w:p>
        </w:tc>
        <w:tc>
          <w:tcPr>
            <w:tcW w:w="3544" w:type="dxa"/>
            <w:tcBorders>
              <w:top w:val="single" w:sz="4" w:space="0" w:color="000000"/>
              <w:bottom w:val="single" w:sz="4" w:space="0" w:color="000000"/>
            </w:tcBorders>
            <w:vAlign w:val="center"/>
          </w:tcPr>
          <w:p w:rsidR="00C408C0" w:rsidRPr="005031CB" w:rsidRDefault="00C408C0" w:rsidP="00C4782B">
            <w:pPr>
              <w:spacing w:before="60" w:after="60"/>
              <w:jc w:val="left"/>
              <w:rPr>
                <w:sz w:val="20"/>
                <w:szCs w:val="20"/>
              </w:rPr>
            </w:pPr>
            <w:r w:rsidRPr="005031CB">
              <w:rPr>
                <w:sz w:val="20"/>
                <w:szCs w:val="20"/>
              </w:rPr>
              <w:t>HW heat pump: domestic</w:t>
            </w:r>
          </w:p>
        </w:tc>
        <w:tc>
          <w:tcPr>
            <w:tcW w:w="964" w:type="dxa"/>
            <w:tcBorders>
              <w:top w:val="single" w:sz="4" w:space="0" w:color="000000"/>
              <w:bottom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0.9</w:t>
            </w:r>
          </w:p>
        </w:tc>
        <w:tc>
          <w:tcPr>
            <w:tcW w:w="964" w:type="dxa"/>
            <w:tcBorders>
              <w:top w:val="single" w:sz="4" w:space="0" w:color="000000"/>
              <w:bottom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3.0%</w:t>
            </w:r>
          </w:p>
        </w:tc>
        <w:tc>
          <w:tcPr>
            <w:tcW w:w="964" w:type="dxa"/>
            <w:tcBorders>
              <w:top w:val="single" w:sz="4" w:space="0" w:color="000000"/>
              <w:bottom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3.0%</w:t>
            </w:r>
          </w:p>
        </w:tc>
        <w:tc>
          <w:tcPr>
            <w:tcW w:w="964" w:type="dxa"/>
            <w:tcBorders>
              <w:top w:val="single" w:sz="4" w:space="0" w:color="000000"/>
              <w:bottom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10</w:t>
            </w:r>
          </w:p>
        </w:tc>
        <w:tc>
          <w:tcPr>
            <w:tcW w:w="964" w:type="dxa"/>
            <w:tcBorders>
              <w:top w:val="single" w:sz="4" w:space="0" w:color="000000"/>
              <w:bottom w:val="single" w:sz="4" w:space="0" w:color="000000"/>
            </w:tcBorders>
            <w:vAlign w:val="center"/>
          </w:tcPr>
          <w:p w:rsidR="00C408C0" w:rsidRPr="005031CB" w:rsidRDefault="00C408C0" w:rsidP="000C35EE">
            <w:pPr>
              <w:spacing w:before="60" w:after="60"/>
              <w:jc w:val="center"/>
              <w:rPr>
                <w:sz w:val="20"/>
                <w:szCs w:val="20"/>
              </w:rPr>
            </w:pPr>
            <w:r w:rsidRPr="005031CB">
              <w:rPr>
                <w:sz w:val="20"/>
                <w:szCs w:val="20"/>
              </w:rPr>
              <w:t>80%</w:t>
            </w:r>
          </w:p>
        </w:tc>
      </w:tr>
      <w:tr w:rsidR="005031CB" w:rsidRPr="005031CB" w:rsidTr="009A68DD">
        <w:trPr>
          <w:trHeight w:val="456"/>
        </w:trPr>
        <w:tc>
          <w:tcPr>
            <w:tcW w:w="5784" w:type="dxa"/>
            <w:gridSpan w:val="3"/>
            <w:tcBorders>
              <w:top w:val="single" w:sz="4" w:space="0" w:color="000000"/>
            </w:tcBorders>
            <w:shd w:val="clear" w:color="auto" w:fill="CCFFFF"/>
            <w:vAlign w:val="center"/>
          </w:tcPr>
          <w:p w:rsidR="005031CB" w:rsidRPr="005031CB" w:rsidRDefault="005031CB" w:rsidP="000C35EE">
            <w:pPr>
              <w:spacing w:before="60" w:after="60"/>
              <w:jc w:val="center"/>
              <w:rPr>
                <w:sz w:val="20"/>
                <w:szCs w:val="20"/>
              </w:rPr>
            </w:pPr>
            <w:r w:rsidRPr="005031CB">
              <w:rPr>
                <w:sz w:val="20"/>
                <w:szCs w:val="20"/>
              </w:rPr>
              <w:t>MOBILE AIR CONDITIONING</w:t>
            </w:r>
          </w:p>
        </w:tc>
        <w:tc>
          <w:tcPr>
            <w:tcW w:w="964" w:type="dxa"/>
            <w:tcBorders>
              <w:top w:val="single" w:sz="4" w:space="0" w:color="000000"/>
              <w:bottom w:val="single" w:sz="4" w:space="0" w:color="000000"/>
            </w:tcBorders>
            <w:shd w:val="clear" w:color="auto" w:fill="CCFFFF"/>
            <w:vAlign w:val="center"/>
          </w:tcPr>
          <w:p w:rsidR="005031CB" w:rsidRPr="005031CB" w:rsidRDefault="005031CB" w:rsidP="000C35EE">
            <w:pPr>
              <w:spacing w:before="60" w:after="60"/>
              <w:jc w:val="center"/>
              <w:rPr>
                <w:sz w:val="20"/>
                <w:szCs w:val="20"/>
              </w:rPr>
            </w:pPr>
            <w:r w:rsidRPr="005031CB">
              <w:rPr>
                <w:sz w:val="20"/>
                <w:szCs w:val="20"/>
              </w:rPr>
              <w:t>Crash</w:t>
            </w:r>
          </w:p>
        </w:tc>
        <w:tc>
          <w:tcPr>
            <w:tcW w:w="964" w:type="dxa"/>
            <w:tcBorders>
              <w:top w:val="single" w:sz="4" w:space="0" w:color="000000"/>
            </w:tcBorders>
            <w:shd w:val="clear" w:color="auto" w:fill="CCFFFF"/>
            <w:vAlign w:val="center"/>
          </w:tcPr>
          <w:p w:rsidR="005031CB" w:rsidRPr="005031CB" w:rsidRDefault="005031CB" w:rsidP="000C35EE">
            <w:pPr>
              <w:spacing w:before="60" w:after="60"/>
              <w:jc w:val="center"/>
              <w:rPr>
                <w:sz w:val="20"/>
                <w:szCs w:val="20"/>
              </w:rPr>
            </w:pPr>
            <w:r w:rsidRPr="005031CB">
              <w:rPr>
                <w:sz w:val="20"/>
                <w:szCs w:val="20"/>
              </w:rPr>
              <w:t>HFCs</w:t>
            </w:r>
          </w:p>
        </w:tc>
        <w:tc>
          <w:tcPr>
            <w:tcW w:w="1928" w:type="dxa"/>
            <w:gridSpan w:val="2"/>
            <w:tcBorders>
              <w:top w:val="single" w:sz="4" w:space="0" w:color="000000"/>
            </w:tcBorders>
            <w:shd w:val="clear" w:color="auto" w:fill="CCFFFF"/>
            <w:vAlign w:val="center"/>
          </w:tcPr>
          <w:p w:rsidR="005031CB" w:rsidRPr="005031CB" w:rsidRDefault="005031CB" w:rsidP="000C35EE">
            <w:pPr>
              <w:spacing w:before="60" w:after="60"/>
              <w:jc w:val="center"/>
              <w:rPr>
                <w:sz w:val="20"/>
                <w:szCs w:val="20"/>
              </w:rPr>
            </w:pPr>
          </w:p>
        </w:tc>
      </w:tr>
      <w:tr w:rsidR="006C0926" w:rsidRPr="005031CB" w:rsidTr="009A68DD">
        <w:trPr>
          <w:trHeight w:val="456"/>
        </w:trPr>
        <w:tc>
          <w:tcPr>
            <w:tcW w:w="1276" w:type="dxa"/>
            <w:tcBorders>
              <w:top w:val="single" w:sz="4" w:space="0" w:color="000000"/>
            </w:tcBorders>
            <w:vAlign w:val="center"/>
          </w:tcPr>
          <w:p w:rsidR="006C0926" w:rsidRPr="005031CB" w:rsidRDefault="006C0926" w:rsidP="000C35EE">
            <w:pPr>
              <w:spacing w:before="60" w:after="60"/>
              <w:ind w:left="34"/>
              <w:jc w:val="left"/>
              <w:rPr>
                <w:sz w:val="20"/>
                <w:szCs w:val="20"/>
              </w:rPr>
            </w:pPr>
            <w:r w:rsidRPr="005031CB">
              <w:rPr>
                <w:sz w:val="20"/>
                <w:szCs w:val="20"/>
              </w:rPr>
              <w:t>MAC1-1</w:t>
            </w:r>
          </w:p>
        </w:tc>
        <w:tc>
          <w:tcPr>
            <w:tcW w:w="3544" w:type="dxa"/>
            <w:tcBorders>
              <w:top w:val="single" w:sz="4" w:space="0" w:color="000000"/>
            </w:tcBorders>
            <w:vAlign w:val="center"/>
          </w:tcPr>
          <w:p w:rsidR="006C0926" w:rsidRPr="005031CB" w:rsidRDefault="006C0926" w:rsidP="000D4B44">
            <w:pPr>
              <w:spacing w:before="60" w:after="60"/>
              <w:jc w:val="left"/>
              <w:rPr>
                <w:sz w:val="20"/>
                <w:szCs w:val="20"/>
              </w:rPr>
            </w:pPr>
            <w:r w:rsidRPr="005031CB">
              <w:rPr>
                <w:sz w:val="20"/>
                <w:szCs w:val="20"/>
              </w:rPr>
              <w:t>Passenger vehicles</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0.61</w:t>
            </w:r>
          </w:p>
        </w:tc>
        <w:tc>
          <w:tcPr>
            <w:tcW w:w="964" w:type="dxa"/>
            <w:tcBorders>
              <w:top w:val="single" w:sz="4" w:space="0" w:color="000000"/>
            </w:tcBorders>
            <w:shd w:val="clear" w:color="auto" w:fill="CCFFFF"/>
            <w:vAlign w:val="center"/>
          </w:tcPr>
          <w:p w:rsidR="006C0926" w:rsidRPr="005031CB" w:rsidRDefault="006C0926" w:rsidP="000C35EE">
            <w:pPr>
              <w:spacing w:before="60" w:after="60"/>
              <w:jc w:val="center"/>
              <w:rPr>
                <w:sz w:val="20"/>
                <w:szCs w:val="20"/>
              </w:rPr>
            </w:pPr>
            <w:r w:rsidRPr="005031CB">
              <w:rPr>
                <w:sz w:val="20"/>
                <w:szCs w:val="20"/>
              </w:rPr>
              <w:t>1.5%</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10.0%</w:t>
            </w:r>
          </w:p>
        </w:tc>
        <w:tc>
          <w:tcPr>
            <w:tcW w:w="964" w:type="dxa"/>
            <w:tcBorders>
              <w:top w:val="single" w:sz="4" w:space="0" w:color="000000"/>
            </w:tcBorders>
            <w:vAlign w:val="center"/>
          </w:tcPr>
          <w:p w:rsidR="006C0926" w:rsidRPr="005031CB" w:rsidRDefault="008D5A0E" w:rsidP="008D5A0E">
            <w:pPr>
              <w:spacing w:before="60" w:after="60"/>
              <w:jc w:val="center"/>
              <w:rPr>
                <w:sz w:val="20"/>
                <w:szCs w:val="20"/>
              </w:rPr>
            </w:pPr>
            <w:r>
              <w:rPr>
                <w:sz w:val="20"/>
                <w:szCs w:val="20"/>
              </w:rPr>
              <w:t>-</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60%</w:t>
            </w:r>
          </w:p>
        </w:tc>
      </w:tr>
      <w:tr w:rsidR="006C0926" w:rsidRPr="005031CB" w:rsidTr="009A68DD">
        <w:trPr>
          <w:trHeight w:val="456"/>
        </w:trPr>
        <w:tc>
          <w:tcPr>
            <w:tcW w:w="1276" w:type="dxa"/>
            <w:tcBorders>
              <w:top w:val="single" w:sz="4" w:space="0" w:color="000000"/>
            </w:tcBorders>
            <w:vAlign w:val="center"/>
          </w:tcPr>
          <w:p w:rsidR="006C0926" w:rsidRPr="005031CB" w:rsidRDefault="006C0926" w:rsidP="000C35EE">
            <w:pPr>
              <w:spacing w:before="60" w:after="60"/>
              <w:ind w:left="34"/>
              <w:jc w:val="left"/>
              <w:rPr>
                <w:sz w:val="20"/>
                <w:szCs w:val="20"/>
              </w:rPr>
            </w:pPr>
            <w:r w:rsidRPr="005031CB">
              <w:rPr>
                <w:sz w:val="20"/>
                <w:szCs w:val="20"/>
              </w:rPr>
              <w:t>MAC1-2</w:t>
            </w:r>
          </w:p>
        </w:tc>
        <w:tc>
          <w:tcPr>
            <w:tcW w:w="3544" w:type="dxa"/>
            <w:tcBorders>
              <w:top w:val="single" w:sz="4" w:space="0" w:color="000000"/>
            </w:tcBorders>
            <w:vAlign w:val="center"/>
          </w:tcPr>
          <w:p w:rsidR="006C0926" w:rsidRPr="005031CB" w:rsidRDefault="006C0926" w:rsidP="000D4B44">
            <w:pPr>
              <w:spacing w:before="60" w:after="60"/>
              <w:jc w:val="left"/>
              <w:rPr>
                <w:sz w:val="20"/>
                <w:szCs w:val="20"/>
              </w:rPr>
            </w:pPr>
            <w:r w:rsidRPr="005031CB">
              <w:rPr>
                <w:sz w:val="20"/>
                <w:szCs w:val="20"/>
              </w:rPr>
              <w:t>Light commercial vehicles</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0.61</w:t>
            </w:r>
          </w:p>
        </w:tc>
        <w:tc>
          <w:tcPr>
            <w:tcW w:w="964" w:type="dxa"/>
            <w:tcBorders>
              <w:top w:val="single" w:sz="4" w:space="0" w:color="000000"/>
            </w:tcBorders>
            <w:shd w:val="clear" w:color="auto" w:fill="CCFFFF"/>
            <w:vAlign w:val="center"/>
          </w:tcPr>
          <w:p w:rsidR="006C0926" w:rsidRPr="005031CB" w:rsidRDefault="006C0926" w:rsidP="000C35EE">
            <w:pPr>
              <w:spacing w:before="60" w:after="60"/>
              <w:jc w:val="center"/>
              <w:rPr>
                <w:sz w:val="20"/>
                <w:szCs w:val="20"/>
              </w:rPr>
            </w:pPr>
            <w:r w:rsidRPr="005031CB">
              <w:rPr>
                <w:sz w:val="20"/>
                <w:szCs w:val="20"/>
              </w:rPr>
              <w:t>1.5%</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10.0%</w:t>
            </w:r>
          </w:p>
        </w:tc>
        <w:tc>
          <w:tcPr>
            <w:tcW w:w="964" w:type="dxa"/>
            <w:tcBorders>
              <w:top w:val="single" w:sz="4" w:space="0" w:color="000000"/>
            </w:tcBorders>
            <w:vAlign w:val="center"/>
          </w:tcPr>
          <w:p w:rsidR="006C0926" w:rsidRPr="005031CB" w:rsidRDefault="008D5A0E" w:rsidP="000C35EE">
            <w:pPr>
              <w:spacing w:before="60" w:after="60"/>
              <w:jc w:val="center"/>
              <w:rPr>
                <w:sz w:val="20"/>
                <w:szCs w:val="20"/>
              </w:rPr>
            </w:pPr>
            <w:r>
              <w:rPr>
                <w:sz w:val="20"/>
                <w:szCs w:val="20"/>
              </w:rPr>
              <w:t>-</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60%</w:t>
            </w:r>
          </w:p>
        </w:tc>
      </w:tr>
      <w:tr w:rsidR="006C0926" w:rsidRPr="005031CB" w:rsidTr="009A68DD">
        <w:trPr>
          <w:trHeight w:val="456"/>
        </w:trPr>
        <w:tc>
          <w:tcPr>
            <w:tcW w:w="1276" w:type="dxa"/>
            <w:tcBorders>
              <w:top w:val="single" w:sz="4" w:space="0" w:color="000000"/>
            </w:tcBorders>
            <w:vAlign w:val="center"/>
          </w:tcPr>
          <w:p w:rsidR="006C0926" w:rsidRPr="005031CB" w:rsidRDefault="006C0926" w:rsidP="000C35EE">
            <w:pPr>
              <w:spacing w:before="60" w:after="60"/>
              <w:ind w:left="34"/>
              <w:jc w:val="left"/>
              <w:rPr>
                <w:sz w:val="20"/>
                <w:szCs w:val="20"/>
              </w:rPr>
            </w:pPr>
            <w:r w:rsidRPr="005031CB">
              <w:rPr>
                <w:sz w:val="20"/>
                <w:szCs w:val="20"/>
              </w:rPr>
              <w:t>MAC2-1</w:t>
            </w:r>
          </w:p>
        </w:tc>
        <w:tc>
          <w:tcPr>
            <w:tcW w:w="3544" w:type="dxa"/>
            <w:tcBorders>
              <w:top w:val="single" w:sz="4" w:space="0" w:color="000000"/>
            </w:tcBorders>
            <w:vAlign w:val="center"/>
          </w:tcPr>
          <w:p w:rsidR="006C0926" w:rsidRPr="005031CB" w:rsidRDefault="006C0926" w:rsidP="000D4B44">
            <w:pPr>
              <w:spacing w:before="60" w:after="60"/>
              <w:jc w:val="left"/>
              <w:rPr>
                <w:sz w:val="20"/>
                <w:szCs w:val="20"/>
              </w:rPr>
            </w:pPr>
            <w:r w:rsidRPr="005031CB">
              <w:rPr>
                <w:sz w:val="20"/>
                <w:szCs w:val="20"/>
              </w:rPr>
              <w:t>Rigid truck and other</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1.00</w:t>
            </w:r>
          </w:p>
        </w:tc>
        <w:tc>
          <w:tcPr>
            <w:tcW w:w="964" w:type="dxa"/>
            <w:tcBorders>
              <w:top w:val="single" w:sz="4" w:space="0" w:color="000000"/>
            </w:tcBorders>
            <w:shd w:val="clear" w:color="auto" w:fill="CCFFFF"/>
            <w:vAlign w:val="center"/>
          </w:tcPr>
          <w:p w:rsidR="006C0926" w:rsidRPr="005031CB" w:rsidRDefault="006C0926" w:rsidP="000C35EE">
            <w:pPr>
              <w:spacing w:before="60" w:after="60"/>
              <w:jc w:val="center"/>
              <w:rPr>
                <w:sz w:val="20"/>
                <w:szCs w:val="20"/>
              </w:rPr>
            </w:pPr>
            <w:r w:rsidRPr="005031CB">
              <w:rPr>
                <w:sz w:val="20"/>
                <w:szCs w:val="20"/>
              </w:rPr>
              <w:t>1.0%</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10.0%</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 -</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60%</w:t>
            </w:r>
          </w:p>
        </w:tc>
      </w:tr>
      <w:tr w:rsidR="006C0926" w:rsidRPr="005031CB" w:rsidTr="009A68DD">
        <w:trPr>
          <w:trHeight w:val="456"/>
        </w:trPr>
        <w:tc>
          <w:tcPr>
            <w:tcW w:w="1276" w:type="dxa"/>
            <w:tcBorders>
              <w:top w:val="single" w:sz="4" w:space="0" w:color="000000"/>
            </w:tcBorders>
            <w:vAlign w:val="center"/>
          </w:tcPr>
          <w:p w:rsidR="006C0926" w:rsidRPr="005031CB" w:rsidRDefault="006C0926" w:rsidP="000C35EE">
            <w:pPr>
              <w:spacing w:before="60" w:after="60"/>
              <w:ind w:left="34"/>
              <w:jc w:val="left"/>
              <w:rPr>
                <w:sz w:val="20"/>
                <w:szCs w:val="20"/>
              </w:rPr>
            </w:pPr>
            <w:r w:rsidRPr="005031CB">
              <w:rPr>
                <w:sz w:val="20"/>
                <w:szCs w:val="20"/>
              </w:rPr>
              <w:t>MAC2-2</w:t>
            </w:r>
          </w:p>
        </w:tc>
        <w:tc>
          <w:tcPr>
            <w:tcW w:w="3544" w:type="dxa"/>
            <w:tcBorders>
              <w:top w:val="single" w:sz="4" w:space="0" w:color="000000"/>
            </w:tcBorders>
            <w:vAlign w:val="center"/>
          </w:tcPr>
          <w:p w:rsidR="006C0926" w:rsidRPr="005031CB" w:rsidRDefault="006C0926" w:rsidP="000D4B44">
            <w:pPr>
              <w:spacing w:before="60" w:after="60"/>
              <w:jc w:val="left"/>
              <w:rPr>
                <w:sz w:val="20"/>
                <w:szCs w:val="20"/>
              </w:rPr>
            </w:pPr>
            <w:r w:rsidRPr="005031CB">
              <w:rPr>
                <w:sz w:val="20"/>
                <w:szCs w:val="20"/>
              </w:rPr>
              <w:t>Truck: articulated</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1.00</w:t>
            </w:r>
          </w:p>
        </w:tc>
        <w:tc>
          <w:tcPr>
            <w:tcW w:w="964" w:type="dxa"/>
            <w:tcBorders>
              <w:top w:val="single" w:sz="4" w:space="0" w:color="000000"/>
            </w:tcBorders>
            <w:shd w:val="clear" w:color="auto" w:fill="CCFFFF"/>
            <w:vAlign w:val="center"/>
          </w:tcPr>
          <w:p w:rsidR="006C0926" w:rsidRPr="005031CB" w:rsidRDefault="006C0926" w:rsidP="000C35EE">
            <w:pPr>
              <w:spacing w:before="60" w:after="60"/>
              <w:jc w:val="center"/>
              <w:rPr>
                <w:sz w:val="20"/>
                <w:szCs w:val="20"/>
              </w:rPr>
            </w:pPr>
            <w:r w:rsidRPr="005031CB">
              <w:rPr>
                <w:sz w:val="20"/>
                <w:szCs w:val="20"/>
              </w:rPr>
              <w:t>1.0%</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10.0%</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 -</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60%</w:t>
            </w:r>
          </w:p>
        </w:tc>
      </w:tr>
      <w:tr w:rsidR="006C0926" w:rsidRPr="005031CB" w:rsidTr="009A68DD">
        <w:trPr>
          <w:trHeight w:val="456"/>
        </w:trPr>
        <w:tc>
          <w:tcPr>
            <w:tcW w:w="1276" w:type="dxa"/>
            <w:tcBorders>
              <w:top w:val="single" w:sz="4" w:space="0" w:color="000000"/>
            </w:tcBorders>
            <w:vAlign w:val="center"/>
          </w:tcPr>
          <w:p w:rsidR="006C0926" w:rsidRPr="005031CB" w:rsidRDefault="006C0926" w:rsidP="000C35EE">
            <w:pPr>
              <w:spacing w:before="60" w:after="60"/>
              <w:ind w:left="34"/>
              <w:jc w:val="left"/>
              <w:rPr>
                <w:sz w:val="20"/>
                <w:szCs w:val="20"/>
              </w:rPr>
            </w:pPr>
            <w:r w:rsidRPr="005031CB">
              <w:rPr>
                <w:sz w:val="20"/>
                <w:szCs w:val="20"/>
              </w:rPr>
              <w:t>MAC2-3</w:t>
            </w:r>
          </w:p>
        </w:tc>
        <w:tc>
          <w:tcPr>
            <w:tcW w:w="3544" w:type="dxa"/>
            <w:tcBorders>
              <w:top w:val="single" w:sz="4" w:space="0" w:color="000000"/>
            </w:tcBorders>
            <w:vAlign w:val="center"/>
          </w:tcPr>
          <w:p w:rsidR="006C0926" w:rsidRPr="005031CB" w:rsidRDefault="006C0926" w:rsidP="000D4B44">
            <w:pPr>
              <w:spacing w:before="60" w:after="60"/>
              <w:jc w:val="left"/>
              <w:rPr>
                <w:sz w:val="20"/>
                <w:szCs w:val="20"/>
              </w:rPr>
            </w:pPr>
            <w:r w:rsidRPr="005031CB">
              <w:rPr>
                <w:sz w:val="20"/>
                <w:szCs w:val="20"/>
              </w:rPr>
              <w:t>Commuter buses</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1.00</w:t>
            </w:r>
          </w:p>
        </w:tc>
        <w:tc>
          <w:tcPr>
            <w:tcW w:w="964" w:type="dxa"/>
            <w:tcBorders>
              <w:top w:val="single" w:sz="4" w:space="0" w:color="000000"/>
            </w:tcBorders>
            <w:shd w:val="clear" w:color="auto" w:fill="CCFFFF"/>
            <w:vAlign w:val="center"/>
          </w:tcPr>
          <w:p w:rsidR="006C0926" w:rsidRPr="005031CB" w:rsidRDefault="006C0926" w:rsidP="000C35EE">
            <w:pPr>
              <w:spacing w:before="60" w:after="60"/>
              <w:jc w:val="center"/>
              <w:rPr>
                <w:sz w:val="20"/>
                <w:szCs w:val="20"/>
              </w:rPr>
            </w:pPr>
            <w:r w:rsidRPr="005031CB">
              <w:rPr>
                <w:sz w:val="20"/>
                <w:szCs w:val="20"/>
              </w:rPr>
              <w:t>1.0%</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10.0%</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 -</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60%</w:t>
            </w:r>
          </w:p>
        </w:tc>
      </w:tr>
      <w:tr w:rsidR="006C0926" w:rsidRPr="005031CB" w:rsidTr="009A68DD">
        <w:trPr>
          <w:trHeight w:val="456"/>
        </w:trPr>
        <w:tc>
          <w:tcPr>
            <w:tcW w:w="1276" w:type="dxa"/>
            <w:tcBorders>
              <w:top w:val="single" w:sz="4" w:space="0" w:color="000000"/>
            </w:tcBorders>
            <w:vAlign w:val="center"/>
          </w:tcPr>
          <w:p w:rsidR="006C0926" w:rsidRPr="005031CB" w:rsidRDefault="006C0926" w:rsidP="000C35EE">
            <w:pPr>
              <w:spacing w:before="60" w:after="60"/>
              <w:ind w:left="34"/>
              <w:jc w:val="left"/>
              <w:rPr>
                <w:sz w:val="20"/>
                <w:szCs w:val="20"/>
              </w:rPr>
            </w:pPr>
            <w:r w:rsidRPr="005031CB">
              <w:rPr>
                <w:sz w:val="20"/>
                <w:szCs w:val="20"/>
              </w:rPr>
              <w:t>MAC2-4</w:t>
            </w:r>
          </w:p>
        </w:tc>
        <w:tc>
          <w:tcPr>
            <w:tcW w:w="3544" w:type="dxa"/>
            <w:tcBorders>
              <w:top w:val="single" w:sz="4" w:space="0" w:color="000000"/>
            </w:tcBorders>
            <w:vAlign w:val="center"/>
          </w:tcPr>
          <w:p w:rsidR="006C0926" w:rsidRPr="005031CB" w:rsidRDefault="006C0926" w:rsidP="000D4B44">
            <w:pPr>
              <w:spacing w:before="60" w:after="60"/>
              <w:jc w:val="left"/>
              <w:rPr>
                <w:sz w:val="20"/>
                <w:szCs w:val="20"/>
              </w:rPr>
            </w:pPr>
            <w:r w:rsidRPr="005031CB">
              <w:rPr>
                <w:sz w:val="20"/>
                <w:szCs w:val="20"/>
              </w:rPr>
              <w:t>Buses (&gt; 7m)</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9.00</w:t>
            </w:r>
          </w:p>
        </w:tc>
        <w:tc>
          <w:tcPr>
            <w:tcW w:w="964" w:type="dxa"/>
            <w:tcBorders>
              <w:top w:val="single" w:sz="4" w:space="0" w:color="000000"/>
            </w:tcBorders>
            <w:shd w:val="clear" w:color="auto" w:fill="CCFFFF"/>
            <w:vAlign w:val="center"/>
          </w:tcPr>
          <w:p w:rsidR="006C0926" w:rsidRPr="005031CB" w:rsidRDefault="006C0926" w:rsidP="000C35EE">
            <w:pPr>
              <w:spacing w:before="60" w:after="60"/>
              <w:jc w:val="center"/>
              <w:rPr>
                <w:sz w:val="20"/>
                <w:szCs w:val="20"/>
              </w:rPr>
            </w:pPr>
            <w:r w:rsidRPr="005031CB">
              <w:rPr>
                <w:sz w:val="20"/>
                <w:szCs w:val="20"/>
              </w:rPr>
              <w:t>1.0%</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12.0%</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 -</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60%</w:t>
            </w:r>
          </w:p>
        </w:tc>
      </w:tr>
      <w:tr w:rsidR="006C0926" w:rsidRPr="005031CB" w:rsidTr="009A68DD">
        <w:trPr>
          <w:trHeight w:val="456"/>
        </w:trPr>
        <w:tc>
          <w:tcPr>
            <w:tcW w:w="1276" w:type="dxa"/>
            <w:tcBorders>
              <w:top w:val="single" w:sz="4" w:space="0" w:color="000000"/>
            </w:tcBorders>
            <w:vAlign w:val="center"/>
          </w:tcPr>
          <w:p w:rsidR="006C0926" w:rsidRPr="005031CB" w:rsidRDefault="006C0926" w:rsidP="000C35EE">
            <w:pPr>
              <w:spacing w:before="60" w:after="60"/>
              <w:ind w:left="34"/>
              <w:jc w:val="left"/>
              <w:rPr>
                <w:sz w:val="20"/>
                <w:szCs w:val="20"/>
              </w:rPr>
            </w:pPr>
            <w:r w:rsidRPr="005031CB">
              <w:rPr>
                <w:sz w:val="20"/>
                <w:szCs w:val="20"/>
              </w:rPr>
              <w:t>MAC3-1</w:t>
            </w:r>
          </w:p>
        </w:tc>
        <w:tc>
          <w:tcPr>
            <w:tcW w:w="3544" w:type="dxa"/>
            <w:tcBorders>
              <w:top w:val="single" w:sz="4" w:space="0" w:color="000000"/>
            </w:tcBorders>
            <w:vAlign w:val="center"/>
          </w:tcPr>
          <w:p w:rsidR="006C0926" w:rsidRPr="005031CB" w:rsidRDefault="006C0926" w:rsidP="000D4B44">
            <w:pPr>
              <w:spacing w:before="60" w:after="60"/>
              <w:jc w:val="left"/>
              <w:rPr>
                <w:sz w:val="20"/>
                <w:szCs w:val="20"/>
              </w:rPr>
            </w:pPr>
            <w:r w:rsidRPr="005031CB">
              <w:rPr>
                <w:sz w:val="20"/>
                <w:szCs w:val="20"/>
              </w:rPr>
              <w:t xml:space="preserve">Passenger rail </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7.00</w:t>
            </w:r>
          </w:p>
        </w:tc>
        <w:tc>
          <w:tcPr>
            <w:tcW w:w="964" w:type="dxa"/>
            <w:tcBorders>
              <w:top w:val="single" w:sz="4" w:space="0" w:color="000000"/>
            </w:tcBorders>
            <w:shd w:val="clear" w:color="auto" w:fill="CCFFFF"/>
            <w:vAlign w:val="center"/>
          </w:tcPr>
          <w:p w:rsidR="006C0926" w:rsidRPr="005031CB" w:rsidRDefault="006C0926" w:rsidP="000C35EE">
            <w:pPr>
              <w:spacing w:before="60" w:after="60"/>
              <w:jc w:val="center"/>
              <w:rPr>
                <w:sz w:val="20"/>
                <w:szCs w:val="20"/>
              </w:rPr>
            </w:pPr>
            <w:r w:rsidRPr="005031CB">
              <w:rPr>
                <w:sz w:val="20"/>
                <w:szCs w:val="20"/>
              </w:rPr>
              <w:t>-</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12.0%</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10</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60%</w:t>
            </w:r>
          </w:p>
        </w:tc>
      </w:tr>
      <w:tr w:rsidR="006C0926" w:rsidRPr="005031CB" w:rsidTr="009A68DD">
        <w:trPr>
          <w:trHeight w:val="456"/>
        </w:trPr>
        <w:tc>
          <w:tcPr>
            <w:tcW w:w="1276" w:type="dxa"/>
            <w:tcBorders>
              <w:top w:val="single" w:sz="4" w:space="0" w:color="000000"/>
            </w:tcBorders>
            <w:vAlign w:val="center"/>
          </w:tcPr>
          <w:p w:rsidR="006C0926" w:rsidRPr="005031CB" w:rsidRDefault="006C0926" w:rsidP="000C35EE">
            <w:pPr>
              <w:spacing w:before="60" w:after="60"/>
              <w:ind w:left="34"/>
              <w:jc w:val="left"/>
              <w:rPr>
                <w:sz w:val="20"/>
                <w:szCs w:val="20"/>
              </w:rPr>
            </w:pPr>
            <w:r w:rsidRPr="005031CB">
              <w:rPr>
                <w:sz w:val="20"/>
                <w:szCs w:val="20"/>
              </w:rPr>
              <w:t>MAC3-2</w:t>
            </w:r>
          </w:p>
        </w:tc>
        <w:tc>
          <w:tcPr>
            <w:tcW w:w="3544" w:type="dxa"/>
            <w:tcBorders>
              <w:top w:val="single" w:sz="4" w:space="0" w:color="000000"/>
            </w:tcBorders>
            <w:vAlign w:val="center"/>
          </w:tcPr>
          <w:p w:rsidR="006C0926" w:rsidRPr="005031CB" w:rsidRDefault="006C0926" w:rsidP="000D4B44">
            <w:pPr>
              <w:spacing w:before="60" w:after="60"/>
              <w:jc w:val="left"/>
              <w:rPr>
                <w:sz w:val="20"/>
                <w:szCs w:val="20"/>
              </w:rPr>
            </w:pPr>
            <w:r w:rsidRPr="005031CB">
              <w:rPr>
                <w:sz w:val="20"/>
                <w:szCs w:val="20"/>
              </w:rPr>
              <w:t>Locomotive</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4.00</w:t>
            </w:r>
          </w:p>
        </w:tc>
        <w:tc>
          <w:tcPr>
            <w:tcW w:w="964" w:type="dxa"/>
            <w:tcBorders>
              <w:top w:val="single" w:sz="4" w:space="0" w:color="000000"/>
              <w:bottom w:val="single" w:sz="4" w:space="0" w:color="000000"/>
            </w:tcBorders>
            <w:shd w:val="clear" w:color="auto" w:fill="CCFFFF"/>
            <w:vAlign w:val="center"/>
          </w:tcPr>
          <w:p w:rsidR="006C0926" w:rsidRPr="005031CB" w:rsidRDefault="006C0926" w:rsidP="000C35EE">
            <w:pPr>
              <w:spacing w:before="60" w:after="60"/>
              <w:jc w:val="center"/>
              <w:rPr>
                <w:sz w:val="20"/>
                <w:szCs w:val="20"/>
              </w:rPr>
            </w:pPr>
            <w:r w:rsidRPr="005031CB">
              <w:rPr>
                <w:sz w:val="20"/>
                <w:szCs w:val="20"/>
              </w:rPr>
              <w:t>-</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12.0%</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10</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60%</w:t>
            </w:r>
          </w:p>
        </w:tc>
      </w:tr>
      <w:tr w:rsidR="006C0926" w:rsidRPr="005031CB" w:rsidTr="009A68DD">
        <w:trPr>
          <w:trHeight w:val="456"/>
        </w:trPr>
        <w:tc>
          <w:tcPr>
            <w:tcW w:w="1276" w:type="dxa"/>
            <w:tcBorders>
              <w:top w:val="single" w:sz="4" w:space="0" w:color="000000"/>
            </w:tcBorders>
            <w:vAlign w:val="center"/>
          </w:tcPr>
          <w:p w:rsidR="006C0926" w:rsidRPr="005031CB" w:rsidRDefault="006C0926" w:rsidP="000C35EE">
            <w:pPr>
              <w:spacing w:before="60" w:after="60"/>
              <w:ind w:left="34"/>
              <w:jc w:val="left"/>
              <w:rPr>
                <w:sz w:val="20"/>
                <w:szCs w:val="20"/>
              </w:rPr>
            </w:pPr>
            <w:r w:rsidRPr="005031CB">
              <w:rPr>
                <w:sz w:val="20"/>
                <w:szCs w:val="20"/>
              </w:rPr>
              <w:t>MAC4</w:t>
            </w:r>
          </w:p>
        </w:tc>
        <w:tc>
          <w:tcPr>
            <w:tcW w:w="3544" w:type="dxa"/>
            <w:tcBorders>
              <w:top w:val="single" w:sz="4" w:space="0" w:color="000000"/>
            </w:tcBorders>
            <w:vAlign w:val="center"/>
          </w:tcPr>
          <w:p w:rsidR="006C0926" w:rsidRPr="005031CB" w:rsidRDefault="006C0926" w:rsidP="000D4B44">
            <w:pPr>
              <w:spacing w:before="60" w:after="60"/>
              <w:jc w:val="left"/>
              <w:rPr>
                <w:sz w:val="20"/>
                <w:szCs w:val="20"/>
              </w:rPr>
            </w:pPr>
            <w:r w:rsidRPr="005031CB">
              <w:rPr>
                <w:sz w:val="20"/>
                <w:szCs w:val="20"/>
              </w:rPr>
              <w:t xml:space="preserve">Off-road, defence and other (boat, etc.) </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2.75</w:t>
            </w:r>
          </w:p>
        </w:tc>
        <w:tc>
          <w:tcPr>
            <w:tcW w:w="964" w:type="dxa"/>
            <w:tcBorders>
              <w:top w:val="single" w:sz="4" w:space="0" w:color="000000"/>
            </w:tcBorders>
            <w:shd w:val="clear" w:color="auto" w:fill="CCFFFF"/>
            <w:vAlign w:val="center"/>
          </w:tcPr>
          <w:p w:rsidR="006C0926" w:rsidRPr="005031CB" w:rsidRDefault="006C0926" w:rsidP="000C35EE">
            <w:pPr>
              <w:spacing w:before="60" w:after="60"/>
              <w:jc w:val="center"/>
              <w:rPr>
                <w:sz w:val="20"/>
                <w:szCs w:val="20"/>
              </w:rPr>
            </w:pPr>
            <w:r w:rsidRPr="005031CB">
              <w:rPr>
                <w:sz w:val="20"/>
                <w:szCs w:val="20"/>
              </w:rPr>
              <w:t>-</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12.0%</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15</w:t>
            </w:r>
          </w:p>
        </w:tc>
        <w:tc>
          <w:tcPr>
            <w:tcW w:w="964" w:type="dxa"/>
            <w:tcBorders>
              <w:top w:val="single" w:sz="4" w:space="0" w:color="000000"/>
            </w:tcBorders>
            <w:vAlign w:val="center"/>
          </w:tcPr>
          <w:p w:rsidR="006C0926" w:rsidRPr="005031CB" w:rsidRDefault="006C0926" w:rsidP="000C35EE">
            <w:pPr>
              <w:spacing w:before="60" w:after="60"/>
              <w:jc w:val="center"/>
              <w:rPr>
                <w:sz w:val="20"/>
                <w:szCs w:val="20"/>
              </w:rPr>
            </w:pPr>
            <w:r w:rsidRPr="005031CB">
              <w:rPr>
                <w:sz w:val="20"/>
                <w:szCs w:val="20"/>
              </w:rPr>
              <w:t>60%</w:t>
            </w:r>
          </w:p>
        </w:tc>
      </w:tr>
      <w:tr w:rsidR="005031CB" w:rsidRPr="005031CB" w:rsidTr="009A68DD">
        <w:trPr>
          <w:trHeight w:val="456"/>
        </w:trPr>
        <w:tc>
          <w:tcPr>
            <w:tcW w:w="9640" w:type="dxa"/>
            <w:gridSpan w:val="7"/>
            <w:tcBorders>
              <w:top w:val="single" w:sz="4" w:space="0" w:color="000000"/>
            </w:tcBorders>
            <w:shd w:val="clear" w:color="auto" w:fill="CCFFFF"/>
            <w:vAlign w:val="center"/>
          </w:tcPr>
          <w:p w:rsidR="005031CB" w:rsidRPr="005031CB" w:rsidRDefault="005031CB" w:rsidP="008D5A0E">
            <w:pPr>
              <w:spacing w:before="60" w:after="60"/>
              <w:jc w:val="center"/>
              <w:rPr>
                <w:sz w:val="20"/>
                <w:szCs w:val="20"/>
              </w:rPr>
            </w:pPr>
            <w:r>
              <w:rPr>
                <w:sz w:val="20"/>
                <w:szCs w:val="20"/>
              </w:rPr>
              <w:t>DOMESTIC REFRIGERATION</w:t>
            </w:r>
          </w:p>
        </w:tc>
      </w:tr>
      <w:tr w:rsidR="008D5A0E" w:rsidRPr="005031CB" w:rsidTr="009A68DD">
        <w:trPr>
          <w:trHeight w:val="456"/>
        </w:trPr>
        <w:tc>
          <w:tcPr>
            <w:tcW w:w="1276" w:type="dxa"/>
            <w:tcBorders>
              <w:top w:val="single" w:sz="4" w:space="0" w:color="000000"/>
            </w:tcBorders>
            <w:vAlign w:val="center"/>
          </w:tcPr>
          <w:p w:rsidR="008D5A0E" w:rsidRPr="005031CB" w:rsidRDefault="008D5A0E" w:rsidP="008D5A0E">
            <w:pPr>
              <w:spacing w:before="60" w:after="60"/>
              <w:ind w:left="34"/>
              <w:jc w:val="left"/>
              <w:rPr>
                <w:sz w:val="20"/>
                <w:szCs w:val="20"/>
              </w:rPr>
            </w:pPr>
            <w:r w:rsidRPr="005031CB">
              <w:rPr>
                <w:sz w:val="20"/>
                <w:szCs w:val="20"/>
              </w:rPr>
              <w:t>DR1</w:t>
            </w:r>
          </w:p>
        </w:tc>
        <w:tc>
          <w:tcPr>
            <w:tcW w:w="3544" w:type="dxa"/>
            <w:tcBorders>
              <w:top w:val="single" w:sz="4" w:space="0" w:color="000000"/>
            </w:tcBorders>
            <w:vAlign w:val="center"/>
          </w:tcPr>
          <w:p w:rsidR="008D5A0E" w:rsidRPr="005031CB" w:rsidRDefault="008D5A0E" w:rsidP="000D4B44">
            <w:pPr>
              <w:spacing w:before="60" w:after="60"/>
              <w:jc w:val="left"/>
              <w:rPr>
                <w:sz w:val="20"/>
                <w:szCs w:val="20"/>
              </w:rPr>
            </w:pPr>
            <w:r w:rsidRPr="005031CB">
              <w:rPr>
                <w:sz w:val="20"/>
                <w:szCs w:val="20"/>
              </w:rPr>
              <w:t>Domestic refrigerators</w:t>
            </w:r>
            <w:r>
              <w:rPr>
                <w:sz w:val="20"/>
                <w:szCs w:val="20"/>
              </w:rPr>
              <w:t xml:space="preserve"> &amp; freezers</w:t>
            </w:r>
          </w:p>
        </w:tc>
        <w:tc>
          <w:tcPr>
            <w:tcW w:w="964" w:type="dxa"/>
            <w:tcBorders>
              <w:top w:val="single" w:sz="4" w:space="0" w:color="000000"/>
            </w:tcBorders>
            <w:vAlign w:val="center"/>
          </w:tcPr>
          <w:p w:rsidR="008D5A0E" w:rsidRPr="005031CB" w:rsidRDefault="008D5A0E" w:rsidP="000C35EE">
            <w:pPr>
              <w:spacing w:before="60" w:after="60"/>
              <w:jc w:val="center"/>
              <w:rPr>
                <w:sz w:val="20"/>
                <w:szCs w:val="20"/>
              </w:rPr>
            </w:pPr>
            <w:r w:rsidRPr="008D5A0E">
              <w:rPr>
                <w:sz w:val="20"/>
                <w:szCs w:val="20"/>
              </w:rPr>
              <w:t>0.140</w:t>
            </w:r>
          </w:p>
        </w:tc>
        <w:tc>
          <w:tcPr>
            <w:tcW w:w="964" w:type="dxa"/>
            <w:tcBorders>
              <w:top w:val="single" w:sz="4" w:space="0" w:color="000000"/>
            </w:tcBorders>
            <w:vAlign w:val="center"/>
          </w:tcPr>
          <w:p w:rsidR="008D5A0E" w:rsidRPr="005031CB" w:rsidRDefault="008D5A0E" w:rsidP="000C35EE">
            <w:pPr>
              <w:spacing w:before="60" w:after="60"/>
              <w:jc w:val="center"/>
              <w:rPr>
                <w:sz w:val="20"/>
                <w:szCs w:val="20"/>
              </w:rPr>
            </w:pPr>
            <w:r w:rsidRPr="008D5A0E">
              <w:rPr>
                <w:sz w:val="20"/>
                <w:szCs w:val="20"/>
              </w:rPr>
              <w:t>n.a.</w:t>
            </w:r>
          </w:p>
        </w:tc>
        <w:tc>
          <w:tcPr>
            <w:tcW w:w="964" w:type="dxa"/>
            <w:tcBorders>
              <w:top w:val="single" w:sz="4" w:space="0" w:color="000000"/>
            </w:tcBorders>
            <w:vAlign w:val="center"/>
          </w:tcPr>
          <w:p w:rsidR="008D5A0E" w:rsidRPr="005031CB" w:rsidRDefault="008D5A0E" w:rsidP="000C35EE">
            <w:pPr>
              <w:spacing w:before="60" w:after="60"/>
              <w:jc w:val="center"/>
              <w:rPr>
                <w:sz w:val="20"/>
                <w:szCs w:val="20"/>
              </w:rPr>
            </w:pPr>
            <w:r w:rsidRPr="008D5A0E">
              <w:rPr>
                <w:sz w:val="20"/>
                <w:szCs w:val="20"/>
              </w:rPr>
              <w:t>1%</w:t>
            </w:r>
          </w:p>
        </w:tc>
        <w:tc>
          <w:tcPr>
            <w:tcW w:w="964" w:type="dxa"/>
            <w:tcBorders>
              <w:top w:val="single" w:sz="4" w:space="0" w:color="000000"/>
            </w:tcBorders>
            <w:vAlign w:val="center"/>
          </w:tcPr>
          <w:p w:rsidR="008D5A0E" w:rsidRPr="005031CB" w:rsidRDefault="008D5A0E" w:rsidP="000C35EE">
            <w:pPr>
              <w:spacing w:before="60" w:after="60"/>
              <w:jc w:val="center"/>
              <w:rPr>
                <w:sz w:val="20"/>
                <w:szCs w:val="20"/>
              </w:rPr>
            </w:pPr>
            <w:r w:rsidRPr="008D5A0E">
              <w:rPr>
                <w:sz w:val="20"/>
                <w:szCs w:val="20"/>
              </w:rPr>
              <w:t>-</w:t>
            </w:r>
          </w:p>
        </w:tc>
        <w:tc>
          <w:tcPr>
            <w:tcW w:w="964" w:type="dxa"/>
            <w:tcBorders>
              <w:top w:val="single" w:sz="4" w:space="0" w:color="000000"/>
            </w:tcBorders>
            <w:vAlign w:val="center"/>
          </w:tcPr>
          <w:p w:rsidR="008D5A0E" w:rsidRPr="005031CB" w:rsidRDefault="008D5A0E" w:rsidP="000C35EE">
            <w:pPr>
              <w:spacing w:before="60" w:after="60"/>
              <w:jc w:val="center"/>
              <w:rPr>
                <w:sz w:val="20"/>
                <w:szCs w:val="20"/>
              </w:rPr>
            </w:pPr>
            <w:r>
              <w:rPr>
                <w:sz w:val="20"/>
                <w:szCs w:val="20"/>
              </w:rPr>
              <w:t>80%</w:t>
            </w:r>
          </w:p>
        </w:tc>
      </w:tr>
      <w:tr w:rsidR="006C0926" w:rsidRPr="005031CB" w:rsidTr="009A68DD">
        <w:trPr>
          <w:trHeight w:val="456"/>
        </w:trPr>
        <w:tc>
          <w:tcPr>
            <w:tcW w:w="1276" w:type="dxa"/>
            <w:tcBorders>
              <w:top w:val="single" w:sz="4" w:space="0" w:color="000000"/>
            </w:tcBorders>
            <w:vAlign w:val="center"/>
          </w:tcPr>
          <w:p w:rsidR="006C0926" w:rsidRPr="005031CB" w:rsidRDefault="006C0926" w:rsidP="008D5A0E">
            <w:pPr>
              <w:spacing w:before="60" w:after="60"/>
              <w:ind w:left="34"/>
              <w:jc w:val="left"/>
              <w:rPr>
                <w:sz w:val="20"/>
                <w:szCs w:val="20"/>
              </w:rPr>
            </w:pPr>
            <w:r w:rsidRPr="005031CB">
              <w:rPr>
                <w:sz w:val="20"/>
                <w:szCs w:val="20"/>
              </w:rPr>
              <w:t>DR2</w:t>
            </w:r>
          </w:p>
        </w:tc>
        <w:tc>
          <w:tcPr>
            <w:tcW w:w="3544" w:type="dxa"/>
            <w:tcBorders>
              <w:top w:val="single" w:sz="4" w:space="0" w:color="000000"/>
            </w:tcBorders>
            <w:vAlign w:val="center"/>
          </w:tcPr>
          <w:p w:rsidR="006C0926" w:rsidRPr="005031CB" w:rsidRDefault="006C0926" w:rsidP="000D4B44">
            <w:pPr>
              <w:spacing w:before="60" w:after="60"/>
              <w:jc w:val="left"/>
              <w:rPr>
                <w:sz w:val="20"/>
                <w:szCs w:val="20"/>
              </w:rPr>
            </w:pPr>
            <w:r w:rsidRPr="005031CB">
              <w:rPr>
                <w:sz w:val="20"/>
                <w:szCs w:val="20"/>
              </w:rPr>
              <w:t>Portable and vehicle refrigerators</w:t>
            </w:r>
          </w:p>
        </w:tc>
        <w:tc>
          <w:tcPr>
            <w:tcW w:w="964" w:type="dxa"/>
            <w:tcBorders>
              <w:top w:val="single" w:sz="4" w:space="0" w:color="000000"/>
            </w:tcBorders>
            <w:vAlign w:val="center"/>
          </w:tcPr>
          <w:p w:rsidR="006C0926" w:rsidRPr="005031CB" w:rsidRDefault="008D5A0E" w:rsidP="000C35EE">
            <w:pPr>
              <w:spacing w:before="60" w:after="60"/>
              <w:jc w:val="center"/>
              <w:rPr>
                <w:sz w:val="20"/>
                <w:szCs w:val="20"/>
              </w:rPr>
            </w:pPr>
            <w:r>
              <w:rPr>
                <w:sz w:val="20"/>
                <w:szCs w:val="20"/>
              </w:rPr>
              <w:t>0.06</w:t>
            </w:r>
          </w:p>
        </w:tc>
        <w:tc>
          <w:tcPr>
            <w:tcW w:w="964" w:type="dxa"/>
            <w:tcBorders>
              <w:top w:val="single" w:sz="4" w:space="0" w:color="000000"/>
            </w:tcBorders>
            <w:vAlign w:val="center"/>
          </w:tcPr>
          <w:p w:rsidR="006C0926" w:rsidRPr="005031CB" w:rsidRDefault="008D5A0E" w:rsidP="000C35EE">
            <w:pPr>
              <w:spacing w:before="60" w:after="60"/>
              <w:jc w:val="center"/>
              <w:rPr>
                <w:sz w:val="20"/>
                <w:szCs w:val="20"/>
              </w:rPr>
            </w:pPr>
            <w:r>
              <w:rPr>
                <w:sz w:val="20"/>
                <w:szCs w:val="20"/>
              </w:rPr>
              <w:t>n.a.</w:t>
            </w:r>
          </w:p>
        </w:tc>
        <w:tc>
          <w:tcPr>
            <w:tcW w:w="964" w:type="dxa"/>
            <w:tcBorders>
              <w:top w:val="single" w:sz="4" w:space="0" w:color="000000"/>
            </w:tcBorders>
            <w:vAlign w:val="center"/>
          </w:tcPr>
          <w:p w:rsidR="006C0926" w:rsidRPr="005031CB" w:rsidRDefault="008D5A0E" w:rsidP="000C35EE">
            <w:pPr>
              <w:spacing w:before="60" w:after="60"/>
              <w:jc w:val="center"/>
              <w:rPr>
                <w:sz w:val="20"/>
                <w:szCs w:val="20"/>
              </w:rPr>
            </w:pPr>
            <w:r>
              <w:rPr>
                <w:sz w:val="20"/>
                <w:szCs w:val="20"/>
              </w:rPr>
              <w:t>1%</w:t>
            </w:r>
          </w:p>
        </w:tc>
        <w:tc>
          <w:tcPr>
            <w:tcW w:w="964" w:type="dxa"/>
            <w:tcBorders>
              <w:top w:val="single" w:sz="4" w:space="0" w:color="000000"/>
            </w:tcBorders>
            <w:vAlign w:val="center"/>
          </w:tcPr>
          <w:p w:rsidR="006C0926" w:rsidRPr="005031CB" w:rsidRDefault="008D5A0E" w:rsidP="000C35EE">
            <w:pPr>
              <w:spacing w:before="60" w:after="60"/>
              <w:jc w:val="center"/>
              <w:rPr>
                <w:sz w:val="20"/>
                <w:szCs w:val="20"/>
              </w:rPr>
            </w:pPr>
            <w:r>
              <w:rPr>
                <w:sz w:val="20"/>
                <w:szCs w:val="20"/>
              </w:rPr>
              <w:t>8</w:t>
            </w:r>
          </w:p>
        </w:tc>
        <w:tc>
          <w:tcPr>
            <w:tcW w:w="964" w:type="dxa"/>
            <w:tcBorders>
              <w:top w:val="single" w:sz="4" w:space="0" w:color="000000"/>
            </w:tcBorders>
            <w:vAlign w:val="center"/>
          </w:tcPr>
          <w:p w:rsidR="006C0926" w:rsidRPr="005031CB" w:rsidRDefault="008D5A0E" w:rsidP="000C35EE">
            <w:pPr>
              <w:spacing w:before="60" w:after="60"/>
              <w:jc w:val="center"/>
              <w:rPr>
                <w:sz w:val="20"/>
                <w:szCs w:val="20"/>
              </w:rPr>
            </w:pPr>
            <w:r>
              <w:rPr>
                <w:sz w:val="20"/>
                <w:szCs w:val="20"/>
              </w:rPr>
              <w:t>90%</w:t>
            </w:r>
          </w:p>
        </w:tc>
      </w:tr>
      <w:tr w:rsidR="005031CB" w:rsidRPr="005031CB" w:rsidTr="009A68DD">
        <w:trPr>
          <w:trHeight w:val="456"/>
        </w:trPr>
        <w:tc>
          <w:tcPr>
            <w:tcW w:w="9640" w:type="dxa"/>
            <w:gridSpan w:val="7"/>
            <w:tcBorders>
              <w:top w:val="single" w:sz="4" w:space="0" w:color="000000"/>
            </w:tcBorders>
            <w:shd w:val="clear" w:color="auto" w:fill="CCFFFF"/>
            <w:vAlign w:val="center"/>
          </w:tcPr>
          <w:p w:rsidR="005031CB" w:rsidRPr="005031CB" w:rsidRDefault="005031CB" w:rsidP="008D5A0E">
            <w:pPr>
              <w:spacing w:before="60" w:after="60"/>
              <w:jc w:val="center"/>
              <w:rPr>
                <w:sz w:val="20"/>
                <w:szCs w:val="20"/>
              </w:rPr>
            </w:pPr>
            <w:r>
              <w:rPr>
                <w:sz w:val="20"/>
                <w:szCs w:val="20"/>
              </w:rPr>
              <w:t>REFRIGERATED COLD FOOD CHAIN</w:t>
            </w:r>
          </w:p>
        </w:tc>
      </w:tr>
      <w:tr w:rsidR="003F736A" w:rsidRPr="005031CB" w:rsidTr="009A68DD">
        <w:trPr>
          <w:trHeight w:val="456"/>
        </w:trPr>
        <w:tc>
          <w:tcPr>
            <w:tcW w:w="1276" w:type="dxa"/>
            <w:tcBorders>
              <w:top w:val="single" w:sz="4" w:space="0" w:color="000000"/>
            </w:tcBorders>
            <w:vAlign w:val="center"/>
          </w:tcPr>
          <w:p w:rsidR="003F736A" w:rsidRPr="005031CB" w:rsidRDefault="003F736A" w:rsidP="000C35EE">
            <w:pPr>
              <w:spacing w:before="60" w:after="60"/>
              <w:ind w:left="34"/>
              <w:jc w:val="left"/>
              <w:rPr>
                <w:sz w:val="20"/>
                <w:szCs w:val="20"/>
              </w:rPr>
            </w:pPr>
            <w:r w:rsidRPr="005031CB">
              <w:rPr>
                <w:sz w:val="20"/>
                <w:szCs w:val="20"/>
              </w:rPr>
              <w:t>RCFC1-1</w:t>
            </w:r>
          </w:p>
        </w:tc>
        <w:tc>
          <w:tcPr>
            <w:tcW w:w="3544" w:type="dxa"/>
            <w:tcBorders>
              <w:top w:val="single" w:sz="4" w:space="0" w:color="000000"/>
            </w:tcBorders>
            <w:vAlign w:val="center"/>
          </w:tcPr>
          <w:p w:rsidR="003F736A" w:rsidRPr="005031CB" w:rsidRDefault="003F736A" w:rsidP="000D4B44">
            <w:pPr>
              <w:spacing w:before="60" w:after="60"/>
              <w:jc w:val="left"/>
              <w:rPr>
                <w:sz w:val="20"/>
                <w:szCs w:val="20"/>
              </w:rPr>
            </w:pPr>
            <w:r w:rsidRPr="005031CB">
              <w:rPr>
                <w:sz w:val="20"/>
                <w:szCs w:val="20"/>
              </w:rPr>
              <w:t>Refrigeration cabinets</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8F4A33">
              <w:t>2.00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10.0%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7.0%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15</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9B79A4">
              <w:t>80%</w:t>
            </w:r>
          </w:p>
        </w:tc>
      </w:tr>
      <w:tr w:rsidR="003F736A" w:rsidRPr="005031CB" w:rsidTr="009A68DD">
        <w:trPr>
          <w:trHeight w:val="456"/>
        </w:trPr>
        <w:tc>
          <w:tcPr>
            <w:tcW w:w="1276" w:type="dxa"/>
            <w:tcBorders>
              <w:top w:val="single" w:sz="4" w:space="0" w:color="000000"/>
            </w:tcBorders>
            <w:vAlign w:val="center"/>
          </w:tcPr>
          <w:p w:rsidR="003F736A" w:rsidRPr="005031CB" w:rsidRDefault="003F736A" w:rsidP="000C35EE">
            <w:pPr>
              <w:spacing w:before="60" w:after="60"/>
              <w:ind w:left="34"/>
              <w:jc w:val="left"/>
              <w:rPr>
                <w:sz w:val="20"/>
                <w:szCs w:val="20"/>
              </w:rPr>
            </w:pPr>
            <w:r w:rsidRPr="005031CB">
              <w:rPr>
                <w:sz w:val="20"/>
                <w:szCs w:val="20"/>
              </w:rPr>
              <w:t>RCFC1-2</w:t>
            </w:r>
          </w:p>
        </w:tc>
        <w:tc>
          <w:tcPr>
            <w:tcW w:w="3544" w:type="dxa"/>
            <w:tcBorders>
              <w:top w:val="single" w:sz="4" w:space="0" w:color="000000"/>
            </w:tcBorders>
            <w:vAlign w:val="center"/>
          </w:tcPr>
          <w:p w:rsidR="003F736A" w:rsidRPr="005031CB" w:rsidRDefault="003F736A" w:rsidP="000D4B44">
            <w:pPr>
              <w:spacing w:before="60" w:after="60"/>
              <w:jc w:val="left"/>
              <w:rPr>
                <w:sz w:val="20"/>
                <w:szCs w:val="20"/>
              </w:rPr>
            </w:pPr>
            <w:r w:rsidRPr="005031CB">
              <w:rPr>
                <w:sz w:val="20"/>
                <w:szCs w:val="20"/>
              </w:rPr>
              <w:t>Refrigeration beverage vending machines</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8F4A33">
              <w:t>0.25</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5.0%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2.0%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12</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9B79A4">
              <w:t>80%</w:t>
            </w:r>
          </w:p>
        </w:tc>
      </w:tr>
      <w:tr w:rsidR="003F736A" w:rsidRPr="005031CB" w:rsidTr="009A68DD">
        <w:trPr>
          <w:trHeight w:val="456"/>
        </w:trPr>
        <w:tc>
          <w:tcPr>
            <w:tcW w:w="1276" w:type="dxa"/>
            <w:tcBorders>
              <w:top w:val="single" w:sz="4" w:space="0" w:color="000000"/>
            </w:tcBorders>
            <w:vAlign w:val="center"/>
          </w:tcPr>
          <w:p w:rsidR="003F736A" w:rsidRPr="005031CB" w:rsidRDefault="003F736A" w:rsidP="000C35EE">
            <w:pPr>
              <w:spacing w:before="60" w:after="60"/>
              <w:ind w:left="34"/>
              <w:jc w:val="left"/>
              <w:rPr>
                <w:sz w:val="20"/>
                <w:szCs w:val="20"/>
              </w:rPr>
            </w:pPr>
            <w:r w:rsidRPr="005031CB">
              <w:rPr>
                <w:sz w:val="20"/>
                <w:szCs w:val="20"/>
              </w:rPr>
              <w:t>RCFC1-3</w:t>
            </w:r>
          </w:p>
        </w:tc>
        <w:tc>
          <w:tcPr>
            <w:tcW w:w="3544" w:type="dxa"/>
            <w:tcBorders>
              <w:top w:val="single" w:sz="4" w:space="0" w:color="000000"/>
            </w:tcBorders>
            <w:vAlign w:val="center"/>
          </w:tcPr>
          <w:p w:rsidR="003F736A" w:rsidRPr="005031CB" w:rsidRDefault="003F736A" w:rsidP="000D4B44">
            <w:pPr>
              <w:spacing w:before="60" w:after="60"/>
              <w:jc w:val="left"/>
              <w:rPr>
                <w:sz w:val="20"/>
                <w:szCs w:val="20"/>
              </w:rPr>
            </w:pPr>
            <w:r w:rsidRPr="005031CB">
              <w:rPr>
                <w:sz w:val="20"/>
                <w:szCs w:val="20"/>
              </w:rPr>
              <w:t>Ice makers</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8F4A33">
              <w:t>0.7</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4.0%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3.0%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9B79A4">
              <w:t>80%</w:t>
            </w:r>
          </w:p>
        </w:tc>
      </w:tr>
      <w:tr w:rsidR="003F736A" w:rsidRPr="005031CB" w:rsidTr="009A68DD">
        <w:trPr>
          <w:trHeight w:val="456"/>
        </w:trPr>
        <w:tc>
          <w:tcPr>
            <w:tcW w:w="1276" w:type="dxa"/>
            <w:tcBorders>
              <w:top w:val="single" w:sz="4" w:space="0" w:color="000000"/>
            </w:tcBorders>
            <w:vAlign w:val="center"/>
          </w:tcPr>
          <w:p w:rsidR="003F736A" w:rsidRPr="005031CB" w:rsidRDefault="003F736A" w:rsidP="000C35EE">
            <w:pPr>
              <w:spacing w:before="60" w:after="60"/>
              <w:ind w:left="34"/>
              <w:jc w:val="left"/>
              <w:rPr>
                <w:sz w:val="20"/>
                <w:szCs w:val="20"/>
              </w:rPr>
            </w:pPr>
            <w:r w:rsidRPr="005031CB">
              <w:rPr>
                <w:sz w:val="20"/>
                <w:szCs w:val="20"/>
              </w:rPr>
              <w:t>RCFC1-4</w:t>
            </w:r>
            <w:r>
              <w:rPr>
                <w:sz w:val="20"/>
                <w:szCs w:val="20"/>
              </w:rPr>
              <w:t>-1</w:t>
            </w:r>
          </w:p>
        </w:tc>
        <w:tc>
          <w:tcPr>
            <w:tcW w:w="3544" w:type="dxa"/>
            <w:tcBorders>
              <w:top w:val="single" w:sz="4" w:space="0" w:color="000000"/>
            </w:tcBorders>
            <w:vAlign w:val="center"/>
          </w:tcPr>
          <w:p w:rsidR="003F736A" w:rsidRPr="005031CB" w:rsidRDefault="003F736A" w:rsidP="008D5A0E">
            <w:pPr>
              <w:spacing w:before="60" w:after="60"/>
              <w:jc w:val="left"/>
              <w:rPr>
                <w:sz w:val="20"/>
                <w:szCs w:val="20"/>
              </w:rPr>
            </w:pPr>
            <w:r w:rsidRPr="005031CB">
              <w:rPr>
                <w:sz w:val="20"/>
                <w:szCs w:val="20"/>
              </w:rPr>
              <w:t xml:space="preserve">Walk-in coolrooms: </w:t>
            </w:r>
            <w:r>
              <w:rPr>
                <w:sz w:val="20"/>
                <w:szCs w:val="20"/>
              </w:rPr>
              <w:t>mini</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8F4A33">
              <w:t>1.0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20.0%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17.5%</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12</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9B79A4">
              <w:t>70%</w:t>
            </w:r>
          </w:p>
        </w:tc>
      </w:tr>
      <w:tr w:rsidR="003F736A" w:rsidRPr="005031CB" w:rsidTr="009A68DD">
        <w:trPr>
          <w:trHeight w:val="456"/>
        </w:trPr>
        <w:tc>
          <w:tcPr>
            <w:tcW w:w="1276" w:type="dxa"/>
            <w:tcBorders>
              <w:top w:val="single" w:sz="4" w:space="0" w:color="000000"/>
            </w:tcBorders>
            <w:vAlign w:val="center"/>
          </w:tcPr>
          <w:p w:rsidR="003F736A" w:rsidRPr="005031CB" w:rsidRDefault="003F736A" w:rsidP="000C35EE">
            <w:pPr>
              <w:spacing w:before="60" w:after="60"/>
              <w:ind w:left="34"/>
              <w:jc w:val="left"/>
              <w:rPr>
                <w:sz w:val="20"/>
                <w:szCs w:val="20"/>
              </w:rPr>
            </w:pPr>
            <w:r w:rsidRPr="005031CB">
              <w:rPr>
                <w:sz w:val="20"/>
                <w:szCs w:val="20"/>
              </w:rPr>
              <w:t>RCFC1-4</w:t>
            </w:r>
            <w:r>
              <w:rPr>
                <w:sz w:val="20"/>
                <w:szCs w:val="20"/>
              </w:rPr>
              <w:t>-2</w:t>
            </w:r>
          </w:p>
        </w:tc>
        <w:tc>
          <w:tcPr>
            <w:tcW w:w="3544" w:type="dxa"/>
            <w:tcBorders>
              <w:top w:val="single" w:sz="4" w:space="0" w:color="000000"/>
            </w:tcBorders>
            <w:vAlign w:val="center"/>
          </w:tcPr>
          <w:p w:rsidR="003F736A" w:rsidRPr="005031CB" w:rsidRDefault="003F736A" w:rsidP="000D4B44">
            <w:pPr>
              <w:spacing w:before="60" w:after="60"/>
              <w:jc w:val="left"/>
              <w:rPr>
                <w:sz w:val="20"/>
                <w:szCs w:val="20"/>
              </w:rPr>
            </w:pPr>
            <w:r w:rsidRPr="005031CB">
              <w:rPr>
                <w:sz w:val="20"/>
                <w:szCs w:val="20"/>
              </w:rPr>
              <w:t>Walk-in coolrooms: small</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8F4A33">
              <w:t>5.0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20.0%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17.5%</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12</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9B79A4">
              <w:t>90%</w:t>
            </w:r>
          </w:p>
        </w:tc>
      </w:tr>
      <w:tr w:rsidR="003F736A" w:rsidRPr="005031CB" w:rsidTr="009A68DD">
        <w:trPr>
          <w:trHeight w:val="456"/>
        </w:trPr>
        <w:tc>
          <w:tcPr>
            <w:tcW w:w="1276" w:type="dxa"/>
            <w:tcBorders>
              <w:top w:val="single" w:sz="4" w:space="0" w:color="000000"/>
            </w:tcBorders>
            <w:vAlign w:val="center"/>
          </w:tcPr>
          <w:p w:rsidR="003F736A" w:rsidRPr="005031CB" w:rsidRDefault="003F736A" w:rsidP="000C35EE">
            <w:pPr>
              <w:spacing w:before="60" w:after="60"/>
              <w:ind w:left="34"/>
              <w:jc w:val="left"/>
              <w:rPr>
                <w:sz w:val="20"/>
                <w:szCs w:val="20"/>
              </w:rPr>
            </w:pPr>
            <w:r w:rsidRPr="005031CB">
              <w:rPr>
                <w:sz w:val="20"/>
                <w:szCs w:val="20"/>
              </w:rPr>
              <w:t>RCFC1-5</w:t>
            </w:r>
          </w:p>
        </w:tc>
        <w:tc>
          <w:tcPr>
            <w:tcW w:w="3544" w:type="dxa"/>
            <w:tcBorders>
              <w:top w:val="single" w:sz="4" w:space="0" w:color="000000"/>
            </w:tcBorders>
            <w:vAlign w:val="center"/>
          </w:tcPr>
          <w:p w:rsidR="003F736A" w:rsidRPr="005031CB" w:rsidRDefault="003F736A" w:rsidP="000D4B44">
            <w:pPr>
              <w:spacing w:before="60" w:after="60"/>
              <w:jc w:val="left"/>
              <w:rPr>
                <w:sz w:val="20"/>
                <w:szCs w:val="20"/>
              </w:rPr>
            </w:pPr>
            <w:r w:rsidRPr="005031CB">
              <w:rPr>
                <w:sz w:val="20"/>
                <w:szCs w:val="20"/>
              </w:rPr>
              <w:t>Walk-in coolrooms: medium</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8F4A33">
              <w:t>17.0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20.0%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17.5%</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12</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9B79A4">
              <w:t>70%</w:t>
            </w:r>
          </w:p>
        </w:tc>
      </w:tr>
      <w:tr w:rsidR="003F736A" w:rsidRPr="005031CB" w:rsidTr="009A68DD">
        <w:trPr>
          <w:trHeight w:val="456"/>
        </w:trPr>
        <w:tc>
          <w:tcPr>
            <w:tcW w:w="1276" w:type="dxa"/>
            <w:tcBorders>
              <w:top w:val="single" w:sz="4" w:space="0" w:color="000000"/>
            </w:tcBorders>
            <w:vAlign w:val="center"/>
          </w:tcPr>
          <w:p w:rsidR="003F736A" w:rsidRPr="005031CB" w:rsidRDefault="003F736A" w:rsidP="000C35EE">
            <w:pPr>
              <w:spacing w:before="60" w:after="60"/>
              <w:ind w:left="34"/>
              <w:jc w:val="left"/>
              <w:rPr>
                <w:sz w:val="20"/>
                <w:szCs w:val="20"/>
              </w:rPr>
            </w:pPr>
            <w:r w:rsidRPr="005031CB">
              <w:rPr>
                <w:sz w:val="20"/>
                <w:szCs w:val="20"/>
              </w:rPr>
              <w:t>RCFC1-6</w:t>
            </w:r>
          </w:p>
        </w:tc>
        <w:tc>
          <w:tcPr>
            <w:tcW w:w="3544" w:type="dxa"/>
            <w:tcBorders>
              <w:top w:val="single" w:sz="4" w:space="0" w:color="000000"/>
            </w:tcBorders>
            <w:vAlign w:val="center"/>
          </w:tcPr>
          <w:p w:rsidR="003F736A" w:rsidRPr="005031CB" w:rsidRDefault="003F736A" w:rsidP="000D4B44">
            <w:pPr>
              <w:spacing w:before="60" w:after="60"/>
              <w:jc w:val="left"/>
              <w:rPr>
                <w:sz w:val="20"/>
                <w:szCs w:val="20"/>
              </w:rPr>
            </w:pPr>
            <w:r w:rsidRPr="005031CB">
              <w:rPr>
                <w:sz w:val="20"/>
                <w:szCs w:val="20"/>
              </w:rPr>
              <w:t>Walk-in coolrooms: large</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8F4A33">
              <w:t>23.0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20.0%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17.5%</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15</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9B79A4">
              <w:t>70%</w:t>
            </w:r>
          </w:p>
        </w:tc>
      </w:tr>
      <w:tr w:rsidR="003F736A" w:rsidRPr="005031CB" w:rsidTr="009A68DD">
        <w:trPr>
          <w:trHeight w:val="456"/>
        </w:trPr>
        <w:tc>
          <w:tcPr>
            <w:tcW w:w="1276" w:type="dxa"/>
            <w:tcBorders>
              <w:top w:val="single" w:sz="4" w:space="0" w:color="000000"/>
            </w:tcBorders>
            <w:vAlign w:val="center"/>
          </w:tcPr>
          <w:p w:rsidR="003F736A" w:rsidRPr="005031CB" w:rsidRDefault="003F736A" w:rsidP="000C35EE">
            <w:pPr>
              <w:spacing w:before="60" w:after="60"/>
              <w:ind w:left="34"/>
              <w:jc w:val="left"/>
              <w:rPr>
                <w:sz w:val="20"/>
                <w:szCs w:val="20"/>
              </w:rPr>
            </w:pPr>
            <w:r w:rsidRPr="005031CB">
              <w:rPr>
                <w:sz w:val="20"/>
                <w:szCs w:val="20"/>
              </w:rPr>
              <w:t>RCFC1-7</w:t>
            </w:r>
          </w:p>
        </w:tc>
        <w:tc>
          <w:tcPr>
            <w:tcW w:w="3544" w:type="dxa"/>
            <w:tcBorders>
              <w:top w:val="single" w:sz="4" w:space="0" w:color="000000"/>
            </w:tcBorders>
            <w:vAlign w:val="center"/>
          </w:tcPr>
          <w:p w:rsidR="003F736A" w:rsidRPr="005031CB" w:rsidRDefault="003F736A" w:rsidP="000D4B44">
            <w:pPr>
              <w:spacing w:before="60" w:after="60"/>
              <w:jc w:val="left"/>
              <w:rPr>
                <w:sz w:val="20"/>
                <w:szCs w:val="20"/>
              </w:rPr>
            </w:pPr>
            <w:r w:rsidRPr="005031CB">
              <w:rPr>
                <w:sz w:val="20"/>
                <w:szCs w:val="20"/>
              </w:rPr>
              <w:t>Beverage cooling (post mix)</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8F4A33">
              <w:t>1.60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8.0%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5.0%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8</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9B79A4">
              <w:t>80%</w:t>
            </w:r>
          </w:p>
        </w:tc>
      </w:tr>
      <w:tr w:rsidR="003F736A" w:rsidRPr="005031CB" w:rsidTr="009A68DD">
        <w:trPr>
          <w:trHeight w:val="456"/>
        </w:trPr>
        <w:tc>
          <w:tcPr>
            <w:tcW w:w="1276" w:type="dxa"/>
            <w:tcBorders>
              <w:top w:val="single" w:sz="4" w:space="0" w:color="000000"/>
            </w:tcBorders>
            <w:vAlign w:val="center"/>
          </w:tcPr>
          <w:p w:rsidR="003F736A" w:rsidRPr="005031CB" w:rsidRDefault="003F736A" w:rsidP="000C35EE">
            <w:pPr>
              <w:spacing w:before="60" w:after="60"/>
              <w:ind w:left="34"/>
              <w:jc w:val="left"/>
              <w:rPr>
                <w:sz w:val="20"/>
                <w:szCs w:val="20"/>
              </w:rPr>
            </w:pPr>
            <w:r w:rsidRPr="005031CB">
              <w:rPr>
                <w:sz w:val="20"/>
                <w:szCs w:val="20"/>
              </w:rPr>
              <w:t>RCFC1-8</w:t>
            </w:r>
          </w:p>
        </w:tc>
        <w:tc>
          <w:tcPr>
            <w:tcW w:w="3544" w:type="dxa"/>
            <w:tcBorders>
              <w:top w:val="single" w:sz="4" w:space="0" w:color="000000"/>
            </w:tcBorders>
            <w:vAlign w:val="center"/>
          </w:tcPr>
          <w:p w:rsidR="003F736A" w:rsidRPr="005031CB" w:rsidRDefault="003F736A" w:rsidP="000D4B44">
            <w:pPr>
              <w:spacing w:before="60" w:after="60"/>
              <w:jc w:val="left"/>
              <w:rPr>
                <w:sz w:val="20"/>
                <w:szCs w:val="20"/>
              </w:rPr>
            </w:pPr>
            <w:r w:rsidRPr="005031CB">
              <w:rPr>
                <w:sz w:val="20"/>
                <w:szCs w:val="20"/>
              </w:rPr>
              <w:t>Beverage cooling (beer)</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8F4A33">
              <w:t>40.0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17.5%</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15.0%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15</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9B79A4">
              <w:t>70%</w:t>
            </w:r>
          </w:p>
        </w:tc>
      </w:tr>
      <w:tr w:rsidR="003F736A" w:rsidRPr="005031CB" w:rsidTr="009A68DD">
        <w:trPr>
          <w:trHeight w:val="456"/>
        </w:trPr>
        <w:tc>
          <w:tcPr>
            <w:tcW w:w="1276" w:type="dxa"/>
            <w:tcBorders>
              <w:top w:val="single" w:sz="4" w:space="0" w:color="000000"/>
            </w:tcBorders>
            <w:vAlign w:val="center"/>
          </w:tcPr>
          <w:p w:rsidR="003F736A" w:rsidRPr="005031CB" w:rsidRDefault="003F736A" w:rsidP="000C35EE">
            <w:pPr>
              <w:spacing w:before="60" w:after="60"/>
              <w:ind w:left="34"/>
              <w:jc w:val="left"/>
              <w:rPr>
                <w:sz w:val="20"/>
                <w:szCs w:val="20"/>
              </w:rPr>
            </w:pPr>
            <w:r w:rsidRPr="005031CB">
              <w:rPr>
                <w:sz w:val="20"/>
                <w:szCs w:val="20"/>
              </w:rPr>
              <w:t>RCFC1-9</w:t>
            </w:r>
          </w:p>
        </w:tc>
        <w:tc>
          <w:tcPr>
            <w:tcW w:w="3544" w:type="dxa"/>
            <w:tcBorders>
              <w:top w:val="single" w:sz="4" w:space="0" w:color="000000"/>
            </w:tcBorders>
            <w:vAlign w:val="center"/>
          </w:tcPr>
          <w:p w:rsidR="003F736A" w:rsidRPr="005031CB" w:rsidRDefault="003F736A" w:rsidP="000D4B44">
            <w:pPr>
              <w:spacing w:before="60" w:after="60"/>
              <w:jc w:val="left"/>
              <w:rPr>
                <w:sz w:val="20"/>
                <w:szCs w:val="20"/>
              </w:rPr>
            </w:pPr>
            <w:r w:rsidRPr="005031CB">
              <w:rPr>
                <w:sz w:val="20"/>
                <w:szCs w:val="20"/>
              </w:rPr>
              <w:t>Water dispensers (incl. bottle)</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8F4A33">
              <w:t>0.05</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2.0%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8</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9B79A4">
              <w:t>80%</w:t>
            </w:r>
          </w:p>
        </w:tc>
      </w:tr>
      <w:tr w:rsidR="003F736A" w:rsidRPr="005031CB" w:rsidTr="009A68DD">
        <w:trPr>
          <w:trHeight w:val="456"/>
        </w:trPr>
        <w:tc>
          <w:tcPr>
            <w:tcW w:w="1276" w:type="dxa"/>
            <w:tcBorders>
              <w:top w:val="single" w:sz="4" w:space="0" w:color="000000"/>
            </w:tcBorders>
            <w:vAlign w:val="center"/>
          </w:tcPr>
          <w:p w:rsidR="003F736A" w:rsidRPr="005031CB" w:rsidRDefault="003F736A" w:rsidP="000C35EE">
            <w:pPr>
              <w:spacing w:before="60" w:after="60"/>
              <w:ind w:left="34"/>
              <w:jc w:val="left"/>
              <w:rPr>
                <w:sz w:val="20"/>
                <w:szCs w:val="20"/>
              </w:rPr>
            </w:pPr>
            <w:r w:rsidRPr="005031CB">
              <w:rPr>
                <w:sz w:val="20"/>
                <w:szCs w:val="20"/>
              </w:rPr>
              <w:t>RCFC1-10</w:t>
            </w:r>
          </w:p>
        </w:tc>
        <w:tc>
          <w:tcPr>
            <w:tcW w:w="3544" w:type="dxa"/>
            <w:tcBorders>
              <w:top w:val="single" w:sz="4" w:space="0" w:color="000000"/>
            </w:tcBorders>
            <w:vAlign w:val="center"/>
          </w:tcPr>
          <w:p w:rsidR="003F736A" w:rsidRPr="005031CB" w:rsidRDefault="003F736A" w:rsidP="000D4B44">
            <w:pPr>
              <w:spacing w:before="60" w:after="60"/>
              <w:jc w:val="left"/>
              <w:rPr>
                <w:sz w:val="20"/>
                <w:szCs w:val="20"/>
              </w:rPr>
            </w:pPr>
            <w:r w:rsidRPr="005031CB">
              <w:rPr>
                <w:sz w:val="20"/>
                <w:szCs w:val="20"/>
              </w:rPr>
              <w:t>Packaged liquid chillers</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8F4A33">
              <w:t>60.0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12.5%</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10.0%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15</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9B79A4">
              <w:t>70%</w:t>
            </w:r>
          </w:p>
        </w:tc>
      </w:tr>
      <w:tr w:rsidR="003F736A" w:rsidRPr="005031CB" w:rsidTr="009A68DD">
        <w:trPr>
          <w:trHeight w:val="456"/>
        </w:trPr>
        <w:tc>
          <w:tcPr>
            <w:tcW w:w="1276" w:type="dxa"/>
            <w:tcBorders>
              <w:top w:val="single" w:sz="4" w:space="0" w:color="000000"/>
            </w:tcBorders>
            <w:vAlign w:val="center"/>
          </w:tcPr>
          <w:p w:rsidR="003F736A" w:rsidRPr="005031CB" w:rsidRDefault="003F736A" w:rsidP="000C35EE">
            <w:pPr>
              <w:spacing w:before="60" w:after="60"/>
              <w:ind w:left="34"/>
              <w:jc w:val="left"/>
              <w:rPr>
                <w:sz w:val="20"/>
                <w:szCs w:val="20"/>
              </w:rPr>
            </w:pPr>
            <w:r w:rsidRPr="005031CB">
              <w:rPr>
                <w:sz w:val="20"/>
                <w:szCs w:val="20"/>
              </w:rPr>
              <w:t>RCFC1-11</w:t>
            </w:r>
          </w:p>
        </w:tc>
        <w:tc>
          <w:tcPr>
            <w:tcW w:w="3544" w:type="dxa"/>
            <w:tcBorders>
              <w:top w:val="single" w:sz="4" w:space="0" w:color="000000"/>
            </w:tcBorders>
            <w:vAlign w:val="center"/>
          </w:tcPr>
          <w:p w:rsidR="003F736A" w:rsidRPr="005031CB" w:rsidRDefault="003F736A" w:rsidP="000D4B44">
            <w:pPr>
              <w:spacing w:before="60" w:after="60"/>
              <w:jc w:val="left"/>
              <w:rPr>
                <w:sz w:val="20"/>
                <w:szCs w:val="20"/>
              </w:rPr>
            </w:pPr>
            <w:r w:rsidRPr="005031CB">
              <w:rPr>
                <w:sz w:val="20"/>
                <w:szCs w:val="20"/>
              </w:rPr>
              <w:t>Milk vat refrigeration</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8F4A33">
              <w:t>40.0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25.0%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15.0%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20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9B79A4">
              <w:t>70%</w:t>
            </w:r>
          </w:p>
        </w:tc>
      </w:tr>
      <w:tr w:rsidR="003F736A" w:rsidRPr="005031CB" w:rsidTr="009A68DD">
        <w:trPr>
          <w:trHeight w:val="456"/>
        </w:trPr>
        <w:tc>
          <w:tcPr>
            <w:tcW w:w="1276" w:type="dxa"/>
            <w:tcBorders>
              <w:top w:val="single" w:sz="4" w:space="0" w:color="000000"/>
            </w:tcBorders>
            <w:vAlign w:val="center"/>
          </w:tcPr>
          <w:p w:rsidR="003F736A" w:rsidRPr="005031CB" w:rsidRDefault="003F736A" w:rsidP="000C35EE">
            <w:pPr>
              <w:spacing w:before="60" w:after="60"/>
              <w:ind w:left="34"/>
              <w:jc w:val="left"/>
              <w:rPr>
                <w:sz w:val="20"/>
                <w:szCs w:val="20"/>
              </w:rPr>
            </w:pPr>
            <w:r w:rsidRPr="005031CB">
              <w:rPr>
                <w:sz w:val="20"/>
                <w:szCs w:val="20"/>
              </w:rPr>
              <w:t>RCFC1-12</w:t>
            </w:r>
          </w:p>
        </w:tc>
        <w:tc>
          <w:tcPr>
            <w:tcW w:w="3544" w:type="dxa"/>
            <w:tcBorders>
              <w:top w:val="single" w:sz="4" w:space="0" w:color="000000"/>
            </w:tcBorders>
            <w:vAlign w:val="center"/>
          </w:tcPr>
          <w:p w:rsidR="003F736A" w:rsidRPr="005031CB" w:rsidRDefault="003F736A" w:rsidP="000D4B44">
            <w:pPr>
              <w:spacing w:before="60" w:after="60"/>
              <w:jc w:val="left"/>
              <w:rPr>
                <w:sz w:val="20"/>
                <w:szCs w:val="20"/>
              </w:rPr>
            </w:pPr>
            <w:r w:rsidRPr="005031CB">
              <w:rPr>
                <w:sz w:val="20"/>
                <w:szCs w:val="20"/>
              </w:rPr>
              <w:t>Portable refrigerators (commercial)</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8F4A33">
              <w:t>0.355</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2.0%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14</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9B79A4">
              <w:t>80%</w:t>
            </w:r>
          </w:p>
        </w:tc>
      </w:tr>
      <w:tr w:rsidR="003F736A" w:rsidRPr="005031CB" w:rsidTr="009A68DD">
        <w:trPr>
          <w:trHeight w:val="456"/>
        </w:trPr>
        <w:tc>
          <w:tcPr>
            <w:tcW w:w="1276" w:type="dxa"/>
            <w:tcBorders>
              <w:top w:val="single" w:sz="4" w:space="0" w:color="000000"/>
            </w:tcBorders>
            <w:vAlign w:val="center"/>
          </w:tcPr>
          <w:p w:rsidR="003F736A" w:rsidRPr="005031CB" w:rsidRDefault="003F736A" w:rsidP="000C35EE">
            <w:pPr>
              <w:spacing w:before="60" w:after="60"/>
              <w:ind w:left="34"/>
              <w:jc w:val="left"/>
              <w:rPr>
                <w:sz w:val="20"/>
                <w:szCs w:val="20"/>
              </w:rPr>
            </w:pPr>
            <w:r w:rsidRPr="005031CB">
              <w:rPr>
                <w:sz w:val="20"/>
                <w:szCs w:val="20"/>
              </w:rPr>
              <w:t>RCFC2-1</w:t>
            </w:r>
          </w:p>
        </w:tc>
        <w:tc>
          <w:tcPr>
            <w:tcW w:w="3544" w:type="dxa"/>
            <w:tcBorders>
              <w:top w:val="single" w:sz="4" w:space="0" w:color="000000"/>
            </w:tcBorders>
            <w:vAlign w:val="center"/>
          </w:tcPr>
          <w:p w:rsidR="003F736A" w:rsidRPr="005031CB" w:rsidRDefault="003F736A" w:rsidP="000D4B44">
            <w:pPr>
              <w:spacing w:before="60" w:after="60"/>
              <w:jc w:val="left"/>
              <w:rPr>
                <w:sz w:val="20"/>
                <w:szCs w:val="20"/>
              </w:rPr>
            </w:pPr>
            <w:r w:rsidRPr="005031CB">
              <w:rPr>
                <w:sz w:val="20"/>
                <w:szCs w:val="20"/>
              </w:rPr>
              <w:t>Mobile refrigeration: road: trailer - inter-modal</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8F4A33">
              <w:t>10.0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25.0%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20.0%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9B79A4">
              <w:t>70%</w:t>
            </w:r>
          </w:p>
        </w:tc>
      </w:tr>
      <w:tr w:rsidR="003F736A" w:rsidRPr="005031CB" w:rsidTr="009A68DD">
        <w:trPr>
          <w:trHeight w:val="456"/>
        </w:trPr>
        <w:tc>
          <w:tcPr>
            <w:tcW w:w="1276" w:type="dxa"/>
            <w:tcBorders>
              <w:top w:val="single" w:sz="4" w:space="0" w:color="000000"/>
            </w:tcBorders>
            <w:vAlign w:val="center"/>
          </w:tcPr>
          <w:p w:rsidR="003F736A" w:rsidRPr="005031CB" w:rsidRDefault="003F736A" w:rsidP="000C35EE">
            <w:pPr>
              <w:spacing w:before="60" w:after="60"/>
              <w:ind w:left="34"/>
              <w:jc w:val="left"/>
              <w:rPr>
                <w:sz w:val="20"/>
                <w:szCs w:val="20"/>
              </w:rPr>
            </w:pPr>
            <w:r w:rsidRPr="005031CB">
              <w:rPr>
                <w:sz w:val="20"/>
                <w:szCs w:val="20"/>
              </w:rPr>
              <w:t>RCFC2-2</w:t>
            </w:r>
          </w:p>
        </w:tc>
        <w:tc>
          <w:tcPr>
            <w:tcW w:w="3544" w:type="dxa"/>
            <w:tcBorders>
              <w:top w:val="single" w:sz="4" w:space="0" w:color="000000"/>
            </w:tcBorders>
            <w:vAlign w:val="center"/>
          </w:tcPr>
          <w:p w:rsidR="003F736A" w:rsidRPr="005031CB" w:rsidRDefault="003F736A" w:rsidP="000D4B44">
            <w:pPr>
              <w:spacing w:before="60" w:after="60"/>
              <w:jc w:val="left"/>
              <w:rPr>
                <w:sz w:val="20"/>
                <w:szCs w:val="20"/>
              </w:rPr>
            </w:pPr>
            <w:r w:rsidRPr="005031CB">
              <w:rPr>
                <w:sz w:val="20"/>
                <w:szCs w:val="20"/>
              </w:rPr>
              <w:t>Mobile refrigeration: road: diesel drive</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8F4A33">
              <w:t>7.0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25.0%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20.0%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9B79A4">
              <w:t>70%</w:t>
            </w:r>
          </w:p>
        </w:tc>
      </w:tr>
      <w:tr w:rsidR="003F736A" w:rsidRPr="005031CB" w:rsidTr="009A68DD">
        <w:trPr>
          <w:trHeight w:val="456"/>
        </w:trPr>
        <w:tc>
          <w:tcPr>
            <w:tcW w:w="1276" w:type="dxa"/>
            <w:tcBorders>
              <w:top w:val="single" w:sz="4" w:space="0" w:color="000000"/>
            </w:tcBorders>
            <w:vAlign w:val="center"/>
          </w:tcPr>
          <w:p w:rsidR="003F736A" w:rsidRPr="005031CB" w:rsidRDefault="003F736A" w:rsidP="000C35EE">
            <w:pPr>
              <w:spacing w:before="60" w:after="60"/>
              <w:ind w:left="34"/>
              <w:jc w:val="left"/>
              <w:rPr>
                <w:sz w:val="20"/>
                <w:szCs w:val="20"/>
              </w:rPr>
            </w:pPr>
            <w:r w:rsidRPr="005031CB">
              <w:rPr>
                <w:sz w:val="20"/>
                <w:szCs w:val="20"/>
              </w:rPr>
              <w:t>RCFC2-3</w:t>
            </w:r>
          </w:p>
        </w:tc>
        <w:tc>
          <w:tcPr>
            <w:tcW w:w="3544" w:type="dxa"/>
            <w:tcBorders>
              <w:top w:val="single" w:sz="4" w:space="0" w:color="000000"/>
            </w:tcBorders>
            <w:vAlign w:val="center"/>
          </w:tcPr>
          <w:p w:rsidR="003F736A" w:rsidRPr="005031CB" w:rsidRDefault="003F736A" w:rsidP="000D4B44">
            <w:pPr>
              <w:spacing w:before="60" w:after="60"/>
              <w:jc w:val="left"/>
              <w:rPr>
                <w:sz w:val="20"/>
                <w:szCs w:val="20"/>
              </w:rPr>
            </w:pPr>
            <w:r w:rsidRPr="005031CB">
              <w:rPr>
                <w:sz w:val="20"/>
                <w:szCs w:val="20"/>
              </w:rPr>
              <w:t>Mobile refrigeration: road: off engine</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8F4A33">
              <w:t>4.0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25.0%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20.0%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9B79A4">
              <w:t>70%</w:t>
            </w:r>
          </w:p>
        </w:tc>
      </w:tr>
      <w:tr w:rsidR="003F736A" w:rsidRPr="005031CB" w:rsidTr="009A68DD">
        <w:trPr>
          <w:trHeight w:val="456"/>
        </w:trPr>
        <w:tc>
          <w:tcPr>
            <w:tcW w:w="1276" w:type="dxa"/>
            <w:tcBorders>
              <w:top w:val="single" w:sz="4" w:space="0" w:color="000000"/>
            </w:tcBorders>
            <w:vAlign w:val="center"/>
          </w:tcPr>
          <w:p w:rsidR="003F736A" w:rsidRPr="005031CB" w:rsidRDefault="003F736A" w:rsidP="000C35EE">
            <w:pPr>
              <w:spacing w:before="60" w:after="60"/>
              <w:ind w:left="34"/>
              <w:jc w:val="left"/>
              <w:rPr>
                <w:sz w:val="20"/>
                <w:szCs w:val="20"/>
              </w:rPr>
            </w:pPr>
            <w:r w:rsidRPr="005031CB">
              <w:rPr>
                <w:sz w:val="20"/>
                <w:szCs w:val="20"/>
              </w:rPr>
              <w:t>RCFC2-4</w:t>
            </w:r>
          </w:p>
        </w:tc>
        <w:tc>
          <w:tcPr>
            <w:tcW w:w="3544" w:type="dxa"/>
            <w:tcBorders>
              <w:top w:val="single" w:sz="4" w:space="0" w:color="000000"/>
            </w:tcBorders>
            <w:vAlign w:val="center"/>
          </w:tcPr>
          <w:p w:rsidR="003F736A" w:rsidRPr="005031CB" w:rsidRDefault="003F736A" w:rsidP="000D4B44">
            <w:pPr>
              <w:spacing w:before="60" w:after="60"/>
              <w:jc w:val="left"/>
              <w:rPr>
                <w:sz w:val="20"/>
                <w:szCs w:val="20"/>
              </w:rPr>
            </w:pPr>
            <w:r w:rsidRPr="005031CB">
              <w:rPr>
                <w:sz w:val="20"/>
                <w:szCs w:val="20"/>
              </w:rPr>
              <w:t>Mobile refrigeration: marine</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8F4A33">
              <w:t>130.0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35.0%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25.0%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25</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9B79A4">
              <w:t>70%</w:t>
            </w:r>
          </w:p>
        </w:tc>
      </w:tr>
      <w:tr w:rsidR="003F736A" w:rsidRPr="005031CB" w:rsidTr="009A68DD">
        <w:trPr>
          <w:trHeight w:val="456"/>
        </w:trPr>
        <w:tc>
          <w:tcPr>
            <w:tcW w:w="1276" w:type="dxa"/>
            <w:tcBorders>
              <w:top w:val="single" w:sz="4" w:space="0" w:color="000000"/>
            </w:tcBorders>
            <w:vAlign w:val="center"/>
          </w:tcPr>
          <w:p w:rsidR="003F736A" w:rsidRPr="005031CB" w:rsidRDefault="003F736A" w:rsidP="000C35EE">
            <w:pPr>
              <w:spacing w:before="60" w:after="60"/>
              <w:ind w:left="34"/>
              <w:jc w:val="left"/>
              <w:rPr>
                <w:sz w:val="20"/>
                <w:szCs w:val="20"/>
              </w:rPr>
            </w:pPr>
            <w:r w:rsidRPr="005031CB">
              <w:rPr>
                <w:sz w:val="20"/>
                <w:szCs w:val="20"/>
              </w:rPr>
              <w:t>RCFC3-1</w:t>
            </w:r>
          </w:p>
        </w:tc>
        <w:tc>
          <w:tcPr>
            <w:tcW w:w="3544" w:type="dxa"/>
            <w:tcBorders>
              <w:top w:val="single" w:sz="4" w:space="0" w:color="000000"/>
            </w:tcBorders>
            <w:vAlign w:val="center"/>
          </w:tcPr>
          <w:p w:rsidR="003F736A" w:rsidRPr="005031CB" w:rsidRDefault="003F736A" w:rsidP="000D4B44">
            <w:pPr>
              <w:spacing w:before="60" w:after="60"/>
              <w:jc w:val="left"/>
              <w:rPr>
                <w:sz w:val="20"/>
                <w:szCs w:val="20"/>
              </w:rPr>
            </w:pPr>
            <w:r w:rsidRPr="005031CB">
              <w:rPr>
                <w:sz w:val="20"/>
                <w:szCs w:val="20"/>
              </w:rPr>
              <w:t>Supermarket refrigeration: small</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8F4A33">
              <w:t>160.0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20.0%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15.0%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15</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9B79A4">
              <w:t>70%</w:t>
            </w:r>
          </w:p>
        </w:tc>
      </w:tr>
      <w:tr w:rsidR="003F736A" w:rsidRPr="005031CB" w:rsidTr="009A68DD">
        <w:trPr>
          <w:trHeight w:val="456"/>
        </w:trPr>
        <w:tc>
          <w:tcPr>
            <w:tcW w:w="1276" w:type="dxa"/>
            <w:tcBorders>
              <w:top w:val="single" w:sz="4" w:space="0" w:color="000000"/>
            </w:tcBorders>
            <w:vAlign w:val="center"/>
          </w:tcPr>
          <w:p w:rsidR="003F736A" w:rsidRPr="005031CB" w:rsidRDefault="003F736A" w:rsidP="000C35EE">
            <w:pPr>
              <w:spacing w:before="60" w:after="60"/>
              <w:ind w:left="34"/>
              <w:jc w:val="left"/>
              <w:rPr>
                <w:sz w:val="20"/>
                <w:szCs w:val="20"/>
              </w:rPr>
            </w:pPr>
            <w:r w:rsidRPr="005031CB">
              <w:rPr>
                <w:sz w:val="20"/>
                <w:szCs w:val="20"/>
              </w:rPr>
              <w:t>RCFC3-2</w:t>
            </w:r>
          </w:p>
        </w:tc>
        <w:tc>
          <w:tcPr>
            <w:tcW w:w="3544" w:type="dxa"/>
            <w:tcBorders>
              <w:top w:val="single" w:sz="4" w:space="0" w:color="000000"/>
            </w:tcBorders>
            <w:vAlign w:val="center"/>
          </w:tcPr>
          <w:p w:rsidR="003F736A" w:rsidRPr="005031CB" w:rsidRDefault="003F736A" w:rsidP="000D4B44">
            <w:pPr>
              <w:spacing w:before="60" w:after="60"/>
              <w:jc w:val="left"/>
              <w:rPr>
                <w:sz w:val="20"/>
                <w:szCs w:val="20"/>
              </w:rPr>
            </w:pPr>
            <w:r w:rsidRPr="005031CB">
              <w:rPr>
                <w:sz w:val="20"/>
                <w:szCs w:val="20"/>
              </w:rPr>
              <w:t>Supermarket refrigeration: medium</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8F4A33">
              <w:t>600.0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15.0%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12.0%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12</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9B79A4">
              <w:t>70%</w:t>
            </w:r>
          </w:p>
        </w:tc>
      </w:tr>
      <w:tr w:rsidR="003F736A" w:rsidRPr="005031CB" w:rsidTr="009A68DD">
        <w:trPr>
          <w:trHeight w:val="456"/>
        </w:trPr>
        <w:tc>
          <w:tcPr>
            <w:tcW w:w="1276" w:type="dxa"/>
            <w:tcBorders>
              <w:top w:val="single" w:sz="4" w:space="0" w:color="000000"/>
            </w:tcBorders>
            <w:vAlign w:val="center"/>
          </w:tcPr>
          <w:p w:rsidR="003F736A" w:rsidRPr="005031CB" w:rsidRDefault="003F736A" w:rsidP="000C35EE">
            <w:pPr>
              <w:spacing w:before="60" w:after="60"/>
              <w:ind w:left="34"/>
              <w:jc w:val="left"/>
              <w:rPr>
                <w:sz w:val="20"/>
                <w:szCs w:val="20"/>
              </w:rPr>
            </w:pPr>
            <w:r w:rsidRPr="005031CB">
              <w:rPr>
                <w:sz w:val="20"/>
                <w:szCs w:val="20"/>
              </w:rPr>
              <w:t>RCFC3-3</w:t>
            </w:r>
          </w:p>
        </w:tc>
        <w:tc>
          <w:tcPr>
            <w:tcW w:w="3544" w:type="dxa"/>
            <w:tcBorders>
              <w:top w:val="single" w:sz="4" w:space="0" w:color="000000"/>
            </w:tcBorders>
            <w:vAlign w:val="center"/>
          </w:tcPr>
          <w:p w:rsidR="003F736A" w:rsidRPr="005031CB" w:rsidRDefault="003F736A" w:rsidP="000D4B44">
            <w:pPr>
              <w:spacing w:before="60" w:after="60"/>
              <w:jc w:val="left"/>
              <w:rPr>
                <w:sz w:val="20"/>
                <w:szCs w:val="20"/>
              </w:rPr>
            </w:pPr>
            <w:r w:rsidRPr="005031CB">
              <w:rPr>
                <w:sz w:val="20"/>
                <w:szCs w:val="20"/>
              </w:rPr>
              <w:t>Supermarket refrigeration: large</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8F4A33">
              <w:t>900.0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15.0%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12.0%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12</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9B79A4">
              <w:t>70%</w:t>
            </w:r>
          </w:p>
        </w:tc>
      </w:tr>
      <w:tr w:rsidR="003F736A" w:rsidRPr="005031CB" w:rsidTr="009A68DD">
        <w:trPr>
          <w:trHeight w:val="456"/>
        </w:trPr>
        <w:tc>
          <w:tcPr>
            <w:tcW w:w="1276" w:type="dxa"/>
            <w:tcBorders>
              <w:top w:val="single" w:sz="4" w:space="0" w:color="000000"/>
            </w:tcBorders>
            <w:vAlign w:val="center"/>
          </w:tcPr>
          <w:p w:rsidR="003F736A" w:rsidRPr="005031CB" w:rsidRDefault="003F736A" w:rsidP="000C35EE">
            <w:pPr>
              <w:spacing w:before="60" w:after="60"/>
              <w:ind w:left="34"/>
              <w:jc w:val="left"/>
              <w:rPr>
                <w:sz w:val="20"/>
                <w:szCs w:val="20"/>
              </w:rPr>
            </w:pPr>
            <w:r w:rsidRPr="005031CB">
              <w:rPr>
                <w:sz w:val="20"/>
                <w:szCs w:val="20"/>
              </w:rPr>
              <w:t>RCFC4</w:t>
            </w:r>
          </w:p>
        </w:tc>
        <w:tc>
          <w:tcPr>
            <w:tcW w:w="3544" w:type="dxa"/>
            <w:tcBorders>
              <w:top w:val="single" w:sz="4" w:space="0" w:color="000000"/>
            </w:tcBorders>
            <w:vAlign w:val="center"/>
          </w:tcPr>
          <w:p w:rsidR="003F736A" w:rsidRPr="005031CB" w:rsidRDefault="003F736A" w:rsidP="000D4B44">
            <w:pPr>
              <w:spacing w:before="60" w:after="60"/>
              <w:jc w:val="left"/>
              <w:rPr>
                <w:sz w:val="20"/>
                <w:szCs w:val="20"/>
              </w:rPr>
            </w:pPr>
            <w:r w:rsidRPr="005031CB">
              <w:rPr>
                <w:sz w:val="20"/>
                <w:szCs w:val="20"/>
              </w:rPr>
              <w:t>Process and large kitchens</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8F4A33">
              <w:t>160.0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20.0%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15.0%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15</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9B79A4">
              <w:t>70%</w:t>
            </w:r>
          </w:p>
        </w:tc>
      </w:tr>
      <w:tr w:rsidR="003F736A" w:rsidRPr="005031CB" w:rsidTr="009A68DD">
        <w:trPr>
          <w:trHeight w:val="456"/>
        </w:trPr>
        <w:tc>
          <w:tcPr>
            <w:tcW w:w="1276" w:type="dxa"/>
            <w:tcBorders>
              <w:top w:val="single" w:sz="4" w:space="0" w:color="000000"/>
            </w:tcBorders>
            <w:vAlign w:val="center"/>
          </w:tcPr>
          <w:p w:rsidR="003F736A" w:rsidRPr="005031CB" w:rsidRDefault="003F736A" w:rsidP="000C35EE">
            <w:pPr>
              <w:spacing w:before="60" w:after="60"/>
              <w:ind w:left="34"/>
              <w:jc w:val="left"/>
              <w:rPr>
                <w:sz w:val="20"/>
                <w:szCs w:val="20"/>
              </w:rPr>
            </w:pPr>
            <w:r w:rsidRPr="005031CB">
              <w:rPr>
                <w:sz w:val="20"/>
                <w:szCs w:val="20"/>
              </w:rPr>
              <w:t>RCFC5-1</w:t>
            </w:r>
          </w:p>
        </w:tc>
        <w:tc>
          <w:tcPr>
            <w:tcW w:w="3544" w:type="dxa"/>
            <w:tcBorders>
              <w:top w:val="single" w:sz="4" w:space="0" w:color="000000"/>
            </w:tcBorders>
            <w:vAlign w:val="center"/>
          </w:tcPr>
          <w:p w:rsidR="003F736A" w:rsidRPr="005031CB" w:rsidRDefault="003F736A" w:rsidP="000D4B44">
            <w:pPr>
              <w:spacing w:before="60" w:after="60"/>
              <w:jc w:val="left"/>
              <w:rPr>
                <w:sz w:val="20"/>
                <w:szCs w:val="20"/>
              </w:rPr>
            </w:pPr>
            <w:r w:rsidRPr="005031CB">
              <w:rPr>
                <w:sz w:val="20"/>
                <w:szCs w:val="20"/>
              </w:rPr>
              <w:t>Cold storage and distribution</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8F4A33">
              <w:t>80.0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15.0%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15.0%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15</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9B79A4">
              <w:t>70%</w:t>
            </w:r>
          </w:p>
        </w:tc>
      </w:tr>
      <w:tr w:rsidR="003F736A" w:rsidRPr="005031CB" w:rsidTr="009A68DD">
        <w:trPr>
          <w:trHeight w:val="456"/>
        </w:trPr>
        <w:tc>
          <w:tcPr>
            <w:tcW w:w="1276" w:type="dxa"/>
            <w:tcBorders>
              <w:top w:val="single" w:sz="4" w:space="0" w:color="000000"/>
            </w:tcBorders>
            <w:vAlign w:val="center"/>
          </w:tcPr>
          <w:p w:rsidR="003F736A" w:rsidRPr="005031CB" w:rsidRDefault="003F736A" w:rsidP="000C35EE">
            <w:pPr>
              <w:spacing w:before="60" w:after="60"/>
              <w:ind w:left="34"/>
              <w:jc w:val="left"/>
              <w:rPr>
                <w:sz w:val="20"/>
                <w:szCs w:val="20"/>
              </w:rPr>
            </w:pPr>
            <w:r w:rsidRPr="005031CB">
              <w:rPr>
                <w:sz w:val="20"/>
                <w:szCs w:val="20"/>
              </w:rPr>
              <w:t>RCFC5-2</w:t>
            </w:r>
          </w:p>
        </w:tc>
        <w:tc>
          <w:tcPr>
            <w:tcW w:w="3544" w:type="dxa"/>
            <w:tcBorders>
              <w:top w:val="single" w:sz="4" w:space="0" w:color="000000"/>
            </w:tcBorders>
            <w:vAlign w:val="center"/>
          </w:tcPr>
          <w:p w:rsidR="003F736A" w:rsidRPr="005031CB" w:rsidRDefault="003F736A" w:rsidP="000D4B44">
            <w:pPr>
              <w:spacing w:before="60" w:after="60"/>
              <w:jc w:val="left"/>
              <w:rPr>
                <w:sz w:val="20"/>
                <w:szCs w:val="20"/>
              </w:rPr>
            </w:pPr>
            <w:r w:rsidRPr="005031CB">
              <w:rPr>
                <w:sz w:val="20"/>
                <w:szCs w:val="20"/>
              </w:rPr>
              <w:t>Process chilling</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8F4A33">
              <w:t>2.00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10.0%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7.0%</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4A6F9A">
              <w:t>15</w:t>
            </w:r>
          </w:p>
        </w:tc>
        <w:tc>
          <w:tcPr>
            <w:tcW w:w="964" w:type="dxa"/>
            <w:tcBorders>
              <w:top w:val="single" w:sz="4" w:space="0" w:color="000000"/>
            </w:tcBorders>
            <w:vAlign w:val="center"/>
          </w:tcPr>
          <w:p w:rsidR="003F736A" w:rsidRPr="005031CB" w:rsidRDefault="003F736A" w:rsidP="000C35EE">
            <w:pPr>
              <w:spacing w:before="60" w:after="60"/>
              <w:jc w:val="center"/>
              <w:rPr>
                <w:sz w:val="20"/>
                <w:szCs w:val="20"/>
              </w:rPr>
            </w:pPr>
            <w:r w:rsidRPr="009B79A4">
              <w:t>80%</w:t>
            </w:r>
          </w:p>
        </w:tc>
      </w:tr>
    </w:tbl>
    <w:p w:rsidR="00495ADF" w:rsidRDefault="00495ADF" w:rsidP="007F19EB">
      <w:pPr>
        <w:spacing w:before="60"/>
      </w:pPr>
    </w:p>
    <w:p w:rsidR="007F19EB" w:rsidRDefault="007F19EB" w:rsidP="007F19EB">
      <w:pPr>
        <w:rPr>
          <w:rFonts w:cs="Times New Roman"/>
          <w:szCs w:val="22"/>
          <w:lang w:val="en-US"/>
        </w:rPr>
      </w:pPr>
      <w:r>
        <w:rPr>
          <w:rFonts w:cs="Times New Roman"/>
          <w:szCs w:val="22"/>
          <w:lang w:val="en-US"/>
        </w:rPr>
        <w:t xml:space="preserve">The technical understanding of the product categories listed in </w:t>
      </w:r>
      <w:r w:rsidR="00D36648">
        <w:rPr>
          <w:rFonts w:cs="Times New Roman"/>
          <w:i/>
          <w:szCs w:val="22"/>
          <w:lang w:val="en-US"/>
        </w:rPr>
        <w:t>Table 11</w:t>
      </w:r>
      <w:r w:rsidR="00D7552F">
        <w:rPr>
          <w:rFonts w:cs="Times New Roman"/>
          <w:i/>
          <w:szCs w:val="22"/>
          <w:lang w:val="en-US"/>
        </w:rPr>
        <w:t xml:space="preserve"> </w:t>
      </w:r>
      <w:r>
        <w:rPr>
          <w:rFonts w:cs="Times New Roman"/>
          <w:szCs w:val="22"/>
          <w:lang w:val="en-US"/>
        </w:rPr>
        <w:t>has evolved over a series of research papers in this area. In the course of various projects</w:t>
      </w:r>
      <w:r w:rsidRPr="00AE2A98">
        <w:rPr>
          <w:rFonts w:cs="Times New Roman"/>
          <w:szCs w:val="22"/>
          <w:lang w:val="en-US"/>
        </w:rPr>
        <w:t xml:space="preserve"> </w:t>
      </w:r>
      <w:r>
        <w:rPr>
          <w:rFonts w:cs="Times New Roman"/>
          <w:szCs w:val="22"/>
          <w:lang w:val="en-US"/>
        </w:rPr>
        <w:t>all available research in this area</w:t>
      </w:r>
      <w:r w:rsidDel="00AE2A98">
        <w:rPr>
          <w:rFonts w:cs="Times New Roman"/>
          <w:szCs w:val="22"/>
          <w:lang w:val="en-US"/>
        </w:rPr>
        <w:t xml:space="preserve"> </w:t>
      </w:r>
      <w:r>
        <w:rPr>
          <w:rFonts w:cs="Times New Roman"/>
          <w:szCs w:val="22"/>
          <w:lang w:val="en-US"/>
        </w:rPr>
        <w:t xml:space="preserve">was reviewed to build a database of findings and observations of leak rates by other researchers. </w:t>
      </w:r>
    </w:p>
    <w:p w:rsidR="007F19EB" w:rsidRDefault="007F19EB" w:rsidP="007F19EB">
      <w:pPr>
        <w:rPr>
          <w:rFonts w:cs="Times New Roman"/>
          <w:szCs w:val="22"/>
          <w:lang w:val="en-US"/>
        </w:rPr>
      </w:pPr>
      <w:r>
        <w:rPr>
          <w:rFonts w:cs="Times New Roman"/>
          <w:szCs w:val="22"/>
          <w:lang w:val="en-US"/>
        </w:rPr>
        <w:t xml:space="preserve">Further, a great deal of work was undertaken by the authors in the course of several projects to reconcile consumption of bulk refrigerant gas imports for all major refrigerant species, with all possible end uses of the gas to deduce the total volume of gas required to replace lost gas across the Australian economy.  </w:t>
      </w:r>
    </w:p>
    <w:p w:rsidR="007F19EB" w:rsidRDefault="007F19EB" w:rsidP="007F19EB">
      <w:pPr>
        <w:rPr>
          <w:rFonts w:cs="Times New Roman"/>
          <w:szCs w:val="22"/>
          <w:lang w:val="en-US"/>
        </w:rPr>
      </w:pPr>
      <w:r>
        <w:rPr>
          <w:rFonts w:cs="Times New Roman"/>
          <w:szCs w:val="22"/>
          <w:lang w:val="en-US"/>
        </w:rPr>
        <w:t>This top down assessment of bulk gas consumed servicing equipment, when applied to what is known about the stock of equipment, produced results that were remarkably similar to leak rates observed in the field on individual classes of equipment.</w:t>
      </w:r>
    </w:p>
    <w:p w:rsidR="007F19EB" w:rsidRDefault="007F19EB" w:rsidP="007F19EB">
      <w:pPr>
        <w:rPr>
          <w:rFonts w:cs="Times New Roman"/>
          <w:szCs w:val="22"/>
          <w:lang w:val="en-US"/>
        </w:rPr>
      </w:pPr>
      <w:r w:rsidRPr="00F44112">
        <w:rPr>
          <w:rFonts w:cs="Times New Roman"/>
          <w:szCs w:val="22"/>
          <w:lang w:val="en-US"/>
        </w:rPr>
        <w:t>The annual leak rate referred to in this report is expressed as a percentage of the initial charge per annum</w:t>
      </w:r>
      <w:r>
        <w:rPr>
          <w:rFonts w:cs="Times New Roman"/>
          <w:szCs w:val="22"/>
          <w:lang w:val="en-US"/>
        </w:rPr>
        <w:t xml:space="preserve">, </w:t>
      </w:r>
      <w:r w:rsidRPr="00F44112">
        <w:rPr>
          <w:rFonts w:cs="Times New Roman"/>
          <w:szCs w:val="22"/>
          <w:lang w:val="en-US"/>
        </w:rPr>
        <w:t>and is calculated as</w:t>
      </w:r>
      <w:r>
        <w:rPr>
          <w:rFonts w:cs="Times New Roman"/>
          <w:szCs w:val="22"/>
          <w:lang w:val="en-US"/>
        </w:rPr>
        <w:t>:</w:t>
      </w:r>
    </w:p>
    <w:p w:rsidR="007F19EB" w:rsidRPr="00693DBC" w:rsidRDefault="007F19EB" w:rsidP="00C73C6A">
      <w:pPr>
        <w:pStyle w:val="ListParagraph"/>
        <w:numPr>
          <w:ilvl w:val="0"/>
          <w:numId w:val="7"/>
        </w:numPr>
        <w:spacing w:before="120" w:after="0" w:line="240" w:lineRule="auto"/>
        <w:ind w:left="357" w:hanging="357"/>
        <w:contextualSpacing w:val="0"/>
        <w:jc w:val="both"/>
        <w:rPr>
          <w:rFonts w:ascii="Times New Roman" w:hAnsi="Times New Roman"/>
          <w:lang w:val="en-US"/>
        </w:rPr>
      </w:pPr>
      <w:r>
        <w:rPr>
          <w:rFonts w:ascii="Times New Roman" w:hAnsi="Times New Roman"/>
          <w:lang w:val="en-US"/>
        </w:rPr>
        <w:t>T</w:t>
      </w:r>
      <w:r w:rsidRPr="00693DBC">
        <w:rPr>
          <w:rFonts w:ascii="Times New Roman" w:hAnsi="Times New Roman"/>
          <w:lang w:val="en-US"/>
        </w:rPr>
        <w:t xml:space="preserve">he sum of gradual leaks during normal operation; plus, </w:t>
      </w:r>
    </w:p>
    <w:p w:rsidR="007F19EB" w:rsidRPr="00693DBC" w:rsidRDefault="007F19EB" w:rsidP="00C73C6A">
      <w:pPr>
        <w:pStyle w:val="ListParagraph"/>
        <w:numPr>
          <w:ilvl w:val="0"/>
          <w:numId w:val="7"/>
        </w:numPr>
        <w:spacing w:before="120" w:after="0" w:line="240" w:lineRule="auto"/>
        <w:ind w:left="357" w:hanging="357"/>
        <w:contextualSpacing w:val="0"/>
        <w:jc w:val="both"/>
        <w:rPr>
          <w:rFonts w:ascii="Times New Roman" w:hAnsi="Times New Roman"/>
          <w:lang w:val="en-US"/>
        </w:rPr>
      </w:pPr>
      <w:r>
        <w:rPr>
          <w:rFonts w:ascii="Times New Roman" w:hAnsi="Times New Roman"/>
          <w:lang w:val="en-US"/>
        </w:rPr>
        <w:t>C</w:t>
      </w:r>
      <w:r w:rsidRPr="00693DBC">
        <w:rPr>
          <w:rFonts w:ascii="Times New Roman" w:hAnsi="Times New Roman"/>
          <w:lang w:val="en-US"/>
        </w:rPr>
        <w:t xml:space="preserve">atastrophic losses amortised over the life of the equipment; plus, </w:t>
      </w:r>
    </w:p>
    <w:p w:rsidR="007F19EB" w:rsidRPr="00693DBC" w:rsidRDefault="007F19EB" w:rsidP="00C73C6A">
      <w:pPr>
        <w:pStyle w:val="ListParagraph"/>
        <w:numPr>
          <w:ilvl w:val="0"/>
          <w:numId w:val="7"/>
        </w:numPr>
        <w:spacing w:before="120" w:after="0" w:line="240" w:lineRule="auto"/>
        <w:ind w:left="357" w:hanging="357"/>
        <w:contextualSpacing w:val="0"/>
        <w:jc w:val="both"/>
        <w:rPr>
          <w:rFonts w:ascii="Times New Roman" w:hAnsi="Times New Roman"/>
          <w:lang w:val="en-US"/>
        </w:rPr>
      </w:pPr>
      <w:r>
        <w:rPr>
          <w:rFonts w:ascii="Times New Roman" w:hAnsi="Times New Roman"/>
          <w:lang w:val="en-US"/>
        </w:rPr>
        <w:t>L</w:t>
      </w:r>
      <w:r w:rsidRPr="00693DBC">
        <w:rPr>
          <w:rFonts w:ascii="Times New Roman" w:hAnsi="Times New Roman"/>
          <w:lang w:val="en-US"/>
        </w:rPr>
        <w:t xml:space="preserve">osses during service and maintenance. </w:t>
      </w:r>
    </w:p>
    <w:p w:rsidR="007F19EB" w:rsidRPr="00693DBC" w:rsidRDefault="007F19EB" w:rsidP="007F19EB">
      <w:pPr>
        <w:rPr>
          <w:rFonts w:cs="Times New Roman"/>
          <w:szCs w:val="22"/>
          <w:lang w:val="en-US"/>
        </w:rPr>
      </w:pPr>
      <w:r w:rsidRPr="00693DBC">
        <w:rPr>
          <w:rFonts w:cs="Times New Roman"/>
          <w:szCs w:val="22"/>
          <w:lang w:val="en-US"/>
        </w:rPr>
        <w:t>In the case of mobile air conditioning equipment, the annual leak rate takes into account losses from vehicle crashes, which are classed as catastrophic losses.</w:t>
      </w:r>
    </w:p>
    <w:p w:rsidR="007F19EB" w:rsidRDefault="007F19EB" w:rsidP="007F19EB">
      <w:pPr>
        <w:rPr>
          <w:rFonts w:cs="Times New Roman"/>
          <w:szCs w:val="22"/>
          <w:lang w:val="en-US"/>
        </w:rPr>
      </w:pPr>
      <w:r>
        <w:rPr>
          <w:rFonts w:cs="Times New Roman"/>
          <w:szCs w:val="22"/>
          <w:lang w:val="en-US"/>
        </w:rPr>
        <w:t xml:space="preserve">The actual </w:t>
      </w:r>
      <w:r w:rsidRPr="00F44112">
        <w:rPr>
          <w:rFonts w:cs="Times New Roman"/>
          <w:szCs w:val="22"/>
          <w:lang w:val="en-US"/>
        </w:rPr>
        <w:t xml:space="preserve">leak rates </w:t>
      </w:r>
      <w:r>
        <w:rPr>
          <w:rFonts w:cs="Times New Roman"/>
          <w:szCs w:val="22"/>
          <w:lang w:val="en-US"/>
        </w:rPr>
        <w:t xml:space="preserve">of different equipment categories </w:t>
      </w:r>
      <w:r w:rsidRPr="00F44112">
        <w:rPr>
          <w:rFonts w:cs="Times New Roman"/>
          <w:szCs w:val="22"/>
          <w:lang w:val="en-US"/>
        </w:rPr>
        <w:t>vary significantly depending on the class of equipment, refrigerant type, vintage, equipment design (i.e. flared connections, Schrader valves, type of condenser), workmanship of installation, vibration elimination, refrigerant leak detection, maintenance</w:t>
      </w:r>
      <w:r>
        <w:rPr>
          <w:rFonts w:cs="Times New Roman"/>
          <w:szCs w:val="22"/>
          <w:lang w:val="en-US"/>
        </w:rPr>
        <w:t xml:space="preserve">, </w:t>
      </w:r>
      <w:r w:rsidRPr="00F44112">
        <w:rPr>
          <w:rFonts w:cs="Times New Roman"/>
          <w:szCs w:val="22"/>
          <w:lang w:val="en-US"/>
        </w:rPr>
        <w:t>operating conditions</w:t>
      </w:r>
      <w:r>
        <w:rPr>
          <w:rFonts w:cs="Times New Roman"/>
          <w:szCs w:val="22"/>
          <w:lang w:val="en-US"/>
        </w:rPr>
        <w:t xml:space="preserve"> and several other factors</w:t>
      </w:r>
      <w:r w:rsidRPr="00F44112">
        <w:rPr>
          <w:rFonts w:cs="Times New Roman"/>
          <w:szCs w:val="22"/>
          <w:lang w:val="en-US"/>
        </w:rPr>
        <w:t>.</w:t>
      </w:r>
      <w:r>
        <w:rPr>
          <w:rFonts w:cs="Times New Roman"/>
          <w:szCs w:val="22"/>
          <w:lang w:val="en-US"/>
        </w:rPr>
        <w:t xml:space="preserve"> </w:t>
      </w:r>
    </w:p>
    <w:p w:rsidR="007F19EB" w:rsidRDefault="007F19EB" w:rsidP="007F19EB">
      <w:pPr>
        <w:rPr>
          <w:rFonts w:cs="Times New Roman"/>
          <w:szCs w:val="22"/>
          <w:lang w:val="en-US"/>
        </w:rPr>
      </w:pPr>
      <w:r>
        <w:rPr>
          <w:rFonts w:cs="Times New Roman"/>
          <w:szCs w:val="22"/>
          <w:lang w:val="en-US"/>
        </w:rPr>
        <w:t>The main technical papers undertaken by the authors that assisted in determining the leak rate estimates used in this report include:</w:t>
      </w:r>
    </w:p>
    <w:p w:rsidR="007F19EB" w:rsidRPr="00A67EA2" w:rsidRDefault="007F19EB" w:rsidP="00C73C6A">
      <w:pPr>
        <w:pStyle w:val="ListParagraph"/>
        <w:numPr>
          <w:ilvl w:val="0"/>
          <w:numId w:val="7"/>
        </w:numPr>
        <w:spacing w:before="120" w:after="0" w:line="240" w:lineRule="auto"/>
        <w:ind w:left="357" w:hanging="357"/>
        <w:contextualSpacing w:val="0"/>
        <w:jc w:val="both"/>
        <w:rPr>
          <w:rFonts w:ascii="Times New Roman" w:hAnsi="Times New Roman"/>
          <w:lang w:val="en-US"/>
        </w:rPr>
      </w:pPr>
      <w:r w:rsidRPr="00A67EA2">
        <w:rPr>
          <w:rFonts w:ascii="Times New Roman" w:hAnsi="Times New Roman"/>
          <w:i/>
          <w:lang w:val="en-US"/>
        </w:rPr>
        <w:t>A study into the HFC Consumption in Australia</w:t>
      </w:r>
      <w:r w:rsidRPr="00A67EA2">
        <w:rPr>
          <w:rFonts w:ascii="Times New Roman" w:hAnsi="Times New Roman"/>
          <w:lang w:val="en-US"/>
        </w:rPr>
        <w:t xml:space="preserve"> prepared by the Expert Group for DSEWPaC, Ozone and Synthetic Gas Team, October 2011. This assignment involved the development of a bottom up model of the national inventories of synthetic greenhouse gases in order to reconcile the tonnes of each HFC imported with consumption in key industry </w:t>
      </w:r>
      <w:r>
        <w:rPr>
          <w:rFonts w:ascii="Times New Roman" w:hAnsi="Times New Roman"/>
          <w:lang w:val="en-US"/>
        </w:rPr>
        <w:t>sector/sub-sector/applications.</w:t>
      </w:r>
      <w:r w:rsidR="005D7BD8">
        <w:rPr>
          <w:rFonts w:ascii="Times New Roman" w:hAnsi="Times New Roman"/>
          <w:lang w:val="en-US"/>
        </w:rPr>
        <w:t xml:space="preserve"> This report is unpublished.</w:t>
      </w:r>
    </w:p>
    <w:p w:rsidR="007F19EB" w:rsidRPr="00F44112" w:rsidRDefault="007F19EB" w:rsidP="00C73C6A">
      <w:pPr>
        <w:pStyle w:val="ListParagraph"/>
        <w:numPr>
          <w:ilvl w:val="0"/>
          <w:numId w:val="7"/>
        </w:numPr>
        <w:spacing w:before="120" w:after="0" w:line="240" w:lineRule="auto"/>
        <w:ind w:left="357" w:hanging="357"/>
        <w:contextualSpacing w:val="0"/>
        <w:jc w:val="both"/>
      </w:pPr>
      <w:r w:rsidRPr="00A67EA2">
        <w:rPr>
          <w:rFonts w:ascii="Times New Roman" w:hAnsi="Times New Roman"/>
          <w:i/>
          <w:lang w:val="en-US"/>
        </w:rPr>
        <w:t>Giving Teeth to TEWI</w:t>
      </w:r>
      <w:r w:rsidRPr="00A67EA2">
        <w:rPr>
          <w:rFonts w:ascii="Times New Roman" w:hAnsi="Times New Roman"/>
          <w:lang w:val="en-US"/>
        </w:rPr>
        <w:t xml:space="preserve"> </w:t>
      </w:r>
      <w:r>
        <w:rPr>
          <w:rFonts w:ascii="Times New Roman" w:hAnsi="Times New Roman"/>
          <w:lang w:val="en-US"/>
        </w:rPr>
        <w:t xml:space="preserve">prepared by Expert Group </w:t>
      </w:r>
      <w:r w:rsidRPr="00A67EA2">
        <w:rPr>
          <w:rFonts w:ascii="Times New Roman" w:hAnsi="Times New Roman"/>
          <w:lang w:val="en-US"/>
        </w:rPr>
        <w:t>for Refrigerants Australia in association with AIRAH Natu</w:t>
      </w:r>
      <w:r>
        <w:rPr>
          <w:rFonts w:ascii="Times New Roman" w:hAnsi="Times New Roman"/>
          <w:lang w:val="en-US"/>
        </w:rPr>
        <w:t xml:space="preserve">ral Refrigerants Steering Group. This project </w:t>
      </w:r>
      <w:r w:rsidRPr="00A67EA2">
        <w:rPr>
          <w:rFonts w:ascii="Times New Roman" w:hAnsi="Times New Roman"/>
          <w:lang w:val="en-US"/>
        </w:rPr>
        <w:t>develop</w:t>
      </w:r>
      <w:r>
        <w:rPr>
          <w:rFonts w:ascii="Times New Roman" w:hAnsi="Times New Roman"/>
          <w:lang w:val="en-US"/>
        </w:rPr>
        <w:t>ed</w:t>
      </w:r>
      <w:r w:rsidRPr="00A67EA2">
        <w:rPr>
          <w:rFonts w:ascii="Times New Roman" w:hAnsi="Times New Roman"/>
          <w:lang w:val="en-US"/>
        </w:rPr>
        <w:t xml:space="preserve"> a best practice guideline and methodology for calculating Total Environmental Warming Impact</w:t>
      </w:r>
      <w:r>
        <w:rPr>
          <w:rFonts w:ascii="Times New Roman" w:hAnsi="Times New Roman"/>
          <w:lang w:val="en-US"/>
        </w:rPr>
        <w:t xml:space="preserve"> (TEWI</w:t>
      </w:r>
      <w:r w:rsidRPr="00A67EA2">
        <w:rPr>
          <w:rFonts w:ascii="Times New Roman" w:hAnsi="Times New Roman"/>
          <w:lang w:val="en-US"/>
        </w:rPr>
        <w:t xml:space="preserve">) to facilitate more informed investment decisions in low emission technology in the HVAC&amp;R industries. This research commenced in 2010 and resulted in </w:t>
      </w:r>
      <w:r w:rsidRPr="00A67EA2">
        <w:rPr>
          <w:rFonts w:ascii="Times New Roman" w:hAnsi="Times New Roman"/>
          <w:i/>
          <w:lang w:val="en-US"/>
        </w:rPr>
        <w:t>The AIRAH Best Practice Guidelines: Methods of calculating TEWI</w:t>
      </w:r>
      <w:r w:rsidRPr="00A67EA2">
        <w:rPr>
          <w:rFonts w:ascii="Times New Roman" w:hAnsi="Times New Roman"/>
          <w:lang w:val="en-US"/>
        </w:rPr>
        <w:t xml:space="preserve"> being published in 2012. The guideline includes a range of lower, upper and typical leak rates for key air conditioning and refrigeration applications. The upper</w:t>
      </w:r>
      <w:r>
        <w:rPr>
          <w:rFonts w:ascii="Times New Roman" w:hAnsi="Times New Roman"/>
          <w:lang w:val="en-US"/>
        </w:rPr>
        <w:t xml:space="preserve"> range</w:t>
      </w:r>
      <w:r w:rsidRPr="00A67EA2">
        <w:rPr>
          <w:rFonts w:ascii="Times New Roman" w:hAnsi="Times New Roman"/>
          <w:lang w:val="en-US"/>
        </w:rPr>
        <w:t xml:space="preserve"> being those cited in the NGERS Technical Guidelines and the NGERS Act 2007 that prescribes 9% for commercial air conditioning, 23% for commercial refrigeration and 16% for industrial refrigeration. Research involving reconciling consumption concludes that whilst these upper leak rates </w:t>
      </w:r>
      <w:r>
        <w:rPr>
          <w:rFonts w:ascii="Times New Roman" w:hAnsi="Times New Roman"/>
          <w:lang w:val="en-US"/>
        </w:rPr>
        <w:t xml:space="preserve">can </w:t>
      </w:r>
      <w:r w:rsidRPr="00A67EA2">
        <w:rPr>
          <w:rFonts w:ascii="Times New Roman" w:hAnsi="Times New Roman"/>
          <w:lang w:val="en-US"/>
        </w:rPr>
        <w:t xml:space="preserve">occur with some systems they are not the </w:t>
      </w:r>
      <w:r>
        <w:rPr>
          <w:rFonts w:ascii="Times New Roman" w:hAnsi="Times New Roman"/>
          <w:lang w:val="en-US"/>
        </w:rPr>
        <w:t xml:space="preserve">current </w:t>
      </w:r>
      <w:r w:rsidRPr="00A67EA2">
        <w:rPr>
          <w:rFonts w:ascii="Times New Roman" w:hAnsi="Times New Roman"/>
          <w:lang w:val="en-US"/>
        </w:rPr>
        <w:t>weighted average across the economy.</w:t>
      </w:r>
    </w:p>
    <w:p w:rsidR="007F19EB" w:rsidRPr="00A67EA2" w:rsidRDefault="007F19EB" w:rsidP="00C73C6A">
      <w:pPr>
        <w:pStyle w:val="ListParagraph"/>
        <w:numPr>
          <w:ilvl w:val="0"/>
          <w:numId w:val="7"/>
        </w:numPr>
        <w:spacing w:before="120" w:after="0" w:line="240" w:lineRule="auto"/>
        <w:ind w:left="357" w:hanging="357"/>
        <w:contextualSpacing w:val="0"/>
        <w:jc w:val="both"/>
        <w:rPr>
          <w:rFonts w:ascii="Times New Roman" w:hAnsi="Times New Roman"/>
          <w:lang w:val="en-US"/>
        </w:rPr>
      </w:pPr>
      <w:r w:rsidRPr="00A67EA2">
        <w:rPr>
          <w:rFonts w:ascii="Times New Roman" w:hAnsi="Times New Roman"/>
          <w:i/>
          <w:lang w:val="en-US"/>
        </w:rPr>
        <w:t>Refrigerant Emissions in Australia: Sources, Causes and Remedies</w:t>
      </w:r>
      <w:r w:rsidRPr="00A67EA2">
        <w:rPr>
          <w:rFonts w:ascii="Times New Roman" w:hAnsi="Times New Roman"/>
          <w:lang w:val="en-US"/>
        </w:rPr>
        <w:t xml:space="preserve"> prepared by Expert Group for DEWHA, Ozone and Synthetic Gas Team, March 2010. DEWHA commissioned this study to establish a greater understanding of the sources and causes of refrigerant leaks and technical standards that could reduce leaks on small to medium commercial refrigeration, and the quantitative benefits of such standards. This study involved extensive research </w:t>
      </w:r>
      <w:r>
        <w:rPr>
          <w:rFonts w:ascii="Times New Roman" w:hAnsi="Times New Roman"/>
          <w:lang w:val="en-US"/>
        </w:rPr>
        <w:t xml:space="preserve">and improved understanding </w:t>
      </w:r>
      <w:r w:rsidRPr="00A67EA2">
        <w:rPr>
          <w:rFonts w:ascii="Times New Roman" w:hAnsi="Times New Roman"/>
          <w:lang w:val="en-US"/>
        </w:rPr>
        <w:t xml:space="preserve">on leak rates </w:t>
      </w:r>
      <w:r>
        <w:rPr>
          <w:rFonts w:ascii="Times New Roman" w:hAnsi="Times New Roman"/>
          <w:lang w:val="en-US"/>
        </w:rPr>
        <w:t xml:space="preserve">found </w:t>
      </w:r>
      <w:r w:rsidRPr="00A67EA2">
        <w:rPr>
          <w:rFonts w:ascii="Times New Roman" w:hAnsi="Times New Roman"/>
          <w:lang w:val="en-US"/>
        </w:rPr>
        <w:t>in commercial refrigeration.</w:t>
      </w:r>
    </w:p>
    <w:p w:rsidR="007F19EB" w:rsidRDefault="007F19EB" w:rsidP="00C73C6A">
      <w:pPr>
        <w:pStyle w:val="ListParagraph"/>
        <w:numPr>
          <w:ilvl w:val="0"/>
          <w:numId w:val="7"/>
        </w:numPr>
        <w:spacing w:before="120" w:after="0" w:line="240" w:lineRule="auto"/>
        <w:ind w:left="357" w:hanging="357"/>
        <w:contextualSpacing w:val="0"/>
        <w:jc w:val="both"/>
        <w:rPr>
          <w:rFonts w:ascii="Times New Roman" w:hAnsi="Times New Roman"/>
          <w:lang w:val="en-US"/>
        </w:rPr>
      </w:pPr>
      <w:r w:rsidRPr="00A67EA2">
        <w:rPr>
          <w:rFonts w:ascii="Times New Roman" w:hAnsi="Times New Roman"/>
          <w:i/>
          <w:lang w:val="en-US"/>
        </w:rPr>
        <w:t>Leak rate database for Refrigerants Australia, 2009</w:t>
      </w:r>
      <w:r w:rsidRPr="00A67EA2">
        <w:rPr>
          <w:rFonts w:ascii="Times New Roman" w:hAnsi="Times New Roman"/>
          <w:lang w:val="en-US"/>
        </w:rPr>
        <w:t>. This assignment involved developing leak rate benchmarks for each main application supported by a database of global references. This involved investigation into leak minimisation best practice and a greater understanding of the range of factors influencing leak rates.</w:t>
      </w:r>
    </w:p>
    <w:p w:rsidR="007F19EB" w:rsidRDefault="007F19EB" w:rsidP="007F19EB">
      <w:pPr>
        <w:rPr>
          <w:rFonts w:cs="Times New Roman"/>
          <w:szCs w:val="22"/>
          <w:lang w:val="en-US"/>
        </w:rPr>
      </w:pPr>
      <w:r>
        <w:rPr>
          <w:rFonts w:cs="Times New Roman"/>
          <w:szCs w:val="22"/>
          <w:lang w:val="en-US"/>
        </w:rPr>
        <w:t>When considering average economy wide leak rates it is important to recognise that they generally reduce over time. As older equipment retires and is replaced with new designs that employ improved containment, leak rates of the new equipment are generally found to be lower. The evolution of wall hung and ducted split air conditioning equipment demonstrates this evolution in improved design and manufacturing capability, and global economies of scale. This is why older generation equipment containing HCFC-22 have higher leak rates, in the order of 8</w:t>
      </w:r>
      <w:r w:rsidR="009A11F6">
        <w:rPr>
          <w:rFonts w:cs="Times New Roman"/>
          <w:szCs w:val="22"/>
          <w:lang w:val="en-US"/>
        </w:rPr>
        <w:t>%</w:t>
      </w:r>
      <w:r>
        <w:rPr>
          <w:rFonts w:cs="Times New Roman"/>
          <w:szCs w:val="22"/>
          <w:lang w:val="en-US"/>
        </w:rPr>
        <w:t xml:space="preserve"> per annum, versus current generation models with leak rates of around 4</w:t>
      </w:r>
      <w:r w:rsidR="009A11F6">
        <w:rPr>
          <w:rFonts w:cs="Times New Roman"/>
          <w:szCs w:val="22"/>
          <w:lang w:val="en-US"/>
        </w:rPr>
        <w:t>%</w:t>
      </w:r>
      <w:r>
        <w:rPr>
          <w:rFonts w:cs="Times New Roman"/>
          <w:szCs w:val="22"/>
          <w:lang w:val="en-US"/>
        </w:rPr>
        <w:t xml:space="preserve"> per annum or less. Reconciling the total service consumption for the existing stock of equipment for each refrigerant type, with bulk imports after deducting consumption for local manufacture, confirms the validity of the leak rates used. </w:t>
      </w:r>
    </w:p>
    <w:p w:rsidR="007F19EB" w:rsidRDefault="007F19EB" w:rsidP="007F19EB">
      <w:pPr>
        <w:rPr>
          <w:rFonts w:cs="Times New Roman"/>
          <w:szCs w:val="22"/>
          <w:lang w:val="en-US"/>
        </w:rPr>
      </w:pPr>
      <w:r>
        <w:rPr>
          <w:rFonts w:cs="Times New Roman"/>
          <w:szCs w:val="22"/>
          <w:lang w:val="en-US"/>
        </w:rPr>
        <w:t>In addition as field practices improve, and as the cost of the refrigerant increases, for instance as the supply of HCFC-22 is restricted, leak rates decline and can do so very rapidly. The Australian supermarket industry is a good example where leak rates at the beginning of the century were thought to be above 20</w:t>
      </w:r>
      <w:r w:rsidR="009A11F6">
        <w:rPr>
          <w:rFonts w:cs="Times New Roman"/>
          <w:szCs w:val="22"/>
          <w:lang w:val="en-US"/>
        </w:rPr>
        <w:t>%</w:t>
      </w:r>
      <w:r>
        <w:rPr>
          <w:rFonts w:cs="Times New Roman"/>
          <w:szCs w:val="22"/>
          <w:lang w:val="en-US"/>
        </w:rPr>
        <w:t xml:space="preserve"> per annum, and hence the use of a leak rate of 23</w:t>
      </w:r>
      <w:r w:rsidR="009A11F6">
        <w:rPr>
          <w:rFonts w:cs="Times New Roman"/>
          <w:szCs w:val="22"/>
          <w:lang w:val="en-US"/>
        </w:rPr>
        <w:t>%</w:t>
      </w:r>
      <w:r>
        <w:rPr>
          <w:rFonts w:cs="Times New Roman"/>
          <w:szCs w:val="22"/>
          <w:lang w:val="en-US"/>
        </w:rPr>
        <w:t xml:space="preserve"> in the NGERS Act 2007. Whereas current market intelligence and reconciling consumption shows leak rates of HFC-404A less than half this value within the main supermarket chains.</w:t>
      </w:r>
    </w:p>
    <w:p w:rsidR="007F19EB" w:rsidRDefault="007F19EB" w:rsidP="007F19EB">
      <w:pPr>
        <w:rPr>
          <w:rFonts w:cs="Times New Roman"/>
          <w:szCs w:val="22"/>
          <w:lang w:val="en-US"/>
        </w:rPr>
      </w:pPr>
      <w:r>
        <w:rPr>
          <w:rFonts w:cs="Times New Roman"/>
          <w:szCs w:val="22"/>
          <w:lang w:val="en-US"/>
        </w:rPr>
        <w:t xml:space="preserve">Other research used to inform these leak rate estimates include the various United Nations Environment Programme (UNEP), Technology and Economic Assessment Panel reports prepared by the Refrigeration, Air Conditioning and Heat Pumps, Technical Options Committee, technical papers by the Institute of Refrigeration in the UK, and a series of papers undertaken by </w:t>
      </w:r>
      <w:r w:rsidRPr="00C5307A">
        <w:rPr>
          <w:rFonts w:cs="Times New Roman"/>
          <w:szCs w:val="22"/>
          <w:lang w:val="en-US"/>
        </w:rPr>
        <w:t xml:space="preserve">Denis Clodic </w:t>
      </w:r>
      <w:r>
        <w:rPr>
          <w:rFonts w:cs="Times New Roman"/>
          <w:szCs w:val="22"/>
          <w:lang w:val="en-US"/>
        </w:rPr>
        <w:t>and his various associates over the last decade for various policy makers is the US and EU.</w:t>
      </w:r>
    </w:p>
    <w:p w:rsidR="007F19EB" w:rsidRPr="00B228C6" w:rsidRDefault="007F19EB" w:rsidP="007F19EB">
      <w:pPr>
        <w:rPr>
          <w:rFonts w:cs="Times New Roman"/>
          <w:szCs w:val="22"/>
          <w:lang w:val="en-US"/>
        </w:rPr>
      </w:pPr>
      <w:r>
        <w:rPr>
          <w:rFonts w:cs="Times New Roman"/>
          <w:szCs w:val="22"/>
          <w:lang w:val="en-US"/>
        </w:rPr>
        <w:t>The a</w:t>
      </w:r>
      <w:r w:rsidRPr="00B228C6">
        <w:rPr>
          <w:rFonts w:cs="Times New Roman"/>
          <w:szCs w:val="22"/>
          <w:lang w:val="en-US"/>
        </w:rPr>
        <w:t xml:space="preserve">verage charges </w:t>
      </w:r>
      <w:r>
        <w:rPr>
          <w:rFonts w:cs="Times New Roman"/>
          <w:szCs w:val="22"/>
          <w:lang w:val="en-US"/>
        </w:rPr>
        <w:t xml:space="preserve">listed in </w:t>
      </w:r>
      <w:r w:rsidRPr="00262131">
        <w:rPr>
          <w:rFonts w:cs="Times New Roman"/>
          <w:i/>
          <w:szCs w:val="22"/>
          <w:lang w:val="en-US"/>
        </w:rPr>
        <w:t>Table 40</w:t>
      </w:r>
      <w:r>
        <w:rPr>
          <w:rFonts w:cs="Times New Roman"/>
          <w:szCs w:val="22"/>
          <w:lang w:val="en-US"/>
        </w:rPr>
        <w:t xml:space="preserve"> </w:t>
      </w:r>
      <w:r w:rsidRPr="00B228C6">
        <w:rPr>
          <w:rFonts w:cs="Times New Roman"/>
          <w:szCs w:val="22"/>
          <w:lang w:val="en-US"/>
        </w:rPr>
        <w:t>are derived from a combination of sources including statistical analysis of pre-charged</w:t>
      </w:r>
      <w:r>
        <w:rPr>
          <w:rFonts w:cs="Times New Roman"/>
          <w:szCs w:val="22"/>
          <w:lang w:val="en-US"/>
        </w:rPr>
        <w:t xml:space="preserve"> </w:t>
      </w:r>
      <w:r w:rsidRPr="00B228C6">
        <w:rPr>
          <w:rFonts w:cs="Times New Roman"/>
          <w:szCs w:val="22"/>
          <w:lang w:val="en-US"/>
        </w:rPr>
        <w:t>equipment import data (DSEWPaC 2013), and from supplier data sheets (i.e. averages of most common</w:t>
      </w:r>
      <w:r>
        <w:rPr>
          <w:rFonts w:cs="Times New Roman"/>
          <w:szCs w:val="22"/>
          <w:lang w:val="en-US"/>
        </w:rPr>
        <w:t xml:space="preserve"> </w:t>
      </w:r>
      <w:r w:rsidRPr="00B228C6">
        <w:rPr>
          <w:rFonts w:cs="Times New Roman"/>
          <w:szCs w:val="22"/>
          <w:lang w:val="en-US"/>
        </w:rPr>
        <w:t>products by capacity by brand), and other industry design rules of thumb (i.e. commercial refrigeration</w:t>
      </w:r>
      <w:r>
        <w:rPr>
          <w:rFonts w:cs="Times New Roman"/>
          <w:szCs w:val="22"/>
          <w:lang w:val="en-US"/>
        </w:rPr>
        <w:t xml:space="preserve"> </w:t>
      </w:r>
      <w:r w:rsidRPr="00B228C6">
        <w:rPr>
          <w:rFonts w:cs="Times New Roman"/>
          <w:szCs w:val="22"/>
          <w:lang w:val="en-US"/>
        </w:rPr>
        <w:t xml:space="preserve">with remote condensers </w:t>
      </w:r>
      <w:r>
        <w:rPr>
          <w:rFonts w:cs="Times New Roman"/>
          <w:szCs w:val="22"/>
          <w:lang w:val="en-US"/>
        </w:rPr>
        <w:t>has</w:t>
      </w:r>
      <w:r w:rsidRPr="00B228C6">
        <w:rPr>
          <w:rFonts w:cs="Times New Roman"/>
          <w:szCs w:val="22"/>
          <w:lang w:val="en-US"/>
        </w:rPr>
        <w:t xml:space="preserve"> twice the pump-down capacity of the liquid receiver for commonly sold</w:t>
      </w:r>
      <w:r>
        <w:rPr>
          <w:rFonts w:cs="Times New Roman"/>
          <w:szCs w:val="22"/>
          <w:lang w:val="en-US"/>
        </w:rPr>
        <w:t xml:space="preserve"> models).</w:t>
      </w:r>
    </w:p>
    <w:p w:rsidR="007F19EB" w:rsidRPr="00B228C6" w:rsidRDefault="007F19EB" w:rsidP="007F19EB">
      <w:pPr>
        <w:rPr>
          <w:rFonts w:cs="Times New Roman"/>
          <w:szCs w:val="22"/>
          <w:lang w:val="en-US"/>
        </w:rPr>
      </w:pPr>
      <w:r>
        <w:rPr>
          <w:rFonts w:cs="Times New Roman"/>
          <w:szCs w:val="22"/>
          <w:lang w:val="en-US"/>
        </w:rPr>
        <w:t>A</w:t>
      </w:r>
      <w:r w:rsidRPr="00B228C6">
        <w:rPr>
          <w:rFonts w:cs="Times New Roman"/>
          <w:szCs w:val="22"/>
          <w:lang w:val="en-US"/>
        </w:rPr>
        <w:t>verage</w:t>
      </w:r>
      <w:r>
        <w:rPr>
          <w:rFonts w:cs="Times New Roman"/>
          <w:szCs w:val="22"/>
          <w:lang w:val="en-US"/>
        </w:rPr>
        <w:t xml:space="preserve"> equipment </w:t>
      </w:r>
      <w:r w:rsidRPr="00B228C6">
        <w:rPr>
          <w:rFonts w:cs="Times New Roman"/>
          <w:szCs w:val="22"/>
          <w:lang w:val="en-US"/>
        </w:rPr>
        <w:t>lifespans were mostly used for calculating end-of-life emissions, except when sufficient</w:t>
      </w:r>
      <w:r>
        <w:rPr>
          <w:rFonts w:cs="Times New Roman"/>
          <w:szCs w:val="22"/>
          <w:lang w:val="en-US"/>
        </w:rPr>
        <w:t xml:space="preserve"> </w:t>
      </w:r>
      <w:r w:rsidRPr="00B228C6">
        <w:rPr>
          <w:rFonts w:cs="Times New Roman"/>
          <w:szCs w:val="22"/>
          <w:lang w:val="en-US"/>
        </w:rPr>
        <w:t>historical data was available to develop a detailed retirement function.</w:t>
      </w:r>
    </w:p>
    <w:p w:rsidR="007F19EB" w:rsidRDefault="007F19EB" w:rsidP="007F19EB">
      <w:pPr>
        <w:rPr>
          <w:rFonts w:cs="Times New Roman"/>
          <w:szCs w:val="22"/>
          <w:lang w:val="en-US"/>
        </w:rPr>
      </w:pPr>
      <w:r w:rsidRPr="00B228C6">
        <w:rPr>
          <w:rFonts w:cs="Times New Roman"/>
          <w:szCs w:val="22"/>
          <w:lang w:val="en-US"/>
        </w:rPr>
        <w:t>The end-of-life factors are generally consistent with others cited internationally (</w:t>
      </w:r>
      <w:r>
        <w:rPr>
          <w:rFonts w:cs="Times New Roman"/>
          <w:szCs w:val="22"/>
          <w:lang w:val="en-US"/>
        </w:rPr>
        <w:t xml:space="preserve">e.g. </w:t>
      </w:r>
      <w:r w:rsidRPr="00B228C6">
        <w:rPr>
          <w:rFonts w:cs="Times New Roman"/>
          <w:szCs w:val="22"/>
          <w:lang w:val="en-US"/>
        </w:rPr>
        <w:t>ICF 2010)</w:t>
      </w:r>
      <w:r>
        <w:rPr>
          <w:rFonts w:cs="Times New Roman"/>
          <w:szCs w:val="22"/>
          <w:lang w:val="en-US"/>
        </w:rPr>
        <w:t xml:space="preserve"> </w:t>
      </w:r>
      <w:r w:rsidRPr="00B228C6">
        <w:rPr>
          <w:rFonts w:cs="Times New Roman"/>
          <w:szCs w:val="22"/>
          <w:lang w:val="en-US"/>
        </w:rPr>
        <w:t>and in good practice</w:t>
      </w:r>
      <w:r>
        <w:rPr>
          <w:rFonts w:cs="Times New Roman"/>
          <w:szCs w:val="22"/>
          <w:lang w:val="en-US"/>
        </w:rPr>
        <w:t xml:space="preserve"> </w:t>
      </w:r>
      <w:r w:rsidRPr="00B228C6">
        <w:rPr>
          <w:rFonts w:cs="Times New Roman"/>
          <w:szCs w:val="22"/>
          <w:lang w:val="en-US"/>
        </w:rPr>
        <w:t>guides</w:t>
      </w:r>
      <w:r>
        <w:rPr>
          <w:rFonts w:cs="Times New Roman"/>
          <w:szCs w:val="22"/>
          <w:lang w:val="en-US"/>
        </w:rPr>
        <w:t xml:space="preserve"> by the IPCC</w:t>
      </w:r>
      <w:r w:rsidRPr="00B228C6">
        <w:rPr>
          <w:rFonts w:cs="Times New Roman"/>
          <w:szCs w:val="22"/>
          <w:lang w:val="en-US"/>
        </w:rPr>
        <w:t>.</w:t>
      </w:r>
    </w:p>
    <w:p w:rsidR="00276058" w:rsidRDefault="00276058" w:rsidP="007F19EB">
      <w:pPr>
        <w:rPr>
          <w:rFonts w:cs="Times New Roman"/>
          <w:szCs w:val="22"/>
          <w:lang w:val="en-US"/>
        </w:rPr>
      </w:pPr>
    </w:p>
    <w:sectPr w:rsidR="00276058" w:rsidSect="005C09D9">
      <w:pgSz w:w="11900" w:h="16840"/>
      <w:pgMar w:top="511" w:right="1127" w:bottom="1440" w:left="1276"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307" w:rsidRDefault="00F01307" w:rsidP="003937A5">
      <w:pPr>
        <w:spacing w:before="0"/>
      </w:pPr>
      <w:r>
        <w:separator/>
      </w:r>
    </w:p>
  </w:endnote>
  <w:endnote w:type="continuationSeparator" w:id="0">
    <w:p w:rsidR="00F01307" w:rsidRDefault="00F01307" w:rsidP="003937A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charset w:val="4E"/>
    <w:family w:val="auto"/>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E1000AEF" w:usb1="5000A1FF" w:usb2="00000000" w:usb3="00000000" w:csb0="000001BF" w:csb1="00000000"/>
  </w:font>
  <w:font w:name="TimesNewRomanP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4F" w:rsidRDefault="00A91D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681" w:type="pct"/>
      <w:tblInd w:w="-1303" w:type="dxa"/>
      <w:tblLayout w:type="fixed"/>
      <w:tblCellMar>
        <w:left w:w="115" w:type="dxa"/>
        <w:right w:w="115" w:type="dxa"/>
      </w:tblCellMar>
      <w:tblLook w:val="04A0"/>
    </w:tblPr>
    <w:tblGrid>
      <w:gridCol w:w="139"/>
      <w:gridCol w:w="5275"/>
      <w:gridCol w:w="144"/>
      <w:gridCol w:w="1769"/>
      <w:gridCol w:w="219"/>
      <w:gridCol w:w="862"/>
      <w:gridCol w:w="141"/>
      <w:gridCol w:w="1851"/>
      <w:gridCol w:w="998"/>
    </w:tblGrid>
    <w:tr w:rsidR="00F01307" w:rsidRPr="00EB45B6" w:rsidTr="008352D3">
      <w:trPr>
        <w:gridBefore w:val="1"/>
        <w:gridAfter w:val="1"/>
        <w:wBefore w:w="61" w:type="pct"/>
        <w:wAfter w:w="438" w:type="pct"/>
      </w:trPr>
      <w:tc>
        <w:tcPr>
          <w:tcW w:w="2314" w:type="pct"/>
          <w:shd w:val="clear" w:color="auto" w:fill="auto"/>
        </w:tcPr>
        <w:p w:rsidR="00F01307" w:rsidRPr="00EB45B6" w:rsidRDefault="00F01307" w:rsidP="008352D3">
          <w:pPr>
            <w:pStyle w:val="Footer"/>
            <w:ind w:right="-145"/>
          </w:pPr>
        </w:p>
      </w:tc>
      <w:tc>
        <w:tcPr>
          <w:tcW w:w="839" w:type="pct"/>
          <w:gridSpan w:val="2"/>
          <w:shd w:val="clear" w:color="auto" w:fill="auto"/>
        </w:tcPr>
        <w:p w:rsidR="00F01307" w:rsidRPr="00EB45B6" w:rsidRDefault="00F01307" w:rsidP="008352D3">
          <w:pPr>
            <w:pStyle w:val="Footer"/>
            <w:ind w:right="-145"/>
            <w:rPr>
              <w:rFonts w:asciiTheme="majorHAnsi" w:hAnsiTheme="majorHAnsi"/>
              <w:sz w:val="22"/>
              <w:szCs w:val="22"/>
            </w:rPr>
          </w:pPr>
          <w:r w:rsidRPr="00EB45B6">
            <w:rPr>
              <w:rFonts w:asciiTheme="majorHAnsi" w:hAnsiTheme="majorHAnsi"/>
              <w:sz w:val="22"/>
              <w:szCs w:val="22"/>
            </w:rPr>
            <w:t>Phone</w:t>
          </w:r>
        </w:p>
      </w:tc>
      <w:tc>
        <w:tcPr>
          <w:tcW w:w="474" w:type="pct"/>
          <w:gridSpan w:val="2"/>
          <w:shd w:val="clear" w:color="auto" w:fill="auto"/>
        </w:tcPr>
        <w:p w:rsidR="00F01307" w:rsidRPr="00EB45B6" w:rsidRDefault="00F01307" w:rsidP="008352D3">
          <w:pPr>
            <w:pStyle w:val="Footer"/>
            <w:ind w:right="-145"/>
            <w:rPr>
              <w:rFonts w:asciiTheme="majorHAnsi" w:hAnsiTheme="majorHAnsi"/>
              <w:sz w:val="22"/>
              <w:szCs w:val="22"/>
            </w:rPr>
          </w:pPr>
        </w:p>
      </w:tc>
      <w:tc>
        <w:tcPr>
          <w:tcW w:w="874" w:type="pct"/>
          <w:gridSpan w:val="2"/>
          <w:shd w:val="clear" w:color="auto" w:fill="auto"/>
        </w:tcPr>
        <w:p w:rsidR="00F01307" w:rsidRPr="00EB45B6" w:rsidRDefault="00F01307" w:rsidP="008352D3">
          <w:pPr>
            <w:pStyle w:val="Footer"/>
            <w:ind w:right="-145"/>
            <w:rPr>
              <w:rFonts w:asciiTheme="majorHAnsi" w:hAnsiTheme="majorHAnsi"/>
              <w:sz w:val="22"/>
              <w:szCs w:val="22"/>
            </w:rPr>
          </w:pPr>
          <w:r w:rsidRPr="00EB45B6">
            <w:rPr>
              <w:rFonts w:asciiTheme="majorHAnsi" w:hAnsiTheme="majorHAnsi"/>
              <w:sz w:val="22"/>
              <w:szCs w:val="22"/>
            </w:rPr>
            <w:t>Web</w:t>
          </w:r>
        </w:p>
      </w:tc>
    </w:tr>
    <w:tr w:rsidR="00F01307" w:rsidRPr="00847A44" w:rsidTr="008352D3">
      <w:tc>
        <w:tcPr>
          <w:tcW w:w="2438" w:type="pct"/>
          <w:gridSpan w:val="3"/>
          <w:shd w:val="clear" w:color="auto" w:fill="2397B0"/>
        </w:tcPr>
        <w:p w:rsidR="00F01307" w:rsidRPr="00847A44" w:rsidRDefault="00F01307" w:rsidP="008352D3">
          <w:pPr>
            <w:pStyle w:val="Footer"/>
            <w:tabs>
              <w:tab w:val="clear" w:pos="4320"/>
              <w:tab w:val="clear" w:pos="8640"/>
              <w:tab w:val="center" w:pos="4705"/>
              <w:tab w:val="right" w:pos="8533"/>
            </w:tabs>
            <w:spacing w:before="120" w:after="120"/>
            <w:ind w:left="-115" w:right="-113"/>
            <w:rPr>
              <w:color w:val="FFFFFF" w:themeColor="background1"/>
              <w:sz w:val="20"/>
              <w:szCs w:val="20"/>
            </w:rPr>
          </w:pPr>
        </w:p>
      </w:tc>
      <w:tc>
        <w:tcPr>
          <w:tcW w:w="872" w:type="pct"/>
          <w:gridSpan w:val="2"/>
          <w:shd w:val="clear" w:color="auto" w:fill="2397B0"/>
        </w:tcPr>
        <w:p w:rsidR="00F01307" w:rsidRPr="00847A44" w:rsidRDefault="00B41499" w:rsidP="008352D3">
          <w:pPr>
            <w:pStyle w:val="Footer"/>
            <w:tabs>
              <w:tab w:val="clear" w:pos="4320"/>
              <w:tab w:val="clear" w:pos="8640"/>
              <w:tab w:val="center" w:pos="4705"/>
              <w:tab w:val="right" w:pos="8533"/>
            </w:tabs>
            <w:spacing w:before="120" w:after="120"/>
            <w:ind w:left="-115" w:right="-113"/>
            <w:rPr>
              <w:rFonts w:asciiTheme="majorHAnsi" w:hAnsiTheme="majorHAnsi"/>
              <w:color w:val="FFFFFF" w:themeColor="background1"/>
              <w:sz w:val="22"/>
              <w:szCs w:val="22"/>
            </w:rPr>
          </w:pPr>
          <w:r w:rsidRPr="00847A44">
            <w:rPr>
              <w:rFonts w:asciiTheme="majorHAnsi" w:hAnsiTheme="majorHAnsi"/>
              <w:color w:val="FFFFFF" w:themeColor="background1"/>
              <w:sz w:val="22"/>
              <w:szCs w:val="22"/>
            </w:rPr>
            <w:fldChar w:fldCharType="begin"/>
          </w:r>
          <w:r w:rsidR="00F01307" w:rsidRPr="00847A44">
            <w:rPr>
              <w:rFonts w:asciiTheme="majorHAnsi" w:hAnsiTheme="majorHAnsi"/>
              <w:color w:val="FFFFFF" w:themeColor="background1"/>
              <w:sz w:val="22"/>
              <w:szCs w:val="22"/>
            </w:rPr>
            <w:instrText xml:space="preserve"> PLACEHOLDER </w:instrText>
          </w:r>
          <w:r w:rsidRPr="00847A44">
            <w:rPr>
              <w:rFonts w:asciiTheme="majorHAnsi" w:hAnsiTheme="majorHAnsi"/>
              <w:color w:val="FFFFFF" w:themeColor="background1"/>
              <w:sz w:val="22"/>
              <w:szCs w:val="22"/>
            </w:rPr>
            <w:fldChar w:fldCharType="begin"/>
          </w:r>
          <w:r w:rsidR="00F01307" w:rsidRPr="00847A44">
            <w:rPr>
              <w:rFonts w:asciiTheme="majorHAnsi" w:hAnsiTheme="majorHAnsi"/>
              <w:color w:val="FFFFFF" w:themeColor="background1"/>
              <w:sz w:val="22"/>
              <w:szCs w:val="22"/>
            </w:rPr>
            <w:instrText xml:space="preserve"> IF </w:instrText>
          </w:r>
          <w:r w:rsidRPr="00847A44">
            <w:rPr>
              <w:rFonts w:asciiTheme="majorHAnsi" w:hAnsiTheme="majorHAnsi"/>
              <w:color w:val="FFFFFF" w:themeColor="background1"/>
              <w:sz w:val="22"/>
              <w:szCs w:val="22"/>
            </w:rPr>
            <w:fldChar w:fldCharType="begin"/>
          </w:r>
          <w:r w:rsidR="00F01307" w:rsidRPr="00847A44">
            <w:rPr>
              <w:rFonts w:asciiTheme="majorHAnsi" w:hAnsiTheme="majorHAnsi"/>
              <w:color w:val="FFFFFF" w:themeColor="background1"/>
              <w:sz w:val="22"/>
              <w:szCs w:val="22"/>
            </w:rPr>
            <w:instrText xml:space="preserve"> USERPROPERTY Work </w:instrText>
          </w:r>
          <w:r w:rsidRPr="00847A44">
            <w:rPr>
              <w:rFonts w:asciiTheme="majorHAnsi" w:hAnsiTheme="majorHAnsi"/>
              <w:color w:val="FFFFFF" w:themeColor="background1"/>
              <w:sz w:val="22"/>
              <w:szCs w:val="22"/>
            </w:rPr>
            <w:fldChar w:fldCharType="separate"/>
          </w:r>
          <w:r w:rsidR="00F01307">
            <w:rPr>
              <w:rFonts w:asciiTheme="majorHAnsi" w:hAnsiTheme="majorHAnsi"/>
              <w:noProof/>
              <w:color w:val="FFFFFF" w:themeColor="background1"/>
              <w:sz w:val="22"/>
              <w:szCs w:val="22"/>
            </w:rPr>
            <w:instrText>03 95929111</w:instrText>
          </w:r>
          <w:r w:rsidRPr="00847A44">
            <w:rPr>
              <w:rFonts w:asciiTheme="majorHAnsi" w:hAnsiTheme="majorHAnsi"/>
              <w:color w:val="FFFFFF" w:themeColor="background1"/>
              <w:sz w:val="22"/>
              <w:szCs w:val="22"/>
            </w:rPr>
            <w:fldChar w:fldCharType="end"/>
          </w:r>
          <w:r w:rsidR="00F01307" w:rsidRPr="00847A44">
            <w:rPr>
              <w:rFonts w:asciiTheme="majorHAnsi" w:hAnsiTheme="majorHAnsi"/>
              <w:color w:val="FFFFFF" w:themeColor="background1"/>
              <w:sz w:val="22"/>
              <w:szCs w:val="22"/>
            </w:rPr>
            <w:instrText xml:space="preserve">="" "[Your Phone]" </w:instrText>
          </w:r>
          <w:r w:rsidRPr="00847A44">
            <w:rPr>
              <w:rFonts w:asciiTheme="majorHAnsi" w:hAnsiTheme="majorHAnsi"/>
              <w:color w:val="FFFFFF" w:themeColor="background1"/>
              <w:sz w:val="22"/>
              <w:szCs w:val="22"/>
            </w:rPr>
            <w:fldChar w:fldCharType="begin"/>
          </w:r>
          <w:r w:rsidR="00F01307" w:rsidRPr="00847A44">
            <w:rPr>
              <w:rFonts w:asciiTheme="majorHAnsi" w:hAnsiTheme="majorHAnsi"/>
              <w:color w:val="FFFFFF" w:themeColor="background1"/>
              <w:sz w:val="22"/>
              <w:szCs w:val="22"/>
            </w:rPr>
            <w:instrText xml:space="preserve"> USERPROPERTY Work </w:instrText>
          </w:r>
          <w:r w:rsidRPr="00847A44">
            <w:rPr>
              <w:rFonts w:asciiTheme="majorHAnsi" w:hAnsiTheme="majorHAnsi"/>
              <w:color w:val="FFFFFF" w:themeColor="background1"/>
              <w:sz w:val="22"/>
              <w:szCs w:val="22"/>
            </w:rPr>
            <w:fldChar w:fldCharType="separate"/>
          </w:r>
          <w:r w:rsidR="00F01307">
            <w:rPr>
              <w:rFonts w:asciiTheme="majorHAnsi" w:hAnsiTheme="majorHAnsi"/>
              <w:noProof/>
              <w:color w:val="FFFFFF" w:themeColor="background1"/>
              <w:sz w:val="22"/>
              <w:szCs w:val="22"/>
            </w:rPr>
            <w:instrText>03 95929111</w:instrText>
          </w:r>
          <w:r w:rsidRPr="00847A44">
            <w:rPr>
              <w:rFonts w:asciiTheme="majorHAnsi" w:hAnsiTheme="majorHAnsi"/>
              <w:color w:val="FFFFFF" w:themeColor="background1"/>
              <w:sz w:val="22"/>
              <w:szCs w:val="22"/>
            </w:rPr>
            <w:fldChar w:fldCharType="end"/>
          </w:r>
          <w:r w:rsidRPr="00847A44">
            <w:rPr>
              <w:rFonts w:asciiTheme="majorHAnsi" w:hAnsiTheme="majorHAnsi"/>
              <w:color w:val="FFFFFF" w:themeColor="background1"/>
              <w:sz w:val="22"/>
              <w:szCs w:val="22"/>
            </w:rPr>
            <w:fldChar w:fldCharType="separate"/>
          </w:r>
          <w:r w:rsidR="00F01307">
            <w:rPr>
              <w:rFonts w:asciiTheme="majorHAnsi" w:hAnsiTheme="majorHAnsi"/>
              <w:noProof/>
              <w:color w:val="FFFFFF" w:themeColor="background1"/>
              <w:sz w:val="22"/>
              <w:szCs w:val="22"/>
            </w:rPr>
            <w:instrText>03 95929111</w:instrText>
          </w:r>
          <w:r w:rsidRPr="00847A44">
            <w:rPr>
              <w:rFonts w:asciiTheme="majorHAnsi" w:hAnsiTheme="majorHAnsi"/>
              <w:color w:val="FFFFFF" w:themeColor="background1"/>
              <w:sz w:val="22"/>
              <w:szCs w:val="22"/>
            </w:rPr>
            <w:fldChar w:fldCharType="end"/>
          </w:r>
          <w:r w:rsidR="00F01307" w:rsidRPr="00847A44">
            <w:rPr>
              <w:rFonts w:asciiTheme="majorHAnsi" w:hAnsiTheme="majorHAnsi"/>
              <w:color w:val="FFFFFF" w:themeColor="background1"/>
              <w:sz w:val="22"/>
              <w:szCs w:val="22"/>
            </w:rPr>
            <w:instrText xml:space="preserve"> \* MERGEFORMAT</w:instrText>
          </w:r>
          <w:r w:rsidRPr="00847A44">
            <w:rPr>
              <w:rFonts w:asciiTheme="majorHAnsi" w:hAnsiTheme="majorHAnsi"/>
              <w:color w:val="FFFFFF" w:themeColor="background1"/>
              <w:sz w:val="22"/>
              <w:szCs w:val="22"/>
            </w:rPr>
            <w:fldChar w:fldCharType="separate"/>
          </w:r>
          <w:r w:rsidR="00F01307">
            <w:rPr>
              <w:rFonts w:asciiTheme="majorHAnsi" w:hAnsiTheme="majorHAnsi"/>
              <w:color w:val="FFFFFF" w:themeColor="background1"/>
              <w:sz w:val="22"/>
              <w:szCs w:val="22"/>
            </w:rPr>
            <w:t>03 95929111</w:t>
          </w:r>
          <w:r w:rsidRPr="00847A44">
            <w:rPr>
              <w:rFonts w:asciiTheme="majorHAnsi" w:hAnsiTheme="majorHAnsi"/>
              <w:color w:val="FFFFFF" w:themeColor="background1"/>
              <w:sz w:val="22"/>
              <w:szCs w:val="22"/>
            </w:rPr>
            <w:fldChar w:fldCharType="end"/>
          </w:r>
        </w:p>
      </w:tc>
      <w:tc>
        <w:tcPr>
          <w:tcW w:w="440" w:type="pct"/>
          <w:gridSpan w:val="2"/>
          <w:shd w:val="clear" w:color="auto" w:fill="2397B0"/>
        </w:tcPr>
        <w:p w:rsidR="00F01307" w:rsidRPr="00847A44" w:rsidRDefault="00F01307" w:rsidP="008352D3">
          <w:pPr>
            <w:pStyle w:val="Footer"/>
            <w:tabs>
              <w:tab w:val="clear" w:pos="4320"/>
              <w:tab w:val="clear" w:pos="8640"/>
              <w:tab w:val="center" w:pos="4705"/>
              <w:tab w:val="right" w:pos="8533"/>
            </w:tabs>
            <w:spacing w:before="120" w:after="120"/>
            <w:ind w:left="-115" w:right="-113"/>
            <w:rPr>
              <w:rFonts w:asciiTheme="majorHAnsi" w:hAnsiTheme="majorHAnsi"/>
              <w:color w:val="FFFFFF" w:themeColor="background1"/>
              <w:sz w:val="22"/>
              <w:szCs w:val="22"/>
            </w:rPr>
          </w:pPr>
        </w:p>
      </w:tc>
      <w:tc>
        <w:tcPr>
          <w:tcW w:w="1250" w:type="pct"/>
          <w:gridSpan w:val="2"/>
          <w:shd w:val="clear" w:color="auto" w:fill="2397B0"/>
        </w:tcPr>
        <w:p w:rsidR="00F01307" w:rsidRPr="00847A44" w:rsidRDefault="00F01307" w:rsidP="008352D3">
          <w:pPr>
            <w:pStyle w:val="Footer"/>
            <w:tabs>
              <w:tab w:val="clear" w:pos="4320"/>
              <w:tab w:val="clear" w:pos="8640"/>
              <w:tab w:val="center" w:pos="4705"/>
              <w:tab w:val="right" w:pos="8533"/>
            </w:tabs>
            <w:spacing w:before="120" w:after="120"/>
            <w:ind w:left="-115" w:right="-113"/>
            <w:rPr>
              <w:rFonts w:asciiTheme="majorHAnsi" w:hAnsiTheme="majorHAnsi"/>
              <w:color w:val="FFFFFF" w:themeColor="background1"/>
              <w:sz w:val="22"/>
              <w:szCs w:val="22"/>
            </w:rPr>
          </w:pPr>
          <w:r w:rsidRPr="00847A44">
            <w:rPr>
              <w:rFonts w:asciiTheme="majorHAnsi" w:hAnsiTheme="majorHAnsi"/>
              <w:color w:val="FFFFFF" w:themeColor="background1"/>
              <w:sz w:val="22"/>
              <w:szCs w:val="22"/>
            </w:rPr>
            <w:t>www.expertgroup.com.au</w:t>
          </w:r>
        </w:p>
      </w:tc>
    </w:tr>
  </w:tbl>
  <w:p w:rsidR="00F01307" w:rsidRDefault="00F013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4F" w:rsidRDefault="00A91D4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307" w:rsidRPr="001B0746" w:rsidRDefault="00F01307" w:rsidP="009519E2">
    <w:pPr>
      <w:pStyle w:val="Footer"/>
      <w:jc w:val="right"/>
      <w:rPr>
        <w:rFonts w:ascii="Verdana" w:hAnsi="Verdana"/>
        <w:sz w:val="16"/>
        <w:szCs w:val="16"/>
      </w:rPr>
    </w:pPr>
    <w:r w:rsidRPr="001B0746">
      <w:rPr>
        <w:rFonts w:ascii="Verdana" w:hAnsi="Verdana"/>
        <w:sz w:val="16"/>
        <w:szCs w:val="16"/>
      </w:rPr>
      <w:t xml:space="preserve">Page </w:t>
    </w:r>
    <w:r w:rsidR="00B41499" w:rsidRPr="001B0746">
      <w:rPr>
        <w:rStyle w:val="PageNumber"/>
        <w:rFonts w:ascii="Verdana" w:hAnsi="Verdana"/>
        <w:sz w:val="16"/>
        <w:szCs w:val="16"/>
      </w:rPr>
      <w:fldChar w:fldCharType="begin"/>
    </w:r>
    <w:r w:rsidRPr="001B0746">
      <w:rPr>
        <w:rStyle w:val="PageNumber"/>
        <w:rFonts w:ascii="Verdana" w:hAnsi="Verdana"/>
        <w:sz w:val="16"/>
        <w:szCs w:val="16"/>
      </w:rPr>
      <w:instrText xml:space="preserve"> PAGE </w:instrText>
    </w:r>
    <w:r w:rsidR="00B41499" w:rsidRPr="001B0746">
      <w:rPr>
        <w:rStyle w:val="PageNumber"/>
        <w:rFonts w:ascii="Verdana" w:hAnsi="Verdana"/>
        <w:sz w:val="16"/>
        <w:szCs w:val="16"/>
      </w:rPr>
      <w:fldChar w:fldCharType="separate"/>
    </w:r>
    <w:r w:rsidR="00944A4A">
      <w:rPr>
        <w:rStyle w:val="PageNumber"/>
        <w:rFonts w:ascii="Verdana" w:hAnsi="Verdana"/>
        <w:noProof/>
        <w:sz w:val="16"/>
        <w:szCs w:val="16"/>
      </w:rPr>
      <w:t>49</w:t>
    </w:r>
    <w:r w:rsidR="00B41499" w:rsidRPr="001B0746">
      <w:rPr>
        <w:rStyle w:val="PageNumber"/>
        <w:rFonts w:ascii="Verdana" w:hAnsi="Verdana"/>
        <w:sz w:val="16"/>
        <w:szCs w:val="16"/>
      </w:rPr>
      <w:fldChar w:fldCharType="end"/>
    </w:r>
    <w:r w:rsidRPr="001B0746">
      <w:rPr>
        <w:rStyle w:val="PageNumber"/>
        <w:rFonts w:ascii="Verdana" w:hAnsi="Verdana"/>
        <w:sz w:val="16"/>
        <w:szCs w:val="16"/>
      </w:rPr>
      <w:t xml:space="preserve"> of </w:t>
    </w:r>
    <w:r w:rsidR="00B41499" w:rsidRPr="001B0746">
      <w:rPr>
        <w:rStyle w:val="PageNumber"/>
        <w:rFonts w:ascii="Verdana" w:hAnsi="Verdana"/>
        <w:sz w:val="16"/>
        <w:szCs w:val="16"/>
      </w:rPr>
      <w:fldChar w:fldCharType="begin"/>
    </w:r>
    <w:r w:rsidRPr="001B0746">
      <w:rPr>
        <w:rStyle w:val="PageNumber"/>
        <w:rFonts w:ascii="Verdana" w:hAnsi="Verdana"/>
        <w:sz w:val="16"/>
        <w:szCs w:val="16"/>
      </w:rPr>
      <w:instrText xml:space="preserve"> NUMPAGES </w:instrText>
    </w:r>
    <w:r w:rsidR="00B41499" w:rsidRPr="001B0746">
      <w:rPr>
        <w:rStyle w:val="PageNumber"/>
        <w:rFonts w:ascii="Verdana" w:hAnsi="Verdana"/>
        <w:sz w:val="16"/>
        <w:szCs w:val="16"/>
      </w:rPr>
      <w:fldChar w:fldCharType="separate"/>
    </w:r>
    <w:r w:rsidR="00944A4A">
      <w:rPr>
        <w:rStyle w:val="PageNumber"/>
        <w:rFonts w:ascii="Verdana" w:hAnsi="Verdana"/>
        <w:noProof/>
        <w:sz w:val="16"/>
        <w:szCs w:val="16"/>
      </w:rPr>
      <w:t>129</w:t>
    </w:r>
    <w:r w:rsidR="00B41499" w:rsidRPr="001B0746">
      <w:rPr>
        <w:rStyle w:val="PageNumber"/>
        <w:rFonts w:ascii="Verdana" w:hAnsi="Verdana"/>
        <w:sz w:val="16"/>
        <w:szCs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307" w:rsidRDefault="00F01307" w:rsidP="009519E2">
    <w:pPr>
      <w:rPr>
        <w:rFonts w:ascii="Verdana" w:hAnsi="Verdana"/>
        <w:szCs w:val="20"/>
      </w:rPr>
    </w:pPr>
  </w:p>
  <w:p w:rsidR="00F01307" w:rsidRDefault="00F01307" w:rsidP="009519E2">
    <w:pPr>
      <w:rPr>
        <w:rFonts w:ascii="Verdana" w:hAnsi="Verdana"/>
        <w:szCs w:val="20"/>
      </w:rPr>
    </w:pPr>
  </w:p>
  <w:p w:rsidR="00F01307" w:rsidRPr="00AC4CBE" w:rsidRDefault="00F01307" w:rsidP="009519E2">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307" w:rsidRDefault="00F01307" w:rsidP="008352D3">
    <w:pPr>
      <w:pStyle w:val="Footer"/>
      <w:jc w:val="right"/>
      <w:rPr>
        <w:rFonts w:ascii="Verdana" w:hAnsi="Verdana"/>
        <w:sz w:val="16"/>
        <w:szCs w:val="16"/>
      </w:rPr>
    </w:pPr>
  </w:p>
  <w:p w:rsidR="00F01307" w:rsidRDefault="00F01307" w:rsidP="008352D3">
    <w:pPr>
      <w:pStyle w:val="Footer"/>
      <w:jc w:val="right"/>
      <w:rPr>
        <w:rFonts w:ascii="Verdana" w:hAnsi="Verdana"/>
        <w:sz w:val="16"/>
        <w:szCs w:val="16"/>
      </w:rPr>
    </w:pPr>
  </w:p>
  <w:p w:rsidR="00F01307" w:rsidRPr="001B0746" w:rsidRDefault="00F01307" w:rsidP="008352D3">
    <w:pPr>
      <w:pStyle w:val="Footer"/>
      <w:jc w:val="right"/>
      <w:rPr>
        <w:rFonts w:ascii="Verdana" w:hAnsi="Verdana"/>
        <w:sz w:val="16"/>
        <w:szCs w:val="16"/>
      </w:rPr>
    </w:pPr>
    <w:r w:rsidRPr="001B0746">
      <w:rPr>
        <w:rFonts w:ascii="Verdana" w:hAnsi="Verdana"/>
        <w:sz w:val="16"/>
        <w:szCs w:val="16"/>
      </w:rPr>
      <w:t xml:space="preserve">Page </w:t>
    </w:r>
    <w:r w:rsidR="00B41499" w:rsidRPr="001B0746">
      <w:rPr>
        <w:rStyle w:val="PageNumber"/>
        <w:rFonts w:ascii="Verdana" w:hAnsi="Verdana"/>
        <w:sz w:val="16"/>
        <w:szCs w:val="16"/>
      </w:rPr>
      <w:fldChar w:fldCharType="begin"/>
    </w:r>
    <w:r w:rsidRPr="001B0746">
      <w:rPr>
        <w:rStyle w:val="PageNumber"/>
        <w:rFonts w:ascii="Verdana" w:hAnsi="Verdana"/>
        <w:sz w:val="16"/>
        <w:szCs w:val="16"/>
      </w:rPr>
      <w:instrText xml:space="preserve"> PAGE </w:instrText>
    </w:r>
    <w:r w:rsidR="00B41499" w:rsidRPr="001B0746">
      <w:rPr>
        <w:rStyle w:val="PageNumber"/>
        <w:rFonts w:ascii="Verdana" w:hAnsi="Verdana"/>
        <w:sz w:val="16"/>
        <w:szCs w:val="16"/>
      </w:rPr>
      <w:fldChar w:fldCharType="separate"/>
    </w:r>
    <w:r w:rsidR="00944A4A">
      <w:rPr>
        <w:rStyle w:val="PageNumber"/>
        <w:rFonts w:ascii="Verdana" w:hAnsi="Verdana"/>
        <w:noProof/>
        <w:sz w:val="16"/>
        <w:szCs w:val="16"/>
      </w:rPr>
      <w:t>127</w:t>
    </w:r>
    <w:r w:rsidR="00B41499" w:rsidRPr="001B0746">
      <w:rPr>
        <w:rStyle w:val="PageNumber"/>
        <w:rFonts w:ascii="Verdana" w:hAnsi="Verdana"/>
        <w:sz w:val="16"/>
        <w:szCs w:val="16"/>
      </w:rPr>
      <w:fldChar w:fldCharType="end"/>
    </w:r>
    <w:r w:rsidRPr="001B0746">
      <w:rPr>
        <w:rStyle w:val="PageNumber"/>
        <w:rFonts w:ascii="Verdana" w:hAnsi="Verdana"/>
        <w:sz w:val="16"/>
        <w:szCs w:val="16"/>
      </w:rPr>
      <w:t xml:space="preserve"> of </w:t>
    </w:r>
    <w:r w:rsidR="00B41499" w:rsidRPr="001B0746">
      <w:rPr>
        <w:rStyle w:val="PageNumber"/>
        <w:rFonts w:ascii="Verdana" w:hAnsi="Verdana"/>
        <w:sz w:val="16"/>
        <w:szCs w:val="16"/>
      </w:rPr>
      <w:fldChar w:fldCharType="begin"/>
    </w:r>
    <w:r w:rsidRPr="001B0746">
      <w:rPr>
        <w:rStyle w:val="PageNumber"/>
        <w:rFonts w:ascii="Verdana" w:hAnsi="Verdana"/>
        <w:sz w:val="16"/>
        <w:szCs w:val="16"/>
      </w:rPr>
      <w:instrText xml:space="preserve"> NUMPAGES </w:instrText>
    </w:r>
    <w:r w:rsidR="00B41499" w:rsidRPr="001B0746">
      <w:rPr>
        <w:rStyle w:val="PageNumber"/>
        <w:rFonts w:ascii="Verdana" w:hAnsi="Verdana"/>
        <w:sz w:val="16"/>
        <w:szCs w:val="16"/>
      </w:rPr>
      <w:fldChar w:fldCharType="separate"/>
    </w:r>
    <w:r w:rsidR="00944A4A">
      <w:rPr>
        <w:rStyle w:val="PageNumber"/>
        <w:rFonts w:ascii="Verdana" w:hAnsi="Verdana"/>
        <w:noProof/>
        <w:sz w:val="16"/>
        <w:szCs w:val="16"/>
      </w:rPr>
      <w:t>129</w:t>
    </w:r>
    <w:r w:rsidR="00B41499" w:rsidRPr="001B0746">
      <w:rPr>
        <w:rStyle w:val="PageNumber"/>
        <w:rFonts w:ascii="Verdana" w:hAnsi="Verdana"/>
        <w:sz w:val="16"/>
        <w:szCs w:val="16"/>
      </w:rPr>
      <w:fldChar w:fldCharType="end"/>
    </w:r>
  </w:p>
  <w:p w:rsidR="00F01307" w:rsidRPr="001B0746" w:rsidRDefault="00F01307" w:rsidP="008352D3">
    <w:pPr>
      <w:pStyle w:val="Footer"/>
      <w:ind w:right="360"/>
      <w:jc w:val="right"/>
      <w:rPr>
        <w:rFonts w:ascii="Verdana" w:hAnsi="Verdana"/>
        <w:sz w:val="16"/>
        <w:szCs w:val="16"/>
      </w:rPr>
    </w:pPr>
  </w:p>
  <w:p w:rsidR="00F01307" w:rsidRDefault="00F0130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307" w:rsidRDefault="00F01307" w:rsidP="003937A5">
      <w:pPr>
        <w:spacing w:before="0"/>
      </w:pPr>
      <w:r>
        <w:separator/>
      </w:r>
    </w:p>
  </w:footnote>
  <w:footnote w:type="continuationSeparator" w:id="0">
    <w:p w:rsidR="00F01307" w:rsidRDefault="00F01307" w:rsidP="003937A5">
      <w:pPr>
        <w:spacing w:before="0"/>
      </w:pPr>
      <w:r>
        <w:continuationSeparator/>
      </w:r>
    </w:p>
  </w:footnote>
  <w:footnote w:id="1">
    <w:p w:rsidR="00F01307" w:rsidRPr="00163AEC" w:rsidRDefault="00F01307">
      <w:pPr>
        <w:pStyle w:val="FootnoteText"/>
        <w:rPr>
          <w:lang w:val="en-US"/>
        </w:rPr>
      </w:pPr>
      <w:r>
        <w:rPr>
          <w:rStyle w:val="FootnoteReference"/>
        </w:rPr>
        <w:footnoteRef/>
      </w:r>
      <w:r>
        <w:t xml:space="preserve"> </w:t>
      </w:r>
      <w:r w:rsidRPr="00163AEC">
        <w:t xml:space="preserve">The </w:t>
      </w:r>
      <w:r>
        <w:t xml:space="preserve">GWPs of HFOs </w:t>
      </w:r>
      <w:r w:rsidRPr="00163AEC">
        <w:t xml:space="preserve">has recently re-evaluated </w:t>
      </w:r>
      <w:r>
        <w:t xml:space="preserve">by the UN with </w:t>
      </w:r>
      <w:r w:rsidRPr="00163AEC">
        <w:t>HFO</w:t>
      </w:r>
      <w:r>
        <w:t>-</w:t>
      </w:r>
      <w:r w:rsidRPr="00163AEC">
        <w:t>1233zd</w:t>
      </w:r>
      <w:r>
        <w:t xml:space="preserve"> and </w:t>
      </w:r>
      <w:r w:rsidRPr="00163AEC">
        <w:t>HFO</w:t>
      </w:r>
      <w:r>
        <w:t>-</w:t>
      </w:r>
      <w:r w:rsidRPr="00163AEC">
        <w:t>1234ze</w:t>
      </w:r>
      <w:r>
        <w:t xml:space="preserve"> with a </w:t>
      </w:r>
      <w:r w:rsidRPr="00163AEC">
        <w:t>GWP</w:t>
      </w:r>
      <w:r>
        <w:t xml:space="preserve"> of </w:t>
      </w:r>
      <w:r w:rsidRPr="00163AEC">
        <w:t>1</w:t>
      </w:r>
      <w:r>
        <w:t xml:space="preserve">; and </w:t>
      </w:r>
      <w:r w:rsidRPr="00163AEC">
        <w:t>HFO</w:t>
      </w:r>
      <w:r>
        <w:t>-</w:t>
      </w:r>
      <w:r w:rsidRPr="00163AEC">
        <w:t>1234yf</w:t>
      </w:r>
      <w:r>
        <w:t xml:space="preserve"> with a GWP of less than 1. This report uses previous cited values to maintain consistency.</w:t>
      </w:r>
    </w:p>
  </w:footnote>
  <w:footnote w:id="2">
    <w:p w:rsidR="00F01307" w:rsidRPr="00556A62" w:rsidRDefault="00F01307" w:rsidP="00E72ADE">
      <w:pPr>
        <w:pStyle w:val="FootnoteText"/>
        <w:rPr>
          <w:lang w:val="en-US"/>
        </w:rPr>
      </w:pPr>
      <w:r>
        <w:rPr>
          <w:rStyle w:val="FootnoteReference"/>
        </w:rPr>
        <w:footnoteRef/>
      </w:r>
      <w:r>
        <w:t xml:space="preserve"> Du Pont and Honeywell have manufacturing plants and </w:t>
      </w:r>
      <w:r w:rsidRPr="00DE5D6D">
        <w:rPr>
          <w:szCs w:val="18"/>
        </w:rPr>
        <w:t xml:space="preserve">Arkema announced the construction of production capacities for new refrigerant fluorinated gas </w:t>
      </w:r>
      <w:r>
        <w:rPr>
          <w:szCs w:val="18"/>
        </w:rPr>
        <w:t>HFO-</w:t>
      </w:r>
      <w:r w:rsidRPr="00DE5D6D">
        <w:rPr>
          <w:szCs w:val="18"/>
        </w:rPr>
        <w:t>1234yf in a press release in September 2013.</w:t>
      </w:r>
    </w:p>
  </w:footnote>
  <w:footnote w:id="3">
    <w:p w:rsidR="00F01307" w:rsidRPr="00857F75" w:rsidRDefault="00F01307" w:rsidP="00D0213E">
      <w:pPr>
        <w:pStyle w:val="FootnoteText"/>
        <w:rPr>
          <w:lang w:val="en-US"/>
        </w:rPr>
      </w:pPr>
      <w:r>
        <w:rPr>
          <w:rStyle w:val="FootnoteReference"/>
        </w:rPr>
        <w:footnoteRef/>
      </w:r>
      <w:r>
        <w:t xml:space="preserve"> </w:t>
      </w:r>
      <w:r>
        <w:rPr>
          <w:lang w:val="en-US"/>
        </w:rPr>
        <w:t>Honeywell International Inc. Solstice</w:t>
      </w:r>
      <w:r w:rsidRPr="00857F75">
        <w:rPr>
          <w:vertAlign w:val="superscript"/>
          <w:lang w:val="en-US"/>
        </w:rPr>
        <w:t>TM</w:t>
      </w:r>
      <w:r>
        <w:rPr>
          <w:lang w:val="en-US"/>
        </w:rPr>
        <w:t xml:space="preserve"> Gas Blowing Agent and Liquid Blowing Agent brochures. </w:t>
      </w:r>
      <w:r w:rsidRPr="00857F75">
        <w:rPr>
          <w:lang w:val="en-US"/>
        </w:rPr>
        <w:t>Solstice LBA is a near drop-in replacement for many extrusion processes currently using CO</w:t>
      </w:r>
      <w:r w:rsidRPr="00B74D05">
        <w:rPr>
          <w:vertAlign w:val="subscript"/>
          <w:lang w:val="en-US"/>
        </w:rPr>
        <w:t>2</w:t>
      </w:r>
      <w:r w:rsidRPr="00857F75">
        <w:rPr>
          <w:lang w:val="en-US"/>
        </w:rPr>
        <w:t>, HFC-134a and HFC-152a blowing agents. Solstice FBA is a near drop-in replacement for liquid HCFC, HFC, hydrocarbons</w:t>
      </w:r>
      <w:r>
        <w:rPr>
          <w:lang w:val="en-US"/>
        </w:rPr>
        <w:t xml:space="preserve"> </w:t>
      </w:r>
      <w:r w:rsidRPr="00857F75">
        <w:rPr>
          <w:lang w:val="en-US"/>
        </w:rPr>
        <w:t>and other non-fluorocarbon blowing agents.</w:t>
      </w:r>
    </w:p>
  </w:footnote>
  <w:footnote w:id="4">
    <w:p w:rsidR="00F01307" w:rsidRPr="00184B7F" w:rsidRDefault="00F01307" w:rsidP="00D0213E">
      <w:pPr>
        <w:pStyle w:val="FootnoteText"/>
        <w:rPr>
          <w:rFonts w:ascii="Calibri" w:hAnsi="Calibri"/>
          <w:i w:val="0"/>
        </w:rPr>
      </w:pPr>
      <w:r>
        <w:rPr>
          <w:rStyle w:val="FootnoteReference"/>
        </w:rPr>
        <w:footnoteRef/>
      </w:r>
      <w:r>
        <w:t xml:space="preserve"> </w:t>
      </w:r>
      <w:r w:rsidRPr="00184B7F">
        <w:rPr>
          <w:rFonts w:ascii="Calibri" w:hAnsi="Calibri"/>
        </w:rPr>
        <w:t>HFE substances are fluorinated ethers.</w:t>
      </w:r>
    </w:p>
  </w:footnote>
  <w:footnote w:id="5">
    <w:p w:rsidR="00F01307" w:rsidRPr="00E4390E" w:rsidRDefault="00F01307" w:rsidP="00D0213E">
      <w:pPr>
        <w:pStyle w:val="FootnoteText"/>
        <w:rPr>
          <w:lang w:val="en-US"/>
        </w:rPr>
      </w:pPr>
      <w:r>
        <w:rPr>
          <w:rStyle w:val="FootnoteReference"/>
        </w:rPr>
        <w:footnoteRef/>
      </w:r>
      <w:r>
        <w:t xml:space="preserve"> </w:t>
      </w:r>
      <w:r w:rsidRPr="00E4390E">
        <w:t>Honeywell International Inc. Solstice</w:t>
      </w:r>
      <w:r w:rsidRPr="00E4390E">
        <w:rPr>
          <w:vertAlign w:val="superscript"/>
        </w:rPr>
        <w:t>TM</w:t>
      </w:r>
      <w:r w:rsidRPr="00E4390E">
        <w:t xml:space="preserve"> </w:t>
      </w:r>
      <w:r>
        <w:t>Performance Fluid Brochure</w:t>
      </w:r>
      <w:r w:rsidRPr="00E4390E">
        <w:t>.</w:t>
      </w:r>
    </w:p>
  </w:footnote>
  <w:footnote w:id="6">
    <w:p w:rsidR="00F01307" w:rsidRPr="00073691" w:rsidRDefault="00F01307">
      <w:pPr>
        <w:pStyle w:val="FootnoteText"/>
        <w:rPr>
          <w:lang w:val="en-US"/>
        </w:rPr>
      </w:pPr>
      <w:r>
        <w:rPr>
          <w:rStyle w:val="FootnoteReference"/>
        </w:rPr>
        <w:footnoteRef/>
      </w:r>
      <w:r>
        <w:t xml:space="preserve"> </w:t>
      </w:r>
      <w:r w:rsidRPr="00073691">
        <w:t>The ‘bank’ of refrigerant gases is the aggregate of all HFC, HCFC and CFC refrigerants</w:t>
      </w:r>
      <w:r>
        <w:t>, and natural refrigerants</w:t>
      </w:r>
      <w:r w:rsidRPr="00073691">
        <w:t xml:space="preserve"> </w:t>
      </w:r>
      <w:r>
        <w:t xml:space="preserve">(excluding large capacity cold storage and process applications where ammonia is widely used as the transition away from HCFCs and HFCs is considered virtually complete) </w:t>
      </w:r>
      <w:r w:rsidRPr="00073691">
        <w:t xml:space="preserve">employed as working fluids in the </w:t>
      </w:r>
      <w:r w:rsidRPr="008445DA">
        <w:t>estimated 46.5 million</w:t>
      </w:r>
      <w:r w:rsidRPr="00073691">
        <w:t xml:space="preserve"> mechanical devices using the vapour compression cycle in Australia.</w:t>
      </w:r>
      <w:r>
        <w:t xml:space="preserve"> </w:t>
      </w:r>
    </w:p>
  </w:footnote>
  <w:footnote w:id="7">
    <w:p w:rsidR="00F01307" w:rsidRPr="00DD0675" w:rsidRDefault="00F01307">
      <w:pPr>
        <w:pStyle w:val="FootnoteText"/>
        <w:rPr>
          <w:lang w:val="en-US"/>
        </w:rPr>
      </w:pPr>
      <w:r>
        <w:rPr>
          <w:rStyle w:val="FootnoteReference"/>
        </w:rPr>
        <w:footnoteRef/>
      </w:r>
      <w:r>
        <w:t xml:space="preserve"> </w:t>
      </w:r>
      <w:r w:rsidRPr="00DD0675">
        <w:t>‘Pre-charged equipment’ is defined as refrigeration or air</w:t>
      </w:r>
      <w:r>
        <w:t xml:space="preserve"> </w:t>
      </w:r>
      <w:r w:rsidRPr="00DD0675">
        <w:t>conditioning equipment that contains a HFC or HCFC refrigerant when it leaves the factory gate.</w:t>
      </w:r>
    </w:p>
  </w:footnote>
  <w:footnote w:id="8">
    <w:p w:rsidR="00F01307" w:rsidRDefault="00F01307" w:rsidP="00354FD8">
      <w:pPr>
        <w:pStyle w:val="FootnoteText"/>
      </w:pPr>
      <w:r>
        <w:rPr>
          <w:rStyle w:val="FootnoteReference"/>
        </w:rPr>
        <w:footnoteRef/>
      </w:r>
      <w:r>
        <w:t xml:space="preserve"> </w:t>
      </w:r>
      <w:r w:rsidRPr="00F8264D">
        <w:rPr>
          <w:rFonts w:ascii="Calibri" w:hAnsi="Calibri"/>
        </w:rPr>
        <w:t>kWr re</w:t>
      </w:r>
      <w:r>
        <w:rPr>
          <w:rFonts w:ascii="Calibri" w:hAnsi="Calibri"/>
        </w:rPr>
        <w:t xml:space="preserve">fers </w:t>
      </w:r>
      <w:r w:rsidRPr="00F8264D">
        <w:rPr>
          <w:rFonts w:ascii="Calibri" w:hAnsi="Calibri"/>
        </w:rPr>
        <w:t>to kilowatts of refrigeration capacity where as kW relates to kilowatts of electrical power.</w:t>
      </w:r>
      <w:r>
        <w:rPr>
          <w:rFonts w:ascii="Calibri" w:hAnsi="Calibri" w:cs="Calibri"/>
          <w:color w:val="000000"/>
          <w:sz w:val="22"/>
          <w:szCs w:val="22"/>
        </w:rPr>
        <w:t xml:space="preserve"> </w:t>
      </w:r>
    </w:p>
  </w:footnote>
  <w:footnote w:id="9">
    <w:p w:rsidR="00F01307" w:rsidRDefault="00F01307" w:rsidP="001A6FC2">
      <w:pPr>
        <w:pStyle w:val="FootnoteText"/>
      </w:pPr>
      <w:r>
        <w:rPr>
          <w:rStyle w:val="FootnoteReference"/>
        </w:rPr>
        <w:footnoteRef/>
      </w:r>
      <w:r>
        <w:t xml:space="preserve"> </w:t>
      </w:r>
      <w:r w:rsidRPr="00B724E8">
        <w:rPr>
          <w:rFonts w:ascii="Calibri" w:hAnsi="Calibri"/>
        </w:rPr>
        <w:t xml:space="preserve">The nominal 7% improvement </w:t>
      </w:r>
      <w:r>
        <w:rPr>
          <w:rFonts w:ascii="Calibri" w:hAnsi="Calibri"/>
        </w:rPr>
        <w:t xml:space="preserve">quoted is highly </w:t>
      </w:r>
      <w:r w:rsidRPr="00B724E8">
        <w:rPr>
          <w:rFonts w:ascii="Calibri" w:hAnsi="Calibri"/>
        </w:rPr>
        <w:t>depend</w:t>
      </w:r>
      <w:r>
        <w:rPr>
          <w:rFonts w:ascii="Calibri" w:hAnsi="Calibri"/>
        </w:rPr>
        <w:t xml:space="preserve">ent </w:t>
      </w:r>
      <w:r w:rsidRPr="00B724E8">
        <w:rPr>
          <w:rFonts w:ascii="Calibri" w:hAnsi="Calibri"/>
        </w:rPr>
        <w:t xml:space="preserve">on the </w:t>
      </w:r>
      <w:r>
        <w:rPr>
          <w:rFonts w:ascii="Calibri" w:hAnsi="Calibri"/>
        </w:rPr>
        <w:t xml:space="preserve">style </w:t>
      </w:r>
      <w:r w:rsidRPr="00B724E8">
        <w:rPr>
          <w:rFonts w:ascii="Calibri" w:hAnsi="Calibri"/>
        </w:rPr>
        <w:t>of refrigerator and the efficiency of the components</w:t>
      </w:r>
      <w:r>
        <w:rPr>
          <w:rFonts w:ascii="Calibri" w:hAnsi="Calibri"/>
        </w:rPr>
        <w:t xml:space="preserve"> used, in particular available compressor technology.</w:t>
      </w:r>
    </w:p>
  </w:footnote>
  <w:footnote w:id="10">
    <w:p w:rsidR="00F01307" w:rsidRPr="00AC1EE6" w:rsidRDefault="00F01307" w:rsidP="00AC1EE6">
      <w:pPr>
        <w:rPr>
          <w:lang w:val="en-US"/>
        </w:rPr>
      </w:pPr>
      <w:r>
        <w:rPr>
          <w:rStyle w:val="FootnoteReference"/>
        </w:rPr>
        <w:footnoteRef/>
      </w:r>
      <w:r>
        <w:t xml:space="preserve"> </w:t>
      </w:r>
      <w:r w:rsidRPr="00AC1EE6">
        <w:rPr>
          <w:rFonts w:asciiTheme="majorHAnsi" w:hAnsiTheme="majorHAnsi"/>
          <w:i/>
          <w:sz w:val="18"/>
          <w:szCs w:val="18"/>
        </w:rPr>
        <w:t>A possible method for assessing consumption in this sector may be to survey major shipping agents.</w:t>
      </w:r>
      <w:r w:rsidRPr="00AC1EE6">
        <w:rPr>
          <w:rFonts w:asciiTheme="majorHAnsi" w:hAnsiTheme="majorHAnsi"/>
          <w:i/>
        </w:rPr>
        <w:t xml:space="preserve"> </w:t>
      </w:r>
      <w:r w:rsidRPr="00AC1EE6">
        <w:rPr>
          <w:rFonts w:asciiTheme="majorHAnsi" w:hAnsiTheme="majorHAnsi" w:cs="Times New Roman"/>
          <w:i/>
          <w:sz w:val="18"/>
          <w:szCs w:val="18"/>
        </w:rPr>
        <w:t>When shipping some types of highly temperature sensitive cargo, refrigeration technicians are required to calibrate the controls on reefers and ensure correct operation of the reefers refrigerated unit. The refrigeration technician provides a certificate to the shipping agent to use as evidence of the proper operation of the reefer prior to loading. These reports to shipping agents, along with other data on the charge sizes and reefer numbers, could be used to estimate demand in this sector.</w:t>
      </w:r>
    </w:p>
  </w:footnote>
  <w:footnote w:id="11">
    <w:p w:rsidR="00F01307" w:rsidRPr="00477C2A" w:rsidRDefault="00F01307">
      <w:pPr>
        <w:pStyle w:val="FootnoteText"/>
        <w:rPr>
          <w:lang w:val="en-US"/>
        </w:rPr>
      </w:pPr>
      <w:r>
        <w:rPr>
          <w:rStyle w:val="FootnoteReference"/>
        </w:rPr>
        <w:footnoteRef/>
      </w:r>
      <w:r>
        <w:t xml:space="preserve"> </w:t>
      </w:r>
      <w:r w:rsidRPr="00477C2A">
        <w:t>A previous estimate in Cold Hard Facts 2 of around 8% (1,200,000 passenger and light commercial vehicles) in 2012 did not account for cumulative leak rates of the fleet.</w:t>
      </w:r>
    </w:p>
  </w:footnote>
  <w:footnote w:id="12">
    <w:p w:rsidR="00F01307" w:rsidRDefault="00F01307">
      <w:pPr>
        <w:pStyle w:val="FootnoteText"/>
      </w:pPr>
      <w:r>
        <w:rPr>
          <w:rStyle w:val="FootnoteReference"/>
        </w:rPr>
        <w:footnoteRef/>
      </w:r>
      <w:r>
        <w:t xml:space="preserve"> </w:t>
      </w:r>
      <w:r w:rsidRPr="001515E6">
        <w:t xml:space="preserve">PRIME – a whole of industry pathway to a low emissions future. </w:t>
      </w:r>
    </w:p>
    <w:p w:rsidR="00F01307" w:rsidRPr="001515E6" w:rsidRDefault="00F01307">
      <w:pPr>
        <w:pStyle w:val="FootnoteText"/>
        <w:rPr>
          <w:lang w:val="en-US"/>
        </w:rPr>
      </w:pPr>
      <w:r w:rsidRPr="001515E6">
        <w:t>See http://www.airah.org.au/iMIS15_Prod/AIRAH/PRIME/AIRAH/Navigation/PRIME/PRIME.aspx</w:t>
      </w:r>
    </w:p>
  </w:footnote>
  <w:footnote w:id="13">
    <w:p w:rsidR="00F01307" w:rsidRPr="004B2E7E" w:rsidRDefault="00F01307" w:rsidP="00E4085D">
      <w:pPr>
        <w:pStyle w:val="FootnoteText"/>
        <w:rPr>
          <w:szCs w:val="18"/>
        </w:rPr>
      </w:pPr>
      <w:r w:rsidRPr="00A30CFC">
        <w:rPr>
          <w:rStyle w:val="FootnoteReference"/>
          <w:sz w:val="20"/>
          <w:szCs w:val="20"/>
        </w:rPr>
        <w:footnoteRef/>
      </w:r>
      <w:r w:rsidRPr="00A30CFC">
        <w:rPr>
          <w:sz w:val="20"/>
          <w:szCs w:val="20"/>
        </w:rPr>
        <w:t xml:space="preserve"> </w:t>
      </w:r>
      <w:r w:rsidRPr="004B2E7E">
        <w:rPr>
          <w:szCs w:val="18"/>
        </w:rPr>
        <w:t>Not all refrigerants need to be reported to Customs at the point of import, however all of the major classes of HCFCs and HFCs, the ‘synthetic greenhouse gas’ refrigerants must be reported.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4F" w:rsidRDefault="00A91D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4F" w:rsidRDefault="00A91D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307" w:rsidRDefault="00F01307" w:rsidP="008352D3">
    <w:pPr>
      <w:pStyle w:val="Header"/>
      <w:shd w:val="clear" w:color="auto" w:fill="D9D9D9"/>
    </w:pPr>
  </w:p>
  <w:p w:rsidR="00F01307" w:rsidRDefault="00F0130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307" w:rsidRDefault="00B41499" w:rsidP="009519E2">
    <w:pPr>
      <w:pStyle w:val="Header"/>
      <w:framePr w:wrap="around" w:vAnchor="text" w:hAnchor="margin" w:xAlign="center" w:y="1"/>
      <w:rPr>
        <w:rStyle w:val="PageNumber"/>
      </w:rPr>
    </w:pPr>
    <w:r>
      <w:rPr>
        <w:rStyle w:val="PageNumber"/>
      </w:rPr>
      <w:fldChar w:fldCharType="begin"/>
    </w:r>
    <w:r w:rsidR="00F01307">
      <w:rPr>
        <w:rStyle w:val="PageNumber"/>
      </w:rPr>
      <w:instrText xml:space="preserve">PAGE  </w:instrText>
    </w:r>
    <w:r>
      <w:rPr>
        <w:rStyle w:val="PageNumber"/>
      </w:rPr>
      <w:fldChar w:fldCharType="separate"/>
    </w:r>
    <w:r w:rsidR="00F01307">
      <w:rPr>
        <w:rStyle w:val="PageNumber"/>
        <w:noProof/>
      </w:rPr>
      <w:t>8</w:t>
    </w:r>
    <w:r>
      <w:rPr>
        <w:rStyle w:val="PageNumber"/>
      </w:rPr>
      <w:fldChar w:fldCharType="end"/>
    </w:r>
  </w:p>
  <w:p w:rsidR="00F01307" w:rsidRDefault="00F0130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307" w:rsidRDefault="00F01307" w:rsidP="009519E2">
    <w:pPr>
      <w:pStyle w:val="Header"/>
      <w:framePr w:wrap="around" w:vAnchor="text" w:hAnchor="margin" w:xAlign="center" w:y="1"/>
      <w:rPr>
        <w:rStyle w:val="PageNumber"/>
      </w:rPr>
    </w:pPr>
  </w:p>
  <w:p w:rsidR="00F01307" w:rsidRDefault="00F01307" w:rsidP="009519E2">
    <w:pPr>
      <w:pStyle w:val="Header"/>
      <w:shd w:val="clear" w:color="auto" w:fill="D9D9D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307" w:rsidRDefault="00F01307" w:rsidP="009519E2">
    <w:pPr>
      <w:pStyle w:val="Header"/>
      <w:tabs>
        <w:tab w:val="clear" w:pos="8640"/>
        <w:tab w:val="right" w:pos="6840"/>
      </w:tabs>
      <w:jc w:val="right"/>
      <w:rPr>
        <w:rFonts w:ascii="Verdana" w:hAnsi="Verdana"/>
        <w:sz w:val="16"/>
        <w:szCs w:val="16"/>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307" w:rsidRDefault="00F01307">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307" w:rsidRDefault="00F01307" w:rsidP="00B61B6F">
    <w:pPr>
      <w:pStyle w:val="Header"/>
      <w:shd w:val="clear" w:color="auto" w:fill="D9D9D9"/>
    </w:pPr>
  </w:p>
  <w:p w:rsidR="00F01307" w:rsidRDefault="00F01307"/>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307" w:rsidRDefault="00F013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3F26A2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5F1748"/>
    <w:multiLevelType w:val="hybridMultilevel"/>
    <w:tmpl w:val="AE9E63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EF1F67"/>
    <w:multiLevelType w:val="multilevel"/>
    <w:tmpl w:val="F59854E6"/>
    <w:lvl w:ilvl="0">
      <w:start w:val="1"/>
      <w:numFmt w:val="decimal"/>
      <w:pStyle w:val="Heading1"/>
      <w:lvlText w:val="%1"/>
      <w:lvlJc w:val="left"/>
      <w:pPr>
        <w:ind w:left="1709" w:hanging="432"/>
      </w:pPr>
    </w:lvl>
    <w:lvl w:ilvl="1">
      <w:start w:val="1"/>
      <w:numFmt w:val="decimal"/>
      <w:pStyle w:val="Heading2"/>
      <w:lvlText w:val="%1.%2"/>
      <w:lvlJc w:val="left"/>
      <w:pPr>
        <w:ind w:left="718"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0A11B91"/>
    <w:multiLevelType w:val="multilevel"/>
    <w:tmpl w:val="CAA833B8"/>
    <w:numStyleLink w:val="111111"/>
  </w:abstractNum>
  <w:abstractNum w:abstractNumId="4">
    <w:nsid w:val="148C050C"/>
    <w:multiLevelType w:val="hybridMultilevel"/>
    <w:tmpl w:val="0F06DF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8E50C0"/>
    <w:multiLevelType w:val="hybridMultilevel"/>
    <w:tmpl w:val="3FA85C7E"/>
    <w:lvl w:ilvl="0" w:tplc="0409000F">
      <w:start w:val="1"/>
      <w:numFmt w:val="decimal"/>
      <w:lvlText w:val="%1."/>
      <w:lvlJc w:val="left"/>
      <w:pPr>
        <w:ind w:left="360" w:hanging="360"/>
      </w:pPr>
      <w:rPr>
        <w:rFonts w:hint="default"/>
        <w:sz w:val="22"/>
        <w:szCs w:val="22"/>
      </w:rPr>
    </w:lvl>
    <w:lvl w:ilvl="1" w:tplc="88BCFAC6">
      <w:start w:val="1"/>
      <w:numFmt w:val="bullet"/>
      <w:lvlText w:val="•"/>
      <w:lvlJc w:val="left"/>
      <w:pPr>
        <w:ind w:left="1201" w:hanging="360"/>
      </w:pPr>
      <w:rPr>
        <w:rFonts w:hint="default"/>
      </w:rPr>
    </w:lvl>
    <w:lvl w:ilvl="2" w:tplc="102608A8">
      <w:start w:val="1"/>
      <w:numFmt w:val="bullet"/>
      <w:lvlText w:val="•"/>
      <w:lvlJc w:val="left"/>
      <w:pPr>
        <w:ind w:left="2041" w:hanging="360"/>
      </w:pPr>
      <w:rPr>
        <w:rFonts w:hint="default"/>
      </w:rPr>
    </w:lvl>
    <w:lvl w:ilvl="3" w:tplc="7812DDCA">
      <w:start w:val="1"/>
      <w:numFmt w:val="bullet"/>
      <w:lvlText w:val="•"/>
      <w:lvlJc w:val="left"/>
      <w:pPr>
        <w:ind w:left="2882" w:hanging="360"/>
      </w:pPr>
      <w:rPr>
        <w:rFonts w:hint="default"/>
      </w:rPr>
    </w:lvl>
    <w:lvl w:ilvl="4" w:tplc="483A50EC">
      <w:start w:val="1"/>
      <w:numFmt w:val="bullet"/>
      <w:lvlText w:val="•"/>
      <w:lvlJc w:val="left"/>
      <w:pPr>
        <w:ind w:left="3722" w:hanging="360"/>
      </w:pPr>
      <w:rPr>
        <w:rFonts w:hint="default"/>
      </w:rPr>
    </w:lvl>
    <w:lvl w:ilvl="5" w:tplc="CE008D92">
      <w:start w:val="1"/>
      <w:numFmt w:val="bullet"/>
      <w:lvlText w:val="•"/>
      <w:lvlJc w:val="left"/>
      <w:pPr>
        <w:ind w:left="4563" w:hanging="360"/>
      </w:pPr>
      <w:rPr>
        <w:rFonts w:hint="default"/>
      </w:rPr>
    </w:lvl>
    <w:lvl w:ilvl="6" w:tplc="A6B87498">
      <w:start w:val="1"/>
      <w:numFmt w:val="bullet"/>
      <w:lvlText w:val="•"/>
      <w:lvlJc w:val="left"/>
      <w:pPr>
        <w:ind w:left="5404" w:hanging="360"/>
      </w:pPr>
      <w:rPr>
        <w:rFonts w:hint="default"/>
      </w:rPr>
    </w:lvl>
    <w:lvl w:ilvl="7" w:tplc="8CCCFF70">
      <w:start w:val="1"/>
      <w:numFmt w:val="bullet"/>
      <w:lvlText w:val="•"/>
      <w:lvlJc w:val="left"/>
      <w:pPr>
        <w:ind w:left="6244" w:hanging="360"/>
      </w:pPr>
      <w:rPr>
        <w:rFonts w:hint="default"/>
      </w:rPr>
    </w:lvl>
    <w:lvl w:ilvl="8" w:tplc="FB64CCD0">
      <w:start w:val="1"/>
      <w:numFmt w:val="bullet"/>
      <w:lvlText w:val="•"/>
      <w:lvlJc w:val="left"/>
      <w:pPr>
        <w:ind w:left="7085" w:hanging="360"/>
      </w:pPr>
      <w:rPr>
        <w:rFonts w:hint="default"/>
      </w:rPr>
    </w:lvl>
  </w:abstractNum>
  <w:abstractNum w:abstractNumId="6">
    <w:nsid w:val="1CA35143"/>
    <w:multiLevelType w:val="hybridMultilevel"/>
    <w:tmpl w:val="C6BEE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3E1B4B"/>
    <w:multiLevelType w:val="hybridMultilevel"/>
    <w:tmpl w:val="63263E24"/>
    <w:lvl w:ilvl="0" w:tplc="FB745644">
      <w:start w:val="1"/>
      <w:numFmt w:val="lowerRoman"/>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7D5DAD"/>
    <w:multiLevelType w:val="hybridMultilevel"/>
    <w:tmpl w:val="02B086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651590"/>
    <w:multiLevelType w:val="hybridMultilevel"/>
    <w:tmpl w:val="E88CD3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6845C4F"/>
    <w:multiLevelType w:val="hybridMultilevel"/>
    <w:tmpl w:val="0004044C"/>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DA7090F"/>
    <w:multiLevelType w:val="hybridMultilevel"/>
    <w:tmpl w:val="B9A6A3C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2A52119"/>
    <w:multiLevelType w:val="hybridMultilevel"/>
    <w:tmpl w:val="E6C817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811AC6"/>
    <w:multiLevelType w:val="hybridMultilevel"/>
    <w:tmpl w:val="BF1401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D93AF9"/>
    <w:multiLevelType w:val="hybridMultilevel"/>
    <w:tmpl w:val="44362A8A"/>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C716D52"/>
    <w:multiLevelType w:val="hybridMultilevel"/>
    <w:tmpl w:val="78FCF346"/>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F4629CE"/>
    <w:multiLevelType w:val="hybridMultilevel"/>
    <w:tmpl w:val="16E23142"/>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EB40E53"/>
    <w:multiLevelType w:val="hybridMultilevel"/>
    <w:tmpl w:val="3FA85C7E"/>
    <w:lvl w:ilvl="0" w:tplc="0409000F">
      <w:start w:val="1"/>
      <w:numFmt w:val="decimal"/>
      <w:lvlText w:val="%1."/>
      <w:lvlJc w:val="left"/>
      <w:pPr>
        <w:ind w:left="360" w:hanging="360"/>
      </w:pPr>
      <w:rPr>
        <w:rFonts w:hint="default"/>
        <w:sz w:val="22"/>
        <w:szCs w:val="22"/>
      </w:rPr>
    </w:lvl>
    <w:lvl w:ilvl="1" w:tplc="88BCFAC6">
      <w:start w:val="1"/>
      <w:numFmt w:val="bullet"/>
      <w:lvlText w:val="•"/>
      <w:lvlJc w:val="left"/>
      <w:pPr>
        <w:ind w:left="1201" w:hanging="360"/>
      </w:pPr>
      <w:rPr>
        <w:rFonts w:hint="default"/>
      </w:rPr>
    </w:lvl>
    <w:lvl w:ilvl="2" w:tplc="102608A8">
      <w:start w:val="1"/>
      <w:numFmt w:val="bullet"/>
      <w:lvlText w:val="•"/>
      <w:lvlJc w:val="left"/>
      <w:pPr>
        <w:ind w:left="2041" w:hanging="360"/>
      </w:pPr>
      <w:rPr>
        <w:rFonts w:hint="default"/>
      </w:rPr>
    </w:lvl>
    <w:lvl w:ilvl="3" w:tplc="7812DDCA">
      <w:start w:val="1"/>
      <w:numFmt w:val="bullet"/>
      <w:lvlText w:val="•"/>
      <w:lvlJc w:val="left"/>
      <w:pPr>
        <w:ind w:left="2882" w:hanging="360"/>
      </w:pPr>
      <w:rPr>
        <w:rFonts w:hint="default"/>
      </w:rPr>
    </w:lvl>
    <w:lvl w:ilvl="4" w:tplc="483A50EC">
      <w:start w:val="1"/>
      <w:numFmt w:val="bullet"/>
      <w:lvlText w:val="•"/>
      <w:lvlJc w:val="left"/>
      <w:pPr>
        <w:ind w:left="3722" w:hanging="360"/>
      </w:pPr>
      <w:rPr>
        <w:rFonts w:hint="default"/>
      </w:rPr>
    </w:lvl>
    <w:lvl w:ilvl="5" w:tplc="CE008D92">
      <w:start w:val="1"/>
      <w:numFmt w:val="bullet"/>
      <w:lvlText w:val="•"/>
      <w:lvlJc w:val="left"/>
      <w:pPr>
        <w:ind w:left="4563" w:hanging="360"/>
      </w:pPr>
      <w:rPr>
        <w:rFonts w:hint="default"/>
      </w:rPr>
    </w:lvl>
    <w:lvl w:ilvl="6" w:tplc="A6B87498">
      <w:start w:val="1"/>
      <w:numFmt w:val="bullet"/>
      <w:lvlText w:val="•"/>
      <w:lvlJc w:val="left"/>
      <w:pPr>
        <w:ind w:left="5404" w:hanging="360"/>
      </w:pPr>
      <w:rPr>
        <w:rFonts w:hint="default"/>
      </w:rPr>
    </w:lvl>
    <w:lvl w:ilvl="7" w:tplc="8CCCFF70">
      <w:start w:val="1"/>
      <w:numFmt w:val="bullet"/>
      <w:lvlText w:val="•"/>
      <w:lvlJc w:val="left"/>
      <w:pPr>
        <w:ind w:left="6244" w:hanging="360"/>
      </w:pPr>
      <w:rPr>
        <w:rFonts w:hint="default"/>
      </w:rPr>
    </w:lvl>
    <w:lvl w:ilvl="8" w:tplc="FB64CCD0">
      <w:start w:val="1"/>
      <w:numFmt w:val="bullet"/>
      <w:lvlText w:val="•"/>
      <w:lvlJc w:val="left"/>
      <w:pPr>
        <w:ind w:left="7085" w:hanging="360"/>
      </w:pPr>
      <w:rPr>
        <w:rFonts w:hint="default"/>
      </w:rPr>
    </w:lvl>
  </w:abstractNum>
  <w:abstractNum w:abstractNumId="18">
    <w:nsid w:val="4F0B1422"/>
    <w:multiLevelType w:val="hybridMultilevel"/>
    <w:tmpl w:val="1E7CE7F8"/>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F72166F"/>
    <w:multiLevelType w:val="hybridMultilevel"/>
    <w:tmpl w:val="2E7A7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E0D5290"/>
    <w:multiLevelType w:val="hybridMultilevel"/>
    <w:tmpl w:val="338025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E2C0DF8"/>
    <w:multiLevelType w:val="multilevel"/>
    <w:tmpl w:val="CAA833B8"/>
    <w:styleLink w:val="111111"/>
    <w:lvl w:ilvl="0">
      <w:start w:val="1"/>
      <w:numFmt w:val="decimal"/>
      <w:pStyle w:val="RFQPartA-Leve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F69082D"/>
    <w:multiLevelType w:val="hybridMultilevel"/>
    <w:tmpl w:val="CD9C95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1CD37E1"/>
    <w:multiLevelType w:val="hybridMultilevel"/>
    <w:tmpl w:val="051A23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4D75D2D"/>
    <w:multiLevelType w:val="hybridMultilevel"/>
    <w:tmpl w:val="884C6C5E"/>
    <w:lvl w:ilvl="0" w:tplc="04090005">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7E63ACE"/>
    <w:multiLevelType w:val="hybridMultilevel"/>
    <w:tmpl w:val="5838D5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CDF71DF"/>
    <w:multiLevelType w:val="hybridMultilevel"/>
    <w:tmpl w:val="A22027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DC26A5F"/>
    <w:multiLevelType w:val="hybridMultilevel"/>
    <w:tmpl w:val="C6BEE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09273B1"/>
    <w:multiLevelType w:val="hybridMultilevel"/>
    <w:tmpl w:val="2DAEB7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35E33E3"/>
    <w:multiLevelType w:val="hybridMultilevel"/>
    <w:tmpl w:val="73F892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4640032"/>
    <w:multiLevelType w:val="hybridMultilevel"/>
    <w:tmpl w:val="5D9802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B786B53"/>
    <w:multiLevelType w:val="hybridMultilevel"/>
    <w:tmpl w:val="3FF0660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E9A2977"/>
    <w:multiLevelType w:val="hybridMultilevel"/>
    <w:tmpl w:val="FA16E4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FB75472"/>
    <w:multiLevelType w:val="hybridMultilevel"/>
    <w:tmpl w:val="9E1E8D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1"/>
  </w:num>
  <w:num w:numId="3">
    <w:abstractNumId w:val="0"/>
  </w:num>
  <w:num w:numId="4">
    <w:abstractNumId w:val="15"/>
  </w:num>
  <w:num w:numId="5">
    <w:abstractNumId w:val="27"/>
  </w:num>
  <w:num w:numId="6">
    <w:abstractNumId w:val="6"/>
  </w:num>
  <w:num w:numId="7">
    <w:abstractNumId w:val="22"/>
  </w:num>
  <w:num w:numId="8">
    <w:abstractNumId w:val="24"/>
  </w:num>
  <w:num w:numId="9">
    <w:abstractNumId w:val="23"/>
  </w:num>
  <w:num w:numId="10">
    <w:abstractNumId w:val="20"/>
  </w:num>
  <w:num w:numId="11">
    <w:abstractNumId w:val="25"/>
  </w:num>
  <w:num w:numId="12">
    <w:abstractNumId w:val="32"/>
  </w:num>
  <w:num w:numId="13">
    <w:abstractNumId w:val="29"/>
  </w:num>
  <w:num w:numId="14">
    <w:abstractNumId w:val="14"/>
  </w:num>
  <w:num w:numId="15">
    <w:abstractNumId w:val="13"/>
  </w:num>
  <w:num w:numId="16">
    <w:abstractNumId w:val="33"/>
  </w:num>
  <w:num w:numId="17">
    <w:abstractNumId w:val="4"/>
  </w:num>
  <w:num w:numId="18">
    <w:abstractNumId w:val="18"/>
  </w:num>
  <w:num w:numId="19">
    <w:abstractNumId w:val="7"/>
  </w:num>
  <w:num w:numId="20">
    <w:abstractNumId w:val="12"/>
  </w:num>
  <w:num w:numId="21">
    <w:abstractNumId w:val="9"/>
  </w:num>
  <w:num w:numId="22">
    <w:abstractNumId w:val="5"/>
  </w:num>
  <w:num w:numId="23">
    <w:abstractNumId w:val="17"/>
  </w:num>
  <w:num w:numId="24">
    <w:abstractNumId w:val="30"/>
  </w:num>
  <w:num w:numId="25">
    <w:abstractNumId w:val="1"/>
  </w:num>
  <w:num w:numId="26">
    <w:abstractNumId w:val="21"/>
  </w:num>
  <w:num w:numId="27">
    <w:abstractNumId w:val="3"/>
    <w:lvlOverride w:ilvl="0">
      <w:lvl w:ilvl="0">
        <w:start w:val="1"/>
        <w:numFmt w:val="decimal"/>
        <w:pStyle w:val="RFQPartA-Level1"/>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8">
    <w:abstractNumId w:val="11"/>
  </w:num>
  <w:num w:numId="29">
    <w:abstractNumId w:val="16"/>
  </w:num>
  <w:num w:numId="30">
    <w:abstractNumId w:val="19"/>
  </w:num>
  <w:num w:numId="31">
    <w:abstractNumId w:val="26"/>
  </w:num>
  <w:num w:numId="32">
    <w:abstractNumId w:val="28"/>
  </w:num>
  <w:num w:numId="33">
    <w:abstractNumId w:val="8"/>
  </w:num>
  <w:num w:numId="34">
    <w:abstractNumId w:val="10"/>
  </w:num>
  <w:num w:numId="35">
    <w:abstractNumId w:val="2"/>
  </w:num>
  <w:num w:numId="36">
    <w:abstractNumId w:val="2"/>
  </w:num>
  <w:num w:numId="37">
    <w:abstractNumId w:val="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embedSystemFonts/>
  <w:stylePaneFormatFilter w:val="1004"/>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
  <w:rsids>
    <w:rsidRoot w:val="00E00099"/>
    <w:rsid w:val="00001AAC"/>
    <w:rsid w:val="0000582A"/>
    <w:rsid w:val="00005F1B"/>
    <w:rsid w:val="0001184F"/>
    <w:rsid w:val="00015E06"/>
    <w:rsid w:val="00016F48"/>
    <w:rsid w:val="00017310"/>
    <w:rsid w:val="0002173B"/>
    <w:rsid w:val="0002268F"/>
    <w:rsid w:val="000226CB"/>
    <w:rsid w:val="00022721"/>
    <w:rsid w:val="000228ED"/>
    <w:rsid w:val="0002490E"/>
    <w:rsid w:val="00024F0C"/>
    <w:rsid w:val="0002672B"/>
    <w:rsid w:val="00027A98"/>
    <w:rsid w:val="00030859"/>
    <w:rsid w:val="000310F6"/>
    <w:rsid w:val="00032A83"/>
    <w:rsid w:val="000331C1"/>
    <w:rsid w:val="000339E3"/>
    <w:rsid w:val="00033BDF"/>
    <w:rsid w:val="000340C1"/>
    <w:rsid w:val="000341A2"/>
    <w:rsid w:val="000342FA"/>
    <w:rsid w:val="00040E94"/>
    <w:rsid w:val="00041327"/>
    <w:rsid w:val="00041B83"/>
    <w:rsid w:val="00042727"/>
    <w:rsid w:val="00043C8C"/>
    <w:rsid w:val="00043F26"/>
    <w:rsid w:val="000443BD"/>
    <w:rsid w:val="00045B67"/>
    <w:rsid w:val="00046887"/>
    <w:rsid w:val="00047359"/>
    <w:rsid w:val="00047821"/>
    <w:rsid w:val="0005033E"/>
    <w:rsid w:val="00051199"/>
    <w:rsid w:val="00053AC7"/>
    <w:rsid w:val="00056ABF"/>
    <w:rsid w:val="000609F9"/>
    <w:rsid w:val="000610C5"/>
    <w:rsid w:val="0006197A"/>
    <w:rsid w:val="000628FF"/>
    <w:rsid w:val="00062B56"/>
    <w:rsid w:val="0006309A"/>
    <w:rsid w:val="0006334F"/>
    <w:rsid w:val="000665BF"/>
    <w:rsid w:val="000665E1"/>
    <w:rsid w:val="0006760D"/>
    <w:rsid w:val="00070B76"/>
    <w:rsid w:val="00072166"/>
    <w:rsid w:val="00072AE8"/>
    <w:rsid w:val="0007306E"/>
    <w:rsid w:val="00073691"/>
    <w:rsid w:val="00074002"/>
    <w:rsid w:val="00074645"/>
    <w:rsid w:val="00074953"/>
    <w:rsid w:val="000770E1"/>
    <w:rsid w:val="000803E7"/>
    <w:rsid w:val="00080783"/>
    <w:rsid w:val="000817D6"/>
    <w:rsid w:val="00081A67"/>
    <w:rsid w:val="00082C2C"/>
    <w:rsid w:val="00082CAF"/>
    <w:rsid w:val="000830D7"/>
    <w:rsid w:val="0008469F"/>
    <w:rsid w:val="00087BAB"/>
    <w:rsid w:val="00090B50"/>
    <w:rsid w:val="0009148C"/>
    <w:rsid w:val="00091F50"/>
    <w:rsid w:val="00092C0F"/>
    <w:rsid w:val="00094FE8"/>
    <w:rsid w:val="000964C0"/>
    <w:rsid w:val="000968D5"/>
    <w:rsid w:val="00097E38"/>
    <w:rsid w:val="000A141F"/>
    <w:rsid w:val="000A234C"/>
    <w:rsid w:val="000A2BD7"/>
    <w:rsid w:val="000A34F7"/>
    <w:rsid w:val="000A35B4"/>
    <w:rsid w:val="000A62D9"/>
    <w:rsid w:val="000A70C4"/>
    <w:rsid w:val="000B0DBC"/>
    <w:rsid w:val="000B268D"/>
    <w:rsid w:val="000B319E"/>
    <w:rsid w:val="000B3E52"/>
    <w:rsid w:val="000B4385"/>
    <w:rsid w:val="000B5D38"/>
    <w:rsid w:val="000B6598"/>
    <w:rsid w:val="000B7E5E"/>
    <w:rsid w:val="000C0D65"/>
    <w:rsid w:val="000C2D59"/>
    <w:rsid w:val="000C35EE"/>
    <w:rsid w:val="000C5568"/>
    <w:rsid w:val="000C68E3"/>
    <w:rsid w:val="000D1420"/>
    <w:rsid w:val="000D4B44"/>
    <w:rsid w:val="000D5BA7"/>
    <w:rsid w:val="000D6A26"/>
    <w:rsid w:val="000E0404"/>
    <w:rsid w:val="000E5148"/>
    <w:rsid w:val="000E577B"/>
    <w:rsid w:val="000E61CD"/>
    <w:rsid w:val="000F1262"/>
    <w:rsid w:val="000F3103"/>
    <w:rsid w:val="000F7E3E"/>
    <w:rsid w:val="001005DB"/>
    <w:rsid w:val="00100CBD"/>
    <w:rsid w:val="00100E4D"/>
    <w:rsid w:val="00102651"/>
    <w:rsid w:val="001034AB"/>
    <w:rsid w:val="001039E2"/>
    <w:rsid w:val="0010457D"/>
    <w:rsid w:val="001045AC"/>
    <w:rsid w:val="0010504F"/>
    <w:rsid w:val="00105702"/>
    <w:rsid w:val="00110111"/>
    <w:rsid w:val="00110F07"/>
    <w:rsid w:val="00111AD6"/>
    <w:rsid w:val="00112AE0"/>
    <w:rsid w:val="00114144"/>
    <w:rsid w:val="00114173"/>
    <w:rsid w:val="00114447"/>
    <w:rsid w:val="001149C1"/>
    <w:rsid w:val="00116557"/>
    <w:rsid w:val="0012620B"/>
    <w:rsid w:val="001314F8"/>
    <w:rsid w:val="001321C2"/>
    <w:rsid w:val="001343DE"/>
    <w:rsid w:val="001347B8"/>
    <w:rsid w:val="00135E24"/>
    <w:rsid w:val="00136426"/>
    <w:rsid w:val="00136ECF"/>
    <w:rsid w:val="001402F6"/>
    <w:rsid w:val="00140F2C"/>
    <w:rsid w:val="00141C4A"/>
    <w:rsid w:val="00144050"/>
    <w:rsid w:val="0014496E"/>
    <w:rsid w:val="001459B6"/>
    <w:rsid w:val="00145E68"/>
    <w:rsid w:val="001460E8"/>
    <w:rsid w:val="0014717B"/>
    <w:rsid w:val="00147E38"/>
    <w:rsid w:val="001502DB"/>
    <w:rsid w:val="001515E6"/>
    <w:rsid w:val="00151738"/>
    <w:rsid w:val="00152D37"/>
    <w:rsid w:val="0015317E"/>
    <w:rsid w:val="001535E1"/>
    <w:rsid w:val="001542C6"/>
    <w:rsid w:val="00155127"/>
    <w:rsid w:val="00155636"/>
    <w:rsid w:val="001568EF"/>
    <w:rsid w:val="00156E8D"/>
    <w:rsid w:val="001570A5"/>
    <w:rsid w:val="001573D9"/>
    <w:rsid w:val="00157886"/>
    <w:rsid w:val="00157D55"/>
    <w:rsid w:val="00157DFD"/>
    <w:rsid w:val="001601C5"/>
    <w:rsid w:val="001602F7"/>
    <w:rsid w:val="00162A3F"/>
    <w:rsid w:val="00163AEC"/>
    <w:rsid w:val="00163FF9"/>
    <w:rsid w:val="00164672"/>
    <w:rsid w:val="00164992"/>
    <w:rsid w:val="00164A15"/>
    <w:rsid w:val="00165034"/>
    <w:rsid w:val="00166698"/>
    <w:rsid w:val="001672F5"/>
    <w:rsid w:val="0017032F"/>
    <w:rsid w:val="00171878"/>
    <w:rsid w:val="00172CC7"/>
    <w:rsid w:val="00172EEA"/>
    <w:rsid w:val="00172FD1"/>
    <w:rsid w:val="00173947"/>
    <w:rsid w:val="00173E25"/>
    <w:rsid w:val="001744ED"/>
    <w:rsid w:val="00175A3A"/>
    <w:rsid w:val="00176FD3"/>
    <w:rsid w:val="00183AE9"/>
    <w:rsid w:val="001857B2"/>
    <w:rsid w:val="00186844"/>
    <w:rsid w:val="0019019F"/>
    <w:rsid w:val="00192108"/>
    <w:rsid w:val="001934CD"/>
    <w:rsid w:val="00193BD0"/>
    <w:rsid w:val="00193D9B"/>
    <w:rsid w:val="00194C08"/>
    <w:rsid w:val="00195217"/>
    <w:rsid w:val="00195455"/>
    <w:rsid w:val="00195F1C"/>
    <w:rsid w:val="001A10E2"/>
    <w:rsid w:val="001A1192"/>
    <w:rsid w:val="001A11A1"/>
    <w:rsid w:val="001A4814"/>
    <w:rsid w:val="001A5550"/>
    <w:rsid w:val="001A5F15"/>
    <w:rsid w:val="001A6FC2"/>
    <w:rsid w:val="001B0A95"/>
    <w:rsid w:val="001B0EF1"/>
    <w:rsid w:val="001B21B9"/>
    <w:rsid w:val="001B2D63"/>
    <w:rsid w:val="001B300E"/>
    <w:rsid w:val="001B3362"/>
    <w:rsid w:val="001B41E1"/>
    <w:rsid w:val="001C0124"/>
    <w:rsid w:val="001C13A2"/>
    <w:rsid w:val="001C331C"/>
    <w:rsid w:val="001C3D3F"/>
    <w:rsid w:val="001C3D4D"/>
    <w:rsid w:val="001C40C8"/>
    <w:rsid w:val="001C4288"/>
    <w:rsid w:val="001C44B0"/>
    <w:rsid w:val="001C52E7"/>
    <w:rsid w:val="001C6255"/>
    <w:rsid w:val="001C6364"/>
    <w:rsid w:val="001C6486"/>
    <w:rsid w:val="001C7867"/>
    <w:rsid w:val="001C7B87"/>
    <w:rsid w:val="001D076B"/>
    <w:rsid w:val="001D1518"/>
    <w:rsid w:val="001D1562"/>
    <w:rsid w:val="001D1740"/>
    <w:rsid w:val="001D21D8"/>
    <w:rsid w:val="001D3150"/>
    <w:rsid w:val="001D6D59"/>
    <w:rsid w:val="001D7F27"/>
    <w:rsid w:val="001D7F45"/>
    <w:rsid w:val="001E0FEE"/>
    <w:rsid w:val="001E126D"/>
    <w:rsid w:val="001E26C7"/>
    <w:rsid w:val="001E3B3D"/>
    <w:rsid w:val="001E489E"/>
    <w:rsid w:val="001E4DE1"/>
    <w:rsid w:val="001E4EF6"/>
    <w:rsid w:val="001E6BB5"/>
    <w:rsid w:val="001E7601"/>
    <w:rsid w:val="001F13A0"/>
    <w:rsid w:val="001F2D12"/>
    <w:rsid w:val="001F56BA"/>
    <w:rsid w:val="001F5E4C"/>
    <w:rsid w:val="00200416"/>
    <w:rsid w:val="002013B1"/>
    <w:rsid w:val="00201C97"/>
    <w:rsid w:val="00206CD4"/>
    <w:rsid w:val="00210C65"/>
    <w:rsid w:val="002127F1"/>
    <w:rsid w:val="00212886"/>
    <w:rsid w:val="00212D00"/>
    <w:rsid w:val="002137E7"/>
    <w:rsid w:val="00213D35"/>
    <w:rsid w:val="0021420A"/>
    <w:rsid w:val="002149BE"/>
    <w:rsid w:val="0021575F"/>
    <w:rsid w:val="002157D3"/>
    <w:rsid w:val="00215A1A"/>
    <w:rsid w:val="00215A98"/>
    <w:rsid w:val="0021609C"/>
    <w:rsid w:val="00217142"/>
    <w:rsid w:val="002179D2"/>
    <w:rsid w:val="00217DDB"/>
    <w:rsid w:val="00220AB1"/>
    <w:rsid w:val="002211B4"/>
    <w:rsid w:val="00222D4D"/>
    <w:rsid w:val="00223FDA"/>
    <w:rsid w:val="00230073"/>
    <w:rsid w:val="0023014D"/>
    <w:rsid w:val="00230E2E"/>
    <w:rsid w:val="00234DDB"/>
    <w:rsid w:val="002350DC"/>
    <w:rsid w:val="002352D9"/>
    <w:rsid w:val="0023799B"/>
    <w:rsid w:val="002402B4"/>
    <w:rsid w:val="00241A71"/>
    <w:rsid w:val="00241A9B"/>
    <w:rsid w:val="00244668"/>
    <w:rsid w:val="00244F2A"/>
    <w:rsid w:val="002473B9"/>
    <w:rsid w:val="002558A7"/>
    <w:rsid w:val="0026022C"/>
    <w:rsid w:val="00261401"/>
    <w:rsid w:val="00261CF7"/>
    <w:rsid w:val="00262A66"/>
    <w:rsid w:val="002633CA"/>
    <w:rsid w:val="002640F9"/>
    <w:rsid w:val="00265A2C"/>
    <w:rsid w:val="00265A85"/>
    <w:rsid w:val="00270B15"/>
    <w:rsid w:val="00272167"/>
    <w:rsid w:val="00272E7C"/>
    <w:rsid w:val="0027449B"/>
    <w:rsid w:val="002744A2"/>
    <w:rsid w:val="00275269"/>
    <w:rsid w:val="00276058"/>
    <w:rsid w:val="002764B9"/>
    <w:rsid w:val="0027679B"/>
    <w:rsid w:val="00276B2B"/>
    <w:rsid w:val="0028249E"/>
    <w:rsid w:val="002837D8"/>
    <w:rsid w:val="00283C04"/>
    <w:rsid w:val="002842FC"/>
    <w:rsid w:val="00285EDA"/>
    <w:rsid w:val="00290A9E"/>
    <w:rsid w:val="00290E0E"/>
    <w:rsid w:val="00291F2D"/>
    <w:rsid w:val="002938D6"/>
    <w:rsid w:val="00294B13"/>
    <w:rsid w:val="00295078"/>
    <w:rsid w:val="002951A5"/>
    <w:rsid w:val="00295E1A"/>
    <w:rsid w:val="00297430"/>
    <w:rsid w:val="00297C63"/>
    <w:rsid w:val="002A06F4"/>
    <w:rsid w:val="002A09FC"/>
    <w:rsid w:val="002A101C"/>
    <w:rsid w:val="002A11E1"/>
    <w:rsid w:val="002A19F1"/>
    <w:rsid w:val="002A2420"/>
    <w:rsid w:val="002A2444"/>
    <w:rsid w:val="002A30C0"/>
    <w:rsid w:val="002A3C66"/>
    <w:rsid w:val="002A4337"/>
    <w:rsid w:val="002A4B87"/>
    <w:rsid w:val="002A5904"/>
    <w:rsid w:val="002A6035"/>
    <w:rsid w:val="002A7795"/>
    <w:rsid w:val="002A7FDF"/>
    <w:rsid w:val="002B2870"/>
    <w:rsid w:val="002B297A"/>
    <w:rsid w:val="002B31DF"/>
    <w:rsid w:val="002B6E49"/>
    <w:rsid w:val="002C099A"/>
    <w:rsid w:val="002C2A4B"/>
    <w:rsid w:val="002C5680"/>
    <w:rsid w:val="002C56EC"/>
    <w:rsid w:val="002C5D69"/>
    <w:rsid w:val="002C6456"/>
    <w:rsid w:val="002D27F5"/>
    <w:rsid w:val="002D2AE2"/>
    <w:rsid w:val="002D331B"/>
    <w:rsid w:val="002D4C74"/>
    <w:rsid w:val="002E0504"/>
    <w:rsid w:val="002E088B"/>
    <w:rsid w:val="002E1194"/>
    <w:rsid w:val="002E123D"/>
    <w:rsid w:val="002E2FCB"/>
    <w:rsid w:val="002E3EAF"/>
    <w:rsid w:val="002E5035"/>
    <w:rsid w:val="002E6AC8"/>
    <w:rsid w:val="002E6F59"/>
    <w:rsid w:val="002F2168"/>
    <w:rsid w:val="002F2316"/>
    <w:rsid w:val="002F2889"/>
    <w:rsid w:val="002F68E5"/>
    <w:rsid w:val="002F744A"/>
    <w:rsid w:val="002F7974"/>
    <w:rsid w:val="002F7B7D"/>
    <w:rsid w:val="002F7FDE"/>
    <w:rsid w:val="00300C2D"/>
    <w:rsid w:val="00301120"/>
    <w:rsid w:val="003018C6"/>
    <w:rsid w:val="00304B85"/>
    <w:rsid w:val="00304C10"/>
    <w:rsid w:val="00306BB8"/>
    <w:rsid w:val="003137F8"/>
    <w:rsid w:val="00314B55"/>
    <w:rsid w:val="00315322"/>
    <w:rsid w:val="0031533D"/>
    <w:rsid w:val="00315B87"/>
    <w:rsid w:val="00316B3A"/>
    <w:rsid w:val="00317144"/>
    <w:rsid w:val="00321FDA"/>
    <w:rsid w:val="00322B70"/>
    <w:rsid w:val="00323FAB"/>
    <w:rsid w:val="00324002"/>
    <w:rsid w:val="00327719"/>
    <w:rsid w:val="00327C26"/>
    <w:rsid w:val="003317F0"/>
    <w:rsid w:val="00333270"/>
    <w:rsid w:val="00333882"/>
    <w:rsid w:val="003353BD"/>
    <w:rsid w:val="00336A0E"/>
    <w:rsid w:val="00336A56"/>
    <w:rsid w:val="00341134"/>
    <w:rsid w:val="0034186A"/>
    <w:rsid w:val="00342406"/>
    <w:rsid w:val="00343BEE"/>
    <w:rsid w:val="003440C8"/>
    <w:rsid w:val="00344AC4"/>
    <w:rsid w:val="00344E94"/>
    <w:rsid w:val="003451BB"/>
    <w:rsid w:val="003451C0"/>
    <w:rsid w:val="0034694D"/>
    <w:rsid w:val="00350817"/>
    <w:rsid w:val="0035179A"/>
    <w:rsid w:val="00352F5E"/>
    <w:rsid w:val="00353232"/>
    <w:rsid w:val="00353734"/>
    <w:rsid w:val="00353D98"/>
    <w:rsid w:val="003549C8"/>
    <w:rsid w:val="00354C3C"/>
    <w:rsid w:val="00354FD8"/>
    <w:rsid w:val="003554B7"/>
    <w:rsid w:val="003557C7"/>
    <w:rsid w:val="003558D4"/>
    <w:rsid w:val="0035684B"/>
    <w:rsid w:val="00360460"/>
    <w:rsid w:val="00360F46"/>
    <w:rsid w:val="00362302"/>
    <w:rsid w:val="003637B0"/>
    <w:rsid w:val="003638F5"/>
    <w:rsid w:val="00363D72"/>
    <w:rsid w:val="00365342"/>
    <w:rsid w:val="00366DCB"/>
    <w:rsid w:val="00367E7C"/>
    <w:rsid w:val="00367F59"/>
    <w:rsid w:val="00372A39"/>
    <w:rsid w:val="003745B7"/>
    <w:rsid w:val="00374D54"/>
    <w:rsid w:val="00376EC1"/>
    <w:rsid w:val="00377CDE"/>
    <w:rsid w:val="00380E53"/>
    <w:rsid w:val="00381260"/>
    <w:rsid w:val="00381E08"/>
    <w:rsid w:val="00384D78"/>
    <w:rsid w:val="0038734B"/>
    <w:rsid w:val="00390AC1"/>
    <w:rsid w:val="00391135"/>
    <w:rsid w:val="003937A5"/>
    <w:rsid w:val="00393EE8"/>
    <w:rsid w:val="003949E5"/>
    <w:rsid w:val="003961CE"/>
    <w:rsid w:val="00396E29"/>
    <w:rsid w:val="00396FA8"/>
    <w:rsid w:val="003A2649"/>
    <w:rsid w:val="003A3251"/>
    <w:rsid w:val="003A4C9F"/>
    <w:rsid w:val="003A5B1F"/>
    <w:rsid w:val="003A6108"/>
    <w:rsid w:val="003A617E"/>
    <w:rsid w:val="003A6372"/>
    <w:rsid w:val="003A6839"/>
    <w:rsid w:val="003B000C"/>
    <w:rsid w:val="003B05E7"/>
    <w:rsid w:val="003B0686"/>
    <w:rsid w:val="003B0E3E"/>
    <w:rsid w:val="003B13FC"/>
    <w:rsid w:val="003B1471"/>
    <w:rsid w:val="003B1944"/>
    <w:rsid w:val="003B1ADB"/>
    <w:rsid w:val="003B2D38"/>
    <w:rsid w:val="003B673D"/>
    <w:rsid w:val="003B6CEE"/>
    <w:rsid w:val="003B7367"/>
    <w:rsid w:val="003B74AD"/>
    <w:rsid w:val="003B7666"/>
    <w:rsid w:val="003B7836"/>
    <w:rsid w:val="003C099D"/>
    <w:rsid w:val="003C2A2C"/>
    <w:rsid w:val="003C41D6"/>
    <w:rsid w:val="003C6CAB"/>
    <w:rsid w:val="003C790F"/>
    <w:rsid w:val="003D10FF"/>
    <w:rsid w:val="003D1E16"/>
    <w:rsid w:val="003D1F51"/>
    <w:rsid w:val="003D5419"/>
    <w:rsid w:val="003D5856"/>
    <w:rsid w:val="003D72AA"/>
    <w:rsid w:val="003E13F6"/>
    <w:rsid w:val="003E19E1"/>
    <w:rsid w:val="003E2230"/>
    <w:rsid w:val="003E3201"/>
    <w:rsid w:val="003E32D8"/>
    <w:rsid w:val="003E4727"/>
    <w:rsid w:val="003E5FF4"/>
    <w:rsid w:val="003E6CEC"/>
    <w:rsid w:val="003E77F1"/>
    <w:rsid w:val="003F0EF1"/>
    <w:rsid w:val="003F0F3E"/>
    <w:rsid w:val="003F1AA2"/>
    <w:rsid w:val="003F1B6B"/>
    <w:rsid w:val="003F3B5E"/>
    <w:rsid w:val="003F4567"/>
    <w:rsid w:val="003F5FBD"/>
    <w:rsid w:val="003F6018"/>
    <w:rsid w:val="003F628A"/>
    <w:rsid w:val="003F736A"/>
    <w:rsid w:val="003F776D"/>
    <w:rsid w:val="004005E9"/>
    <w:rsid w:val="004006CE"/>
    <w:rsid w:val="0040150F"/>
    <w:rsid w:val="00401C62"/>
    <w:rsid w:val="00401D93"/>
    <w:rsid w:val="00403616"/>
    <w:rsid w:val="004036A5"/>
    <w:rsid w:val="00404BD9"/>
    <w:rsid w:val="00404E8D"/>
    <w:rsid w:val="0040682E"/>
    <w:rsid w:val="0040757F"/>
    <w:rsid w:val="00407783"/>
    <w:rsid w:val="004103AA"/>
    <w:rsid w:val="00410DFA"/>
    <w:rsid w:val="00411351"/>
    <w:rsid w:val="00412BDC"/>
    <w:rsid w:val="00413320"/>
    <w:rsid w:val="004148E5"/>
    <w:rsid w:val="00414AA9"/>
    <w:rsid w:val="004159D8"/>
    <w:rsid w:val="00415F3C"/>
    <w:rsid w:val="004164EB"/>
    <w:rsid w:val="00417CEE"/>
    <w:rsid w:val="00420587"/>
    <w:rsid w:val="0042084E"/>
    <w:rsid w:val="00421852"/>
    <w:rsid w:val="00422041"/>
    <w:rsid w:val="00423626"/>
    <w:rsid w:val="0042439C"/>
    <w:rsid w:val="00426F9E"/>
    <w:rsid w:val="004277AD"/>
    <w:rsid w:val="00431595"/>
    <w:rsid w:val="00432B56"/>
    <w:rsid w:val="004341A7"/>
    <w:rsid w:val="0043456E"/>
    <w:rsid w:val="00436674"/>
    <w:rsid w:val="00436A8E"/>
    <w:rsid w:val="00436D19"/>
    <w:rsid w:val="00440863"/>
    <w:rsid w:val="00441A11"/>
    <w:rsid w:val="00442DFE"/>
    <w:rsid w:val="00444CB4"/>
    <w:rsid w:val="0044565A"/>
    <w:rsid w:val="00450035"/>
    <w:rsid w:val="004528C3"/>
    <w:rsid w:val="004541D3"/>
    <w:rsid w:val="00454431"/>
    <w:rsid w:val="00460724"/>
    <w:rsid w:val="00461990"/>
    <w:rsid w:val="0046213B"/>
    <w:rsid w:val="00463951"/>
    <w:rsid w:val="00464431"/>
    <w:rsid w:val="00464568"/>
    <w:rsid w:val="00464E9B"/>
    <w:rsid w:val="004652F0"/>
    <w:rsid w:val="00465969"/>
    <w:rsid w:val="00467BC5"/>
    <w:rsid w:val="00470C8A"/>
    <w:rsid w:val="00471445"/>
    <w:rsid w:val="0047253B"/>
    <w:rsid w:val="004728E2"/>
    <w:rsid w:val="004735E1"/>
    <w:rsid w:val="00475E60"/>
    <w:rsid w:val="00477C2A"/>
    <w:rsid w:val="004808F3"/>
    <w:rsid w:val="00481199"/>
    <w:rsid w:val="00482A8A"/>
    <w:rsid w:val="00482FCD"/>
    <w:rsid w:val="00484748"/>
    <w:rsid w:val="0049008B"/>
    <w:rsid w:val="00490B92"/>
    <w:rsid w:val="00491313"/>
    <w:rsid w:val="0049214B"/>
    <w:rsid w:val="00494DE8"/>
    <w:rsid w:val="0049507D"/>
    <w:rsid w:val="00495ADF"/>
    <w:rsid w:val="004963EE"/>
    <w:rsid w:val="00497684"/>
    <w:rsid w:val="004A0306"/>
    <w:rsid w:val="004A03C3"/>
    <w:rsid w:val="004A109D"/>
    <w:rsid w:val="004A1E1A"/>
    <w:rsid w:val="004A3C90"/>
    <w:rsid w:val="004A4706"/>
    <w:rsid w:val="004A4C6F"/>
    <w:rsid w:val="004A5B08"/>
    <w:rsid w:val="004A7211"/>
    <w:rsid w:val="004A7F94"/>
    <w:rsid w:val="004B03DD"/>
    <w:rsid w:val="004B0648"/>
    <w:rsid w:val="004B0AF8"/>
    <w:rsid w:val="004B0DFA"/>
    <w:rsid w:val="004B0FB5"/>
    <w:rsid w:val="004B103D"/>
    <w:rsid w:val="004B16BC"/>
    <w:rsid w:val="004B2E7E"/>
    <w:rsid w:val="004B3881"/>
    <w:rsid w:val="004B38C9"/>
    <w:rsid w:val="004B3E2F"/>
    <w:rsid w:val="004B4210"/>
    <w:rsid w:val="004B441C"/>
    <w:rsid w:val="004B4479"/>
    <w:rsid w:val="004B52EE"/>
    <w:rsid w:val="004C0184"/>
    <w:rsid w:val="004C1DCD"/>
    <w:rsid w:val="004C1EF8"/>
    <w:rsid w:val="004C3A68"/>
    <w:rsid w:val="004C6805"/>
    <w:rsid w:val="004C702B"/>
    <w:rsid w:val="004D009C"/>
    <w:rsid w:val="004D0A8C"/>
    <w:rsid w:val="004D1CF8"/>
    <w:rsid w:val="004D2135"/>
    <w:rsid w:val="004D2792"/>
    <w:rsid w:val="004D3C64"/>
    <w:rsid w:val="004D4482"/>
    <w:rsid w:val="004D4D52"/>
    <w:rsid w:val="004E33CD"/>
    <w:rsid w:val="004E56D1"/>
    <w:rsid w:val="004F2410"/>
    <w:rsid w:val="004F4584"/>
    <w:rsid w:val="004F4D00"/>
    <w:rsid w:val="004F4F4D"/>
    <w:rsid w:val="004F61F0"/>
    <w:rsid w:val="004F6AA6"/>
    <w:rsid w:val="004F768B"/>
    <w:rsid w:val="00500DF0"/>
    <w:rsid w:val="00501951"/>
    <w:rsid w:val="00502E04"/>
    <w:rsid w:val="005031CB"/>
    <w:rsid w:val="005043CB"/>
    <w:rsid w:val="0050460C"/>
    <w:rsid w:val="00504954"/>
    <w:rsid w:val="00504BCC"/>
    <w:rsid w:val="005065CE"/>
    <w:rsid w:val="005070C1"/>
    <w:rsid w:val="00511637"/>
    <w:rsid w:val="00511B9D"/>
    <w:rsid w:val="00511D18"/>
    <w:rsid w:val="005122F7"/>
    <w:rsid w:val="00513F57"/>
    <w:rsid w:val="00514D51"/>
    <w:rsid w:val="005169C2"/>
    <w:rsid w:val="0051781A"/>
    <w:rsid w:val="00517FB4"/>
    <w:rsid w:val="005206A3"/>
    <w:rsid w:val="0052140E"/>
    <w:rsid w:val="00521910"/>
    <w:rsid w:val="005219F5"/>
    <w:rsid w:val="00521F81"/>
    <w:rsid w:val="0052299E"/>
    <w:rsid w:val="00522F8F"/>
    <w:rsid w:val="00525F2C"/>
    <w:rsid w:val="005261F0"/>
    <w:rsid w:val="005301C9"/>
    <w:rsid w:val="00532907"/>
    <w:rsid w:val="0053361E"/>
    <w:rsid w:val="00533731"/>
    <w:rsid w:val="00533BA7"/>
    <w:rsid w:val="00536297"/>
    <w:rsid w:val="00536FFE"/>
    <w:rsid w:val="00537BDB"/>
    <w:rsid w:val="005403D2"/>
    <w:rsid w:val="00540740"/>
    <w:rsid w:val="00540E05"/>
    <w:rsid w:val="00541305"/>
    <w:rsid w:val="00541542"/>
    <w:rsid w:val="00542C7C"/>
    <w:rsid w:val="005441AE"/>
    <w:rsid w:val="00545358"/>
    <w:rsid w:val="0055230B"/>
    <w:rsid w:val="00552421"/>
    <w:rsid w:val="00554170"/>
    <w:rsid w:val="00554616"/>
    <w:rsid w:val="00555D17"/>
    <w:rsid w:val="00560CAE"/>
    <w:rsid w:val="00561D00"/>
    <w:rsid w:val="00563E73"/>
    <w:rsid w:val="00564EE6"/>
    <w:rsid w:val="00565AE0"/>
    <w:rsid w:val="00567B0F"/>
    <w:rsid w:val="005715DE"/>
    <w:rsid w:val="00571670"/>
    <w:rsid w:val="00571F94"/>
    <w:rsid w:val="00572B70"/>
    <w:rsid w:val="00573A03"/>
    <w:rsid w:val="00574B1B"/>
    <w:rsid w:val="00574E1E"/>
    <w:rsid w:val="00575037"/>
    <w:rsid w:val="005770CF"/>
    <w:rsid w:val="0057797B"/>
    <w:rsid w:val="005803F9"/>
    <w:rsid w:val="00580579"/>
    <w:rsid w:val="00580882"/>
    <w:rsid w:val="00582CDC"/>
    <w:rsid w:val="00585D34"/>
    <w:rsid w:val="005861F1"/>
    <w:rsid w:val="00586FDA"/>
    <w:rsid w:val="0059285D"/>
    <w:rsid w:val="005A07E8"/>
    <w:rsid w:val="005A0ADE"/>
    <w:rsid w:val="005A0B3B"/>
    <w:rsid w:val="005A1640"/>
    <w:rsid w:val="005A3452"/>
    <w:rsid w:val="005A40E4"/>
    <w:rsid w:val="005A5BC7"/>
    <w:rsid w:val="005A6EEC"/>
    <w:rsid w:val="005B0601"/>
    <w:rsid w:val="005B27AA"/>
    <w:rsid w:val="005B322C"/>
    <w:rsid w:val="005B797F"/>
    <w:rsid w:val="005B7BFF"/>
    <w:rsid w:val="005C0226"/>
    <w:rsid w:val="005C09D9"/>
    <w:rsid w:val="005C3266"/>
    <w:rsid w:val="005C3586"/>
    <w:rsid w:val="005C44AC"/>
    <w:rsid w:val="005C4F96"/>
    <w:rsid w:val="005C6F3D"/>
    <w:rsid w:val="005C7185"/>
    <w:rsid w:val="005C7A5E"/>
    <w:rsid w:val="005D1508"/>
    <w:rsid w:val="005D159D"/>
    <w:rsid w:val="005D194F"/>
    <w:rsid w:val="005D210B"/>
    <w:rsid w:val="005D263F"/>
    <w:rsid w:val="005D2E12"/>
    <w:rsid w:val="005D30C8"/>
    <w:rsid w:val="005D366D"/>
    <w:rsid w:val="005D3A80"/>
    <w:rsid w:val="005D3BE5"/>
    <w:rsid w:val="005D4082"/>
    <w:rsid w:val="005D4997"/>
    <w:rsid w:val="005D4B7C"/>
    <w:rsid w:val="005D62E2"/>
    <w:rsid w:val="005D64D8"/>
    <w:rsid w:val="005D6A53"/>
    <w:rsid w:val="005D7351"/>
    <w:rsid w:val="005D7BD8"/>
    <w:rsid w:val="005E0833"/>
    <w:rsid w:val="005E2065"/>
    <w:rsid w:val="005E2308"/>
    <w:rsid w:val="005E24D7"/>
    <w:rsid w:val="005E27C5"/>
    <w:rsid w:val="005E3891"/>
    <w:rsid w:val="005E42B0"/>
    <w:rsid w:val="005E5BAD"/>
    <w:rsid w:val="005E6C8D"/>
    <w:rsid w:val="005E6DF4"/>
    <w:rsid w:val="005E7172"/>
    <w:rsid w:val="005F0CC1"/>
    <w:rsid w:val="005F0EB5"/>
    <w:rsid w:val="005F1352"/>
    <w:rsid w:val="005F1637"/>
    <w:rsid w:val="005F20DB"/>
    <w:rsid w:val="005F2CFD"/>
    <w:rsid w:val="005F421E"/>
    <w:rsid w:val="005F464D"/>
    <w:rsid w:val="005F4840"/>
    <w:rsid w:val="005F4E7E"/>
    <w:rsid w:val="005F51BB"/>
    <w:rsid w:val="005F55F8"/>
    <w:rsid w:val="005F5B5D"/>
    <w:rsid w:val="005F6A7D"/>
    <w:rsid w:val="006035EC"/>
    <w:rsid w:val="00603850"/>
    <w:rsid w:val="00604C40"/>
    <w:rsid w:val="0060544B"/>
    <w:rsid w:val="0060717D"/>
    <w:rsid w:val="00610E6B"/>
    <w:rsid w:val="00611791"/>
    <w:rsid w:val="00611B00"/>
    <w:rsid w:val="00611BD2"/>
    <w:rsid w:val="00611F88"/>
    <w:rsid w:val="00612055"/>
    <w:rsid w:val="00612570"/>
    <w:rsid w:val="00612E95"/>
    <w:rsid w:val="006149A6"/>
    <w:rsid w:val="00616CDE"/>
    <w:rsid w:val="00620AEB"/>
    <w:rsid w:val="00621489"/>
    <w:rsid w:val="0062393C"/>
    <w:rsid w:val="00624526"/>
    <w:rsid w:val="006249B2"/>
    <w:rsid w:val="00624CB7"/>
    <w:rsid w:val="0062578B"/>
    <w:rsid w:val="00625793"/>
    <w:rsid w:val="00625900"/>
    <w:rsid w:val="006276D1"/>
    <w:rsid w:val="00631D4A"/>
    <w:rsid w:val="00632436"/>
    <w:rsid w:val="006332AF"/>
    <w:rsid w:val="006333AB"/>
    <w:rsid w:val="0063444C"/>
    <w:rsid w:val="00634941"/>
    <w:rsid w:val="00635328"/>
    <w:rsid w:val="006370BC"/>
    <w:rsid w:val="00641EF2"/>
    <w:rsid w:val="00642E98"/>
    <w:rsid w:val="00644254"/>
    <w:rsid w:val="00644422"/>
    <w:rsid w:val="006456C3"/>
    <w:rsid w:val="00650391"/>
    <w:rsid w:val="00654AC6"/>
    <w:rsid w:val="00654DDB"/>
    <w:rsid w:val="00655B22"/>
    <w:rsid w:val="00656285"/>
    <w:rsid w:val="00656E68"/>
    <w:rsid w:val="006573C7"/>
    <w:rsid w:val="006576E9"/>
    <w:rsid w:val="0066216C"/>
    <w:rsid w:val="006639FE"/>
    <w:rsid w:val="0066458E"/>
    <w:rsid w:val="00666350"/>
    <w:rsid w:val="006671F3"/>
    <w:rsid w:val="00670D4B"/>
    <w:rsid w:val="00673267"/>
    <w:rsid w:val="00673288"/>
    <w:rsid w:val="00673721"/>
    <w:rsid w:val="00674E1C"/>
    <w:rsid w:val="00676D10"/>
    <w:rsid w:val="00677FC8"/>
    <w:rsid w:val="006815E8"/>
    <w:rsid w:val="0068225F"/>
    <w:rsid w:val="0068265E"/>
    <w:rsid w:val="0068274E"/>
    <w:rsid w:val="00682AA7"/>
    <w:rsid w:val="006839E9"/>
    <w:rsid w:val="006855EB"/>
    <w:rsid w:val="00685F4D"/>
    <w:rsid w:val="00690A68"/>
    <w:rsid w:val="0069138E"/>
    <w:rsid w:val="0069475E"/>
    <w:rsid w:val="00695864"/>
    <w:rsid w:val="00695F8B"/>
    <w:rsid w:val="00696493"/>
    <w:rsid w:val="00696691"/>
    <w:rsid w:val="00696826"/>
    <w:rsid w:val="0069760D"/>
    <w:rsid w:val="00697F52"/>
    <w:rsid w:val="006A3437"/>
    <w:rsid w:val="006A3762"/>
    <w:rsid w:val="006A453A"/>
    <w:rsid w:val="006A572B"/>
    <w:rsid w:val="006A58AC"/>
    <w:rsid w:val="006A5F6D"/>
    <w:rsid w:val="006A610E"/>
    <w:rsid w:val="006A6BA7"/>
    <w:rsid w:val="006B058A"/>
    <w:rsid w:val="006B330E"/>
    <w:rsid w:val="006B4DC1"/>
    <w:rsid w:val="006B4FEF"/>
    <w:rsid w:val="006B5E98"/>
    <w:rsid w:val="006B6799"/>
    <w:rsid w:val="006B6C77"/>
    <w:rsid w:val="006C0926"/>
    <w:rsid w:val="006C5B02"/>
    <w:rsid w:val="006C5DD4"/>
    <w:rsid w:val="006C61FF"/>
    <w:rsid w:val="006C6398"/>
    <w:rsid w:val="006C6675"/>
    <w:rsid w:val="006C6A60"/>
    <w:rsid w:val="006C79D3"/>
    <w:rsid w:val="006D0B15"/>
    <w:rsid w:val="006D0D5C"/>
    <w:rsid w:val="006D0FF1"/>
    <w:rsid w:val="006D240A"/>
    <w:rsid w:val="006D3424"/>
    <w:rsid w:val="006D3E85"/>
    <w:rsid w:val="006D621D"/>
    <w:rsid w:val="006D6F09"/>
    <w:rsid w:val="006E1935"/>
    <w:rsid w:val="006E228B"/>
    <w:rsid w:val="006E2EDD"/>
    <w:rsid w:val="006E3CDD"/>
    <w:rsid w:val="006E461B"/>
    <w:rsid w:val="006E5E47"/>
    <w:rsid w:val="006E709D"/>
    <w:rsid w:val="006E719A"/>
    <w:rsid w:val="006E7A71"/>
    <w:rsid w:val="006F0C7A"/>
    <w:rsid w:val="006F12F7"/>
    <w:rsid w:val="006F1A00"/>
    <w:rsid w:val="006F22DC"/>
    <w:rsid w:val="006F3323"/>
    <w:rsid w:val="006F3A04"/>
    <w:rsid w:val="006F3BDA"/>
    <w:rsid w:val="006F4866"/>
    <w:rsid w:val="006F53E6"/>
    <w:rsid w:val="006F57A6"/>
    <w:rsid w:val="006F5898"/>
    <w:rsid w:val="006F6DC5"/>
    <w:rsid w:val="0070240A"/>
    <w:rsid w:val="00702EED"/>
    <w:rsid w:val="00702FED"/>
    <w:rsid w:val="00703419"/>
    <w:rsid w:val="00704889"/>
    <w:rsid w:val="00705642"/>
    <w:rsid w:val="00706C1A"/>
    <w:rsid w:val="00710E34"/>
    <w:rsid w:val="00711A6C"/>
    <w:rsid w:val="00713F2C"/>
    <w:rsid w:val="007173FA"/>
    <w:rsid w:val="0071756C"/>
    <w:rsid w:val="007216A3"/>
    <w:rsid w:val="00724AA2"/>
    <w:rsid w:val="00730E93"/>
    <w:rsid w:val="007355A8"/>
    <w:rsid w:val="00740AB9"/>
    <w:rsid w:val="00744F34"/>
    <w:rsid w:val="007450BE"/>
    <w:rsid w:val="00745891"/>
    <w:rsid w:val="0074598F"/>
    <w:rsid w:val="00746622"/>
    <w:rsid w:val="00746972"/>
    <w:rsid w:val="007506DD"/>
    <w:rsid w:val="00751D16"/>
    <w:rsid w:val="007527D5"/>
    <w:rsid w:val="00754A8D"/>
    <w:rsid w:val="00757735"/>
    <w:rsid w:val="00757B89"/>
    <w:rsid w:val="00757D4E"/>
    <w:rsid w:val="00757E6E"/>
    <w:rsid w:val="00760FDC"/>
    <w:rsid w:val="007611CA"/>
    <w:rsid w:val="00761F8A"/>
    <w:rsid w:val="0076206D"/>
    <w:rsid w:val="0076243A"/>
    <w:rsid w:val="00763010"/>
    <w:rsid w:val="007646C1"/>
    <w:rsid w:val="00764BE6"/>
    <w:rsid w:val="00764FF9"/>
    <w:rsid w:val="00770900"/>
    <w:rsid w:val="007713AA"/>
    <w:rsid w:val="00771933"/>
    <w:rsid w:val="00773FBC"/>
    <w:rsid w:val="00774C96"/>
    <w:rsid w:val="007762BE"/>
    <w:rsid w:val="00776748"/>
    <w:rsid w:val="0078102A"/>
    <w:rsid w:val="00781B3F"/>
    <w:rsid w:val="00781E0A"/>
    <w:rsid w:val="007829D8"/>
    <w:rsid w:val="00783A3D"/>
    <w:rsid w:val="00784964"/>
    <w:rsid w:val="00784F17"/>
    <w:rsid w:val="0078619C"/>
    <w:rsid w:val="00786419"/>
    <w:rsid w:val="00790BAD"/>
    <w:rsid w:val="0079172D"/>
    <w:rsid w:val="00794A2E"/>
    <w:rsid w:val="0079524E"/>
    <w:rsid w:val="00795C2B"/>
    <w:rsid w:val="00796716"/>
    <w:rsid w:val="007A078B"/>
    <w:rsid w:val="007A08A5"/>
    <w:rsid w:val="007A10C0"/>
    <w:rsid w:val="007A19F0"/>
    <w:rsid w:val="007A3837"/>
    <w:rsid w:val="007A4A68"/>
    <w:rsid w:val="007A4E6A"/>
    <w:rsid w:val="007A5A65"/>
    <w:rsid w:val="007B0C64"/>
    <w:rsid w:val="007B1738"/>
    <w:rsid w:val="007B48FC"/>
    <w:rsid w:val="007B4D7D"/>
    <w:rsid w:val="007B54A2"/>
    <w:rsid w:val="007B6646"/>
    <w:rsid w:val="007B7A2C"/>
    <w:rsid w:val="007C2664"/>
    <w:rsid w:val="007C614C"/>
    <w:rsid w:val="007C6BEF"/>
    <w:rsid w:val="007D1918"/>
    <w:rsid w:val="007D210D"/>
    <w:rsid w:val="007D2403"/>
    <w:rsid w:val="007D3C2B"/>
    <w:rsid w:val="007D491A"/>
    <w:rsid w:val="007D4ED6"/>
    <w:rsid w:val="007E0901"/>
    <w:rsid w:val="007E162B"/>
    <w:rsid w:val="007E168A"/>
    <w:rsid w:val="007E186B"/>
    <w:rsid w:val="007E2F49"/>
    <w:rsid w:val="007E3BAC"/>
    <w:rsid w:val="007E3F08"/>
    <w:rsid w:val="007E4C24"/>
    <w:rsid w:val="007F05D8"/>
    <w:rsid w:val="007F162F"/>
    <w:rsid w:val="007F19EB"/>
    <w:rsid w:val="007F380B"/>
    <w:rsid w:val="007F3EA8"/>
    <w:rsid w:val="007F4BFB"/>
    <w:rsid w:val="007F7722"/>
    <w:rsid w:val="007F7AB4"/>
    <w:rsid w:val="0080059B"/>
    <w:rsid w:val="008005E5"/>
    <w:rsid w:val="00800F06"/>
    <w:rsid w:val="00801EA4"/>
    <w:rsid w:val="00803148"/>
    <w:rsid w:val="008047D5"/>
    <w:rsid w:val="00804B41"/>
    <w:rsid w:val="00805727"/>
    <w:rsid w:val="008059DB"/>
    <w:rsid w:val="00806CFE"/>
    <w:rsid w:val="00807CA8"/>
    <w:rsid w:val="00807CE1"/>
    <w:rsid w:val="00811B92"/>
    <w:rsid w:val="00811C28"/>
    <w:rsid w:val="008154E0"/>
    <w:rsid w:val="00820398"/>
    <w:rsid w:val="0082124E"/>
    <w:rsid w:val="00821250"/>
    <w:rsid w:val="00821725"/>
    <w:rsid w:val="00821A4E"/>
    <w:rsid w:val="00821BA8"/>
    <w:rsid w:val="00821F8D"/>
    <w:rsid w:val="00822BCE"/>
    <w:rsid w:val="00824AE8"/>
    <w:rsid w:val="008317A1"/>
    <w:rsid w:val="00833483"/>
    <w:rsid w:val="00833856"/>
    <w:rsid w:val="00834C8F"/>
    <w:rsid w:val="008352D3"/>
    <w:rsid w:val="00835A3D"/>
    <w:rsid w:val="008373D1"/>
    <w:rsid w:val="00837924"/>
    <w:rsid w:val="00840B92"/>
    <w:rsid w:val="008426A4"/>
    <w:rsid w:val="008426FE"/>
    <w:rsid w:val="00843CB5"/>
    <w:rsid w:val="008445DA"/>
    <w:rsid w:val="00844A5D"/>
    <w:rsid w:val="00844E17"/>
    <w:rsid w:val="00845EBD"/>
    <w:rsid w:val="00845FAB"/>
    <w:rsid w:val="008500EA"/>
    <w:rsid w:val="00850CFE"/>
    <w:rsid w:val="00851864"/>
    <w:rsid w:val="00851D30"/>
    <w:rsid w:val="00852F5D"/>
    <w:rsid w:val="00853409"/>
    <w:rsid w:val="00853467"/>
    <w:rsid w:val="008552F8"/>
    <w:rsid w:val="00856FDF"/>
    <w:rsid w:val="0086092D"/>
    <w:rsid w:val="00860D56"/>
    <w:rsid w:val="0086335C"/>
    <w:rsid w:val="0086423D"/>
    <w:rsid w:val="00865893"/>
    <w:rsid w:val="0086637C"/>
    <w:rsid w:val="00866793"/>
    <w:rsid w:val="00866799"/>
    <w:rsid w:val="00866E5A"/>
    <w:rsid w:val="00867F60"/>
    <w:rsid w:val="00870CF9"/>
    <w:rsid w:val="00870F76"/>
    <w:rsid w:val="008744A5"/>
    <w:rsid w:val="00874679"/>
    <w:rsid w:val="00875CAB"/>
    <w:rsid w:val="00876382"/>
    <w:rsid w:val="008763B4"/>
    <w:rsid w:val="00877C77"/>
    <w:rsid w:val="00877E26"/>
    <w:rsid w:val="00880C08"/>
    <w:rsid w:val="0088103F"/>
    <w:rsid w:val="008814D5"/>
    <w:rsid w:val="00881B85"/>
    <w:rsid w:val="00882606"/>
    <w:rsid w:val="00882D53"/>
    <w:rsid w:val="00882F05"/>
    <w:rsid w:val="008839E1"/>
    <w:rsid w:val="008840C5"/>
    <w:rsid w:val="008875A1"/>
    <w:rsid w:val="0089013F"/>
    <w:rsid w:val="00891EC7"/>
    <w:rsid w:val="00893E09"/>
    <w:rsid w:val="00896796"/>
    <w:rsid w:val="00896EB9"/>
    <w:rsid w:val="00897E0E"/>
    <w:rsid w:val="008A19E8"/>
    <w:rsid w:val="008A2F0D"/>
    <w:rsid w:val="008A4079"/>
    <w:rsid w:val="008A41AC"/>
    <w:rsid w:val="008A52C8"/>
    <w:rsid w:val="008A5501"/>
    <w:rsid w:val="008A6078"/>
    <w:rsid w:val="008A7F34"/>
    <w:rsid w:val="008B096C"/>
    <w:rsid w:val="008B1C50"/>
    <w:rsid w:val="008B32BA"/>
    <w:rsid w:val="008B5BBD"/>
    <w:rsid w:val="008B714D"/>
    <w:rsid w:val="008B7D1A"/>
    <w:rsid w:val="008C114F"/>
    <w:rsid w:val="008C1339"/>
    <w:rsid w:val="008C2553"/>
    <w:rsid w:val="008C3B4F"/>
    <w:rsid w:val="008C3B88"/>
    <w:rsid w:val="008C4425"/>
    <w:rsid w:val="008C5077"/>
    <w:rsid w:val="008C5E3F"/>
    <w:rsid w:val="008C62A4"/>
    <w:rsid w:val="008C6B1C"/>
    <w:rsid w:val="008C6F9E"/>
    <w:rsid w:val="008D145B"/>
    <w:rsid w:val="008D20C9"/>
    <w:rsid w:val="008D33E8"/>
    <w:rsid w:val="008D3AE7"/>
    <w:rsid w:val="008D5223"/>
    <w:rsid w:val="008D5A0E"/>
    <w:rsid w:val="008D70D1"/>
    <w:rsid w:val="008E0DB9"/>
    <w:rsid w:val="008E37C3"/>
    <w:rsid w:val="008E48D2"/>
    <w:rsid w:val="008E5EFC"/>
    <w:rsid w:val="008E66AD"/>
    <w:rsid w:val="008F0AB1"/>
    <w:rsid w:val="008F1349"/>
    <w:rsid w:val="008F2611"/>
    <w:rsid w:val="008F2CD7"/>
    <w:rsid w:val="008F4551"/>
    <w:rsid w:val="008F5965"/>
    <w:rsid w:val="008F63AF"/>
    <w:rsid w:val="008F6E86"/>
    <w:rsid w:val="008F774B"/>
    <w:rsid w:val="0090132C"/>
    <w:rsid w:val="009016E5"/>
    <w:rsid w:val="0090224B"/>
    <w:rsid w:val="009026D9"/>
    <w:rsid w:val="00905F5E"/>
    <w:rsid w:val="0091033E"/>
    <w:rsid w:val="00912691"/>
    <w:rsid w:val="009128D6"/>
    <w:rsid w:val="00913426"/>
    <w:rsid w:val="009146CB"/>
    <w:rsid w:val="0091479D"/>
    <w:rsid w:val="00915F68"/>
    <w:rsid w:val="00915F7D"/>
    <w:rsid w:val="00916866"/>
    <w:rsid w:val="00916B29"/>
    <w:rsid w:val="00916BF8"/>
    <w:rsid w:val="00916E12"/>
    <w:rsid w:val="00917AC2"/>
    <w:rsid w:val="0092197B"/>
    <w:rsid w:val="00922054"/>
    <w:rsid w:val="00923102"/>
    <w:rsid w:val="00923829"/>
    <w:rsid w:val="00925DF3"/>
    <w:rsid w:val="00930EA4"/>
    <w:rsid w:val="0093219B"/>
    <w:rsid w:val="00932222"/>
    <w:rsid w:val="00932C1C"/>
    <w:rsid w:val="0093379E"/>
    <w:rsid w:val="00934A3C"/>
    <w:rsid w:val="0093613B"/>
    <w:rsid w:val="0093777E"/>
    <w:rsid w:val="00941CAD"/>
    <w:rsid w:val="00941E84"/>
    <w:rsid w:val="009439DF"/>
    <w:rsid w:val="00943FE1"/>
    <w:rsid w:val="00944A4A"/>
    <w:rsid w:val="00944EFB"/>
    <w:rsid w:val="00947E65"/>
    <w:rsid w:val="009503E6"/>
    <w:rsid w:val="0095043C"/>
    <w:rsid w:val="00950525"/>
    <w:rsid w:val="009519E2"/>
    <w:rsid w:val="0095280C"/>
    <w:rsid w:val="0095607D"/>
    <w:rsid w:val="0095632E"/>
    <w:rsid w:val="009578A9"/>
    <w:rsid w:val="00962007"/>
    <w:rsid w:val="00965981"/>
    <w:rsid w:val="00966005"/>
    <w:rsid w:val="00967807"/>
    <w:rsid w:val="00967C95"/>
    <w:rsid w:val="0097035C"/>
    <w:rsid w:val="009705D0"/>
    <w:rsid w:val="00970674"/>
    <w:rsid w:val="00971B22"/>
    <w:rsid w:val="009720C1"/>
    <w:rsid w:val="00972A80"/>
    <w:rsid w:val="00973517"/>
    <w:rsid w:val="009736EF"/>
    <w:rsid w:val="00973D2C"/>
    <w:rsid w:val="00974632"/>
    <w:rsid w:val="00974E2D"/>
    <w:rsid w:val="00975F99"/>
    <w:rsid w:val="009768D7"/>
    <w:rsid w:val="009771E9"/>
    <w:rsid w:val="009773A9"/>
    <w:rsid w:val="00977C4A"/>
    <w:rsid w:val="00980E6A"/>
    <w:rsid w:val="00984987"/>
    <w:rsid w:val="00984E06"/>
    <w:rsid w:val="00985CF4"/>
    <w:rsid w:val="009867A1"/>
    <w:rsid w:val="0098760B"/>
    <w:rsid w:val="00987B4D"/>
    <w:rsid w:val="00990DCD"/>
    <w:rsid w:val="00994EBD"/>
    <w:rsid w:val="00995708"/>
    <w:rsid w:val="009966DB"/>
    <w:rsid w:val="00997C94"/>
    <w:rsid w:val="009A02F2"/>
    <w:rsid w:val="009A11F6"/>
    <w:rsid w:val="009A2A38"/>
    <w:rsid w:val="009A3D7C"/>
    <w:rsid w:val="009A437A"/>
    <w:rsid w:val="009A43A3"/>
    <w:rsid w:val="009A60EF"/>
    <w:rsid w:val="009A68DD"/>
    <w:rsid w:val="009A6BBA"/>
    <w:rsid w:val="009A7B0B"/>
    <w:rsid w:val="009B2352"/>
    <w:rsid w:val="009B3E99"/>
    <w:rsid w:val="009B4376"/>
    <w:rsid w:val="009B5EC7"/>
    <w:rsid w:val="009B6B84"/>
    <w:rsid w:val="009C0C40"/>
    <w:rsid w:val="009C0D66"/>
    <w:rsid w:val="009C2781"/>
    <w:rsid w:val="009C42C6"/>
    <w:rsid w:val="009C4353"/>
    <w:rsid w:val="009C48DA"/>
    <w:rsid w:val="009C4D62"/>
    <w:rsid w:val="009C5D4F"/>
    <w:rsid w:val="009C6760"/>
    <w:rsid w:val="009C7C7D"/>
    <w:rsid w:val="009D0752"/>
    <w:rsid w:val="009D0F1D"/>
    <w:rsid w:val="009D10DB"/>
    <w:rsid w:val="009D1256"/>
    <w:rsid w:val="009D256A"/>
    <w:rsid w:val="009D3A72"/>
    <w:rsid w:val="009D41B9"/>
    <w:rsid w:val="009D708F"/>
    <w:rsid w:val="009D7391"/>
    <w:rsid w:val="009E081E"/>
    <w:rsid w:val="009E4011"/>
    <w:rsid w:val="009E51E4"/>
    <w:rsid w:val="009E7E93"/>
    <w:rsid w:val="009F0103"/>
    <w:rsid w:val="009F2F54"/>
    <w:rsid w:val="009F3EF5"/>
    <w:rsid w:val="009F442D"/>
    <w:rsid w:val="009F4D47"/>
    <w:rsid w:val="009F51EE"/>
    <w:rsid w:val="009F5A15"/>
    <w:rsid w:val="009F5BD8"/>
    <w:rsid w:val="009F7800"/>
    <w:rsid w:val="00A004B7"/>
    <w:rsid w:val="00A00A4A"/>
    <w:rsid w:val="00A02742"/>
    <w:rsid w:val="00A076A2"/>
    <w:rsid w:val="00A07955"/>
    <w:rsid w:val="00A07A80"/>
    <w:rsid w:val="00A10C40"/>
    <w:rsid w:val="00A11767"/>
    <w:rsid w:val="00A123FC"/>
    <w:rsid w:val="00A145CF"/>
    <w:rsid w:val="00A1466E"/>
    <w:rsid w:val="00A14DF7"/>
    <w:rsid w:val="00A1511B"/>
    <w:rsid w:val="00A157E5"/>
    <w:rsid w:val="00A16874"/>
    <w:rsid w:val="00A1779A"/>
    <w:rsid w:val="00A20240"/>
    <w:rsid w:val="00A211A1"/>
    <w:rsid w:val="00A223DC"/>
    <w:rsid w:val="00A23927"/>
    <w:rsid w:val="00A23FF3"/>
    <w:rsid w:val="00A2416C"/>
    <w:rsid w:val="00A256BB"/>
    <w:rsid w:val="00A260D1"/>
    <w:rsid w:val="00A2756C"/>
    <w:rsid w:val="00A27686"/>
    <w:rsid w:val="00A27810"/>
    <w:rsid w:val="00A27E31"/>
    <w:rsid w:val="00A31052"/>
    <w:rsid w:val="00A32739"/>
    <w:rsid w:val="00A33C16"/>
    <w:rsid w:val="00A35229"/>
    <w:rsid w:val="00A36BDE"/>
    <w:rsid w:val="00A4426A"/>
    <w:rsid w:val="00A4458E"/>
    <w:rsid w:val="00A45241"/>
    <w:rsid w:val="00A45590"/>
    <w:rsid w:val="00A468AF"/>
    <w:rsid w:val="00A50429"/>
    <w:rsid w:val="00A5223B"/>
    <w:rsid w:val="00A52314"/>
    <w:rsid w:val="00A52787"/>
    <w:rsid w:val="00A55E0B"/>
    <w:rsid w:val="00A5674D"/>
    <w:rsid w:val="00A56BE3"/>
    <w:rsid w:val="00A56C99"/>
    <w:rsid w:val="00A62E60"/>
    <w:rsid w:val="00A64C9C"/>
    <w:rsid w:val="00A65F9F"/>
    <w:rsid w:val="00A66F78"/>
    <w:rsid w:val="00A70BCC"/>
    <w:rsid w:val="00A71048"/>
    <w:rsid w:val="00A7211F"/>
    <w:rsid w:val="00A72F36"/>
    <w:rsid w:val="00A74AAB"/>
    <w:rsid w:val="00A75A86"/>
    <w:rsid w:val="00A76A76"/>
    <w:rsid w:val="00A773D0"/>
    <w:rsid w:val="00A8207B"/>
    <w:rsid w:val="00A85138"/>
    <w:rsid w:val="00A861CE"/>
    <w:rsid w:val="00A867F2"/>
    <w:rsid w:val="00A900BD"/>
    <w:rsid w:val="00A9129A"/>
    <w:rsid w:val="00A91985"/>
    <w:rsid w:val="00A91D4F"/>
    <w:rsid w:val="00A92A3B"/>
    <w:rsid w:val="00A937D9"/>
    <w:rsid w:val="00A9412C"/>
    <w:rsid w:val="00A949FA"/>
    <w:rsid w:val="00A95762"/>
    <w:rsid w:val="00A9625F"/>
    <w:rsid w:val="00A965D0"/>
    <w:rsid w:val="00A96C7C"/>
    <w:rsid w:val="00AA03A0"/>
    <w:rsid w:val="00AA2B87"/>
    <w:rsid w:val="00AA5820"/>
    <w:rsid w:val="00AA7B32"/>
    <w:rsid w:val="00AB0757"/>
    <w:rsid w:val="00AB1A59"/>
    <w:rsid w:val="00AB541F"/>
    <w:rsid w:val="00AB7B77"/>
    <w:rsid w:val="00AC06EA"/>
    <w:rsid w:val="00AC0F6F"/>
    <w:rsid w:val="00AC1A42"/>
    <w:rsid w:val="00AC1EE6"/>
    <w:rsid w:val="00AC2DEA"/>
    <w:rsid w:val="00AC396D"/>
    <w:rsid w:val="00AC4121"/>
    <w:rsid w:val="00AC51AD"/>
    <w:rsid w:val="00AD548B"/>
    <w:rsid w:val="00AD7823"/>
    <w:rsid w:val="00AE2EDB"/>
    <w:rsid w:val="00AE32DA"/>
    <w:rsid w:val="00AE774A"/>
    <w:rsid w:val="00AE7DD3"/>
    <w:rsid w:val="00AE7EAA"/>
    <w:rsid w:val="00AF06BE"/>
    <w:rsid w:val="00AF1EE1"/>
    <w:rsid w:val="00AF3794"/>
    <w:rsid w:val="00AF37A1"/>
    <w:rsid w:val="00AF383F"/>
    <w:rsid w:val="00AF3C31"/>
    <w:rsid w:val="00AF3F53"/>
    <w:rsid w:val="00AF4DC9"/>
    <w:rsid w:val="00AF5A9B"/>
    <w:rsid w:val="00AF6238"/>
    <w:rsid w:val="00AF7FAA"/>
    <w:rsid w:val="00B0092C"/>
    <w:rsid w:val="00B00B6A"/>
    <w:rsid w:val="00B00DEB"/>
    <w:rsid w:val="00B01081"/>
    <w:rsid w:val="00B01568"/>
    <w:rsid w:val="00B028BE"/>
    <w:rsid w:val="00B03D2E"/>
    <w:rsid w:val="00B0541E"/>
    <w:rsid w:val="00B0575B"/>
    <w:rsid w:val="00B05C4D"/>
    <w:rsid w:val="00B05E2E"/>
    <w:rsid w:val="00B11A5B"/>
    <w:rsid w:val="00B11DB0"/>
    <w:rsid w:val="00B13393"/>
    <w:rsid w:val="00B13807"/>
    <w:rsid w:val="00B13905"/>
    <w:rsid w:val="00B14C07"/>
    <w:rsid w:val="00B154FE"/>
    <w:rsid w:val="00B1767D"/>
    <w:rsid w:val="00B1786C"/>
    <w:rsid w:val="00B179C3"/>
    <w:rsid w:val="00B17DCE"/>
    <w:rsid w:val="00B20015"/>
    <w:rsid w:val="00B201B3"/>
    <w:rsid w:val="00B222B0"/>
    <w:rsid w:val="00B2434E"/>
    <w:rsid w:val="00B252F2"/>
    <w:rsid w:val="00B25DCE"/>
    <w:rsid w:val="00B26A45"/>
    <w:rsid w:val="00B309EE"/>
    <w:rsid w:val="00B30F64"/>
    <w:rsid w:val="00B3118E"/>
    <w:rsid w:val="00B3119A"/>
    <w:rsid w:val="00B32391"/>
    <w:rsid w:val="00B33486"/>
    <w:rsid w:val="00B33DE3"/>
    <w:rsid w:val="00B3459B"/>
    <w:rsid w:val="00B346EF"/>
    <w:rsid w:val="00B34A6C"/>
    <w:rsid w:val="00B34C14"/>
    <w:rsid w:val="00B34D35"/>
    <w:rsid w:val="00B36359"/>
    <w:rsid w:val="00B37F8A"/>
    <w:rsid w:val="00B41499"/>
    <w:rsid w:val="00B420C9"/>
    <w:rsid w:val="00B44793"/>
    <w:rsid w:val="00B45972"/>
    <w:rsid w:val="00B475E1"/>
    <w:rsid w:val="00B47CF0"/>
    <w:rsid w:val="00B514B4"/>
    <w:rsid w:val="00B51862"/>
    <w:rsid w:val="00B51964"/>
    <w:rsid w:val="00B5351F"/>
    <w:rsid w:val="00B53C5B"/>
    <w:rsid w:val="00B554F4"/>
    <w:rsid w:val="00B56280"/>
    <w:rsid w:val="00B606F4"/>
    <w:rsid w:val="00B61B6F"/>
    <w:rsid w:val="00B629FF"/>
    <w:rsid w:val="00B65AFF"/>
    <w:rsid w:val="00B65D8D"/>
    <w:rsid w:val="00B66A12"/>
    <w:rsid w:val="00B728DB"/>
    <w:rsid w:val="00B73C84"/>
    <w:rsid w:val="00B740F5"/>
    <w:rsid w:val="00B751AA"/>
    <w:rsid w:val="00B80CB1"/>
    <w:rsid w:val="00B81EF8"/>
    <w:rsid w:val="00B82BF5"/>
    <w:rsid w:val="00B83873"/>
    <w:rsid w:val="00B848A6"/>
    <w:rsid w:val="00B86B5B"/>
    <w:rsid w:val="00B87384"/>
    <w:rsid w:val="00B91AEA"/>
    <w:rsid w:val="00B92185"/>
    <w:rsid w:val="00B93039"/>
    <w:rsid w:val="00B93751"/>
    <w:rsid w:val="00B9397D"/>
    <w:rsid w:val="00B9449A"/>
    <w:rsid w:val="00B948FC"/>
    <w:rsid w:val="00B94AB0"/>
    <w:rsid w:val="00B9597F"/>
    <w:rsid w:val="00B95C84"/>
    <w:rsid w:val="00B96444"/>
    <w:rsid w:val="00B9700F"/>
    <w:rsid w:val="00BA01E1"/>
    <w:rsid w:val="00BA318B"/>
    <w:rsid w:val="00BA3C42"/>
    <w:rsid w:val="00BA3DC3"/>
    <w:rsid w:val="00BA4837"/>
    <w:rsid w:val="00BA4856"/>
    <w:rsid w:val="00BB30D3"/>
    <w:rsid w:val="00BB5E17"/>
    <w:rsid w:val="00BB6AF5"/>
    <w:rsid w:val="00BB75CC"/>
    <w:rsid w:val="00BC0C6C"/>
    <w:rsid w:val="00BC1160"/>
    <w:rsid w:val="00BC1EA9"/>
    <w:rsid w:val="00BC2537"/>
    <w:rsid w:val="00BC2CC2"/>
    <w:rsid w:val="00BC4C09"/>
    <w:rsid w:val="00BC5E7C"/>
    <w:rsid w:val="00BC6BB3"/>
    <w:rsid w:val="00BC72D4"/>
    <w:rsid w:val="00BC7FF8"/>
    <w:rsid w:val="00BD1365"/>
    <w:rsid w:val="00BD3D73"/>
    <w:rsid w:val="00BD426E"/>
    <w:rsid w:val="00BD5506"/>
    <w:rsid w:val="00BD58EA"/>
    <w:rsid w:val="00BD5B6C"/>
    <w:rsid w:val="00BD7030"/>
    <w:rsid w:val="00BD7F44"/>
    <w:rsid w:val="00BE2920"/>
    <w:rsid w:val="00BE2BC7"/>
    <w:rsid w:val="00BE2D22"/>
    <w:rsid w:val="00BE3542"/>
    <w:rsid w:val="00BE3B27"/>
    <w:rsid w:val="00BE458D"/>
    <w:rsid w:val="00BE4A02"/>
    <w:rsid w:val="00BE4B87"/>
    <w:rsid w:val="00BE667F"/>
    <w:rsid w:val="00BE6E91"/>
    <w:rsid w:val="00BE78D9"/>
    <w:rsid w:val="00BF14F6"/>
    <w:rsid w:val="00BF181B"/>
    <w:rsid w:val="00BF4958"/>
    <w:rsid w:val="00BF4B3D"/>
    <w:rsid w:val="00BF7474"/>
    <w:rsid w:val="00BF7D57"/>
    <w:rsid w:val="00C019D6"/>
    <w:rsid w:val="00C0215F"/>
    <w:rsid w:val="00C02F5E"/>
    <w:rsid w:val="00C03D98"/>
    <w:rsid w:val="00C045F8"/>
    <w:rsid w:val="00C04912"/>
    <w:rsid w:val="00C052E4"/>
    <w:rsid w:val="00C10940"/>
    <w:rsid w:val="00C11025"/>
    <w:rsid w:val="00C13671"/>
    <w:rsid w:val="00C15D03"/>
    <w:rsid w:val="00C16997"/>
    <w:rsid w:val="00C17FD0"/>
    <w:rsid w:val="00C206B5"/>
    <w:rsid w:val="00C20BC2"/>
    <w:rsid w:val="00C20DA7"/>
    <w:rsid w:val="00C21235"/>
    <w:rsid w:val="00C2145A"/>
    <w:rsid w:val="00C221BB"/>
    <w:rsid w:val="00C22DCB"/>
    <w:rsid w:val="00C243EF"/>
    <w:rsid w:val="00C245D8"/>
    <w:rsid w:val="00C24A86"/>
    <w:rsid w:val="00C25E06"/>
    <w:rsid w:val="00C26112"/>
    <w:rsid w:val="00C26629"/>
    <w:rsid w:val="00C27013"/>
    <w:rsid w:val="00C27776"/>
    <w:rsid w:val="00C30CC3"/>
    <w:rsid w:val="00C31982"/>
    <w:rsid w:val="00C31DDB"/>
    <w:rsid w:val="00C3211A"/>
    <w:rsid w:val="00C321DD"/>
    <w:rsid w:val="00C3395E"/>
    <w:rsid w:val="00C34F01"/>
    <w:rsid w:val="00C364C9"/>
    <w:rsid w:val="00C37DCD"/>
    <w:rsid w:val="00C4046E"/>
    <w:rsid w:val="00C40690"/>
    <w:rsid w:val="00C408C0"/>
    <w:rsid w:val="00C42604"/>
    <w:rsid w:val="00C42C04"/>
    <w:rsid w:val="00C438B6"/>
    <w:rsid w:val="00C45BA1"/>
    <w:rsid w:val="00C467A5"/>
    <w:rsid w:val="00C47165"/>
    <w:rsid w:val="00C477D4"/>
    <w:rsid w:val="00C4782B"/>
    <w:rsid w:val="00C47FD1"/>
    <w:rsid w:val="00C511DE"/>
    <w:rsid w:val="00C52907"/>
    <w:rsid w:val="00C52CDF"/>
    <w:rsid w:val="00C52E8E"/>
    <w:rsid w:val="00C5432A"/>
    <w:rsid w:val="00C56ED8"/>
    <w:rsid w:val="00C60424"/>
    <w:rsid w:val="00C60A82"/>
    <w:rsid w:val="00C634E0"/>
    <w:rsid w:val="00C63B55"/>
    <w:rsid w:val="00C6410D"/>
    <w:rsid w:val="00C6767D"/>
    <w:rsid w:val="00C71F7D"/>
    <w:rsid w:val="00C72A0D"/>
    <w:rsid w:val="00C73C6A"/>
    <w:rsid w:val="00C74351"/>
    <w:rsid w:val="00C774C6"/>
    <w:rsid w:val="00C779CF"/>
    <w:rsid w:val="00C8072B"/>
    <w:rsid w:val="00C81143"/>
    <w:rsid w:val="00C8336F"/>
    <w:rsid w:val="00C841D5"/>
    <w:rsid w:val="00C846B3"/>
    <w:rsid w:val="00C84A8B"/>
    <w:rsid w:val="00C87054"/>
    <w:rsid w:val="00C87AB0"/>
    <w:rsid w:val="00C87CA3"/>
    <w:rsid w:val="00C907F2"/>
    <w:rsid w:val="00C94724"/>
    <w:rsid w:val="00C96E35"/>
    <w:rsid w:val="00C97391"/>
    <w:rsid w:val="00CA1ACB"/>
    <w:rsid w:val="00CA3FEC"/>
    <w:rsid w:val="00CA55FB"/>
    <w:rsid w:val="00CA6A67"/>
    <w:rsid w:val="00CA72DB"/>
    <w:rsid w:val="00CA746D"/>
    <w:rsid w:val="00CA7C7C"/>
    <w:rsid w:val="00CB0A23"/>
    <w:rsid w:val="00CB2728"/>
    <w:rsid w:val="00CB2C24"/>
    <w:rsid w:val="00CB3BC3"/>
    <w:rsid w:val="00CB4DA8"/>
    <w:rsid w:val="00CB6C27"/>
    <w:rsid w:val="00CC13DC"/>
    <w:rsid w:val="00CC1596"/>
    <w:rsid w:val="00CC15BB"/>
    <w:rsid w:val="00CC2CA6"/>
    <w:rsid w:val="00CC3BC4"/>
    <w:rsid w:val="00CC56F1"/>
    <w:rsid w:val="00CC6351"/>
    <w:rsid w:val="00CC6712"/>
    <w:rsid w:val="00CC6F76"/>
    <w:rsid w:val="00CD08A2"/>
    <w:rsid w:val="00CD1ACA"/>
    <w:rsid w:val="00CD1C60"/>
    <w:rsid w:val="00CD2D7B"/>
    <w:rsid w:val="00CD35E8"/>
    <w:rsid w:val="00CD4BAA"/>
    <w:rsid w:val="00CD54B0"/>
    <w:rsid w:val="00CD5A5F"/>
    <w:rsid w:val="00CE1EF2"/>
    <w:rsid w:val="00CE3582"/>
    <w:rsid w:val="00CE3CAD"/>
    <w:rsid w:val="00CE428E"/>
    <w:rsid w:val="00CE4E0F"/>
    <w:rsid w:val="00CE517E"/>
    <w:rsid w:val="00CE65CA"/>
    <w:rsid w:val="00CE6AB6"/>
    <w:rsid w:val="00CE7066"/>
    <w:rsid w:val="00CF154A"/>
    <w:rsid w:val="00CF358B"/>
    <w:rsid w:val="00CF4EED"/>
    <w:rsid w:val="00CF6747"/>
    <w:rsid w:val="00CF7E35"/>
    <w:rsid w:val="00D003B7"/>
    <w:rsid w:val="00D00A84"/>
    <w:rsid w:val="00D00D60"/>
    <w:rsid w:val="00D0107F"/>
    <w:rsid w:val="00D01852"/>
    <w:rsid w:val="00D01B87"/>
    <w:rsid w:val="00D0213E"/>
    <w:rsid w:val="00D02254"/>
    <w:rsid w:val="00D02806"/>
    <w:rsid w:val="00D05407"/>
    <w:rsid w:val="00D05A74"/>
    <w:rsid w:val="00D060B6"/>
    <w:rsid w:val="00D073AD"/>
    <w:rsid w:val="00D078A3"/>
    <w:rsid w:val="00D10AF8"/>
    <w:rsid w:val="00D10E2C"/>
    <w:rsid w:val="00D11513"/>
    <w:rsid w:val="00D12A3D"/>
    <w:rsid w:val="00D131F1"/>
    <w:rsid w:val="00D133DC"/>
    <w:rsid w:val="00D14CF4"/>
    <w:rsid w:val="00D1696E"/>
    <w:rsid w:val="00D16B26"/>
    <w:rsid w:val="00D21118"/>
    <w:rsid w:val="00D24FE4"/>
    <w:rsid w:val="00D262CF"/>
    <w:rsid w:val="00D266F8"/>
    <w:rsid w:val="00D26FF4"/>
    <w:rsid w:val="00D3062F"/>
    <w:rsid w:val="00D30BD7"/>
    <w:rsid w:val="00D33338"/>
    <w:rsid w:val="00D34319"/>
    <w:rsid w:val="00D355A7"/>
    <w:rsid w:val="00D36648"/>
    <w:rsid w:val="00D36EB6"/>
    <w:rsid w:val="00D37A89"/>
    <w:rsid w:val="00D37CDD"/>
    <w:rsid w:val="00D4014E"/>
    <w:rsid w:val="00D42D0B"/>
    <w:rsid w:val="00D4326E"/>
    <w:rsid w:val="00D43367"/>
    <w:rsid w:val="00D44295"/>
    <w:rsid w:val="00D444C8"/>
    <w:rsid w:val="00D45E81"/>
    <w:rsid w:val="00D47C7A"/>
    <w:rsid w:val="00D509BE"/>
    <w:rsid w:val="00D5138D"/>
    <w:rsid w:val="00D53723"/>
    <w:rsid w:val="00D5380B"/>
    <w:rsid w:val="00D53A86"/>
    <w:rsid w:val="00D53C3E"/>
    <w:rsid w:val="00D560FE"/>
    <w:rsid w:val="00D564EF"/>
    <w:rsid w:val="00D5711A"/>
    <w:rsid w:val="00D601CC"/>
    <w:rsid w:val="00D60C05"/>
    <w:rsid w:val="00D61DF6"/>
    <w:rsid w:val="00D62494"/>
    <w:rsid w:val="00D62725"/>
    <w:rsid w:val="00D65088"/>
    <w:rsid w:val="00D67D1B"/>
    <w:rsid w:val="00D7278C"/>
    <w:rsid w:val="00D7552F"/>
    <w:rsid w:val="00D75A28"/>
    <w:rsid w:val="00D77B81"/>
    <w:rsid w:val="00D80044"/>
    <w:rsid w:val="00D81A42"/>
    <w:rsid w:val="00D82F99"/>
    <w:rsid w:val="00D84277"/>
    <w:rsid w:val="00D8436C"/>
    <w:rsid w:val="00D84B19"/>
    <w:rsid w:val="00D85E3A"/>
    <w:rsid w:val="00D86A99"/>
    <w:rsid w:val="00D87424"/>
    <w:rsid w:val="00D879F2"/>
    <w:rsid w:val="00D901B1"/>
    <w:rsid w:val="00D9082D"/>
    <w:rsid w:val="00D931E9"/>
    <w:rsid w:val="00D93F9C"/>
    <w:rsid w:val="00D95839"/>
    <w:rsid w:val="00D95B5B"/>
    <w:rsid w:val="00DA0D31"/>
    <w:rsid w:val="00DA11E1"/>
    <w:rsid w:val="00DA3408"/>
    <w:rsid w:val="00DA35AA"/>
    <w:rsid w:val="00DA4852"/>
    <w:rsid w:val="00DA6F9E"/>
    <w:rsid w:val="00DA7DBD"/>
    <w:rsid w:val="00DB0993"/>
    <w:rsid w:val="00DB1BD1"/>
    <w:rsid w:val="00DB7A5A"/>
    <w:rsid w:val="00DC54B3"/>
    <w:rsid w:val="00DC5D2B"/>
    <w:rsid w:val="00DC7347"/>
    <w:rsid w:val="00DD0675"/>
    <w:rsid w:val="00DD1402"/>
    <w:rsid w:val="00DD25CC"/>
    <w:rsid w:val="00DD26A2"/>
    <w:rsid w:val="00DD2F90"/>
    <w:rsid w:val="00DD4BD5"/>
    <w:rsid w:val="00DD4C6D"/>
    <w:rsid w:val="00DD5EB3"/>
    <w:rsid w:val="00DD620A"/>
    <w:rsid w:val="00DD6E45"/>
    <w:rsid w:val="00DD7E0D"/>
    <w:rsid w:val="00DD7E74"/>
    <w:rsid w:val="00DE56EC"/>
    <w:rsid w:val="00DF197F"/>
    <w:rsid w:val="00DF1BCB"/>
    <w:rsid w:val="00DF42FC"/>
    <w:rsid w:val="00DF47EA"/>
    <w:rsid w:val="00DF4C15"/>
    <w:rsid w:val="00DF6B91"/>
    <w:rsid w:val="00DF6FF3"/>
    <w:rsid w:val="00DF7F84"/>
    <w:rsid w:val="00E00099"/>
    <w:rsid w:val="00E037BC"/>
    <w:rsid w:val="00E04867"/>
    <w:rsid w:val="00E04B64"/>
    <w:rsid w:val="00E0657F"/>
    <w:rsid w:val="00E07856"/>
    <w:rsid w:val="00E1036D"/>
    <w:rsid w:val="00E1231C"/>
    <w:rsid w:val="00E12A4F"/>
    <w:rsid w:val="00E12DD9"/>
    <w:rsid w:val="00E1328B"/>
    <w:rsid w:val="00E13391"/>
    <w:rsid w:val="00E1358E"/>
    <w:rsid w:val="00E141EE"/>
    <w:rsid w:val="00E14C8A"/>
    <w:rsid w:val="00E15574"/>
    <w:rsid w:val="00E15AE6"/>
    <w:rsid w:val="00E16D5A"/>
    <w:rsid w:val="00E17CBF"/>
    <w:rsid w:val="00E202E8"/>
    <w:rsid w:val="00E20AFD"/>
    <w:rsid w:val="00E233FC"/>
    <w:rsid w:val="00E24BC9"/>
    <w:rsid w:val="00E25831"/>
    <w:rsid w:val="00E25ECB"/>
    <w:rsid w:val="00E31659"/>
    <w:rsid w:val="00E32CEC"/>
    <w:rsid w:val="00E350E3"/>
    <w:rsid w:val="00E37861"/>
    <w:rsid w:val="00E4085D"/>
    <w:rsid w:val="00E44294"/>
    <w:rsid w:val="00E44FF4"/>
    <w:rsid w:val="00E4618B"/>
    <w:rsid w:val="00E47AD7"/>
    <w:rsid w:val="00E47B65"/>
    <w:rsid w:val="00E50153"/>
    <w:rsid w:val="00E51DB1"/>
    <w:rsid w:val="00E52D0F"/>
    <w:rsid w:val="00E52F3E"/>
    <w:rsid w:val="00E541F5"/>
    <w:rsid w:val="00E5590D"/>
    <w:rsid w:val="00E61EC1"/>
    <w:rsid w:val="00E633DA"/>
    <w:rsid w:val="00E642D2"/>
    <w:rsid w:val="00E643E3"/>
    <w:rsid w:val="00E656D6"/>
    <w:rsid w:val="00E6586E"/>
    <w:rsid w:val="00E6632E"/>
    <w:rsid w:val="00E702C6"/>
    <w:rsid w:val="00E703BB"/>
    <w:rsid w:val="00E705D7"/>
    <w:rsid w:val="00E70600"/>
    <w:rsid w:val="00E713EC"/>
    <w:rsid w:val="00E716AF"/>
    <w:rsid w:val="00E7218A"/>
    <w:rsid w:val="00E72ADE"/>
    <w:rsid w:val="00E72C03"/>
    <w:rsid w:val="00E72FA8"/>
    <w:rsid w:val="00E733E5"/>
    <w:rsid w:val="00E73CB7"/>
    <w:rsid w:val="00E73EBF"/>
    <w:rsid w:val="00E750CF"/>
    <w:rsid w:val="00E76B69"/>
    <w:rsid w:val="00E77130"/>
    <w:rsid w:val="00E77ABC"/>
    <w:rsid w:val="00E822AC"/>
    <w:rsid w:val="00E82795"/>
    <w:rsid w:val="00E837D8"/>
    <w:rsid w:val="00E83ED8"/>
    <w:rsid w:val="00E83F53"/>
    <w:rsid w:val="00E8704E"/>
    <w:rsid w:val="00E90290"/>
    <w:rsid w:val="00E91596"/>
    <w:rsid w:val="00E91767"/>
    <w:rsid w:val="00E93355"/>
    <w:rsid w:val="00E949A4"/>
    <w:rsid w:val="00E94A55"/>
    <w:rsid w:val="00E94C27"/>
    <w:rsid w:val="00E95B66"/>
    <w:rsid w:val="00E95D9E"/>
    <w:rsid w:val="00E96D15"/>
    <w:rsid w:val="00E97935"/>
    <w:rsid w:val="00EA2CBF"/>
    <w:rsid w:val="00EA3C7B"/>
    <w:rsid w:val="00EA7137"/>
    <w:rsid w:val="00EB1127"/>
    <w:rsid w:val="00EB1AD0"/>
    <w:rsid w:val="00EB1E1B"/>
    <w:rsid w:val="00EB4751"/>
    <w:rsid w:val="00EB6A32"/>
    <w:rsid w:val="00EB6E20"/>
    <w:rsid w:val="00EB7315"/>
    <w:rsid w:val="00EB7732"/>
    <w:rsid w:val="00EC02DB"/>
    <w:rsid w:val="00EC0E17"/>
    <w:rsid w:val="00EC3BD0"/>
    <w:rsid w:val="00EC5914"/>
    <w:rsid w:val="00EC6925"/>
    <w:rsid w:val="00ED16C1"/>
    <w:rsid w:val="00ED47B2"/>
    <w:rsid w:val="00ED5599"/>
    <w:rsid w:val="00ED57BE"/>
    <w:rsid w:val="00ED5919"/>
    <w:rsid w:val="00ED6370"/>
    <w:rsid w:val="00ED6CC8"/>
    <w:rsid w:val="00EE0C9A"/>
    <w:rsid w:val="00EE24C5"/>
    <w:rsid w:val="00EE2C67"/>
    <w:rsid w:val="00EE334A"/>
    <w:rsid w:val="00EE744A"/>
    <w:rsid w:val="00EE7972"/>
    <w:rsid w:val="00EE7DB8"/>
    <w:rsid w:val="00EF051C"/>
    <w:rsid w:val="00EF0A0C"/>
    <w:rsid w:val="00EF0A81"/>
    <w:rsid w:val="00EF1474"/>
    <w:rsid w:val="00EF234A"/>
    <w:rsid w:val="00EF293B"/>
    <w:rsid w:val="00EF3C59"/>
    <w:rsid w:val="00EF5AFB"/>
    <w:rsid w:val="00EF7EDD"/>
    <w:rsid w:val="00EF7FEB"/>
    <w:rsid w:val="00F01307"/>
    <w:rsid w:val="00F01FA8"/>
    <w:rsid w:val="00F02568"/>
    <w:rsid w:val="00F03C87"/>
    <w:rsid w:val="00F07244"/>
    <w:rsid w:val="00F07648"/>
    <w:rsid w:val="00F10094"/>
    <w:rsid w:val="00F104B7"/>
    <w:rsid w:val="00F10584"/>
    <w:rsid w:val="00F1297F"/>
    <w:rsid w:val="00F129EC"/>
    <w:rsid w:val="00F153C3"/>
    <w:rsid w:val="00F15DD0"/>
    <w:rsid w:val="00F21B2A"/>
    <w:rsid w:val="00F2200D"/>
    <w:rsid w:val="00F2225B"/>
    <w:rsid w:val="00F22869"/>
    <w:rsid w:val="00F22973"/>
    <w:rsid w:val="00F23087"/>
    <w:rsid w:val="00F23978"/>
    <w:rsid w:val="00F240A9"/>
    <w:rsid w:val="00F25E5D"/>
    <w:rsid w:val="00F26E74"/>
    <w:rsid w:val="00F2741C"/>
    <w:rsid w:val="00F27CE6"/>
    <w:rsid w:val="00F33CEA"/>
    <w:rsid w:val="00F34624"/>
    <w:rsid w:val="00F349AE"/>
    <w:rsid w:val="00F34BB6"/>
    <w:rsid w:val="00F358A1"/>
    <w:rsid w:val="00F36566"/>
    <w:rsid w:val="00F37CA8"/>
    <w:rsid w:val="00F414F6"/>
    <w:rsid w:val="00F418ED"/>
    <w:rsid w:val="00F4221A"/>
    <w:rsid w:val="00F424A4"/>
    <w:rsid w:val="00F438E4"/>
    <w:rsid w:val="00F440F7"/>
    <w:rsid w:val="00F4421D"/>
    <w:rsid w:val="00F46A2C"/>
    <w:rsid w:val="00F46DCC"/>
    <w:rsid w:val="00F4734E"/>
    <w:rsid w:val="00F47E8A"/>
    <w:rsid w:val="00F50CD8"/>
    <w:rsid w:val="00F51E53"/>
    <w:rsid w:val="00F52A48"/>
    <w:rsid w:val="00F53119"/>
    <w:rsid w:val="00F532C6"/>
    <w:rsid w:val="00F53D13"/>
    <w:rsid w:val="00F575C6"/>
    <w:rsid w:val="00F57C76"/>
    <w:rsid w:val="00F6036E"/>
    <w:rsid w:val="00F612EC"/>
    <w:rsid w:val="00F616A3"/>
    <w:rsid w:val="00F627F9"/>
    <w:rsid w:val="00F62B9B"/>
    <w:rsid w:val="00F62ED1"/>
    <w:rsid w:val="00F642ED"/>
    <w:rsid w:val="00F70B91"/>
    <w:rsid w:val="00F71692"/>
    <w:rsid w:val="00F72EC3"/>
    <w:rsid w:val="00F7635A"/>
    <w:rsid w:val="00F81A1A"/>
    <w:rsid w:val="00F82605"/>
    <w:rsid w:val="00F83136"/>
    <w:rsid w:val="00F84336"/>
    <w:rsid w:val="00F84370"/>
    <w:rsid w:val="00F84D55"/>
    <w:rsid w:val="00F85ABE"/>
    <w:rsid w:val="00F85C28"/>
    <w:rsid w:val="00F86D39"/>
    <w:rsid w:val="00F87193"/>
    <w:rsid w:val="00F87E45"/>
    <w:rsid w:val="00F90537"/>
    <w:rsid w:val="00F9200C"/>
    <w:rsid w:val="00F94BC5"/>
    <w:rsid w:val="00F959CC"/>
    <w:rsid w:val="00F97691"/>
    <w:rsid w:val="00FA2444"/>
    <w:rsid w:val="00FA4429"/>
    <w:rsid w:val="00FA4A5B"/>
    <w:rsid w:val="00FA5729"/>
    <w:rsid w:val="00FA5B51"/>
    <w:rsid w:val="00FA5B85"/>
    <w:rsid w:val="00FA5FAB"/>
    <w:rsid w:val="00FA6866"/>
    <w:rsid w:val="00FA6D6C"/>
    <w:rsid w:val="00FA6F05"/>
    <w:rsid w:val="00FB0FAC"/>
    <w:rsid w:val="00FB1208"/>
    <w:rsid w:val="00FB14D3"/>
    <w:rsid w:val="00FB1723"/>
    <w:rsid w:val="00FB1B3B"/>
    <w:rsid w:val="00FB3974"/>
    <w:rsid w:val="00FB3EBA"/>
    <w:rsid w:val="00FB7BB2"/>
    <w:rsid w:val="00FC0978"/>
    <w:rsid w:val="00FC1222"/>
    <w:rsid w:val="00FC2E99"/>
    <w:rsid w:val="00FC5A4E"/>
    <w:rsid w:val="00FC6F65"/>
    <w:rsid w:val="00FD0A42"/>
    <w:rsid w:val="00FD16F3"/>
    <w:rsid w:val="00FD19AE"/>
    <w:rsid w:val="00FD3ECD"/>
    <w:rsid w:val="00FD46A1"/>
    <w:rsid w:val="00FE0D9F"/>
    <w:rsid w:val="00FE41C2"/>
    <w:rsid w:val="00FE4555"/>
    <w:rsid w:val="00FE52B7"/>
    <w:rsid w:val="00FE7030"/>
    <w:rsid w:val="00FE7737"/>
    <w:rsid w:val="00FE7AA0"/>
    <w:rsid w:val="00FF0991"/>
    <w:rsid w:val="00FF0E9F"/>
    <w:rsid w:val="00FF1158"/>
    <w:rsid w:val="00FF18ED"/>
    <w:rsid w:val="00FF2289"/>
    <w:rsid w:val="00FF2E8B"/>
    <w:rsid w:val="00FF3075"/>
    <w:rsid w:val="00FF5B07"/>
    <w:rsid w:val="00FF716B"/>
    <w:rsid w:val="00FF7C0B"/>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 w:unhideWhenUsed="0" w:qFormat="1"/>
    <w:lsdException w:name="Date" w:uiPriority="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03"/>
    <w:pPr>
      <w:spacing w:before="120"/>
      <w:jc w:val="both"/>
    </w:pPr>
    <w:rPr>
      <w:rFonts w:ascii="Times New Roman" w:hAnsi="Times New Roman"/>
      <w:sz w:val="22"/>
      <w:lang w:val="en-GB"/>
    </w:rPr>
  </w:style>
  <w:style w:type="paragraph" w:styleId="Heading1">
    <w:name w:val="heading 1"/>
    <w:basedOn w:val="Normal"/>
    <w:next w:val="Normal"/>
    <w:link w:val="Heading1Char"/>
    <w:qFormat/>
    <w:rsid w:val="003937A5"/>
    <w:pPr>
      <w:keepNext/>
      <w:numPr>
        <w:numId w:val="1"/>
      </w:numPr>
      <w:spacing w:before="240" w:after="60"/>
      <w:jc w:val="left"/>
      <w:outlineLvl w:val="0"/>
    </w:pPr>
    <w:rPr>
      <w:rFonts w:ascii="Calibri" w:eastAsia="Times New Roman" w:hAnsi="Calibri" w:cs="Times New Roman"/>
      <w:b/>
      <w:bCs/>
      <w:kern w:val="32"/>
      <w:sz w:val="32"/>
      <w:szCs w:val="32"/>
      <w:lang w:val="en-US"/>
    </w:rPr>
  </w:style>
  <w:style w:type="paragraph" w:styleId="Heading2">
    <w:name w:val="heading 2"/>
    <w:basedOn w:val="Normal"/>
    <w:next w:val="Normal"/>
    <w:link w:val="Heading2Char"/>
    <w:qFormat/>
    <w:rsid w:val="003937A5"/>
    <w:pPr>
      <w:keepNext/>
      <w:numPr>
        <w:ilvl w:val="1"/>
        <w:numId w:val="1"/>
      </w:numPr>
      <w:spacing w:before="240" w:after="60"/>
      <w:jc w:val="left"/>
      <w:outlineLvl w:val="1"/>
    </w:pPr>
    <w:rPr>
      <w:rFonts w:ascii="Calibri" w:eastAsia="Times New Roman" w:hAnsi="Calibri" w:cs="Times New Roman"/>
      <w:b/>
      <w:bCs/>
      <w:i/>
      <w:iCs/>
      <w:sz w:val="28"/>
      <w:szCs w:val="28"/>
      <w:lang w:val="en-US"/>
    </w:rPr>
  </w:style>
  <w:style w:type="paragraph" w:styleId="Heading3">
    <w:name w:val="heading 3"/>
    <w:basedOn w:val="Normal"/>
    <w:next w:val="Normal"/>
    <w:link w:val="Heading3Char"/>
    <w:qFormat/>
    <w:rsid w:val="003937A5"/>
    <w:pPr>
      <w:keepNext/>
      <w:numPr>
        <w:ilvl w:val="2"/>
        <w:numId w:val="1"/>
      </w:numPr>
      <w:spacing w:before="240" w:after="60"/>
      <w:jc w:val="left"/>
      <w:outlineLvl w:val="2"/>
    </w:pPr>
    <w:rPr>
      <w:rFonts w:ascii="Calibri" w:eastAsia="Times New Roman" w:hAnsi="Calibri" w:cs="Times New Roman"/>
      <w:b/>
      <w:bCs/>
      <w:sz w:val="26"/>
      <w:szCs w:val="26"/>
      <w:lang w:val="en-US"/>
    </w:rPr>
  </w:style>
  <w:style w:type="paragraph" w:styleId="Heading4">
    <w:name w:val="heading 4"/>
    <w:basedOn w:val="Normal"/>
    <w:next w:val="Normal"/>
    <w:link w:val="Heading4Char"/>
    <w:qFormat/>
    <w:rsid w:val="003937A5"/>
    <w:pPr>
      <w:keepNext/>
      <w:numPr>
        <w:ilvl w:val="3"/>
        <w:numId w:val="1"/>
      </w:numPr>
      <w:spacing w:before="240" w:after="60"/>
      <w:jc w:val="left"/>
      <w:outlineLvl w:val="3"/>
    </w:pPr>
    <w:rPr>
      <w:rFonts w:ascii="Cambria" w:eastAsia="Times New Roman" w:hAnsi="Cambria" w:cs="Times New Roman"/>
      <w:b/>
      <w:bCs/>
      <w:sz w:val="28"/>
      <w:szCs w:val="28"/>
      <w:lang w:val="en-US"/>
    </w:rPr>
  </w:style>
  <w:style w:type="paragraph" w:styleId="Heading5">
    <w:name w:val="heading 5"/>
    <w:basedOn w:val="Normal"/>
    <w:next w:val="Normal"/>
    <w:link w:val="Heading5Char"/>
    <w:qFormat/>
    <w:rsid w:val="003937A5"/>
    <w:pPr>
      <w:numPr>
        <w:ilvl w:val="4"/>
        <w:numId w:val="1"/>
      </w:numPr>
      <w:spacing w:before="240" w:after="60"/>
      <w:jc w:val="left"/>
      <w:outlineLvl w:val="4"/>
    </w:pPr>
    <w:rPr>
      <w:rFonts w:ascii="Cambria" w:eastAsia="Times New Roman" w:hAnsi="Cambria" w:cs="Times New Roman"/>
      <w:b/>
      <w:bCs/>
      <w:i/>
      <w:iCs/>
      <w:sz w:val="26"/>
      <w:szCs w:val="26"/>
      <w:lang w:val="en-US"/>
    </w:rPr>
  </w:style>
  <w:style w:type="paragraph" w:styleId="Heading6">
    <w:name w:val="heading 6"/>
    <w:basedOn w:val="Normal"/>
    <w:next w:val="Normal"/>
    <w:link w:val="Heading6Char"/>
    <w:qFormat/>
    <w:rsid w:val="003937A5"/>
    <w:pPr>
      <w:numPr>
        <w:ilvl w:val="5"/>
        <w:numId w:val="1"/>
      </w:numPr>
      <w:spacing w:before="240" w:after="60"/>
      <w:jc w:val="left"/>
      <w:outlineLvl w:val="5"/>
    </w:pPr>
    <w:rPr>
      <w:rFonts w:ascii="Cambria" w:eastAsia="Times New Roman" w:hAnsi="Cambria" w:cs="Times New Roman"/>
      <w:b/>
      <w:bCs/>
      <w:szCs w:val="22"/>
      <w:lang w:val="en-US"/>
    </w:rPr>
  </w:style>
  <w:style w:type="paragraph" w:styleId="Heading7">
    <w:name w:val="heading 7"/>
    <w:basedOn w:val="Normal"/>
    <w:next w:val="Normal"/>
    <w:link w:val="Heading7Char"/>
    <w:qFormat/>
    <w:rsid w:val="003937A5"/>
    <w:pPr>
      <w:numPr>
        <w:ilvl w:val="6"/>
        <w:numId w:val="1"/>
      </w:numPr>
      <w:spacing w:before="240" w:after="60"/>
      <w:jc w:val="left"/>
      <w:outlineLvl w:val="6"/>
    </w:pPr>
    <w:rPr>
      <w:rFonts w:ascii="Cambria" w:eastAsia="Times New Roman" w:hAnsi="Cambria" w:cs="Times New Roman"/>
      <w:sz w:val="24"/>
      <w:lang w:val="en-US"/>
    </w:rPr>
  </w:style>
  <w:style w:type="paragraph" w:styleId="Heading8">
    <w:name w:val="heading 8"/>
    <w:basedOn w:val="Normal"/>
    <w:next w:val="Normal"/>
    <w:link w:val="Heading8Char"/>
    <w:qFormat/>
    <w:rsid w:val="003937A5"/>
    <w:pPr>
      <w:numPr>
        <w:ilvl w:val="7"/>
        <w:numId w:val="1"/>
      </w:numPr>
      <w:spacing w:before="240" w:after="60"/>
      <w:jc w:val="left"/>
      <w:outlineLvl w:val="7"/>
    </w:pPr>
    <w:rPr>
      <w:rFonts w:ascii="Cambria" w:eastAsia="Times New Roman" w:hAnsi="Cambria" w:cs="Times New Roman"/>
      <w:i/>
      <w:iCs/>
      <w:sz w:val="24"/>
      <w:lang w:val="en-US"/>
    </w:rPr>
  </w:style>
  <w:style w:type="paragraph" w:styleId="Heading9">
    <w:name w:val="heading 9"/>
    <w:basedOn w:val="Normal"/>
    <w:next w:val="Normal"/>
    <w:link w:val="Heading9Char"/>
    <w:qFormat/>
    <w:rsid w:val="003937A5"/>
    <w:pPr>
      <w:numPr>
        <w:ilvl w:val="8"/>
        <w:numId w:val="1"/>
      </w:numPr>
      <w:spacing w:before="240" w:after="60"/>
      <w:jc w:val="left"/>
      <w:outlineLvl w:val="8"/>
    </w:pPr>
    <w:rPr>
      <w:rFonts w:ascii="Calibri" w:eastAsia="Times New Roman" w:hAnsi="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0F3103"/>
    <w:rPr>
      <w:rFonts w:asciiTheme="majorHAnsi" w:hAnsiTheme="majorHAnsi"/>
      <w:sz w:val="22"/>
      <w:vertAlign w:val="superscript"/>
    </w:rPr>
  </w:style>
  <w:style w:type="paragraph" w:styleId="FootnoteText">
    <w:name w:val="footnote text"/>
    <w:basedOn w:val="Normal"/>
    <w:link w:val="FootnoteTextChar"/>
    <w:uiPriority w:val="99"/>
    <w:unhideWhenUsed/>
    <w:rsid w:val="000F3103"/>
    <w:pPr>
      <w:spacing w:before="0"/>
    </w:pPr>
    <w:rPr>
      <w:rFonts w:asciiTheme="majorHAnsi" w:hAnsiTheme="majorHAnsi"/>
      <w:i/>
      <w:sz w:val="18"/>
    </w:rPr>
  </w:style>
  <w:style w:type="character" w:customStyle="1" w:styleId="FootnoteTextChar">
    <w:name w:val="Footnote Text Char"/>
    <w:basedOn w:val="DefaultParagraphFont"/>
    <w:link w:val="FootnoteText"/>
    <w:uiPriority w:val="99"/>
    <w:rsid w:val="000F3103"/>
    <w:rPr>
      <w:rFonts w:asciiTheme="majorHAnsi" w:hAnsiTheme="majorHAnsi"/>
      <w:i/>
      <w:sz w:val="18"/>
      <w:lang w:val="en-AU"/>
    </w:rPr>
  </w:style>
  <w:style w:type="paragraph" w:styleId="NoSpacing">
    <w:name w:val="No Spacing"/>
    <w:link w:val="NoSpacingChar"/>
    <w:qFormat/>
    <w:rsid w:val="00F6036E"/>
    <w:rPr>
      <w:rFonts w:ascii="PMingLiU" w:hAnsi="PMingLiU"/>
      <w:sz w:val="22"/>
      <w:szCs w:val="22"/>
    </w:rPr>
  </w:style>
  <w:style w:type="character" w:customStyle="1" w:styleId="NoSpacingChar">
    <w:name w:val="No Spacing Char"/>
    <w:basedOn w:val="DefaultParagraphFont"/>
    <w:link w:val="NoSpacing"/>
    <w:rsid w:val="00F6036E"/>
    <w:rPr>
      <w:rFonts w:ascii="PMingLiU" w:hAnsi="PMingLiU"/>
      <w:sz w:val="22"/>
      <w:szCs w:val="22"/>
    </w:rPr>
  </w:style>
  <w:style w:type="paragraph" w:styleId="Subtitle">
    <w:name w:val="Subtitle"/>
    <w:basedOn w:val="Normal"/>
    <w:next w:val="Normal"/>
    <w:link w:val="SubtitleChar"/>
    <w:uiPriority w:val="1"/>
    <w:rsid w:val="00F6036E"/>
    <w:pPr>
      <w:numPr>
        <w:ilvl w:val="1"/>
      </w:numPr>
      <w:spacing w:before="60" w:after="480"/>
      <w:jc w:val="right"/>
    </w:pPr>
    <w:rPr>
      <w:rFonts w:asciiTheme="minorHAnsi" w:hAnsiTheme="minorHAnsi"/>
      <w:iCs/>
      <w:color w:val="595959" w:themeColor="text1" w:themeTint="A6"/>
      <w:sz w:val="28"/>
      <w:szCs w:val="28"/>
      <w:lang w:val="en-US"/>
    </w:rPr>
  </w:style>
  <w:style w:type="character" w:customStyle="1" w:styleId="SubtitleChar">
    <w:name w:val="Subtitle Char"/>
    <w:basedOn w:val="DefaultParagraphFont"/>
    <w:link w:val="Subtitle"/>
    <w:uiPriority w:val="1"/>
    <w:rsid w:val="00F6036E"/>
    <w:rPr>
      <w:iCs/>
      <w:color w:val="595959" w:themeColor="text1" w:themeTint="A6"/>
      <w:sz w:val="28"/>
      <w:szCs w:val="28"/>
    </w:rPr>
  </w:style>
  <w:style w:type="paragraph" w:styleId="Date">
    <w:name w:val="Date"/>
    <w:basedOn w:val="Normal"/>
    <w:next w:val="Normal"/>
    <w:link w:val="DateChar"/>
    <w:uiPriority w:val="1"/>
    <w:rsid w:val="00F6036E"/>
    <w:pPr>
      <w:spacing w:before="0" w:line="276" w:lineRule="auto"/>
      <w:jc w:val="right"/>
    </w:pPr>
    <w:rPr>
      <w:rFonts w:asciiTheme="minorHAnsi" w:hAnsiTheme="minorHAnsi"/>
      <w:color w:val="4F81BD" w:themeColor="accent1"/>
      <w:sz w:val="24"/>
      <w:lang w:val="en-US"/>
    </w:rPr>
  </w:style>
  <w:style w:type="character" w:customStyle="1" w:styleId="DateChar">
    <w:name w:val="Date Char"/>
    <w:basedOn w:val="DefaultParagraphFont"/>
    <w:link w:val="Date"/>
    <w:uiPriority w:val="1"/>
    <w:rsid w:val="00F6036E"/>
    <w:rPr>
      <w:color w:val="4F81BD" w:themeColor="accent1"/>
    </w:rPr>
  </w:style>
  <w:style w:type="paragraph" w:styleId="BalloonText">
    <w:name w:val="Balloon Text"/>
    <w:basedOn w:val="Normal"/>
    <w:link w:val="BalloonTextChar"/>
    <w:uiPriority w:val="99"/>
    <w:unhideWhenUsed/>
    <w:rsid w:val="00F6036E"/>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036E"/>
    <w:rPr>
      <w:rFonts w:ascii="Lucida Grande" w:hAnsi="Lucida Grande" w:cs="Lucida Grande"/>
      <w:sz w:val="18"/>
      <w:szCs w:val="18"/>
      <w:lang w:val="en-AU"/>
    </w:rPr>
  </w:style>
  <w:style w:type="character" w:customStyle="1" w:styleId="Heading1Char">
    <w:name w:val="Heading 1 Char"/>
    <w:basedOn w:val="DefaultParagraphFont"/>
    <w:link w:val="Heading1"/>
    <w:rsid w:val="003937A5"/>
    <w:rPr>
      <w:rFonts w:ascii="Calibri" w:eastAsia="Times New Roman" w:hAnsi="Calibri" w:cs="Times New Roman"/>
      <w:b/>
      <w:bCs/>
      <w:kern w:val="32"/>
      <w:sz w:val="32"/>
      <w:szCs w:val="32"/>
    </w:rPr>
  </w:style>
  <w:style w:type="character" w:customStyle="1" w:styleId="Heading2Char">
    <w:name w:val="Heading 2 Char"/>
    <w:basedOn w:val="DefaultParagraphFont"/>
    <w:link w:val="Heading2"/>
    <w:rsid w:val="003937A5"/>
    <w:rPr>
      <w:rFonts w:ascii="Calibri" w:eastAsia="Times New Roman" w:hAnsi="Calibri" w:cs="Times New Roman"/>
      <w:b/>
      <w:bCs/>
      <w:i/>
      <w:iCs/>
      <w:sz w:val="28"/>
      <w:szCs w:val="28"/>
    </w:rPr>
  </w:style>
  <w:style w:type="character" w:customStyle="1" w:styleId="Heading3Char">
    <w:name w:val="Heading 3 Char"/>
    <w:basedOn w:val="DefaultParagraphFont"/>
    <w:link w:val="Heading3"/>
    <w:rsid w:val="003937A5"/>
    <w:rPr>
      <w:rFonts w:ascii="Calibri" w:eastAsia="Times New Roman" w:hAnsi="Calibri" w:cs="Times New Roman"/>
      <w:b/>
      <w:bCs/>
      <w:sz w:val="26"/>
      <w:szCs w:val="26"/>
    </w:rPr>
  </w:style>
  <w:style w:type="character" w:customStyle="1" w:styleId="Heading4Char">
    <w:name w:val="Heading 4 Char"/>
    <w:basedOn w:val="DefaultParagraphFont"/>
    <w:link w:val="Heading4"/>
    <w:rsid w:val="003937A5"/>
    <w:rPr>
      <w:rFonts w:ascii="Cambria" w:eastAsia="Times New Roman" w:hAnsi="Cambria" w:cs="Times New Roman"/>
      <w:b/>
      <w:bCs/>
      <w:sz w:val="28"/>
      <w:szCs w:val="28"/>
    </w:rPr>
  </w:style>
  <w:style w:type="character" w:customStyle="1" w:styleId="Heading5Char">
    <w:name w:val="Heading 5 Char"/>
    <w:basedOn w:val="DefaultParagraphFont"/>
    <w:link w:val="Heading5"/>
    <w:rsid w:val="003937A5"/>
    <w:rPr>
      <w:rFonts w:ascii="Cambria" w:eastAsia="Times New Roman" w:hAnsi="Cambria" w:cs="Times New Roman"/>
      <w:b/>
      <w:bCs/>
      <w:i/>
      <w:iCs/>
      <w:sz w:val="26"/>
      <w:szCs w:val="26"/>
    </w:rPr>
  </w:style>
  <w:style w:type="character" w:customStyle="1" w:styleId="Heading6Char">
    <w:name w:val="Heading 6 Char"/>
    <w:basedOn w:val="DefaultParagraphFont"/>
    <w:link w:val="Heading6"/>
    <w:rsid w:val="003937A5"/>
    <w:rPr>
      <w:rFonts w:ascii="Cambria" w:eastAsia="Times New Roman" w:hAnsi="Cambria" w:cs="Times New Roman"/>
      <w:b/>
      <w:bCs/>
      <w:sz w:val="22"/>
      <w:szCs w:val="22"/>
    </w:rPr>
  </w:style>
  <w:style w:type="character" w:customStyle="1" w:styleId="Heading7Char">
    <w:name w:val="Heading 7 Char"/>
    <w:basedOn w:val="DefaultParagraphFont"/>
    <w:link w:val="Heading7"/>
    <w:rsid w:val="003937A5"/>
    <w:rPr>
      <w:rFonts w:ascii="Cambria" w:eastAsia="Times New Roman" w:hAnsi="Cambria" w:cs="Times New Roman"/>
    </w:rPr>
  </w:style>
  <w:style w:type="character" w:customStyle="1" w:styleId="Heading8Char">
    <w:name w:val="Heading 8 Char"/>
    <w:basedOn w:val="DefaultParagraphFont"/>
    <w:link w:val="Heading8"/>
    <w:rsid w:val="003937A5"/>
    <w:rPr>
      <w:rFonts w:ascii="Cambria" w:eastAsia="Times New Roman" w:hAnsi="Cambria" w:cs="Times New Roman"/>
      <w:i/>
      <w:iCs/>
    </w:rPr>
  </w:style>
  <w:style w:type="character" w:customStyle="1" w:styleId="Heading9Char">
    <w:name w:val="Heading 9 Char"/>
    <w:basedOn w:val="DefaultParagraphFont"/>
    <w:link w:val="Heading9"/>
    <w:rsid w:val="003937A5"/>
    <w:rPr>
      <w:rFonts w:ascii="Calibri" w:eastAsia="Times New Roman" w:hAnsi="Calibri" w:cs="Times New Roman"/>
      <w:sz w:val="22"/>
      <w:szCs w:val="22"/>
    </w:rPr>
  </w:style>
  <w:style w:type="paragraph" w:styleId="Header">
    <w:name w:val="header"/>
    <w:basedOn w:val="Normal"/>
    <w:link w:val="HeaderChar"/>
    <w:rsid w:val="003937A5"/>
    <w:pPr>
      <w:tabs>
        <w:tab w:val="center" w:pos="4320"/>
        <w:tab w:val="right" w:pos="8640"/>
      </w:tabs>
      <w:spacing w:before="0"/>
      <w:jc w:val="left"/>
    </w:pPr>
    <w:rPr>
      <w:rFonts w:eastAsia="Times New Roman" w:cs="Times New Roman"/>
      <w:sz w:val="24"/>
      <w:lang w:val="en-US"/>
    </w:rPr>
  </w:style>
  <w:style w:type="character" w:customStyle="1" w:styleId="HeaderChar">
    <w:name w:val="Header Char"/>
    <w:basedOn w:val="DefaultParagraphFont"/>
    <w:link w:val="Header"/>
    <w:rsid w:val="003937A5"/>
    <w:rPr>
      <w:rFonts w:ascii="Times New Roman" w:eastAsia="Times New Roman" w:hAnsi="Times New Roman" w:cs="Times New Roman"/>
    </w:rPr>
  </w:style>
  <w:style w:type="character" w:styleId="PageNumber">
    <w:name w:val="page number"/>
    <w:basedOn w:val="DefaultParagraphFont"/>
    <w:rsid w:val="003937A5"/>
  </w:style>
  <w:style w:type="character" w:styleId="Hyperlink">
    <w:name w:val="Hyperlink"/>
    <w:uiPriority w:val="99"/>
    <w:rsid w:val="003937A5"/>
    <w:rPr>
      <w:color w:val="0000FF"/>
      <w:u w:val="single"/>
    </w:rPr>
  </w:style>
  <w:style w:type="paragraph" w:styleId="Footer">
    <w:name w:val="footer"/>
    <w:basedOn w:val="Normal"/>
    <w:link w:val="FooterChar"/>
    <w:rsid w:val="003937A5"/>
    <w:pPr>
      <w:tabs>
        <w:tab w:val="center" w:pos="4320"/>
        <w:tab w:val="right" w:pos="8640"/>
      </w:tabs>
      <w:spacing w:before="0"/>
      <w:jc w:val="left"/>
    </w:pPr>
    <w:rPr>
      <w:rFonts w:eastAsia="Times New Roman" w:cs="Times New Roman"/>
      <w:sz w:val="24"/>
      <w:lang w:val="en-US"/>
    </w:rPr>
  </w:style>
  <w:style w:type="character" w:customStyle="1" w:styleId="FooterChar">
    <w:name w:val="Footer Char"/>
    <w:basedOn w:val="DefaultParagraphFont"/>
    <w:link w:val="Footer"/>
    <w:uiPriority w:val="99"/>
    <w:rsid w:val="003937A5"/>
    <w:rPr>
      <w:rFonts w:ascii="Times New Roman" w:eastAsia="Times New Roman" w:hAnsi="Times New Roman" w:cs="Times New Roman"/>
    </w:rPr>
  </w:style>
  <w:style w:type="table" w:styleId="TableGrid">
    <w:name w:val="Table Grid"/>
    <w:basedOn w:val="TableNormal"/>
    <w:uiPriority w:val="59"/>
    <w:rsid w:val="003937A5"/>
    <w:rPr>
      <w:rFonts w:ascii="Times New Roman" w:eastAsia="Times New Roman" w:hAnsi="Times New Roman" w:cs="Times New Roman"/>
      <w:sz w:val="20"/>
      <w:szCs w:val="20"/>
      <w:lang w:val="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DA-1">
    <w:name w:val="CDA - 1"/>
    <w:aliases w:val="2,3"/>
    <w:rsid w:val="003937A5"/>
    <w:pPr>
      <w:widowControl w:val="0"/>
      <w:spacing w:after="283" w:line="328" w:lineRule="atLeast"/>
      <w:ind w:left="567"/>
      <w:jc w:val="both"/>
    </w:pPr>
    <w:rPr>
      <w:rFonts w:ascii="TimesNewRomanPS" w:eastAsia="Times New Roman" w:hAnsi="TimesNewRomanPS" w:cs="Times New Roman"/>
      <w:snapToGrid w:val="0"/>
      <w:color w:val="000000"/>
      <w:szCs w:val="20"/>
    </w:rPr>
  </w:style>
  <w:style w:type="paragraph" w:styleId="TOC1">
    <w:name w:val="toc 1"/>
    <w:basedOn w:val="Normal"/>
    <w:next w:val="Normal"/>
    <w:autoRedefine/>
    <w:uiPriority w:val="39"/>
    <w:rsid w:val="00B83873"/>
    <w:pPr>
      <w:tabs>
        <w:tab w:val="left" w:pos="362"/>
        <w:tab w:val="right" w:leader="dot" w:pos="9622"/>
      </w:tabs>
      <w:jc w:val="left"/>
    </w:pPr>
    <w:rPr>
      <w:rFonts w:ascii="Calibri" w:eastAsia="Times New Roman" w:hAnsi="Calibri" w:cs="Times New Roman"/>
      <w:b/>
      <w:noProof/>
      <w:color w:val="31849B" w:themeColor="accent5" w:themeShade="BF"/>
      <w:sz w:val="24"/>
      <w:lang w:val="en-US"/>
    </w:rPr>
  </w:style>
  <w:style w:type="paragraph" w:styleId="TOC2">
    <w:name w:val="toc 2"/>
    <w:basedOn w:val="Normal"/>
    <w:next w:val="Normal"/>
    <w:autoRedefine/>
    <w:uiPriority w:val="39"/>
    <w:rsid w:val="005F421E"/>
    <w:pPr>
      <w:tabs>
        <w:tab w:val="left" w:pos="529"/>
        <w:tab w:val="right" w:leader="dot" w:pos="9639"/>
      </w:tabs>
      <w:spacing w:before="0"/>
      <w:jc w:val="left"/>
    </w:pPr>
    <w:rPr>
      <w:rFonts w:ascii="Cambria" w:eastAsia="Times New Roman" w:hAnsi="Cambria" w:cs="Times New Roman"/>
      <w:szCs w:val="22"/>
      <w:lang w:val="en-US"/>
    </w:rPr>
  </w:style>
  <w:style w:type="paragraph" w:styleId="TOC3">
    <w:name w:val="toc 3"/>
    <w:basedOn w:val="Normal"/>
    <w:next w:val="Normal"/>
    <w:autoRedefine/>
    <w:uiPriority w:val="39"/>
    <w:rsid w:val="00A91985"/>
    <w:pPr>
      <w:tabs>
        <w:tab w:val="left" w:pos="916"/>
        <w:tab w:val="right" w:leader="dot" w:pos="9622"/>
      </w:tabs>
      <w:spacing w:before="0"/>
      <w:jc w:val="left"/>
    </w:pPr>
    <w:rPr>
      <w:rFonts w:ascii="Cambria" w:eastAsia="Times New Roman" w:hAnsi="Cambria" w:cs="Times New Roman"/>
      <w:i/>
      <w:szCs w:val="22"/>
      <w:lang w:val="en-US"/>
    </w:rPr>
  </w:style>
  <w:style w:type="paragraph" w:styleId="TOC4">
    <w:name w:val="toc 4"/>
    <w:basedOn w:val="Normal"/>
    <w:next w:val="Normal"/>
    <w:autoRedefine/>
    <w:uiPriority w:val="39"/>
    <w:rsid w:val="003937A5"/>
    <w:pPr>
      <w:pBdr>
        <w:between w:val="double" w:sz="6" w:space="0" w:color="auto"/>
      </w:pBdr>
      <w:spacing w:before="0"/>
      <w:ind w:left="480"/>
      <w:jc w:val="left"/>
    </w:pPr>
    <w:rPr>
      <w:rFonts w:ascii="Cambria" w:eastAsia="Times New Roman" w:hAnsi="Cambria" w:cs="Times New Roman"/>
      <w:sz w:val="20"/>
      <w:szCs w:val="20"/>
      <w:lang w:val="en-US"/>
    </w:rPr>
  </w:style>
  <w:style w:type="paragraph" w:styleId="TOC5">
    <w:name w:val="toc 5"/>
    <w:basedOn w:val="Normal"/>
    <w:next w:val="Normal"/>
    <w:autoRedefine/>
    <w:uiPriority w:val="39"/>
    <w:rsid w:val="003937A5"/>
    <w:pPr>
      <w:pBdr>
        <w:between w:val="double" w:sz="6" w:space="0" w:color="auto"/>
      </w:pBdr>
      <w:spacing w:before="0"/>
      <w:ind w:left="720"/>
      <w:jc w:val="left"/>
    </w:pPr>
    <w:rPr>
      <w:rFonts w:ascii="Cambria" w:eastAsia="Times New Roman" w:hAnsi="Cambria" w:cs="Times New Roman"/>
      <w:sz w:val="20"/>
      <w:szCs w:val="20"/>
      <w:lang w:val="en-US"/>
    </w:rPr>
  </w:style>
  <w:style w:type="paragraph" w:styleId="TOC6">
    <w:name w:val="toc 6"/>
    <w:basedOn w:val="Normal"/>
    <w:next w:val="Normal"/>
    <w:autoRedefine/>
    <w:uiPriority w:val="39"/>
    <w:rsid w:val="003937A5"/>
    <w:pPr>
      <w:pBdr>
        <w:between w:val="double" w:sz="6" w:space="0" w:color="auto"/>
      </w:pBdr>
      <w:spacing w:before="0"/>
      <w:ind w:left="960"/>
      <w:jc w:val="left"/>
    </w:pPr>
    <w:rPr>
      <w:rFonts w:ascii="Cambria" w:eastAsia="Times New Roman" w:hAnsi="Cambria" w:cs="Times New Roman"/>
      <w:sz w:val="20"/>
      <w:szCs w:val="20"/>
      <w:lang w:val="en-US"/>
    </w:rPr>
  </w:style>
  <w:style w:type="paragraph" w:styleId="TOC7">
    <w:name w:val="toc 7"/>
    <w:basedOn w:val="Normal"/>
    <w:next w:val="Normal"/>
    <w:autoRedefine/>
    <w:uiPriority w:val="39"/>
    <w:rsid w:val="003937A5"/>
    <w:pPr>
      <w:pBdr>
        <w:between w:val="double" w:sz="6" w:space="0" w:color="auto"/>
      </w:pBdr>
      <w:spacing w:before="0"/>
      <w:ind w:left="1200"/>
      <w:jc w:val="left"/>
    </w:pPr>
    <w:rPr>
      <w:rFonts w:ascii="Cambria" w:eastAsia="Times New Roman" w:hAnsi="Cambria" w:cs="Times New Roman"/>
      <w:sz w:val="20"/>
      <w:szCs w:val="20"/>
      <w:lang w:val="en-US"/>
    </w:rPr>
  </w:style>
  <w:style w:type="paragraph" w:styleId="TOC8">
    <w:name w:val="toc 8"/>
    <w:basedOn w:val="Normal"/>
    <w:next w:val="Normal"/>
    <w:autoRedefine/>
    <w:uiPriority w:val="39"/>
    <w:rsid w:val="003937A5"/>
    <w:pPr>
      <w:pBdr>
        <w:between w:val="double" w:sz="6" w:space="0" w:color="auto"/>
      </w:pBdr>
      <w:spacing w:before="0"/>
      <w:ind w:left="1440"/>
      <w:jc w:val="left"/>
    </w:pPr>
    <w:rPr>
      <w:rFonts w:ascii="Cambria" w:eastAsia="Times New Roman" w:hAnsi="Cambria" w:cs="Times New Roman"/>
      <w:sz w:val="20"/>
      <w:szCs w:val="20"/>
      <w:lang w:val="en-US"/>
    </w:rPr>
  </w:style>
  <w:style w:type="paragraph" w:styleId="TOC9">
    <w:name w:val="toc 9"/>
    <w:basedOn w:val="Normal"/>
    <w:next w:val="Normal"/>
    <w:autoRedefine/>
    <w:uiPriority w:val="39"/>
    <w:rsid w:val="003937A5"/>
    <w:pPr>
      <w:pBdr>
        <w:between w:val="double" w:sz="6" w:space="0" w:color="auto"/>
      </w:pBdr>
      <w:spacing w:before="0"/>
      <w:ind w:left="1680"/>
      <w:jc w:val="left"/>
    </w:pPr>
    <w:rPr>
      <w:rFonts w:ascii="Cambria" w:eastAsia="Times New Roman" w:hAnsi="Cambria" w:cs="Times New Roman"/>
      <w:sz w:val="20"/>
      <w:szCs w:val="20"/>
      <w:lang w:val="en-US"/>
    </w:rPr>
  </w:style>
  <w:style w:type="character" w:styleId="FollowedHyperlink">
    <w:name w:val="FollowedHyperlink"/>
    <w:rsid w:val="003937A5"/>
    <w:rPr>
      <w:color w:val="800080"/>
      <w:u w:val="single"/>
    </w:rPr>
  </w:style>
  <w:style w:type="character" w:styleId="CommentReference">
    <w:name w:val="annotation reference"/>
    <w:rsid w:val="003937A5"/>
    <w:rPr>
      <w:sz w:val="16"/>
      <w:szCs w:val="16"/>
    </w:rPr>
  </w:style>
  <w:style w:type="paragraph" w:styleId="CommentText">
    <w:name w:val="annotation text"/>
    <w:basedOn w:val="Normal"/>
    <w:link w:val="CommentTextChar"/>
    <w:uiPriority w:val="99"/>
    <w:rsid w:val="003937A5"/>
    <w:pPr>
      <w:spacing w:before="0"/>
      <w:jc w:val="left"/>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3937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937A5"/>
    <w:rPr>
      <w:b/>
      <w:bCs/>
    </w:rPr>
  </w:style>
  <w:style w:type="character" w:customStyle="1" w:styleId="CommentSubjectChar">
    <w:name w:val="Comment Subject Char"/>
    <w:basedOn w:val="CommentTextChar"/>
    <w:link w:val="CommentSubject"/>
    <w:rsid w:val="003937A5"/>
    <w:rPr>
      <w:rFonts w:ascii="Times New Roman" w:eastAsia="Times New Roman" w:hAnsi="Times New Roman" w:cs="Times New Roman"/>
      <w:b/>
      <w:bCs/>
      <w:sz w:val="20"/>
      <w:szCs w:val="20"/>
    </w:rPr>
  </w:style>
  <w:style w:type="paragraph" w:customStyle="1" w:styleId="MediumList1-Accent61">
    <w:name w:val="Medium List 1 - Accent 61"/>
    <w:basedOn w:val="Normal"/>
    <w:uiPriority w:val="34"/>
    <w:qFormat/>
    <w:rsid w:val="003937A5"/>
    <w:pPr>
      <w:spacing w:before="0"/>
      <w:ind w:left="720"/>
      <w:contextualSpacing/>
      <w:jc w:val="left"/>
    </w:pPr>
    <w:rPr>
      <w:rFonts w:ascii="Cambria" w:eastAsia="Cambria" w:hAnsi="Cambria" w:cs="Times New Roman"/>
      <w:sz w:val="24"/>
      <w:lang w:val="en-US"/>
    </w:rPr>
  </w:style>
  <w:style w:type="paragraph" w:customStyle="1" w:styleId="DarkList-Accent51">
    <w:name w:val="Dark List - Accent 51"/>
    <w:basedOn w:val="Normal"/>
    <w:rsid w:val="003937A5"/>
    <w:pPr>
      <w:spacing w:before="0"/>
      <w:ind w:left="720"/>
      <w:contextualSpacing/>
      <w:jc w:val="left"/>
    </w:pPr>
    <w:rPr>
      <w:rFonts w:ascii="Cambria" w:eastAsia="Cambria" w:hAnsi="Cambria" w:cs="Times New Roman"/>
      <w:sz w:val="24"/>
      <w:lang w:val="en-US"/>
    </w:rPr>
  </w:style>
  <w:style w:type="paragraph" w:styleId="Index1">
    <w:name w:val="index 1"/>
    <w:basedOn w:val="Normal"/>
    <w:next w:val="Normal"/>
    <w:autoRedefine/>
    <w:rsid w:val="003937A5"/>
    <w:pPr>
      <w:spacing w:before="0"/>
      <w:ind w:left="240" w:hanging="240"/>
      <w:jc w:val="left"/>
    </w:pPr>
    <w:rPr>
      <w:rFonts w:eastAsia="Times New Roman" w:cs="Times New Roman"/>
      <w:sz w:val="24"/>
      <w:lang w:val="en-US"/>
    </w:rPr>
  </w:style>
  <w:style w:type="paragraph" w:styleId="Index2">
    <w:name w:val="index 2"/>
    <w:basedOn w:val="Normal"/>
    <w:next w:val="Normal"/>
    <w:autoRedefine/>
    <w:rsid w:val="003937A5"/>
    <w:pPr>
      <w:spacing w:before="0"/>
      <w:ind w:left="480" w:hanging="240"/>
      <w:jc w:val="left"/>
    </w:pPr>
    <w:rPr>
      <w:rFonts w:eastAsia="Times New Roman" w:cs="Times New Roman"/>
      <w:sz w:val="24"/>
      <w:lang w:val="en-US"/>
    </w:rPr>
  </w:style>
  <w:style w:type="paragraph" w:styleId="Index3">
    <w:name w:val="index 3"/>
    <w:basedOn w:val="Normal"/>
    <w:next w:val="Normal"/>
    <w:autoRedefine/>
    <w:rsid w:val="003937A5"/>
    <w:pPr>
      <w:spacing w:before="0"/>
      <w:ind w:left="720" w:hanging="240"/>
      <w:jc w:val="left"/>
    </w:pPr>
    <w:rPr>
      <w:rFonts w:eastAsia="Times New Roman" w:cs="Times New Roman"/>
      <w:sz w:val="24"/>
      <w:lang w:val="en-US"/>
    </w:rPr>
  </w:style>
  <w:style w:type="paragraph" w:styleId="Index4">
    <w:name w:val="index 4"/>
    <w:basedOn w:val="Normal"/>
    <w:next w:val="Normal"/>
    <w:autoRedefine/>
    <w:rsid w:val="003937A5"/>
    <w:pPr>
      <w:spacing w:before="0"/>
      <w:ind w:left="960" w:hanging="240"/>
      <w:jc w:val="left"/>
    </w:pPr>
    <w:rPr>
      <w:rFonts w:eastAsia="Times New Roman" w:cs="Times New Roman"/>
      <w:sz w:val="24"/>
      <w:lang w:val="en-US"/>
    </w:rPr>
  </w:style>
  <w:style w:type="paragraph" w:styleId="Index5">
    <w:name w:val="index 5"/>
    <w:basedOn w:val="Normal"/>
    <w:next w:val="Normal"/>
    <w:autoRedefine/>
    <w:rsid w:val="003937A5"/>
    <w:pPr>
      <w:spacing w:before="0"/>
      <w:ind w:left="1200" w:hanging="240"/>
      <w:jc w:val="left"/>
    </w:pPr>
    <w:rPr>
      <w:rFonts w:eastAsia="Times New Roman" w:cs="Times New Roman"/>
      <w:sz w:val="24"/>
      <w:lang w:val="en-US"/>
    </w:rPr>
  </w:style>
  <w:style w:type="paragraph" w:styleId="Index6">
    <w:name w:val="index 6"/>
    <w:basedOn w:val="Normal"/>
    <w:next w:val="Normal"/>
    <w:autoRedefine/>
    <w:rsid w:val="003937A5"/>
    <w:pPr>
      <w:spacing w:before="0"/>
      <w:ind w:left="1440" w:hanging="240"/>
      <w:jc w:val="left"/>
    </w:pPr>
    <w:rPr>
      <w:rFonts w:eastAsia="Times New Roman" w:cs="Times New Roman"/>
      <w:sz w:val="24"/>
      <w:lang w:val="en-US"/>
    </w:rPr>
  </w:style>
  <w:style w:type="paragraph" w:styleId="Index7">
    <w:name w:val="index 7"/>
    <w:basedOn w:val="Normal"/>
    <w:next w:val="Normal"/>
    <w:autoRedefine/>
    <w:rsid w:val="003937A5"/>
    <w:pPr>
      <w:spacing w:before="0"/>
      <w:ind w:left="1680" w:hanging="240"/>
      <w:jc w:val="left"/>
    </w:pPr>
    <w:rPr>
      <w:rFonts w:eastAsia="Times New Roman" w:cs="Times New Roman"/>
      <w:sz w:val="24"/>
      <w:lang w:val="en-US"/>
    </w:rPr>
  </w:style>
  <w:style w:type="paragraph" w:styleId="Index8">
    <w:name w:val="index 8"/>
    <w:basedOn w:val="Normal"/>
    <w:next w:val="Normal"/>
    <w:autoRedefine/>
    <w:rsid w:val="003937A5"/>
    <w:pPr>
      <w:spacing w:before="0"/>
      <w:ind w:left="1920" w:hanging="240"/>
      <w:jc w:val="left"/>
    </w:pPr>
    <w:rPr>
      <w:rFonts w:eastAsia="Times New Roman" w:cs="Times New Roman"/>
      <w:sz w:val="24"/>
      <w:lang w:val="en-US"/>
    </w:rPr>
  </w:style>
  <w:style w:type="paragraph" w:styleId="Index9">
    <w:name w:val="index 9"/>
    <w:basedOn w:val="Normal"/>
    <w:next w:val="Normal"/>
    <w:autoRedefine/>
    <w:rsid w:val="003937A5"/>
    <w:pPr>
      <w:spacing w:before="0"/>
      <w:ind w:left="2160" w:hanging="240"/>
      <w:jc w:val="left"/>
    </w:pPr>
    <w:rPr>
      <w:rFonts w:eastAsia="Times New Roman" w:cs="Times New Roman"/>
      <w:sz w:val="24"/>
      <w:lang w:val="en-US"/>
    </w:rPr>
  </w:style>
  <w:style w:type="paragraph" w:styleId="IndexHeading">
    <w:name w:val="index heading"/>
    <w:basedOn w:val="Normal"/>
    <w:next w:val="Index1"/>
    <w:rsid w:val="003937A5"/>
    <w:pPr>
      <w:spacing w:before="0"/>
      <w:jc w:val="left"/>
    </w:pPr>
    <w:rPr>
      <w:rFonts w:eastAsia="Times New Roman" w:cs="Times New Roman"/>
      <w:sz w:val="24"/>
      <w:lang w:val="en-US"/>
    </w:rPr>
  </w:style>
  <w:style w:type="paragraph" w:customStyle="1" w:styleId="ColorfulShading-Accent31">
    <w:name w:val="Colorful Shading - Accent 31"/>
    <w:basedOn w:val="Normal"/>
    <w:qFormat/>
    <w:rsid w:val="003937A5"/>
    <w:pPr>
      <w:spacing w:before="0"/>
      <w:ind w:left="720"/>
      <w:contextualSpacing/>
      <w:jc w:val="left"/>
    </w:pPr>
    <w:rPr>
      <w:rFonts w:ascii="Cambria" w:eastAsia="Cambria" w:hAnsi="Cambria" w:cs="Times New Roman"/>
      <w:sz w:val="24"/>
      <w:lang w:val="en-US"/>
    </w:rPr>
  </w:style>
  <w:style w:type="paragraph" w:styleId="NormalWeb">
    <w:name w:val="Normal (Web)"/>
    <w:basedOn w:val="Normal"/>
    <w:uiPriority w:val="99"/>
    <w:rsid w:val="003937A5"/>
    <w:pPr>
      <w:spacing w:before="100" w:beforeAutospacing="1" w:after="100" w:afterAutospacing="1"/>
      <w:jc w:val="left"/>
    </w:pPr>
    <w:rPr>
      <w:rFonts w:eastAsia="Times New Roman" w:cs="Times New Roman"/>
      <w:sz w:val="24"/>
      <w:lang w:val="en-US"/>
    </w:rPr>
  </w:style>
  <w:style w:type="character" w:customStyle="1" w:styleId="BalloonTextChar1">
    <w:name w:val="Balloon Text Char1"/>
    <w:uiPriority w:val="99"/>
    <w:rsid w:val="003937A5"/>
    <w:rPr>
      <w:rFonts w:ascii="Tahoma" w:hAnsi="Tahoma" w:cs="Tahoma"/>
      <w:sz w:val="16"/>
      <w:szCs w:val="16"/>
      <w:lang w:val="en-US"/>
    </w:rPr>
  </w:style>
  <w:style w:type="paragraph" w:styleId="BodyText">
    <w:name w:val="Body Text"/>
    <w:basedOn w:val="Normal"/>
    <w:link w:val="BodyTextChar"/>
    <w:rsid w:val="003937A5"/>
    <w:pPr>
      <w:spacing w:before="0" w:after="120"/>
    </w:pPr>
    <w:rPr>
      <w:rFonts w:ascii="Cambria" w:eastAsia="Times New Roman" w:hAnsi="Cambria" w:cs="Times New Roman"/>
      <w:lang w:val="en-US"/>
    </w:rPr>
  </w:style>
  <w:style w:type="character" w:customStyle="1" w:styleId="BodyTextChar">
    <w:name w:val="Body Text Char"/>
    <w:basedOn w:val="DefaultParagraphFont"/>
    <w:link w:val="BodyText"/>
    <w:rsid w:val="003937A5"/>
    <w:rPr>
      <w:rFonts w:ascii="Cambria" w:eastAsia="Times New Roman" w:hAnsi="Cambria" w:cs="Times New Roman"/>
      <w:sz w:val="22"/>
    </w:rPr>
  </w:style>
  <w:style w:type="paragraph" w:styleId="EndnoteText">
    <w:name w:val="endnote text"/>
    <w:basedOn w:val="Normal"/>
    <w:link w:val="EndnoteTextChar"/>
    <w:uiPriority w:val="99"/>
    <w:rsid w:val="003937A5"/>
    <w:pPr>
      <w:spacing w:before="0"/>
      <w:jc w:val="left"/>
    </w:pPr>
    <w:rPr>
      <w:rFonts w:eastAsia="Times New Roman" w:cs="Times New Roman"/>
      <w:sz w:val="20"/>
      <w:szCs w:val="20"/>
      <w:lang w:val="en-US"/>
    </w:rPr>
  </w:style>
  <w:style w:type="character" w:customStyle="1" w:styleId="EndnoteTextChar">
    <w:name w:val="Endnote Text Char"/>
    <w:basedOn w:val="DefaultParagraphFont"/>
    <w:link w:val="EndnoteText"/>
    <w:uiPriority w:val="99"/>
    <w:rsid w:val="003937A5"/>
    <w:rPr>
      <w:rFonts w:ascii="Times New Roman" w:eastAsia="Times New Roman" w:hAnsi="Times New Roman" w:cs="Times New Roman"/>
      <w:sz w:val="20"/>
      <w:szCs w:val="20"/>
    </w:rPr>
  </w:style>
  <w:style w:type="character" w:styleId="EndnoteReference">
    <w:name w:val="endnote reference"/>
    <w:uiPriority w:val="99"/>
    <w:rsid w:val="003937A5"/>
    <w:rPr>
      <w:vertAlign w:val="superscript"/>
    </w:rPr>
  </w:style>
  <w:style w:type="character" w:customStyle="1" w:styleId="text">
    <w:name w:val="text"/>
    <w:rsid w:val="003937A5"/>
  </w:style>
  <w:style w:type="character" w:customStyle="1" w:styleId="comment-body">
    <w:name w:val="comment-body"/>
    <w:rsid w:val="003937A5"/>
  </w:style>
  <w:style w:type="paragraph" w:customStyle="1" w:styleId="summary">
    <w:name w:val="summary"/>
    <w:basedOn w:val="Normal"/>
    <w:rsid w:val="003937A5"/>
    <w:pPr>
      <w:spacing w:before="100" w:beforeAutospacing="1" w:after="100" w:afterAutospacing="1"/>
      <w:jc w:val="left"/>
    </w:pPr>
    <w:rPr>
      <w:rFonts w:eastAsia="Times New Roman" w:cs="Times New Roman"/>
      <w:sz w:val="24"/>
      <w:lang w:eastAsia="en-AU"/>
    </w:rPr>
  </w:style>
  <w:style w:type="paragraph" w:styleId="ListParagraph">
    <w:name w:val="List Paragraph"/>
    <w:basedOn w:val="Normal"/>
    <w:uiPriority w:val="34"/>
    <w:qFormat/>
    <w:rsid w:val="003937A5"/>
    <w:pPr>
      <w:spacing w:before="0" w:after="200" w:line="276" w:lineRule="auto"/>
      <w:ind w:left="720"/>
      <w:contextualSpacing/>
      <w:jc w:val="left"/>
    </w:pPr>
    <w:rPr>
      <w:rFonts w:ascii="Calibri" w:eastAsia="Calibri" w:hAnsi="Calibri" w:cs="Times New Roman"/>
      <w:szCs w:val="22"/>
    </w:rPr>
  </w:style>
  <w:style w:type="paragraph" w:styleId="Caption">
    <w:name w:val="caption"/>
    <w:basedOn w:val="Normal"/>
    <w:next w:val="Normal"/>
    <w:unhideWhenUsed/>
    <w:qFormat/>
    <w:rsid w:val="003937A5"/>
    <w:pPr>
      <w:spacing w:before="0"/>
      <w:jc w:val="left"/>
    </w:pPr>
    <w:rPr>
      <w:rFonts w:eastAsia="Times New Roman" w:cs="Times New Roman"/>
      <w:b/>
      <w:bCs/>
      <w:sz w:val="20"/>
      <w:szCs w:val="20"/>
      <w:lang w:val="en-US"/>
    </w:rPr>
  </w:style>
  <w:style w:type="paragraph" w:styleId="TableofFigures">
    <w:name w:val="table of figures"/>
    <w:basedOn w:val="Normal"/>
    <w:next w:val="Normal"/>
    <w:uiPriority w:val="99"/>
    <w:rsid w:val="003937A5"/>
    <w:pPr>
      <w:spacing w:before="0"/>
      <w:ind w:left="480" w:hanging="480"/>
      <w:jc w:val="left"/>
    </w:pPr>
    <w:rPr>
      <w:rFonts w:asciiTheme="majorHAnsi" w:eastAsia="Times New Roman" w:hAnsiTheme="majorHAnsi" w:cs="Times New Roman"/>
      <w:sz w:val="20"/>
      <w:lang w:val="en-US"/>
    </w:rPr>
  </w:style>
  <w:style w:type="paragraph" w:styleId="ListBullet">
    <w:name w:val="List Bullet"/>
    <w:basedOn w:val="Normal"/>
    <w:uiPriority w:val="99"/>
    <w:unhideWhenUsed/>
    <w:rsid w:val="00E24BC9"/>
    <w:pPr>
      <w:numPr>
        <w:numId w:val="3"/>
      </w:numPr>
      <w:contextualSpacing/>
    </w:pPr>
  </w:style>
  <w:style w:type="paragraph" w:styleId="DocumentMap">
    <w:name w:val="Document Map"/>
    <w:basedOn w:val="Normal"/>
    <w:link w:val="DocumentMapChar"/>
    <w:uiPriority w:val="99"/>
    <w:semiHidden/>
    <w:unhideWhenUsed/>
    <w:rsid w:val="00B948FC"/>
    <w:pPr>
      <w:spacing w:before="0"/>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948FC"/>
    <w:rPr>
      <w:rFonts w:ascii="Lucida Grande" w:hAnsi="Lucida Grande" w:cs="Lucida Grande"/>
      <w:lang w:val="en-GB"/>
    </w:rPr>
  </w:style>
  <w:style w:type="paragraph" w:styleId="Revision">
    <w:name w:val="Revision"/>
    <w:hidden/>
    <w:uiPriority w:val="99"/>
    <w:semiHidden/>
    <w:rsid w:val="002837D8"/>
    <w:rPr>
      <w:rFonts w:ascii="Times New Roman" w:hAnsi="Times New Roman"/>
      <w:sz w:val="22"/>
      <w:lang w:val="en-GB"/>
    </w:rPr>
  </w:style>
  <w:style w:type="paragraph" w:customStyle="1" w:styleId="Default">
    <w:name w:val="Default"/>
    <w:rsid w:val="00CF358B"/>
    <w:pPr>
      <w:widowControl w:val="0"/>
      <w:autoSpaceDE w:val="0"/>
      <w:autoSpaceDN w:val="0"/>
      <w:adjustRightInd w:val="0"/>
    </w:pPr>
    <w:rPr>
      <w:rFonts w:ascii="Arial" w:eastAsia="Times New Roman" w:hAnsi="Arial" w:cs="Arial"/>
      <w:color w:val="000000"/>
    </w:rPr>
  </w:style>
  <w:style w:type="paragraph" w:styleId="PlainText">
    <w:name w:val="Plain Text"/>
    <w:basedOn w:val="Normal"/>
    <w:link w:val="PlainTextChar"/>
    <w:uiPriority w:val="99"/>
    <w:semiHidden/>
    <w:unhideWhenUsed/>
    <w:rsid w:val="00E83F53"/>
    <w:pPr>
      <w:spacing w:before="0"/>
      <w:jc w:val="left"/>
    </w:pPr>
    <w:rPr>
      <w:rFonts w:ascii="Calibri" w:eastAsiaTheme="minorHAnsi" w:hAnsi="Calibri"/>
      <w:szCs w:val="21"/>
      <w:lang w:val="en-AU"/>
    </w:rPr>
  </w:style>
  <w:style w:type="character" w:customStyle="1" w:styleId="PlainTextChar">
    <w:name w:val="Plain Text Char"/>
    <w:basedOn w:val="DefaultParagraphFont"/>
    <w:link w:val="PlainText"/>
    <w:uiPriority w:val="99"/>
    <w:semiHidden/>
    <w:rsid w:val="00E83F53"/>
    <w:rPr>
      <w:rFonts w:ascii="Calibri" w:eastAsiaTheme="minorHAnsi" w:hAnsi="Calibri"/>
      <w:sz w:val="22"/>
      <w:szCs w:val="21"/>
      <w:lang w:val="en-AU"/>
    </w:rPr>
  </w:style>
  <w:style w:type="paragraph" w:customStyle="1" w:styleId="RFQPartA-Level1">
    <w:name w:val="RFQ Part A - Level 1"/>
    <w:basedOn w:val="Normal"/>
    <w:rsid w:val="005065CE"/>
    <w:pPr>
      <w:keepNext/>
      <w:numPr>
        <w:numId w:val="27"/>
      </w:numPr>
      <w:pBdr>
        <w:bottom w:val="single" w:sz="4" w:space="1" w:color="auto"/>
      </w:pBdr>
      <w:spacing w:before="200" w:line="280" w:lineRule="atLeast"/>
      <w:jc w:val="left"/>
      <w:outlineLvl w:val="0"/>
    </w:pPr>
    <w:rPr>
      <w:rFonts w:ascii="Arial" w:eastAsia="Times New Roman" w:hAnsi="Arial" w:cs="Arial"/>
      <w:b/>
      <w:lang w:val="en-AU"/>
    </w:rPr>
  </w:style>
  <w:style w:type="numbering" w:styleId="111111">
    <w:name w:val="Outline List 2"/>
    <w:aliases w:val="1 / 1.1"/>
    <w:basedOn w:val="NoList"/>
    <w:rsid w:val="005065CE"/>
    <w:pPr>
      <w:numPr>
        <w:numId w:val="26"/>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 w:unhideWhenUsed="0" w:qFormat="1"/>
    <w:lsdException w:name="Date" w:uiPriority="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03"/>
    <w:pPr>
      <w:spacing w:before="120"/>
      <w:jc w:val="both"/>
    </w:pPr>
    <w:rPr>
      <w:rFonts w:ascii="Times New Roman" w:hAnsi="Times New Roman"/>
      <w:sz w:val="22"/>
      <w:lang w:val="en-GB"/>
    </w:rPr>
  </w:style>
  <w:style w:type="paragraph" w:styleId="Heading1">
    <w:name w:val="heading 1"/>
    <w:basedOn w:val="Normal"/>
    <w:next w:val="Normal"/>
    <w:link w:val="Heading1Char"/>
    <w:qFormat/>
    <w:rsid w:val="003937A5"/>
    <w:pPr>
      <w:keepNext/>
      <w:numPr>
        <w:numId w:val="1"/>
      </w:numPr>
      <w:spacing w:before="240" w:after="60"/>
      <w:jc w:val="left"/>
      <w:outlineLvl w:val="0"/>
    </w:pPr>
    <w:rPr>
      <w:rFonts w:ascii="Calibri" w:eastAsia="Times New Roman" w:hAnsi="Calibri" w:cs="Times New Roman"/>
      <w:b/>
      <w:bCs/>
      <w:kern w:val="32"/>
      <w:sz w:val="32"/>
      <w:szCs w:val="32"/>
      <w:lang w:val="en-US"/>
    </w:rPr>
  </w:style>
  <w:style w:type="paragraph" w:styleId="Heading2">
    <w:name w:val="heading 2"/>
    <w:basedOn w:val="Normal"/>
    <w:next w:val="Normal"/>
    <w:link w:val="Heading2Char"/>
    <w:qFormat/>
    <w:rsid w:val="003937A5"/>
    <w:pPr>
      <w:keepNext/>
      <w:numPr>
        <w:ilvl w:val="1"/>
        <w:numId w:val="1"/>
      </w:numPr>
      <w:spacing w:before="240" w:after="60"/>
      <w:jc w:val="left"/>
      <w:outlineLvl w:val="1"/>
    </w:pPr>
    <w:rPr>
      <w:rFonts w:ascii="Calibri" w:eastAsia="Times New Roman" w:hAnsi="Calibri" w:cs="Times New Roman"/>
      <w:b/>
      <w:bCs/>
      <w:i/>
      <w:iCs/>
      <w:sz w:val="28"/>
      <w:szCs w:val="28"/>
      <w:lang w:val="en-US"/>
    </w:rPr>
  </w:style>
  <w:style w:type="paragraph" w:styleId="Heading3">
    <w:name w:val="heading 3"/>
    <w:basedOn w:val="Normal"/>
    <w:next w:val="Normal"/>
    <w:link w:val="Heading3Char"/>
    <w:qFormat/>
    <w:rsid w:val="003937A5"/>
    <w:pPr>
      <w:keepNext/>
      <w:numPr>
        <w:ilvl w:val="2"/>
        <w:numId w:val="1"/>
      </w:numPr>
      <w:spacing w:before="240" w:after="60"/>
      <w:jc w:val="left"/>
      <w:outlineLvl w:val="2"/>
    </w:pPr>
    <w:rPr>
      <w:rFonts w:ascii="Calibri" w:eastAsia="Times New Roman" w:hAnsi="Calibri" w:cs="Times New Roman"/>
      <w:b/>
      <w:bCs/>
      <w:sz w:val="26"/>
      <w:szCs w:val="26"/>
      <w:lang w:val="en-US"/>
    </w:rPr>
  </w:style>
  <w:style w:type="paragraph" w:styleId="Heading4">
    <w:name w:val="heading 4"/>
    <w:basedOn w:val="Normal"/>
    <w:next w:val="Normal"/>
    <w:link w:val="Heading4Char"/>
    <w:qFormat/>
    <w:rsid w:val="003937A5"/>
    <w:pPr>
      <w:keepNext/>
      <w:numPr>
        <w:ilvl w:val="3"/>
        <w:numId w:val="1"/>
      </w:numPr>
      <w:spacing w:before="240" w:after="60"/>
      <w:jc w:val="left"/>
      <w:outlineLvl w:val="3"/>
    </w:pPr>
    <w:rPr>
      <w:rFonts w:ascii="Cambria" w:eastAsia="Times New Roman" w:hAnsi="Cambria" w:cs="Times New Roman"/>
      <w:b/>
      <w:bCs/>
      <w:sz w:val="28"/>
      <w:szCs w:val="28"/>
      <w:lang w:val="en-US"/>
    </w:rPr>
  </w:style>
  <w:style w:type="paragraph" w:styleId="Heading5">
    <w:name w:val="heading 5"/>
    <w:basedOn w:val="Normal"/>
    <w:next w:val="Normal"/>
    <w:link w:val="Heading5Char"/>
    <w:qFormat/>
    <w:rsid w:val="003937A5"/>
    <w:pPr>
      <w:numPr>
        <w:ilvl w:val="4"/>
        <w:numId w:val="1"/>
      </w:numPr>
      <w:spacing w:before="240" w:after="60"/>
      <w:jc w:val="left"/>
      <w:outlineLvl w:val="4"/>
    </w:pPr>
    <w:rPr>
      <w:rFonts w:ascii="Cambria" w:eastAsia="Times New Roman" w:hAnsi="Cambria" w:cs="Times New Roman"/>
      <w:b/>
      <w:bCs/>
      <w:i/>
      <w:iCs/>
      <w:sz w:val="26"/>
      <w:szCs w:val="26"/>
      <w:lang w:val="en-US"/>
    </w:rPr>
  </w:style>
  <w:style w:type="paragraph" w:styleId="Heading6">
    <w:name w:val="heading 6"/>
    <w:basedOn w:val="Normal"/>
    <w:next w:val="Normal"/>
    <w:link w:val="Heading6Char"/>
    <w:qFormat/>
    <w:rsid w:val="003937A5"/>
    <w:pPr>
      <w:numPr>
        <w:ilvl w:val="5"/>
        <w:numId w:val="1"/>
      </w:numPr>
      <w:spacing w:before="240" w:after="60"/>
      <w:jc w:val="left"/>
      <w:outlineLvl w:val="5"/>
    </w:pPr>
    <w:rPr>
      <w:rFonts w:ascii="Cambria" w:eastAsia="Times New Roman" w:hAnsi="Cambria" w:cs="Times New Roman"/>
      <w:b/>
      <w:bCs/>
      <w:szCs w:val="22"/>
      <w:lang w:val="en-US"/>
    </w:rPr>
  </w:style>
  <w:style w:type="paragraph" w:styleId="Heading7">
    <w:name w:val="heading 7"/>
    <w:basedOn w:val="Normal"/>
    <w:next w:val="Normal"/>
    <w:link w:val="Heading7Char"/>
    <w:qFormat/>
    <w:rsid w:val="003937A5"/>
    <w:pPr>
      <w:numPr>
        <w:ilvl w:val="6"/>
        <w:numId w:val="1"/>
      </w:numPr>
      <w:spacing w:before="240" w:after="60"/>
      <w:jc w:val="left"/>
      <w:outlineLvl w:val="6"/>
    </w:pPr>
    <w:rPr>
      <w:rFonts w:ascii="Cambria" w:eastAsia="Times New Roman" w:hAnsi="Cambria" w:cs="Times New Roman"/>
      <w:sz w:val="24"/>
      <w:lang w:val="en-US"/>
    </w:rPr>
  </w:style>
  <w:style w:type="paragraph" w:styleId="Heading8">
    <w:name w:val="heading 8"/>
    <w:basedOn w:val="Normal"/>
    <w:next w:val="Normal"/>
    <w:link w:val="Heading8Char"/>
    <w:qFormat/>
    <w:rsid w:val="003937A5"/>
    <w:pPr>
      <w:numPr>
        <w:ilvl w:val="7"/>
        <w:numId w:val="1"/>
      </w:numPr>
      <w:spacing w:before="240" w:after="60"/>
      <w:jc w:val="left"/>
      <w:outlineLvl w:val="7"/>
    </w:pPr>
    <w:rPr>
      <w:rFonts w:ascii="Cambria" w:eastAsia="Times New Roman" w:hAnsi="Cambria" w:cs="Times New Roman"/>
      <w:i/>
      <w:iCs/>
      <w:sz w:val="24"/>
      <w:lang w:val="en-US"/>
    </w:rPr>
  </w:style>
  <w:style w:type="paragraph" w:styleId="Heading9">
    <w:name w:val="heading 9"/>
    <w:basedOn w:val="Normal"/>
    <w:next w:val="Normal"/>
    <w:link w:val="Heading9Char"/>
    <w:qFormat/>
    <w:rsid w:val="003937A5"/>
    <w:pPr>
      <w:numPr>
        <w:ilvl w:val="8"/>
        <w:numId w:val="1"/>
      </w:numPr>
      <w:spacing w:before="240" w:after="60"/>
      <w:jc w:val="left"/>
      <w:outlineLvl w:val="8"/>
    </w:pPr>
    <w:rPr>
      <w:rFonts w:ascii="Calibri" w:eastAsia="Times New Roman" w:hAnsi="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0F3103"/>
    <w:rPr>
      <w:rFonts w:asciiTheme="majorHAnsi" w:hAnsiTheme="majorHAnsi"/>
      <w:sz w:val="22"/>
      <w:vertAlign w:val="superscript"/>
    </w:rPr>
  </w:style>
  <w:style w:type="paragraph" w:styleId="FootnoteText">
    <w:name w:val="footnote text"/>
    <w:basedOn w:val="Normal"/>
    <w:link w:val="FootnoteTextChar"/>
    <w:uiPriority w:val="99"/>
    <w:unhideWhenUsed/>
    <w:rsid w:val="000F3103"/>
    <w:pPr>
      <w:spacing w:before="0"/>
    </w:pPr>
    <w:rPr>
      <w:rFonts w:asciiTheme="majorHAnsi" w:hAnsiTheme="majorHAnsi"/>
      <w:i/>
      <w:sz w:val="18"/>
    </w:rPr>
  </w:style>
  <w:style w:type="character" w:customStyle="1" w:styleId="FootnoteTextChar">
    <w:name w:val="Footnote Text Char"/>
    <w:basedOn w:val="DefaultParagraphFont"/>
    <w:link w:val="FootnoteText"/>
    <w:uiPriority w:val="99"/>
    <w:rsid w:val="000F3103"/>
    <w:rPr>
      <w:rFonts w:asciiTheme="majorHAnsi" w:hAnsiTheme="majorHAnsi"/>
      <w:i/>
      <w:sz w:val="18"/>
      <w:lang w:val="en-AU"/>
    </w:rPr>
  </w:style>
  <w:style w:type="paragraph" w:styleId="NoSpacing">
    <w:name w:val="No Spacing"/>
    <w:link w:val="NoSpacingChar"/>
    <w:qFormat/>
    <w:rsid w:val="00F6036E"/>
    <w:rPr>
      <w:rFonts w:ascii="PMingLiU" w:hAnsi="PMingLiU"/>
      <w:sz w:val="22"/>
      <w:szCs w:val="22"/>
    </w:rPr>
  </w:style>
  <w:style w:type="character" w:customStyle="1" w:styleId="NoSpacingChar">
    <w:name w:val="No Spacing Char"/>
    <w:basedOn w:val="DefaultParagraphFont"/>
    <w:link w:val="NoSpacing"/>
    <w:rsid w:val="00F6036E"/>
    <w:rPr>
      <w:rFonts w:ascii="PMingLiU" w:hAnsi="PMingLiU"/>
      <w:sz w:val="22"/>
      <w:szCs w:val="22"/>
    </w:rPr>
  </w:style>
  <w:style w:type="paragraph" w:styleId="Subtitle">
    <w:name w:val="Subtitle"/>
    <w:basedOn w:val="Normal"/>
    <w:next w:val="Normal"/>
    <w:link w:val="SubtitleChar"/>
    <w:uiPriority w:val="1"/>
    <w:rsid w:val="00F6036E"/>
    <w:pPr>
      <w:numPr>
        <w:ilvl w:val="1"/>
      </w:numPr>
      <w:spacing w:before="60" w:after="480"/>
      <w:jc w:val="right"/>
    </w:pPr>
    <w:rPr>
      <w:rFonts w:asciiTheme="minorHAnsi" w:hAnsiTheme="minorHAnsi"/>
      <w:iCs/>
      <w:color w:val="595959" w:themeColor="text1" w:themeTint="A6"/>
      <w:sz w:val="28"/>
      <w:szCs w:val="28"/>
      <w:lang w:val="en-US"/>
    </w:rPr>
  </w:style>
  <w:style w:type="character" w:customStyle="1" w:styleId="SubtitleChar">
    <w:name w:val="Subtitle Char"/>
    <w:basedOn w:val="DefaultParagraphFont"/>
    <w:link w:val="Subtitle"/>
    <w:uiPriority w:val="1"/>
    <w:rsid w:val="00F6036E"/>
    <w:rPr>
      <w:iCs/>
      <w:color w:val="595959" w:themeColor="text1" w:themeTint="A6"/>
      <w:sz w:val="28"/>
      <w:szCs w:val="28"/>
    </w:rPr>
  </w:style>
  <w:style w:type="paragraph" w:styleId="Date">
    <w:name w:val="Date"/>
    <w:basedOn w:val="Normal"/>
    <w:next w:val="Normal"/>
    <w:link w:val="DateChar"/>
    <w:uiPriority w:val="1"/>
    <w:rsid w:val="00F6036E"/>
    <w:pPr>
      <w:spacing w:before="0" w:line="276" w:lineRule="auto"/>
      <w:jc w:val="right"/>
    </w:pPr>
    <w:rPr>
      <w:rFonts w:asciiTheme="minorHAnsi" w:hAnsiTheme="minorHAnsi"/>
      <w:color w:val="4F81BD" w:themeColor="accent1"/>
      <w:sz w:val="24"/>
      <w:lang w:val="en-US"/>
    </w:rPr>
  </w:style>
  <w:style w:type="character" w:customStyle="1" w:styleId="DateChar">
    <w:name w:val="Date Char"/>
    <w:basedOn w:val="DefaultParagraphFont"/>
    <w:link w:val="Date"/>
    <w:uiPriority w:val="1"/>
    <w:rsid w:val="00F6036E"/>
    <w:rPr>
      <w:color w:val="4F81BD" w:themeColor="accent1"/>
    </w:rPr>
  </w:style>
  <w:style w:type="paragraph" w:styleId="BalloonText">
    <w:name w:val="Balloon Text"/>
    <w:basedOn w:val="Normal"/>
    <w:link w:val="BalloonTextChar"/>
    <w:uiPriority w:val="99"/>
    <w:unhideWhenUsed/>
    <w:rsid w:val="00F6036E"/>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036E"/>
    <w:rPr>
      <w:rFonts w:ascii="Lucida Grande" w:hAnsi="Lucida Grande" w:cs="Lucida Grande"/>
      <w:sz w:val="18"/>
      <w:szCs w:val="18"/>
      <w:lang w:val="en-AU"/>
    </w:rPr>
  </w:style>
  <w:style w:type="character" w:customStyle="1" w:styleId="Heading1Char">
    <w:name w:val="Heading 1 Char"/>
    <w:basedOn w:val="DefaultParagraphFont"/>
    <w:link w:val="Heading1"/>
    <w:rsid w:val="003937A5"/>
    <w:rPr>
      <w:rFonts w:ascii="Calibri" w:eastAsia="Times New Roman" w:hAnsi="Calibri" w:cs="Times New Roman"/>
      <w:b/>
      <w:bCs/>
      <w:kern w:val="32"/>
      <w:sz w:val="32"/>
      <w:szCs w:val="32"/>
    </w:rPr>
  </w:style>
  <w:style w:type="character" w:customStyle="1" w:styleId="Heading2Char">
    <w:name w:val="Heading 2 Char"/>
    <w:basedOn w:val="DefaultParagraphFont"/>
    <w:link w:val="Heading2"/>
    <w:rsid w:val="003937A5"/>
    <w:rPr>
      <w:rFonts w:ascii="Calibri" w:eastAsia="Times New Roman" w:hAnsi="Calibri" w:cs="Times New Roman"/>
      <w:b/>
      <w:bCs/>
      <w:i/>
      <w:iCs/>
      <w:sz w:val="28"/>
      <w:szCs w:val="28"/>
    </w:rPr>
  </w:style>
  <w:style w:type="character" w:customStyle="1" w:styleId="Heading3Char">
    <w:name w:val="Heading 3 Char"/>
    <w:basedOn w:val="DefaultParagraphFont"/>
    <w:link w:val="Heading3"/>
    <w:rsid w:val="003937A5"/>
    <w:rPr>
      <w:rFonts w:ascii="Calibri" w:eastAsia="Times New Roman" w:hAnsi="Calibri" w:cs="Times New Roman"/>
      <w:b/>
      <w:bCs/>
      <w:sz w:val="26"/>
      <w:szCs w:val="26"/>
    </w:rPr>
  </w:style>
  <w:style w:type="character" w:customStyle="1" w:styleId="Heading4Char">
    <w:name w:val="Heading 4 Char"/>
    <w:basedOn w:val="DefaultParagraphFont"/>
    <w:link w:val="Heading4"/>
    <w:rsid w:val="003937A5"/>
    <w:rPr>
      <w:rFonts w:ascii="Cambria" w:eastAsia="Times New Roman" w:hAnsi="Cambria" w:cs="Times New Roman"/>
      <w:b/>
      <w:bCs/>
      <w:sz w:val="28"/>
      <w:szCs w:val="28"/>
    </w:rPr>
  </w:style>
  <w:style w:type="character" w:customStyle="1" w:styleId="Heading5Char">
    <w:name w:val="Heading 5 Char"/>
    <w:basedOn w:val="DefaultParagraphFont"/>
    <w:link w:val="Heading5"/>
    <w:rsid w:val="003937A5"/>
    <w:rPr>
      <w:rFonts w:ascii="Cambria" w:eastAsia="Times New Roman" w:hAnsi="Cambria" w:cs="Times New Roman"/>
      <w:b/>
      <w:bCs/>
      <w:i/>
      <w:iCs/>
      <w:sz w:val="26"/>
      <w:szCs w:val="26"/>
    </w:rPr>
  </w:style>
  <w:style w:type="character" w:customStyle="1" w:styleId="Heading6Char">
    <w:name w:val="Heading 6 Char"/>
    <w:basedOn w:val="DefaultParagraphFont"/>
    <w:link w:val="Heading6"/>
    <w:rsid w:val="003937A5"/>
    <w:rPr>
      <w:rFonts w:ascii="Cambria" w:eastAsia="Times New Roman" w:hAnsi="Cambria" w:cs="Times New Roman"/>
      <w:b/>
      <w:bCs/>
      <w:sz w:val="22"/>
      <w:szCs w:val="22"/>
    </w:rPr>
  </w:style>
  <w:style w:type="character" w:customStyle="1" w:styleId="Heading7Char">
    <w:name w:val="Heading 7 Char"/>
    <w:basedOn w:val="DefaultParagraphFont"/>
    <w:link w:val="Heading7"/>
    <w:rsid w:val="003937A5"/>
    <w:rPr>
      <w:rFonts w:ascii="Cambria" w:eastAsia="Times New Roman" w:hAnsi="Cambria" w:cs="Times New Roman"/>
    </w:rPr>
  </w:style>
  <w:style w:type="character" w:customStyle="1" w:styleId="Heading8Char">
    <w:name w:val="Heading 8 Char"/>
    <w:basedOn w:val="DefaultParagraphFont"/>
    <w:link w:val="Heading8"/>
    <w:rsid w:val="003937A5"/>
    <w:rPr>
      <w:rFonts w:ascii="Cambria" w:eastAsia="Times New Roman" w:hAnsi="Cambria" w:cs="Times New Roman"/>
      <w:i/>
      <w:iCs/>
    </w:rPr>
  </w:style>
  <w:style w:type="character" w:customStyle="1" w:styleId="Heading9Char">
    <w:name w:val="Heading 9 Char"/>
    <w:basedOn w:val="DefaultParagraphFont"/>
    <w:link w:val="Heading9"/>
    <w:rsid w:val="003937A5"/>
    <w:rPr>
      <w:rFonts w:ascii="Calibri" w:eastAsia="Times New Roman" w:hAnsi="Calibri" w:cs="Times New Roman"/>
      <w:sz w:val="22"/>
      <w:szCs w:val="22"/>
    </w:rPr>
  </w:style>
  <w:style w:type="paragraph" w:styleId="Header">
    <w:name w:val="header"/>
    <w:basedOn w:val="Normal"/>
    <w:link w:val="HeaderChar"/>
    <w:rsid w:val="003937A5"/>
    <w:pPr>
      <w:tabs>
        <w:tab w:val="center" w:pos="4320"/>
        <w:tab w:val="right" w:pos="8640"/>
      </w:tabs>
      <w:spacing w:before="0"/>
      <w:jc w:val="left"/>
    </w:pPr>
    <w:rPr>
      <w:rFonts w:eastAsia="Times New Roman" w:cs="Times New Roman"/>
      <w:sz w:val="24"/>
      <w:lang w:val="en-US"/>
    </w:rPr>
  </w:style>
  <w:style w:type="character" w:customStyle="1" w:styleId="HeaderChar">
    <w:name w:val="Header Char"/>
    <w:basedOn w:val="DefaultParagraphFont"/>
    <w:link w:val="Header"/>
    <w:rsid w:val="003937A5"/>
    <w:rPr>
      <w:rFonts w:ascii="Times New Roman" w:eastAsia="Times New Roman" w:hAnsi="Times New Roman" w:cs="Times New Roman"/>
    </w:rPr>
  </w:style>
  <w:style w:type="character" w:styleId="PageNumber">
    <w:name w:val="page number"/>
    <w:basedOn w:val="DefaultParagraphFont"/>
    <w:rsid w:val="003937A5"/>
  </w:style>
  <w:style w:type="character" w:styleId="Hyperlink">
    <w:name w:val="Hyperlink"/>
    <w:uiPriority w:val="99"/>
    <w:rsid w:val="003937A5"/>
    <w:rPr>
      <w:color w:val="0000FF"/>
      <w:u w:val="single"/>
    </w:rPr>
  </w:style>
  <w:style w:type="paragraph" w:styleId="Footer">
    <w:name w:val="footer"/>
    <w:basedOn w:val="Normal"/>
    <w:link w:val="FooterChar"/>
    <w:rsid w:val="003937A5"/>
    <w:pPr>
      <w:tabs>
        <w:tab w:val="center" w:pos="4320"/>
        <w:tab w:val="right" w:pos="8640"/>
      </w:tabs>
      <w:spacing w:before="0"/>
      <w:jc w:val="left"/>
    </w:pPr>
    <w:rPr>
      <w:rFonts w:eastAsia="Times New Roman" w:cs="Times New Roman"/>
      <w:sz w:val="24"/>
      <w:lang w:val="en-US"/>
    </w:rPr>
  </w:style>
  <w:style w:type="character" w:customStyle="1" w:styleId="FooterChar">
    <w:name w:val="Footer Char"/>
    <w:basedOn w:val="DefaultParagraphFont"/>
    <w:link w:val="Footer"/>
    <w:uiPriority w:val="99"/>
    <w:rsid w:val="003937A5"/>
    <w:rPr>
      <w:rFonts w:ascii="Times New Roman" w:eastAsia="Times New Roman" w:hAnsi="Times New Roman" w:cs="Times New Roman"/>
    </w:rPr>
  </w:style>
  <w:style w:type="table" w:styleId="TableGrid">
    <w:name w:val="Table Grid"/>
    <w:basedOn w:val="TableNormal"/>
    <w:uiPriority w:val="59"/>
    <w:rsid w:val="003937A5"/>
    <w:rPr>
      <w:rFonts w:ascii="Times New Roman" w:eastAsia="Times New Roman" w:hAnsi="Times New Roman" w:cs="Times New Roman"/>
      <w:sz w:val="20"/>
      <w:szCs w:val="20"/>
      <w:lang w:val="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DA-1">
    <w:name w:val="CDA - 1"/>
    <w:aliases w:val="2,3"/>
    <w:rsid w:val="003937A5"/>
    <w:pPr>
      <w:widowControl w:val="0"/>
      <w:spacing w:after="283" w:line="328" w:lineRule="atLeast"/>
      <w:ind w:left="567"/>
      <w:jc w:val="both"/>
    </w:pPr>
    <w:rPr>
      <w:rFonts w:ascii="TimesNewRomanPS" w:eastAsia="Times New Roman" w:hAnsi="TimesNewRomanPS" w:cs="Times New Roman"/>
      <w:snapToGrid w:val="0"/>
      <w:color w:val="000000"/>
      <w:szCs w:val="20"/>
    </w:rPr>
  </w:style>
  <w:style w:type="paragraph" w:styleId="TOC1">
    <w:name w:val="toc 1"/>
    <w:basedOn w:val="Normal"/>
    <w:next w:val="Normal"/>
    <w:autoRedefine/>
    <w:uiPriority w:val="39"/>
    <w:rsid w:val="00B83873"/>
    <w:pPr>
      <w:tabs>
        <w:tab w:val="left" w:pos="362"/>
        <w:tab w:val="right" w:leader="dot" w:pos="9622"/>
      </w:tabs>
      <w:jc w:val="left"/>
    </w:pPr>
    <w:rPr>
      <w:rFonts w:ascii="Calibri" w:eastAsia="Times New Roman" w:hAnsi="Calibri" w:cs="Times New Roman"/>
      <w:b/>
      <w:noProof/>
      <w:color w:val="31849B" w:themeColor="accent5" w:themeShade="BF"/>
      <w:sz w:val="24"/>
      <w:lang w:val="en-US"/>
    </w:rPr>
  </w:style>
  <w:style w:type="paragraph" w:styleId="TOC2">
    <w:name w:val="toc 2"/>
    <w:basedOn w:val="Normal"/>
    <w:next w:val="Normal"/>
    <w:autoRedefine/>
    <w:uiPriority w:val="39"/>
    <w:rsid w:val="005F421E"/>
    <w:pPr>
      <w:tabs>
        <w:tab w:val="left" w:pos="529"/>
        <w:tab w:val="right" w:leader="dot" w:pos="9639"/>
      </w:tabs>
      <w:spacing w:before="0"/>
      <w:jc w:val="left"/>
    </w:pPr>
    <w:rPr>
      <w:rFonts w:ascii="Cambria" w:eastAsia="Times New Roman" w:hAnsi="Cambria" w:cs="Times New Roman"/>
      <w:szCs w:val="22"/>
      <w:lang w:val="en-US"/>
    </w:rPr>
  </w:style>
  <w:style w:type="paragraph" w:styleId="TOC3">
    <w:name w:val="toc 3"/>
    <w:basedOn w:val="Normal"/>
    <w:next w:val="Normal"/>
    <w:autoRedefine/>
    <w:uiPriority w:val="39"/>
    <w:rsid w:val="00A91985"/>
    <w:pPr>
      <w:tabs>
        <w:tab w:val="left" w:pos="916"/>
        <w:tab w:val="right" w:leader="dot" w:pos="9622"/>
      </w:tabs>
      <w:spacing w:before="0"/>
      <w:jc w:val="left"/>
    </w:pPr>
    <w:rPr>
      <w:rFonts w:ascii="Cambria" w:eastAsia="Times New Roman" w:hAnsi="Cambria" w:cs="Times New Roman"/>
      <w:i/>
      <w:szCs w:val="22"/>
      <w:lang w:val="en-US"/>
    </w:rPr>
  </w:style>
  <w:style w:type="paragraph" w:styleId="TOC4">
    <w:name w:val="toc 4"/>
    <w:basedOn w:val="Normal"/>
    <w:next w:val="Normal"/>
    <w:autoRedefine/>
    <w:uiPriority w:val="39"/>
    <w:rsid w:val="003937A5"/>
    <w:pPr>
      <w:pBdr>
        <w:between w:val="double" w:sz="6" w:space="0" w:color="auto"/>
      </w:pBdr>
      <w:spacing w:before="0"/>
      <w:ind w:left="480"/>
      <w:jc w:val="left"/>
    </w:pPr>
    <w:rPr>
      <w:rFonts w:ascii="Cambria" w:eastAsia="Times New Roman" w:hAnsi="Cambria" w:cs="Times New Roman"/>
      <w:sz w:val="20"/>
      <w:szCs w:val="20"/>
      <w:lang w:val="en-US"/>
    </w:rPr>
  </w:style>
  <w:style w:type="paragraph" w:styleId="TOC5">
    <w:name w:val="toc 5"/>
    <w:basedOn w:val="Normal"/>
    <w:next w:val="Normal"/>
    <w:autoRedefine/>
    <w:uiPriority w:val="39"/>
    <w:rsid w:val="003937A5"/>
    <w:pPr>
      <w:pBdr>
        <w:between w:val="double" w:sz="6" w:space="0" w:color="auto"/>
      </w:pBdr>
      <w:spacing w:before="0"/>
      <w:ind w:left="720"/>
      <w:jc w:val="left"/>
    </w:pPr>
    <w:rPr>
      <w:rFonts w:ascii="Cambria" w:eastAsia="Times New Roman" w:hAnsi="Cambria" w:cs="Times New Roman"/>
      <w:sz w:val="20"/>
      <w:szCs w:val="20"/>
      <w:lang w:val="en-US"/>
    </w:rPr>
  </w:style>
  <w:style w:type="paragraph" w:styleId="TOC6">
    <w:name w:val="toc 6"/>
    <w:basedOn w:val="Normal"/>
    <w:next w:val="Normal"/>
    <w:autoRedefine/>
    <w:uiPriority w:val="39"/>
    <w:rsid w:val="003937A5"/>
    <w:pPr>
      <w:pBdr>
        <w:between w:val="double" w:sz="6" w:space="0" w:color="auto"/>
      </w:pBdr>
      <w:spacing w:before="0"/>
      <w:ind w:left="960"/>
      <w:jc w:val="left"/>
    </w:pPr>
    <w:rPr>
      <w:rFonts w:ascii="Cambria" w:eastAsia="Times New Roman" w:hAnsi="Cambria" w:cs="Times New Roman"/>
      <w:sz w:val="20"/>
      <w:szCs w:val="20"/>
      <w:lang w:val="en-US"/>
    </w:rPr>
  </w:style>
  <w:style w:type="paragraph" w:styleId="TOC7">
    <w:name w:val="toc 7"/>
    <w:basedOn w:val="Normal"/>
    <w:next w:val="Normal"/>
    <w:autoRedefine/>
    <w:uiPriority w:val="39"/>
    <w:rsid w:val="003937A5"/>
    <w:pPr>
      <w:pBdr>
        <w:between w:val="double" w:sz="6" w:space="0" w:color="auto"/>
      </w:pBdr>
      <w:spacing w:before="0"/>
      <w:ind w:left="1200"/>
      <w:jc w:val="left"/>
    </w:pPr>
    <w:rPr>
      <w:rFonts w:ascii="Cambria" w:eastAsia="Times New Roman" w:hAnsi="Cambria" w:cs="Times New Roman"/>
      <w:sz w:val="20"/>
      <w:szCs w:val="20"/>
      <w:lang w:val="en-US"/>
    </w:rPr>
  </w:style>
  <w:style w:type="paragraph" w:styleId="TOC8">
    <w:name w:val="toc 8"/>
    <w:basedOn w:val="Normal"/>
    <w:next w:val="Normal"/>
    <w:autoRedefine/>
    <w:uiPriority w:val="39"/>
    <w:rsid w:val="003937A5"/>
    <w:pPr>
      <w:pBdr>
        <w:between w:val="double" w:sz="6" w:space="0" w:color="auto"/>
      </w:pBdr>
      <w:spacing w:before="0"/>
      <w:ind w:left="1440"/>
      <w:jc w:val="left"/>
    </w:pPr>
    <w:rPr>
      <w:rFonts w:ascii="Cambria" w:eastAsia="Times New Roman" w:hAnsi="Cambria" w:cs="Times New Roman"/>
      <w:sz w:val="20"/>
      <w:szCs w:val="20"/>
      <w:lang w:val="en-US"/>
    </w:rPr>
  </w:style>
  <w:style w:type="paragraph" w:styleId="TOC9">
    <w:name w:val="toc 9"/>
    <w:basedOn w:val="Normal"/>
    <w:next w:val="Normal"/>
    <w:autoRedefine/>
    <w:uiPriority w:val="39"/>
    <w:rsid w:val="003937A5"/>
    <w:pPr>
      <w:pBdr>
        <w:between w:val="double" w:sz="6" w:space="0" w:color="auto"/>
      </w:pBdr>
      <w:spacing w:before="0"/>
      <w:ind w:left="1680"/>
      <w:jc w:val="left"/>
    </w:pPr>
    <w:rPr>
      <w:rFonts w:ascii="Cambria" w:eastAsia="Times New Roman" w:hAnsi="Cambria" w:cs="Times New Roman"/>
      <w:sz w:val="20"/>
      <w:szCs w:val="20"/>
      <w:lang w:val="en-US"/>
    </w:rPr>
  </w:style>
  <w:style w:type="character" w:styleId="FollowedHyperlink">
    <w:name w:val="FollowedHyperlink"/>
    <w:rsid w:val="003937A5"/>
    <w:rPr>
      <w:color w:val="800080"/>
      <w:u w:val="single"/>
    </w:rPr>
  </w:style>
  <w:style w:type="character" w:styleId="CommentReference">
    <w:name w:val="annotation reference"/>
    <w:rsid w:val="003937A5"/>
    <w:rPr>
      <w:sz w:val="16"/>
      <w:szCs w:val="16"/>
    </w:rPr>
  </w:style>
  <w:style w:type="paragraph" w:styleId="CommentText">
    <w:name w:val="annotation text"/>
    <w:basedOn w:val="Normal"/>
    <w:link w:val="CommentTextChar"/>
    <w:uiPriority w:val="99"/>
    <w:rsid w:val="003937A5"/>
    <w:pPr>
      <w:spacing w:before="0"/>
      <w:jc w:val="left"/>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3937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937A5"/>
    <w:rPr>
      <w:b/>
      <w:bCs/>
    </w:rPr>
  </w:style>
  <w:style w:type="character" w:customStyle="1" w:styleId="CommentSubjectChar">
    <w:name w:val="Comment Subject Char"/>
    <w:basedOn w:val="CommentTextChar"/>
    <w:link w:val="CommentSubject"/>
    <w:rsid w:val="003937A5"/>
    <w:rPr>
      <w:rFonts w:ascii="Times New Roman" w:eastAsia="Times New Roman" w:hAnsi="Times New Roman" w:cs="Times New Roman"/>
      <w:b/>
      <w:bCs/>
      <w:sz w:val="20"/>
      <w:szCs w:val="20"/>
    </w:rPr>
  </w:style>
  <w:style w:type="paragraph" w:customStyle="1" w:styleId="MediumList1-Accent61">
    <w:name w:val="Medium List 1 - Accent 61"/>
    <w:basedOn w:val="Normal"/>
    <w:uiPriority w:val="34"/>
    <w:qFormat/>
    <w:rsid w:val="003937A5"/>
    <w:pPr>
      <w:spacing w:before="0"/>
      <w:ind w:left="720"/>
      <w:contextualSpacing/>
      <w:jc w:val="left"/>
    </w:pPr>
    <w:rPr>
      <w:rFonts w:ascii="Cambria" w:eastAsia="Cambria" w:hAnsi="Cambria" w:cs="Times New Roman"/>
      <w:sz w:val="24"/>
      <w:lang w:val="en-US"/>
    </w:rPr>
  </w:style>
  <w:style w:type="paragraph" w:customStyle="1" w:styleId="DarkList-Accent51">
    <w:name w:val="Dark List - Accent 51"/>
    <w:basedOn w:val="Normal"/>
    <w:rsid w:val="003937A5"/>
    <w:pPr>
      <w:spacing w:before="0"/>
      <w:ind w:left="720"/>
      <w:contextualSpacing/>
      <w:jc w:val="left"/>
    </w:pPr>
    <w:rPr>
      <w:rFonts w:ascii="Cambria" w:eastAsia="Cambria" w:hAnsi="Cambria" w:cs="Times New Roman"/>
      <w:sz w:val="24"/>
      <w:lang w:val="en-US"/>
    </w:rPr>
  </w:style>
  <w:style w:type="paragraph" w:styleId="Index1">
    <w:name w:val="index 1"/>
    <w:basedOn w:val="Normal"/>
    <w:next w:val="Normal"/>
    <w:autoRedefine/>
    <w:rsid w:val="003937A5"/>
    <w:pPr>
      <w:spacing w:before="0"/>
      <w:ind w:left="240" w:hanging="240"/>
      <w:jc w:val="left"/>
    </w:pPr>
    <w:rPr>
      <w:rFonts w:eastAsia="Times New Roman" w:cs="Times New Roman"/>
      <w:sz w:val="24"/>
      <w:lang w:val="en-US"/>
    </w:rPr>
  </w:style>
  <w:style w:type="paragraph" w:styleId="Index2">
    <w:name w:val="index 2"/>
    <w:basedOn w:val="Normal"/>
    <w:next w:val="Normal"/>
    <w:autoRedefine/>
    <w:rsid w:val="003937A5"/>
    <w:pPr>
      <w:spacing w:before="0"/>
      <w:ind w:left="480" w:hanging="240"/>
      <w:jc w:val="left"/>
    </w:pPr>
    <w:rPr>
      <w:rFonts w:eastAsia="Times New Roman" w:cs="Times New Roman"/>
      <w:sz w:val="24"/>
      <w:lang w:val="en-US"/>
    </w:rPr>
  </w:style>
  <w:style w:type="paragraph" w:styleId="Index3">
    <w:name w:val="index 3"/>
    <w:basedOn w:val="Normal"/>
    <w:next w:val="Normal"/>
    <w:autoRedefine/>
    <w:rsid w:val="003937A5"/>
    <w:pPr>
      <w:spacing w:before="0"/>
      <w:ind w:left="720" w:hanging="240"/>
      <w:jc w:val="left"/>
    </w:pPr>
    <w:rPr>
      <w:rFonts w:eastAsia="Times New Roman" w:cs="Times New Roman"/>
      <w:sz w:val="24"/>
      <w:lang w:val="en-US"/>
    </w:rPr>
  </w:style>
  <w:style w:type="paragraph" w:styleId="Index4">
    <w:name w:val="index 4"/>
    <w:basedOn w:val="Normal"/>
    <w:next w:val="Normal"/>
    <w:autoRedefine/>
    <w:rsid w:val="003937A5"/>
    <w:pPr>
      <w:spacing w:before="0"/>
      <w:ind w:left="960" w:hanging="240"/>
      <w:jc w:val="left"/>
    </w:pPr>
    <w:rPr>
      <w:rFonts w:eastAsia="Times New Roman" w:cs="Times New Roman"/>
      <w:sz w:val="24"/>
      <w:lang w:val="en-US"/>
    </w:rPr>
  </w:style>
  <w:style w:type="paragraph" w:styleId="Index5">
    <w:name w:val="index 5"/>
    <w:basedOn w:val="Normal"/>
    <w:next w:val="Normal"/>
    <w:autoRedefine/>
    <w:rsid w:val="003937A5"/>
    <w:pPr>
      <w:spacing w:before="0"/>
      <w:ind w:left="1200" w:hanging="240"/>
      <w:jc w:val="left"/>
    </w:pPr>
    <w:rPr>
      <w:rFonts w:eastAsia="Times New Roman" w:cs="Times New Roman"/>
      <w:sz w:val="24"/>
      <w:lang w:val="en-US"/>
    </w:rPr>
  </w:style>
  <w:style w:type="paragraph" w:styleId="Index6">
    <w:name w:val="index 6"/>
    <w:basedOn w:val="Normal"/>
    <w:next w:val="Normal"/>
    <w:autoRedefine/>
    <w:rsid w:val="003937A5"/>
    <w:pPr>
      <w:spacing w:before="0"/>
      <w:ind w:left="1440" w:hanging="240"/>
      <w:jc w:val="left"/>
    </w:pPr>
    <w:rPr>
      <w:rFonts w:eastAsia="Times New Roman" w:cs="Times New Roman"/>
      <w:sz w:val="24"/>
      <w:lang w:val="en-US"/>
    </w:rPr>
  </w:style>
  <w:style w:type="paragraph" w:styleId="Index7">
    <w:name w:val="index 7"/>
    <w:basedOn w:val="Normal"/>
    <w:next w:val="Normal"/>
    <w:autoRedefine/>
    <w:rsid w:val="003937A5"/>
    <w:pPr>
      <w:spacing w:before="0"/>
      <w:ind w:left="1680" w:hanging="240"/>
      <w:jc w:val="left"/>
    </w:pPr>
    <w:rPr>
      <w:rFonts w:eastAsia="Times New Roman" w:cs="Times New Roman"/>
      <w:sz w:val="24"/>
      <w:lang w:val="en-US"/>
    </w:rPr>
  </w:style>
  <w:style w:type="paragraph" w:styleId="Index8">
    <w:name w:val="index 8"/>
    <w:basedOn w:val="Normal"/>
    <w:next w:val="Normal"/>
    <w:autoRedefine/>
    <w:rsid w:val="003937A5"/>
    <w:pPr>
      <w:spacing w:before="0"/>
      <w:ind w:left="1920" w:hanging="240"/>
      <w:jc w:val="left"/>
    </w:pPr>
    <w:rPr>
      <w:rFonts w:eastAsia="Times New Roman" w:cs="Times New Roman"/>
      <w:sz w:val="24"/>
      <w:lang w:val="en-US"/>
    </w:rPr>
  </w:style>
  <w:style w:type="paragraph" w:styleId="Index9">
    <w:name w:val="index 9"/>
    <w:basedOn w:val="Normal"/>
    <w:next w:val="Normal"/>
    <w:autoRedefine/>
    <w:rsid w:val="003937A5"/>
    <w:pPr>
      <w:spacing w:before="0"/>
      <w:ind w:left="2160" w:hanging="240"/>
      <w:jc w:val="left"/>
    </w:pPr>
    <w:rPr>
      <w:rFonts w:eastAsia="Times New Roman" w:cs="Times New Roman"/>
      <w:sz w:val="24"/>
      <w:lang w:val="en-US"/>
    </w:rPr>
  </w:style>
  <w:style w:type="paragraph" w:styleId="IndexHeading">
    <w:name w:val="index heading"/>
    <w:basedOn w:val="Normal"/>
    <w:next w:val="Index1"/>
    <w:rsid w:val="003937A5"/>
    <w:pPr>
      <w:spacing w:before="0"/>
      <w:jc w:val="left"/>
    </w:pPr>
    <w:rPr>
      <w:rFonts w:eastAsia="Times New Roman" w:cs="Times New Roman"/>
      <w:sz w:val="24"/>
      <w:lang w:val="en-US"/>
    </w:rPr>
  </w:style>
  <w:style w:type="paragraph" w:customStyle="1" w:styleId="ColorfulShading-Accent31">
    <w:name w:val="Colorful Shading - Accent 31"/>
    <w:basedOn w:val="Normal"/>
    <w:qFormat/>
    <w:rsid w:val="003937A5"/>
    <w:pPr>
      <w:spacing w:before="0"/>
      <w:ind w:left="720"/>
      <w:contextualSpacing/>
      <w:jc w:val="left"/>
    </w:pPr>
    <w:rPr>
      <w:rFonts w:ascii="Cambria" w:eastAsia="Cambria" w:hAnsi="Cambria" w:cs="Times New Roman"/>
      <w:sz w:val="24"/>
      <w:lang w:val="en-US"/>
    </w:rPr>
  </w:style>
  <w:style w:type="paragraph" w:styleId="NormalWeb">
    <w:name w:val="Normal (Web)"/>
    <w:basedOn w:val="Normal"/>
    <w:uiPriority w:val="99"/>
    <w:rsid w:val="003937A5"/>
    <w:pPr>
      <w:spacing w:before="100" w:beforeAutospacing="1" w:after="100" w:afterAutospacing="1"/>
      <w:jc w:val="left"/>
    </w:pPr>
    <w:rPr>
      <w:rFonts w:eastAsia="Times New Roman" w:cs="Times New Roman"/>
      <w:sz w:val="24"/>
      <w:lang w:val="en-US"/>
    </w:rPr>
  </w:style>
  <w:style w:type="character" w:customStyle="1" w:styleId="BalloonTextChar1">
    <w:name w:val="Balloon Text Char1"/>
    <w:uiPriority w:val="99"/>
    <w:rsid w:val="003937A5"/>
    <w:rPr>
      <w:rFonts w:ascii="Tahoma" w:hAnsi="Tahoma" w:cs="Tahoma"/>
      <w:sz w:val="16"/>
      <w:szCs w:val="16"/>
      <w:lang w:val="en-US"/>
    </w:rPr>
  </w:style>
  <w:style w:type="paragraph" w:styleId="BodyText">
    <w:name w:val="Body Text"/>
    <w:basedOn w:val="Normal"/>
    <w:link w:val="BodyTextChar"/>
    <w:rsid w:val="003937A5"/>
    <w:pPr>
      <w:spacing w:before="0" w:after="120"/>
    </w:pPr>
    <w:rPr>
      <w:rFonts w:ascii="Cambria" w:eastAsia="Times New Roman" w:hAnsi="Cambria" w:cs="Times New Roman"/>
      <w:lang w:val="en-US"/>
    </w:rPr>
  </w:style>
  <w:style w:type="character" w:customStyle="1" w:styleId="BodyTextChar">
    <w:name w:val="Body Text Char"/>
    <w:basedOn w:val="DefaultParagraphFont"/>
    <w:link w:val="BodyText"/>
    <w:rsid w:val="003937A5"/>
    <w:rPr>
      <w:rFonts w:ascii="Cambria" w:eastAsia="Times New Roman" w:hAnsi="Cambria" w:cs="Times New Roman"/>
      <w:sz w:val="22"/>
    </w:rPr>
  </w:style>
  <w:style w:type="paragraph" w:styleId="EndnoteText">
    <w:name w:val="endnote text"/>
    <w:basedOn w:val="Normal"/>
    <w:link w:val="EndnoteTextChar"/>
    <w:uiPriority w:val="99"/>
    <w:rsid w:val="003937A5"/>
    <w:pPr>
      <w:spacing w:before="0"/>
      <w:jc w:val="left"/>
    </w:pPr>
    <w:rPr>
      <w:rFonts w:eastAsia="Times New Roman" w:cs="Times New Roman"/>
      <w:sz w:val="20"/>
      <w:szCs w:val="20"/>
      <w:lang w:val="en-US"/>
    </w:rPr>
  </w:style>
  <w:style w:type="character" w:customStyle="1" w:styleId="EndnoteTextChar">
    <w:name w:val="Endnote Text Char"/>
    <w:basedOn w:val="DefaultParagraphFont"/>
    <w:link w:val="EndnoteText"/>
    <w:uiPriority w:val="99"/>
    <w:rsid w:val="003937A5"/>
    <w:rPr>
      <w:rFonts w:ascii="Times New Roman" w:eastAsia="Times New Roman" w:hAnsi="Times New Roman" w:cs="Times New Roman"/>
      <w:sz w:val="20"/>
      <w:szCs w:val="20"/>
    </w:rPr>
  </w:style>
  <w:style w:type="character" w:styleId="EndnoteReference">
    <w:name w:val="endnote reference"/>
    <w:uiPriority w:val="99"/>
    <w:rsid w:val="003937A5"/>
    <w:rPr>
      <w:vertAlign w:val="superscript"/>
    </w:rPr>
  </w:style>
  <w:style w:type="character" w:customStyle="1" w:styleId="text">
    <w:name w:val="text"/>
    <w:rsid w:val="003937A5"/>
  </w:style>
  <w:style w:type="character" w:customStyle="1" w:styleId="comment-body">
    <w:name w:val="comment-body"/>
    <w:rsid w:val="003937A5"/>
  </w:style>
  <w:style w:type="paragraph" w:customStyle="1" w:styleId="summary">
    <w:name w:val="summary"/>
    <w:basedOn w:val="Normal"/>
    <w:rsid w:val="003937A5"/>
    <w:pPr>
      <w:spacing w:before="100" w:beforeAutospacing="1" w:after="100" w:afterAutospacing="1"/>
      <w:jc w:val="left"/>
    </w:pPr>
    <w:rPr>
      <w:rFonts w:eastAsia="Times New Roman" w:cs="Times New Roman"/>
      <w:sz w:val="24"/>
      <w:lang w:eastAsia="en-AU"/>
    </w:rPr>
  </w:style>
  <w:style w:type="paragraph" w:styleId="ListParagraph">
    <w:name w:val="List Paragraph"/>
    <w:basedOn w:val="Normal"/>
    <w:uiPriority w:val="34"/>
    <w:qFormat/>
    <w:rsid w:val="003937A5"/>
    <w:pPr>
      <w:spacing w:before="0" w:after="200" w:line="276" w:lineRule="auto"/>
      <w:ind w:left="720"/>
      <w:contextualSpacing/>
      <w:jc w:val="left"/>
    </w:pPr>
    <w:rPr>
      <w:rFonts w:ascii="Calibri" w:eastAsia="Calibri" w:hAnsi="Calibri" w:cs="Times New Roman"/>
      <w:szCs w:val="22"/>
    </w:rPr>
  </w:style>
  <w:style w:type="paragraph" w:styleId="Caption">
    <w:name w:val="caption"/>
    <w:basedOn w:val="Normal"/>
    <w:next w:val="Normal"/>
    <w:unhideWhenUsed/>
    <w:qFormat/>
    <w:rsid w:val="003937A5"/>
    <w:pPr>
      <w:spacing w:before="0"/>
      <w:jc w:val="left"/>
    </w:pPr>
    <w:rPr>
      <w:rFonts w:eastAsia="Times New Roman" w:cs="Times New Roman"/>
      <w:b/>
      <w:bCs/>
      <w:sz w:val="20"/>
      <w:szCs w:val="20"/>
      <w:lang w:val="en-US"/>
    </w:rPr>
  </w:style>
  <w:style w:type="paragraph" w:styleId="TableofFigures">
    <w:name w:val="table of figures"/>
    <w:basedOn w:val="Normal"/>
    <w:next w:val="Normal"/>
    <w:uiPriority w:val="99"/>
    <w:rsid w:val="003937A5"/>
    <w:pPr>
      <w:spacing w:before="0"/>
      <w:ind w:left="480" w:hanging="480"/>
      <w:jc w:val="left"/>
    </w:pPr>
    <w:rPr>
      <w:rFonts w:asciiTheme="majorHAnsi" w:eastAsia="Times New Roman" w:hAnsiTheme="majorHAnsi" w:cs="Times New Roman"/>
      <w:sz w:val="20"/>
      <w:lang w:val="en-US"/>
    </w:rPr>
  </w:style>
  <w:style w:type="paragraph" w:styleId="ListBullet">
    <w:name w:val="List Bullet"/>
    <w:basedOn w:val="Normal"/>
    <w:uiPriority w:val="99"/>
    <w:unhideWhenUsed/>
    <w:rsid w:val="00E24BC9"/>
    <w:pPr>
      <w:numPr>
        <w:numId w:val="3"/>
      </w:numPr>
      <w:contextualSpacing/>
    </w:pPr>
  </w:style>
  <w:style w:type="paragraph" w:styleId="DocumentMap">
    <w:name w:val="Document Map"/>
    <w:basedOn w:val="Normal"/>
    <w:link w:val="DocumentMapChar"/>
    <w:uiPriority w:val="99"/>
    <w:semiHidden/>
    <w:unhideWhenUsed/>
    <w:rsid w:val="00B948FC"/>
    <w:pPr>
      <w:spacing w:before="0"/>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948FC"/>
    <w:rPr>
      <w:rFonts w:ascii="Lucida Grande" w:hAnsi="Lucida Grande" w:cs="Lucida Grande"/>
      <w:lang w:val="en-GB"/>
    </w:rPr>
  </w:style>
  <w:style w:type="paragraph" w:styleId="Revision">
    <w:name w:val="Revision"/>
    <w:hidden/>
    <w:uiPriority w:val="99"/>
    <w:semiHidden/>
    <w:rsid w:val="002837D8"/>
    <w:rPr>
      <w:rFonts w:ascii="Times New Roman" w:hAnsi="Times New Roman"/>
      <w:sz w:val="22"/>
      <w:lang w:val="en-GB"/>
    </w:rPr>
  </w:style>
  <w:style w:type="paragraph" w:customStyle="1" w:styleId="Default">
    <w:name w:val="Default"/>
    <w:rsid w:val="00CF358B"/>
    <w:pPr>
      <w:widowControl w:val="0"/>
      <w:autoSpaceDE w:val="0"/>
      <w:autoSpaceDN w:val="0"/>
      <w:adjustRightInd w:val="0"/>
    </w:pPr>
    <w:rPr>
      <w:rFonts w:ascii="Arial" w:eastAsia="Times New Roman" w:hAnsi="Arial" w:cs="Arial"/>
      <w:color w:val="000000"/>
    </w:rPr>
  </w:style>
  <w:style w:type="paragraph" w:styleId="PlainText">
    <w:name w:val="Plain Text"/>
    <w:basedOn w:val="Normal"/>
    <w:link w:val="PlainTextChar"/>
    <w:uiPriority w:val="99"/>
    <w:semiHidden/>
    <w:unhideWhenUsed/>
    <w:rsid w:val="00E83F53"/>
    <w:pPr>
      <w:spacing w:before="0"/>
      <w:jc w:val="left"/>
    </w:pPr>
    <w:rPr>
      <w:rFonts w:ascii="Calibri" w:eastAsiaTheme="minorHAnsi" w:hAnsi="Calibri"/>
      <w:szCs w:val="21"/>
      <w:lang w:val="en-AU"/>
    </w:rPr>
  </w:style>
  <w:style w:type="character" w:customStyle="1" w:styleId="PlainTextChar">
    <w:name w:val="Plain Text Char"/>
    <w:basedOn w:val="DefaultParagraphFont"/>
    <w:link w:val="PlainText"/>
    <w:uiPriority w:val="99"/>
    <w:semiHidden/>
    <w:rsid w:val="00E83F53"/>
    <w:rPr>
      <w:rFonts w:ascii="Calibri" w:eastAsiaTheme="minorHAnsi" w:hAnsi="Calibri"/>
      <w:sz w:val="22"/>
      <w:szCs w:val="21"/>
      <w:lang w:val="en-AU"/>
    </w:rPr>
  </w:style>
  <w:style w:type="paragraph" w:customStyle="1" w:styleId="RFQPartA-Level1">
    <w:name w:val="RFQ Part A - Level 1"/>
    <w:basedOn w:val="Normal"/>
    <w:rsid w:val="005065CE"/>
    <w:pPr>
      <w:keepNext/>
      <w:numPr>
        <w:numId w:val="27"/>
      </w:numPr>
      <w:pBdr>
        <w:bottom w:val="single" w:sz="4" w:space="1" w:color="auto"/>
      </w:pBdr>
      <w:spacing w:before="200" w:line="280" w:lineRule="atLeast"/>
      <w:jc w:val="left"/>
      <w:outlineLvl w:val="0"/>
    </w:pPr>
    <w:rPr>
      <w:rFonts w:ascii="Arial" w:eastAsia="Times New Roman" w:hAnsi="Arial" w:cs="Arial"/>
      <w:b/>
      <w:lang w:val="en-AU"/>
    </w:rPr>
  </w:style>
  <w:style w:type="numbering" w:styleId="111111">
    <w:name w:val="Outline List 2"/>
    <w:aliases w:val="1 / 1.1"/>
    <w:basedOn w:val="NoList"/>
    <w:rsid w:val="005065CE"/>
    <w:pPr>
      <w:numPr>
        <w:numId w:val="26"/>
      </w:numPr>
    </w:pPr>
  </w:style>
</w:styles>
</file>

<file path=word/webSettings.xml><?xml version="1.0" encoding="utf-8"?>
<w:webSettings xmlns:r="http://schemas.openxmlformats.org/officeDocument/2006/relationships" xmlns:w="http://schemas.openxmlformats.org/wordprocessingml/2006/main">
  <w:divs>
    <w:div w:id="722367209">
      <w:bodyDiv w:val="1"/>
      <w:marLeft w:val="0"/>
      <w:marRight w:val="0"/>
      <w:marTop w:val="0"/>
      <w:marBottom w:val="0"/>
      <w:divBdr>
        <w:top w:val="none" w:sz="0" w:space="0" w:color="auto"/>
        <w:left w:val="none" w:sz="0" w:space="0" w:color="auto"/>
        <w:bottom w:val="none" w:sz="0" w:space="0" w:color="auto"/>
        <w:right w:val="none" w:sz="0" w:space="0" w:color="auto"/>
      </w:divBdr>
    </w:div>
    <w:div w:id="866672840">
      <w:bodyDiv w:val="1"/>
      <w:marLeft w:val="0"/>
      <w:marRight w:val="0"/>
      <w:marTop w:val="0"/>
      <w:marBottom w:val="0"/>
      <w:divBdr>
        <w:top w:val="none" w:sz="0" w:space="0" w:color="auto"/>
        <w:left w:val="none" w:sz="0" w:space="0" w:color="auto"/>
        <w:bottom w:val="none" w:sz="0" w:space="0" w:color="auto"/>
        <w:right w:val="none" w:sz="0" w:space="0" w:color="auto"/>
      </w:divBdr>
    </w:div>
    <w:div w:id="1045833703">
      <w:bodyDiv w:val="1"/>
      <w:marLeft w:val="0"/>
      <w:marRight w:val="0"/>
      <w:marTop w:val="0"/>
      <w:marBottom w:val="0"/>
      <w:divBdr>
        <w:top w:val="none" w:sz="0" w:space="0" w:color="auto"/>
        <w:left w:val="none" w:sz="0" w:space="0" w:color="auto"/>
        <w:bottom w:val="none" w:sz="0" w:space="0" w:color="auto"/>
        <w:right w:val="none" w:sz="0" w:space="0" w:color="auto"/>
      </w:divBdr>
      <w:divsChild>
        <w:div w:id="596059093">
          <w:marLeft w:val="0"/>
          <w:marRight w:val="0"/>
          <w:marTop w:val="0"/>
          <w:marBottom w:val="0"/>
          <w:divBdr>
            <w:top w:val="none" w:sz="0" w:space="0" w:color="auto"/>
            <w:left w:val="none" w:sz="0" w:space="0" w:color="auto"/>
            <w:bottom w:val="none" w:sz="0" w:space="0" w:color="auto"/>
            <w:right w:val="none" w:sz="0" w:space="0" w:color="auto"/>
          </w:divBdr>
          <w:divsChild>
            <w:div w:id="2127456588">
              <w:marLeft w:val="0"/>
              <w:marRight w:val="0"/>
              <w:marTop w:val="0"/>
              <w:marBottom w:val="0"/>
              <w:divBdr>
                <w:top w:val="none" w:sz="0" w:space="0" w:color="auto"/>
                <w:left w:val="none" w:sz="0" w:space="0" w:color="auto"/>
                <w:bottom w:val="none" w:sz="0" w:space="0" w:color="auto"/>
                <w:right w:val="none" w:sz="0" w:space="0" w:color="auto"/>
              </w:divBdr>
              <w:divsChild>
                <w:div w:id="2006548335">
                  <w:marLeft w:val="0"/>
                  <w:marRight w:val="0"/>
                  <w:marTop w:val="0"/>
                  <w:marBottom w:val="0"/>
                  <w:divBdr>
                    <w:top w:val="none" w:sz="0" w:space="0" w:color="auto"/>
                    <w:left w:val="none" w:sz="0" w:space="0" w:color="auto"/>
                    <w:bottom w:val="none" w:sz="0" w:space="0" w:color="auto"/>
                    <w:right w:val="none" w:sz="0" w:space="0" w:color="auto"/>
                  </w:divBdr>
                  <w:divsChild>
                    <w:div w:id="20710193">
                      <w:marLeft w:val="1550"/>
                      <w:marRight w:val="0"/>
                      <w:marTop w:val="0"/>
                      <w:marBottom w:val="0"/>
                      <w:divBdr>
                        <w:top w:val="none" w:sz="0" w:space="0" w:color="auto"/>
                        <w:left w:val="none" w:sz="0" w:space="0" w:color="auto"/>
                        <w:bottom w:val="none" w:sz="0" w:space="0" w:color="auto"/>
                        <w:right w:val="none" w:sz="0" w:space="0" w:color="auto"/>
                      </w:divBdr>
                      <w:divsChild>
                        <w:div w:id="1806194424">
                          <w:marLeft w:val="0"/>
                          <w:marRight w:val="0"/>
                          <w:marTop w:val="0"/>
                          <w:marBottom w:val="0"/>
                          <w:divBdr>
                            <w:top w:val="none" w:sz="0" w:space="0" w:color="auto"/>
                            <w:left w:val="none" w:sz="0" w:space="0" w:color="auto"/>
                            <w:bottom w:val="none" w:sz="0" w:space="0" w:color="auto"/>
                            <w:right w:val="none" w:sz="0" w:space="0" w:color="auto"/>
                          </w:divBdr>
                          <w:divsChild>
                            <w:div w:id="1092970666">
                              <w:marLeft w:val="0"/>
                              <w:marRight w:val="0"/>
                              <w:marTop w:val="0"/>
                              <w:marBottom w:val="0"/>
                              <w:divBdr>
                                <w:top w:val="none" w:sz="0" w:space="0" w:color="auto"/>
                                <w:left w:val="none" w:sz="0" w:space="0" w:color="auto"/>
                                <w:bottom w:val="none" w:sz="0" w:space="0" w:color="auto"/>
                                <w:right w:val="none" w:sz="0" w:space="0" w:color="auto"/>
                              </w:divBdr>
                              <w:divsChild>
                                <w:div w:id="1391537447">
                                  <w:marLeft w:val="1"/>
                                  <w:marRight w:val="1"/>
                                  <w:marTop w:val="0"/>
                                  <w:marBottom w:val="0"/>
                                  <w:divBdr>
                                    <w:top w:val="none" w:sz="0" w:space="0" w:color="auto"/>
                                    <w:left w:val="none" w:sz="0" w:space="0" w:color="auto"/>
                                    <w:bottom w:val="none" w:sz="0" w:space="0" w:color="auto"/>
                                    <w:right w:val="none" w:sz="0" w:space="0" w:color="auto"/>
                                  </w:divBdr>
                                  <w:divsChild>
                                    <w:div w:id="1931811233">
                                      <w:marLeft w:val="0"/>
                                      <w:marRight w:val="0"/>
                                      <w:marTop w:val="0"/>
                                      <w:marBottom w:val="0"/>
                                      <w:divBdr>
                                        <w:top w:val="none" w:sz="0" w:space="0" w:color="auto"/>
                                        <w:left w:val="none" w:sz="0" w:space="0" w:color="auto"/>
                                        <w:bottom w:val="none" w:sz="0" w:space="0" w:color="auto"/>
                                        <w:right w:val="none" w:sz="0" w:space="0" w:color="auto"/>
                                      </w:divBdr>
                                      <w:divsChild>
                                        <w:div w:id="938633920">
                                          <w:marLeft w:val="0"/>
                                          <w:marRight w:val="0"/>
                                          <w:marTop w:val="0"/>
                                          <w:marBottom w:val="0"/>
                                          <w:divBdr>
                                            <w:top w:val="none" w:sz="0" w:space="0" w:color="auto"/>
                                            <w:left w:val="none" w:sz="0" w:space="0" w:color="auto"/>
                                            <w:bottom w:val="none" w:sz="0" w:space="0" w:color="auto"/>
                                            <w:right w:val="none" w:sz="0" w:space="0" w:color="auto"/>
                                          </w:divBdr>
                                          <w:divsChild>
                                            <w:div w:id="1934898214">
                                              <w:marLeft w:val="0"/>
                                              <w:marRight w:val="0"/>
                                              <w:marTop w:val="0"/>
                                              <w:marBottom w:val="0"/>
                                              <w:divBdr>
                                                <w:top w:val="none" w:sz="0" w:space="0" w:color="auto"/>
                                                <w:left w:val="none" w:sz="0" w:space="0" w:color="auto"/>
                                                <w:bottom w:val="none" w:sz="0" w:space="0" w:color="auto"/>
                                                <w:right w:val="none" w:sz="0" w:space="0" w:color="auto"/>
                                              </w:divBdr>
                                              <w:divsChild>
                                                <w:div w:id="264271493">
                                                  <w:marLeft w:val="0"/>
                                                  <w:marRight w:val="0"/>
                                                  <w:marTop w:val="0"/>
                                                  <w:marBottom w:val="0"/>
                                                  <w:divBdr>
                                                    <w:top w:val="none" w:sz="0" w:space="0" w:color="auto"/>
                                                    <w:left w:val="none" w:sz="0" w:space="0" w:color="auto"/>
                                                    <w:bottom w:val="none" w:sz="0" w:space="0" w:color="auto"/>
                                                    <w:right w:val="none" w:sz="0" w:space="0" w:color="auto"/>
                                                  </w:divBdr>
                                                  <w:divsChild>
                                                    <w:div w:id="9635827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24818846">
                                                          <w:marLeft w:val="0"/>
                                                          <w:marRight w:val="0"/>
                                                          <w:marTop w:val="0"/>
                                                          <w:marBottom w:val="0"/>
                                                          <w:divBdr>
                                                            <w:top w:val="none" w:sz="0" w:space="0" w:color="auto"/>
                                                            <w:left w:val="none" w:sz="0" w:space="0" w:color="auto"/>
                                                            <w:bottom w:val="none" w:sz="0" w:space="0" w:color="auto"/>
                                                            <w:right w:val="none" w:sz="0" w:space="0" w:color="auto"/>
                                                          </w:divBdr>
                                                        </w:div>
                                                        <w:div w:id="19208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3294229">
      <w:bodyDiv w:val="1"/>
      <w:marLeft w:val="0"/>
      <w:marRight w:val="0"/>
      <w:marTop w:val="0"/>
      <w:marBottom w:val="0"/>
      <w:divBdr>
        <w:top w:val="none" w:sz="0" w:space="0" w:color="auto"/>
        <w:left w:val="none" w:sz="0" w:space="0" w:color="auto"/>
        <w:bottom w:val="none" w:sz="0" w:space="0" w:color="auto"/>
        <w:right w:val="none" w:sz="0" w:space="0" w:color="auto"/>
      </w:divBdr>
    </w:div>
    <w:div w:id="1863276038">
      <w:bodyDiv w:val="1"/>
      <w:marLeft w:val="0"/>
      <w:marRight w:val="0"/>
      <w:marTop w:val="0"/>
      <w:marBottom w:val="0"/>
      <w:divBdr>
        <w:top w:val="none" w:sz="0" w:space="0" w:color="auto"/>
        <w:left w:val="none" w:sz="0" w:space="0" w:color="auto"/>
        <w:bottom w:val="none" w:sz="0" w:space="0" w:color="auto"/>
        <w:right w:val="none" w:sz="0" w:space="0" w:color="auto"/>
      </w:divBdr>
    </w:div>
    <w:div w:id="1948154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footer" Target="footer5.xml"/><Relationship Id="rId21" Type="http://schemas.microsoft.com/office/2007/relationships/diagramDrawing" Target="diagrams/drawing1.xml"/><Relationship Id="rId34" Type="http://schemas.openxmlformats.org/officeDocument/2006/relationships/chart" Target="charts/chart7.xml"/><Relationship Id="rId42" Type="http://schemas.openxmlformats.org/officeDocument/2006/relationships/chart" Target="charts/chart10.xml"/><Relationship Id="rId47" Type="http://schemas.openxmlformats.org/officeDocument/2006/relationships/footer" Target="footer6.xml"/><Relationship Id="rId50" Type="http://schemas.openxmlformats.org/officeDocument/2006/relationships/chart" Target="charts/chart14.xml"/><Relationship Id="rId55" Type="http://schemas.openxmlformats.org/officeDocument/2006/relationships/chart" Target="charts/chart19.xml"/><Relationship Id="rId63" Type="http://schemas.openxmlformats.org/officeDocument/2006/relationships/chart" Target="charts/chart27.xml"/><Relationship Id="rId68" Type="http://schemas.openxmlformats.org/officeDocument/2006/relationships/chart" Target="charts/chart32.xml"/><Relationship Id="rId7" Type="http://schemas.openxmlformats.org/officeDocument/2006/relationships/endnotes" Target="endnotes.xml"/><Relationship Id="rId71" Type="http://schemas.openxmlformats.org/officeDocument/2006/relationships/chart" Target="charts/chart35.xml"/><Relationship Id="rId2" Type="http://schemas.openxmlformats.org/officeDocument/2006/relationships/numbering" Target="numbering.xml"/><Relationship Id="rId16" Type="http://schemas.openxmlformats.org/officeDocument/2006/relationships/hyperlink" Target="mailto:public.affairs@environment.gov.au" TargetMode="External"/><Relationship Id="rId29" Type="http://schemas.openxmlformats.org/officeDocument/2006/relationships/chart" Target="charts/chart2.xml"/><Relationship Id="rId11" Type="http://schemas.openxmlformats.org/officeDocument/2006/relationships/footer" Target="footer2.xml"/><Relationship Id="rId24" Type="http://schemas.openxmlformats.org/officeDocument/2006/relationships/diagramQuickStyle" Target="diagrams/quickStyle2.xml"/><Relationship Id="rId32" Type="http://schemas.openxmlformats.org/officeDocument/2006/relationships/chart" Target="charts/chart5.xml"/><Relationship Id="rId37" Type="http://schemas.openxmlformats.org/officeDocument/2006/relationships/footer" Target="footer4.xml"/><Relationship Id="rId40" Type="http://schemas.openxmlformats.org/officeDocument/2006/relationships/chart" Target="charts/chart8.xml"/><Relationship Id="rId45" Type="http://schemas.openxmlformats.org/officeDocument/2006/relationships/header" Target="header7.xml"/><Relationship Id="rId53" Type="http://schemas.openxmlformats.org/officeDocument/2006/relationships/chart" Target="charts/chart17.xml"/><Relationship Id="rId58" Type="http://schemas.openxmlformats.org/officeDocument/2006/relationships/chart" Target="charts/chart22.xml"/><Relationship Id="rId66" Type="http://schemas.openxmlformats.org/officeDocument/2006/relationships/chart" Target="charts/chart30.xml"/><Relationship Id="rId7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diagramLayout" Target="diagrams/layout2.xml"/><Relationship Id="rId28" Type="http://schemas.openxmlformats.org/officeDocument/2006/relationships/chart" Target="charts/chart1.xml"/><Relationship Id="rId36" Type="http://schemas.openxmlformats.org/officeDocument/2006/relationships/header" Target="header5.xml"/><Relationship Id="rId49" Type="http://schemas.openxmlformats.org/officeDocument/2006/relationships/chart" Target="charts/chart13.xml"/><Relationship Id="rId57" Type="http://schemas.openxmlformats.org/officeDocument/2006/relationships/chart" Target="charts/chart21.xml"/><Relationship Id="rId61" Type="http://schemas.openxmlformats.org/officeDocument/2006/relationships/chart" Target="charts/chart25.xml"/><Relationship Id="rId10" Type="http://schemas.openxmlformats.org/officeDocument/2006/relationships/footer" Target="footer1.xml"/><Relationship Id="rId19" Type="http://schemas.openxmlformats.org/officeDocument/2006/relationships/diagramQuickStyle" Target="diagrams/quickStyle1.xml"/><Relationship Id="rId31" Type="http://schemas.openxmlformats.org/officeDocument/2006/relationships/chart" Target="charts/chart4.xml"/><Relationship Id="rId44" Type="http://schemas.openxmlformats.org/officeDocument/2006/relationships/chart" Target="charts/chart12.xml"/><Relationship Id="rId52" Type="http://schemas.openxmlformats.org/officeDocument/2006/relationships/chart" Target="charts/chart16.xml"/><Relationship Id="rId60" Type="http://schemas.openxmlformats.org/officeDocument/2006/relationships/chart" Target="charts/chart24.xml"/><Relationship Id="rId65" Type="http://schemas.openxmlformats.org/officeDocument/2006/relationships/chart" Target="charts/chart29.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diagramData" Target="diagrams/data2.xml"/><Relationship Id="rId27" Type="http://schemas.openxmlformats.org/officeDocument/2006/relationships/hyperlink" Target="http://www.environment.gov.au/topics/environment-protection/ozone/montreal-protocol" TargetMode="External"/><Relationship Id="rId30" Type="http://schemas.openxmlformats.org/officeDocument/2006/relationships/chart" Target="charts/chart3.xml"/><Relationship Id="rId35" Type="http://schemas.openxmlformats.org/officeDocument/2006/relationships/header" Target="header4.xml"/><Relationship Id="rId43" Type="http://schemas.openxmlformats.org/officeDocument/2006/relationships/chart" Target="charts/chart11.xml"/><Relationship Id="rId48" Type="http://schemas.openxmlformats.org/officeDocument/2006/relationships/header" Target="header9.xml"/><Relationship Id="rId56" Type="http://schemas.openxmlformats.org/officeDocument/2006/relationships/chart" Target="charts/chart20.xml"/><Relationship Id="rId64" Type="http://schemas.openxmlformats.org/officeDocument/2006/relationships/chart" Target="charts/chart28.xml"/><Relationship Id="rId69" Type="http://schemas.openxmlformats.org/officeDocument/2006/relationships/chart" Target="charts/chart33.xml"/><Relationship Id="rId8" Type="http://schemas.openxmlformats.org/officeDocument/2006/relationships/header" Target="header1.xml"/><Relationship Id="rId51" Type="http://schemas.openxmlformats.org/officeDocument/2006/relationships/chart" Target="charts/chart15.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chart" Target="charts/chart6.xml"/><Relationship Id="rId38" Type="http://schemas.openxmlformats.org/officeDocument/2006/relationships/header" Target="header6.xml"/><Relationship Id="rId46" Type="http://schemas.openxmlformats.org/officeDocument/2006/relationships/header" Target="header8.xml"/><Relationship Id="rId59" Type="http://schemas.openxmlformats.org/officeDocument/2006/relationships/chart" Target="charts/chart23.xml"/><Relationship Id="rId67" Type="http://schemas.openxmlformats.org/officeDocument/2006/relationships/chart" Target="charts/chart31.xml"/><Relationship Id="rId20" Type="http://schemas.openxmlformats.org/officeDocument/2006/relationships/diagramColors" Target="diagrams/colors1.xml"/><Relationship Id="rId41" Type="http://schemas.openxmlformats.org/officeDocument/2006/relationships/chart" Target="charts/chart9.xml"/><Relationship Id="rId54" Type="http://schemas.openxmlformats.org/officeDocument/2006/relationships/chart" Target="charts/chart18.xml"/><Relationship Id="rId62" Type="http://schemas.openxmlformats.org/officeDocument/2006/relationships/chart" Target="charts/chart26.xml"/><Relationship Id="rId70" Type="http://schemas.openxmlformats.org/officeDocument/2006/relationships/chart" Target="charts/chart34.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95.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HFC%202013%20Master%20V1.95.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HFC%202013%20Master%20V1.8.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Macintosh%20HD:Users:peterbrodribb:Desktop:CHF2:Models:CHF2%20Master%20V5.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Report:Charts%20and%20figures%20030314.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95.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95.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Report:Charts%20and%20figures%20030314.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95.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9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8.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95.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95.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95.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95.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Report:Charts%20and%20figures%2003031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95.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95.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95.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9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9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95.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9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Report:Charts%20and%20figures%20030314.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9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9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95.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9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9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9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9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Industry%20transition%20and%20NA%20proposal%20model%20V1.95.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HFC%202013%20Master%20V1.95.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HFC%20Consumption%20in%20Australia%202013:Models:HFC%202013%20Master%20V1.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style val="18"/>
  <c:chart>
    <c:autoTitleDeleted val="1"/>
    <c:plotArea>
      <c:layout/>
      <c:barChart>
        <c:barDir val="col"/>
        <c:grouping val="stacked"/>
        <c:ser>
          <c:idx val="0"/>
          <c:order val="0"/>
          <c:tx>
            <c:strRef>
              <c:f>'NA Proposal'!$D$3</c:f>
              <c:strCache>
                <c:ptCount val="1"/>
                <c:pt idx="0">
                  <c:v>Annual</c:v>
                </c:pt>
              </c:strCache>
            </c:strRef>
          </c:tx>
          <c:spPr>
            <a:ln>
              <a:solidFill>
                <a:schemeClr val="bg1">
                  <a:lumMod val="50000"/>
                </a:schemeClr>
              </a:solidFill>
            </a:ln>
          </c:spPr>
          <c:dLbls>
            <c:dLbl>
              <c:idx val="9"/>
              <c:layout>
                <c:manualLayout>
                  <c:x val="1.6307893020221808E-3"/>
                  <c:y val="-0.34259259259259311"/>
                </c:manualLayout>
              </c:layout>
              <c:tx>
                <c:rich>
                  <a:bodyPr/>
                  <a:lstStyle/>
                  <a:p>
                    <a:r>
                      <a:rPr lang="en-US"/>
                      <a:t>90%</a:t>
                    </a:r>
                  </a:p>
                </c:rich>
              </c:tx>
              <c:showVal val="1"/>
            </c:dLbl>
            <c:dLbl>
              <c:idx val="15"/>
              <c:layout>
                <c:manualLayout>
                  <c:x val="-1.6309177106285928E-3"/>
                  <c:y val="-0.26851851851851899"/>
                </c:manualLayout>
              </c:layout>
              <c:tx>
                <c:rich>
                  <a:bodyPr/>
                  <a:lstStyle/>
                  <a:p>
                    <a:r>
                      <a:rPr lang="en-US"/>
                      <a:t>65%</a:t>
                    </a:r>
                  </a:p>
                </c:rich>
              </c:tx>
              <c:showVal val="1"/>
            </c:dLbl>
            <c:dLbl>
              <c:idx val="19"/>
              <c:layout>
                <c:manualLayout>
                  <c:x val="0"/>
                  <c:y val="-0.15277814231554401"/>
                </c:manualLayout>
              </c:layout>
              <c:tx>
                <c:rich>
                  <a:bodyPr/>
                  <a:lstStyle/>
                  <a:p>
                    <a:r>
                      <a:rPr lang="en-US"/>
                      <a:t>30%</a:t>
                    </a:r>
                  </a:p>
                </c:rich>
              </c:tx>
              <c:showVal val="1"/>
            </c:dLbl>
            <c:dLbl>
              <c:idx val="37"/>
              <c:layout>
                <c:manualLayout>
                  <c:x val="0"/>
                  <c:y val="-0.11484098939929291"/>
                </c:manualLayout>
              </c:layout>
              <c:showVal val="1"/>
            </c:dLbl>
            <c:delete val="1"/>
          </c:dLbls>
          <c:cat>
            <c:numRef>
              <c:f>'NA Proposal'!$C$4:$C$41</c:f>
              <c:numCache>
                <c:formatCode>General</c:formatCode>
                <c:ptCount val="38"/>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pt idx="17">
                  <c:v>2030</c:v>
                </c:pt>
                <c:pt idx="18">
                  <c:v>2031</c:v>
                </c:pt>
                <c:pt idx="19">
                  <c:v>2032</c:v>
                </c:pt>
                <c:pt idx="20">
                  <c:v>2033</c:v>
                </c:pt>
                <c:pt idx="21">
                  <c:v>2034</c:v>
                </c:pt>
                <c:pt idx="22">
                  <c:v>2035</c:v>
                </c:pt>
                <c:pt idx="23">
                  <c:v>2036</c:v>
                </c:pt>
                <c:pt idx="24">
                  <c:v>2037</c:v>
                </c:pt>
                <c:pt idx="25">
                  <c:v>2038</c:v>
                </c:pt>
                <c:pt idx="26">
                  <c:v>2039</c:v>
                </c:pt>
                <c:pt idx="27">
                  <c:v>2040</c:v>
                </c:pt>
                <c:pt idx="28">
                  <c:v>2041</c:v>
                </c:pt>
                <c:pt idx="29">
                  <c:v>2042</c:v>
                </c:pt>
                <c:pt idx="30">
                  <c:v>2043</c:v>
                </c:pt>
                <c:pt idx="31">
                  <c:v>2044</c:v>
                </c:pt>
                <c:pt idx="32">
                  <c:v>2045</c:v>
                </c:pt>
                <c:pt idx="33">
                  <c:v>2046</c:v>
                </c:pt>
                <c:pt idx="34">
                  <c:v>2047</c:v>
                </c:pt>
                <c:pt idx="35">
                  <c:v>2048</c:v>
                </c:pt>
                <c:pt idx="36">
                  <c:v>2049</c:v>
                </c:pt>
                <c:pt idx="37">
                  <c:v>2050</c:v>
                </c:pt>
              </c:numCache>
            </c:numRef>
          </c:cat>
          <c:val>
            <c:numRef>
              <c:f>'NA Proposal'!$D$4:$D$41</c:f>
              <c:numCache>
                <c:formatCode>0%</c:formatCode>
                <c:ptCount val="38"/>
                <c:pt idx="0">
                  <c:v>1</c:v>
                </c:pt>
                <c:pt idx="1">
                  <c:v>1</c:v>
                </c:pt>
                <c:pt idx="2">
                  <c:v>1</c:v>
                </c:pt>
                <c:pt idx="3">
                  <c:v>0.9</c:v>
                </c:pt>
                <c:pt idx="4">
                  <c:v>0.9</c:v>
                </c:pt>
                <c:pt idx="5">
                  <c:v>0.9</c:v>
                </c:pt>
                <c:pt idx="6">
                  <c:v>0.9</c:v>
                </c:pt>
                <c:pt idx="7">
                  <c:v>0.9</c:v>
                </c:pt>
                <c:pt idx="8">
                  <c:v>0.9</c:v>
                </c:pt>
                <c:pt idx="9">
                  <c:v>0.9</c:v>
                </c:pt>
                <c:pt idx="10">
                  <c:v>0.6500000000000038</c:v>
                </c:pt>
                <c:pt idx="11">
                  <c:v>0.6500000000000038</c:v>
                </c:pt>
                <c:pt idx="12">
                  <c:v>0.6500000000000038</c:v>
                </c:pt>
                <c:pt idx="13">
                  <c:v>0.6500000000000038</c:v>
                </c:pt>
                <c:pt idx="14">
                  <c:v>0.6500000000000038</c:v>
                </c:pt>
                <c:pt idx="15">
                  <c:v>0.6500000000000038</c:v>
                </c:pt>
                <c:pt idx="16">
                  <c:v>0.30000000000000032</c:v>
                </c:pt>
                <c:pt idx="17">
                  <c:v>0.30000000000000032</c:v>
                </c:pt>
                <c:pt idx="18">
                  <c:v>0.30000000000000032</c:v>
                </c:pt>
                <c:pt idx="19">
                  <c:v>0.30000000000000032</c:v>
                </c:pt>
                <c:pt idx="20">
                  <c:v>0.15000000000000016</c:v>
                </c:pt>
                <c:pt idx="21">
                  <c:v>0.15000000000000016</c:v>
                </c:pt>
                <c:pt idx="22">
                  <c:v>0.15000000000000016</c:v>
                </c:pt>
                <c:pt idx="23">
                  <c:v>0.15000000000000016</c:v>
                </c:pt>
                <c:pt idx="24">
                  <c:v>0.15000000000000016</c:v>
                </c:pt>
                <c:pt idx="25">
                  <c:v>0.15000000000000016</c:v>
                </c:pt>
                <c:pt idx="26">
                  <c:v>0.15000000000000016</c:v>
                </c:pt>
                <c:pt idx="27">
                  <c:v>0.15000000000000016</c:v>
                </c:pt>
                <c:pt idx="28">
                  <c:v>0.15000000000000016</c:v>
                </c:pt>
                <c:pt idx="29">
                  <c:v>0.15000000000000016</c:v>
                </c:pt>
                <c:pt idx="30">
                  <c:v>0.15000000000000016</c:v>
                </c:pt>
                <c:pt idx="31">
                  <c:v>0.15000000000000016</c:v>
                </c:pt>
                <c:pt idx="32">
                  <c:v>0.15000000000000016</c:v>
                </c:pt>
                <c:pt idx="33">
                  <c:v>0.15000000000000016</c:v>
                </c:pt>
                <c:pt idx="34">
                  <c:v>0.15000000000000016</c:v>
                </c:pt>
                <c:pt idx="35">
                  <c:v>0.15000000000000016</c:v>
                </c:pt>
                <c:pt idx="36">
                  <c:v>0.15000000000000016</c:v>
                </c:pt>
                <c:pt idx="37">
                  <c:v>0.15000000000000016</c:v>
                </c:pt>
              </c:numCache>
            </c:numRef>
          </c:val>
        </c:ser>
        <c:gapWidth val="0"/>
        <c:overlap val="100"/>
        <c:axId val="114214784"/>
        <c:axId val="114216320"/>
      </c:barChart>
      <c:catAx>
        <c:axId val="114214784"/>
        <c:scaling>
          <c:orientation val="minMax"/>
        </c:scaling>
        <c:axPos val="b"/>
        <c:numFmt formatCode="General" sourceLinked="1"/>
        <c:tickLblPos val="nextTo"/>
        <c:txPr>
          <a:bodyPr/>
          <a:lstStyle/>
          <a:p>
            <a:pPr>
              <a:defRPr sz="800"/>
            </a:pPr>
            <a:endParaRPr lang="en-US"/>
          </a:p>
        </c:txPr>
        <c:crossAx val="114216320"/>
        <c:crosses val="autoZero"/>
        <c:auto val="1"/>
        <c:lblAlgn val="ctr"/>
        <c:lblOffset val="100"/>
        <c:tickLblSkip val="7"/>
      </c:catAx>
      <c:valAx>
        <c:axId val="114216320"/>
        <c:scaling>
          <c:orientation val="minMax"/>
        </c:scaling>
        <c:axPos val="l"/>
        <c:majorGridlines/>
        <c:title>
          <c:tx>
            <c:rich>
              <a:bodyPr rot="-5400000" vert="horz"/>
              <a:lstStyle/>
              <a:p>
                <a:pPr>
                  <a:defRPr sz="800"/>
                </a:pPr>
                <a:r>
                  <a:rPr lang="en-US" sz="800"/>
                  <a:t>Cap (% of baseline)</a:t>
                </a:r>
              </a:p>
            </c:rich>
          </c:tx>
        </c:title>
        <c:numFmt formatCode="0%" sourceLinked="1"/>
        <c:tickLblPos val="nextTo"/>
        <c:txPr>
          <a:bodyPr/>
          <a:lstStyle/>
          <a:p>
            <a:pPr>
              <a:defRPr sz="800"/>
            </a:pPr>
            <a:endParaRPr lang="en-US"/>
          </a:p>
        </c:txPr>
        <c:crossAx val="114214784"/>
        <c:crosses val="autoZero"/>
        <c:crossBetween val="between"/>
      </c:valAx>
    </c:plotArea>
    <c:plotVisOnly val="1"/>
    <c:dispBlanksAs val="gap"/>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AU"/>
  <c:style val="18"/>
  <c:chart>
    <c:plotArea>
      <c:layout/>
      <c:pieChart>
        <c:varyColors val="1"/>
        <c:ser>
          <c:idx val="0"/>
          <c:order val="0"/>
          <c:dLbls>
            <c:showVal val="1"/>
            <c:showPercent val="1"/>
            <c:showLeaderLines val="1"/>
          </c:dLbls>
          <c:cat>
            <c:strRef>
              <c:f>'NA Baseline calc'!$B$51:$B$58</c:f>
              <c:strCache>
                <c:ptCount val="8"/>
                <c:pt idx="0">
                  <c:v>HCFC-22</c:v>
                </c:pt>
                <c:pt idx="1">
                  <c:v>HCFC Mix</c:v>
                </c:pt>
                <c:pt idx="2">
                  <c:v>HFC-134a</c:v>
                </c:pt>
                <c:pt idx="3">
                  <c:v>HFC-404A</c:v>
                </c:pt>
                <c:pt idx="4">
                  <c:v>HFC-407C</c:v>
                </c:pt>
                <c:pt idx="5">
                  <c:v>HFC-410A</c:v>
                </c:pt>
                <c:pt idx="6">
                  <c:v>HFC-Mix</c:v>
                </c:pt>
                <c:pt idx="7">
                  <c:v>HFC-407F</c:v>
                </c:pt>
              </c:strCache>
            </c:strRef>
          </c:cat>
          <c:val>
            <c:numRef>
              <c:f>'NA Baseline calc'!$C$51:$C$58</c:f>
              <c:numCache>
                <c:formatCode>#,##0</c:formatCode>
                <c:ptCount val="8"/>
                <c:pt idx="0">
                  <c:v>765</c:v>
                </c:pt>
                <c:pt idx="1">
                  <c:v>20</c:v>
                </c:pt>
                <c:pt idx="2">
                  <c:v>1700</c:v>
                </c:pt>
                <c:pt idx="3">
                  <c:v>640</c:v>
                </c:pt>
                <c:pt idx="4">
                  <c:v>150</c:v>
                </c:pt>
                <c:pt idx="5">
                  <c:v>575</c:v>
                </c:pt>
                <c:pt idx="6">
                  <c:v>300</c:v>
                </c:pt>
                <c:pt idx="7">
                  <c:v>40</c:v>
                </c:pt>
              </c:numCache>
            </c:numRef>
          </c:val>
        </c:ser>
        <c:dLbls>
          <c:showCatName val="1"/>
          <c:showPercent val="1"/>
        </c:dLbls>
        <c:firstSliceAng val="0"/>
      </c:pieChart>
    </c:plotArea>
    <c:legend>
      <c:legendPos val="r"/>
    </c:legend>
    <c:plotVisOnly val="1"/>
    <c:dispBlanksAs val="zero"/>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AU"/>
  <c:style val="18"/>
  <c:chart>
    <c:plotArea>
      <c:layout/>
      <c:pieChart>
        <c:varyColors val="1"/>
        <c:ser>
          <c:idx val="0"/>
          <c:order val="0"/>
          <c:dLbls>
            <c:dLbl>
              <c:idx val="1"/>
              <c:delete val="1"/>
            </c:dLbl>
            <c:dLbl>
              <c:idx val="6"/>
              <c:delete val="1"/>
            </c:dLbl>
            <c:showPercent val="1"/>
            <c:showLeaderLines val="1"/>
          </c:dLbls>
          <c:cat>
            <c:strRef>
              <c:f>'1f Bank by equipment segment'!$B$61:$B$67</c:f>
              <c:strCache>
                <c:ptCount val="7"/>
                <c:pt idx="0">
                  <c:v>HCFC-22</c:v>
                </c:pt>
                <c:pt idx="1">
                  <c:v>HCFC Mix</c:v>
                </c:pt>
                <c:pt idx="2">
                  <c:v>HFC-134a</c:v>
                </c:pt>
                <c:pt idx="3">
                  <c:v>HFC-404A</c:v>
                </c:pt>
                <c:pt idx="4">
                  <c:v>HFC-407C</c:v>
                </c:pt>
                <c:pt idx="5">
                  <c:v>HFC-410A</c:v>
                </c:pt>
                <c:pt idx="6">
                  <c:v>HFC-Mix</c:v>
                </c:pt>
              </c:strCache>
            </c:strRef>
          </c:cat>
          <c:val>
            <c:numRef>
              <c:f>'1f Bank by equipment segment'!$C$61:$C$67</c:f>
              <c:numCache>
                <c:formatCode>#,##0</c:formatCode>
                <c:ptCount val="7"/>
                <c:pt idx="0">
                  <c:v>9601.5382563511666</c:v>
                </c:pt>
                <c:pt idx="1">
                  <c:v>200.97841600000072</c:v>
                </c:pt>
                <c:pt idx="2">
                  <c:v>14579.994701480769</c:v>
                </c:pt>
                <c:pt idx="3">
                  <c:v>3340.9705360748999</c:v>
                </c:pt>
                <c:pt idx="4">
                  <c:v>1140.14653446748</c:v>
                </c:pt>
                <c:pt idx="5">
                  <c:v>16719.679065206456</c:v>
                </c:pt>
                <c:pt idx="6">
                  <c:v>54.49248</c:v>
                </c:pt>
              </c:numCache>
            </c:numRef>
          </c:val>
        </c:ser>
        <c:dLbls>
          <c:showPercent val="1"/>
        </c:dLbls>
        <c:firstSliceAng val="0"/>
      </c:pieChart>
    </c:plotArea>
    <c:legend>
      <c:legendPos val="r"/>
    </c:legend>
    <c:plotVisOnly val="1"/>
    <c:dispBlanksAs val="zero"/>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AU"/>
  <c:style val="18"/>
  <c:chart>
    <c:autoTitleDeleted val="1"/>
    <c:plotArea>
      <c:layout/>
      <c:pieChart>
        <c:varyColors val="1"/>
        <c:ser>
          <c:idx val="0"/>
          <c:order val="0"/>
          <c:tx>
            <c:strRef>
              <c:f>'2a HFC Bulk imports'!$G$20</c:f>
              <c:strCache>
                <c:ptCount val="1"/>
                <c:pt idx="0">
                  <c:v>2013</c:v>
                </c:pt>
              </c:strCache>
            </c:strRef>
          </c:tx>
          <c:dLbls>
            <c:dLbl>
              <c:idx val="4"/>
              <c:delete val="1"/>
            </c:dLbl>
            <c:dLbl>
              <c:idx val="6"/>
              <c:delete val="1"/>
            </c:dLbl>
            <c:showPercent val="1"/>
            <c:showLeaderLines val="1"/>
          </c:dLbls>
          <c:cat>
            <c:strRef>
              <c:f>'2a HFC Bulk imports'!$B$21:$B$27</c:f>
              <c:strCache>
                <c:ptCount val="7"/>
                <c:pt idx="0">
                  <c:v>HFC-134a</c:v>
                </c:pt>
                <c:pt idx="1">
                  <c:v>HFC-404A</c:v>
                </c:pt>
                <c:pt idx="2">
                  <c:v>HFC-407C</c:v>
                </c:pt>
                <c:pt idx="3">
                  <c:v>HFC-407F</c:v>
                </c:pt>
                <c:pt idx="4">
                  <c:v>HFC-410A</c:v>
                </c:pt>
                <c:pt idx="5">
                  <c:v>HFC-Mix</c:v>
                </c:pt>
                <c:pt idx="6">
                  <c:v>Exotic</c:v>
                </c:pt>
              </c:strCache>
            </c:strRef>
          </c:cat>
          <c:val>
            <c:numRef>
              <c:f>'2a HFC Bulk imports'!$G$21:$G$27</c:f>
              <c:numCache>
                <c:formatCode>0</c:formatCode>
                <c:ptCount val="7"/>
                <c:pt idx="0">
                  <c:v>100.74140000000048</c:v>
                </c:pt>
                <c:pt idx="1">
                  <c:v>10.535500000000004</c:v>
                </c:pt>
                <c:pt idx="2">
                  <c:v>5.8674999999999846</c:v>
                </c:pt>
                <c:pt idx="3">
                  <c:v>9.2865000000000002</c:v>
                </c:pt>
                <c:pt idx="4">
                  <c:v>1.1160000000000001</c:v>
                </c:pt>
                <c:pt idx="5">
                  <c:v>187.92750000000001</c:v>
                </c:pt>
                <c:pt idx="6">
                  <c:v>0</c:v>
                </c:pt>
              </c:numCache>
            </c:numRef>
          </c:val>
        </c:ser>
        <c:firstSliceAng val="0"/>
      </c:pieChart>
    </c:plotArea>
    <c:legend>
      <c:legendPos val="r"/>
      <c:legendEntry>
        <c:idx val="6"/>
        <c:delete val="1"/>
      </c:legendEntry>
    </c:legend>
    <c:plotVisOnly val="1"/>
    <c:dispBlanksAs val="zero"/>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AU"/>
  <c:style val="18"/>
  <c:chart>
    <c:autoTitleDeleted val="1"/>
    <c:plotArea>
      <c:layout/>
      <c:barChart>
        <c:barDir val="col"/>
        <c:grouping val="stacked"/>
        <c:ser>
          <c:idx val="0"/>
          <c:order val="0"/>
          <c:tx>
            <c:strRef>
              <c:f>'2a HFC Bulk imports'!$B$5</c:f>
              <c:strCache>
                <c:ptCount val="1"/>
                <c:pt idx="0">
                  <c:v>HFC-134a</c:v>
                </c:pt>
              </c:strCache>
            </c:strRef>
          </c:tx>
          <c:dPt>
            <c:idx val="5"/>
            <c:spPr>
              <a:solidFill>
                <a:schemeClr val="accent6">
                  <a:lumMod val="75000"/>
                </a:schemeClr>
              </a:solidFill>
            </c:spPr>
          </c:dPt>
          <c:dPt>
            <c:idx val="6"/>
            <c:spPr>
              <a:solidFill>
                <a:schemeClr val="accent6">
                  <a:lumMod val="75000"/>
                </a:schemeClr>
              </a:solidFill>
            </c:spPr>
          </c:dPt>
          <c:cat>
            <c:numRef>
              <c:f>'2a HFC Bulk imports'!$C$4:$H$4</c:f>
              <c:numCache>
                <c:formatCode>General</c:formatCode>
                <c:ptCount val="6"/>
                <c:pt idx="0">
                  <c:v>2006</c:v>
                </c:pt>
                <c:pt idx="1">
                  <c:v>2007</c:v>
                </c:pt>
                <c:pt idx="2">
                  <c:v>2008</c:v>
                </c:pt>
                <c:pt idx="3">
                  <c:v>2009</c:v>
                </c:pt>
                <c:pt idx="4">
                  <c:v>2010</c:v>
                </c:pt>
                <c:pt idx="5">
                  <c:v>2011</c:v>
                </c:pt>
              </c:numCache>
            </c:numRef>
          </c:cat>
          <c:val>
            <c:numRef>
              <c:f>'2a HFC Bulk imports'!$C$5:$H$5</c:f>
              <c:numCache>
                <c:formatCode>#,##0.00</c:formatCode>
                <c:ptCount val="6"/>
                <c:pt idx="0" formatCode="General">
                  <c:v>2226.4700000000012</c:v>
                </c:pt>
                <c:pt idx="1">
                  <c:v>2287.3550000000164</c:v>
                </c:pt>
                <c:pt idx="2">
                  <c:v>2313.5700000000002</c:v>
                </c:pt>
                <c:pt idx="3">
                  <c:v>2480.0450000000001</c:v>
                </c:pt>
                <c:pt idx="4">
                  <c:v>2216.42</c:v>
                </c:pt>
                <c:pt idx="5">
                  <c:v>6257.3230960000001</c:v>
                </c:pt>
              </c:numCache>
            </c:numRef>
          </c:val>
        </c:ser>
        <c:ser>
          <c:idx val="1"/>
          <c:order val="1"/>
          <c:tx>
            <c:strRef>
              <c:f>'2a HFC Bulk imports'!$B$6</c:f>
              <c:strCache>
                <c:ptCount val="1"/>
                <c:pt idx="0">
                  <c:v>Secondary</c:v>
                </c:pt>
              </c:strCache>
            </c:strRef>
          </c:tx>
          <c:cat>
            <c:numRef>
              <c:f>'2a HFC Bulk imports'!$C$4:$H$4</c:f>
              <c:numCache>
                <c:formatCode>General</c:formatCode>
                <c:ptCount val="6"/>
                <c:pt idx="0">
                  <c:v>2006</c:v>
                </c:pt>
                <c:pt idx="1">
                  <c:v>2007</c:v>
                </c:pt>
                <c:pt idx="2">
                  <c:v>2008</c:v>
                </c:pt>
                <c:pt idx="3">
                  <c:v>2009</c:v>
                </c:pt>
                <c:pt idx="4">
                  <c:v>2010</c:v>
                </c:pt>
                <c:pt idx="5">
                  <c:v>2011</c:v>
                </c:pt>
              </c:numCache>
            </c:numRef>
          </c:cat>
          <c:val>
            <c:numRef>
              <c:f>'2a HFC Bulk imports'!$C$6:$H$6</c:f>
              <c:numCache>
                <c:formatCode>#,##0.00</c:formatCode>
                <c:ptCount val="6"/>
                <c:pt idx="0" formatCode="General">
                  <c:v>2821.2399999999989</c:v>
                </c:pt>
                <c:pt idx="1">
                  <c:v>3761.9650000000001</c:v>
                </c:pt>
                <c:pt idx="2">
                  <c:v>4162.08</c:v>
                </c:pt>
                <c:pt idx="3">
                  <c:v>4421.4650000000001</c:v>
                </c:pt>
                <c:pt idx="4">
                  <c:v>4235.79</c:v>
                </c:pt>
              </c:numCache>
            </c:numRef>
          </c:val>
        </c:ser>
        <c:ser>
          <c:idx val="2"/>
          <c:order val="2"/>
          <c:tx>
            <c:strRef>
              <c:f>'2a HFC Bulk imports'!$B$7</c:f>
              <c:strCache>
                <c:ptCount val="1"/>
                <c:pt idx="0">
                  <c:v>Exotic</c:v>
                </c:pt>
              </c:strCache>
            </c:strRef>
          </c:tx>
          <c:cat>
            <c:numRef>
              <c:f>'2a HFC Bulk imports'!$C$4:$H$4</c:f>
              <c:numCache>
                <c:formatCode>General</c:formatCode>
                <c:ptCount val="6"/>
                <c:pt idx="0">
                  <c:v>2006</c:v>
                </c:pt>
                <c:pt idx="1">
                  <c:v>2007</c:v>
                </c:pt>
                <c:pt idx="2">
                  <c:v>2008</c:v>
                </c:pt>
                <c:pt idx="3">
                  <c:v>2009</c:v>
                </c:pt>
                <c:pt idx="4">
                  <c:v>2010</c:v>
                </c:pt>
                <c:pt idx="5">
                  <c:v>2011</c:v>
                </c:pt>
              </c:numCache>
            </c:numRef>
          </c:cat>
          <c:val>
            <c:numRef>
              <c:f>'2a HFC Bulk imports'!$C$7:$H$7</c:f>
              <c:numCache>
                <c:formatCode>General</c:formatCode>
                <c:ptCount val="6"/>
                <c:pt idx="0">
                  <c:v>8.629999999999999</c:v>
                </c:pt>
                <c:pt idx="1">
                  <c:v>9.56</c:v>
                </c:pt>
                <c:pt idx="2">
                  <c:v>10.89</c:v>
                </c:pt>
                <c:pt idx="3">
                  <c:v>34.450000000000003</c:v>
                </c:pt>
                <c:pt idx="4">
                  <c:v>41.99</c:v>
                </c:pt>
              </c:numCache>
            </c:numRef>
          </c:val>
        </c:ser>
        <c:overlap val="100"/>
        <c:axId val="42184064"/>
        <c:axId val="42194048"/>
      </c:barChart>
      <c:catAx>
        <c:axId val="42184064"/>
        <c:scaling>
          <c:orientation val="minMax"/>
        </c:scaling>
        <c:axPos val="b"/>
        <c:numFmt formatCode="General" sourceLinked="1"/>
        <c:tickLblPos val="nextTo"/>
        <c:txPr>
          <a:bodyPr/>
          <a:lstStyle/>
          <a:p>
            <a:pPr>
              <a:defRPr lang="en-AU" sz="900"/>
            </a:pPr>
            <a:endParaRPr lang="en-US"/>
          </a:p>
        </c:txPr>
        <c:crossAx val="42194048"/>
        <c:crosses val="autoZero"/>
        <c:auto val="1"/>
        <c:lblAlgn val="ctr"/>
        <c:lblOffset val="100"/>
      </c:catAx>
      <c:valAx>
        <c:axId val="42194048"/>
        <c:scaling>
          <c:orientation val="minMax"/>
        </c:scaling>
        <c:axPos val="l"/>
        <c:majorGridlines/>
        <c:title>
          <c:tx>
            <c:rich>
              <a:bodyPr/>
              <a:lstStyle/>
              <a:p>
                <a:pPr>
                  <a:defRPr lang="en-AU" sz="800"/>
                </a:pPr>
                <a:r>
                  <a:rPr lang="en-US" sz="800"/>
                  <a:t>kt CO</a:t>
                </a:r>
                <a:r>
                  <a:rPr lang="en-US" sz="800" baseline="-25000"/>
                  <a:t>2</a:t>
                </a:r>
                <a:r>
                  <a:rPr lang="en-US" sz="800"/>
                  <a:t>-e</a:t>
                </a:r>
              </a:p>
            </c:rich>
          </c:tx>
        </c:title>
        <c:numFmt formatCode="#,##0" sourceLinked="0"/>
        <c:tickLblPos val="nextTo"/>
        <c:txPr>
          <a:bodyPr/>
          <a:lstStyle/>
          <a:p>
            <a:pPr>
              <a:defRPr lang="en-AU" sz="800"/>
            </a:pPr>
            <a:endParaRPr lang="en-US"/>
          </a:p>
        </c:txPr>
        <c:crossAx val="42184064"/>
        <c:crosses val="autoZero"/>
        <c:crossBetween val="between"/>
      </c:valAx>
    </c:plotArea>
    <c:legend>
      <c:legendPos val="b"/>
      <c:txPr>
        <a:bodyPr/>
        <a:lstStyle/>
        <a:p>
          <a:pPr>
            <a:defRPr lang="en-AU"/>
          </a:pPr>
          <a:endParaRPr lang="en-US"/>
        </a:p>
      </c:txPr>
    </c:legend>
    <c:plotVisOnly val="1"/>
    <c:dispBlanksAs val="gap"/>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AU"/>
  <c:style val="18"/>
  <c:chart>
    <c:autoTitleDeleted val="1"/>
    <c:view3D>
      <c:rAngAx val="1"/>
    </c:view3D>
    <c:plotArea>
      <c:layout>
        <c:manualLayout>
          <c:layoutTarget val="inner"/>
          <c:xMode val="edge"/>
          <c:yMode val="edge"/>
          <c:x val="4.9480453857501709E-2"/>
          <c:y val="2.0785914944225815E-2"/>
          <c:w val="0.81181581316934193"/>
          <c:h val="0.88351096005577356"/>
        </c:manualLayout>
      </c:layout>
      <c:bar3DChart>
        <c:barDir val="col"/>
        <c:grouping val="percentStacked"/>
        <c:ser>
          <c:idx val="0"/>
          <c:order val="0"/>
          <c:tx>
            <c:strRef>
              <c:f>'Sector charts'!$B$7</c:f>
              <c:strCache>
                <c:ptCount val="1"/>
                <c:pt idx="0">
                  <c:v>Other domestic refrigerators</c:v>
                </c:pt>
              </c:strCache>
            </c:strRef>
          </c:tx>
          <c:dLbls>
            <c:delete val="1"/>
          </c:dLbls>
          <c:cat>
            <c:strRef>
              <c:f>'Sector charts'!$C$6:$D$6</c:f>
              <c:strCache>
                <c:ptCount val="2"/>
                <c:pt idx="0">
                  <c:v>Consumption</c:v>
                </c:pt>
                <c:pt idx="1">
                  <c:v>Bank</c:v>
                </c:pt>
              </c:strCache>
            </c:strRef>
          </c:cat>
          <c:val>
            <c:numRef>
              <c:f>'Sector charts'!$C$7:$D$7</c:f>
              <c:numCache>
                <c:formatCode>#,##0</c:formatCode>
                <c:ptCount val="2"/>
                <c:pt idx="0">
                  <c:v>0</c:v>
                </c:pt>
                <c:pt idx="1">
                  <c:v>35</c:v>
                </c:pt>
              </c:numCache>
            </c:numRef>
          </c:val>
        </c:ser>
        <c:ser>
          <c:idx val="2"/>
          <c:order val="1"/>
          <c:tx>
            <c:strRef>
              <c:f>'Sector charts'!$B$8</c:f>
              <c:strCache>
                <c:ptCount val="1"/>
                <c:pt idx="0">
                  <c:v>Domestic friges and freezers</c:v>
                </c:pt>
              </c:strCache>
            </c:strRef>
          </c:tx>
          <c:cat>
            <c:strRef>
              <c:f>'Sector charts'!$C$6:$D$6</c:f>
              <c:strCache>
                <c:ptCount val="2"/>
                <c:pt idx="0">
                  <c:v>Consumption</c:v>
                </c:pt>
                <c:pt idx="1">
                  <c:v>Bank</c:v>
                </c:pt>
              </c:strCache>
            </c:strRef>
          </c:cat>
          <c:val>
            <c:numRef>
              <c:f>'Sector charts'!$C$8:$D$8</c:f>
              <c:numCache>
                <c:formatCode>#,##0</c:formatCode>
                <c:ptCount val="2"/>
                <c:pt idx="0">
                  <c:v>25</c:v>
                </c:pt>
                <c:pt idx="1">
                  <c:v>2235</c:v>
                </c:pt>
              </c:numCache>
            </c:numRef>
          </c:val>
        </c:ser>
        <c:dLbls>
          <c:showVal val="1"/>
        </c:dLbls>
        <c:shape val="cylinder"/>
        <c:axId val="41953920"/>
        <c:axId val="41963904"/>
        <c:axId val="0"/>
      </c:bar3DChart>
      <c:catAx>
        <c:axId val="41953920"/>
        <c:scaling>
          <c:orientation val="minMax"/>
        </c:scaling>
        <c:axPos val="b"/>
        <c:tickLblPos val="nextTo"/>
        <c:crossAx val="41963904"/>
        <c:crosses val="autoZero"/>
        <c:auto val="1"/>
        <c:lblAlgn val="ctr"/>
        <c:lblOffset val="100"/>
      </c:catAx>
      <c:valAx>
        <c:axId val="41963904"/>
        <c:scaling>
          <c:orientation val="minMax"/>
        </c:scaling>
        <c:axPos val="l"/>
        <c:majorGridlines/>
        <c:numFmt formatCode="0%" sourceLinked="1"/>
        <c:tickLblPos val="nextTo"/>
        <c:crossAx val="41953920"/>
        <c:crosses val="autoZero"/>
        <c:crossBetween val="between"/>
      </c:valAx>
    </c:plotArea>
    <c:legend>
      <c:legendPos val="r"/>
      <c:layout>
        <c:manualLayout>
          <c:xMode val="edge"/>
          <c:yMode val="edge"/>
          <c:x val="0.85490270034676297"/>
          <c:y val="0.259051529691601"/>
          <c:w val="0.13105075483265297"/>
          <c:h val="0.35426944922900433"/>
        </c:manualLayout>
      </c:layout>
    </c:legend>
    <c:plotVisOnly val="1"/>
    <c:dispBlanksAs val="gap"/>
  </c:chart>
  <c:spPr>
    <a:ln>
      <a:noFill/>
    </a:ln>
  </c:spPr>
  <c:txPr>
    <a:bodyPr/>
    <a:lstStyle/>
    <a:p>
      <a:pPr>
        <a:defRPr sz="800"/>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AU"/>
  <c:style val="18"/>
  <c:chart>
    <c:plotArea>
      <c:layout/>
      <c:areaChart>
        <c:grouping val="stacked"/>
        <c:ser>
          <c:idx val="0"/>
          <c:order val="0"/>
          <c:tx>
            <c:strRef>
              <c:f>'DR-1'!$C$3</c:f>
              <c:strCache>
                <c:ptCount val="1"/>
                <c:pt idx="0">
                  <c:v>HCFC-22</c:v>
                </c:pt>
              </c:strCache>
            </c:strRef>
          </c:tx>
          <c:spPr>
            <a:solidFill>
              <a:srgbClr val="FF0000"/>
            </a:solidFill>
          </c:spPr>
          <c:cat>
            <c:numRef>
              <c:f>'DR-1'!$B$5:$B$17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'DR-1'!$C$5:$C$17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1"/>
          <c:order val="1"/>
          <c:tx>
            <c:strRef>
              <c:f>'DR-1'!$D$3</c:f>
              <c:strCache>
                <c:ptCount val="1"/>
                <c:pt idx="0">
                  <c:v>HCFC-123</c:v>
                </c:pt>
              </c:strCache>
            </c:strRef>
          </c:tx>
          <c:cat>
            <c:numRef>
              <c:f>'DR-1'!$B$5:$B$17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'DR-1'!$D$5:$D$17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2"/>
          <c:order val="2"/>
          <c:tx>
            <c:strRef>
              <c:f>'DR-1'!$E$3</c:f>
              <c:strCache>
                <c:ptCount val="1"/>
                <c:pt idx="0">
                  <c:v>HFC-134a</c:v>
                </c:pt>
              </c:strCache>
            </c:strRef>
          </c:tx>
          <c:cat>
            <c:numRef>
              <c:f>'DR-1'!$B$5:$B$17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'DR-1'!$E$5:$E$17</c:f>
              <c:numCache>
                <c:formatCode>#,##0</c:formatCode>
                <c:ptCount val="13"/>
                <c:pt idx="0">
                  <c:v>2234363.6686857203</c:v>
                </c:pt>
                <c:pt idx="1">
                  <c:v>2187627.8072773209</c:v>
                </c:pt>
                <c:pt idx="2">
                  <c:v>2129544.1550055379</c:v>
                </c:pt>
                <c:pt idx="3">
                  <c:v>2059036.8523180315</c:v>
                </c:pt>
                <c:pt idx="4">
                  <c:v>1973797.8812156501</c:v>
                </c:pt>
                <c:pt idx="5">
                  <c:v>1870899.0993975701</c:v>
                </c:pt>
                <c:pt idx="6">
                  <c:v>1747993.3429001207</c:v>
                </c:pt>
                <c:pt idx="7">
                  <c:v>1604417.3281101002</c:v>
                </c:pt>
                <c:pt idx="8">
                  <c:v>1441546.7409598909</c:v>
                </c:pt>
                <c:pt idx="9">
                  <c:v>1274599.381948292</c:v>
                </c:pt>
                <c:pt idx="10">
                  <c:v>1107555.8464165714</c:v>
                </c:pt>
                <c:pt idx="11">
                  <c:v>944388.00074666634</c:v>
                </c:pt>
                <c:pt idx="12">
                  <c:v>788813.19196653459</c:v>
                </c:pt>
              </c:numCache>
            </c:numRef>
          </c:val>
        </c:ser>
        <c:ser>
          <c:idx val="3"/>
          <c:order val="3"/>
          <c:tx>
            <c:strRef>
              <c:f>'DR-1'!$F$3</c:f>
              <c:strCache>
                <c:ptCount val="1"/>
                <c:pt idx="0">
                  <c:v>HFC-404A</c:v>
                </c:pt>
              </c:strCache>
            </c:strRef>
          </c:tx>
          <c:cat>
            <c:numRef>
              <c:f>'DR-1'!$B$5:$B$17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'DR-1'!$F$5:$F$17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4"/>
          <c:order val="4"/>
          <c:tx>
            <c:strRef>
              <c:f>'DR-1'!$G$3</c:f>
              <c:strCache>
                <c:ptCount val="1"/>
                <c:pt idx="0">
                  <c:v>HFC-410A</c:v>
                </c:pt>
              </c:strCache>
            </c:strRef>
          </c:tx>
          <c:cat>
            <c:numRef>
              <c:f>'DR-1'!$B$5:$B$17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'DR-1'!$G$5:$G$17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5"/>
          <c:order val="5"/>
          <c:tx>
            <c:strRef>
              <c:f>'DR-1'!$H$3</c:f>
              <c:strCache>
                <c:ptCount val="1"/>
                <c:pt idx="0">
                  <c:v>HFC-407C</c:v>
                </c:pt>
              </c:strCache>
            </c:strRef>
          </c:tx>
          <c:cat>
            <c:numRef>
              <c:f>'DR-1'!$B$5:$B$17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'DR-1'!$H$5:$H$17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6"/>
          <c:order val="6"/>
          <c:tx>
            <c:strRef>
              <c:f>'DR-1'!$I$3</c:f>
              <c:strCache>
                <c:ptCount val="1"/>
                <c:pt idx="0">
                  <c:v>HFC-32</c:v>
                </c:pt>
              </c:strCache>
            </c:strRef>
          </c:tx>
          <c:cat>
            <c:numRef>
              <c:f>'DR-1'!$B$5:$B$17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'DR-1'!$I$5:$I$17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7"/>
          <c:order val="7"/>
          <c:tx>
            <c:strRef>
              <c:f>'DR-1'!$J$3</c:f>
              <c:strCache>
                <c:ptCount val="1"/>
                <c:pt idx="0">
                  <c:v>HFC-Mix</c:v>
                </c:pt>
              </c:strCache>
            </c:strRef>
          </c:tx>
          <c:cat>
            <c:numRef>
              <c:f>'DR-1'!$B$5:$B$17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'DR-1'!$J$5:$J$17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8"/>
          <c:order val="8"/>
          <c:tx>
            <c:strRef>
              <c:f>'DR-1'!$K$3</c:f>
              <c:strCache>
                <c:ptCount val="1"/>
                <c:pt idx="0">
                  <c:v>GWP &lt;2150</c:v>
                </c:pt>
              </c:strCache>
            </c:strRef>
          </c:tx>
          <c:cat>
            <c:numRef>
              <c:f>'DR-1'!$B$5:$B$17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'DR-1'!$K$5:$K$17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9"/>
          <c:order val="9"/>
          <c:tx>
            <c:strRef>
              <c:f>'DR-1'!$L$3</c:f>
              <c:strCache>
                <c:ptCount val="1"/>
                <c:pt idx="0">
                  <c:v>GWP &lt;1000</c:v>
                </c:pt>
              </c:strCache>
            </c:strRef>
          </c:tx>
          <c:cat>
            <c:numRef>
              <c:f>'DR-1'!$B$5:$B$17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'DR-1'!$L$5:$L$17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10"/>
          <c:order val="10"/>
          <c:tx>
            <c:strRef>
              <c:f>'DR-1'!$M$3</c:f>
              <c:strCache>
                <c:ptCount val="1"/>
                <c:pt idx="0">
                  <c:v>GWP &lt;10</c:v>
                </c:pt>
              </c:strCache>
            </c:strRef>
          </c:tx>
          <c:cat>
            <c:numRef>
              <c:f>'DR-1'!$B$5:$B$17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'DR-1'!$M$5:$M$17</c:f>
              <c:numCache>
                <c:formatCode>#,##0</c:formatCode>
                <c:ptCount val="13"/>
                <c:pt idx="0">
                  <c:v>197453.93664999478</c:v>
                </c:pt>
                <c:pt idx="1">
                  <c:v>311979.98479497997</c:v>
                </c:pt>
                <c:pt idx="2">
                  <c:v>439294.62864314218</c:v>
                </c:pt>
                <c:pt idx="3">
                  <c:v>579754.82635194715</c:v>
                </c:pt>
                <c:pt idx="4">
                  <c:v>733721.10386692244</c:v>
                </c:pt>
                <c:pt idx="5">
                  <c:v>901544.06935657049</c:v>
                </c:pt>
                <c:pt idx="6">
                  <c:v>1083523.670999171</c:v>
                </c:pt>
                <c:pt idx="7">
                  <c:v>1279815.641969641</c:v>
                </c:pt>
                <c:pt idx="8">
                  <c:v>1490268.2062996398</c:v>
                </c:pt>
                <c:pt idx="9">
                  <c:v>1701920.7047764701</c:v>
                </c:pt>
                <c:pt idx="10">
                  <c:v>1913008.3624885401</c:v>
                </c:pt>
                <c:pt idx="11">
                  <c:v>2120943.91092498</c:v>
                </c:pt>
                <c:pt idx="12">
                  <c:v>2322425.74280224</c:v>
                </c:pt>
              </c:numCache>
            </c:numRef>
          </c:val>
        </c:ser>
        <c:axId val="42220160"/>
        <c:axId val="42226048"/>
      </c:areaChart>
      <c:catAx>
        <c:axId val="42220160"/>
        <c:scaling>
          <c:orientation val="minMax"/>
        </c:scaling>
        <c:axPos val="b"/>
        <c:numFmt formatCode="General" sourceLinked="1"/>
        <c:tickLblPos val="nextTo"/>
        <c:txPr>
          <a:bodyPr/>
          <a:lstStyle/>
          <a:p>
            <a:pPr>
              <a:defRPr sz="800"/>
            </a:pPr>
            <a:endParaRPr lang="en-US"/>
          </a:p>
        </c:txPr>
        <c:crossAx val="42226048"/>
        <c:crosses val="autoZero"/>
        <c:auto val="1"/>
        <c:lblAlgn val="ctr"/>
        <c:lblOffset val="100"/>
      </c:catAx>
      <c:valAx>
        <c:axId val="42226048"/>
        <c:scaling>
          <c:orientation val="minMax"/>
        </c:scaling>
        <c:axPos val="l"/>
        <c:majorGridlines/>
        <c:numFmt formatCode="#,##0" sourceLinked="1"/>
        <c:tickLblPos val="nextTo"/>
        <c:txPr>
          <a:bodyPr/>
          <a:lstStyle/>
          <a:p>
            <a:pPr>
              <a:defRPr sz="800"/>
            </a:pPr>
            <a:endParaRPr lang="en-US"/>
          </a:p>
        </c:txPr>
        <c:crossAx val="42220160"/>
        <c:crosses val="autoZero"/>
        <c:crossBetween val="midCat"/>
        <c:dispUnits>
          <c:builtInUnit val="thousands"/>
        </c:dispUnits>
      </c:valAx>
    </c:plotArea>
    <c:legend>
      <c:legendPos val="r"/>
      <c:txPr>
        <a:bodyPr/>
        <a:lstStyle/>
        <a:p>
          <a:pPr>
            <a:defRPr sz="800"/>
          </a:pPr>
          <a:endParaRPr lang="en-US"/>
        </a:p>
      </c:txPr>
    </c:legend>
    <c:plotVisOnly val="1"/>
    <c:dispBlanksAs val="zero"/>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AU"/>
  <c:style val="18"/>
  <c:chart>
    <c:plotArea>
      <c:layout/>
      <c:areaChart>
        <c:grouping val="stacked"/>
        <c:ser>
          <c:idx val="0"/>
          <c:order val="0"/>
          <c:tx>
            <c:strRef>
              <c:f>'DR-1'!$C$3</c:f>
              <c:strCache>
                <c:ptCount val="1"/>
                <c:pt idx="0">
                  <c:v>HCFC-22</c:v>
                </c:pt>
              </c:strCache>
            </c:strRef>
          </c:tx>
          <c:spPr>
            <a:solidFill>
              <a:srgbClr val="FF0000"/>
            </a:solidFill>
          </c:spPr>
          <c:cat>
            <c:numRef>
              <c:f>'DR-1'!$B$82:$B$94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'DR-1'!$C$82:$C$94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1"/>
          <c:order val="1"/>
          <c:tx>
            <c:strRef>
              <c:f>'DR-1'!$D$3</c:f>
              <c:strCache>
                <c:ptCount val="1"/>
                <c:pt idx="0">
                  <c:v>HCFC-123</c:v>
                </c:pt>
              </c:strCache>
            </c:strRef>
          </c:tx>
          <c:cat>
            <c:numRef>
              <c:f>'DR-1'!$B$82:$B$94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'DR-1'!$D$82:$D$94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2"/>
          <c:order val="2"/>
          <c:tx>
            <c:strRef>
              <c:f>'DR-1'!$E$3</c:f>
              <c:strCache>
                <c:ptCount val="1"/>
                <c:pt idx="0">
                  <c:v>HFC-134a</c:v>
                </c:pt>
              </c:strCache>
            </c:strRef>
          </c:tx>
          <c:cat>
            <c:numRef>
              <c:f>'DR-1'!$B$82:$B$94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'DR-1'!$E$82:$E$94</c:f>
              <c:numCache>
                <c:formatCode>#,##0</c:formatCode>
                <c:ptCount val="13"/>
                <c:pt idx="0">
                  <c:v>25078.000355542918</c:v>
                </c:pt>
                <c:pt idx="1">
                  <c:v>24571.405880050592</c:v>
                </c:pt>
                <c:pt idx="2">
                  <c:v>23940.09820506096</c:v>
                </c:pt>
                <c:pt idx="3">
                  <c:v>23172.244562998356</c:v>
                </c:pt>
                <c:pt idx="4">
                  <c:v>22176.522637816503</c:v>
                </c:pt>
                <c:pt idx="5">
                  <c:v>20986.542794762256</c:v>
                </c:pt>
                <c:pt idx="6">
                  <c:v>19576.486230234692</c:v>
                </c:pt>
                <c:pt idx="7">
                  <c:v>17939.05682448882</c:v>
                </c:pt>
                <c:pt idx="8">
                  <c:v>16089.387122781018</c:v>
                </c:pt>
                <c:pt idx="9">
                  <c:v>14194.872930597838</c:v>
                </c:pt>
                <c:pt idx="10">
                  <c:v>12299.300796693298</c:v>
                </c:pt>
                <c:pt idx="11">
                  <c:v>10446.36125126888</c:v>
                </c:pt>
                <c:pt idx="12">
                  <c:v>8676.9451116318651</c:v>
                </c:pt>
              </c:numCache>
            </c:numRef>
          </c:val>
        </c:ser>
        <c:ser>
          <c:idx val="3"/>
          <c:order val="3"/>
          <c:tx>
            <c:strRef>
              <c:f>'DR-1'!$F$3</c:f>
              <c:strCache>
                <c:ptCount val="1"/>
                <c:pt idx="0">
                  <c:v>HFC-404A</c:v>
                </c:pt>
              </c:strCache>
            </c:strRef>
          </c:tx>
          <c:cat>
            <c:numRef>
              <c:f>'DR-1'!$B$82:$B$94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'DR-1'!$F$82:$F$94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4"/>
          <c:order val="4"/>
          <c:tx>
            <c:strRef>
              <c:f>'DR-1'!$G$3</c:f>
              <c:strCache>
                <c:ptCount val="1"/>
                <c:pt idx="0">
                  <c:v>HFC-410A</c:v>
                </c:pt>
              </c:strCache>
            </c:strRef>
          </c:tx>
          <c:cat>
            <c:numRef>
              <c:f>'DR-1'!$B$82:$B$94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'DR-1'!$G$82:$G$94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5"/>
          <c:order val="5"/>
          <c:tx>
            <c:strRef>
              <c:f>'DR-1'!$H$3</c:f>
              <c:strCache>
                <c:ptCount val="1"/>
                <c:pt idx="0">
                  <c:v>HFC-407C</c:v>
                </c:pt>
              </c:strCache>
            </c:strRef>
          </c:tx>
          <c:cat>
            <c:numRef>
              <c:f>'DR-1'!$B$82:$B$94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'DR-1'!$H$82:$H$94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6"/>
          <c:order val="6"/>
          <c:tx>
            <c:strRef>
              <c:f>'DR-1'!$I$3</c:f>
              <c:strCache>
                <c:ptCount val="1"/>
                <c:pt idx="0">
                  <c:v>HFC-32</c:v>
                </c:pt>
              </c:strCache>
            </c:strRef>
          </c:tx>
          <c:cat>
            <c:numRef>
              <c:f>'DR-1'!$B$82:$B$94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'DR-1'!$I$82:$I$94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7"/>
          <c:order val="7"/>
          <c:tx>
            <c:strRef>
              <c:f>'DR-1'!$J$3</c:f>
              <c:strCache>
                <c:ptCount val="1"/>
                <c:pt idx="0">
                  <c:v>HFC-Mix</c:v>
                </c:pt>
              </c:strCache>
            </c:strRef>
          </c:tx>
          <c:cat>
            <c:numRef>
              <c:f>'DR-1'!$B$82:$B$94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'DR-1'!$J$82:$J$94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8"/>
          <c:order val="8"/>
          <c:tx>
            <c:strRef>
              <c:f>'DR-1'!$K$3</c:f>
              <c:strCache>
                <c:ptCount val="1"/>
                <c:pt idx="0">
                  <c:v>GWP &lt;2150</c:v>
                </c:pt>
              </c:strCache>
            </c:strRef>
          </c:tx>
          <c:cat>
            <c:numRef>
              <c:f>'DR-1'!$B$82:$B$94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'DR-1'!$K$82:$K$94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9"/>
          <c:order val="9"/>
          <c:tx>
            <c:strRef>
              <c:f>'DR-1'!$L$3</c:f>
              <c:strCache>
                <c:ptCount val="1"/>
                <c:pt idx="0">
                  <c:v>GWP &lt;1000</c:v>
                </c:pt>
              </c:strCache>
            </c:strRef>
          </c:tx>
          <c:cat>
            <c:numRef>
              <c:f>'DR-1'!$B$82:$B$94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'DR-1'!$L$82:$L$94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10"/>
          <c:order val="10"/>
          <c:tx>
            <c:strRef>
              <c:f>'DR-1'!$M$3</c:f>
              <c:strCache>
                <c:ptCount val="1"/>
                <c:pt idx="0">
                  <c:v>GWP &lt;10</c:v>
                </c:pt>
              </c:strCache>
            </c:strRef>
          </c:tx>
          <c:cat>
            <c:numRef>
              <c:f>'DR-1'!$B$82:$B$94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'DR-1'!$M$82:$M$94</c:f>
              <c:numCache>
                <c:formatCode>#,##0</c:formatCode>
                <c:ptCount val="13"/>
                <c:pt idx="0">
                  <c:v>31974.53936649975</c:v>
                </c:pt>
                <c:pt idx="1">
                  <c:v>33569.799847949776</c:v>
                </c:pt>
                <c:pt idx="2">
                  <c:v>35299.696286431375</c:v>
                </c:pt>
                <c:pt idx="3">
                  <c:v>5798.5314936530131</c:v>
                </c:pt>
                <c:pt idx="4">
                  <c:v>7406.8568926406024</c:v>
                </c:pt>
                <c:pt idx="5">
                  <c:v>9154.7920589968107</c:v>
                </c:pt>
                <c:pt idx="6">
                  <c:v>11045.367312041319</c:v>
                </c:pt>
                <c:pt idx="7">
                  <c:v>13080.171511514774</c:v>
                </c:pt>
                <c:pt idx="8">
                  <c:v>15257.719129659787</c:v>
                </c:pt>
                <c:pt idx="9">
                  <c:v>17448.436521034881</c:v>
                </c:pt>
                <c:pt idx="10">
                  <c:v>19634.709585333858</c:v>
                </c:pt>
                <c:pt idx="11">
                  <c:v>21790.699829401256</c:v>
                </c:pt>
                <c:pt idx="12">
                  <c:v>23883.425077735756</c:v>
                </c:pt>
              </c:numCache>
            </c:numRef>
          </c:val>
        </c:ser>
        <c:axId val="42492288"/>
        <c:axId val="42493824"/>
      </c:areaChart>
      <c:catAx>
        <c:axId val="42492288"/>
        <c:scaling>
          <c:orientation val="minMax"/>
        </c:scaling>
        <c:axPos val="b"/>
        <c:numFmt formatCode="General" sourceLinked="1"/>
        <c:tickLblPos val="nextTo"/>
        <c:txPr>
          <a:bodyPr/>
          <a:lstStyle/>
          <a:p>
            <a:pPr>
              <a:defRPr sz="800"/>
            </a:pPr>
            <a:endParaRPr lang="en-US"/>
          </a:p>
        </c:txPr>
        <c:crossAx val="42493824"/>
        <c:crosses val="autoZero"/>
        <c:auto val="1"/>
        <c:lblAlgn val="ctr"/>
        <c:lblOffset val="100"/>
      </c:catAx>
      <c:valAx>
        <c:axId val="42493824"/>
        <c:scaling>
          <c:orientation val="minMax"/>
        </c:scaling>
        <c:axPos val="l"/>
        <c:majorGridlines/>
        <c:numFmt formatCode="#,##0" sourceLinked="1"/>
        <c:tickLblPos val="nextTo"/>
        <c:txPr>
          <a:bodyPr/>
          <a:lstStyle/>
          <a:p>
            <a:pPr>
              <a:defRPr sz="800"/>
            </a:pPr>
            <a:endParaRPr lang="en-US"/>
          </a:p>
        </c:txPr>
        <c:crossAx val="42492288"/>
        <c:crosses val="autoZero"/>
        <c:crossBetween val="midCat"/>
        <c:dispUnits>
          <c:builtInUnit val="thousands"/>
        </c:dispUnits>
      </c:valAx>
    </c:plotArea>
    <c:legend>
      <c:legendPos val="r"/>
      <c:txPr>
        <a:bodyPr/>
        <a:lstStyle/>
        <a:p>
          <a:pPr>
            <a:defRPr sz="800"/>
          </a:pPr>
          <a:endParaRPr lang="en-US"/>
        </a:p>
      </c:txPr>
    </c:legend>
    <c:plotVisOnly val="1"/>
    <c:dispBlanksAs val="zero"/>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AU"/>
  <c:style val="18"/>
  <c:chart>
    <c:autoTitleDeleted val="1"/>
    <c:view3D>
      <c:rAngAx val="1"/>
    </c:view3D>
    <c:plotArea>
      <c:layout>
        <c:manualLayout>
          <c:layoutTarget val="inner"/>
          <c:xMode val="edge"/>
          <c:yMode val="edge"/>
          <c:x val="5.1063255871944102E-2"/>
          <c:y val="1.8939393939393902E-2"/>
          <c:w val="0.80373080648719408"/>
          <c:h val="0.88864953670564062"/>
        </c:manualLayout>
      </c:layout>
      <c:bar3DChart>
        <c:barDir val="col"/>
        <c:grouping val="percentStacked"/>
        <c:ser>
          <c:idx val="0"/>
          <c:order val="0"/>
          <c:tx>
            <c:strRef>
              <c:f>'Sector charts'!$B$40</c:f>
              <c:strCache>
                <c:ptCount val="1"/>
                <c:pt idx="0">
                  <c:v>Small: Self-contained</c:v>
                </c:pt>
              </c:strCache>
            </c:strRef>
          </c:tx>
          <c:cat>
            <c:strRef>
              <c:f>'Sector charts'!$C$39:$D$39</c:f>
              <c:strCache>
                <c:ptCount val="2"/>
                <c:pt idx="0">
                  <c:v>Consumption</c:v>
                </c:pt>
                <c:pt idx="1">
                  <c:v>Bank</c:v>
                </c:pt>
              </c:strCache>
            </c:strRef>
          </c:cat>
          <c:val>
            <c:numRef>
              <c:f>'Sector charts'!$C$40:$D$40</c:f>
              <c:numCache>
                <c:formatCode>#,##0</c:formatCode>
                <c:ptCount val="2"/>
                <c:pt idx="0">
                  <c:v>87</c:v>
                </c:pt>
                <c:pt idx="1">
                  <c:v>900</c:v>
                </c:pt>
              </c:numCache>
            </c:numRef>
          </c:val>
        </c:ser>
        <c:ser>
          <c:idx val="1"/>
          <c:order val="1"/>
          <c:tx>
            <c:strRef>
              <c:f>'Sector charts'!$B$41</c:f>
              <c:strCache>
                <c:ptCount val="1"/>
                <c:pt idx="0">
                  <c:v>Medium: Remote cond. units</c:v>
                </c:pt>
              </c:strCache>
            </c:strRef>
          </c:tx>
          <c:cat>
            <c:strRef>
              <c:f>'Sector charts'!$C$39:$D$39</c:f>
              <c:strCache>
                <c:ptCount val="2"/>
                <c:pt idx="0">
                  <c:v>Consumption</c:v>
                </c:pt>
                <c:pt idx="1">
                  <c:v>Bank</c:v>
                </c:pt>
              </c:strCache>
            </c:strRef>
          </c:cat>
          <c:val>
            <c:numRef>
              <c:f>'Sector charts'!$C$41:$D$41</c:f>
              <c:numCache>
                <c:formatCode>#,##0</c:formatCode>
                <c:ptCount val="2"/>
                <c:pt idx="0">
                  <c:v>660</c:v>
                </c:pt>
                <c:pt idx="1">
                  <c:v>3040</c:v>
                </c:pt>
              </c:numCache>
            </c:numRef>
          </c:val>
        </c:ser>
        <c:ser>
          <c:idx val="2"/>
          <c:order val="2"/>
          <c:tx>
            <c:strRef>
              <c:f>'Sector charts'!$B$42</c:f>
              <c:strCache>
                <c:ptCount val="1"/>
                <c:pt idx="0">
                  <c:v>Large: Supermarkets</c:v>
                </c:pt>
              </c:strCache>
            </c:strRef>
          </c:tx>
          <c:cat>
            <c:strRef>
              <c:f>'Sector charts'!$C$39:$D$39</c:f>
              <c:strCache>
                <c:ptCount val="2"/>
                <c:pt idx="0">
                  <c:v>Consumption</c:v>
                </c:pt>
                <c:pt idx="1">
                  <c:v>Bank</c:v>
                </c:pt>
              </c:strCache>
            </c:strRef>
          </c:cat>
          <c:val>
            <c:numRef>
              <c:f>'Sector charts'!$C$42:$D$42</c:f>
              <c:numCache>
                <c:formatCode>#,##0</c:formatCode>
                <c:ptCount val="2"/>
                <c:pt idx="0">
                  <c:v>253</c:v>
                </c:pt>
                <c:pt idx="1">
                  <c:v>1130</c:v>
                </c:pt>
              </c:numCache>
            </c:numRef>
          </c:val>
        </c:ser>
        <c:dLbls>
          <c:showVal val="1"/>
        </c:dLbls>
        <c:shape val="cylinder"/>
        <c:axId val="42514304"/>
        <c:axId val="42515840"/>
        <c:axId val="0"/>
      </c:bar3DChart>
      <c:catAx>
        <c:axId val="42514304"/>
        <c:scaling>
          <c:orientation val="minMax"/>
        </c:scaling>
        <c:axPos val="b"/>
        <c:tickLblPos val="nextTo"/>
        <c:crossAx val="42515840"/>
        <c:crosses val="autoZero"/>
        <c:auto val="1"/>
        <c:lblAlgn val="ctr"/>
        <c:lblOffset val="100"/>
      </c:catAx>
      <c:valAx>
        <c:axId val="42515840"/>
        <c:scaling>
          <c:orientation val="minMax"/>
        </c:scaling>
        <c:axPos val="l"/>
        <c:majorGridlines/>
        <c:numFmt formatCode="0%" sourceLinked="1"/>
        <c:tickLblPos val="nextTo"/>
        <c:crossAx val="42514304"/>
        <c:crosses val="autoZero"/>
        <c:crossBetween val="between"/>
      </c:valAx>
    </c:plotArea>
    <c:legend>
      <c:legendPos val="r"/>
      <c:layout>
        <c:manualLayout>
          <c:xMode val="edge"/>
          <c:yMode val="edge"/>
          <c:x val="0.84854376264781961"/>
          <c:y val="5.7744521991569334E-2"/>
          <c:w val="0.13759327016218023"/>
          <c:h val="0.68128827646544365"/>
        </c:manualLayout>
      </c:layout>
    </c:legend>
    <c:plotVisOnly val="1"/>
    <c:dispBlanksAs val="gap"/>
  </c:chart>
  <c:spPr>
    <a:ln>
      <a:noFill/>
    </a:ln>
  </c:spPr>
  <c:txPr>
    <a:bodyPr/>
    <a:lstStyle/>
    <a:p>
      <a:pPr>
        <a:defRPr sz="800"/>
      </a:pPr>
      <a:endParaRPr lang="en-US"/>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AU"/>
  <c:style val="18"/>
  <c:chart>
    <c:plotArea>
      <c:layout/>
      <c:areaChart>
        <c:grouping val="stacked"/>
        <c:ser>
          <c:idx val="0"/>
          <c:order val="0"/>
          <c:tx>
            <c:strRef>
              <c:f>'CR-Self contained'!$C$3</c:f>
              <c:strCache>
                <c:ptCount val="1"/>
                <c:pt idx="0">
                  <c:v>HCFC-22</c:v>
                </c:pt>
              </c:strCache>
            </c:strRef>
          </c:tx>
          <c:spPr>
            <a:solidFill>
              <a:srgbClr val="FF0000"/>
            </a:solidFill>
          </c:spPr>
          <c:cat>
            <c:numRef>
              <c:f>'CR-Self contained'!$B$5:$B$17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'CR-Self contained'!$C$5:$C$17</c:f>
              <c:numCache>
                <c:formatCode>#,##0</c:formatCode>
                <c:ptCount val="13"/>
                <c:pt idx="0">
                  <c:v>73010.502988630833</c:v>
                </c:pt>
                <c:pt idx="1">
                  <c:v>67719.945616533063</c:v>
                </c:pt>
                <c:pt idx="2">
                  <c:v>62323.577272528288</c:v>
                </c:pt>
                <c:pt idx="3">
                  <c:v>56819.286473475811</c:v>
                </c:pt>
                <c:pt idx="4">
                  <c:v>51204.959639786612</c:v>
                </c:pt>
                <c:pt idx="5">
                  <c:v>45478.741864225427</c:v>
                </c:pt>
                <c:pt idx="6">
                  <c:v>39640.473604826831</c:v>
                </c:pt>
                <c:pt idx="7">
                  <c:v>33697.63142038208</c:v>
                </c:pt>
                <c:pt idx="8">
                  <c:v>27683.349029712157</c:v>
                </c:pt>
                <c:pt idx="9">
                  <c:v>21694.552071825656</c:v>
                </c:pt>
                <c:pt idx="10">
                  <c:v>15940.736711655874</c:v>
                </c:pt>
                <c:pt idx="11">
                  <c:v>10756.248738095381</c:v>
                </c:pt>
                <c:pt idx="12">
                  <c:v>6515.9556641424924</c:v>
                </c:pt>
              </c:numCache>
            </c:numRef>
          </c:val>
        </c:ser>
        <c:ser>
          <c:idx val="1"/>
          <c:order val="1"/>
          <c:tx>
            <c:strRef>
              <c:f>'CR-Self contained'!$D$3</c:f>
              <c:strCache>
                <c:ptCount val="1"/>
                <c:pt idx="0">
                  <c:v>HCFC-123</c:v>
                </c:pt>
              </c:strCache>
            </c:strRef>
          </c:tx>
          <c:cat>
            <c:numRef>
              <c:f>'CR-Self contained'!$B$5:$B$17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'CR-Self contained'!$D$5:$D$17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2"/>
          <c:order val="2"/>
          <c:tx>
            <c:strRef>
              <c:f>'CR-Self contained'!$E$3</c:f>
              <c:strCache>
                <c:ptCount val="1"/>
                <c:pt idx="0">
                  <c:v>HFC-134a</c:v>
                </c:pt>
              </c:strCache>
            </c:strRef>
          </c:tx>
          <c:cat>
            <c:numRef>
              <c:f>'CR-Self contained'!$B$5:$B$17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'CR-Self contained'!$E$5:$E$17</c:f>
              <c:numCache>
                <c:formatCode>#,##0</c:formatCode>
                <c:ptCount val="13"/>
                <c:pt idx="0">
                  <c:v>338855.87570220331</c:v>
                </c:pt>
                <c:pt idx="1">
                  <c:v>352317.64975790534</c:v>
                </c:pt>
                <c:pt idx="2">
                  <c:v>363450.19290013018</c:v>
                </c:pt>
                <c:pt idx="3">
                  <c:v>372154.94794731331</c:v>
                </c:pt>
                <c:pt idx="4">
                  <c:v>378330.31048816221</c:v>
                </c:pt>
                <c:pt idx="5">
                  <c:v>381871.31357962632</c:v>
                </c:pt>
                <c:pt idx="6">
                  <c:v>382668.24254061701</c:v>
                </c:pt>
                <c:pt idx="7">
                  <c:v>380601.11993881065</c:v>
                </c:pt>
                <c:pt idx="8">
                  <c:v>374059.86358708428</c:v>
                </c:pt>
                <c:pt idx="9">
                  <c:v>362776.73743372335</c:v>
                </c:pt>
                <c:pt idx="10">
                  <c:v>346376.27514907822</c:v>
                </c:pt>
                <c:pt idx="11">
                  <c:v>324373.8089472233</c:v>
                </c:pt>
                <c:pt idx="12">
                  <c:v>296286.00819179683</c:v>
                </c:pt>
              </c:numCache>
            </c:numRef>
          </c:val>
        </c:ser>
        <c:ser>
          <c:idx val="3"/>
          <c:order val="3"/>
          <c:tx>
            <c:strRef>
              <c:f>'CR-Self contained'!$F$3</c:f>
              <c:strCache>
                <c:ptCount val="1"/>
                <c:pt idx="0">
                  <c:v>HFC-404A</c:v>
                </c:pt>
              </c:strCache>
            </c:strRef>
          </c:tx>
          <c:cat>
            <c:numRef>
              <c:f>'CR-Self contained'!$B$5:$B$17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'CR-Self contained'!$F$5:$F$17</c:f>
              <c:numCache>
                <c:formatCode>#,##0</c:formatCode>
                <c:ptCount val="13"/>
                <c:pt idx="0">
                  <c:v>483274.771839277</c:v>
                </c:pt>
                <c:pt idx="1">
                  <c:v>489387.28836102702</c:v>
                </c:pt>
                <c:pt idx="2">
                  <c:v>495363.67502015329</c:v>
                </c:pt>
                <c:pt idx="3">
                  <c:v>498019.14988485503</c:v>
                </c:pt>
                <c:pt idx="4">
                  <c:v>497228.18077359017</c:v>
                </c:pt>
                <c:pt idx="5">
                  <c:v>492873.27797119803</c:v>
                </c:pt>
                <c:pt idx="6">
                  <c:v>484851.43167866976</c:v>
                </c:pt>
                <c:pt idx="7">
                  <c:v>473076.65423404681</c:v>
                </c:pt>
                <c:pt idx="8">
                  <c:v>457414.66116714018</c:v>
                </c:pt>
                <c:pt idx="9">
                  <c:v>437781.08917269821</c:v>
                </c:pt>
                <c:pt idx="10">
                  <c:v>414069.34562367521</c:v>
                </c:pt>
                <c:pt idx="11">
                  <c:v>386153.58090200752</c:v>
                </c:pt>
                <c:pt idx="12">
                  <c:v>353923.74884998403</c:v>
                </c:pt>
              </c:numCache>
            </c:numRef>
          </c:val>
        </c:ser>
        <c:ser>
          <c:idx val="4"/>
          <c:order val="4"/>
          <c:tx>
            <c:strRef>
              <c:f>'CR-Self contained'!$G$3</c:f>
              <c:strCache>
                <c:ptCount val="1"/>
                <c:pt idx="0">
                  <c:v>HFC-410A</c:v>
                </c:pt>
              </c:strCache>
            </c:strRef>
          </c:tx>
          <c:cat>
            <c:numRef>
              <c:f>'CR-Self contained'!$B$5:$B$17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'CR-Self contained'!$G$5:$G$17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5"/>
          <c:order val="5"/>
          <c:tx>
            <c:strRef>
              <c:f>'CR-Self contained'!$H$3</c:f>
              <c:strCache>
                <c:ptCount val="1"/>
                <c:pt idx="0">
                  <c:v>HFC-407C</c:v>
                </c:pt>
              </c:strCache>
            </c:strRef>
          </c:tx>
          <c:cat>
            <c:numRef>
              <c:f>'CR-Self contained'!$B$5:$B$17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'CR-Self contained'!$H$5:$H$17</c:f>
              <c:numCache>
                <c:formatCode>#,##0</c:formatCode>
                <c:ptCount val="13"/>
                <c:pt idx="0">
                  <c:v>8394.4571113196271</c:v>
                </c:pt>
                <c:pt idx="1">
                  <c:v>7813.0771778787666</c:v>
                </c:pt>
                <c:pt idx="2">
                  <c:v>7220.0696279719004</c:v>
                </c:pt>
                <c:pt idx="3">
                  <c:v>6615.2020056230604</c:v>
                </c:pt>
                <c:pt idx="4">
                  <c:v>5998.2380428576389</c:v>
                </c:pt>
                <c:pt idx="5">
                  <c:v>5368.9448295360698</c:v>
                </c:pt>
                <c:pt idx="6">
                  <c:v>4727.1434638998744</c:v>
                </c:pt>
                <c:pt idx="7">
                  <c:v>4072.9770820919562</c:v>
                </c:pt>
                <c:pt idx="8">
                  <c:v>3407.9607047799418</c:v>
                </c:pt>
                <c:pt idx="9">
                  <c:v>2737.929646818804</c:v>
                </c:pt>
                <c:pt idx="10">
                  <c:v>2078.553485731275</c:v>
                </c:pt>
                <c:pt idx="11">
                  <c:v>1460.6502057353098</c:v>
                </c:pt>
                <c:pt idx="12">
                  <c:v>927.60636272438819</c:v>
                </c:pt>
              </c:numCache>
            </c:numRef>
          </c:val>
        </c:ser>
        <c:ser>
          <c:idx val="6"/>
          <c:order val="6"/>
          <c:tx>
            <c:strRef>
              <c:f>'CR-Self contained'!$I$3</c:f>
              <c:strCache>
                <c:ptCount val="1"/>
                <c:pt idx="0">
                  <c:v>HFC-32</c:v>
                </c:pt>
              </c:strCache>
            </c:strRef>
          </c:tx>
          <c:cat>
            <c:numRef>
              <c:f>'CR-Self contained'!$B$5:$B$17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'CR-Self contained'!$I$5:$I$17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7"/>
          <c:order val="7"/>
          <c:tx>
            <c:strRef>
              <c:f>'CR-Self contained'!$J$3</c:f>
              <c:strCache>
                <c:ptCount val="1"/>
                <c:pt idx="0">
                  <c:v>HFC-Mix</c:v>
                </c:pt>
              </c:strCache>
            </c:strRef>
          </c:tx>
          <c:cat>
            <c:numRef>
              <c:f>'CR-Self contained'!$B$5:$B$17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'CR-Self contained'!$J$5:$J$17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8"/>
          <c:order val="8"/>
          <c:tx>
            <c:strRef>
              <c:f>'CR-Self contained'!$K$3</c:f>
              <c:strCache>
                <c:ptCount val="1"/>
                <c:pt idx="0">
                  <c:v>GWP &lt;2150</c:v>
                </c:pt>
              </c:strCache>
            </c:strRef>
          </c:tx>
          <c:cat>
            <c:numRef>
              <c:f>'CR-Self contained'!$B$5:$B$17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'CR-Self contained'!$K$5:$K$17</c:f>
              <c:numCache>
                <c:formatCode>#,##0</c:formatCode>
                <c:ptCount val="13"/>
                <c:pt idx="0">
                  <c:v>0</c:v>
                </c:pt>
                <c:pt idx="1">
                  <c:v>0</c:v>
                </c:pt>
                <c:pt idx="2">
                  <c:v>0</c:v>
                </c:pt>
                <c:pt idx="3">
                  <c:v>1590.260726126045</c:v>
                </c:pt>
                <c:pt idx="4">
                  <c:v>4834.3926069192285</c:v>
                </c:pt>
                <c:pt idx="5">
                  <c:v>9797.914373821277</c:v>
                </c:pt>
                <c:pt idx="6">
                  <c:v>16548.30380003051</c:v>
                </c:pt>
                <c:pt idx="7">
                  <c:v>25155.04803513912</c:v>
                </c:pt>
                <c:pt idx="8">
                  <c:v>33933.903490858022</c:v>
                </c:pt>
                <c:pt idx="9">
                  <c:v>42888.146981783975</c:v>
                </c:pt>
                <c:pt idx="10">
                  <c:v>52020.282817103762</c:v>
                </c:pt>
                <c:pt idx="11">
                  <c:v>61329.105120480977</c:v>
                </c:pt>
                <c:pt idx="12">
                  <c:v>70800.44527840591</c:v>
                </c:pt>
              </c:numCache>
            </c:numRef>
          </c:val>
        </c:ser>
        <c:ser>
          <c:idx val="9"/>
          <c:order val="9"/>
          <c:tx>
            <c:strRef>
              <c:f>'CR-Self contained'!$L$3</c:f>
              <c:strCache>
                <c:ptCount val="1"/>
                <c:pt idx="0">
                  <c:v>GWP &lt;1000</c:v>
                </c:pt>
              </c:strCache>
            </c:strRef>
          </c:tx>
          <c:cat>
            <c:numRef>
              <c:f>'CR-Self contained'!$B$5:$B$17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'CR-Self contained'!$L$5:$L$17</c:f>
              <c:numCache>
                <c:formatCode>#,##0</c:formatCode>
                <c:ptCount val="13"/>
                <c:pt idx="0">
                  <c:v>0</c:v>
                </c:pt>
                <c:pt idx="1">
                  <c:v>0</c:v>
                </c:pt>
                <c:pt idx="2">
                  <c:v>0</c:v>
                </c:pt>
                <c:pt idx="3">
                  <c:v>1590.260726126045</c:v>
                </c:pt>
                <c:pt idx="4">
                  <c:v>4834.3926069192285</c:v>
                </c:pt>
                <c:pt idx="5">
                  <c:v>9797.914373821277</c:v>
                </c:pt>
                <c:pt idx="6">
                  <c:v>16548.30380003051</c:v>
                </c:pt>
                <c:pt idx="7">
                  <c:v>25155.04803513912</c:v>
                </c:pt>
                <c:pt idx="8">
                  <c:v>35689.679830656678</c:v>
                </c:pt>
                <c:pt idx="9">
                  <c:v>48225.707054215476</c:v>
                </c:pt>
                <c:pt idx="10">
                  <c:v>62837.97198863708</c:v>
                </c:pt>
                <c:pt idx="11">
                  <c:v>79599.769671615999</c:v>
                </c:pt>
                <c:pt idx="12">
                  <c:v>98573.650917576888</c:v>
                </c:pt>
              </c:numCache>
            </c:numRef>
          </c:val>
        </c:ser>
        <c:ser>
          <c:idx val="10"/>
          <c:order val="10"/>
          <c:tx>
            <c:strRef>
              <c:f>'CR-Self contained'!$M$3</c:f>
              <c:strCache>
                <c:ptCount val="1"/>
                <c:pt idx="0">
                  <c:v>GWP &lt;10</c:v>
                </c:pt>
              </c:strCache>
            </c:strRef>
          </c:tx>
          <c:cat>
            <c:numRef>
              <c:f>'CR-Self contained'!$B$5:$B$17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'CR-Self contained'!$M$5:$M$17</c:f>
              <c:numCache>
                <c:formatCode>#,##0</c:formatCode>
                <c:ptCount val="13"/>
                <c:pt idx="0">
                  <c:v>10549.30516687787</c:v>
                </c:pt>
                <c:pt idx="1">
                  <c:v>15012.67836620954</c:v>
                </c:pt>
                <c:pt idx="2">
                  <c:v>22346.317767035533</c:v>
                </c:pt>
                <c:pt idx="3">
                  <c:v>32659.715888482551</c:v>
                </c:pt>
                <c:pt idx="4">
                  <c:v>46059.686610536883</c:v>
                </c:pt>
                <c:pt idx="5">
                  <c:v>62644.662921593175</c:v>
                </c:pt>
                <c:pt idx="6">
                  <c:v>82498.235178608404</c:v>
                </c:pt>
                <c:pt idx="7">
                  <c:v>105685.90601691057</c:v>
                </c:pt>
                <c:pt idx="8">
                  <c:v>135449.76003222368</c:v>
                </c:pt>
                <c:pt idx="9">
                  <c:v>171965.78902570851</c:v>
                </c:pt>
                <c:pt idx="10">
                  <c:v>215416.95243068779</c:v>
                </c:pt>
                <c:pt idx="11">
                  <c:v>265980.25790130382</c:v>
                </c:pt>
                <c:pt idx="12">
                  <c:v>323787.59115796181</c:v>
                </c:pt>
              </c:numCache>
            </c:numRef>
          </c:val>
        </c:ser>
        <c:axId val="42588032"/>
        <c:axId val="42589568"/>
      </c:areaChart>
      <c:catAx>
        <c:axId val="42588032"/>
        <c:scaling>
          <c:orientation val="minMax"/>
        </c:scaling>
        <c:axPos val="b"/>
        <c:numFmt formatCode="General" sourceLinked="1"/>
        <c:tickLblPos val="nextTo"/>
        <c:txPr>
          <a:bodyPr/>
          <a:lstStyle/>
          <a:p>
            <a:pPr>
              <a:defRPr sz="800"/>
            </a:pPr>
            <a:endParaRPr lang="en-US"/>
          </a:p>
        </c:txPr>
        <c:crossAx val="42589568"/>
        <c:crosses val="autoZero"/>
        <c:auto val="1"/>
        <c:lblAlgn val="ctr"/>
        <c:lblOffset val="100"/>
      </c:catAx>
      <c:valAx>
        <c:axId val="42589568"/>
        <c:scaling>
          <c:orientation val="minMax"/>
        </c:scaling>
        <c:axPos val="l"/>
        <c:majorGridlines/>
        <c:numFmt formatCode="#,##0" sourceLinked="1"/>
        <c:tickLblPos val="nextTo"/>
        <c:txPr>
          <a:bodyPr/>
          <a:lstStyle/>
          <a:p>
            <a:pPr>
              <a:defRPr sz="800"/>
            </a:pPr>
            <a:endParaRPr lang="en-US"/>
          </a:p>
        </c:txPr>
        <c:crossAx val="42588032"/>
        <c:crosses val="autoZero"/>
        <c:crossBetween val="midCat"/>
        <c:dispUnits>
          <c:builtInUnit val="thousands"/>
        </c:dispUnits>
      </c:valAx>
    </c:plotArea>
    <c:legend>
      <c:legendPos val="r"/>
      <c:txPr>
        <a:bodyPr/>
        <a:lstStyle/>
        <a:p>
          <a:pPr>
            <a:defRPr sz="800"/>
          </a:pPr>
          <a:endParaRPr lang="en-US"/>
        </a:p>
      </c:txPr>
    </c:legend>
    <c:plotVisOnly val="1"/>
    <c:dispBlanksAs val="zero"/>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AU"/>
  <c:style val="18"/>
  <c:chart>
    <c:plotArea>
      <c:layout/>
      <c:areaChart>
        <c:grouping val="stacked"/>
        <c:ser>
          <c:idx val="0"/>
          <c:order val="0"/>
          <c:tx>
            <c:strRef>
              <c:f>'CR-Self contained'!$C$3</c:f>
              <c:strCache>
                <c:ptCount val="1"/>
                <c:pt idx="0">
                  <c:v>HCFC-22</c:v>
                </c:pt>
              </c:strCache>
            </c:strRef>
          </c:tx>
          <c:spPr>
            <a:solidFill>
              <a:srgbClr val="FF0000"/>
            </a:solidFill>
          </c:spPr>
          <c:cat>
            <c:numRef>
              <c:f>'CR-Self contained'!$B$82:$B$94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'CR-Self contained'!$C$82:$C$94</c:f>
              <c:numCache>
                <c:formatCode>#,##0</c:formatCode>
                <c:ptCount val="13"/>
                <c:pt idx="0">
                  <c:v>4380.6301793178554</c:v>
                </c:pt>
                <c:pt idx="1">
                  <c:v>4063.1967369919862</c:v>
                </c:pt>
                <c:pt idx="2">
                  <c:v>3739.414636351697</c:v>
                </c:pt>
                <c:pt idx="3">
                  <c:v>3409.1571884085502</c:v>
                </c:pt>
                <c:pt idx="4">
                  <c:v>3072.2975783871902</c:v>
                </c:pt>
                <c:pt idx="5">
                  <c:v>2728.724511853527</c:v>
                </c:pt>
                <c:pt idx="6">
                  <c:v>2378.4284162896101</c:v>
                </c:pt>
                <c:pt idx="7">
                  <c:v>2021.85788522293</c:v>
                </c:pt>
                <c:pt idx="8">
                  <c:v>1661.0009417827357</c:v>
                </c:pt>
                <c:pt idx="9">
                  <c:v>1301.6731243095339</c:v>
                </c:pt>
                <c:pt idx="10">
                  <c:v>956.44420269935142</c:v>
                </c:pt>
                <c:pt idx="11">
                  <c:v>645.37492428571784</c:v>
                </c:pt>
                <c:pt idx="12">
                  <c:v>390.95733984854735</c:v>
                </c:pt>
              </c:numCache>
            </c:numRef>
          </c:val>
        </c:ser>
        <c:ser>
          <c:idx val="1"/>
          <c:order val="1"/>
          <c:tx>
            <c:strRef>
              <c:f>'CR-Self contained'!$D$3</c:f>
              <c:strCache>
                <c:ptCount val="1"/>
                <c:pt idx="0">
                  <c:v>HCFC-123</c:v>
                </c:pt>
              </c:strCache>
            </c:strRef>
          </c:tx>
          <c:cat>
            <c:numRef>
              <c:f>'CR-Self contained'!$B$82:$B$94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'CR-Self contained'!$D$82:$D$94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2"/>
          <c:order val="2"/>
          <c:tx>
            <c:strRef>
              <c:f>'CR-Self contained'!$E$3</c:f>
              <c:strCache>
                <c:ptCount val="1"/>
                <c:pt idx="0">
                  <c:v>HFC-134a</c:v>
                </c:pt>
              </c:strCache>
            </c:strRef>
          </c:tx>
          <c:cat>
            <c:numRef>
              <c:f>'CR-Self contained'!$B$82:$B$94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'CR-Self contained'!$E$82:$E$94</c:f>
              <c:numCache>
                <c:formatCode>#,##0</c:formatCode>
                <c:ptCount val="13"/>
                <c:pt idx="0">
                  <c:v>38331.352542132212</c:v>
                </c:pt>
                <c:pt idx="1">
                  <c:v>38605.308985474607</c:v>
                </c:pt>
                <c:pt idx="2">
                  <c:v>38923.793998250178</c:v>
                </c:pt>
                <c:pt idx="3">
                  <c:v>37767.569858656963</c:v>
                </c:pt>
                <c:pt idx="4">
                  <c:v>36416.685864683575</c:v>
                </c:pt>
                <c:pt idx="5">
                  <c:v>34888.661913667012</c:v>
                </c:pt>
                <c:pt idx="6">
                  <c:v>33191.339060940882</c:v>
                </c:pt>
                <c:pt idx="7">
                  <c:v>31326.308873887418</c:v>
                </c:pt>
                <c:pt idx="8">
                  <c:v>29202.379117908215</c:v>
                </c:pt>
                <c:pt idx="9">
                  <c:v>26806.874587886003</c:v>
                </c:pt>
                <c:pt idx="10">
                  <c:v>24119.444845641508</c:v>
                </c:pt>
                <c:pt idx="11">
                  <c:v>21112.463399122782</c:v>
                </c:pt>
                <c:pt idx="12">
                  <c:v>17777.160491507861</c:v>
                </c:pt>
              </c:numCache>
            </c:numRef>
          </c:val>
        </c:ser>
        <c:ser>
          <c:idx val="3"/>
          <c:order val="3"/>
          <c:tx>
            <c:strRef>
              <c:f>'CR-Self contained'!$F$3</c:f>
              <c:strCache>
                <c:ptCount val="1"/>
                <c:pt idx="0">
                  <c:v>HFC-404A</c:v>
                </c:pt>
              </c:strCache>
            </c:strRef>
          </c:tx>
          <c:cat>
            <c:numRef>
              <c:f>'CR-Self contained'!$B$82:$B$94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'CR-Self contained'!$F$82:$F$94</c:f>
              <c:numCache>
                <c:formatCode>#,##0</c:formatCode>
                <c:ptCount val="13"/>
                <c:pt idx="0">
                  <c:v>42996.48631035677</c:v>
                </c:pt>
                <c:pt idx="1">
                  <c:v>43643.237301661226</c:v>
                </c:pt>
                <c:pt idx="2">
                  <c:v>41788.487167875857</c:v>
                </c:pt>
                <c:pt idx="3">
                  <c:v>40981.148993091323</c:v>
                </c:pt>
                <c:pt idx="4">
                  <c:v>39967.02417974874</c:v>
                </c:pt>
                <c:pt idx="5">
                  <c:v>38739.063344938557</c:v>
                </c:pt>
                <c:pt idx="6">
                  <c:v>37291.085900720085</c:v>
                </c:pt>
                <c:pt idx="7">
                  <c:v>35617.932587376374</c:v>
                </c:pt>
                <c:pt idx="8">
                  <c:v>33711.546336695203</c:v>
                </c:pt>
                <c:pt idx="9">
                  <c:v>31566.865350361881</c:v>
                </c:pt>
                <c:pt idx="10">
                  <c:v>29177.494070753874</c:v>
                </c:pt>
                <c:pt idx="11">
                  <c:v>26535.881520787116</c:v>
                </c:pt>
                <c:pt idx="12">
                  <c:v>23635.424930999059</c:v>
                </c:pt>
              </c:numCache>
            </c:numRef>
          </c:val>
        </c:ser>
        <c:ser>
          <c:idx val="4"/>
          <c:order val="4"/>
          <c:tx>
            <c:strRef>
              <c:f>'CR-Self contained'!$G$3</c:f>
              <c:strCache>
                <c:ptCount val="1"/>
                <c:pt idx="0">
                  <c:v>HFC-410A</c:v>
                </c:pt>
              </c:strCache>
            </c:strRef>
          </c:tx>
          <c:cat>
            <c:numRef>
              <c:f>'CR-Self contained'!$B$82:$B$94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'CR-Self contained'!$G$82:$G$94</c:f>
              <c:numCache>
                <c:formatCode>#,##0</c:formatCode>
                <c:ptCount val="13"/>
                <c:pt idx="0">
                  <c:v>500</c:v>
                </c:pt>
                <c:pt idx="1">
                  <c:v>510</c:v>
                </c:pt>
                <c:pt idx="2">
                  <c:v>463.63636363636402</c:v>
                </c:pt>
                <c:pt idx="3">
                  <c:v>417.27272727272725</c:v>
                </c:pt>
                <c:pt idx="4">
                  <c:v>370.90909090909065</c:v>
                </c:pt>
                <c:pt idx="5">
                  <c:v>324.5454545454545</c:v>
                </c:pt>
                <c:pt idx="6">
                  <c:v>278.1818181818183</c:v>
                </c:pt>
                <c:pt idx="7">
                  <c:v>231.81818181818181</c:v>
                </c:pt>
                <c:pt idx="8">
                  <c:v>185.45454545454538</c:v>
                </c:pt>
                <c:pt idx="9">
                  <c:v>139.09090909090921</c:v>
                </c:pt>
                <c:pt idx="10">
                  <c:v>92.727272727272705</c:v>
                </c:pt>
                <c:pt idx="11">
                  <c:v>46.36363636363609</c:v>
                </c:pt>
                <c:pt idx="12">
                  <c:v>0</c:v>
                </c:pt>
              </c:numCache>
            </c:numRef>
          </c:val>
        </c:ser>
        <c:ser>
          <c:idx val="5"/>
          <c:order val="5"/>
          <c:tx>
            <c:strRef>
              <c:f>'CR-Self contained'!$H$3</c:f>
              <c:strCache>
                <c:ptCount val="1"/>
                <c:pt idx="0">
                  <c:v>HFC-407C</c:v>
                </c:pt>
              </c:strCache>
            </c:strRef>
          </c:tx>
          <c:cat>
            <c:numRef>
              <c:f>'CR-Self contained'!$B$82:$B$94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'CR-Self contained'!$H$82:$H$94</c:f>
              <c:numCache>
                <c:formatCode>#,##0</c:formatCode>
                <c:ptCount val="13"/>
                <c:pt idx="0">
                  <c:v>1103.6674266791736</c:v>
                </c:pt>
                <c:pt idx="1">
                  <c:v>1080.7846306727258</c:v>
                </c:pt>
                <c:pt idx="2">
                  <c:v>800.40417767831354</c:v>
                </c:pt>
                <c:pt idx="3">
                  <c:v>617.23212033738344</c:v>
                </c:pt>
                <c:pt idx="4">
                  <c:v>492.08628257145841</c:v>
                </c:pt>
                <c:pt idx="5">
                  <c:v>401.45188977216395</c:v>
                </c:pt>
                <c:pt idx="6">
                  <c:v>331.217727833992</c:v>
                </c:pt>
                <c:pt idx="7">
                  <c:v>272.93209692551659</c:v>
                </c:pt>
                <c:pt idx="8">
                  <c:v>221.60972548679638</c:v>
                </c:pt>
                <c:pt idx="9">
                  <c:v>174.55502872912774</c:v>
                </c:pt>
                <c:pt idx="10">
                  <c:v>130.8807590958765</c:v>
                </c:pt>
                <c:pt idx="11">
                  <c:v>91.339542315318582</c:v>
                </c:pt>
                <c:pt idx="12">
                  <c:v>55.656381763462967</c:v>
                </c:pt>
              </c:numCache>
            </c:numRef>
          </c:val>
        </c:ser>
        <c:ser>
          <c:idx val="6"/>
          <c:order val="6"/>
          <c:tx>
            <c:strRef>
              <c:f>'CR-Self contained'!$I$3</c:f>
              <c:strCache>
                <c:ptCount val="1"/>
                <c:pt idx="0">
                  <c:v>HFC-32</c:v>
                </c:pt>
              </c:strCache>
            </c:strRef>
          </c:tx>
          <c:cat>
            <c:numRef>
              <c:f>'CR-Self contained'!$B$82:$B$94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'CR-Self contained'!$I$82:$I$94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7"/>
          <c:order val="7"/>
          <c:tx>
            <c:strRef>
              <c:f>'CR-Self contained'!$J$3</c:f>
              <c:strCache>
                <c:ptCount val="1"/>
                <c:pt idx="0">
                  <c:v>HFC-Mix</c:v>
                </c:pt>
              </c:strCache>
            </c:strRef>
          </c:tx>
          <c:cat>
            <c:numRef>
              <c:f>'CR-Self contained'!$B$82:$B$94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'CR-Self contained'!$J$82:$J$94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8"/>
          <c:order val="8"/>
          <c:tx>
            <c:strRef>
              <c:f>'CR-Self contained'!$K$3</c:f>
              <c:strCache>
                <c:ptCount val="1"/>
                <c:pt idx="0">
                  <c:v>GWP &lt;2150</c:v>
                </c:pt>
              </c:strCache>
            </c:strRef>
          </c:tx>
          <c:cat>
            <c:numRef>
              <c:f>'CR-Self contained'!$B$82:$B$94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'CR-Self contained'!$K$82:$K$94</c:f>
              <c:numCache>
                <c:formatCode>#,##0</c:formatCode>
                <c:ptCount val="13"/>
                <c:pt idx="0">
                  <c:v>0</c:v>
                </c:pt>
                <c:pt idx="1">
                  <c:v>0</c:v>
                </c:pt>
                <c:pt idx="2">
                  <c:v>439.72727272727087</c:v>
                </c:pt>
                <c:pt idx="3">
                  <c:v>974.87018902210821</c:v>
                </c:pt>
                <c:pt idx="4">
                  <c:v>1609.2453745969708</c:v>
                </c:pt>
                <c:pt idx="5">
                  <c:v>2346.7839533383712</c:v>
                </c:pt>
                <c:pt idx="6">
                  <c:v>3191.5345916381962</c:v>
                </c:pt>
                <c:pt idx="7">
                  <c:v>4147.666518472015</c:v>
                </c:pt>
                <c:pt idx="8">
                  <c:v>5114.1251185423944</c:v>
                </c:pt>
                <c:pt idx="9">
                  <c:v>6091.107000725222</c:v>
                </c:pt>
                <c:pt idx="10">
                  <c:v>7078.7624235717149</c:v>
                </c:pt>
                <c:pt idx="11">
                  <c:v>8077.0190345016199</c:v>
                </c:pt>
                <c:pt idx="12">
                  <c:v>9085.026716704353</c:v>
                </c:pt>
              </c:numCache>
            </c:numRef>
          </c:val>
        </c:ser>
        <c:ser>
          <c:idx val="9"/>
          <c:order val="9"/>
          <c:tx>
            <c:strRef>
              <c:f>'CR-Self contained'!$L$3</c:f>
              <c:strCache>
                <c:ptCount val="1"/>
                <c:pt idx="0">
                  <c:v>GWP &lt;1000</c:v>
                </c:pt>
              </c:strCache>
            </c:strRef>
          </c:tx>
          <c:cat>
            <c:numRef>
              <c:f>'CR-Self contained'!$B$82:$B$94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'CR-Self contained'!$L$82:$L$94</c:f>
              <c:numCache>
                <c:formatCode>#,##0</c:formatCode>
                <c:ptCount val="13"/>
                <c:pt idx="0">
                  <c:v>0</c:v>
                </c:pt>
                <c:pt idx="1">
                  <c:v>0</c:v>
                </c:pt>
                <c:pt idx="2">
                  <c:v>879.54545454545439</c:v>
                </c:pt>
                <c:pt idx="3">
                  <c:v>1854.5065526584731</c:v>
                </c:pt>
                <c:pt idx="4">
                  <c:v>2928.6999200515161</c:v>
                </c:pt>
                <c:pt idx="5">
                  <c:v>4106.056680611111</c:v>
                </c:pt>
                <c:pt idx="6">
                  <c:v>5390.6255007291202</c:v>
                </c:pt>
                <c:pt idx="7">
                  <c:v>6786.5756093810742</c:v>
                </c:pt>
                <c:pt idx="8">
                  <c:v>8298.1989716575517</c:v>
                </c:pt>
                <c:pt idx="9">
                  <c:v>9929.9060596165673</c:v>
                </c:pt>
                <c:pt idx="10">
                  <c:v>11686.18741022732</c:v>
                </c:pt>
                <c:pt idx="11">
                  <c:v>13571.44072575153</c:v>
                </c:pt>
                <c:pt idx="12">
                  <c:v>15589.41905505461</c:v>
                </c:pt>
              </c:numCache>
            </c:numRef>
          </c:val>
        </c:ser>
        <c:ser>
          <c:idx val="10"/>
          <c:order val="10"/>
          <c:tx>
            <c:strRef>
              <c:f>'CR-Self contained'!$M$3</c:f>
              <c:strCache>
                <c:ptCount val="1"/>
                <c:pt idx="0">
                  <c:v>GWP &lt;10</c:v>
                </c:pt>
              </c:strCache>
            </c:strRef>
          </c:tx>
          <c:cat>
            <c:numRef>
              <c:f>'CR-Self contained'!$B$82:$B$94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'CR-Self contained'!$M$82:$M$94</c:f>
              <c:numCache>
                <c:formatCode>#,##0</c:formatCode>
                <c:ptCount val="13"/>
                <c:pt idx="0">
                  <c:v>5632.9583100126665</c:v>
                </c:pt>
                <c:pt idx="1">
                  <c:v>6894.5107019725729</c:v>
                </c:pt>
                <c:pt idx="2">
                  <c:v>9646.4608842038888</c:v>
                </c:pt>
                <c:pt idx="3">
                  <c:v>12577.196589672589</c:v>
                </c:pt>
                <c:pt idx="4">
                  <c:v>15693.12665117767</c:v>
                </c:pt>
                <c:pt idx="5">
                  <c:v>19000.157048022866</c:v>
                </c:pt>
                <c:pt idx="6">
                  <c:v>22503.3032016256</c:v>
                </c:pt>
                <c:pt idx="7">
                  <c:v>26206.495270105497</c:v>
                </c:pt>
                <c:pt idx="8">
                  <c:v>30304.25832920615</c:v>
                </c:pt>
                <c:pt idx="9">
                  <c:v>34807.151886997053</c:v>
                </c:pt>
                <c:pt idx="10">
                  <c:v>39726.153509477641</c:v>
                </c:pt>
                <c:pt idx="11">
                  <c:v>45071.88365589657</c:v>
                </c:pt>
                <c:pt idx="12">
                  <c:v>50852.255469477706</c:v>
                </c:pt>
              </c:numCache>
            </c:numRef>
          </c:val>
        </c:ser>
        <c:axId val="42712448"/>
        <c:axId val="42808448"/>
      </c:areaChart>
      <c:catAx>
        <c:axId val="42712448"/>
        <c:scaling>
          <c:orientation val="minMax"/>
        </c:scaling>
        <c:axPos val="b"/>
        <c:numFmt formatCode="General" sourceLinked="1"/>
        <c:tickLblPos val="nextTo"/>
        <c:txPr>
          <a:bodyPr/>
          <a:lstStyle/>
          <a:p>
            <a:pPr>
              <a:defRPr sz="800"/>
            </a:pPr>
            <a:endParaRPr lang="en-US"/>
          </a:p>
        </c:txPr>
        <c:crossAx val="42808448"/>
        <c:crosses val="autoZero"/>
        <c:auto val="1"/>
        <c:lblAlgn val="ctr"/>
        <c:lblOffset val="100"/>
      </c:catAx>
      <c:valAx>
        <c:axId val="42808448"/>
        <c:scaling>
          <c:orientation val="minMax"/>
        </c:scaling>
        <c:axPos val="l"/>
        <c:majorGridlines/>
        <c:numFmt formatCode="#,##0" sourceLinked="1"/>
        <c:tickLblPos val="nextTo"/>
        <c:txPr>
          <a:bodyPr/>
          <a:lstStyle/>
          <a:p>
            <a:pPr>
              <a:defRPr sz="800"/>
            </a:pPr>
            <a:endParaRPr lang="en-US"/>
          </a:p>
        </c:txPr>
        <c:crossAx val="42712448"/>
        <c:crosses val="autoZero"/>
        <c:crossBetween val="midCat"/>
        <c:dispUnits>
          <c:builtInUnit val="thousands"/>
        </c:dispUnits>
      </c:valAx>
    </c:plotArea>
    <c:legend>
      <c:legendPos val="r"/>
      <c:txPr>
        <a:bodyPr/>
        <a:lstStyle/>
        <a:p>
          <a:pPr>
            <a:defRPr sz="800"/>
          </a:pPr>
          <a:endParaRPr lang="en-US"/>
        </a:p>
      </c:txPr>
    </c:legend>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AU"/>
  <c:style val="18"/>
  <c:chart>
    <c:autoTitleDeleted val="1"/>
    <c:plotArea>
      <c:layout/>
      <c:lineChart>
        <c:grouping val="standard"/>
        <c:ser>
          <c:idx val="0"/>
          <c:order val="0"/>
          <c:tx>
            <c:strRef>
              <c:f>'NA Proposal'!$D$43</c:f>
              <c:strCache>
                <c:ptCount val="1"/>
                <c:pt idx="0">
                  <c:v>Cumulative</c:v>
                </c:pt>
              </c:strCache>
            </c:strRef>
          </c:tx>
          <c:marker>
            <c:symbol val="none"/>
          </c:marker>
          <c:dPt>
            <c:idx val="7"/>
            <c:marker>
              <c:symbol val="square"/>
              <c:size val="5"/>
            </c:marker>
          </c:dPt>
          <c:dPt>
            <c:idx val="17"/>
            <c:marker>
              <c:symbol val="square"/>
              <c:size val="5"/>
            </c:marker>
          </c:dPt>
          <c:dPt>
            <c:idx val="37"/>
            <c:marker>
              <c:symbol val="square"/>
              <c:size val="5"/>
            </c:marker>
          </c:dPt>
          <c:dLbls>
            <c:dLbl>
              <c:idx val="7"/>
              <c:layout>
                <c:manualLayout>
                  <c:x val="-2.7812113720642812E-2"/>
                  <c:y val="-5.5555920093321734E-2"/>
                </c:manualLayout>
              </c:layout>
              <c:showVal val="1"/>
            </c:dLbl>
            <c:dLbl>
              <c:idx val="17"/>
              <c:layout>
                <c:manualLayout>
                  <c:x val="-4.0173053152039506E-2"/>
                  <c:y val="-8.3333333333333343E-2"/>
                </c:manualLayout>
              </c:layout>
              <c:showVal val="1"/>
            </c:dLbl>
            <c:dLbl>
              <c:idx val="37"/>
              <c:layout>
                <c:manualLayout>
                  <c:x val="-4.6353522867739133E-3"/>
                  <c:y val="-5.5555555555555365E-2"/>
                </c:manualLayout>
              </c:layout>
              <c:showVal val="1"/>
            </c:dLbl>
            <c:delete val="1"/>
          </c:dLbls>
          <c:cat>
            <c:numRef>
              <c:f>'NA Proposal'!$C$44:$C$81</c:f>
              <c:numCache>
                <c:formatCode>General</c:formatCode>
                <c:ptCount val="38"/>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pt idx="17">
                  <c:v>2030</c:v>
                </c:pt>
                <c:pt idx="18">
                  <c:v>2031</c:v>
                </c:pt>
                <c:pt idx="19">
                  <c:v>2032</c:v>
                </c:pt>
                <c:pt idx="20">
                  <c:v>2033</c:v>
                </c:pt>
                <c:pt idx="21">
                  <c:v>2034</c:v>
                </c:pt>
                <c:pt idx="22">
                  <c:v>2035</c:v>
                </c:pt>
                <c:pt idx="23">
                  <c:v>2036</c:v>
                </c:pt>
                <c:pt idx="24">
                  <c:v>2037</c:v>
                </c:pt>
                <c:pt idx="25">
                  <c:v>2038</c:v>
                </c:pt>
                <c:pt idx="26">
                  <c:v>2039</c:v>
                </c:pt>
                <c:pt idx="27">
                  <c:v>2040</c:v>
                </c:pt>
                <c:pt idx="28">
                  <c:v>2041</c:v>
                </c:pt>
                <c:pt idx="29">
                  <c:v>2042</c:v>
                </c:pt>
                <c:pt idx="30">
                  <c:v>2043</c:v>
                </c:pt>
                <c:pt idx="31">
                  <c:v>2044</c:v>
                </c:pt>
                <c:pt idx="32">
                  <c:v>2045</c:v>
                </c:pt>
                <c:pt idx="33">
                  <c:v>2046</c:v>
                </c:pt>
                <c:pt idx="34">
                  <c:v>2047</c:v>
                </c:pt>
                <c:pt idx="35">
                  <c:v>2048</c:v>
                </c:pt>
                <c:pt idx="36">
                  <c:v>2049</c:v>
                </c:pt>
                <c:pt idx="37">
                  <c:v>2050</c:v>
                </c:pt>
              </c:numCache>
            </c:numRef>
          </c:cat>
          <c:val>
            <c:numRef>
              <c:f>'NA Proposal'!$D$44:$D$81</c:f>
              <c:numCache>
                <c:formatCode>0%</c:formatCode>
                <c:ptCount val="38"/>
                <c:pt idx="0">
                  <c:v>0</c:v>
                </c:pt>
                <c:pt idx="1">
                  <c:v>0</c:v>
                </c:pt>
                <c:pt idx="2">
                  <c:v>0</c:v>
                </c:pt>
                <c:pt idx="3">
                  <c:v>0.1</c:v>
                </c:pt>
                <c:pt idx="4">
                  <c:v>0.2</c:v>
                </c:pt>
                <c:pt idx="5">
                  <c:v>0.30000000000000032</c:v>
                </c:pt>
                <c:pt idx="6">
                  <c:v>0.4</c:v>
                </c:pt>
                <c:pt idx="7">
                  <c:v>0.5</c:v>
                </c:pt>
                <c:pt idx="8">
                  <c:v>0.60000000000000364</c:v>
                </c:pt>
                <c:pt idx="9">
                  <c:v>0.70000000000000362</c:v>
                </c:pt>
                <c:pt idx="10">
                  <c:v>1.05</c:v>
                </c:pt>
                <c:pt idx="11">
                  <c:v>1.4</c:v>
                </c:pt>
                <c:pt idx="12">
                  <c:v>1.75</c:v>
                </c:pt>
                <c:pt idx="13">
                  <c:v>2.1</c:v>
                </c:pt>
                <c:pt idx="14">
                  <c:v>2.4499999999999997</c:v>
                </c:pt>
                <c:pt idx="15">
                  <c:v>2.8</c:v>
                </c:pt>
                <c:pt idx="16">
                  <c:v>3.5</c:v>
                </c:pt>
                <c:pt idx="17">
                  <c:v>4.2</c:v>
                </c:pt>
                <c:pt idx="18">
                  <c:v>4.9000000000000004</c:v>
                </c:pt>
                <c:pt idx="19">
                  <c:v>5.6</c:v>
                </c:pt>
                <c:pt idx="20">
                  <c:v>6.45</c:v>
                </c:pt>
                <c:pt idx="21">
                  <c:v>7.3</c:v>
                </c:pt>
                <c:pt idx="22">
                  <c:v>8.15</c:v>
                </c:pt>
                <c:pt idx="23">
                  <c:v>9</c:v>
                </c:pt>
                <c:pt idx="24">
                  <c:v>9.8500000000000068</c:v>
                </c:pt>
                <c:pt idx="25">
                  <c:v>10.7</c:v>
                </c:pt>
                <c:pt idx="26">
                  <c:v>11.55</c:v>
                </c:pt>
                <c:pt idx="27">
                  <c:v>12.4</c:v>
                </c:pt>
                <c:pt idx="28">
                  <c:v>13.25</c:v>
                </c:pt>
                <c:pt idx="29">
                  <c:v>14.1</c:v>
                </c:pt>
                <c:pt idx="30">
                  <c:v>14.950000000000022</c:v>
                </c:pt>
                <c:pt idx="31">
                  <c:v>15.8</c:v>
                </c:pt>
                <c:pt idx="32">
                  <c:v>16.650000000000031</c:v>
                </c:pt>
                <c:pt idx="33">
                  <c:v>17.5</c:v>
                </c:pt>
                <c:pt idx="34">
                  <c:v>18.350000000000001</c:v>
                </c:pt>
                <c:pt idx="35">
                  <c:v>19.2</c:v>
                </c:pt>
                <c:pt idx="36">
                  <c:v>20.05</c:v>
                </c:pt>
                <c:pt idx="37">
                  <c:v>20.900000000000009</c:v>
                </c:pt>
              </c:numCache>
            </c:numRef>
          </c:val>
        </c:ser>
        <c:marker val="1"/>
        <c:axId val="32890240"/>
        <c:axId val="40375424"/>
      </c:lineChart>
      <c:catAx>
        <c:axId val="32890240"/>
        <c:scaling>
          <c:orientation val="minMax"/>
        </c:scaling>
        <c:axPos val="b"/>
        <c:numFmt formatCode="General" sourceLinked="1"/>
        <c:tickLblPos val="nextTo"/>
        <c:txPr>
          <a:bodyPr/>
          <a:lstStyle/>
          <a:p>
            <a:pPr>
              <a:defRPr sz="800"/>
            </a:pPr>
            <a:endParaRPr lang="en-US"/>
          </a:p>
        </c:txPr>
        <c:crossAx val="40375424"/>
        <c:crosses val="autoZero"/>
        <c:auto val="1"/>
        <c:lblAlgn val="ctr"/>
        <c:lblOffset val="100"/>
        <c:tickLblSkip val="7"/>
      </c:catAx>
      <c:valAx>
        <c:axId val="40375424"/>
        <c:scaling>
          <c:orientation val="minMax"/>
        </c:scaling>
        <c:axPos val="l"/>
        <c:majorGridlines/>
        <c:title>
          <c:tx>
            <c:rich>
              <a:bodyPr rot="-5400000" vert="horz"/>
              <a:lstStyle/>
              <a:p>
                <a:pPr>
                  <a:defRPr sz="800"/>
                </a:pPr>
                <a:r>
                  <a:rPr lang="en-US" sz="800"/>
                  <a:t>Cumulative</a:t>
                </a:r>
                <a:r>
                  <a:rPr lang="en-US" sz="800" baseline="0"/>
                  <a:t> </a:t>
                </a:r>
                <a:r>
                  <a:rPr lang="en-US" sz="800"/>
                  <a:t> Emission Reducrtion (%)</a:t>
                </a:r>
              </a:p>
            </c:rich>
          </c:tx>
        </c:title>
        <c:numFmt formatCode="0%" sourceLinked="1"/>
        <c:tickLblPos val="nextTo"/>
        <c:txPr>
          <a:bodyPr/>
          <a:lstStyle/>
          <a:p>
            <a:pPr>
              <a:defRPr sz="800"/>
            </a:pPr>
            <a:endParaRPr lang="en-US"/>
          </a:p>
        </c:txPr>
        <c:crossAx val="32890240"/>
        <c:crosses val="autoZero"/>
        <c:crossBetween val="between"/>
      </c:valAx>
    </c:plotArea>
    <c:plotVisOnly val="1"/>
    <c:dispBlanksAs val="gap"/>
  </c:chart>
  <c:spPr>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AU"/>
  <c:style val="18"/>
  <c:chart>
    <c:plotArea>
      <c:layout/>
      <c:areaChart>
        <c:grouping val="stacked"/>
        <c:ser>
          <c:idx val="0"/>
          <c:order val="0"/>
          <c:tx>
            <c:strRef>
              <c:f>'CR-Remote'!$C$3</c:f>
              <c:strCache>
                <c:ptCount val="1"/>
                <c:pt idx="0">
                  <c:v>HCFC-22</c:v>
                </c:pt>
              </c:strCache>
            </c:strRef>
          </c:tx>
          <c:spPr>
            <a:solidFill>
              <a:srgbClr val="FF0000"/>
            </a:solidFill>
          </c:spPr>
          <c:cat>
            <c:numRef>
              <c:f>'CR-Remote'!$B$5:$B$17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'CR-Remote'!$C$5:$C$17</c:f>
              <c:numCache>
                <c:formatCode>#,##0</c:formatCode>
                <c:ptCount val="13"/>
                <c:pt idx="0">
                  <c:v>536472.54848791612</c:v>
                </c:pt>
                <c:pt idx="1">
                  <c:v>498116.16035274183</c:v>
                </c:pt>
                <c:pt idx="2">
                  <c:v>458992.64412317099</c:v>
                </c:pt>
                <c:pt idx="3">
                  <c:v>419086.68248745031</c:v>
                </c:pt>
                <c:pt idx="4">
                  <c:v>378382.86381117022</c:v>
                </c:pt>
                <c:pt idx="5">
                  <c:v>336867.12561961228</c:v>
                </c:pt>
                <c:pt idx="6">
                  <c:v>294535.03389124642</c:v>
                </c:pt>
                <c:pt idx="7">
                  <c:v>251427.509760613</c:v>
                </c:pt>
                <c:pt idx="8">
                  <c:v>207744.456785157</c:v>
                </c:pt>
                <c:pt idx="9">
                  <c:v>164099.55483274293</c:v>
                </c:pt>
                <c:pt idx="10">
                  <c:v>121877.81812272382</c:v>
                </c:pt>
                <c:pt idx="11">
                  <c:v>83394.650298935201</c:v>
                </c:pt>
                <c:pt idx="12">
                  <c:v>51401.403212987141</c:v>
                </c:pt>
              </c:numCache>
            </c:numRef>
          </c:val>
        </c:ser>
        <c:ser>
          <c:idx val="1"/>
          <c:order val="1"/>
          <c:tx>
            <c:strRef>
              <c:f>'CR-Remote'!$D$3</c:f>
              <c:strCache>
                <c:ptCount val="1"/>
                <c:pt idx="0">
                  <c:v>HCFC-123</c:v>
                </c:pt>
              </c:strCache>
            </c:strRef>
          </c:tx>
          <c:cat>
            <c:numRef>
              <c:f>'CR-Remote'!$B$5:$B$17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'CR-Remote'!$D$5:$D$17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2"/>
          <c:order val="2"/>
          <c:tx>
            <c:strRef>
              <c:f>'CR-Remote'!$E$3</c:f>
              <c:strCache>
                <c:ptCount val="1"/>
                <c:pt idx="0">
                  <c:v>HFC-134a</c:v>
                </c:pt>
              </c:strCache>
            </c:strRef>
          </c:tx>
          <c:cat>
            <c:numRef>
              <c:f>'CR-Remote'!$B$5:$B$17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'CR-Remote'!$E$5:$E$17</c:f>
              <c:numCache>
                <c:formatCode>#,##0</c:formatCode>
                <c:ptCount val="13"/>
                <c:pt idx="0">
                  <c:v>492562.69219078985</c:v>
                </c:pt>
                <c:pt idx="1">
                  <c:v>568757.59323673241</c:v>
                </c:pt>
                <c:pt idx="2">
                  <c:v>640029.57000770513</c:v>
                </c:pt>
                <c:pt idx="3">
                  <c:v>706151.19161080709</c:v>
                </c:pt>
                <c:pt idx="4">
                  <c:v>766887.55823188904</c:v>
                </c:pt>
                <c:pt idx="5">
                  <c:v>821993.85123119305</c:v>
                </c:pt>
                <c:pt idx="6">
                  <c:v>871202.5179549735</c:v>
                </c:pt>
                <c:pt idx="7">
                  <c:v>914170.26829276409</c:v>
                </c:pt>
                <c:pt idx="8">
                  <c:v>945960.35338033945</c:v>
                </c:pt>
                <c:pt idx="9">
                  <c:v>965237.89267431304</c:v>
                </c:pt>
                <c:pt idx="10">
                  <c:v>969647.09332363843</c:v>
                </c:pt>
                <c:pt idx="11">
                  <c:v>955712.33677156281</c:v>
                </c:pt>
                <c:pt idx="12">
                  <c:v>919622.7631938688</c:v>
                </c:pt>
              </c:numCache>
            </c:numRef>
          </c:val>
        </c:ser>
        <c:ser>
          <c:idx val="3"/>
          <c:order val="3"/>
          <c:tx>
            <c:strRef>
              <c:f>'CR-Remote'!$F$3</c:f>
              <c:strCache>
                <c:ptCount val="1"/>
                <c:pt idx="0">
                  <c:v>HFC-404A</c:v>
                </c:pt>
              </c:strCache>
            </c:strRef>
          </c:tx>
          <c:cat>
            <c:numRef>
              <c:f>'CR-Remote'!$B$5:$B$17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'CR-Remote'!$F$5:$F$17</c:f>
              <c:numCache>
                <c:formatCode>#,##0</c:formatCode>
                <c:ptCount val="13"/>
                <c:pt idx="0">
                  <c:v>1960741.9141853496</c:v>
                </c:pt>
                <c:pt idx="1">
                  <c:v>1980111.0424368815</c:v>
                </c:pt>
                <c:pt idx="2">
                  <c:v>1998889.9912714702</c:v>
                </c:pt>
                <c:pt idx="3">
                  <c:v>2006526.7170894803</c:v>
                </c:pt>
                <c:pt idx="4">
                  <c:v>2002570.5035714314</c:v>
                </c:pt>
                <c:pt idx="5">
                  <c:v>1986564.1794097114</c:v>
                </c:pt>
                <c:pt idx="6">
                  <c:v>1958057.4180558699</c:v>
                </c:pt>
                <c:pt idx="7">
                  <c:v>1911379.06574043</c:v>
                </c:pt>
                <c:pt idx="8">
                  <c:v>1847805.7139371601</c:v>
                </c:pt>
                <c:pt idx="9">
                  <c:v>1767019.7911994809</c:v>
                </c:pt>
                <c:pt idx="10">
                  <c:v>1668906.3526340609</c:v>
                </c:pt>
                <c:pt idx="11">
                  <c:v>1553516.5004566999</c:v>
                </c:pt>
                <c:pt idx="12">
                  <c:v>1420935.0808963601</c:v>
                </c:pt>
              </c:numCache>
            </c:numRef>
          </c:val>
        </c:ser>
        <c:ser>
          <c:idx val="4"/>
          <c:order val="4"/>
          <c:tx>
            <c:strRef>
              <c:f>'CR-Remote'!$G$3</c:f>
              <c:strCache>
                <c:ptCount val="1"/>
                <c:pt idx="0">
                  <c:v>HFC-410A</c:v>
                </c:pt>
              </c:strCache>
            </c:strRef>
          </c:tx>
          <c:cat>
            <c:numRef>
              <c:f>'CR-Remote'!$B$5:$B$17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'CR-Remote'!$G$5:$G$17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5"/>
          <c:order val="5"/>
          <c:tx>
            <c:strRef>
              <c:f>'CR-Remote'!$H$3</c:f>
              <c:strCache>
                <c:ptCount val="1"/>
                <c:pt idx="0">
                  <c:v>HFC-407C</c:v>
                </c:pt>
              </c:strCache>
            </c:strRef>
          </c:tx>
          <c:cat>
            <c:numRef>
              <c:f>'CR-Remote'!$B$5:$B$17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'CR-Remote'!$H$5:$H$17</c:f>
              <c:numCache>
                <c:formatCode>#,##0</c:formatCode>
                <c:ptCount val="13"/>
                <c:pt idx="0">
                  <c:v>50469.522304630031</c:v>
                </c:pt>
                <c:pt idx="1">
                  <c:v>47017.447362970677</c:v>
                </c:pt>
                <c:pt idx="2">
                  <c:v>43496.330742912025</c:v>
                </c:pt>
                <c:pt idx="3">
                  <c:v>39904.792103812004</c:v>
                </c:pt>
                <c:pt idx="4">
                  <c:v>36241.426958827731</c:v>
                </c:pt>
                <c:pt idx="5">
                  <c:v>32504.838297727001</c:v>
                </c:pt>
                <c:pt idx="6">
                  <c:v>28693.869200079014</c:v>
                </c:pt>
                <c:pt idx="7">
                  <c:v>24808.88563835212</c:v>
                </c:pt>
                <c:pt idx="8">
                  <c:v>20857.02744092936</c:v>
                </c:pt>
                <c:pt idx="9">
                  <c:v>16867.714276006733</c:v>
                </c:pt>
                <c:pt idx="10">
                  <c:v>12923.609705764709</c:v>
                </c:pt>
                <c:pt idx="11">
                  <c:v>9194.6855074520881</c:v>
                </c:pt>
                <c:pt idx="12">
                  <c:v>5932.6785772832936</c:v>
                </c:pt>
              </c:numCache>
            </c:numRef>
          </c:val>
        </c:ser>
        <c:ser>
          <c:idx val="6"/>
          <c:order val="6"/>
          <c:tx>
            <c:strRef>
              <c:f>'CR-Remote'!$I$3</c:f>
              <c:strCache>
                <c:ptCount val="1"/>
                <c:pt idx="0">
                  <c:v>HFC-32</c:v>
                </c:pt>
              </c:strCache>
            </c:strRef>
          </c:tx>
          <c:cat>
            <c:numRef>
              <c:f>'CR-Remote'!$B$5:$B$17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'CR-Remote'!$I$5:$I$17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7"/>
          <c:order val="7"/>
          <c:tx>
            <c:strRef>
              <c:f>'CR-Remote'!$J$3</c:f>
              <c:strCache>
                <c:ptCount val="1"/>
                <c:pt idx="0">
                  <c:v>HFC-Mix</c:v>
                </c:pt>
              </c:strCache>
            </c:strRef>
          </c:tx>
          <c:cat>
            <c:numRef>
              <c:f>'CR-Remote'!$B$5:$B$17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'CR-Remote'!$J$5:$J$17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8"/>
          <c:order val="8"/>
          <c:tx>
            <c:strRef>
              <c:f>'CR-Remote'!$K$3</c:f>
              <c:strCache>
                <c:ptCount val="1"/>
                <c:pt idx="0">
                  <c:v>GWP &lt;2150</c:v>
                </c:pt>
              </c:strCache>
            </c:strRef>
          </c:tx>
          <c:cat>
            <c:numRef>
              <c:f>'CR-Remote'!$B$5:$B$17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'CR-Remote'!$K$5:$K$17</c:f>
              <c:numCache>
                <c:formatCode>#,##0</c:formatCode>
                <c:ptCount val="13"/>
                <c:pt idx="0">
                  <c:v>0</c:v>
                </c:pt>
                <c:pt idx="1">
                  <c:v>0</c:v>
                </c:pt>
                <c:pt idx="2">
                  <c:v>0</c:v>
                </c:pt>
                <c:pt idx="3">
                  <c:v>5260.6033182321871</c:v>
                </c:pt>
                <c:pt idx="4">
                  <c:v>15992.234086362918</c:v>
                </c:pt>
                <c:pt idx="5">
                  <c:v>32411.62913822343</c:v>
                </c:pt>
                <c:pt idx="6">
                  <c:v>54742.006009441124</c:v>
                </c:pt>
                <c:pt idx="7">
                  <c:v>83213.231182939227</c:v>
                </c:pt>
                <c:pt idx="8">
                  <c:v>120966.02037862039</c:v>
                </c:pt>
                <c:pt idx="9">
                  <c:v>168359.83339861501</c:v>
                </c:pt>
                <c:pt idx="10">
                  <c:v>225762.61020484671</c:v>
                </c:pt>
                <c:pt idx="11">
                  <c:v>293542.98759599199</c:v>
                </c:pt>
                <c:pt idx="12">
                  <c:v>372044.07530747604</c:v>
                </c:pt>
              </c:numCache>
            </c:numRef>
          </c:val>
        </c:ser>
        <c:ser>
          <c:idx val="9"/>
          <c:order val="9"/>
          <c:tx>
            <c:strRef>
              <c:f>'CR-Remote'!$L$3</c:f>
              <c:strCache>
                <c:ptCount val="1"/>
                <c:pt idx="0">
                  <c:v>GWP &lt;1000</c:v>
                </c:pt>
              </c:strCache>
            </c:strRef>
          </c:tx>
          <c:cat>
            <c:numRef>
              <c:f>'CR-Remote'!$B$5:$B$17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'CR-Remote'!$L$5:$L$17</c:f>
              <c:numCache>
                <c:formatCode>#,##0</c:formatCode>
                <c:ptCount val="13"/>
                <c:pt idx="0">
                  <c:v>0</c:v>
                </c:pt>
                <c:pt idx="1">
                  <c:v>0</c:v>
                </c:pt>
                <c:pt idx="2">
                  <c:v>0</c:v>
                </c:pt>
                <c:pt idx="3">
                  <c:v>5260.6033182321871</c:v>
                </c:pt>
                <c:pt idx="4">
                  <c:v>15992.234086362918</c:v>
                </c:pt>
                <c:pt idx="5">
                  <c:v>32411.62913822343</c:v>
                </c:pt>
                <c:pt idx="6">
                  <c:v>54742.006009441124</c:v>
                </c:pt>
                <c:pt idx="7">
                  <c:v>83213.231182939227</c:v>
                </c:pt>
                <c:pt idx="8">
                  <c:v>118061.9548101652</c:v>
                </c:pt>
                <c:pt idx="9">
                  <c:v>159531.47407109808</c:v>
                </c:pt>
                <c:pt idx="10">
                  <c:v>207870.08143887066</c:v>
                </c:pt>
                <c:pt idx="11">
                  <c:v>263323.18861415057</c:v>
                </c:pt>
                <c:pt idx="12">
                  <c:v>326107.00974681164</c:v>
                </c:pt>
              </c:numCache>
            </c:numRef>
          </c:val>
        </c:ser>
        <c:ser>
          <c:idx val="10"/>
          <c:order val="10"/>
          <c:tx>
            <c:strRef>
              <c:f>'CR-Remote'!$M$3</c:f>
              <c:strCache>
                <c:ptCount val="1"/>
                <c:pt idx="0">
                  <c:v>GWP &lt;10</c:v>
                </c:pt>
              </c:strCache>
            </c:strRef>
          </c:tx>
          <c:cat>
            <c:numRef>
              <c:f>'CR-Remote'!$B$5:$B$17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'CR-Remote'!$M$5:$M$17</c:f>
              <c:numCache>
                <c:formatCode>#,##0</c:formatCode>
                <c:ptCount val="13"/>
                <c:pt idx="0">
                  <c:v>11474.87308667481</c:v>
                </c:pt>
                <c:pt idx="1">
                  <c:v>18753.749610723051</c:v>
                </c:pt>
                <c:pt idx="2">
                  <c:v>33602.577402499941</c:v>
                </c:pt>
                <c:pt idx="3">
                  <c:v>56320.74592227918</c:v>
                </c:pt>
                <c:pt idx="4">
                  <c:v>87214.741822386772</c:v>
                </c:pt>
                <c:pt idx="5">
                  <c:v>126593.94098514537</c:v>
                </c:pt>
                <c:pt idx="6">
                  <c:v>174761.2865751808</c:v>
                </c:pt>
                <c:pt idx="7">
                  <c:v>237256.62865211751</c:v>
                </c:pt>
                <c:pt idx="8">
                  <c:v>314182.67012677999</c:v>
                </c:pt>
                <c:pt idx="9">
                  <c:v>405973.50034408103</c:v>
                </c:pt>
                <c:pt idx="10">
                  <c:v>513043.99058236205</c:v>
                </c:pt>
                <c:pt idx="11">
                  <c:v>635747.83788772451</c:v>
                </c:pt>
                <c:pt idx="12">
                  <c:v>774277.8199403719</c:v>
                </c:pt>
              </c:numCache>
            </c:numRef>
          </c:val>
        </c:ser>
        <c:axId val="42878080"/>
        <c:axId val="42879616"/>
      </c:areaChart>
      <c:catAx>
        <c:axId val="42878080"/>
        <c:scaling>
          <c:orientation val="minMax"/>
        </c:scaling>
        <c:axPos val="b"/>
        <c:numFmt formatCode="General" sourceLinked="1"/>
        <c:tickLblPos val="nextTo"/>
        <c:txPr>
          <a:bodyPr/>
          <a:lstStyle/>
          <a:p>
            <a:pPr>
              <a:defRPr sz="800"/>
            </a:pPr>
            <a:endParaRPr lang="en-US"/>
          </a:p>
        </c:txPr>
        <c:crossAx val="42879616"/>
        <c:crosses val="autoZero"/>
        <c:auto val="1"/>
        <c:lblAlgn val="ctr"/>
        <c:lblOffset val="100"/>
      </c:catAx>
      <c:valAx>
        <c:axId val="42879616"/>
        <c:scaling>
          <c:orientation val="minMax"/>
        </c:scaling>
        <c:axPos val="l"/>
        <c:majorGridlines/>
        <c:numFmt formatCode="#,##0" sourceLinked="1"/>
        <c:tickLblPos val="nextTo"/>
        <c:txPr>
          <a:bodyPr/>
          <a:lstStyle/>
          <a:p>
            <a:pPr>
              <a:defRPr sz="800"/>
            </a:pPr>
            <a:endParaRPr lang="en-US"/>
          </a:p>
        </c:txPr>
        <c:crossAx val="42878080"/>
        <c:crosses val="autoZero"/>
        <c:crossBetween val="midCat"/>
        <c:dispUnits>
          <c:builtInUnit val="thousands"/>
        </c:dispUnits>
      </c:valAx>
    </c:plotArea>
    <c:legend>
      <c:legendPos val="r"/>
      <c:txPr>
        <a:bodyPr/>
        <a:lstStyle/>
        <a:p>
          <a:pPr>
            <a:defRPr sz="800"/>
          </a:pPr>
          <a:endParaRPr lang="en-US"/>
        </a:p>
      </c:txPr>
    </c:legend>
    <c:plotVisOnly val="1"/>
    <c:dispBlanksAs val="zero"/>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AU"/>
  <c:style val="18"/>
  <c:chart>
    <c:plotArea>
      <c:layout/>
      <c:areaChart>
        <c:grouping val="stacked"/>
        <c:ser>
          <c:idx val="0"/>
          <c:order val="0"/>
          <c:tx>
            <c:strRef>
              <c:f>'CR-Remote'!$C$3</c:f>
              <c:strCache>
                <c:ptCount val="1"/>
                <c:pt idx="0">
                  <c:v>HCFC-22</c:v>
                </c:pt>
              </c:strCache>
            </c:strRef>
          </c:tx>
          <c:spPr>
            <a:solidFill>
              <a:srgbClr val="FF0000"/>
            </a:solidFill>
          </c:spPr>
          <c:cat>
            <c:numRef>
              <c:f>'CR-Remote'!$B$82:$B$94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'CR-Remote'!$C$82:$C$94</c:f>
              <c:numCache>
                <c:formatCode>#,##0</c:formatCode>
                <c:ptCount val="13"/>
                <c:pt idx="0">
                  <c:v>80470.882273186377</c:v>
                </c:pt>
                <c:pt idx="1">
                  <c:v>74717.424052911403</c:v>
                </c:pt>
                <c:pt idx="2">
                  <c:v>68848.896618475643</c:v>
                </c:pt>
                <c:pt idx="3">
                  <c:v>62863.002373117553</c:v>
                </c:pt>
                <c:pt idx="4">
                  <c:v>56757.42957167542</c:v>
                </c:pt>
                <c:pt idx="5">
                  <c:v>50530.068842941677</c:v>
                </c:pt>
                <c:pt idx="6">
                  <c:v>44180.255083686956</c:v>
                </c:pt>
                <c:pt idx="7">
                  <c:v>37714.126464091925</c:v>
                </c:pt>
                <c:pt idx="8">
                  <c:v>31161.66851777352</c:v>
                </c:pt>
                <c:pt idx="9">
                  <c:v>24614.933224911558</c:v>
                </c:pt>
                <c:pt idx="10">
                  <c:v>18281.672718408496</c:v>
                </c:pt>
                <c:pt idx="11">
                  <c:v>12509.19754484023</c:v>
                </c:pt>
                <c:pt idx="12">
                  <c:v>7710.210481948051</c:v>
                </c:pt>
              </c:numCache>
            </c:numRef>
          </c:val>
        </c:ser>
        <c:ser>
          <c:idx val="1"/>
          <c:order val="1"/>
          <c:tx>
            <c:strRef>
              <c:f>'CR-Remote'!$D$3</c:f>
              <c:strCache>
                <c:ptCount val="1"/>
                <c:pt idx="0">
                  <c:v>HCFC-123</c:v>
                </c:pt>
              </c:strCache>
            </c:strRef>
          </c:tx>
          <c:cat>
            <c:numRef>
              <c:f>'CR-Remote'!$B$82:$B$94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'CR-Remote'!$D$82:$D$94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2"/>
          <c:order val="2"/>
          <c:tx>
            <c:strRef>
              <c:f>'CR-Remote'!$E$3</c:f>
              <c:strCache>
                <c:ptCount val="1"/>
                <c:pt idx="0">
                  <c:v>HFC-134a</c:v>
                </c:pt>
              </c:strCache>
            </c:strRef>
          </c:tx>
          <c:cat>
            <c:numRef>
              <c:f>'CR-Remote'!$B$82:$B$94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'CR-Remote'!$E$82:$E$94</c:f>
              <c:numCache>
                <c:formatCode>#,##0</c:formatCode>
                <c:ptCount val="13"/>
                <c:pt idx="0">
                  <c:v>123884.4038286185</c:v>
                </c:pt>
                <c:pt idx="1">
                  <c:v>132412.63898550981</c:v>
                </c:pt>
                <c:pt idx="2">
                  <c:v>154028.94459206393</c:v>
                </c:pt>
                <c:pt idx="3">
                  <c:v>160714.16892343931</c:v>
                </c:pt>
                <c:pt idx="4">
                  <c:v>165797.3024475105</c:v>
                </c:pt>
                <c:pt idx="5">
                  <c:v>169595.87391711478</c:v>
                </c:pt>
                <c:pt idx="6">
                  <c:v>172283.03197396809</c:v>
                </c:pt>
                <c:pt idx="7">
                  <c:v>173935.99724806927</c:v>
                </c:pt>
                <c:pt idx="8">
                  <c:v>173892.24602488874</c:v>
                </c:pt>
                <c:pt idx="9">
                  <c:v>171999.11472168317</c:v>
                </c:pt>
                <c:pt idx="10">
                  <c:v>167932.56634635178</c:v>
                </c:pt>
                <c:pt idx="11">
                  <c:v>161189.66392974011</c:v>
                </c:pt>
                <c:pt idx="12">
                  <c:v>151193.4144790803</c:v>
                </c:pt>
              </c:numCache>
            </c:numRef>
          </c:val>
        </c:ser>
        <c:ser>
          <c:idx val="3"/>
          <c:order val="3"/>
          <c:tx>
            <c:strRef>
              <c:f>'CR-Remote'!$F$3</c:f>
              <c:strCache>
                <c:ptCount val="1"/>
                <c:pt idx="0">
                  <c:v>HFC-404A</c:v>
                </c:pt>
              </c:strCache>
            </c:strRef>
          </c:tx>
          <c:cat>
            <c:numRef>
              <c:f>'CR-Remote'!$B$82:$B$94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'CR-Remote'!$F$82:$F$94</c:f>
              <c:numCache>
                <c:formatCode>#,##0</c:formatCode>
                <c:ptCount val="13"/>
                <c:pt idx="0">
                  <c:v>439111.28712780186</c:v>
                </c:pt>
                <c:pt idx="1">
                  <c:v>444916.65636553051</c:v>
                </c:pt>
                <c:pt idx="2">
                  <c:v>422875.16535738576</c:v>
                </c:pt>
                <c:pt idx="3">
                  <c:v>413041.50756342162</c:v>
                </c:pt>
                <c:pt idx="4">
                  <c:v>401468.90886904753</c:v>
                </c:pt>
                <c:pt idx="5">
                  <c:v>388088.79357812554</c:v>
                </c:pt>
                <c:pt idx="6">
                  <c:v>372833.61270837986</c:v>
                </c:pt>
                <c:pt idx="7">
                  <c:v>354852.69319439703</c:v>
                </c:pt>
                <c:pt idx="8">
                  <c:v>334337.52375724103</c:v>
                </c:pt>
                <c:pt idx="9">
                  <c:v>311240.46867992263</c:v>
                </c:pt>
                <c:pt idx="10">
                  <c:v>285544.28622844251</c:v>
                </c:pt>
                <c:pt idx="11">
                  <c:v>257256.64173517129</c:v>
                </c:pt>
                <c:pt idx="12">
                  <c:v>226390.2621344545</c:v>
                </c:pt>
              </c:numCache>
            </c:numRef>
          </c:val>
        </c:ser>
        <c:ser>
          <c:idx val="4"/>
          <c:order val="4"/>
          <c:tx>
            <c:strRef>
              <c:f>'CR-Remote'!$G$3</c:f>
              <c:strCache>
                <c:ptCount val="1"/>
                <c:pt idx="0">
                  <c:v>HFC-410A</c:v>
                </c:pt>
              </c:strCache>
            </c:strRef>
          </c:tx>
          <c:cat>
            <c:numRef>
              <c:f>'CR-Remote'!$B$82:$B$94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'CR-Remote'!$G$82:$G$94</c:f>
              <c:numCache>
                <c:formatCode>#,##0</c:formatCode>
                <c:ptCount val="13"/>
                <c:pt idx="0">
                  <c:v>4000</c:v>
                </c:pt>
                <c:pt idx="1">
                  <c:v>4080</c:v>
                </c:pt>
                <c:pt idx="2">
                  <c:v>2448</c:v>
                </c:pt>
                <c:pt idx="3">
                  <c:v>1468.8</c:v>
                </c:pt>
                <c:pt idx="4">
                  <c:v>881.28000000000054</c:v>
                </c:pt>
                <c:pt idx="5">
                  <c:v>528.76799999999787</c:v>
                </c:pt>
                <c:pt idx="6">
                  <c:v>317.26080000000002</c:v>
                </c:pt>
                <c:pt idx="7">
                  <c:v>190.3564800000006</c:v>
                </c:pt>
                <c:pt idx="8">
                  <c:v>114.213888</c:v>
                </c:pt>
                <c:pt idx="9">
                  <c:v>68.528332799999319</c:v>
                </c:pt>
                <c:pt idx="10">
                  <c:v>41.116999679999999</c:v>
                </c:pt>
                <c:pt idx="11">
                  <c:v>24.670199808</c:v>
                </c:pt>
                <c:pt idx="12">
                  <c:v>0</c:v>
                </c:pt>
              </c:numCache>
            </c:numRef>
          </c:val>
        </c:ser>
        <c:ser>
          <c:idx val="5"/>
          <c:order val="5"/>
          <c:tx>
            <c:strRef>
              <c:f>'CR-Remote'!$H$3</c:f>
              <c:strCache>
                <c:ptCount val="1"/>
                <c:pt idx="0">
                  <c:v>HFC-407C</c:v>
                </c:pt>
              </c:strCache>
            </c:strRef>
          </c:tx>
          <c:cat>
            <c:numRef>
              <c:f>'CR-Remote'!$B$82:$B$94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'CR-Remote'!$H$82:$H$94</c:f>
              <c:numCache>
                <c:formatCode>#,##0</c:formatCode>
                <c:ptCount val="13"/>
                <c:pt idx="0">
                  <c:v>12570.42834569452</c:v>
                </c:pt>
                <c:pt idx="1">
                  <c:v>12152.61710444557</c:v>
                </c:pt>
                <c:pt idx="2">
                  <c:v>9584.4496114368048</c:v>
                </c:pt>
                <c:pt idx="3">
                  <c:v>7821.7188155718504</c:v>
                </c:pt>
                <c:pt idx="4">
                  <c:v>6537.8140438241589</c:v>
                </c:pt>
                <c:pt idx="5">
                  <c:v>5536.6857446590684</c:v>
                </c:pt>
                <c:pt idx="6">
                  <c:v>4700.6563800118811</c:v>
                </c:pt>
                <c:pt idx="7">
                  <c:v>3959.2784457527996</c:v>
                </c:pt>
                <c:pt idx="8">
                  <c:v>3271.3214761394092</c:v>
                </c:pt>
                <c:pt idx="9">
                  <c:v>2615.8175574010429</c:v>
                </c:pt>
                <c:pt idx="10">
                  <c:v>1989.9377054647159</c:v>
                </c:pt>
                <c:pt idx="11">
                  <c:v>1410.0405758778129</c:v>
                </c:pt>
                <c:pt idx="12">
                  <c:v>889.90178659249398</c:v>
                </c:pt>
              </c:numCache>
            </c:numRef>
          </c:val>
        </c:ser>
        <c:ser>
          <c:idx val="6"/>
          <c:order val="6"/>
          <c:tx>
            <c:strRef>
              <c:f>'CR-Remote'!$I$3</c:f>
              <c:strCache>
                <c:ptCount val="1"/>
                <c:pt idx="0">
                  <c:v>HFC-32</c:v>
                </c:pt>
              </c:strCache>
            </c:strRef>
          </c:tx>
          <c:cat>
            <c:numRef>
              <c:f>'CR-Remote'!$B$82:$B$94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'CR-Remote'!$I$82:$I$94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7"/>
          <c:order val="7"/>
          <c:tx>
            <c:strRef>
              <c:f>'CR-Remote'!$J$3</c:f>
              <c:strCache>
                <c:ptCount val="1"/>
                <c:pt idx="0">
                  <c:v>HFC-Mix</c:v>
                </c:pt>
              </c:strCache>
            </c:strRef>
          </c:tx>
          <c:cat>
            <c:numRef>
              <c:f>'CR-Remote'!$B$82:$B$94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'CR-Remote'!$J$82:$J$94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8"/>
          <c:order val="8"/>
          <c:tx>
            <c:strRef>
              <c:f>'CR-Remote'!$K$3</c:f>
              <c:strCache>
                <c:ptCount val="1"/>
                <c:pt idx="0">
                  <c:v>GWP &lt;2150</c:v>
                </c:pt>
              </c:strCache>
            </c:strRef>
          </c:tx>
          <c:cat>
            <c:numRef>
              <c:f>'CR-Remote'!$B$82:$B$94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'CR-Remote'!$K$82:$K$94</c:f>
              <c:numCache>
                <c:formatCode>#,##0</c:formatCode>
                <c:ptCount val="13"/>
                <c:pt idx="0">
                  <c:v>0</c:v>
                </c:pt>
                <c:pt idx="1">
                  <c:v>0</c:v>
                </c:pt>
                <c:pt idx="2">
                  <c:v>6022.727272727273</c:v>
                </c:pt>
                <c:pt idx="3">
                  <c:v>12834.545043189382</c:v>
                </c:pt>
                <c:pt idx="4">
                  <c:v>20467.016931136179</c:v>
                </c:pt>
                <c:pt idx="5">
                  <c:v>28952.653461642611</c:v>
                </c:pt>
                <c:pt idx="6">
                  <c:v>38324.937265052511</c:v>
                </c:pt>
                <c:pt idx="7">
                  <c:v>48618.348313804643</c:v>
                </c:pt>
                <c:pt idx="8">
                  <c:v>60303.993965883688</c:v>
                </c:pt>
                <c:pt idx="9">
                  <c:v>73435.79319161037</c:v>
                </c:pt>
                <c:pt idx="10">
                  <c:v>88068.936985271706</c:v>
                </c:pt>
                <c:pt idx="11">
                  <c:v>104258.7208666715</c:v>
                </c:pt>
                <c:pt idx="12">
                  <c:v>122056.61129612122</c:v>
                </c:pt>
              </c:numCache>
            </c:numRef>
          </c:val>
        </c:ser>
        <c:ser>
          <c:idx val="9"/>
          <c:order val="9"/>
          <c:tx>
            <c:strRef>
              <c:f>'CR-Remote'!$L$3</c:f>
              <c:strCache>
                <c:ptCount val="1"/>
                <c:pt idx="0">
                  <c:v>GWP &lt;1000</c:v>
                </c:pt>
              </c:strCache>
            </c:strRef>
          </c:tx>
          <c:cat>
            <c:numRef>
              <c:f>'CR-Remote'!$B$82:$B$94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'CR-Remote'!$L$82:$L$94</c:f>
              <c:numCache>
                <c:formatCode>#,##0</c:formatCode>
                <c:ptCount val="13"/>
                <c:pt idx="0">
                  <c:v>0</c:v>
                </c:pt>
                <c:pt idx="1">
                  <c:v>0</c:v>
                </c:pt>
                <c:pt idx="2">
                  <c:v>4818.1818181818244</c:v>
                </c:pt>
                <c:pt idx="3">
                  <c:v>10425.454134098425</c:v>
                </c:pt>
                <c:pt idx="4">
                  <c:v>16853.380567499808</c:v>
                </c:pt>
                <c:pt idx="5">
                  <c:v>24134.47164346082</c:v>
                </c:pt>
                <c:pt idx="6">
                  <c:v>32302.209992325217</c:v>
                </c:pt>
                <c:pt idx="7">
                  <c:v>41391.07558653153</c:v>
                </c:pt>
                <c:pt idx="8">
                  <c:v>51436.565948797506</c:v>
                </c:pt>
                <c:pt idx="9">
                  <c:v>62475.175656119187</c:v>
                </c:pt>
                <c:pt idx="10">
                  <c:v>74544.148579466564</c:v>
                </c:pt>
                <c:pt idx="11">
                  <c:v>87680.296473940398</c:v>
                </c:pt>
                <c:pt idx="12">
                  <c:v>101916.05146202199</c:v>
                </c:pt>
              </c:numCache>
            </c:numRef>
          </c:val>
        </c:ser>
        <c:ser>
          <c:idx val="10"/>
          <c:order val="10"/>
          <c:tx>
            <c:strRef>
              <c:f>'CR-Remote'!$M$3</c:f>
              <c:strCache>
                <c:ptCount val="1"/>
                <c:pt idx="0">
                  <c:v>GWP &lt;10</c:v>
                </c:pt>
              </c:strCache>
            </c:strRef>
          </c:tx>
          <c:cat>
            <c:numRef>
              <c:f>'CR-Remote'!$B$82:$B$94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'CR-Remote'!$M$82:$M$94</c:f>
              <c:numCache>
                <c:formatCode>#,##0</c:formatCode>
                <c:ptCount val="13"/>
                <c:pt idx="0">
                  <c:v>6147.4873086674816</c:v>
                </c:pt>
                <c:pt idx="1">
                  <c:v>10876.374961072304</c:v>
                </c:pt>
                <c:pt idx="2">
                  <c:v>23388.772891765191</c:v>
                </c:pt>
                <c:pt idx="3">
                  <c:v>35583.9382285916</c:v>
                </c:pt>
                <c:pt idx="4">
                  <c:v>48596.686303450813</c:v>
                </c:pt>
                <c:pt idx="5">
                  <c:v>62457.954704575161</c:v>
                </c:pt>
                <c:pt idx="6">
                  <c:v>77198.037748427174</c:v>
                </c:pt>
                <c:pt idx="7">
                  <c:v>93370.920440969334</c:v>
                </c:pt>
                <c:pt idx="8">
                  <c:v>110986.87307328422</c:v>
                </c:pt>
                <c:pt idx="9">
                  <c:v>130089.30457986236</c:v>
                </c:pt>
                <c:pt idx="10">
                  <c:v>150719.70208853911</c:v>
                </c:pt>
                <c:pt idx="11">
                  <c:v>172913.43530392364</c:v>
                </c:pt>
                <c:pt idx="12">
                  <c:v>196689.7819940373</c:v>
                </c:pt>
              </c:numCache>
            </c:numRef>
          </c:val>
        </c:ser>
        <c:axId val="42936960"/>
        <c:axId val="42938752"/>
      </c:areaChart>
      <c:catAx>
        <c:axId val="42936960"/>
        <c:scaling>
          <c:orientation val="minMax"/>
        </c:scaling>
        <c:axPos val="b"/>
        <c:numFmt formatCode="General" sourceLinked="1"/>
        <c:tickLblPos val="nextTo"/>
        <c:txPr>
          <a:bodyPr/>
          <a:lstStyle/>
          <a:p>
            <a:pPr>
              <a:defRPr sz="800"/>
            </a:pPr>
            <a:endParaRPr lang="en-US"/>
          </a:p>
        </c:txPr>
        <c:crossAx val="42938752"/>
        <c:crosses val="autoZero"/>
        <c:auto val="1"/>
        <c:lblAlgn val="ctr"/>
        <c:lblOffset val="100"/>
      </c:catAx>
      <c:valAx>
        <c:axId val="42938752"/>
        <c:scaling>
          <c:orientation val="minMax"/>
        </c:scaling>
        <c:axPos val="l"/>
        <c:majorGridlines/>
        <c:numFmt formatCode="#,##0" sourceLinked="1"/>
        <c:tickLblPos val="nextTo"/>
        <c:txPr>
          <a:bodyPr/>
          <a:lstStyle/>
          <a:p>
            <a:pPr>
              <a:defRPr sz="800"/>
            </a:pPr>
            <a:endParaRPr lang="en-US"/>
          </a:p>
        </c:txPr>
        <c:crossAx val="42936960"/>
        <c:crosses val="autoZero"/>
        <c:crossBetween val="midCat"/>
        <c:dispUnits>
          <c:builtInUnit val="thousands"/>
        </c:dispUnits>
      </c:valAx>
    </c:plotArea>
    <c:legend>
      <c:legendPos val="r"/>
      <c:txPr>
        <a:bodyPr/>
        <a:lstStyle/>
        <a:p>
          <a:pPr>
            <a:defRPr sz="800"/>
          </a:pPr>
          <a:endParaRPr lang="en-US"/>
        </a:p>
      </c:txPr>
    </c:legend>
    <c:plotVisOnly val="1"/>
    <c:dispBlanksAs val="zero"/>
  </c:chart>
  <c:spPr>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AU"/>
  <c:style val="18"/>
  <c:chart>
    <c:plotArea>
      <c:layout/>
      <c:areaChart>
        <c:grouping val="stacked"/>
        <c:ser>
          <c:idx val="0"/>
          <c:order val="0"/>
          <c:tx>
            <c:strRef>
              <c:f>'CR-Supermarket'!$C$3</c:f>
              <c:strCache>
                <c:ptCount val="1"/>
                <c:pt idx="0">
                  <c:v>HCFC-22</c:v>
                </c:pt>
              </c:strCache>
            </c:strRef>
          </c:tx>
          <c:spPr>
            <a:solidFill>
              <a:srgbClr val="FF0000"/>
            </a:solidFill>
          </c:spPr>
          <c:cat>
            <c:numRef>
              <c:f>'CR-Supermarket'!$B$5:$B$17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'CR-Supermarket'!$C$5:$C$17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1"/>
          <c:order val="1"/>
          <c:tx>
            <c:strRef>
              <c:f>'CR-Supermarket'!$D$3</c:f>
              <c:strCache>
                <c:ptCount val="1"/>
                <c:pt idx="0">
                  <c:v>HCFC-123</c:v>
                </c:pt>
              </c:strCache>
            </c:strRef>
          </c:tx>
          <c:cat>
            <c:numRef>
              <c:f>'CR-Supermarket'!$B$5:$B$17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'CR-Supermarket'!$D$5:$D$17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2"/>
          <c:order val="2"/>
          <c:tx>
            <c:strRef>
              <c:f>'CR-Supermarket'!$E$3</c:f>
              <c:strCache>
                <c:ptCount val="1"/>
                <c:pt idx="0">
                  <c:v>HFC-134a</c:v>
                </c:pt>
              </c:strCache>
            </c:strRef>
          </c:tx>
          <c:cat>
            <c:numRef>
              <c:f>'CR-Supermarket'!$B$5:$B$17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'CR-Supermarket'!$E$5:$E$17</c:f>
              <c:numCache>
                <c:formatCode>#,##0</c:formatCode>
                <c:ptCount val="13"/>
                <c:pt idx="0">
                  <c:v>203862.26510677251</c:v>
                </c:pt>
                <c:pt idx="1">
                  <c:v>237990.47726385211</c:v>
                </c:pt>
                <c:pt idx="2">
                  <c:v>269964.36543957121</c:v>
                </c:pt>
                <c:pt idx="3">
                  <c:v>299682.18506276421</c:v>
                </c:pt>
                <c:pt idx="4">
                  <c:v>327031.1342970836</c:v>
                </c:pt>
                <c:pt idx="5">
                  <c:v>351865.02907156222</c:v>
                </c:pt>
                <c:pt idx="6">
                  <c:v>373944.89087693585</c:v>
                </c:pt>
                <c:pt idx="7">
                  <c:v>392824.07266789116</c:v>
                </c:pt>
                <c:pt idx="8">
                  <c:v>404509.9686316626</c:v>
                </c:pt>
                <c:pt idx="9">
                  <c:v>407665.46301371494</c:v>
                </c:pt>
                <c:pt idx="10">
                  <c:v>400719.8398068446</c:v>
                </c:pt>
                <c:pt idx="11">
                  <c:v>382329.98699867562</c:v>
                </c:pt>
                <c:pt idx="12">
                  <c:v>351914.1344915622</c:v>
                </c:pt>
              </c:numCache>
            </c:numRef>
          </c:val>
        </c:ser>
        <c:ser>
          <c:idx val="3"/>
          <c:order val="3"/>
          <c:tx>
            <c:strRef>
              <c:f>'CR-Supermarket'!$F$3</c:f>
              <c:strCache>
                <c:ptCount val="1"/>
                <c:pt idx="0">
                  <c:v>HFC-404A</c:v>
                </c:pt>
              </c:strCache>
            </c:strRef>
          </c:tx>
          <c:cat>
            <c:numRef>
              <c:f>'CR-Supermarket'!$B$5:$B$17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'CR-Supermarket'!$F$5:$F$17</c:f>
              <c:numCache>
                <c:formatCode>#,##0</c:formatCode>
                <c:ptCount val="13"/>
                <c:pt idx="0">
                  <c:v>872519.58431211766</c:v>
                </c:pt>
                <c:pt idx="1">
                  <c:v>834269.6447176286</c:v>
                </c:pt>
                <c:pt idx="2">
                  <c:v>795835.14542288205</c:v>
                </c:pt>
                <c:pt idx="3">
                  <c:v>752784.8617460134</c:v>
                </c:pt>
                <c:pt idx="4">
                  <c:v>705301.10161157721</c:v>
                </c:pt>
                <c:pt idx="5">
                  <c:v>652554.14006149932</c:v>
                </c:pt>
                <c:pt idx="6">
                  <c:v>595056.2104340971</c:v>
                </c:pt>
                <c:pt idx="7">
                  <c:v>533509.82705837931</c:v>
                </c:pt>
                <c:pt idx="8">
                  <c:v>472171.94752497057</c:v>
                </c:pt>
                <c:pt idx="9">
                  <c:v>412363.68943671021</c:v>
                </c:pt>
                <c:pt idx="10">
                  <c:v>355463.72375028819</c:v>
                </c:pt>
                <c:pt idx="11">
                  <c:v>302467.51302225632</c:v>
                </c:pt>
                <c:pt idx="12">
                  <c:v>253542.96767162374</c:v>
                </c:pt>
              </c:numCache>
            </c:numRef>
          </c:val>
        </c:ser>
        <c:ser>
          <c:idx val="4"/>
          <c:order val="4"/>
          <c:tx>
            <c:strRef>
              <c:f>'CR-Supermarket'!$G$3</c:f>
              <c:strCache>
                <c:ptCount val="1"/>
                <c:pt idx="0">
                  <c:v>HFC-410A</c:v>
                </c:pt>
              </c:strCache>
            </c:strRef>
          </c:tx>
          <c:cat>
            <c:numRef>
              <c:f>'CR-Supermarket'!$B$5:$B$17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'CR-Supermarket'!$G$5:$G$17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5"/>
          <c:order val="5"/>
          <c:tx>
            <c:strRef>
              <c:f>'CR-Supermarket'!$H$3</c:f>
              <c:strCache>
                <c:ptCount val="1"/>
                <c:pt idx="0">
                  <c:v>HFC-407C</c:v>
                </c:pt>
              </c:strCache>
            </c:strRef>
          </c:tx>
          <c:cat>
            <c:numRef>
              <c:f>'CR-Supermarket'!$B$5:$B$17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'CR-Supermarket'!$H$5:$H$17</c:f>
              <c:numCache>
                <c:formatCode>#,##0</c:formatCode>
                <c:ptCount val="13"/>
                <c:pt idx="0">
                  <c:v>388.46530460436372</c:v>
                </c:pt>
                <c:pt idx="1">
                  <c:v>388.46505818557023</c:v>
                </c:pt>
                <c:pt idx="2">
                  <c:v>388.46256296748197</c:v>
                </c:pt>
                <c:pt idx="3">
                  <c:v>388.4426538764933</c:v>
                </c:pt>
                <c:pt idx="4">
                  <c:v>388.31729112533441</c:v>
                </c:pt>
                <c:pt idx="5">
                  <c:v>387.69335034500313</c:v>
                </c:pt>
                <c:pt idx="6">
                  <c:v>385.2350083793367</c:v>
                </c:pt>
                <c:pt idx="7">
                  <c:v>377.55661196357659</c:v>
                </c:pt>
                <c:pt idx="8">
                  <c:v>358.52285640437026</c:v>
                </c:pt>
                <c:pt idx="9">
                  <c:v>321.04738076962371</c:v>
                </c:pt>
                <c:pt idx="10">
                  <c:v>262.42073255581437</c:v>
                </c:pt>
                <c:pt idx="11">
                  <c:v>189.55491179555602</c:v>
                </c:pt>
                <c:pt idx="12">
                  <c:v>117.64387101062226</c:v>
                </c:pt>
              </c:numCache>
            </c:numRef>
          </c:val>
        </c:ser>
        <c:ser>
          <c:idx val="6"/>
          <c:order val="6"/>
          <c:tx>
            <c:strRef>
              <c:f>'CR-Supermarket'!$I$3</c:f>
              <c:strCache>
                <c:ptCount val="1"/>
                <c:pt idx="0">
                  <c:v>HFC-32</c:v>
                </c:pt>
              </c:strCache>
            </c:strRef>
          </c:tx>
          <c:cat>
            <c:numRef>
              <c:f>'CR-Supermarket'!$B$5:$B$17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'CR-Supermarket'!$I$5:$I$17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7"/>
          <c:order val="7"/>
          <c:tx>
            <c:strRef>
              <c:f>'CR-Supermarket'!$J$3</c:f>
              <c:strCache>
                <c:ptCount val="1"/>
                <c:pt idx="0">
                  <c:v>HFC-Mix</c:v>
                </c:pt>
              </c:strCache>
            </c:strRef>
          </c:tx>
          <c:cat>
            <c:numRef>
              <c:f>'CR-Supermarket'!$B$5:$B$17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'CR-Supermarket'!$J$5:$J$17</c:f>
              <c:numCache>
                <c:formatCode>#,##0</c:formatCode>
                <c:ptCount val="13"/>
                <c:pt idx="0">
                  <c:v>53425.06237420535</c:v>
                </c:pt>
                <c:pt idx="1">
                  <c:v>53047.481069702961</c:v>
                </c:pt>
                <c:pt idx="2">
                  <c:v>51527.729519220309</c:v>
                </c:pt>
                <c:pt idx="3">
                  <c:v>48820.272123331393</c:v>
                </c:pt>
                <c:pt idx="4">
                  <c:v>44878.210682875586</c:v>
                </c:pt>
                <c:pt idx="5">
                  <c:v>40857.331180378838</c:v>
                </c:pt>
                <c:pt idx="6">
                  <c:v>36756.216048491333</c:v>
                </c:pt>
                <c:pt idx="7">
                  <c:v>32574.20495612848</c:v>
                </c:pt>
                <c:pt idx="8">
                  <c:v>28314.063340744171</c:v>
                </c:pt>
                <c:pt idx="9">
                  <c:v>23990.095500209158</c:v>
                </c:pt>
                <c:pt idx="10">
                  <c:v>19645.75446682037</c:v>
                </c:pt>
                <c:pt idx="11">
                  <c:v>15378.542907113671</c:v>
                </c:pt>
                <c:pt idx="12">
                  <c:v>11355.256449977069</c:v>
                </c:pt>
              </c:numCache>
            </c:numRef>
          </c:val>
        </c:ser>
        <c:ser>
          <c:idx val="8"/>
          <c:order val="8"/>
          <c:tx>
            <c:strRef>
              <c:f>'CR-Supermarket'!$K$3</c:f>
              <c:strCache>
                <c:ptCount val="1"/>
                <c:pt idx="0">
                  <c:v>GWP &lt;2150</c:v>
                </c:pt>
              </c:strCache>
            </c:strRef>
          </c:tx>
          <c:cat>
            <c:numRef>
              <c:f>'CR-Supermarket'!$B$5:$B$17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'CR-Supermarket'!$K$5:$K$17</c:f>
              <c:numCache>
                <c:formatCode>#,##0</c:formatCode>
                <c:ptCount val="13"/>
                <c:pt idx="0">
                  <c:v>0</c:v>
                </c:pt>
                <c:pt idx="1">
                  <c:v>0</c:v>
                </c:pt>
                <c:pt idx="2">
                  <c:v>0</c:v>
                </c:pt>
                <c:pt idx="3">
                  <c:v>2314.6219920829712</c:v>
                </c:pt>
                <c:pt idx="4">
                  <c:v>7036.4508386169646</c:v>
                </c:pt>
                <c:pt idx="5">
                  <c:v>14260.84868731891</c:v>
                </c:pt>
                <c:pt idx="6">
                  <c:v>24086.026086108621</c:v>
                </c:pt>
                <c:pt idx="7">
                  <c:v>36613.090344070028</c:v>
                </c:pt>
                <c:pt idx="8">
                  <c:v>50668.160539949844</c:v>
                </c:pt>
                <c:pt idx="9">
                  <c:v>66305.778551186915</c:v>
                </c:pt>
                <c:pt idx="10">
                  <c:v>83576.272530462375</c:v>
                </c:pt>
                <c:pt idx="11">
                  <c:v>102511.72502617839</c:v>
                </c:pt>
                <c:pt idx="12">
                  <c:v>123094.36627308436</c:v>
                </c:pt>
              </c:numCache>
            </c:numRef>
          </c:val>
        </c:ser>
        <c:ser>
          <c:idx val="9"/>
          <c:order val="9"/>
          <c:tx>
            <c:strRef>
              <c:f>'CR-Supermarket'!$L$3</c:f>
              <c:strCache>
                <c:ptCount val="1"/>
                <c:pt idx="0">
                  <c:v>GWP &lt;1000</c:v>
                </c:pt>
              </c:strCache>
            </c:strRef>
          </c:tx>
          <c:cat>
            <c:numRef>
              <c:f>'CR-Supermarket'!$B$5:$B$17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'CR-Supermarket'!$L$5:$L$17</c:f>
              <c:numCache>
                <c:formatCode>#,##0</c:formatCode>
                <c:ptCount val="13"/>
                <c:pt idx="0">
                  <c:v>0</c:v>
                </c:pt>
                <c:pt idx="1">
                  <c:v>0</c:v>
                </c:pt>
                <c:pt idx="2">
                  <c:v>0</c:v>
                </c:pt>
                <c:pt idx="3">
                  <c:v>2314.6219920829712</c:v>
                </c:pt>
                <c:pt idx="4">
                  <c:v>7036.4508386169646</c:v>
                </c:pt>
                <c:pt idx="5">
                  <c:v>14260.84868731891</c:v>
                </c:pt>
                <c:pt idx="6">
                  <c:v>24086.026086108621</c:v>
                </c:pt>
                <c:pt idx="7">
                  <c:v>36613.090344070028</c:v>
                </c:pt>
                <c:pt idx="8">
                  <c:v>51945.925394011174</c:v>
                </c:pt>
                <c:pt idx="9">
                  <c:v>70190.183697975706</c:v>
                </c:pt>
                <c:pt idx="10">
                  <c:v>91448.837166967423</c:v>
                </c:pt>
                <c:pt idx="11">
                  <c:v>115808.1845397016</c:v>
                </c:pt>
                <c:pt idx="12">
                  <c:v>143306.27137044279</c:v>
                </c:pt>
              </c:numCache>
            </c:numRef>
          </c:val>
        </c:ser>
        <c:ser>
          <c:idx val="10"/>
          <c:order val="10"/>
          <c:tx>
            <c:strRef>
              <c:f>'CR-Supermarket'!$M$3</c:f>
              <c:strCache>
                <c:ptCount val="1"/>
                <c:pt idx="0">
                  <c:v>GWP &lt;10</c:v>
                </c:pt>
              </c:strCache>
            </c:strRef>
          </c:tx>
          <c:cat>
            <c:numRef>
              <c:f>'CR-Supermarket'!$B$5:$B$17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'CR-Supermarket'!$M$5:$M$17</c:f>
              <c:numCache>
                <c:formatCode>#,##0</c:formatCode>
                <c:ptCount val="13"/>
                <c:pt idx="0">
                  <c:v>112247.93393033039</c:v>
                </c:pt>
                <c:pt idx="1">
                  <c:v>141596.10931284048</c:v>
                </c:pt>
                <c:pt idx="2">
                  <c:v>174922.3180336316</c:v>
                </c:pt>
                <c:pt idx="3">
                  <c:v>212185.77582795062</c:v>
                </c:pt>
                <c:pt idx="4">
                  <c:v>253188.93146617091</c:v>
                </c:pt>
                <c:pt idx="5">
                  <c:v>297571.91792816599</c:v>
                </c:pt>
                <c:pt idx="6">
                  <c:v>344878.36060580052</c:v>
                </c:pt>
                <c:pt idx="7">
                  <c:v>394664.98246633715</c:v>
                </c:pt>
                <c:pt idx="8">
                  <c:v>447751.77265007421</c:v>
                </c:pt>
                <c:pt idx="9">
                  <c:v>503998.5105760087</c:v>
                </c:pt>
                <c:pt idx="10">
                  <c:v>563414.61506576417</c:v>
                </c:pt>
                <c:pt idx="11">
                  <c:v>626136.58538437728</c:v>
                </c:pt>
                <c:pt idx="12">
                  <c:v>692387.89451819658</c:v>
                </c:pt>
              </c:numCache>
            </c:numRef>
          </c:val>
        </c:ser>
        <c:axId val="43004288"/>
        <c:axId val="43005824"/>
      </c:areaChart>
      <c:catAx>
        <c:axId val="43004288"/>
        <c:scaling>
          <c:orientation val="minMax"/>
        </c:scaling>
        <c:axPos val="b"/>
        <c:numFmt formatCode="General" sourceLinked="1"/>
        <c:tickLblPos val="nextTo"/>
        <c:txPr>
          <a:bodyPr/>
          <a:lstStyle/>
          <a:p>
            <a:pPr>
              <a:defRPr sz="800"/>
            </a:pPr>
            <a:endParaRPr lang="en-US"/>
          </a:p>
        </c:txPr>
        <c:crossAx val="43005824"/>
        <c:crosses val="autoZero"/>
        <c:auto val="1"/>
        <c:lblAlgn val="ctr"/>
        <c:lblOffset val="100"/>
      </c:catAx>
      <c:valAx>
        <c:axId val="43005824"/>
        <c:scaling>
          <c:orientation val="minMax"/>
        </c:scaling>
        <c:axPos val="l"/>
        <c:majorGridlines/>
        <c:numFmt formatCode="#,##0" sourceLinked="1"/>
        <c:tickLblPos val="nextTo"/>
        <c:txPr>
          <a:bodyPr/>
          <a:lstStyle/>
          <a:p>
            <a:pPr>
              <a:defRPr sz="800"/>
            </a:pPr>
            <a:endParaRPr lang="en-US"/>
          </a:p>
        </c:txPr>
        <c:crossAx val="43004288"/>
        <c:crosses val="autoZero"/>
        <c:crossBetween val="midCat"/>
        <c:dispUnits>
          <c:builtInUnit val="thousands"/>
        </c:dispUnits>
      </c:valAx>
    </c:plotArea>
    <c:legend>
      <c:legendPos val="r"/>
      <c:txPr>
        <a:bodyPr/>
        <a:lstStyle/>
        <a:p>
          <a:pPr>
            <a:defRPr sz="800"/>
          </a:pPr>
          <a:endParaRPr lang="en-US"/>
        </a:p>
      </c:txPr>
    </c:legend>
    <c:plotVisOnly val="1"/>
    <c:dispBlanksAs val="zero"/>
  </c:chart>
  <c:spPr>
    <a:ln>
      <a:no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AU"/>
  <c:style val="18"/>
  <c:chart>
    <c:plotArea>
      <c:layout/>
      <c:areaChart>
        <c:grouping val="stacked"/>
        <c:ser>
          <c:idx val="0"/>
          <c:order val="0"/>
          <c:tx>
            <c:strRef>
              <c:f>'CR-Supermarket'!$C$3</c:f>
              <c:strCache>
                <c:ptCount val="1"/>
                <c:pt idx="0">
                  <c:v>HCFC-22</c:v>
                </c:pt>
              </c:strCache>
            </c:strRef>
          </c:tx>
          <c:spPr>
            <a:solidFill>
              <a:srgbClr val="FF0000"/>
            </a:solidFill>
          </c:spPr>
          <c:cat>
            <c:numRef>
              <c:f>'CR-Supermarket'!$B$82:$B$94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'CR-Supermarket'!$C$82:$C$94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1"/>
          <c:order val="1"/>
          <c:tx>
            <c:strRef>
              <c:f>'CR-Supermarket'!$D$3</c:f>
              <c:strCache>
                <c:ptCount val="1"/>
                <c:pt idx="0">
                  <c:v>HCFC-123</c:v>
                </c:pt>
              </c:strCache>
            </c:strRef>
          </c:tx>
          <c:cat>
            <c:numRef>
              <c:f>'CR-Supermarket'!$B$82:$B$94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'CR-Supermarket'!$D$82:$D$94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2"/>
          <c:order val="2"/>
          <c:tx>
            <c:strRef>
              <c:f>'CR-Supermarket'!$E$3</c:f>
              <c:strCache>
                <c:ptCount val="1"/>
                <c:pt idx="0">
                  <c:v>HFC-134a</c:v>
                </c:pt>
              </c:strCache>
            </c:strRef>
          </c:tx>
          <c:cat>
            <c:numRef>
              <c:f>'CR-Supermarket'!$B$82:$B$94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'CR-Supermarket'!$E$82:$E$94</c:f>
              <c:numCache>
                <c:formatCode>#,##0</c:formatCode>
                <c:ptCount val="13"/>
                <c:pt idx="0">
                  <c:v>66482.783138346538</c:v>
                </c:pt>
                <c:pt idx="1">
                  <c:v>81173.833464822004</c:v>
                </c:pt>
                <c:pt idx="2">
                  <c:v>88734.809949808405</c:v>
                </c:pt>
                <c:pt idx="3">
                  <c:v>88839.954481358232</c:v>
                </c:pt>
                <c:pt idx="4">
                  <c:v>90774.589223569419</c:v>
                </c:pt>
                <c:pt idx="5">
                  <c:v>85903.91033010403</c:v>
                </c:pt>
                <c:pt idx="6">
                  <c:v>80703.425800154946</c:v>
                </c:pt>
                <c:pt idx="7">
                  <c:v>75147.476381443485</c:v>
                </c:pt>
                <c:pt idx="8">
                  <c:v>68836.397226085624</c:v>
                </c:pt>
                <c:pt idx="9">
                  <c:v>61680.366259241724</c:v>
                </c:pt>
                <c:pt idx="10">
                  <c:v>53574.986250695474</c:v>
                </c:pt>
                <c:pt idx="11">
                  <c:v>44449.339154985886</c:v>
                </c:pt>
                <c:pt idx="12">
                  <c:v>34519.113331773195</c:v>
                </c:pt>
              </c:numCache>
            </c:numRef>
          </c:val>
        </c:ser>
        <c:ser>
          <c:idx val="3"/>
          <c:order val="3"/>
          <c:tx>
            <c:strRef>
              <c:f>'CR-Supermarket'!$F$3</c:f>
              <c:strCache>
                <c:ptCount val="1"/>
                <c:pt idx="0">
                  <c:v>HFC-404A</c:v>
                </c:pt>
              </c:strCache>
            </c:strRef>
          </c:tx>
          <c:cat>
            <c:numRef>
              <c:f>'CR-Supermarket'!$B$82:$B$94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'CR-Supermarket'!$F$82:$F$94</c:f>
              <c:numCache>
                <c:formatCode>#,##0</c:formatCode>
                <c:ptCount val="13"/>
                <c:pt idx="0">
                  <c:v>150064.94803901511</c:v>
                </c:pt>
                <c:pt idx="1">
                  <c:v>144018.03147790948</c:v>
                </c:pt>
                <c:pt idx="2">
                  <c:v>129706.67587468369</c:v>
                </c:pt>
                <c:pt idx="3">
                  <c:v>119314.38619955639</c:v>
                </c:pt>
                <c:pt idx="4">
                  <c:v>108651.74325076345</c:v>
                </c:pt>
                <c:pt idx="5">
                  <c:v>97648.823946607823</c:v>
                </c:pt>
                <c:pt idx="6">
                  <c:v>86390.751274856229</c:v>
                </c:pt>
                <c:pt idx="7">
                  <c:v>74977.521221760937</c:v>
                </c:pt>
                <c:pt idx="8">
                  <c:v>63879.970823500676</c:v>
                </c:pt>
                <c:pt idx="9">
                  <c:v>53225.912906448888</c:v>
                </c:pt>
                <c:pt idx="10">
                  <c:v>43138.301147251826</c:v>
                </c:pt>
                <c:pt idx="11">
                  <c:v>33691.069199197009</c:v>
                </c:pt>
                <c:pt idx="12">
                  <c:v>24869.925864659424</c:v>
                </c:pt>
              </c:numCache>
            </c:numRef>
          </c:val>
        </c:ser>
        <c:ser>
          <c:idx val="4"/>
          <c:order val="4"/>
          <c:tx>
            <c:strRef>
              <c:f>'CR-Supermarket'!$G$3</c:f>
              <c:strCache>
                <c:ptCount val="1"/>
                <c:pt idx="0">
                  <c:v>HFC-410A</c:v>
                </c:pt>
              </c:strCache>
            </c:strRef>
          </c:tx>
          <c:cat>
            <c:numRef>
              <c:f>'CR-Supermarket'!$B$82:$B$94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'CR-Supermarket'!$G$82:$G$94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5"/>
          <c:order val="5"/>
          <c:tx>
            <c:strRef>
              <c:f>'CR-Supermarket'!$H$3</c:f>
              <c:strCache>
                <c:ptCount val="1"/>
                <c:pt idx="0">
                  <c:v>HFC-407C</c:v>
                </c:pt>
              </c:strCache>
            </c:strRef>
          </c:tx>
          <c:cat>
            <c:numRef>
              <c:f>'CR-Supermarket'!$B$82:$B$94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'CR-Supermarket'!$H$82:$H$94</c:f>
              <c:numCache>
                <c:formatCode>#,##0</c:formatCode>
                <c:ptCount val="13"/>
                <c:pt idx="0">
                  <c:v>48.558163075545352</c:v>
                </c:pt>
                <c:pt idx="1">
                  <c:v>47.586969627732067</c:v>
                </c:pt>
                <c:pt idx="2">
                  <c:v>46.634930684246164</c:v>
                </c:pt>
                <c:pt idx="3">
                  <c:v>45.699889785915495</c:v>
                </c:pt>
                <c:pt idx="4">
                  <c:v>44.771438163932196</c:v>
                </c:pt>
                <c:pt idx="5">
                  <c:v>43.805510269739642</c:v>
                </c:pt>
                <c:pt idx="6">
                  <c:v>42.657187126864201</c:v>
                </c:pt>
                <c:pt idx="7">
                  <c:v>40.970816886463126</c:v>
                </c:pt>
                <c:pt idx="8">
                  <c:v>38.127248622404679</c:v>
                </c:pt>
                <c:pt idx="9">
                  <c:v>33.459066906802221</c:v>
                </c:pt>
                <c:pt idx="10">
                  <c:v>26.80210556685833</c:v>
                </c:pt>
                <c:pt idx="11">
                  <c:v>18.972820070414286</c:v>
                </c:pt>
                <c:pt idx="12">
                  <c:v>11.539639128366955</c:v>
                </c:pt>
              </c:numCache>
            </c:numRef>
          </c:val>
        </c:ser>
        <c:ser>
          <c:idx val="6"/>
          <c:order val="6"/>
          <c:tx>
            <c:strRef>
              <c:f>'CR-Supermarket'!$I$3</c:f>
              <c:strCache>
                <c:ptCount val="1"/>
                <c:pt idx="0">
                  <c:v>HFC-32</c:v>
                </c:pt>
              </c:strCache>
            </c:strRef>
          </c:tx>
          <c:cat>
            <c:numRef>
              <c:f>'CR-Supermarket'!$B$82:$B$94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'CR-Supermarket'!$I$82:$I$94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7"/>
          <c:order val="7"/>
          <c:tx>
            <c:strRef>
              <c:f>'CR-Supermarket'!$J$3</c:f>
              <c:strCache>
                <c:ptCount val="1"/>
                <c:pt idx="0">
                  <c:v>HFC-Mix</c:v>
                </c:pt>
              </c:strCache>
            </c:strRef>
          </c:tx>
          <c:cat>
            <c:numRef>
              <c:f>'CR-Supermarket'!$B$82:$B$94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'CR-Supermarket'!$J$82:$J$94</c:f>
              <c:numCache>
                <c:formatCode>#,##0</c:formatCode>
                <c:ptCount val="13"/>
                <c:pt idx="0">
                  <c:v>36678.132796775586</c:v>
                </c:pt>
                <c:pt idx="1">
                  <c:v>24498.316431038606</c:v>
                </c:pt>
                <c:pt idx="2">
                  <c:v>16985.90392878242</c:v>
                </c:pt>
                <c:pt idx="3">
                  <c:v>12223.656195037798</c:v>
                </c:pt>
                <c:pt idx="4">
                  <c:v>5174.2790764570454</c:v>
                </c:pt>
                <c:pt idx="5">
                  <c:v>4616.4739194611902</c:v>
                </c:pt>
                <c:pt idx="6">
                  <c:v>4070.0267419933889</c:v>
                </c:pt>
                <c:pt idx="7">
                  <c:v>3534.8123809533772</c:v>
                </c:pt>
                <c:pt idx="8">
                  <c:v>3011.0697636679547</c:v>
                </c:pt>
                <c:pt idx="9">
                  <c:v>2500.2110545735104</c:v>
                </c:pt>
                <c:pt idx="10">
                  <c:v>2006.5014682035608</c:v>
                </c:pt>
                <c:pt idx="11">
                  <c:v>1539.2601793221011</c:v>
                </c:pt>
                <c:pt idx="12">
                  <c:v>1113.8324548243036</c:v>
                </c:pt>
              </c:numCache>
            </c:numRef>
          </c:val>
        </c:ser>
        <c:ser>
          <c:idx val="8"/>
          <c:order val="8"/>
          <c:tx>
            <c:strRef>
              <c:f>'CR-Supermarket'!$K$3</c:f>
              <c:strCache>
                <c:ptCount val="1"/>
                <c:pt idx="0">
                  <c:v>GWP &lt;2150</c:v>
                </c:pt>
              </c:strCache>
            </c:strRef>
          </c:tx>
          <c:cat>
            <c:numRef>
              <c:f>'CR-Supermarket'!$B$82:$B$94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'CR-Supermarket'!$K$82:$K$94</c:f>
              <c:numCache>
                <c:formatCode>#,##0</c:formatCode>
                <c:ptCount val="13"/>
                <c:pt idx="0">
                  <c:v>0</c:v>
                </c:pt>
                <c:pt idx="1">
                  <c:v>0</c:v>
                </c:pt>
                <c:pt idx="2">
                  <c:v>2818.181818181818</c:v>
                </c:pt>
                <c:pt idx="3">
                  <c:v>5908.6765991102238</c:v>
                </c:pt>
                <c:pt idx="4">
                  <c:v>9265.8202311636451</c:v>
                </c:pt>
                <c:pt idx="5">
                  <c:v>12884.061986287903</c:v>
                </c:pt>
                <c:pt idx="6">
                  <c:v>16757.961927617951</c:v>
                </c:pt>
                <c:pt idx="7">
                  <c:v>20882.185731435417</c:v>
                </c:pt>
                <c:pt idx="8">
                  <c:v>25115.59740347608</c:v>
                </c:pt>
                <c:pt idx="9">
                  <c:v>29455.741355873219</c:v>
                </c:pt>
                <c:pt idx="10">
                  <c:v>33899.623811844358</c:v>
                </c:pt>
                <c:pt idx="11">
                  <c:v>38442.362187806088</c:v>
                </c:pt>
                <c:pt idx="12">
                  <c:v>43074.275976503079</c:v>
                </c:pt>
              </c:numCache>
            </c:numRef>
          </c:val>
        </c:ser>
        <c:ser>
          <c:idx val="9"/>
          <c:order val="9"/>
          <c:tx>
            <c:strRef>
              <c:f>'CR-Supermarket'!$L$3</c:f>
              <c:strCache>
                <c:ptCount val="1"/>
                <c:pt idx="0">
                  <c:v>GWP &lt;1000</c:v>
                </c:pt>
              </c:strCache>
            </c:strRef>
          </c:tx>
          <c:cat>
            <c:numRef>
              <c:f>'CR-Supermarket'!$B$82:$B$94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'CR-Supermarket'!$L$82:$L$94</c:f>
              <c:numCache>
                <c:formatCode>#,##0</c:formatCode>
                <c:ptCount val="13"/>
                <c:pt idx="0">
                  <c:v>0</c:v>
                </c:pt>
                <c:pt idx="1">
                  <c:v>0</c:v>
                </c:pt>
                <c:pt idx="2">
                  <c:v>3818.181818181818</c:v>
                </c:pt>
                <c:pt idx="3">
                  <c:v>7908.6765991102238</c:v>
                </c:pt>
                <c:pt idx="4">
                  <c:v>12265.820231163649</c:v>
                </c:pt>
                <c:pt idx="5">
                  <c:v>16884.061986287958</c:v>
                </c:pt>
                <c:pt idx="6">
                  <c:v>21757.961927617951</c:v>
                </c:pt>
                <c:pt idx="7">
                  <c:v>26882.185731435417</c:v>
                </c:pt>
                <c:pt idx="8">
                  <c:v>32251.481789649941</c:v>
                </c:pt>
                <c:pt idx="9">
                  <c:v>37860.568118165982</c:v>
                </c:pt>
                <c:pt idx="10">
                  <c:v>43703.681122463175</c:v>
                </c:pt>
                <c:pt idx="11">
                  <c:v>49773.223686112498</c:v>
                </c:pt>
                <c:pt idx="12">
                  <c:v>56056.853470057962</c:v>
                </c:pt>
              </c:numCache>
            </c:numRef>
          </c:val>
        </c:ser>
        <c:ser>
          <c:idx val="10"/>
          <c:order val="10"/>
          <c:tx>
            <c:strRef>
              <c:f>'CR-Supermarket'!$M$3</c:f>
              <c:strCache>
                <c:ptCount val="1"/>
                <c:pt idx="0">
                  <c:v>GWP &lt;10</c:v>
                </c:pt>
              </c:strCache>
            </c:strRef>
          </c:tx>
          <c:cat>
            <c:numRef>
              <c:f>'CR-Supermarket'!$B$82:$B$94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'CR-Supermarket'!$M$82:$M$94</c:f>
              <c:numCache>
                <c:formatCode>#,##0</c:formatCode>
                <c:ptCount val="13"/>
                <c:pt idx="0">
                  <c:v>69030.99174129132</c:v>
                </c:pt>
                <c:pt idx="1">
                  <c:v>75845.523390822942</c:v>
                </c:pt>
                <c:pt idx="2">
                  <c:v>86817.6060981193</c:v>
                </c:pt>
                <c:pt idx="3">
                  <c:v>98099.807976746117</c:v>
                </c:pt>
                <c:pt idx="4">
                  <c:v>109646.22156064809</c:v>
                </c:pt>
                <c:pt idx="5">
                  <c:v>121395.40791759377</c:v>
                </c:pt>
                <c:pt idx="6">
                  <c:v>133279.39259934824</c:v>
                </c:pt>
                <c:pt idx="7">
                  <c:v>145236.43445376548</c:v>
                </c:pt>
                <c:pt idx="8">
                  <c:v>157343.60416053879</c:v>
                </c:pt>
                <c:pt idx="9">
                  <c:v>169571.40833416401</c:v>
                </c:pt>
                <c:pt idx="10">
                  <c:v>181907.48148529205</c:v>
                </c:pt>
                <c:pt idx="11">
                  <c:v>194352.71740290578</c:v>
                </c:pt>
                <c:pt idx="12">
                  <c:v>206916.04501749444</c:v>
                </c:pt>
              </c:numCache>
            </c:numRef>
          </c:val>
        </c:ser>
        <c:axId val="43071360"/>
        <c:axId val="43072896"/>
      </c:areaChart>
      <c:catAx>
        <c:axId val="43071360"/>
        <c:scaling>
          <c:orientation val="minMax"/>
        </c:scaling>
        <c:axPos val="b"/>
        <c:numFmt formatCode="General" sourceLinked="1"/>
        <c:tickLblPos val="nextTo"/>
        <c:txPr>
          <a:bodyPr/>
          <a:lstStyle/>
          <a:p>
            <a:pPr>
              <a:defRPr sz="800"/>
            </a:pPr>
            <a:endParaRPr lang="en-US"/>
          </a:p>
        </c:txPr>
        <c:crossAx val="43072896"/>
        <c:crosses val="autoZero"/>
        <c:auto val="1"/>
        <c:lblAlgn val="ctr"/>
        <c:lblOffset val="100"/>
      </c:catAx>
      <c:valAx>
        <c:axId val="43072896"/>
        <c:scaling>
          <c:orientation val="minMax"/>
        </c:scaling>
        <c:axPos val="l"/>
        <c:majorGridlines/>
        <c:numFmt formatCode="#,##0" sourceLinked="1"/>
        <c:tickLblPos val="nextTo"/>
        <c:txPr>
          <a:bodyPr/>
          <a:lstStyle/>
          <a:p>
            <a:pPr>
              <a:defRPr sz="800"/>
            </a:pPr>
            <a:endParaRPr lang="en-US"/>
          </a:p>
        </c:txPr>
        <c:crossAx val="43071360"/>
        <c:crosses val="autoZero"/>
        <c:crossBetween val="midCat"/>
        <c:dispUnits>
          <c:builtInUnit val="thousands"/>
        </c:dispUnits>
      </c:valAx>
    </c:plotArea>
    <c:legend>
      <c:legendPos val="r"/>
      <c:txPr>
        <a:bodyPr/>
        <a:lstStyle/>
        <a:p>
          <a:pPr>
            <a:defRPr sz="800"/>
          </a:pPr>
          <a:endParaRPr lang="en-US"/>
        </a:p>
      </c:txPr>
    </c:legend>
    <c:plotVisOnly val="1"/>
    <c:dispBlanksAs val="zero"/>
  </c:chart>
  <c:spPr>
    <a:ln>
      <a:no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AU"/>
  <c:style val="18"/>
  <c:chart>
    <c:autoTitleDeleted val="1"/>
    <c:view3D>
      <c:rAngAx val="1"/>
    </c:view3D>
    <c:plotArea>
      <c:layout>
        <c:manualLayout>
          <c:layoutTarget val="inner"/>
          <c:xMode val="edge"/>
          <c:yMode val="edge"/>
          <c:x val="4.9661700941228806E-2"/>
          <c:y val="2.1843733349120816E-2"/>
          <c:w val="0.81103539942122449"/>
          <c:h val="0.88982569613009332"/>
        </c:manualLayout>
      </c:layout>
      <c:bar3DChart>
        <c:barDir val="col"/>
        <c:grouping val="percentStacked"/>
        <c:ser>
          <c:idx val="0"/>
          <c:order val="0"/>
          <c:tx>
            <c:strRef>
              <c:f>'Sector charts'!$B$65</c:f>
              <c:strCache>
                <c:ptCount val="1"/>
                <c:pt idx="0">
                  <c:v>Hot water heatpumps</c:v>
                </c:pt>
              </c:strCache>
            </c:strRef>
          </c:tx>
          <c:dLbls>
            <c:delete val="1"/>
          </c:dLbls>
          <c:cat>
            <c:strRef>
              <c:f>'Sector charts'!$C$64:$D$64</c:f>
              <c:strCache>
                <c:ptCount val="2"/>
                <c:pt idx="0">
                  <c:v>Consumption</c:v>
                </c:pt>
                <c:pt idx="1">
                  <c:v>Bank</c:v>
                </c:pt>
              </c:strCache>
            </c:strRef>
          </c:cat>
          <c:val>
            <c:numRef>
              <c:f>'Sector charts'!$C$65:$D$65</c:f>
              <c:numCache>
                <c:formatCode>#,##0</c:formatCode>
                <c:ptCount val="2"/>
                <c:pt idx="0">
                  <c:v>20</c:v>
                </c:pt>
                <c:pt idx="1">
                  <c:v>170</c:v>
                </c:pt>
              </c:numCache>
            </c:numRef>
          </c:val>
        </c:ser>
        <c:ser>
          <c:idx val="1"/>
          <c:order val="1"/>
          <c:tx>
            <c:strRef>
              <c:f>'Sector charts'!$B$66</c:f>
              <c:strCache>
                <c:ptCount val="1"/>
                <c:pt idx="0">
                  <c:v>Small AC</c:v>
                </c:pt>
              </c:strCache>
            </c:strRef>
          </c:tx>
          <c:cat>
            <c:strRef>
              <c:f>'Sector charts'!$C$64:$D$64</c:f>
              <c:strCache>
                <c:ptCount val="2"/>
                <c:pt idx="0">
                  <c:v>Consumption</c:v>
                </c:pt>
                <c:pt idx="1">
                  <c:v>Bank</c:v>
                </c:pt>
              </c:strCache>
            </c:strRef>
          </c:cat>
          <c:val>
            <c:numRef>
              <c:f>'Sector charts'!$C$66:$D$66</c:f>
              <c:numCache>
                <c:formatCode>#,##0</c:formatCode>
                <c:ptCount val="2"/>
                <c:pt idx="0">
                  <c:v>55</c:v>
                </c:pt>
                <c:pt idx="1">
                  <c:v>1740</c:v>
                </c:pt>
              </c:numCache>
            </c:numRef>
          </c:val>
        </c:ser>
        <c:ser>
          <c:idx val="2"/>
          <c:order val="2"/>
          <c:tx>
            <c:strRef>
              <c:f>'Sector charts'!$B$67</c:f>
              <c:strCache>
                <c:ptCount val="1"/>
                <c:pt idx="0">
                  <c:v>Medium AC</c:v>
                </c:pt>
              </c:strCache>
            </c:strRef>
          </c:tx>
          <c:cat>
            <c:strRef>
              <c:f>'Sector charts'!$C$64:$D$64</c:f>
              <c:strCache>
                <c:ptCount val="2"/>
                <c:pt idx="0">
                  <c:v>Consumption</c:v>
                </c:pt>
                <c:pt idx="1">
                  <c:v>Bank</c:v>
                </c:pt>
              </c:strCache>
            </c:strRef>
          </c:cat>
          <c:val>
            <c:numRef>
              <c:f>'Sector charts'!$C$67:$D$67</c:f>
              <c:numCache>
                <c:formatCode>#,##0</c:formatCode>
                <c:ptCount val="2"/>
                <c:pt idx="0">
                  <c:v>1200</c:v>
                </c:pt>
                <c:pt idx="1">
                  <c:v>23550</c:v>
                </c:pt>
              </c:numCache>
            </c:numRef>
          </c:val>
        </c:ser>
        <c:ser>
          <c:idx val="3"/>
          <c:order val="3"/>
          <c:tx>
            <c:strRef>
              <c:f>'Sector charts'!$B$68</c:f>
              <c:strCache>
                <c:ptCount val="1"/>
                <c:pt idx="0">
                  <c:v>Large AC</c:v>
                </c:pt>
              </c:strCache>
            </c:strRef>
          </c:tx>
          <c:cat>
            <c:strRef>
              <c:f>'Sector charts'!$C$64:$D$64</c:f>
              <c:strCache>
                <c:ptCount val="2"/>
                <c:pt idx="0">
                  <c:v>Consumption</c:v>
                </c:pt>
                <c:pt idx="1">
                  <c:v>Bank</c:v>
                </c:pt>
              </c:strCache>
            </c:strRef>
          </c:cat>
          <c:val>
            <c:numRef>
              <c:f>'Sector charts'!$C$68:$D$68</c:f>
              <c:numCache>
                <c:formatCode>#,##0</c:formatCode>
                <c:ptCount val="2"/>
                <c:pt idx="0">
                  <c:v>280</c:v>
                </c:pt>
                <c:pt idx="1">
                  <c:v>3390</c:v>
                </c:pt>
              </c:numCache>
            </c:numRef>
          </c:val>
        </c:ser>
        <c:dLbls>
          <c:showVal val="1"/>
        </c:dLbls>
        <c:shape val="cylinder"/>
        <c:axId val="43131648"/>
        <c:axId val="43133184"/>
        <c:axId val="0"/>
      </c:bar3DChart>
      <c:catAx>
        <c:axId val="43131648"/>
        <c:scaling>
          <c:orientation val="minMax"/>
        </c:scaling>
        <c:axPos val="b"/>
        <c:tickLblPos val="nextTo"/>
        <c:crossAx val="43133184"/>
        <c:crosses val="autoZero"/>
        <c:auto val="1"/>
        <c:lblAlgn val="ctr"/>
        <c:lblOffset val="100"/>
      </c:catAx>
      <c:valAx>
        <c:axId val="43133184"/>
        <c:scaling>
          <c:orientation val="minMax"/>
        </c:scaling>
        <c:axPos val="l"/>
        <c:majorGridlines/>
        <c:numFmt formatCode="0%" sourceLinked="1"/>
        <c:tickLblPos val="nextTo"/>
        <c:crossAx val="43131648"/>
        <c:crosses val="autoZero"/>
        <c:crossBetween val="between"/>
      </c:valAx>
    </c:plotArea>
    <c:legend>
      <c:legendPos val="r"/>
      <c:layout>
        <c:manualLayout>
          <c:xMode val="edge"/>
          <c:yMode val="edge"/>
          <c:x val="0.8479828242623505"/>
          <c:y val="9.8780511811023625E-2"/>
          <c:w val="0.15003322979123127"/>
          <c:h val="0.53224298978661166"/>
        </c:manualLayout>
      </c:layout>
    </c:legend>
    <c:plotVisOnly val="1"/>
    <c:dispBlanksAs val="gap"/>
  </c:chart>
  <c:spPr>
    <a:ln>
      <a:noFill/>
    </a:ln>
  </c:spPr>
  <c:txPr>
    <a:bodyPr/>
    <a:lstStyle/>
    <a:p>
      <a:pPr>
        <a:defRPr sz="800"/>
      </a:pPr>
      <a:endParaRPr lang="en-US"/>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AU"/>
  <c:style val="18"/>
  <c:chart>
    <c:plotArea>
      <c:layout/>
      <c:areaChart>
        <c:grouping val="stacked"/>
        <c:ser>
          <c:idx val="0"/>
          <c:order val="0"/>
          <c:tx>
            <c:strRef>
              <c:f>'Small AC - Sealed units'!$C$3</c:f>
              <c:strCache>
                <c:ptCount val="1"/>
                <c:pt idx="0">
                  <c:v>HCFC-22</c:v>
                </c:pt>
              </c:strCache>
            </c:strRef>
          </c:tx>
          <c:spPr>
            <a:solidFill>
              <a:srgbClr val="FF0000"/>
            </a:solidFill>
          </c:spPr>
          <c:cat>
            <c:numRef>
              <c:f>'Small AC - Sealed units'!$B$5:$B$17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'Small AC - Sealed units'!$C$5:$C$17</c:f>
              <c:numCache>
                <c:formatCode>#,##0</c:formatCode>
                <c:ptCount val="13"/>
                <c:pt idx="0">
                  <c:v>1136328.6050247399</c:v>
                </c:pt>
                <c:pt idx="1">
                  <c:v>955852.52177476848</c:v>
                </c:pt>
                <c:pt idx="2">
                  <c:v>775824.14446839888</c:v>
                </c:pt>
                <c:pt idx="3">
                  <c:v>606343.72235357168</c:v>
                </c:pt>
                <c:pt idx="4">
                  <c:v>452874.94658036495</c:v>
                </c:pt>
                <c:pt idx="5">
                  <c:v>318119.64515015169</c:v>
                </c:pt>
                <c:pt idx="6">
                  <c:v>205418.54187834851</c:v>
                </c:pt>
                <c:pt idx="7">
                  <c:v>118891.8385983684</c:v>
                </c:pt>
                <c:pt idx="8">
                  <c:v>60223.782301526626</c:v>
                </c:pt>
                <c:pt idx="9">
                  <c:v>26155.096645542741</c:v>
                </c:pt>
                <c:pt idx="10">
                  <c:v>9574.9279399384359</c:v>
                </c:pt>
                <c:pt idx="11">
                  <c:v>2913.7510160829243</c:v>
                </c:pt>
                <c:pt idx="12">
                  <c:v>728.54783629065412</c:v>
                </c:pt>
              </c:numCache>
            </c:numRef>
          </c:val>
        </c:ser>
        <c:ser>
          <c:idx val="1"/>
          <c:order val="1"/>
          <c:tx>
            <c:strRef>
              <c:f>'Small AC - Sealed units'!$D$3</c:f>
              <c:strCache>
                <c:ptCount val="1"/>
                <c:pt idx="0">
                  <c:v>HCFC-123</c:v>
                </c:pt>
              </c:strCache>
            </c:strRef>
          </c:tx>
          <c:cat>
            <c:numRef>
              <c:f>'Small AC - Sealed units'!$B$5:$B$17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'Small AC - Sealed units'!$D$5:$D$17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2"/>
          <c:order val="2"/>
          <c:tx>
            <c:strRef>
              <c:f>'Small AC - Sealed units'!$E$3</c:f>
              <c:strCache>
                <c:ptCount val="1"/>
                <c:pt idx="0">
                  <c:v>HFC-134a</c:v>
                </c:pt>
              </c:strCache>
            </c:strRef>
          </c:tx>
          <c:cat>
            <c:numRef>
              <c:f>'Small AC - Sealed units'!$B$5:$B$17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'Small AC - Sealed units'!$E$5:$E$17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3"/>
          <c:order val="3"/>
          <c:tx>
            <c:strRef>
              <c:f>'Small AC - Sealed units'!$F$3</c:f>
              <c:strCache>
                <c:ptCount val="1"/>
                <c:pt idx="0">
                  <c:v>HFC-404A</c:v>
                </c:pt>
              </c:strCache>
            </c:strRef>
          </c:tx>
          <c:cat>
            <c:numRef>
              <c:f>'Small AC - Sealed units'!$B$5:$B$17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'Small AC - Sealed units'!$F$5:$F$17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4"/>
          <c:order val="4"/>
          <c:tx>
            <c:strRef>
              <c:f>'Small AC - Sealed units'!$G$3</c:f>
              <c:strCache>
                <c:ptCount val="1"/>
                <c:pt idx="0">
                  <c:v>HFC-410A</c:v>
                </c:pt>
              </c:strCache>
            </c:strRef>
          </c:tx>
          <c:cat>
            <c:numRef>
              <c:f>'Small AC - Sealed units'!$B$5:$B$17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'Small AC - Sealed units'!$G$5:$G$17</c:f>
              <c:numCache>
                <c:formatCode>#,##0</c:formatCode>
                <c:ptCount val="13"/>
                <c:pt idx="0">
                  <c:v>493404.86780708027</c:v>
                </c:pt>
                <c:pt idx="1">
                  <c:v>602023.91051132721</c:v>
                </c:pt>
                <c:pt idx="2">
                  <c:v>700044.26933924528</c:v>
                </c:pt>
                <c:pt idx="3">
                  <c:v>786319.74311788834</c:v>
                </c:pt>
                <c:pt idx="4">
                  <c:v>857862.69278645387</c:v>
                </c:pt>
                <c:pt idx="5">
                  <c:v>909724.02303625713</c:v>
                </c:pt>
                <c:pt idx="6">
                  <c:v>936544.79116213508</c:v>
                </c:pt>
                <c:pt idx="7">
                  <c:v>935476.57645864843</c:v>
                </c:pt>
                <c:pt idx="8">
                  <c:v>902588.29231993807</c:v>
                </c:pt>
                <c:pt idx="9">
                  <c:v>843663.15258047928</c:v>
                </c:pt>
                <c:pt idx="10">
                  <c:v>765571.94269992481</c:v>
                </c:pt>
                <c:pt idx="11">
                  <c:v>674311.06391981361</c:v>
                </c:pt>
                <c:pt idx="12">
                  <c:v>574611.30956423702</c:v>
                </c:pt>
              </c:numCache>
            </c:numRef>
          </c:val>
        </c:ser>
        <c:ser>
          <c:idx val="5"/>
          <c:order val="5"/>
          <c:tx>
            <c:strRef>
              <c:f>'Small AC - Sealed units'!$H$3</c:f>
              <c:strCache>
                <c:ptCount val="1"/>
                <c:pt idx="0">
                  <c:v>HFC-407C</c:v>
                </c:pt>
              </c:strCache>
            </c:strRef>
          </c:tx>
          <c:cat>
            <c:numRef>
              <c:f>'Small AC - Sealed units'!$B$5:$B$17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'Small AC - Sealed units'!$H$5:$H$17</c:f>
              <c:numCache>
                <c:formatCode>#,##0</c:formatCode>
                <c:ptCount val="13"/>
                <c:pt idx="0">
                  <c:v>96975.441426486635</c:v>
                </c:pt>
                <c:pt idx="1">
                  <c:v>94251.124358379006</c:v>
                </c:pt>
                <c:pt idx="2">
                  <c:v>89096.189826518865</c:v>
                </c:pt>
                <c:pt idx="3">
                  <c:v>80869.068876357313</c:v>
                </c:pt>
                <c:pt idx="4">
                  <c:v>69573.818220852772</c:v>
                </c:pt>
                <c:pt idx="5">
                  <c:v>55982.01781510334</c:v>
                </c:pt>
                <c:pt idx="6">
                  <c:v>41486.941649345004</c:v>
                </c:pt>
                <c:pt idx="7">
                  <c:v>27804.807602177316</c:v>
                </c:pt>
                <c:pt idx="8">
                  <c:v>16518.102576116024</c:v>
                </c:pt>
                <c:pt idx="9">
                  <c:v>8527.4861344738838</c:v>
                </c:pt>
                <c:pt idx="10">
                  <c:v>3758.078588625674</c:v>
                </c:pt>
                <c:pt idx="11">
                  <c:v>1392.7908322889648</c:v>
                </c:pt>
                <c:pt idx="12">
                  <c:v>428.83791873686852</c:v>
                </c:pt>
              </c:numCache>
            </c:numRef>
          </c:val>
        </c:ser>
        <c:ser>
          <c:idx val="6"/>
          <c:order val="6"/>
          <c:tx>
            <c:strRef>
              <c:f>'Small AC - Sealed units'!$I$3</c:f>
              <c:strCache>
                <c:ptCount val="1"/>
                <c:pt idx="0">
                  <c:v>HFC-32</c:v>
                </c:pt>
              </c:strCache>
            </c:strRef>
          </c:tx>
          <c:cat>
            <c:numRef>
              <c:f>'Small AC - Sealed units'!$B$5:$B$17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'Small AC - Sealed units'!$I$5:$I$17</c:f>
              <c:numCache>
                <c:formatCode>#,##0</c:formatCode>
                <c:ptCount val="13"/>
                <c:pt idx="0">
                  <c:v>0</c:v>
                </c:pt>
                <c:pt idx="1">
                  <c:v>0</c:v>
                </c:pt>
                <c:pt idx="2">
                  <c:v>5535.3442680550252</c:v>
                </c:pt>
                <c:pt idx="3">
                  <c:v>16273.905499229199</c:v>
                </c:pt>
                <c:pt idx="4">
                  <c:v>31898.442192989525</c:v>
                </c:pt>
                <c:pt idx="5">
                  <c:v>52105.608281098976</c:v>
                </c:pt>
                <c:pt idx="6">
                  <c:v>76603.177080143287</c:v>
                </c:pt>
                <c:pt idx="7">
                  <c:v>105100.15062793229</c:v>
                </c:pt>
                <c:pt idx="8">
                  <c:v>138198.90470951979</c:v>
                </c:pt>
                <c:pt idx="9">
                  <c:v>175427.95928177808</c:v>
                </c:pt>
                <c:pt idx="10">
                  <c:v>216119.43122971879</c:v>
                </c:pt>
                <c:pt idx="11">
                  <c:v>259329.5803143259</c:v>
                </c:pt>
                <c:pt idx="12">
                  <c:v>303880.53900271276</c:v>
                </c:pt>
              </c:numCache>
            </c:numRef>
          </c:val>
        </c:ser>
        <c:ser>
          <c:idx val="7"/>
          <c:order val="7"/>
          <c:tx>
            <c:strRef>
              <c:f>'Small AC - Sealed units'!$J$3</c:f>
              <c:strCache>
                <c:ptCount val="1"/>
                <c:pt idx="0">
                  <c:v>HFC-Mix</c:v>
                </c:pt>
              </c:strCache>
            </c:strRef>
          </c:tx>
          <c:cat>
            <c:numRef>
              <c:f>'Small AC - Sealed units'!$B$5:$B$17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'Small AC - Sealed units'!$J$5:$J$17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8"/>
          <c:order val="8"/>
          <c:tx>
            <c:strRef>
              <c:f>'Small AC - Sealed units'!$K$3</c:f>
              <c:strCache>
                <c:ptCount val="1"/>
                <c:pt idx="0">
                  <c:v>GWP &lt;2150</c:v>
                </c:pt>
              </c:strCache>
            </c:strRef>
          </c:tx>
          <c:cat>
            <c:numRef>
              <c:f>'Small AC - Sealed units'!$B$5:$B$17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'Small AC - Sealed units'!$K$5:$K$17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9"/>
          <c:order val="9"/>
          <c:tx>
            <c:strRef>
              <c:f>'Small AC - Sealed units'!$L$3</c:f>
              <c:strCache>
                <c:ptCount val="1"/>
                <c:pt idx="0">
                  <c:v>GWP &lt;1000</c:v>
                </c:pt>
              </c:strCache>
            </c:strRef>
          </c:tx>
          <c:cat>
            <c:numRef>
              <c:f>'Small AC - Sealed units'!$B$5:$B$17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'Small AC - Sealed units'!$L$5:$L$17</c:f>
              <c:numCache>
                <c:formatCode>#,##0</c:formatCode>
                <c:ptCount val="13"/>
                <c:pt idx="0">
                  <c:v>0</c:v>
                </c:pt>
                <c:pt idx="1">
                  <c:v>0</c:v>
                </c:pt>
                <c:pt idx="2">
                  <c:v>0</c:v>
                </c:pt>
                <c:pt idx="3">
                  <c:v>0</c:v>
                </c:pt>
                <c:pt idx="4">
                  <c:v>0</c:v>
                </c:pt>
                <c:pt idx="5">
                  <c:v>0</c:v>
                </c:pt>
                <c:pt idx="6">
                  <c:v>0</c:v>
                </c:pt>
                <c:pt idx="7">
                  <c:v>0</c:v>
                </c:pt>
                <c:pt idx="8">
                  <c:v>1844.3147251736059</c:v>
                </c:pt>
                <c:pt idx="9">
                  <c:v>5422.2830766872221</c:v>
                </c:pt>
                <c:pt idx="10">
                  <c:v>10628.20373904251</c:v>
                </c:pt>
                <c:pt idx="11">
                  <c:v>17361.005199180821</c:v>
                </c:pt>
                <c:pt idx="12">
                  <c:v>25523.320798551271</c:v>
                </c:pt>
              </c:numCache>
            </c:numRef>
          </c:val>
        </c:ser>
        <c:ser>
          <c:idx val="10"/>
          <c:order val="10"/>
          <c:tx>
            <c:strRef>
              <c:f>'Small AC - Sealed units'!$M$3</c:f>
              <c:strCache>
                <c:ptCount val="1"/>
                <c:pt idx="0">
                  <c:v>GWP &lt;10</c:v>
                </c:pt>
              </c:strCache>
            </c:strRef>
          </c:tx>
          <c:cat>
            <c:numRef>
              <c:f>'Small AC - Sealed units'!$B$5:$B$17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'Small AC - Sealed units'!$M$5:$M$17</c:f>
              <c:numCache>
                <c:formatCode>#,##0</c:formatCode>
                <c:ptCount val="13"/>
                <c:pt idx="0">
                  <c:v>11970.983432516996</c:v>
                </c:pt>
                <c:pt idx="1">
                  <c:v>17216.967958627851</c:v>
                </c:pt>
                <c:pt idx="2">
                  <c:v>23288.966747746821</c:v>
                </c:pt>
                <c:pt idx="3">
                  <c:v>30104.613549935268</c:v>
                </c:pt>
                <c:pt idx="4">
                  <c:v>37551.306283746424</c:v>
                </c:pt>
                <c:pt idx="5">
                  <c:v>45476.957783577222</c:v>
                </c:pt>
                <c:pt idx="6">
                  <c:v>53699.174901429258</c:v>
                </c:pt>
                <c:pt idx="7">
                  <c:v>62029.445934191011</c:v>
                </c:pt>
                <c:pt idx="8">
                  <c:v>73150.010788432352</c:v>
                </c:pt>
                <c:pt idx="9">
                  <c:v>86727.989408222042</c:v>
                </c:pt>
                <c:pt idx="10">
                  <c:v>102458.85536874166</c:v>
                </c:pt>
                <c:pt idx="11">
                  <c:v>120086.0563683284</c:v>
                </c:pt>
                <c:pt idx="12">
                  <c:v>139415.80423506579</c:v>
                </c:pt>
              </c:numCache>
            </c:numRef>
          </c:val>
        </c:ser>
        <c:axId val="43209856"/>
        <c:axId val="43211392"/>
      </c:areaChart>
      <c:catAx>
        <c:axId val="43209856"/>
        <c:scaling>
          <c:orientation val="minMax"/>
        </c:scaling>
        <c:axPos val="b"/>
        <c:numFmt formatCode="General" sourceLinked="1"/>
        <c:tickLblPos val="nextTo"/>
        <c:txPr>
          <a:bodyPr/>
          <a:lstStyle/>
          <a:p>
            <a:pPr>
              <a:defRPr sz="800"/>
            </a:pPr>
            <a:endParaRPr lang="en-US"/>
          </a:p>
        </c:txPr>
        <c:crossAx val="43211392"/>
        <c:crosses val="autoZero"/>
        <c:auto val="1"/>
        <c:lblAlgn val="ctr"/>
        <c:lblOffset val="100"/>
      </c:catAx>
      <c:valAx>
        <c:axId val="43211392"/>
        <c:scaling>
          <c:orientation val="minMax"/>
        </c:scaling>
        <c:axPos val="l"/>
        <c:majorGridlines/>
        <c:numFmt formatCode="#,##0" sourceLinked="1"/>
        <c:tickLblPos val="nextTo"/>
        <c:txPr>
          <a:bodyPr/>
          <a:lstStyle/>
          <a:p>
            <a:pPr>
              <a:defRPr sz="800"/>
            </a:pPr>
            <a:endParaRPr lang="en-US"/>
          </a:p>
        </c:txPr>
        <c:crossAx val="43209856"/>
        <c:crosses val="autoZero"/>
        <c:crossBetween val="midCat"/>
        <c:dispUnits>
          <c:builtInUnit val="thousands"/>
        </c:dispUnits>
      </c:valAx>
    </c:plotArea>
    <c:legend>
      <c:legendPos val="r"/>
      <c:txPr>
        <a:bodyPr/>
        <a:lstStyle/>
        <a:p>
          <a:pPr>
            <a:defRPr sz="800"/>
          </a:pPr>
          <a:endParaRPr lang="en-US"/>
        </a:p>
      </c:txPr>
    </c:legend>
    <c:plotVisOnly val="1"/>
    <c:dispBlanksAs val="zero"/>
  </c:chart>
  <c:spPr>
    <a:ln>
      <a:no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AU"/>
  <c:style val="18"/>
  <c:chart>
    <c:plotArea>
      <c:layout/>
      <c:areaChart>
        <c:grouping val="stacked"/>
        <c:ser>
          <c:idx val="0"/>
          <c:order val="0"/>
          <c:tx>
            <c:strRef>
              <c:f>'Small AC - Sealed units'!$C$3</c:f>
              <c:strCache>
                <c:ptCount val="1"/>
                <c:pt idx="0">
                  <c:v>HCFC-22</c:v>
                </c:pt>
              </c:strCache>
            </c:strRef>
          </c:tx>
          <c:spPr>
            <a:solidFill>
              <a:srgbClr val="FF0000"/>
            </a:solidFill>
          </c:spPr>
          <c:cat>
            <c:numRef>
              <c:f>'Small AC - Sealed units'!$B$82:$B$94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'Small AC - Sealed units'!$C$82:$C$94</c:f>
              <c:numCache>
                <c:formatCode>#,##0</c:formatCode>
                <c:ptCount val="13"/>
                <c:pt idx="0">
                  <c:v>34089.858150742424</c:v>
                </c:pt>
                <c:pt idx="1">
                  <c:v>28675.575653243061</c:v>
                </c:pt>
                <c:pt idx="2">
                  <c:v>23274.724334051971</c:v>
                </c:pt>
                <c:pt idx="3">
                  <c:v>18190.311670607029</c:v>
                </c:pt>
                <c:pt idx="4">
                  <c:v>13586.248397410931</c:v>
                </c:pt>
                <c:pt idx="5">
                  <c:v>9543.5893545045892</c:v>
                </c:pt>
                <c:pt idx="6">
                  <c:v>6162.5562563504554</c:v>
                </c:pt>
                <c:pt idx="7">
                  <c:v>3566.7551579510587</c:v>
                </c:pt>
                <c:pt idx="8">
                  <c:v>1806.7134690458001</c:v>
                </c:pt>
                <c:pt idx="9">
                  <c:v>784.65289936628255</c:v>
                </c:pt>
                <c:pt idx="10">
                  <c:v>287.24783819815531</c:v>
                </c:pt>
                <c:pt idx="11">
                  <c:v>87.412530482487455</c:v>
                </c:pt>
                <c:pt idx="12">
                  <c:v>21.856435088719621</c:v>
                </c:pt>
              </c:numCache>
            </c:numRef>
          </c:val>
        </c:ser>
        <c:ser>
          <c:idx val="1"/>
          <c:order val="1"/>
          <c:tx>
            <c:strRef>
              <c:f>'Small AC - Sealed units'!$D$3</c:f>
              <c:strCache>
                <c:ptCount val="1"/>
                <c:pt idx="0">
                  <c:v>HCFC-123</c:v>
                </c:pt>
              </c:strCache>
            </c:strRef>
          </c:tx>
          <c:cat>
            <c:numRef>
              <c:f>'Small AC - Sealed units'!$B$82:$B$94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'Small AC - Sealed units'!$D$82:$D$94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2"/>
          <c:order val="2"/>
          <c:tx>
            <c:strRef>
              <c:f>'Small AC - Sealed units'!$E$3</c:f>
              <c:strCache>
                <c:ptCount val="1"/>
                <c:pt idx="0">
                  <c:v>HFC-134a</c:v>
                </c:pt>
              </c:strCache>
            </c:strRef>
          </c:tx>
          <c:cat>
            <c:numRef>
              <c:f>'Small AC - Sealed units'!$B$82:$B$94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'Small AC - Sealed units'!$E$82:$E$94</c:f>
              <c:numCache>
                <c:formatCode>#,##0</c:formatCode>
                <c:ptCount val="13"/>
                <c:pt idx="0">
                  <c:v>21500</c:v>
                </c:pt>
                <c:pt idx="1">
                  <c:v>19708.333333333296</c:v>
                </c:pt>
                <c:pt idx="2">
                  <c:v>17916.666666666657</c:v>
                </c:pt>
                <c:pt idx="3">
                  <c:v>16125</c:v>
                </c:pt>
                <c:pt idx="4">
                  <c:v>14333.333333333327</c:v>
                </c:pt>
                <c:pt idx="5">
                  <c:v>12541.66666666665</c:v>
                </c:pt>
                <c:pt idx="6">
                  <c:v>10750</c:v>
                </c:pt>
                <c:pt idx="7">
                  <c:v>8958.333333333323</c:v>
                </c:pt>
                <c:pt idx="8">
                  <c:v>7166.6666666667124</c:v>
                </c:pt>
                <c:pt idx="9">
                  <c:v>5375</c:v>
                </c:pt>
                <c:pt idx="10">
                  <c:v>3583.3333333333621</c:v>
                </c:pt>
                <c:pt idx="11">
                  <c:v>1791.6666666666681</c:v>
                </c:pt>
                <c:pt idx="12">
                  <c:v>0</c:v>
                </c:pt>
              </c:numCache>
            </c:numRef>
          </c:val>
        </c:ser>
        <c:ser>
          <c:idx val="3"/>
          <c:order val="3"/>
          <c:tx>
            <c:strRef>
              <c:f>'Small AC - Sealed units'!$F$3</c:f>
              <c:strCache>
                <c:ptCount val="1"/>
                <c:pt idx="0">
                  <c:v>HFC-404A</c:v>
                </c:pt>
              </c:strCache>
            </c:strRef>
          </c:tx>
          <c:cat>
            <c:numRef>
              <c:f>'Small AC - Sealed units'!$B$82:$B$94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'Small AC - Sealed units'!$F$82:$F$94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4"/>
          <c:order val="4"/>
          <c:tx>
            <c:strRef>
              <c:f>'Small AC - Sealed units'!$G$3</c:f>
              <c:strCache>
                <c:ptCount val="1"/>
                <c:pt idx="0">
                  <c:v>HFC-410A</c:v>
                </c:pt>
              </c:strCache>
            </c:strRef>
          </c:tx>
          <c:cat>
            <c:numRef>
              <c:f>'Small AC - Sealed units'!$B$82:$B$94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'Small AC - Sealed units'!$G$82:$G$94</c:f>
              <c:numCache>
                <c:formatCode>#,##0</c:formatCode>
                <c:ptCount val="13"/>
                <c:pt idx="0">
                  <c:v>14802.14603421247</c:v>
                </c:pt>
                <c:pt idx="1">
                  <c:v>18060.717315339811</c:v>
                </c:pt>
                <c:pt idx="2">
                  <c:v>21001.328080177358</c:v>
                </c:pt>
                <c:pt idx="3">
                  <c:v>23589.592293536651</c:v>
                </c:pt>
                <c:pt idx="4">
                  <c:v>25735.880783593722</c:v>
                </c:pt>
                <c:pt idx="5">
                  <c:v>27291.72069108771</c:v>
                </c:pt>
                <c:pt idx="6">
                  <c:v>28096.343734864091</c:v>
                </c:pt>
                <c:pt idx="7">
                  <c:v>28064.297293759533</c:v>
                </c:pt>
                <c:pt idx="8">
                  <c:v>27077.648769598258</c:v>
                </c:pt>
                <c:pt idx="9">
                  <c:v>25309.894577414303</c:v>
                </c:pt>
                <c:pt idx="10">
                  <c:v>22967.158280997697</c:v>
                </c:pt>
                <c:pt idx="11">
                  <c:v>20229.33191759438</c:v>
                </c:pt>
                <c:pt idx="12">
                  <c:v>17238.339286927003</c:v>
                </c:pt>
              </c:numCache>
            </c:numRef>
          </c:val>
        </c:ser>
        <c:ser>
          <c:idx val="5"/>
          <c:order val="5"/>
          <c:tx>
            <c:strRef>
              <c:f>'Small AC - Sealed units'!$H$3</c:f>
              <c:strCache>
                <c:ptCount val="1"/>
                <c:pt idx="0">
                  <c:v>HFC-407C</c:v>
                </c:pt>
              </c:strCache>
            </c:strRef>
          </c:tx>
          <c:cat>
            <c:numRef>
              <c:f>'Small AC - Sealed units'!$B$82:$B$94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'Small AC - Sealed units'!$H$82:$H$94</c:f>
              <c:numCache>
                <c:formatCode>#,##0</c:formatCode>
                <c:ptCount val="13"/>
                <c:pt idx="0">
                  <c:v>2909.2632427945996</c:v>
                </c:pt>
                <c:pt idx="1">
                  <c:v>2827.5337307513737</c:v>
                </c:pt>
                <c:pt idx="2">
                  <c:v>2672.8856947955569</c:v>
                </c:pt>
                <c:pt idx="3">
                  <c:v>2426.0720662907202</c:v>
                </c:pt>
                <c:pt idx="4">
                  <c:v>2087.2145466255852</c:v>
                </c:pt>
                <c:pt idx="5">
                  <c:v>1679.4605344531001</c:v>
                </c:pt>
                <c:pt idx="6">
                  <c:v>1244.6082494803459</c:v>
                </c:pt>
                <c:pt idx="7">
                  <c:v>834.14422806531786</c:v>
                </c:pt>
                <c:pt idx="8">
                  <c:v>495.5430772834859</c:v>
                </c:pt>
                <c:pt idx="9">
                  <c:v>255.82458403421958</c:v>
                </c:pt>
                <c:pt idx="10">
                  <c:v>112.7423576587705</c:v>
                </c:pt>
                <c:pt idx="11">
                  <c:v>41.783724968669041</c:v>
                </c:pt>
                <c:pt idx="12">
                  <c:v>12.865137562106112</c:v>
                </c:pt>
              </c:numCache>
            </c:numRef>
          </c:val>
        </c:ser>
        <c:ser>
          <c:idx val="6"/>
          <c:order val="6"/>
          <c:tx>
            <c:strRef>
              <c:f>'Small AC - Sealed units'!$I$3</c:f>
              <c:strCache>
                <c:ptCount val="1"/>
                <c:pt idx="0">
                  <c:v>HFC-32</c:v>
                </c:pt>
              </c:strCache>
            </c:strRef>
          </c:tx>
          <c:cat>
            <c:numRef>
              <c:f>'Small AC - Sealed units'!$B$82:$B$94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'Small AC - Sealed units'!$I$82:$I$94</c:f>
              <c:numCache>
                <c:formatCode>#,##0</c:formatCode>
                <c:ptCount val="13"/>
                <c:pt idx="0">
                  <c:v>0</c:v>
                </c:pt>
                <c:pt idx="1">
                  <c:v>0</c:v>
                </c:pt>
                <c:pt idx="2">
                  <c:v>166.06032804165028</c:v>
                </c:pt>
                <c:pt idx="3">
                  <c:v>488.21716497687663</c:v>
                </c:pt>
                <c:pt idx="4">
                  <c:v>956.95326578968286</c:v>
                </c:pt>
                <c:pt idx="5">
                  <c:v>1563.1682484329592</c:v>
                </c:pt>
                <c:pt idx="6">
                  <c:v>2298.0953124043131</c:v>
                </c:pt>
                <c:pt idx="7">
                  <c:v>3153.0045188379622</c:v>
                </c:pt>
                <c:pt idx="8">
                  <c:v>4145.9671412855923</c:v>
                </c:pt>
                <c:pt idx="9">
                  <c:v>5262.8387784533443</c:v>
                </c:pt>
                <c:pt idx="10">
                  <c:v>6483.582936891562</c:v>
                </c:pt>
                <c:pt idx="11">
                  <c:v>7779.8874094297844</c:v>
                </c:pt>
                <c:pt idx="12">
                  <c:v>9116.4161700812983</c:v>
                </c:pt>
              </c:numCache>
            </c:numRef>
          </c:val>
        </c:ser>
        <c:ser>
          <c:idx val="7"/>
          <c:order val="7"/>
          <c:tx>
            <c:strRef>
              <c:f>'Small AC - Sealed units'!$J$3</c:f>
              <c:strCache>
                <c:ptCount val="1"/>
                <c:pt idx="0">
                  <c:v>HFC-Mix</c:v>
                </c:pt>
              </c:strCache>
            </c:strRef>
          </c:tx>
          <c:cat>
            <c:numRef>
              <c:f>'Small AC - Sealed units'!$B$82:$B$94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'Small AC - Sealed units'!$J$82:$J$94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8"/>
          <c:order val="8"/>
          <c:tx>
            <c:strRef>
              <c:f>'Small AC - Sealed units'!$K$3</c:f>
              <c:strCache>
                <c:ptCount val="1"/>
                <c:pt idx="0">
                  <c:v>GWP &lt;2150</c:v>
                </c:pt>
              </c:strCache>
            </c:strRef>
          </c:tx>
          <c:cat>
            <c:numRef>
              <c:f>'Small AC - Sealed units'!$B$82:$B$94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'Small AC - Sealed units'!$K$82:$K$94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9"/>
          <c:order val="9"/>
          <c:tx>
            <c:strRef>
              <c:f>'Small AC - Sealed units'!$L$3</c:f>
              <c:strCache>
                <c:ptCount val="1"/>
                <c:pt idx="0">
                  <c:v>GWP &lt;1000</c:v>
                </c:pt>
              </c:strCache>
            </c:strRef>
          </c:tx>
          <c:cat>
            <c:numRef>
              <c:f>'Small AC - Sealed units'!$B$82:$B$94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'Small AC - Sealed units'!$L$82:$L$94</c:f>
              <c:numCache>
                <c:formatCode>#,##0</c:formatCode>
                <c:ptCount val="13"/>
                <c:pt idx="0">
                  <c:v>0</c:v>
                </c:pt>
                <c:pt idx="1">
                  <c:v>0</c:v>
                </c:pt>
                <c:pt idx="2">
                  <c:v>0</c:v>
                </c:pt>
                <c:pt idx="3">
                  <c:v>0</c:v>
                </c:pt>
                <c:pt idx="4">
                  <c:v>0</c:v>
                </c:pt>
                <c:pt idx="5">
                  <c:v>0</c:v>
                </c:pt>
                <c:pt idx="6">
                  <c:v>0</c:v>
                </c:pt>
                <c:pt idx="7">
                  <c:v>0</c:v>
                </c:pt>
                <c:pt idx="8">
                  <c:v>55.329441755207867</c:v>
                </c:pt>
                <c:pt idx="9">
                  <c:v>162.6684923006174</c:v>
                </c:pt>
                <c:pt idx="10">
                  <c:v>318.84611217127258</c:v>
                </c:pt>
                <c:pt idx="11">
                  <c:v>520.83015597542237</c:v>
                </c:pt>
                <c:pt idx="12">
                  <c:v>765.69962395653852</c:v>
                </c:pt>
              </c:numCache>
            </c:numRef>
          </c:val>
        </c:ser>
        <c:ser>
          <c:idx val="10"/>
          <c:order val="10"/>
          <c:tx>
            <c:strRef>
              <c:f>'Small AC - Sealed units'!$M$3</c:f>
              <c:strCache>
                <c:ptCount val="1"/>
                <c:pt idx="0">
                  <c:v>GWP &lt;10</c:v>
                </c:pt>
              </c:strCache>
            </c:strRef>
          </c:tx>
          <c:cat>
            <c:numRef>
              <c:f>'Small AC - Sealed units'!$B$82:$B$94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'Small AC - Sealed units'!$M$82:$M$94</c:f>
              <c:numCache>
                <c:formatCode>#,##0</c:formatCode>
                <c:ptCount val="13"/>
                <c:pt idx="0">
                  <c:v>1359.1295029755079</c:v>
                </c:pt>
                <c:pt idx="1">
                  <c:v>3308.1757054255008</c:v>
                </c:pt>
                <c:pt idx="2">
                  <c:v>5282.0023357657565</c:v>
                </c:pt>
                <c:pt idx="3">
                  <c:v>7278.1384064980684</c:v>
                </c:pt>
                <c:pt idx="4">
                  <c:v>9293.2058551790542</c:v>
                </c:pt>
                <c:pt idx="5">
                  <c:v>11322.642066840681</c:v>
                </c:pt>
                <c:pt idx="6">
                  <c:v>13360.97524704289</c:v>
                </c:pt>
                <c:pt idx="7">
                  <c:v>15402.5500446924</c:v>
                </c:pt>
                <c:pt idx="8">
                  <c:v>17527.833656986077</c:v>
                </c:pt>
                <c:pt idx="9">
                  <c:v>19726.839682246657</c:v>
                </c:pt>
                <c:pt idx="10">
                  <c:v>21990.4323277289</c:v>
                </c:pt>
                <c:pt idx="11">
                  <c:v>24310.915024383157</c:v>
                </c:pt>
                <c:pt idx="12">
                  <c:v>26682.47412705197</c:v>
                </c:pt>
              </c:numCache>
            </c:numRef>
          </c:val>
        </c:ser>
        <c:axId val="43260544"/>
        <c:axId val="43274624"/>
      </c:areaChart>
      <c:catAx>
        <c:axId val="43260544"/>
        <c:scaling>
          <c:orientation val="minMax"/>
        </c:scaling>
        <c:axPos val="b"/>
        <c:numFmt formatCode="General" sourceLinked="1"/>
        <c:tickLblPos val="nextTo"/>
        <c:txPr>
          <a:bodyPr/>
          <a:lstStyle/>
          <a:p>
            <a:pPr>
              <a:defRPr sz="800"/>
            </a:pPr>
            <a:endParaRPr lang="en-US"/>
          </a:p>
        </c:txPr>
        <c:crossAx val="43274624"/>
        <c:crosses val="autoZero"/>
        <c:auto val="1"/>
        <c:lblAlgn val="ctr"/>
        <c:lblOffset val="100"/>
      </c:catAx>
      <c:valAx>
        <c:axId val="43274624"/>
        <c:scaling>
          <c:orientation val="minMax"/>
        </c:scaling>
        <c:axPos val="l"/>
        <c:majorGridlines/>
        <c:numFmt formatCode="#,##0" sourceLinked="1"/>
        <c:tickLblPos val="nextTo"/>
        <c:txPr>
          <a:bodyPr/>
          <a:lstStyle/>
          <a:p>
            <a:pPr>
              <a:defRPr sz="800"/>
            </a:pPr>
            <a:endParaRPr lang="en-US"/>
          </a:p>
        </c:txPr>
        <c:crossAx val="43260544"/>
        <c:crosses val="autoZero"/>
        <c:crossBetween val="midCat"/>
        <c:dispUnits>
          <c:builtInUnit val="thousands"/>
        </c:dispUnits>
      </c:valAx>
    </c:plotArea>
    <c:legend>
      <c:legendPos val="r"/>
      <c:txPr>
        <a:bodyPr/>
        <a:lstStyle/>
        <a:p>
          <a:pPr>
            <a:defRPr sz="800"/>
          </a:pPr>
          <a:endParaRPr lang="en-US"/>
        </a:p>
      </c:txPr>
    </c:legend>
    <c:plotVisOnly val="1"/>
    <c:dispBlanksAs val="zero"/>
  </c:chart>
  <c:spPr>
    <a:ln>
      <a:no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AU"/>
  <c:style val="18"/>
  <c:chart>
    <c:plotArea>
      <c:layout/>
      <c:areaChart>
        <c:grouping val="stacked"/>
        <c:ser>
          <c:idx val="0"/>
          <c:order val="0"/>
          <c:tx>
            <c:strRef>
              <c:f>'Medium AC - Split and LC'!$C$3</c:f>
              <c:strCache>
                <c:ptCount val="1"/>
                <c:pt idx="0">
                  <c:v>HCFC-22</c:v>
                </c:pt>
              </c:strCache>
            </c:strRef>
          </c:tx>
          <c:spPr>
            <a:solidFill>
              <a:srgbClr val="FF0000"/>
            </a:solidFill>
          </c:spPr>
          <c:cat>
            <c:numRef>
              <c:f>'Medium AC - Split and LC'!$B$5:$B$17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'Medium AC - Split and LC'!$C$5:$C$17</c:f>
              <c:numCache>
                <c:formatCode>#,##0</c:formatCode>
                <c:ptCount val="13"/>
                <c:pt idx="0">
                  <c:v>6632679.54747367</c:v>
                </c:pt>
                <c:pt idx="1">
                  <c:v>5609925.5910361875</c:v>
                </c:pt>
                <c:pt idx="2">
                  <c:v>4494833.6855674898</c:v>
                </c:pt>
                <c:pt idx="3">
                  <c:v>3380614.1508924002</c:v>
                </c:pt>
                <c:pt idx="4">
                  <c:v>2370756.7371121701</c:v>
                </c:pt>
                <c:pt idx="5">
                  <c:v>1543863.1776765198</c:v>
                </c:pt>
                <c:pt idx="6">
                  <c:v>931284.43805450958</c:v>
                </c:pt>
                <c:pt idx="7">
                  <c:v>518800.75440495712</c:v>
                </c:pt>
                <c:pt idx="8">
                  <c:v>265408.77330358262</c:v>
                </c:pt>
                <c:pt idx="9">
                  <c:v>123666.318427622</c:v>
                </c:pt>
                <c:pt idx="10">
                  <c:v>52098.068116786439</c:v>
                </c:pt>
                <c:pt idx="11">
                  <c:v>19827.483351638621</c:v>
                </c:pt>
                <c:pt idx="12">
                  <c:v>6879.6767375340505</c:v>
                </c:pt>
              </c:numCache>
            </c:numRef>
          </c:val>
        </c:ser>
        <c:ser>
          <c:idx val="1"/>
          <c:order val="1"/>
          <c:tx>
            <c:strRef>
              <c:f>'Medium AC - Split and LC'!$D$3</c:f>
              <c:strCache>
                <c:ptCount val="1"/>
                <c:pt idx="0">
                  <c:v>HCFC-123</c:v>
                </c:pt>
              </c:strCache>
            </c:strRef>
          </c:tx>
          <c:cat>
            <c:numRef>
              <c:f>'Medium AC - Split and LC'!$B$5:$B$17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'Medium AC - Split and LC'!$D$5:$D$17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2"/>
          <c:order val="2"/>
          <c:tx>
            <c:strRef>
              <c:f>'Medium AC - Split and LC'!$E$3</c:f>
              <c:strCache>
                <c:ptCount val="1"/>
                <c:pt idx="0">
                  <c:v>HFC-134a</c:v>
                </c:pt>
              </c:strCache>
            </c:strRef>
          </c:tx>
          <c:cat>
            <c:numRef>
              <c:f>'Medium AC - Split and LC'!$B$5:$B$17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'Medium AC - Split and LC'!$E$5:$E$17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3"/>
          <c:order val="3"/>
          <c:tx>
            <c:strRef>
              <c:f>'Medium AC - Split and LC'!$F$3</c:f>
              <c:strCache>
                <c:ptCount val="1"/>
                <c:pt idx="0">
                  <c:v>HFC-404A</c:v>
                </c:pt>
              </c:strCache>
            </c:strRef>
          </c:tx>
          <c:cat>
            <c:numRef>
              <c:f>'Medium AC - Split and LC'!$B$5:$B$17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'Medium AC - Split and LC'!$F$5:$F$17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4"/>
          <c:order val="4"/>
          <c:tx>
            <c:strRef>
              <c:f>'Medium AC - Split and LC'!$G$3</c:f>
              <c:strCache>
                <c:ptCount val="1"/>
                <c:pt idx="0">
                  <c:v>HFC-410A</c:v>
                </c:pt>
              </c:strCache>
            </c:strRef>
          </c:tx>
          <c:cat>
            <c:numRef>
              <c:f>'Medium AC - Split and LC'!$B$5:$B$17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'Medium AC - Split and LC'!$G$5:$G$17</c:f>
              <c:numCache>
                <c:formatCode>#,##0</c:formatCode>
                <c:ptCount val="13"/>
                <c:pt idx="0">
                  <c:v>16091670.351864399</c:v>
                </c:pt>
                <c:pt idx="1">
                  <c:v>18271084.5248162</c:v>
                </c:pt>
                <c:pt idx="2">
                  <c:v>20202969.455142103</c:v>
                </c:pt>
                <c:pt idx="3">
                  <c:v>21810379.149445683</c:v>
                </c:pt>
                <c:pt idx="4">
                  <c:v>22982300.824740104</c:v>
                </c:pt>
                <c:pt idx="5">
                  <c:v>23690318.703410983</c:v>
                </c:pt>
                <c:pt idx="6">
                  <c:v>23944081.5587494</c:v>
                </c:pt>
                <c:pt idx="7">
                  <c:v>23782245.889582101</c:v>
                </c:pt>
                <c:pt idx="8">
                  <c:v>23132490.562418375</c:v>
                </c:pt>
                <c:pt idx="9">
                  <c:v>22043159.676697504</c:v>
                </c:pt>
                <c:pt idx="10">
                  <c:v>20552721.588695996</c:v>
                </c:pt>
                <c:pt idx="11">
                  <c:v>18688921.4274562</c:v>
                </c:pt>
                <c:pt idx="12">
                  <c:v>16475038.023362901</c:v>
                </c:pt>
              </c:numCache>
            </c:numRef>
          </c:val>
        </c:ser>
        <c:ser>
          <c:idx val="5"/>
          <c:order val="5"/>
          <c:tx>
            <c:strRef>
              <c:f>'Medium AC - Split and LC'!$H$3</c:f>
              <c:strCache>
                <c:ptCount val="1"/>
                <c:pt idx="0">
                  <c:v>HFC-407C</c:v>
                </c:pt>
              </c:strCache>
            </c:strRef>
          </c:tx>
          <c:cat>
            <c:numRef>
              <c:f>'Medium AC - Split and LC'!$B$5:$B$17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'Medium AC - Split and LC'!$H$5:$H$17</c:f>
              <c:numCache>
                <c:formatCode>#,##0</c:formatCode>
                <c:ptCount val="13"/>
                <c:pt idx="0">
                  <c:v>809803.333485852</c:v>
                </c:pt>
                <c:pt idx="1">
                  <c:v>831322.91625162656</c:v>
                </c:pt>
                <c:pt idx="2">
                  <c:v>834286.27667457331</c:v>
                </c:pt>
                <c:pt idx="3">
                  <c:v>767463.51022602245</c:v>
                </c:pt>
                <c:pt idx="4">
                  <c:v>683576.83673329244</c:v>
                </c:pt>
                <c:pt idx="5">
                  <c:v>591252.92764374544</c:v>
                </c:pt>
                <c:pt idx="6">
                  <c:v>499425.01564715622</c:v>
                </c:pt>
                <c:pt idx="7">
                  <c:v>413868.2822310988</c:v>
                </c:pt>
                <c:pt idx="8">
                  <c:v>336629.05641352356</c:v>
                </c:pt>
                <c:pt idx="9">
                  <c:v>267419.70805484068</c:v>
                </c:pt>
                <c:pt idx="10">
                  <c:v>205247.54868428671</c:v>
                </c:pt>
                <c:pt idx="11">
                  <c:v>149646.31705507234</c:v>
                </c:pt>
                <c:pt idx="12">
                  <c:v>101384.38801021322</c:v>
                </c:pt>
              </c:numCache>
            </c:numRef>
          </c:val>
        </c:ser>
        <c:ser>
          <c:idx val="6"/>
          <c:order val="6"/>
          <c:tx>
            <c:strRef>
              <c:f>'Medium AC - Split and LC'!$I$3</c:f>
              <c:strCache>
                <c:ptCount val="1"/>
                <c:pt idx="0">
                  <c:v>HFC-32</c:v>
                </c:pt>
              </c:strCache>
            </c:strRef>
          </c:tx>
          <c:cat>
            <c:numRef>
              <c:f>'Medium AC - Split and LC'!$B$5:$B$17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'Medium AC - Split and LC'!$I$5:$I$17</c:f>
              <c:numCache>
                <c:formatCode>#,##0</c:formatCode>
                <c:ptCount val="13"/>
                <c:pt idx="0">
                  <c:v>0</c:v>
                </c:pt>
                <c:pt idx="1">
                  <c:v>0</c:v>
                </c:pt>
                <c:pt idx="2">
                  <c:v>121560.5995629025</c:v>
                </c:pt>
                <c:pt idx="3">
                  <c:v>368328.59985016286</c:v>
                </c:pt>
                <c:pt idx="4">
                  <c:v>744032.66362505744</c:v>
                </c:pt>
                <c:pt idx="5">
                  <c:v>1252483.3371227898</c:v>
                </c:pt>
                <c:pt idx="6">
                  <c:v>1897563.2609907801</c:v>
                </c:pt>
                <c:pt idx="7">
                  <c:v>2683166.8448368022</c:v>
                </c:pt>
                <c:pt idx="8">
                  <c:v>3692699.5789856263</c:v>
                </c:pt>
                <c:pt idx="9">
                  <c:v>4931193.0098558199</c:v>
                </c:pt>
                <c:pt idx="10">
                  <c:v>6401010.6632823776</c:v>
                </c:pt>
                <c:pt idx="11">
                  <c:v>8099323.5195400808</c:v>
                </c:pt>
                <c:pt idx="12">
                  <c:v>10016171.916212402</c:v>
                </c:pt>
              </c:numCache>
            </c:numRef>
          </c:val>
        </c:ser>
        <c:ser>
          <c:idx val="7"/>
          <c:order val="7"/>
          <c:tx>
            <c:strRef>
              <c:f>'Medium AC - Split and LC'!$J$3</c:f>
              <c:strCache>
                <c:ptCount val="1"/>
                <c:pt idx="0">
                  <c:v>HFC-Mix</c:v>
                </c:pt>
              </c:strCache>
            </c:strRef>
          </c:tx>
          <c:cat>
            <c:numRef>
              <c:f>'Medium AC - Split and LC'!$B$5:$B$17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'Medium AC - Split and LC'!$J$5:$J$17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8"/>
          <c:order val="8"/>
          <c:tx>
            <c:strRef>
              <c:f>'Medium AC - Split and LC'!$K$3</c:f>
              <c:strCache>
                <c:ptCount val="1"/>
                <c:pt idx="0">
                  <c:v>GWP &lt;2150</c:v>
                </c:pt>
              </c:strCache>
            </c:strRef>
          </c:tx>
          <c:cat>
            <c:numRef>
              <c:f>'Medium AC - Split and LC'!$B$5:$B$17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'Medium AC - Split and LC'!$K$5:$K$17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9"/>
          <c:order val="9"/>
          <c:tx>
            <c:strRef>
              <c:f>'Medium AC - Split and LC'!$L$3</c:f>
              <c:strCache>
                <c:ptCount val="1"/>
                <c:pt idx="0">
                  <c:v>GWP &lt;1000</c:v>
                </c:pt>
              </c:strCache>
            </c:strRef>
          </c:tx>
          <c:cat>
            <c:numRef>
              <c:f>'Medium AC - Split and LC'!$B$5:$B$17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'Medium AC - Split and LC'!$L$5:$L$17</c:f>
              <c:numCache>
                <c:formatCode>#,##0</c:formatCode>
                <c:ptCount val="13"/>
                <c:pt idx="0">
                  <c:v>0</c:v>
                </c:pt>
                <c:pt idx="1">
                  <c:v>0</c:v>
                </c:pt>
                <c:pt idx="2">
                  <c:v>0</c:v>
                </c:pt>
                <c:pt idx="3">
                  <c:v>49353.603422538174</c:v>
                </c:pt>
                <c:pt idx="4">
                  <c:v>149541.41153916609</c:v>
                </c:pt>
                <c:pt idx="5">
                  <c:v>302077.26143177261</c:v>
                </c:pt>
                <c:pt idx="6">
                  <c:v>508508.23487185221</c:v>
                </c:pt>
                <c:pt idx="7">
                  <c:v>770410.68396225688</c:v>
                </c:pt>
                <c:pt idx="8">
                  <c:v>1115949.6627543198</c:v>
                </c:pt>
                <c:pt idx="9">
                  <c:v>1547406.0952246794</c:v>
                </c:pt>
                <c:pt idx="10">
                  <c:v>2066666.8333635</c:v>
                </c:pt>
                <c:pt idx="11">
                  <c:v>2674531.6149064405</c:v>
                </c:pt>
                <c:pt idx="12">
                  <c:v>3369685.9596123477</c:v>
                </c:pt>
              </c:numCache>
            </c:numRef>
          </c:val>
        </c:ser>
        <c:ser>
          <c:idx val="10"/>
          <c:order val="10"/>
          <c:tx>
            <c:strRef>
              <c:f>'Medium AC - Split and LC'!$M$3</c:f>
              <c:strCache>
                <c:ptCount val="1"/>
                <c:pt idx="0">
                  <c:v>GWP &lt;10</c:v>
                </c:pt>
              </c:strCache>
            </c:strRef>
          </c:tx>
          <c:cat>
            <c:numRef>
              <c:f>'Medium AC - Split and LC'!$B$5:$B$17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'Medium AC - Split and LC'!$M$5:$M$17</c:f>
              <c:numCache>
                <c:formatCode>#,##0</c:formatCode>
                <c:ptCount val="13"/>
                <c:pt idx="0">
                  <c:v>13789.67575357983</c:v>
                </c:pt>
                <c:pt idx="1">
                  <c:v>23370.760474963121</c:v>
                </c:pt>
                <c:pt idx="2">
                  <c:v>35526.448370960541</c:v>
                </c:pt>
                <c:pt idx="3">
                  <c:v>50330.151607418637</c:v>
                </c:pt>
                <c:pt idx="4">
                  <c:v>67850.857478846054</c:v>
                </c:pt>
                <c:pt idx="5">
                  <c:v>88138.8288215184</c:v>
                </c:pt>
                <c:pt idx="6">
                  <c:v>111194.0596367204</c:v>
                </c:pt>
                <c:pt idx="7">
                  <c:v>136919.3954879579</c:v>
                </c:pt>
                <c:pt idx="8">
                  <c:v>183692.46707581918</c:v>
                </c:pt>
                <c:pt idx="9">
                  <c:v>251719.78711320041</c:v>
                </c:pt>
                <c:pt idx="10">
                  <c:v>341176.79584280122</c:v>
                </c:pt>
                <c:pt idx="11">
                  <c:v>452308.03297813109</c:v>
                </c:pt>
                <c:pt idx="12">
                  <c:v>585487.50606813235</c:v>
                </c:pt>
              </c:numCache>
            </c:numRef>
          </c:val>
        </c:ser>
        <c:axId val="43331968"/>
        <c:axId val="43333504"/>
      </c:areaChart>
      <c:catAx>
        <c:axId val="43331968"/>
        <c:scaling>
          <c:orientation val="minMax"/>
        </c:scaling>
        <c:axPos val="b"/>
        <c:numFmt formatCode="General" sourceLinked="1"/>
        <c:tickLblPos val="nextTo"/>
        <c:txPr>
          <a:bodyPr/>
          <a:lstStyle/>
          <a:p>
            <a:pPr>
              <a:defRPr sz="800"/>
            </a:pPr>
            <a:endParaRPr lang="en-US"/>
          </a:p>
        </c:txPr>
        <c:crossAx val="43333504"/>
        <c:crosses val="autoZero"/>
        <c:auto val="1"/>
        <c:lblAlgn val="ctr"/>
        <c:lblOffset val="100"/>
      </c:catAx>
      <c:valAx>
        <c:axId val="43333504"/>
        <c:scaling>
          <c:orientation val="minMax"/>
        </c:scaling>
        <c:axPos val="l"/>
        <c:majorGridlines/>
        <c:numFmt formatCode="#,##0" sourceLinked="1"/>
        <c:tickLblPos val="nextTo"/>
        <c:txPr>
          <a:bodyPr/>
          <a:lstStyle/>
          <a:p>
            <a:pPr>
              <a:defRPr sz="800"/>
            </a:pPr>
            <a:endParaRPr lang="en-US"/>
          </a:p>
        </c:txPr>
        <c:crossAx val="43331968"/>
        <c:crosses val="autoZero"/>
        <c:crossBetween val="midCat"/>
        <c:dispUnits>
          <c:builtInUnit val="thousands"/>
        </c:dispUnits>
      </c:valAx>
    </c:plotArea>
    <c:legend>
      <c:legendPos val="r"/>
      <c:txPr>
        <a:bodyPr/>
        <a:lstStyle/>
        <a:p>
          <a:pPr>
            <a:defRPr sz="800"/>
          </a:pPr>
          <a:endParaRPr lang="en-US"/>
        </a:p>
      </c:txPr>
    </c:legend>
    <c:plotVisOnly val="1"/>
    <c:dispBlanksAs val="zero"/>
  </c:chart>
  <c:spPr>
    <a:ln>
      <a:no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n-AU"/>
  <c:style val="18"/>
  <c:chart>
    <c:plotArea>
      <c:layout/>
      <c:areaChart>
        <c:grouping val="stacked"/>
        <c:ser>
          <c:idx val="0"/>
          <c:order val="0"/>
          <c:tx>
            <c:strRef>
              <c:f>'Medium AC - Split and LC'!$C$3</c:f>
              <c:strCache>
                <c:ptCount val="1"/>
                <c:pt idx="0">
                  <c:v>HCFC-22</c:v>
                </c:pt>
              </c:strCache>
            </c:strRef>
          </c:tx>
          <c:spPr>
            <a:solidFill>
              <a:srgbClr val="FF0000"/>
            </a:solidFill>
          </c:spPr>
          <c:cat>
            <c:numRef>
              <c:f>'Medium AC - Split and LC'!$B$82:$B$94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'Medium AC - Split and LC'!$C$82:$C$94</c:f>
              <c:numCache>
                <c:formatCode>#,##0</c:formatCode>
                <c:ptCount val="13"/>
                <c:pt idx="0">
                  <c:v>530614.36379789445</c:v>
                </c:pt>
                <c:pt idx="1">
                  <c:v>448794.0472828949</c:v>
                </c:pt>
                <c:pt idx="2">
                  <c:v>359586.69484539941</c:v>
                </c:pt>
                <c:pt idx="3">
                  <c:v>270449.13207139156</c:v>
                </c:pt>
                <c:pt idx="4">
                  <c:v>189660.5389689735</c:v>
                </c:pt>
                <c:pt idx="5">
                  <c:v>123509.0542141218</c:v>
                </c:pt>
                <c:pt idx="6">
                  <c:v>74502.755044360543</c:v>
                </c:pt>
                <c:pt idx="7">
                  <c:v>41504.060352396613</c:v>
                </c:pt>
                <c:pt idx="8">
                  <c:v>21232.701864286621</c:v>
                </c:pt>
                <c:pt idx="9">
                  <c:v>9893.3054742097411</c:v>
                </c:pt>
                <c:pt idx="10">
                  <c:v>4167.8454493429135</c:v>
                </c:pt>
                <c:pt idx="11">
                  <c:v>1586.1986681310871</c:v>
                </c:pt>
                <c:pt idx="12">
                  <c:v>550.37413900272429</c:v>
                </c:pt>
              </c:numCache>
            </c:numRef>
          </c:val>
        </c:ser>
        <c:ser>
          <c:idx val="1"/>
          <c:order val="1"/>
          <c:tx>
            <c:strRef>
              <c:f>'Medium AC - Split and LC'!$D$3</c:f>
              <c:strCache>
                <c:ptCount val="1"/>
                <c:pt idx="0">
                  <c:v>HCFC-123</c:v>
                </c:pt>
              </c:strCache>
            </c:strRef>
          </c:tx>
          <c:cat>
            <c:numRef>
              <c:f>'Medium AC - Split and LC'!$B$82:$B$94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'Medium AC - Split and LC'!$D$82:$D$94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2"/>
          <c:order val="2"/>
          <c:tx>
            <c:strRef>
              <c:f>'Medium AC - Split and LC'!$E$3</c:f>
              <c:strCache>
                <c:ptCount val="1"/>
                <c:pt idx="0">
                  <c:v>HFC-134a</c:v>
                </c:pt>
              </c:strCache>
            </c:strRef>
          </c:tx>
          <c:cat>
            <c:numRef>
              <c:f>'Medium AC - Split and LC'!$B$82:$B$94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'Medium AC - Split and LC'!$E$82:$E$94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3"/>
          <c:order val="3"/>
          <c:tx>
            <c:strRef>
              <c:f>'Medium AC - Split and LC'!$F$3</c:f>
              <c:strCache>
                <c:ptCount val="1"/>
                <c:pt idx="0">
                  <c:v>HFC-404A</c:v>
                </c:pt>
              </c:strCache>
            </c:strRef>
          </c:tx>
          <c:cat>
            <c:numRef>
              <c:f>'Medium AC - Split and LC'!$B$82:$B$94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'Medium AC - Split and LC'!$F$82:$F$94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4"/>
          <c:order val="4"/>
          <c:tx>
            <c:strRef>
              <c:f>'Medium AC - Split and LC'!$G$3</c:f>
              <c:strCache>
                <c:ptCount val="1"/>
                <c:pt idx="0">
                  <c:v>HFC-410A</c:v>
                </c:pt>
              </c:strCache>
            </c:strRef>
          </c:tx>
          <c:cat>
            <c:numRef>
              <c:f>'Medium AC - Split and LC'!$B$82:$B$94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'Medium AC - Split and LC'!$G$82:$G$94</c:f>
              <c:numCache>
                <c:formatCode>#,##0</c:formatCode>
                <c:ptCount val="13"/>
                <c:pt idx="0">
                  <c:v>601750.11055593204</c:v>
                </c:pt>
                <c:pt idx="1">
                  <c:v>668917.53574448533</c:v>
                </c:pt>
                <c:pt idx="2">
                  <c:v>736007.65032093041</c:v>
                </c:pt>
                <c:pt idx="3">
                  <c:v>784189.62798337161</c:v>
                </c:pt>
                <c:pt idx="4">
                  <c:v>813960.18037803262</c:v>
                </c:pt>
                <c:pt idx="5">
                  <c:v>822221.32440603443</c:v>
                </c:pt>
                <c:pt idx="6">
                  <c:v>815315.45404907386</c:v>
                </c:pt>
                <c:pt idx="7">
                  <c:v>795034.2629366871</c:v>
                </c:pt>
                <c:pt idx="8">
                  <c:v>759587.56006085104</c:v>
                </c:pt>
                <c:pt idx="9">
                  <c:v>710653.58165757905</c:v>
                </c:pt>
                <c:pt idx="10">
                  <c:v>649523.37753353803</c:v>
                </c:pt>
                <c:pt idx="11">
                  <c:v>577111.75596515997</c:v>
                </c:pt>
                <c:pt idx="12">
                  <c:v>494332.52082057757</c:v>
                </c:pt>
              </c:numCache>
            </c:numRef>
          </c:val>
        </c:ser>
        <c:ser>
          <c:idx val="5"/>
          <c:order val="5"/>
          <c:tx>
            <c:strRef>
              <c:f>'Medium AC - Split and LC'!$H$3</c:f>
              <c:strCache>
                <c:ptCount val="1"/>
                <c:pt idx="0">
                  <c:v>HFC-407C</c:v>
                </c:pt>
              </c:strCache>
            </c:strRef>
          </c:tx>
          <c:cat>
            <c:numRef>
              <c:f>'Medium AC - Split and LC'!$B$82:$B$94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'Medium AC - Split and LC'!$H$82:$H$94</c:f>
              <c:numCache>
                <c:formatCode>#,##0</c:formatCode>
                <c:ptCount val="13"/>
                <c:pt idx="0">
                  <c:v>69294.100004575463</c:v>
                </c:pt>
                <c:pt idx="1">
                  <c:v>70614.687487548726</c:v>
                </c:pt>
                <c:pt idx="2">
                  <c:v>52433.588300237199</c:v>
                </c:pt>
                <c:pt idx="3">
                  <c:v>39466.905306780587</c:v>
                </c:pt>
                <c:pt idx="4">
                  <c:v>30373.105101998717</c:v>
                </c:pt>
                <c:pt idx="5">
                  <c:v>23657.06782931236</c:v>
                </c:pt>
                <c:pt idx="6">
                  <c:v>18534.438469414701</c:v>
                </c:pt>
                <c:pt idx="7">
                  <c:v>14547.061266932991</c:v>
                </c:pt>
                <c:pt idx="8">
                  <c:v>11377.47937240568</c:v>
                </c:pt>
                <c:pt idx="9">
                  <c:v>8789.7558496452311</c:v>
                </c:pt>
                <c:pt idx="10">
                  <c:v>6617.7252253286024</c:v>
                </c:pt>
                <c:pt idx="11">
                  <c:v>4765.5687705321661</c:v>
                </c:pt>
                <c:pt idx="12">
                  <c:v>3041.5316403063962</c:v>
                </c:pt>
              </c:numCache>
            </c:numRef>
          </c:val>
        </c:ser>
        <c:ser>
          <c:idx val="6"/>
          <c:order val="6"/>
          <c:tx>
            <c:strRef>
              <c:f>'Medium AC - Split and LC'!$I$3</c:f>
              <c:strCache>
                <c:ptCount val="1"/>
                <c:pt idx="0">
                  <c:v>HFC-32</c:v>
                </c:pt>
              </c:strCache>
            </c:strRef>
          </c:tx>
          <c:cat>
            <c:numRef>
              <c:f>'Medium AC - Split and LC'!$B$82:$B$94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'Medium AC - Split and LC'!$I$82:$I$94</c:f>
              <c:numCache>
                <c:formatCode>#,##0</c:formatCode>
                <c:ptCount val="13"/>
                <c:pt idx="0">
                  <c:v>0</c:v>
                </c:pt>
                <c:pt idx="1">
                  <c:v>0</c:v>
                </c:pt>
                <c:pt idx="2">
                  <c:v>13646.817986887023</c:v>
                </c:pt>
                <c:pt idx="3">
                  <c:v>33769.857995504943</c:v>
                </c:pt>
                <c:pt idx="4">
                  <c:v>57760.979908751586</c:v>
                </c:pt>
                <c:pt idx="5">
                  <c:v>85734.500113683651</c:v>
                </c:pt>
                <c:pt idx="6">
                  <c:v>117806.89782972337</c:v>
                </c:pt>
                <c:pt idx="7">
                  <c:v>154095.00534510438</c:v>
                </c:pt>
                <c:pt idx="8">
                  <c:v>197100.98736956931</c:v>
                </c:pt>
                <c:pt idx="9">
                  <c:v>246975.79029567461</c:v>
                </c:pt>
                <c:pt idx="10">
                  <c:v>303790.31989847269</c:v>
                </c:pt>
                <c:pt idx="11">
                  <c:v>367459.70558620262</c:v>
                </c:pt>
                <c:pt idx="12">
                  <c:v>437685.1574863717</c:v>
                </c:pt>
              </c:numCache>
            </c:numRef>
          </c:val>
        </c:ser>
        <c:ser>
          <c:idx val="7"/>
          <c:order val="7"/>
          <c:tx>
            <c:strRef>
              <c:f>'Medium AC - Split and LC'!$J$3</c:f>
              <c:strCache>
                <c:ptCount val="1"/>
                <c:pt idx="0">
                  <c:v>HFC-Mix</c:v>
                </c:pt>
              </c:strCache>
            </c:strRef>
          </c:tx>
          <c:cat>
            <c:numRef>
              <c:f>'Medium AC - Split and LC'!$B$82:$B$94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'Medium AC - Split and LC'!$J$82:$J$94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8"/>
          <c:order val="8"/>
          <c:tx>
            <c:strRef>
              <c:f>'Medium AC - Split and LC'!$K$3</c:f>
              <c:strCache>
                <c:ptCount val="1"/>
                <c:pt idx="0">
                  <c:v>GWP &lt;2150</c:v>
                </c:pt>
              </c:strCache>
            </c:strRef>
          </c:tx>
          <c:cat>
            <c:numRef>
              <c:f>'Medium AC - Split and LC'!$B$82:$B$94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'Medium AC - Split and LC'!$K$82:$K$94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9"/>
          <c:order val="9"/>
          <c:tx>
            <c:strRef>
              <c:f>'Medium AC - Split and LC'!$L$3</c:f>
              <c:strCache>
                <c:ptCount val="1"/>
                <c:pt idx="0">
                  <c:v>GWP &lt;1000</c:v>
                </c:pt>
              </c:strCache>
            </c:strRef>
          </c:tx>
          <c:cat>
            <c:numRef>
              <c:f>'Medium AC - Split and LC'!$B$82:$B$94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'Medium AC - Split and LC'!$L$82:$L$94</c:f>
              <c:numCache>
                <c:formatCode>#,##0</c:formatCode>
                <c:ptCount val="13"/>
                <c:pt idx="0">
                  <c:v>0</c:v>
                </c:pt>
                <c:pt idx="1">
                  <c:v>0</c:v>
                </c:pt>
                <c:pt idx="2">
                  <c:v>0</c:v>
                </c:pt>
                <c:pt idx="3">
                  <c:v>1480.6081026761528</c:v>
                </c:pt>
                <c:pt idx="4">
                  <c:v>5486.242346174984</c:v>
                </c:pt>
                <c:pt idx="5">
                  <c:v>16062.31784295318</c:v>
                </c:pt>
                <c:pt idx="6">
                  <c:v>28255.247046155557</c:v>
                </c:pt>
                <c:pt idx="7">
                  <c:v>42112.320518867709</c:v>
                </c:pt>
                <c:pt idx="8">
                  <c:v>58478.489882629561</c:v>
                </c:pt>
                <c:pt idx="9">
                  <c:v>77422.182856740503</c:v>
                </c:pt>
                <c:pt idx="10">
                  <c:v>99000.005000905425</c:v>
                </c:pt>
                <c:pt idx="11">
                  <c:v>123235.94844719302</c:v>
                </c:pt>
                <c:pt idx="12">
                  <c:v>150090.57878837071</c:v>
                </c:pt>
              </c:numCache>
            </c:numRef>
          </c:val>
        </c:ser>
        <c:ser>
          <c:idx val="10"/>
          <c:order val="10"/>
          <c:tx>
            <c:strRef>
              <c:f>'Medium AC - Split and LC'!$M$3</c:f>
              <c:strCache>
                <c:ptCount val="1"/>
                <c:pt idx="0">
                  <c:v>GWP &lt;10</c:v>
                </c:pt>
              </c:strCache>
            </c:strRef>
          </c:tx>
          <c:cat>
            <c:numRef>
              <c:f>'Medium AC - Split and LC'!$B$82:$B$94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'Medium AC - Split and LC'!$M$82:$M$94</c:f>
              <c:numCache>
                <c:formatCode>#,##0</c:formatCode>
                <c:ptCount val="13"/>
                <c:pt idx="0">
                  <c:v>413.69027260739466</c:v>
                </c:pt>
                <c:pt idx="1">
                  <c:v>1517.7894809155578</c:v>
                </c:pt>
                <c:pt idx="2">
                  <c:v>2699.1267844621293</c:v>
                </c:pt>
                <c:pt idx="3">
                  <c:v>3959.9045482225602</c:v>
                </c:pt>
                <c:pt idx="4">
                  <c:v>5302.1923910320484</c:v>
                </c:pt>
                <c:pt idx="5">
                  <c:v>6727.4981979788772</c:v>
                </c:pt>
                <c:pt idx="6">
                  <c:v>8235.821789101612</c:v>
                </c:pt>
                <c:pt idx="7">
                  <c:v>9824.2485313054149</c:v>
                </c:pt>
                <c:pt idx="8">
                  <c:v>12044.107345607887</c:v>
                </c:pt>
                <c:pt idx="9">
                  <c:v>14901.593613396009</c:v>
                </c:pt>
                <c:pt idx="10">
                  <c:v>18401.97054195069</c:v>
                </c:pt>
                <c:pt idx="11">
                  <c:v>22552.574322677276</c:v>
                </c:pt>
                <c:pt idx="12">
                  <c:v>27364.625182044001</c:v>
                </c:pt>
              </c:numCache>
            </c:numRef>
          </c:val>
        </c:ser>
        <c:axId val="43403136"/>
        <c:axId val="43404672"/>
      </c:areaChart>
      <c:catAx>
        <c:axId val="43403136"/>
        <c:scaling>
          <c:orientation val="minMax"/>
        </c:scaling>
        <c:axPos val="b"/>
        <c:numFmt formatCode="General" sourceLinked="1"/>
        <c:tickLblPos val="nextTo"/>
        <c:txPr>
          <a:bodyPr/>
          <a:lstStyle/>
          <a:p>
            <a:pPr>
              <a:defRPr sz="800"/>
            </a:pPr>
            <a:endParaRPr lang="en-US"/>
          </a:p>
        </c:txPr>
        <c:crossAx val="43404672"/>
        <c:crosses val="autoZero"/>
        <c:auto val="1"/>
        <c:lblAlgn val="ctr"/>
        <c:lblOffset val="100"/>
      </c:catAx>
      <c:valAx>
        <c:axId val="43404672"/>
        <c:scaling>
          <c:orientation val="minMax"/>
        </c:scaling>
        <c:axPos val="l"/>
        <c:majorGridlines/>
        <c:numFmt formatCode="#,##0" sourceLinked="1"/>
        <c:tickLblPos val="nextTo"/>
        <c:txPr>
          <a:bodyPr/>
          <a:lstStyle/>
          <a:p>
            <a:pPr>
              <a:defRPr sz="800"/>
            </a:pPr>
            <a:endParaRPr lang="en-US"/>
          </a:p>
        </c:txPr>
        <c:crossAx val="43403136"/>
        <c:crosses val="autoZero"/>
        <c:crossBetween val="midCat"/>
        <c:dispUnits>
          <c:builtInUnit val="thousands"/>
        </c:dispUnits>
      </c:valAx>
    </c:plotArea>
    <c:legend>
      <c:legendPos val="r"/>
      <c:txPr>
        <a:bodyPr/>
        <a:lstStyle/>
        <a:p>
          <a:pPr>
            <a:defRPr sz="800"/>
          </a:pPr>
          <a:endParaRPr lang="en-US"/>
        </a:p>
      </c:txPr>
    </c:legend>
    <c:plotVisOnly val="1"/>
    <c:dispBlanksAs val="zero"/>
  </c:chart>
  <c:spPr>
    <a:ln>
      <a:noFill/>
    </a:ln>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AU"/>
  <c:style val="18"/>
  <c:chart>
    <c:plotArea>
      <c:layout/>
      <c:areaChart>
        <c:grouping val="stacked"/>
        <c:ser>
          <c:idx val="0"/>
          <c:order val="0"/>
          <c:tx>
            <c:strRef>
              <c:f>'Large AC - Chillers'!$C$3</c:f>
              <c:strCache>
                <c:ptCount val="1"/>
                <c:pt idx="0">
                  <c:v>HCFC-22</c:v>
                </c:pt>
              </c:strCache>
            </c:strRef>
          </c:tx>
          <c:spPr>
            <a:solidFill>
              <a:srgbClr val="FF0000"/>
            </a:solidFill>
          </c:spPr>
          <c:cat>
            <c:numRef>
              <c:f>'Large AC - Chillers'!$B$5:$B$17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AC - Chillers'!$C$5:$C$17</c:f>
              <c:numCache>
                <c:formatCode>#,##0</c:formatCode>
                <c:ptCount val="13"/>
                <c:pt idx="0">
                  <c:v>1168954.3511460212</c:v>
                </c:pt>
                <c:pt idx="1">
                  <c:v>1035131.9622414199</c:v>
                </c:pt>
                <c:pt idx="2">
                  <c:v>910845.08430895384</c:v>
                </c:pt>
                <c:pt idx="3">
                  <c:v>799343.08587527717</c:v>
                </c:pt>
                <c:pt idx="4">
                  <c:v>700753.45392929704</c:v>
                </c:pt>
                <c:pt idx="5">
                  <c:v>612367.5989716273</c:v>
                </c:pt>
                <c:pt idx="6">
                  <c:v>530294.36378238443</c:v>
                </c:pt>
                <c:pt idx="7">
                  <c:v>451326.18898051302</c:v>
                </c:pt>
                <c:pt idx="8">
                  <c:v>373980.87683192431</c:v>
                </c:pt>
                <c:pt idx="9">
                  <c:v>298670.41095442482</c:v>
                </c:pt>
                <c:pt idx="10">
                  <c:v>227398.54614926226</c:v>
                </c:pt>
                <c:pt idx="11">
                  <c:v>163132.285779764</c:v>
                </c:pt>
                <c:pt idx="12">
                  <c:v>108858.774686526</c:v>
                </c:pt>
              </c:numCache>
            </c:numRef>
          </c:val>
        </c:ser>
        <c:ser>
          <c:idx val="1"/>
          <c:order val="1"/>
          <c:tx>
            <c:strRef>
              <c:f>'Large AC - Chillers'!$D$3</c:f>
              <c:strCache>
                <c:ptCount val="1"/>
                <c:pt idx="0">
                  <c:v>HCFC-123</c:v>
                </c:pt>
              </c:strCache>
            </c:strRef>
          </c:tx>
          <c:cat>
            <c:numRef>
              <c:f>'Large AC - Chillers'!$B$5:$B$17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AC - Chillers'!$D$5:$D$17</c:f>
              <c:numCache>
                <c:formatCode>#,##0</c:formatCode>
                <c:ptCount val="13"/>
                <c:pt idx="0">
                  <c:v>159895.89748318112</c:v>
                </c:pt>
                <c:pt idx="1">
                  <c:v>152044.36280339048</c:v>
                </c:pt>
                <c:pt idx="2">
                  <c:v>144042.66560594024</c:v>
                </c:pt>
                <c:pt idx="3">
                  <c:v>135912.64577875126</c:v>
                </c:pt>
                <c:pt idx="4">
                  <c:v>127661.75474843559</c:v>
                </c:pt>
                <c:pt idx="5">
                  <c:v>119294.8619322392</c:v>
                </c:pt>
                <c:pt idx="6">
                  <c:v>110817.9092256501</c:v>
                </c:pt>
                <c:pt idx="7">
                  <c:v>102237.91101520337</c:v>
                </c:pt>
                <c:pt idx="8">
                  <c:v>93561.380225516419</c:v>
                </c:pt>
                <c:pt idx="9">
                  <c:v>84792.886083168938</c:v>
                </c:pt>
                <c:pt idx="10">
                  <c:v>75934.849864614225</c:v>
                </c:pt>
                <c:pt idx="11">
                  <c:v>66989.016750550771</c:v>
                </c:pt>
                <c:pt idx="12">
                  <c:v>57961.250438861331</c:v>
                </c:pt>
              </c:numCache>
            </c:numRef>
          </c:val>
        </c:ser>
        <c:ser>
          <c:idx val="2"/>
          <c:order val="2"/>
          <c:tx>
            <c:strRef>
              <c:f>'Large AC - Chillers'!$E$3</c:f>
              <c:strCache>
                <c:ptCount val="1"/>
                <c:pt idx="0">
                  <c:v>HFC-134a</c:v>
                </c:pt>
              </c:strCache>
            </c:strRef>
          </c:tx>
          <c:cat>
            <c:numRef>
              <c:f>'Large AC - Chillers'!$B$5:$B$17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AC - Chillers'!$E$5:$E$17</c:f>
              <c:numCache>
                <c:formatCode>#,##0</c:formatCode>
                <c:ptCount val="13"/>
                <c:pt idx="0">
                  <c:v>1801740.4310399899</c:v>
                </c:pt>
                <c:pt idx="1">
                  <c:v>1876504.90080006</c:v>
                </c:pt>
                <c:pt idx="2">
                  <c:v>1938730.31615472</c:v>
                </c:pt>
                <c:pt idx="3">
                  <c:v>1982892.7471478411</c:v>
                </c:pt>
                <c:pt idx="4">
                  <c:v>2008901.9829007303</c:v>
                </c:pt>
                <c:pt idx="5">
                  <c:v>2019463.2651474308</c:v>
                </c:pt>
                <c:pt idx="6">
                  <c:v>2018515.3761318112</c:v>
                </c:pt>
                <c:pt idx="7">
                  <c:v>2009419.7879863204</c:v>
                </c:pt>
                <c:pt idx="8">
                  <c:v>1985731.51228522</c:v>
                </c:pt>
                <c:pt idx="9">
                  <c:v>1944700.5162404501</c:v>
                </c:pt>
                <c:pt idx="10">
                  <c:v>1884990.48193992</c:v>
                </c:pt>
                <c:pt idx="11">
                  <c:v>1803023.7100276097</c:v>
                </c:pt>
                <c:pt idx="12">
                  <c:v>1696544.2791761011</c:v>
                </c:pt>
              </c:numCache>
            </c:numRef>
          </c:val>
        </c:ser>
        <c:ser>
          <c:idx val="3"/>
          <c:order val="3"/>
          <c:tx>
            <c:strRef>
              <c:f>'Large AC - Chillers'!$F$3</c:f>
              <c:strCache>
                <c:ptCount val="1"/>
                <c:pt idx="0">
                  <c:v>HFC-404A</c:v>
                </c:pt>
              </c:strCache>
            </c:strRef>
          </c:tx>
          <c:cat>
            <c:numRef>
              <c:f>'Large AC - Chillers'!$B$5:$B$17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AC - Chillers'!$F$5:$F$17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4"/>
          <c:order val="4"/>
          <c:tx>
            <c:strRef>
              <c:f>'Large AC - Chillers'!$G$3</c:f>
              <c:strCache>
                <c:ptCount val="1"/>
                <c:pt idx="0">
                  <c:v>HFC-410A</c:v>
                </c:pt>
              </c:strCache>
            </c:strRef>
          </c:tx>
          <c:cat>
            <c:numRef>
              <c:f>'Large AC - Chillers'!$B$5:$B$17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AC - Chillers'!$G$5:$G$17</c:f>
              <c:numCache>
                <c:formatCode>#,##0</c:formatCode>
                <c:ptCount val="13"/>
                <c:pt idx="0">
                  <c:v>150915.70727877619</c:v>
                </c:pt>
                <c:pt idx="1">
                  <c:v>189671.9717546005</c:v>
                </c:pt>
                <c:pt idx="2">
                  <c:v>223421.87574266881</c:v>
                </c:pt>
                <c:pt idx="3">
                  <c:v>252036.76327849558</c:v>
                </c:pt>
                <c:pt idx="4">
                  <c:v>275390.82980874809</c:v>
                </c:pt>
                <c:pt idx="5">
                  <c:v>293360.34434365621</c:v>
                </c:pt>
                <c:pt idx="6">
                  <c:v>305819.18192762253</c:v>
                </c:pt>
                <c:pt idx="7">
                  <c:v>312627.59148163162</c:v>
                </c:pt>
                <c:pt idx="8">
                  <c:v>315232.90170392621</c:v>
                </c:pt>
                <c:pt idx="9">
                  <c:v>316237.33414120862</c:v>
                </c:pt>
                <c:pt idx="10">
                  <c:v>315431.29829916521</c:v>
                </c:pt>
                <c:pt idx="11">
                  <c:v>313938.92905397824</c:v>
                </c:pt>
                <c:pt idx="12">
                  <c:v>311303.55514808587</c:v>
                </c:pt>
              </c:numCache>
            </c:numRef>
          </c:val>
        </c:ser>
        <c:ser>
          <c:idx val="5"/>
          <c:order val="5"/>
          <c:tx>
            <c:strRef>
              <c:f>'Large AC - Chillers'!$H$3</c:f>
              <c:strCache>
                <c:ptCount val="1"/>
                <c:pt idx="0">
                  <c:v>HFC-407C</c:v>
                </c:pt>
              </c:strCache>
            </c:strRef>
          </c:tx>
          <c:cat>
            <c:numRef>
              <c:f>'Large AC - Chillers'!$B$5:$B$17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AC - Chillers'!$H$5:$H$17</c:f>
              <c:numCache>
                <c:formatCode>#,##0</c:formatCode>
                <c:ptCount val="13"/>
                <c:pt idx="0">
                  <c:v>109082.31039961237</c:v>
                </c:pt>
                <c:pt idx="1">
                  <c:v>109082.3079496828</c:v>
                </c:pt>
                <c:pt idx="2">
                  <c:v>109082.28011505102</c:v>
                </c:pt>
                <c:pt idx="3">
                  <c:v>109082.02937788222</c:v>
                </c:pt>
                <c:pt idx="4">
                  <c:v>109080.2314876334</c:v>
                </c:pt>
                <c:pt idx="5">
                  <c:v>109069.91929799139</c:v>
                </c:pt>
                <c:pt idx="6">
                  <c:v>109022.3161591751</c:v>
                </c:pt>
                <c:pt idx="7">
                  <c:v>108844.11796375</c:v>
                </c:pt>
                <c:pt idx="8">
                  <c:v>108298.1339881787</c:v>
                </c:pt>
                <c:pt idx="9">
                  <c:v>106913.59344620239</c:v>
                </c:pt>
                <c:pt idx="10">
                  <c:v>103969.6560696575</c:v>
                </c:pt>
                <c:pt idx="11">
                  <c:v>98644.199767269412</c:v>
                </c:pt>
                <c:pt idx="12">
                  <c:v>90322.294511517292</c:v>
                </c:pt>
              </c:numCache>
            </c:numRef>
          </c:val>
        </c:ser>
        <c:ser>
          <c:idx val="6"/>
          <c:order val="6"/>
          <c:tx>
            <c:strRef>
              <c:f>'Large AC - Chillers'!$I$3</c:f>
              <c:strCache>
                <c:ptCount val="1"/>
                <c:pt idx="0">
                  <c:v>HFC-32</c:v>
                </c:pt>
              </c:strCache>
            </c:strRef>
          </c:tx>
          <c:cat>
            <c:numRef>
              <c:f>'Large AC - Chillers'!$B$5:$B$17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AC - Chillers'!$I$5:$I$17</c:f>
              <c:numCache>
                <c:formatCode>#,##0</c:formatCode>
                <c:ptCount val="13"/>
                <c:pt idx="0">
                  <c:v>0</c:v>
                </c:pt>
                <c:pt idx="1">
                  <c:v>0</c:v>
                </c:pt>
                <c:pt idx="2">
                  <c:v>2177.4139445123428</c:v>
                </c:pt>
                <c:pt idx="3">
                  <c:v>6579.7205805501944</c:v>
                </c:pt>
                <c:pt idx="4">
                  <c:v>13252.51792624221</c:v>
                </c:pt>
                <c:pt idx="5">
                  <c:v>22239.242005866061</c:v>
                </c:pt>
                <c:pt idx="6">
                  <c:v>33580.927713058853</c:v>
                </c:pt>
                <c:pt idx="7">
                  <c:v>47316.014883034783</c:v>
                </c:pt>
                <c:pt idx="8">
                  <c:v>61179.624198770827</c:v>
                </c:pt>
                <c:pt idx="9">
                  <c:v>75175.234814981523</c:v>
                </c:pt>
                <c:pt idx="10">
                  <c:v>89306.36055785761</c:v>
                </c:pt>
                <c:pt idx="11">
                  <c:v>103576.56245661102</c:v>
                </c:pt>
                <c:pt idx="12">
                  <c:v>117989.45162182899</c:v>
                </c:pt>
              </c:numCache>
            </c:numRef>
          </c:val>
        </c:ser>
        <c:ser>
          <c:idx val="7"/>
          <c:order val="7"/>
          <c:tx>
            <c:strRef>
              <c:f>'Large AC - Chillers'!$J$3</c:f>
              <c:strCache>
                <c:ptCount val="1"/>
                <c:pt idx="0">
                  <c:v>HFC-Mix</c:v>
                </c:pt>
              </c:strCache>
            </c:strRef>
          </c:tx>
          <c:cat>
            <c:numRef>
              <c:f>'Large AC - Chillers'!$B$5:$B$17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AC - Chillers'!$J$5:$J$17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8"/>
          <c:order val="8"/>
          <c:tx>
            <c:strRef>
              <c:f>'Large AC - Chillers'!$K$3</c:f>
              <c:strCache>
                <c:ptCount val="1"/>
                <c:pt idx="0">
                  <c:v>GWP &lt;2150</c:v>
                </c:pt>
              </c:strCache>
            </c:strRef>
          </c:tx>
          <c:cat>
            <c:numRef>
              <c:f>'Large AC - Chillers'!$B$5:$B$17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AC - Chillers'!$K$5:$K$17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9"/>
          <c:order val="9"/>
          <c:tx>
            <c:strRef>
              <c:f>'Large AC - Chillers'!$L$3</c:f>
              <c:strCache>
                <c:ptCount val="1"/>
                <c:pt idx="0">
                  <c:v>GWP &lt;1000</c:v>
                </c:pt>
              </c:strCache>
            </c:strRef>
          </c:tx>
          <c:cat>
            <c:numRef>
              <c:f>'Large AC - Chillers'!$B$5:$B$17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AC - Chillers'!$L$5:$L$17</c:f>
              <c:numCache>
                <c:formatCode>#,##0</c:formatCode>
                <c:ptCount val="13"/>
                <c:pt idx="0">
                  <c:v>0</c:v>
                </c:pt>
                <c:pt idx="1">
                  <c:v>0</c:v>
                </c:pt>
                <c:pt idx="2">
                  <c:v>0</c:v>
                </c:pt>
                <c:pt idx="3">
                  <c:v>2641.3839816227137</c:v>
                </c:pt>
                <c:pt idx="4">
                  <c:v>7979.6218581763524</c:v>
                </c:pt>
                <c:pt idx="5">
                  <c:v>16067.673529837804</c:v>
                </c:pt>
                <c:pt idx="6">
                  <c:v>26955.6918087431</c:v>
                </c:pt>
                <c:pt idx="7">
                  <c:v>40690.778978726943</c:v>
                </c:pt>
                <c:pt idx="8">
                  <c:v>59683.923741605002</c:v>
                </c:pt>
                <c:pt idx="9">
                  <c:v>84036.286223188989</c:v>
                </c:pt>
                <c:pt idx="10">
                  <c:v>113852.9617465285</c:v>
                </c:pt>
                <c:pt idx="11">
                  <c:v>149243.06590068081</c:v>
                </c:pt>
                <c:pt idx="12">
                  <c:v>190319.84446204241</c:v>
                </c:pt>
              </c:numCache>
            </c:numRef>
          </c:val>
        </c:ser>
        <c:ser>
          <c:idx val="10"/>
          <c:order val="10"/>
          <c:tx>
            <c:strRef>
              <c:f>'Large AC - Chillers'!$M$3</c:f>
              <c:strCache>
                <c:ptCount val="1"/>
                <c:pt idx="0">
                  <c:v>GWP &lt;10</c:v>
                </c:pt>
              </c:strCache>
            </c:strRef>
          </c:tx>
          <c:cat>
            <c:numRef>
              <c:f>'Large AC - Chillers'!$B$5:$B$17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AC - Chillers'!$M$5:$M$17</c:f>
              <c:numCache>
                <c:formatCode>#,##0</c:formatCode>
                <c:ptCount val="13"/>
                <c:pt idx="0">
                  <c:v>694.28028634202553</c:v>
                </c:pt>
                <c:pt idx="1">
                  <c:v>1004.330410954825</c:v>
                </c:pt>
                <c:pt idx="2">
                  <c:v>5751.0928099917155</c:v>
                </c:pt>
                <c:pt idx="3">
                  <c:v>15031.15519875905</c:v>
                </c:pt>
                <c:pt idx="4">
                  <c:v>28937.264867168691</c:v>
                </c:pt>
                <c:pt idx="5">
                  <c:v>47557.757159857858</c:v>
                </c:pt>
                <c:pt idx="6">
                  <c:v>70976.069802786544</c:v>
                </c:pt>
                <c:pt idx="7">
                  <c:v>99270.349297528388</c:v>
                </c:pt>
                <c:pt idx="8">
                  <c:v>139169.8160591402</c:v>
                </c:pt>
                <c:pt idx="9">
                  <c:v>190897.5853377952</c:v>
                </c:pt>
                <c:pt idx="10">
                  <c:v>254685.43364194731</c:v>
                </c:pt>
                <c:pt idx="11">
                  <c:v>330773.85273953353</c:v>
                </c:pt>
                <c:pt idx="12">
                  <c:v>419411.82053857064</c:v>
                </c:pt>
              </c:numCache>
            </c:numRef>
          </c:val>
        </c:ser>
        <c:axId val="43457920"/>
        <c:axId val="43476096"/>
      </c:areaChart>
      <c:catAx>
        <c:axId val="43457920"/>
        <c:scaling>
          <c:orientation val="minMax"/>
        </c:scaling>
        <c:axPos val="b"/>
        <c:numFmt formatCode="General" sourceLinked="1"/>
        <c:tickLblPos val="nextTo"/>
        <c:txPr>
          <a:bodyPr/>
          <a:lstStyle/>
          <a:p>
            <a:pPr>
              <a:defRPr sz="800"/>
            </a:pPr>
            <a:endParaRPr lang="en-US"/>
          </a:p>
        </c:txPr>
        <c:crossAx val="43476096"/>
        <c:crosses val="autoZero"/>
        <c:auto val="1"/>
        <c:lblAlgn val="ctr"/>
        <c:lblOffset val="100"/>
      </c:catAx>
      <c:valAx>
        <c:axId val="43476096"/>
        <c:scaling>
          <c:orientation val="minMax"/>
        </c:scaling>
        <c:axPos val="l"/>
        <c:majorGridlines/>
        <c:numFmt formatCode="#,##0" sourceLinked="1"/>
        <c:tickLblPos val="nextTo"/>
        <c:txPr>
          <a:bodyPr/>
          <a:lstStyle/>
          <a:p>
            <a:pPr>
              <a:defRPr sz="800"/>
            </a:pPr>
            <a:endParaRPr lang="en-US"/>
          </a:p>
        </c:txPr>
        <c:crossAx val="43457920"/>
        <c:crosses val="autoZero"/>
        <c:crossBetween val="midCat"/>
        <c:dispUnits>
          <c:builtInUnit val="thousands"/>
        </c:dispUnits>
      </c:valAx>
    </c:plotArea>
    <c:legend>
      <c:legendPos val="r"/>
      <c:txPr>
        <a:bodyPr/>
        <a:lstStyle/>
        <a:p>
          <a:pPr>
            <a:defRPr sz="800"/>
          </a:pPr>
          <a:endParaRPr lang="en-US"/>
        </a:p>
      </c:txPr>
    </c:legend>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AU"/>
  <c:style val="18"/>
  <c:chart>
    <c:plotArea>
      <c:layout/>
      <c:areaChart>
        <c:grouping val="stacked"/>
        <c:ser>
          <c:idx val="0"/>
          <c:order val="0"/>
          <c:tx>
            <c:strRef>
              <c:f>'Transition summary'!$C$68</c:f>
              <c:strCache>
                <c:ptCount val="1"/>
                <c:pt idx="0">
                  <c:v>DR</c:v>
                </c:pt>
              </c:strCache>
            </c:strRef>
          </c:tx>
          <c:cat>
            <c:numRef>
              <c:f>'Transition summary'!$B$69:$B$81</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summary'!$C$69:$C$81</c:f>
              <c:numCache>
                <c:formatCode>#,##0.00</c:formatCode>
                <c:ptCount val="13"/>
                <c:pt idx="0">
                  <c:v>3.5989438665892395E-2</c:v>
                </c:pt>
                <c:pt idx="1">
                  <c:v>3.5271389607864162E-2</c:v>
                </c:pt>
                <c:pt idx="2">
                  <c:v>3.4375539218382913E-2</c:v>
                </c:pt>
                <c:pt idx="3">
                  <c:v>3.3159503851062297E-2</c:v>
                </c:pt>
                <c:pt idx="4">
                  <c:v>3.1742054799648305E-2</c:v>
                </c:pt>
                <c:pt idx="5">
                  <c:v>3.0047375364745943E-2</c:v>
                </c:pt>
                <c:pt idx="6">
                  <c:v>2.8038556778483711E-2</c:v>
                </c:pt>
                <c:pt idx="7">
                  <c:v>2.5705171945065011E-2</c:v>
                </c:pt>
                <c:pt idx="8">
                  <c:v>2.3068854462095507E-2</c:v>
                </c:pt>
                <c:pt idx="9">
                  <c:v>2.0368462036839077E-2</c:v>
                </c:pt>
                <c:pt idx="10">
                  <c:v>1.7666538977612823E-2</c:v>
                </c:pt>
                <c:pt idx="11">
                  <c:v>1.5025459388632225E-2</c:v>
                </c:pt>
                <c:pt idx="12">
                  <c:v>1.2503565209944513E-2</c:v>
                </c:pt>
              </c:numCache>
            </c:numRef>
          </c:val>
        </c:ser>
        <c:ser>
          <c:idx val="1"/>
          <c:order val="1"/>
          <c:tx>
            <c:strRef>
              <c:f>'Transition summary'!$D$68</c:f>
              <c:strCache>
                <c:ptCount val="1"/>
                <c:pt idx="0">
                  <c:v>RCFC</c:v>
                </c:pt>
              </c:strCache>
            </c:strRef>
          </c:tx>
          <c:cat>
            <c:numRef>
              <c:f>'Transition summary'!$B$69:$B$81</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summary'!$D$69:$D$81</c:f>
              <c:numCache>
                <c:formatCode>#,##0.00</c:formatCode>
                <c:ptCount val="13"/>
                <c:pt idx="0">
                  <c:v>3.1121683841070578</c:v>
                </c:pt>
                <c:pt idx="1">
                  <c:v>3.0966012320084038</c:v>
                </c:pt>
                <c:pt idx="2">
                  <c:v>2.9637563545854841</c:v>
                </c:pt>
                <c:pt idx="3">
                  <c:v>2.8780570753908412</c:v>
                </c:pt>
                <c:pt idx="4">
                  <c:v>2.7802683739257361</c:v>
                </c:pt>
                <c:pt idx="5">
                  <c:v>2.6855591263413112</c:v>
                </c:pt>
                <c:pt idx="6">
                  <c:v>2.5822590221882327</c:v>
                </c:pt>
                <c:pt idx="7">
                  <c:v>2.4673014482023201</c:v>
                </c:pt>
                <c:pt idx="8">
                  <c:v>2.3418697792354477</c:v>
                </c:pt>
                <c:pt idx="9">
                  <c:v>2.2060852650651048</c:v>
                </c:pt>
                <c:pt idx="10">
                  <c:v>2.0601725245984732</c:v>
                </c:pt>
                <c:pt idx="11">
                  <c:v>1.9043658511117909</c:v>
                </c:pt>
                <c:pt idx="12">
                  <c:v>1.7390012592642226</c:v>
                </c:pt>
              </c:numCache>
            </c:numRef>
          </c:val>
        </c:ser>
        <c:ser>
          <c:idx val="2"/>
          <c:order val="2"/>
          <c:tx>
            <c:strRef>
              <c:f>'Transition summary'!$E$68</c:f>
              <c:strCache>
                <c:ptCount val="1"/>
                <c:pt idx="0">
                  <c:v>AC</c:v>
                </c:pt>
              </c:strCache>
            </c:strRef>
          </c:tx>
          <c:cat>
            <c:numRef>
              <c:f>'Transition summary'!$B$69:$B$81</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summary'!$E$69:$E$81</c:f>
              <c:numCache>
                <c:formatCode>#,##0.00</c:formatCode>
                <c:ptCount val="13"/>
                <c:pt idx="0">
                  <c:v>2.8879945809614216</c:v>
                </c:pt>
                <c:pt idx="1">
                  <c:v>2.8767196133362627</c:v>
                </c:pt>
                <c:pt idx="2">
                  <c:v>2.8188137544566478</c:v>
                </c:pt>
                <c:pt idx="3">
                  <c:v>2.7201438250121281</c:v>
                </c:pt>
                <c:pt idx="4">
                  <c:v>2.6088380199975232</c:v>
                </c:pt>
                <c:pt idx="5">
                  <c:v>2.4910004764998339</c:v>
                </c:pt>
                <c:pt idx="6">
                  <c:v>2.3780531765605621</c:v>
                </c:pt>
                <c:pt idx="7">
                  <c:v>2.2710423598113381</c:v>
                </c:pt>
                <c:pt idx="8">
                  <c:v>2.1614291389498668</c:v>
                </c:pt>
                <c:pt idx="9">
                  <c:v>2.0458462010555238</c:v>
                </c:pt>
                <c:pt idx="10">
                  <c:v>1.9207923887439891</c:v>
                </c:pt>
                <c:pt idx="11">
                  <c:v>1.783440135645856</c:v>
                </c:pt>
                <c:pt idx="12">
                  <c:v>1.6321735102821311</c:v>
                </c:pt>
              </c:numCache>
            </c:numRef>
          </c:val>
        </c:ser>
        <c:ser>
          <c:idx val="3"/>
          <c:order val="3"/>
          <c:tx>
            <c:strRef>
              <c:f>'Transition summary'!$F$68</c:f>
              <c:strCache>
                <c:ptCount val="1"/>
                <c:pt idx="0">
                  <c:v>MAC</c:v>
                </c:pt>
              </c:strCache>
            </c:strRef>
          </c:tx>
          <c:cat>
            <c:numRef>
              <c:f>'Transition summary'!$B$69:$B$81</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summary'!$F$69:$F$81</c:f>
              <c:numCache>
                <c:formatCode>#,##0.00</c:formatCode>
                <c:ptCount val="13"/>
                <c:pt idx="0">
                  <c:v>1.8008515815602681</c:v>
                </c:pt>
                <c:pt idx="1">
                  <c:v>1.7032106704942158</c:v>
                </c:pt>
                <c:pt idx="2">
                  <c:v>1.6292569699172117</c:v>
                </c:pt>
                <c:pt idx="3">
                  <c:v>1.5650378654619581</c:v>
                </c:pt>
                <c:pt idx="4">
                  <c:v>1.5034892359195458</c:v>
                </c:pt>
                <c:pt idx="5">
                  <c:v>1.4332854568791078</c:v>
                </c:pt>
                <c:pt idx="6">
                  <c:v>1.3762363151412371</c:v>
                </c:pt>
                <c:pt idx="7">
                  <c:v>1.3145849193327044</c:v>
                </c:pt>
                <c:pt idx="8">
                  <c:v>1.239542353627235</c:v>
                </c:pt>
                <c:pt idx="9">
                  <c:v>1.1520531583895721</c:v>
                </c:pt>
                <c:pt idx="10">
                  <c:v>1.0529677375572559</c:v>
                </c:pt>
                <c:pt idx="11">
                  <c:v>0.94316301595839203</c:v>
                </c:pt>
                <c:pt idx="12">
                  <c:v>0.82352411664230962</c:v>
                </c:pt>
              </c:numCache>
            </c:numRef>
          </c:val>
        </c:ser>
        <c:ser>
          <c:idx val="4"/>
          <c:order val="4"/>
          <c:tx>
            <c:strRef>
              <c:f>'Transition summary'!$G$68</c:f>
              <c:strCache>
                <c:ptCount val="1"/>
                <c:pt idx="0">
                  <c:v>Fm</c:v>
                </c:pt>
              </c:strCache>
            </c:strRef>
          </c:tx>
          <c:cat>
            <c:numRef>
              <c:f>'Transition summary'!$B$69:$B$81</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summary'!$G$69:$G$81</c:f>
              <c:numCache>
                <c:formatCode>#,##0.00</c:formatCode>
                <c:ptCount val="13"/>
                <c:pt idx="0">
                  <c:v>0.64400000000000179</c:v>
                </c:pt>
                <c:pt idx="1">
                  <c:v>0.48300000000000032</c:v>
                </c:pt>
                <c:pt idx="2">
                  <c:v>0.44385454545454633</c:v>
                </c:pt>
                <c:pt idx="3">
                  <c:v>0.49221818181818333</c:v>
                </c:pt>
                <c:pt idx="4">
                  <c:v>0.44312727272727331</c:v>
                </c:pt>
                <c:pt idx="5">
                  <c:v>0.39403636363636546</c:v>
                </c:pt>
                <c:pt idx="6">
                  <c:v>0.344945454545455</c:v>
                </c:pt>
                <c:pt idx="7">
                  <c:v>0.29585454545454648</c:v>
                </c:pt>
                <c:pt idx="8">
                  <c:v>0.24676363636363616</c:v>
                </c:pt>
                <c:pt idx="9">
                  <c:v>0.19767272727272681</c:v>
                </c:pt>
                <c:pt idx="10">
                  <c:v>0.14858181818181801</c:v>
                </c:pt>
                <c:pt idx="11">
                  <c:v>9.9490909090909227E-2</c:v>
                </c:pt>
                <c:pt idx="12">
                  <c:v>5.0400000000000014E-2</c:v>
                </c:pt>
              </c:numCache>
            </c:numRef>
          </c:val>
        </c:ser>
        <c:ser>
          <c:idx val="5"/>
          <c:order val="5"/>
          <c:tx>
            <c:strRef>
              <c:f>'Transition summary'!$H$68</c:f>
              <c:strCache>
                <c:ptCount val="1"/>
                <c:pt idx="0">
                  <c:v>FP</c:v>
                </c:pt>
              </c:strCache>
            </c:strRef>
          </c:tx>
          <c:cat>
            <c:numRef>
              <c:f>'Transition summary'!$B$69:$B$81</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summary'!$H$69:$H$81</c:f>
              <c:numCache>
                <c:formatCode>#,##0.00</c:formatCode>
                <c:ptCount val="13"/>
                <c:pt idx="0">
                  <c:v>0.161</c:v>
                </c:pt>
                <c:pt idx="1">
                  <c:v>0.15430200000000016</c:v>
                </c:pt>
                <c:pt idx="2">
                  <c:v>0.14760402</c:v>
                </c:pt>
                <c:pt idx="3">
                  <c:v>0.14090606020000004</c:v>
                </c:pt>
                <c:pt idx="4">
                  <c:v>0.13420812080200023</c:v>
                </c:pt>
                <c:pt idx="5">
                  <c:v>0.12751020201002017</c:v>
                </c:pt>
                <c:pt idx="6">
                  <c:v>0.12081230403012</c:v>
                </c:pt>
                <c:pt idx="7">
                  <c:v>0.11411442707042102</c:v>
                </c:pt>
                <c:pt idx="8">
                  <c:v>0.1074165713411261</c:v>
                </c:pt>
                <c:pt idx="9">
                  <c:v>0.100718737054537</c:v>
                </c:pt>
                <c:pt idx="10">
                  <c:v>9.402092442508278E-2</c:v>
                </c:pt>
                <c:pt idx="11">
                  <c:v>8.7323133669333114E-2</c:v>
                </c:pt>
                <c:pt idx="12">
                  <c:v>8.0625365006027266E-2</c:v>
                </c:pt>
              </c:numCache>
            </c:numRef>
          </c:val>
        </c:ser>
        <c:ser>
          <c:idx val="6"/>
          <c:order val="6"/>
          <c:tx>
            <c:strRef>
              <c:f>'Transition summary'!$I$68</c:f>
              <c:strCache>
                <c:ptCount val="1"/>
                <c:pt idx="0">
                  <c:v>Other</c:v>
                </c:pt>
              </c:strCache>
            </c:strRef>
          </c:tx>
          <c:cat>
            <c:numRef>
              <c:f>'Transition summary'!$B$69:$B$81</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summary'!$I$69:$I$81</c:f>
              <c:numCache>
                <c:formatCode>#,##0.00</c:formatCode>
                <c:ptCount val="13"/>
                <c:pt idx="0">
                  <c:v>0.16247400000000001</c:v>
                </c:pt>
                <c:pt idx="1">
                  <c:v>0.15635033333333323</c:v>
                </c:pt>
                <c:pt idx="2">
                  <c:v>0.15022666666666701</c:v>
                </c:pt>
                <c:pt idx="3">
                  <c:v>0.14410300000000001</c:v>
                </c:pt>
                <c:pt idx="4">
                  <c:v>0.13797933333333326</c:v>
                </c:pt>
                <c:pt idx="5">
                  <c:v>0.13185566666666687</c:v>
                </c:pt>
                <c:pt idx="6">
                  <c:v>0.12573200000000001</c:v>
                </c:pt>
                <c:pt idx="7">
                  <c:v>0.119608333333333</c:v>
                </c:pt>
                <c:pt idx="8">
                  <c:v>0.113484666666667</c:v>
                </c:pt>
                <c:pt idx="9">
                  <c:v>0.10736100000000008</c:v>
                </c:pt>
                <c:pt idx="10">
                  <c:v>0.101237333333333</c:v>
                </c:pt>
                <c:pt idx="11">
                  <c:v>9.5113666666666707E-2</c:v>
                </c:pt>
                <c:pt idx="12">
                  <c:v>8.8990000000000263E-2</c:v>
                </c:pt>
              </c:numCache>
            </c:numRef>
          </c:val>
        </c:ser>
        <c:axId val="41361792"/>
        <c:axId val="41363328"/>
      </c:areaChart>
      <c:lineChart>
        <c:grouping val="standard"/>
        <c:ser>
          <c:idx val="7"/>
          <c:order val="7"/>
          <c:tx>
            <c:strRef>
              <c:f>'Transition summary'!$J$68</c:f>
              <c:strCache>
                <c:ptCount val="1"/>
                <c:pt idx="0">
                  <c:v>Baseline</c:v>
                </c:pt>
              </c:strCache>
            </c:strRef>
          </c:tx>
          <c:spPr>
            <a:ln w="31750">
              <a:solidFill>
                <a:schemeClr val="accent6"/>
              </a:solidFill>
            </a:ln>
          </c:spPr>
          <c:marker>
            <c:symbol val="none"/>
          </c:marker>
          <c:cat>
            <c:numRef>
              <c:f>'Transition summary'!$B$69:$B$81</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summary'!$J$69:$J$81</c:f>
              <c:numCache>
                <c:formatCode>#,##0.00</c:formatCode>
                <c:ptCount val="13"/>
                <c:pt idx="0">
                  <c:v>9.9549100243663506</c:v>
                </c:pt>
                <c:pt idx="1">
                  <c:v>9.9549100243663506</c:v>
                </c:pt>
                <c:pt idx="2">
                  <c:v>9.9549100243663506</c:v>
                </c:pt>
                <c:pt idx="3">
                  <c:v>8.9594190219297651</c:v>
                </c:pt>
                <c:pt idx="4">
                  <c:v>8.9594190219297651</c:v>
                </c:pt>
                <c:pt idx="5">
                  <c:v>8.9594190219297651</c:v>
                </c:pt>
                <c:pt idx="6">
                  <c:v>8.9594190219297651</c:v>
                </c:pt>
                <c:pt idx="7">
                  <c:v>8.9594190219297651</c:v>
                </c:pt>
                <c:pt idx="8">
                  <c:v>8.9594190219297651</c:v>
                </c:pt>
                <c:pt idx="9">
                  <c:v>8.9594190219297651</c:v>
                </c:pt>
                <c:pt idx="10">
                  <c:v>6.4706915158381566</c:v>
                </c:pt>
                <c:pt idx="11">
                  <c:v>6.4706915158381566</c:v>
                </c:pt>
                <c:pt idx="12">
                  <c:v>6.4706915158381566</c:v>
                </c:pt>
              </c:numCache>
            </c:numRef>
          </c:val>
        </c:ser>
        <c:ser>
          <c:idx val="8"/>
          <c:order val="8"/>
          <c:tx>
            <c:strRef>
              <c:f>'Transition summary'!$K$68</c:f>
              <c:strCache>
                <c:ptCount val="1"/>
                <c:pt idx="0">
                  <c:v>Alt Scenario</c:v>
                </c:pt>
              </c:strCache>
            </c:strRef>
          </c:tx>
          <c:spPr>
            <a:ln w="31750">
              <a:solidFill>
                <a:srgbClr val="0000FF"/>
              </a:solidFill>
              <a:prstDash val="sysDot"/>
            </a:ln>
          </c:spPr>
          <c:marker>
            <c:symbol val="none"/>
          </c:marker>
          <c:cat>
            <c:numRef>
              <c:f>'Transition summary'!$B$69:$B$81</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summary'!$K$69:$K$81</c:f>
              <c:numCache>
                <c:formatCode>#,##0.00</c:formatCode>
                <c:ptCount val="13"/>
                <c:pt idx="0">
                  <c:v>9.9298623894300206</c:v>
                </c:pt>
                <c:pt idx="1">
                  <c:v>9.5926186903534933</c:v>
                </c:pt>
                <c:pt idx="2">
                  <c:v>9.234459981540148</c:v>
                </c:pt>
                <c:pt idx="3">
                  <c:v>8.9928107275197515</c:v>
                </c:pt>
                <c:pt idx="4">
                  <c:v>8.6161493362839359</c:v>
                </c:pt>
                <c:pt idx="5">
                  <c:v>8.2255203015767631</c:v>
                </c:pt>
                <c:pt idx="6">
                  <c:v>7.8451994314783109</c:v>
                </c:pt>
                <c:pt idx="7">
                  <c:v>7.4528697802440576</c:v>
                </c:pt>
                <c:pt idx="8">
                  <c:v>7.0303477450895793</c:v>
                </c:pt>
                <c:pt idx="9">
                  <c:v>6.5753070122642523</c:v>
                </c:pt>
                <c:pt idx="10">
                  <c:v>6.0850818787416046</c:v>
                </c:pt>
                <c:pt idx="11">
                  <c:v>5.5578069603739335</c:v>
                </c:pt>
                <c:pt idx="12">
                  <c:v>4.9931028004563576</c:v>
                </c:pt>
              </c:numCache>
            </c:numRef>
          </c:val>
        </c:ser>
        <c:marker val="1"/>
        <c:axId val="41374848"/>
        <c:axId val="41364864"/>
      </c:lineChart>
      <c:catAx>
        <c:axId val="41361792"/>
        <c:scaling>
          <c:orientation val="minMax"/>
        </c:scaling>
        <c:axPos val="b"/>
        <c:numFmt formatCode="General" sourceLinked="1"/>
        <c:tickLblPos val="nextTo"/>
        <c:crossAx val="41363328"/>
        <c:crosses val="autoZero"/>
        <c:auto val="1"/>
        <c:lblAlgn val="ctr"/>
        <c:lblOffset val="100"/>
      </c:catAx>
      <c:valAx>
        <c:axId val="41363328"/>
        <c:scaling>
          <c:orientation val="minMax"/>
          <c:max val="10"/>
        </c:scaling>
        <c:axPos val="l"/>
        <c:majorGridlines/>
        <c:numFmt formatCode="#,##0.00" sourceLinked="1"/>
        <c:tickLblPos val="nextTo"/>
        <c:crossAx val="41361792"/>
        <c:crosses val="autoZero"/>
        <c:crossBetween val="between"/>
      </c:valAx>
      <c:valAx>
        <c:axId val="41364864"/>
        <c:scaling>
          <c:orientation val="minMax"/>
          <c:max val="10"/>
        </c:scaling>
        <c:delete val="1"/>
        <c:axPos val="r"/>
        <c:numFmt formatCode="#,##0.00" sourceLinked="1"/>
        <c:tickLblPos val="none"/>
        <c:crossAx val="41374848"/>
        <c:crosses val="max"/>
        <c:crossBetween val="between"/>
      </c:valAx>
      <c:catAx>
        <c:axId val="41374848"/>
        <c:scaling>
          <c:orientation val="minMax"/>
        </c:scaling>
        <c:delete val="1"/>
        <c:axPos val="b"/>
        <c:numFmt formatCode="General" sourceLinked="1"/>
        <c:tickLblPos val="none"/>
        <c:crossAx val="41364864"/>
        <c:crosses val="autoZero"/>
        <c:auto val="1"/>
        <c:lblAlgn val="ctr"/>
        <c:lblOffset val="100"/>
      </c:catAx>
    </c:plotArea>
    <c:legend>
      <c:legendPos val="r"/>
    </c:legend>
    <c:plotVisOnly val="1"/>
    <c:dispBlanksAs val="zero"/>
  </c:chart>
  <c:spPr>
    <a:ln>
      <a:noFill/>
    </a:ln>
  </c:spPr>
  <c:txPr>
    <a:bodyPr/>
    <a:lstStyle/>
    <a:p>
      <a:pPr>
        <a:defRPr sz="800"/>
      </a:pPr>
      <a:endParaRPr lang="en-US"/>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AU"/>
  <c:style val="18"/>
  <c:chart>
    <c:plotArea>
      <c:layout/>
      <c:areaChart>
        <c:grouping val="stacked"/>
        <c:ser>
          <c:idx val="0"/>
          <c:order val="0"/>
          <c:tx>
            <c:strRef>
              <c:f>'Large AC - Chillers'!$C$3</c:f>
              <c:strCache>
                <c:ptCount val="1"/>
                <c:pt idx="0">
                  <c:v>HCFC-22</c:v>
                </c:pt>
              </c:strCache>
            </c:strRef>
          </c:tx>
          <c:spPr>
            <a:solidFill>
              <a:srgbClr val="FF0000"/>
            </a:solidFill>
          </c:spPr>
          <c:cat>
            <c:numRef>
              <c:f>'Large AC - Chillers'!$B$82:$B$94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AC - Chillers'!$C$82:$C$94</c:f>
              <c:numCache>
                <c:formatCode>#,##0</c:formatCode>
                <c:ptCount val="13"/>
                <c:pt idx="0">
                  <c:v>46758.174045840911</c:v>
                </c:pt>
                <c:pt idx="1">
                  <c:v>41405.278489656826</c:v>
                </c:pt>
                <c:pt idx="2">
                  <c:v>36433.80337235851</c:v>
                </c:pt>
                <c:pt idx="3">
                  <c:v>31973.723435011121</c:v>
                </c:pt>
                <c:pt idx="4">
                  <c:v>28030.138157171816</c:v>
                </c:pt>
                <c:pt idx="5">
                  <c:v>24494.703958865037</c:v>
                </c:pt>
                <c:pt idx="6">
                  <c:v>21211.77455129533</c:v>
                </c:pt>
                <c:pt idx="7">
                  <c:v>18053.047559220518</c:v>
                </c:pt>
                <c:pt idx="8">
                  <c:v>14959.23507327697</c:v>
                </c:pt>
                <c:pt idx="9">
                  <c:v>11946.816438177</c:v>
                </c:pt>
                <c:pt idx="10">
                  <c:v>9095.9418459704666</c:v>
                </c:pt>
                <c:pt idx="11">
                  <c:v>6525.2914311905333</c:v>
                </c:pt>
                <c:pt idx="12">
                  <c:v>4354.3509874610454</c:v>
                </c:pt>
              </c:numCache>
            </c:numRef>
          </c:val>
        </c:ser>
        <c:ser>
          <c:idx val="1"/>
          <c:order val="1"/>
          <c:tx>
            <c:strRef>
              <c:f>'Large AC - Chillers'!$D$3</c:f>
              <c:strCache>
                <c:ptCount val="1"/>
                <c:pt idx="0">
                  <c:v>HCFC-123</c:v>
                </c:pt>
              </c:strCache>
            </c:strRef>
          </c:tx>
          <c:cat>
            <c:numRef>
              <c:f>'Large AC - Chillers'!$B$82:$B$94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AC - Chillers'!$D$82:$D$94</c:f>
              <c:numCache>
                <c:formatCode>#,##0</c:formatCode>
                <c:ptCount val="13"/>
                <c:pt idx="0">
                  <c:v>16598.958974831818</c:v>
                </c:pt>
                <c:pt idx="1">
                  <c:v>16520.4436280339</c:v>
                </c:pt>
                <c:pt idx="2">
                  <c:v>1440.4266560594021</c:v>
                </c:pt>
                <c:pt idx="3">
                  <c:v>1359.1264577875081</c:v>
                </c:pt>
                <c:pt idx="4">
                  <c:v>1276.6175474843521</c:v>
                </c:pt>
                <c:pt idx="5">
                  <c:v>1192.9486193223931</c:v>
                </c:pt>
                <c:pt idx="6">
                  <c:v>1108.1790922564949</c:v>
                </c:pt>
                <c:pt idx="7">
                  <c:v>1022.3791101520329</c:v>
                </c:pt>
                <c:pt idx="8">
                  <c:v>935.61380225516916</c:v>
                </c:pt>
                <c:pt idx="9">
                  <c:v>847.92886083169014</c:v>
                </c:pt>
                <c:pt idx="10">
                  <c:v>759.34849864614353</c:v>
                </c:pt>
                <c:pt idx="11">
                  <c:v>669.89016750550786</c:v>
                </c:pt>
                <c:pt idx="12">
                  <c:v>579.61250438861396</c:v>
                </c:pt>
              </c:numCache>
            </c:numRef>
          </c:val>
        </c:ser>
        <c:ser>
          <c:idx val="2"/>
          <c:order val="2"/>
          <c:tx>
            <c:strRef>
              <c:f>'Large AC - Chillers'!$E$3</c:f>
              <c:strCache>
                <c:ptCount val="1"/>
                <c:pt idx="0">
                  <c:v>HFC-134a</c:v>
                </c:pt>
              </c:strCache>
            </c:strRef>
          </c:tx>
          <c:cat>
            <c:numRef>
              <c:f>'Large AC - Chillers'!$B$82:$B$94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AC - Chillers'!$E$82:$E$94</c:f>
              <c:numCache>
                <c:formatCode>#,##0</c:formatCode>
                <c:ptCount val="13"/>
                <c:pt idx="0">
                  <c:v>176069.61724160076</c:v>
                </c:pt>
                <c:pt idx="1">
                  <c:v>180100.19603200228</c:v>
                </c:pt>
                <c:pt idx="2">
                  <c:v>183639.61264618911</c:v>
                </c:pt>
                <c:pt idx="3">
                  <c:v>174797.06988591381</c:v>
                </c:pt>
                <c:pt idx="4">
                  <c:v>165228.39931602843</c:v>
                </c:pt>
                <c:pt idx="5">
                  <c:v>155041.81060589731</c:v>
                </c:pt>
                <c:pt idx="6">
                  <c:v>144394.8550452725</c:v>
                </c:pt>
                <c:pt idx="7">
                  <c:v>133421.99151945268</c:v>
                </c:pt>
                <c:pt idx="8">
                  <c:v>121865.42049140899</c:v>
                </c:pt>
                <c:pt idx="9">
                  <c:v>109615.1406496181</c:v>
                </c:pt>
                <c:pt idx="10">
                  <c:v>96617.699277596708</c:v>
                </c:pt>
                <c:pt idx="11">
                  <c:v>82729.988401104245</c:v>
                </c:pt>
                <c:pt idx="12">
                  <c:v>67861.771167044426</c:v>
                </c:pt>
              </c:numCache>
            </c:numRef>
          </c:val>
        </c:ser>
        <c:ser>
          <c:idx val="3"/>
          <c:order val="3"/>
          <c:tx>
            <c:strRef>
              <c:f>'Large AC - Chillers'!$F$3</c:f>
              <c:strCache>
                <c:ptCount val="1"/>
                <c:pt idx="0">
                  <c:v>HFC-404A</c:v>
                </c:pt>
              </c:strCache>
            </c:strRef>
          </c:tx>
          <c:cat>
            <c:numRef>
              <c:f>'Large AC - Chillers'!$B$82:$B$94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AC - Chillers'!$F$82:$F$94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4"/>
          <c:order val="4"/>
          <c:tx>
            <c:strRef>
              <c:f>'Large AC - Chillers'!$G$3</c:f>
              <c:strCache>
                <c:ptCount val="1"/>
                <c:pt idx="0">
                  <c:v>HFC-410A</c:v>
                </c:pt>
              </c:strCache>
            </c:strRef>
          </c:tx>
          <c:cat>
            <c:numRef>
              <c:f>'Large AC - Chillers'!$B$82:$B$94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AC - Chillers'!$G$82:$G$94</c:f>
              <c:numCache>
                <c:formatCode>#,##0</c:formatCode>
                <c:ptCount val="13"/>
                <c:pt idx="0">
                  <c:v>30036.628291151021</c:v>
                </c:pt>
                <c:pt idx="1">
                  <c:v>31826.87887018402</c:v>
                </c:pt>
                <c:pt idx="2">
                  <c:v>30973.23866607025</c:v>
                </c:pt>
                <c:pt idx="3">
                  <c:v>29914.1978038671</c:v>
                </c:pt>
                <c:pt idx="4">
                  <c:v>28644.724101440861</c:v>
                </c:pt>
                <c:pt idx="5">
                  <c:v>27159.868319200821</c:v>
                </c:pt>
                <c:pt idx="6">
                  <c:v>25454.58545892312</c:v>
                </c:pt>
                <c:pt idx="7">
                  <c:v>23523.28547744708</c:v>
                </c:pt>
                <c:pt idx="8">
                  <c:v>21423.86152270246</c:v>
                </c:pt>
                <c:pt idx="9">
                  <c:v>19260.40245655744</c:v>
                </c:pt>
                <c:pt idx="10">
                  <c:v>17024.524659239298</c:v>
                </c:pt>
                <c:pt idx="11">
                  <c:v>14761.19352579545</c:v>
                </c:pt>
                <c:pt idx="12">
                  <c:v>12452.14220592345</c:v>
                </c:pt>
              </c:numCache>
            </c:numRef>
          </c:val>
        </c:ser>
        <c:ser>
          <c:idx val="5"/>
          <c:order val="5"/>
          <c:tx>
            <c:strRef>
              <c:f>'Large AC - Chillers'!$H$3</c:f>
              <c:strCache>
                <c:ptCount val="1"/>
                <c:pt idx="0">
                  <c:v>HFC-407C</c:v>
                </c:pt>
              </c:strCache>
            </c:strRef>
          </c:tx>
          <c:cat>
            <c:numRef>
              <c:f>'Large AC - Chillers'!$B$82:$B$94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AC - Chillers'!$H$82:$H$94</c:f>
              <c:numCache>
                <c:formatCode>#,##0</c:formatCode>
                <c:ptCount val="13"/>
                <c:pt idx="0">
                  <c:v>10863.29241598451</c:v>
                </c:pt>
                <c:pt idx="1">
                  <c:v>10928.292317987309</c:v>
                </c:pt>
                <c:pt idx="2">
                  <c:v>10331.47302278383</c:v>
                </c:pt>
                <c:pt idx="3">
                  <c:v>9734.6448114789309</c:v>
                </c:pt>
                <c:pt idx="4">
                  <c:v>9137.7547140507922</c:v>
                </c:pt>
                <c:pt idx="5">
                  <c:v>8540.5240446469288</c:v>
                </c:pt>
                <c:pt idx="6">
                  <c:v>7941.8017372760905</c:v>
                </c:pt>
                <c:pt idx="7">
                  <c:v>7337.8556276409054</c:v>
                </c:pt>
                <c:pt idx="8">
                  <c:v>6719.1980867998882</c:v>
                </c:pt>
                <c:pt idx="9">
                  <c:v>6066.9982833026488</c:v>
                </c:pt>
                <c:pt idx="10">
                  <c:v>5352.4226064226859</c:v>
                </c:pt>
                <c:pt idx="11">
                  <c:v>4542.5861725089644</c:v>
                </c:pt>
                <c:pt idx="12">
                  <c:v>3612.891780460704</c:v>
                </c:pt>
              </c:numCache>
            </c:numRef>
          </c:val>
        </c:ser>
        <c:ser>
          <c:idx val="6"/>
          <c:order val="6"/>
          <c:tx>
            <c:strRef>
              <c:f>'Large AC - Chillers'!$I$3</c:f>
              <c:strCache>
                <c:ptCount val="1"/>
                <c:pt idx="0">
                  <c:v>HFC-32</c:v>
                </c:pt>
              </c:strCache>
            </c:strRef>
          </c:tx>
          <c:cat>
            <c:numRef>
              <c:f>'Large AC - Chillers'!$B$82:$B$94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AC - Chillers'!$I$82:$I$94</c:f>
              <c:numCache>
                <c:formatCode>#,##0</c:formatCode>
                <c:ptCount val="13"/>
                <c:pt idx="0">
                  <c:v>0</c:v>
                </c:pt>
                <c:pt idx="1">
                  <c:v>0</c:v>
                </c:pt>
                <c:pt idx="2">
                  <c:v>1087.0965577805018</c:v>
                </c:pt>
                <c:pt idx="3">
                  <c:v>2863.1888232219981</c:v>
                </c:pt>
                <c:pt idx="4">
                  <c:v>4730.1007170496896</c:v>
                </c:pt>
                <c:pt idx="5">
                  <c:v>6689.5696802346429</c:v>
                </c:pt>
                <c:pt idx="6">
                  <c:v>8743.2371085223549</c:v>
                </c:pt>
                <c:pt idx="7">
                  <c:v>10892.640595321414</c:v>
                </c:pt>
                <c:pt idx="8">
                  <c:v>13047.18496795083</c:v>
                </c:pt>
                <c:pt idx="9">
                  <c:v>15207.009392599262</c:v>
                </c:pt>
                <c:pt idx="10">
                  <c:v>17372.254422314301</c:v>
                </c:pt>
                <c:pt idx="11">
                  <c:v>19543.062498264542</c:v>
                </c:pt>
                <c:pt idx="12">
                  <c:v>21719.578064873156</c:v>
                </c:pt>
              </c:numCache>
            </c:numRef>
          </c:val>
        </c:ser>
        <c:ser>
          <c:idx val="7"/>
          <c:order val="7"/>
          <c:tx>
            <c:strRef>
              <c:f>'Large AC - Chillers'!$J$3</c:f>
              <c:strCache>
                <c:ptCount val="1"/>
                <c:pt idx="0">
                  <c:v>HFC-Mix</c:v>
                </c:pt>
              </c:strCache>
            </c:strRef>
          </c:tx>
          <c:cat>
            <c:numRef>
              <c:f>'Large AC - Chillers'!$B$82:$B$94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AC - Chillers'!$J$82:$J$94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8"/>
          <c:order val="8"/>
          <c:tx>
            <c:strRef>
              <c:f>'Large AC - Chillers'!$K$3</c:f>
              <c:strCache>
                <c:ptCount val="1"/>
                <c:pt idx="0">
                  <c:v>GWP &lt;2150</c:v>
                </c:pt>
              </c:strCache>
            </c:strRef>
          </c:tx>
          <c:cat>
            <c:numRef>
              <c:f>'Large AC - Chillers'!$B$82:$B$94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AC - Chillers'!$K$82:$K$94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9"/>
          <c:order val="9"/>
          <c:tx>
            <c:strRef>
              <c:f>'Large AC - Chillers'!$L$3</c:f>
              <c:strCache>
                <c:ptCount val="1"/>
                <c:pt idx="0">
                  <c:v>GWP &lt;1000</c:v>
                </c:pt>
              </c:strCache>
            </c:strRef>
          </c:tx>
          <c:cat>
            <c:numRef>
              <c:f>'Large AC - Chillers'!$B$82:$B$94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AC - Chillers'!$L$82:$L$94</c:f>
              <c:numCache>
                <c:formatCode>#,##0</c:formatCode>
                <c:ptCount val="13"/>
                <c:pt idx="0">
                  <c:v>0</c:v>
                </c:pt>
                <c:pt idx="1">
                  <c:v>0</c:v>
                </c:pt>
                <c:pt idx="2">
                  <c:v>0</c:v>
                </c:pt>
                <c:pt idx="3">
                  <c:v>105.6553592649086</c:v>
                </c:pt>
                <c:pt idx="4">
                  <c:v>1319.1848743270498</c:v>
                </c:pt>
                <c:pt idx="5">
                  <c:v>7517.7069411935154</c:v>
                </c:pt>
                <c:pt idx="6">
                  <c:v>13828.227672349734</c:v>
                </c:pt>
                <c:pt idx="7">
                  <c:v>20252.631159149056</c:v>
                </c:pt>
                <c:pt idx="8">
                  <c:v>26887.356949664219</c:v>
                </c:pt>
                <c:pt idx="9">
                  <c:v>33736.451448927583</c:v>
                </c:pt>
                <c:pt idx="10">
                  <c:v>40804.118469861125</c:v>
                </c:pt>
                <c:pt idx="11">
                  <c:v>48094.722636027225</c:v>
                </c:pt>
                <c:pt idx="12">
                  <c:v>55612.793778481529</c:v>
                </c:pt>
              </c:numCache>
            </c:numRef>
          </c:val>
        </c:ser>
        <c:ser>
          <c:idx val="10"/>
          <c:order val="10"/>
          <c:tx>
            <c:strRef>
              <c:f>'Large AC - Chillers'!$M$3</c:f>
              <c:strCache>
                <c:ptCount val="1"/>
                <c:pt idx="0">
                  <c:v>GWP &lt;10</c:v>
                </c:pt>
              </c:strCache>
            </c:strRef>
          </c:tx>
          <c:cat>
            <c:numRef>
              <c:f>'Large AC - Chillers'!$B$82:$B$94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AC - Chillers'!$M$82:$M$94</c:f>
              <c:numCache>
                <c:formatCode>#,##0</c:formatCode>
                <c:ptCount val="13"/>
                <c:pt idx="0">
                  <c:v>10.41420429513038</c:v>
                </c:pt>
                <c:pt idx="1">
                  <c:v>15.06495616432237</c:v>
                </c:pt>
                <c:pt idx="2">
                  <c:v>17453.64163483003</c:v>
                </c:pt>
                <c:pt idx="3">
                  <c:v>31145.98694791802</c:v>
                </c:pt>
                <c:pt idx="4">
                  <c:v>44036.482850683307</c:v>
                </c:pt>
                <c:pt idx="5">
                  <c:v>52253.778527959388</c:v>
                </c:pt>
                <c:pt idx="6">
                  <c:v>60676.331167302036</c:v>
                </c:pt>
                <c:pt idx="7">
                  <c:v>69307.390373749397</c:v>
                </c:pt>
                <c:pt idx="8">
                  <c:v>78414.159185306387</c:v>
                </c:pt>
                <c:pt idx="9">
                  <c:v>88005.636480694404</c:v>
                </c:pt>
                <c:pt idx="10">
                  <c:v>98091.166792707707</c:v>
                </c:pt>
                <c:pt idx="11">
                  <c:v>108680.44565812661</c:v>
                </c:pt>
                <c:pt idx="12">
                  <c:v>119783.52163999462</c:v>
                </c:pt>
              </c:numCache>
            </c:numRef>
          </c:val>
        </c:ser>
        <c:axId val="43533440"/>
        <c:axId val="43534976"/>
      </c:areaChart>
      <c:catAx>
        <c:axId val="43533440"/>
        <c:scaling>
          <c:orientation val="minMax"/>
        </c:scaling>
        <c:axPos val="b"/>
        <c:numFmt formatCode="General" sourceLinked="1"/>
        <c:tickLblPos val="nextTo"/>
        <c:txPr>
          <a:bodyPr/>
          <a:lstStyle/>
          <a:p>
            <a:pPr>
              <a:defRPr sz="800"/>
            </a:pPr>
            <a:endParaRPr lang="en-US"/>
          </a:p>
        </c:txPr>
        <c:crossAx val="43534976"/>
        <c:crosses val="autoZero"/>
        <c:auto val="1"/>
        <c:lblAlgn val="ctr"/>
        <c:lblOffset val="100"/>
      </c:catAx>
      <c:valAx>
        <c:axId val="43534976"/>
        <c:scaling>
          <c:orientation val="minMax"/>
        </c:scaling>
        <c:axPos val="l"/>
        <c:majorGridlines/>
        <c:numFmt formatCode="#,##0" sourceLinked="1"/>
        <c:tickLblPos val="nextTo"/>
        <c:txPr>
          <a:bodyPr/>
          <a:lstStyle/>
          <a:p>
            <a:pPr>
              <a:defRPr sz="800"/>
            </a:pPr>
            <a:endParaRPr lang="en-US"/>
          </a:p>
        </c:txPr>
        <c:crossAx val="43533440"/>
        <c:crosses val="autoZero"/>
        <c:crossBetween val="midCat"/>
        <c:dispUnits>
          <c:builtInUnit val="thousands"/>
        </c:dispUnits>
      </c:valAx>
    </c:plotArea>
    <c:legend>
      <c:legendPos val="r"/>
      <c:txPr>
        <a:bodyPr/>
        <a:lstStyle/>
        <a:p>
          <a:pPr>
            <a:defRPr sz="800"/>
          </a:pPr>
          <a:endParaRPr lang="en-US"/>
        </a:p>
      </c:txPr>
    </c:legend>
    <c:plotVisOnly val="1"/>
    <c:dispBlanksAs val="zero"/>
  </c:chart>
  <c:spPr>
    <a:ln>
      <a:noFill/>
    </a:ln>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AU"/>
  <c:style val="18"/>
  <c:chart>
    <c:autoTitleDeleted val="1"/>
    <c:view3D>
      <c:rAngAx val="1"/>
    </c:view3D>
    <c:plotArea>
      <c:layout>
        <c:manualLayout>
          <c:layoutTarget val="inner"/>
          <c:xMode val="edge"/>
          <c:yMode val="edge"/>
          <c:x val="5.0068011571546465E-2"/>
          <c:y val="1.9148535274400524E-2"/>
          <c:w val="0.82214614824606758"/>
          <c:h val="0.88982576013011105"/>
        </c:manualLayout>
      </c:layout>
      <c:bar3DChart>
        <c:barDir val="col"/>
        <c:grouping val="percentStacked"/>
        <c:ser>
          <c:idx val="0"/>
          <c:order val="0"/>
          <c:tx>
            <c:strRef>
              <c:f>'Sector charts'!#REF!</c:f>
              <c:strCache>
                <c:ptCount val="1"/>
                <c:pt idx="0">
                  <c:v>#REF!</c:v>
                </c:pt>
              </c:strCache>
            </c:strRef>
          </c:tx>
          <c:dLbls>
            <c:delete val="1"/>
          </c:dLbls>
          <c:cat>
            <c:strRef>
              <c:f>'Sector charts'!$C$95:$D$95</c:f>
              <c:strCache>
                <c:ptCount val="2"/>
                <c:pt idx="0">
                  <c:v>Consumption</c:v>
                </c:pt>
                <c:pt idx="1">
                  <c:v>Bank</c:v>
                </c:pt>
              </c:strCache>
            </c:strRef>
          </c:cat>
          <c:val>
            <c:numRef>
              <c:f>'Sector charts'!#REF!</c:f>
              <c:numCache>
                <c:formatCode>General</c:formatCode>
                <c:ptCount val="1"/>
                <c:pt idx="0">
                  <c:v>1</c:v>
                </c:pt>
              </c:numCache>
            </c:numRef>
          </c:val>
        </c:ser>
        <c:ser>
          <c:idx val="1"/>
          <c:order val="1"/>
          <c:tx>
            <c:strRef>
              <c:f>'Sector charts'!#REF!</c:f>
              <c:strCache>
                <c:ptCount val="1"/>
                <c:pt idx="0">
                  <c:v>#REF!</c:v>
                </c:pt>
              </c:strCache>
            </c:strRef>
          </c:tx>
          <c:dLbls>
            <c:delete val="1"/>
          </c:dLbls>
          <c:cat>
            <c:strRef>
              <c:f>'Sector charts'!$C$95:$D$95</c:f>
              <c:strCache>
                <c:ptCount val="2"/>
                <c:pt idx="0">
                  <c:v>Consumption</c:v>
                </c:pt>
                <c:pt idx="1">
                  <c:v>Bank</c:v>
                </c:pt>
              </c:strCache>
            </c:strRef>
          </c:cat>
          <c:val>
            <c:numRef>
              <c:f>'Sector charts'!#REF!</c:f>
              <c:numCache>
                <c:formatCode>General</c:formatCode>
                <c:ptCount val="1"/>
                <c:pt idx="0">
                  <c:v>1</c:v>
                </c:pt>
              </c:numCache>
            </c:numRef>
          </c:val>
        </c:ser>
        <c:ser>
          <c:idx val="2"/>
          <c:order val="2"/>
          <c:tx>
            <c:strRef>
              <c:f>'Sector charts'!#REF!</c:f>
              <c:strCache>
                <c:ptCount val="1"/>
                <c:pt idx="0">
                  <c:v>#REF!</c:v>
                </c:pt>
              </c:strCache>
            </c:strRef>
          </c:tx>
          <c:dLbls>
            <c:delete val="1"/>
          </c:dLbls>
          <c:cat>
            <c:strRef>
              <c:f>'Sector charts'!$C$95:$D$95</c:f>
              <c:strCache>
                <c:ptCount val="2"/>
                <c:pt idx="0">
                  <c:v>Consumption</c:v>
                </c:pt>
                <c:pt idx="1">
                  <c:v>Bank</c:v>
                </c:pt>
              </c:strCache>
            </c:strRef>
          </c:cat>
          <c:val>
            <c:numRef>
              <c:f>'Sector charts'!#REF!</c:f>
              <c:numCache>
                <c:formatCode>General</c:formatCode>
                <c:ptCount val="1"/>
                <c:pt idx="0">
                  <c:v>1</c:v>
                </c:pt>
              </c:numCache>
            </c:numRef>
          </c:val>
        </c:ser>
        <c:ser>
          <c:idx val="3"/>
          <c:order val="3"/>
          <c:tx>
            <c:strRef>
              <c:f>'Sector charts'!$B$96</c:f>
              <c:strCache>
                <c:ptCount val="1"/>
                <c:pt idx="0">
                  <c:v>Un-registered and off-road</c:v>
                </c:pt>
              </c:strCache>
            </c:strRef>
          </c:tx>
          <c:cat>
            <c:strRef>
              <c:f>'Sector charts'!$C$95:$D$95</c:f>
              <c:strCache>
                <c:ptCount val="2"/>
                <c:pt idx="0">
                  <c:v>Consumption</c:v>
                </c:pt>
                <c:pt idx="1">
                  <c:v>Bank</c:v>
                </c:pt>
              </c:strCache>
            </c:strRef>
          </c:cat>
          <c:val>
            <c:numRef>
              <c:f>'Sector charts'!$C$96:$D$96</c:f>
              <c:numCache>
                <c:formatCode>#,##0</c:formatCode>
                <c:ptCount val="2"/>
                <c:pt idx="0">
                  <c:v>60</c:v>
                </c:pt>
                <c:pt idx="1">
                  <c:v>345</c:v>
                </c:pt>
              </c:numCache>
            </c:numRef>
          </c:val>
        </c:ser>
        <c:ser>
          <c:idx val="4"/>
          <c:order val="4"/>
          <c:tx>
            <c:strRef>
              <c:f>'Sector charts'!$B$97</c:f>
              <c:strCache>
                <c:ptCount val="1"/>
                <c:pt idx="0">
                  <c:v>Registered vehicles</c:v>
                </c:pt>
              </c:strCache>
            </c:strRef>
          </c:tx>
          <c:cat>
            <c:strRef>
              <c:f>'Sector charts'!$C$95:$D$95</c:f>
              <c:strCache>
                <c:ptCount val="2"/>
                <c:pt idx="0">
                  <c:v>Consumption</c:v>
                </c:pt>
                <c:pt idx="1">
                  <c:v>Bank</c:v>
                </c:pt>
              </c:strCache>
            </c:strRef>
          </c:cat>
          <c:val>
            <c:numRef>
              <c:f>'Sector charts'!$C$97:$D$97</c:f>
              <c:numCache>
                <c:formatCode>#,##0</c:formatCode>
                <c:ptCount val="2"/>
                <c:pt idx="0">
                  <c:v>1190</c:v>
                </c:pt>
                <c:pt idx="1">
                  <c:v>9170</c:v>
                </c:pt>
              </c:numCache>
            </c:numRef>
          </c:val>
        </c:ser>
        <c:dLbls>
          <c:showVal val="1"/>
        </c:dLbls>
        <c:shape val="cylinder"/>
        <c:axId val="43590016"/>
        <c:axId val="43591552"/>
        <c:axId val="0"/>
      </c:bar3DChart>
      <c:catAx>
        <c:axId val="43590016"/>
        <c:scaling>
          <c:orientation val="minMax"/>
        </c:scaling>
        <c:axPos val="b"/>
        <c:tickLblPos val="nextTo"/>
        <c:crossAx val="43591552"/>
        <c:crosses val="autoZero"/>
        <c:auto val="1"/>
        <c:lblAlgn val="ctr"/>
        <c:lblOffset val="100"/>
      </c:catAx>
      <c:valAx>
        <c:axId val="43591552"/>
        <c:scaling>
          <c:orientation val="minMax"/>
        </c:scaling>
        <c:axPos val="l"/>
        <c:majorGridlines/>
        <c:numFmt formatCode="0%" sourceLinked="1"/>
        <c:tickLblPos val="nextTo"/>
        <c:crossAx val="43590016"/>
        <c:crosses val="autoZero"/>
        <c:crossBetween val="between"/>
      </c:valAx>
    </c:plotArea>
    <c:legend>
      <c:legendPos val="r"/>
      <c:legendEntry>
        <c:idx val="2"/>
        <c:delete val="1"/>
      </c:legendEntry>
      <c:legendEntry>
        <c:idx val="3"/>
        <c:delete val="1"/>
      </c:legendEntry>
      <c:legendEntry>
        <c:idx val="4"/>
        <c:delete val="1"/>
      </c:legendEntry>
      <c:layout>
        <c:manualLayout>
          <c:xMode val="edge"/>
          <c:yMode val="edge"/>
          <c:x val="0.86338331225932663"/>
          <c:y val="0.15249856205002227"/>
          <c:w val="0.12486409659559"/>
          <c:h val="0.37780846506277693"/>
        </c:manualLayout>
      </c:layout>
    </c:legend>
    <c:plotVisOnly val="1"/>
    <c:dispBlanksAs val="gap"/>
  </c:chart>
  <c:spPr>
    <a:ln>
      <a:noFill/>
    </a:ln>
  </c:spPr>
  <c:txPr>
    <a:bodyPr/>
    <a:lstStyle/>
    <a:p>
      <a:pPr>
        <a:defRPr sz="800"/>
      </a:pPr>
      <a:endParaRPr lang="en-US"/>
    </a:p>
  </c:tx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n-AU"/>
  <c:style val="18"/>
  <c:chart>
    <c:plotArea>
      <c:layout/>
      <c:areaChart>
        <c:grouping val="stacked"/>
        <c:ser>
          <c:idx val="0"/>
          <c:order val="0"/>
          <c:tx>
            <c:strRef>
              <c:f>'MAC-1&amp;2 (exlc. bus &gt;7m)'!$C$3</c:f>
              <c:strCache>
                <c:ptCount val="1"/>
                <c:pt idx="0">
                  <c:v>HCFC-22</c:v>
                </c:pt>
              </c:strCache>
            </c:strRef>
          </c:tx>
          <c:spPr>
            <a:solidFill>
              <a:srgbClr val="FF0000"/>
            </a:solidFill>
          </c:spPr>
          <c:cat>
            <c:numRef>
              <c:f>'MAC-1&amp;2 (exlc. bus &gt;7m)'!$B$5:$B$17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'MAC-1&amp;2 (exlc. bus &gt;7m)'!$C$5:$C$17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1"/>
          <c:order val="1"/>
          <c:tx>
            <c:strRef>
              <c:f>'MAC-1&amp;2 (exlc. bus &gt;7m)'!$D$3</c:f>
              <c:strCache>
                <c:ptCount val="1"/>
                <c:pt idx="0">
                  <c:v>HCFC-123</c:v>
                </c:pt>
              </c:strCache>
            </c:strRef>
          </c:tx>
          <c:cat>
            <c:numRef>
              <c:f>'MAC-1&amp;2 (exlc. bus &gt;7m)'!$B$5:$B$17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'MAC-1&amp;2 (exlc. bus &gt;7m)'!$D$5:$D$17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2"/>
          <c:order val="2"/>
          <c:tx>
            <c:strRef>
              <c:f>'MAC-1&amp;2 (exlc. bus &gt;7m)'!$E$3</c:f>
              <c:strCache>
                <c:ptCount val="1"/>
                <c:pt idx="0">
                  <c:v>HFC-134a</c:v>
                </c:pt>
              </c:strCache>
            </c:strRef>
          </c:tx>
          <c:cat>
            <c:numRef>
              <c:f>'MAC-1&amp;2 (exlc. bus &gt;7m)'!$B$5:$B$17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'MAC-1&amp;2 (exlc. bus &gt;7m)'!$E$5:$E$17</c:f>
              <c:numCache>
                <c:formatCode>#,##0</c:formatCode>
                <c:ptCount val="13"/>
                <c:pt idx="0">
                  <c:v>9167283.778459277</c:v>
                </c:pt>
                <c:pt idx="1">
                  <c:v>9329904.1067896225</c:v>
                </c:pt>
                <c:pt idx="2">
                  <c:v>9441672.32450049</c:v>
                </c:pt>
                <c:pt idx="3">
                  <c:v>9502183.6212367322</c:v>
                </c:pt>
                <c:pt idx="4">
                  <c:v>9511858.9644271284</c:v>
                </c:pt>
                <c:pt idx="5">
                  <c:v>9471975.0408566892</c:v>
                </c:pt>
                <c:pt idx="6">
                  <c:v>9384200.4708648399</c:v>
                </c:pt>
                <c:pt idx="7">
                  <c:v>9249873.5075031091</c:v>
                </c:pt>
                <c:pt idx="8">
                  <c:v>8998071.410380315</c:v>
                </c:pt>
                <c:pt idx="9">
                  <c:v>8626075.419357935</c:v>
                </c:pt>
                <c:pt idx="10">
                  <c:v>8130633.5265877005</c:v>
                </c:pt>
                <c:pt idx="11">
                  <c:v>7508903.305839425</c:v>
                </c:pt>
                <c:pt idx="12">
                  <c:v>6759417.8264181595</c:v>
                </c:pt>
              </c:numCache>
            </c:numRef>
          </c:val>
        </c:ser>
        <c:ser>
          <c:idx val="3"/>
          <c:order val="3"/>
          <c:tx>
            <c:strRef>
              <c:f>'MAC-1&amp;2 (exlc. bus &gt;7m)'!$F$3</c:f>
              <c:strCache>
                <c:ptCount val="1"/>
                <c:pt idx="0">
                  <c:v>HFC-404A</c:v>
                </c:pt>
              </c:strCache>
            </c:strRef>
          </c:tx>
          <c:cat>
            <c:numRef>
              <c:f>'MAC-1&amp;2 (exlc. bus &gt;7m)'!$B$5:$B$17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'MAC-1&amp;2 (exlc. bus &gt;7m)'!$F$5:$F$17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4"/>
          <c:order val="4"/>
          <c:tx>
            <c:strRef>
              <c:f>'MAC-1&amp;2 (exlc. bus &gt;7m)'!$G$3</c:f>
              <c:strCache>
                <c:ptCount val="1"/>
                <c:pt idx="0">
                  <c:v>HFC-410A</c:v>
                </c:pt>
              </c:strCache>
            </c:strRef>
          </c:tx>
          <c:cat>
            <c:numRef>
              <c:f>'MAC-1&amp;2 (exlc. bus &gt;7m)'!$B$5:$B$17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'MAC-1&amp;2 (exlc. bus &gt;7m)'!$G$5:$G$17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5"/>
          <c:order val="5"/>
          <c:tx>
            <c:strRef>
              <c:f>'MAC-1&amp;2 (exlc. bus &gt;7m)'!$H$3</c:f>
              <c:strCache>
                <c:ptCount val="1"/>
                <c:pt idx="0">
                  <c:v>HFC-407C</c:v>
                </c:pt>
              </c:strCache>
            </c:strRef>
          </c:tx>
          <c:cat>
            <c:numRef>
              <c:f>'MAC-1&amp;2 (exlc. bus &gt;7m)'!$B$5:$B$17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'MAC-1&amp;2 (exlc. bus &gt;7m)'!$H$5:$H$17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6"/>
          <c:order val="6"/>
          <c:tx>
            <c:strRef>
              <c:f>'MAC-1&amp;2 (exlc. bus &gt;7m)'!$I$3</c:f>
              <c:strCache>
                <c:ptCount val="1"/>
                <c:pt idx="0">
                  <c:v>HFC-32</c:v>
                </c:pt>
              </c:strCache>
            </c:strRef>
          </c:tx>
          <c:cat>
            <c:numRef>
              <c:f>'MAC-1&amp;2 (exlc. bus &gt;7m)'!$B$5:$B$17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'MAC-1&amp;2 (exlc. bus &gt;7m)'!$I$5:$I$17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7"/>
          <c:order val="7"/>
          <c:tx>
            <c:strRef>
              <c:f>'MAC-1&amp;2 (exlc. bus &gt;7m)'!$J$3</c:f>
              <c:strCache>
                <c:ptCount val="1"/>
                <c:pt idx="0">
                  <c:v>HFC-Mix</c:v>
                </c:pt>
              </c:strCache>
            </c:strRef>
          </c:tx>
          <c:cat>
            <c:numRef>
              <c:f>'MAC-1&amp;2 (exlc. bus &gt;7m)'!$B$5:$B$17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'MAC-1&amp;2 (exlc. bus &gt;7m)'!$J$5:$J$17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8"/>
          <c:order val="8"/>
          <c:tx>
            <c:strRef>
              <c:f>'MAC-1&amp;2 (exlc. bus &gt;7m)'!$K$3</c:f>
              <c:strCache>
                <c:ptCount val="1"/>
                <c:pt idx="0">
                  <c:v>GWP &lt;2150</c:v>
                </c:pt>
              </c:strCache>
            </c:strRef>
          </c:tx>
          <c:cat>
            <c:numRef>
              <c:f>'MAC-1&amp;2 (exlc. bus &gt;7m)'!$B$5:$B$17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'MAC-1&amp;2 (exlc. bus &gt;7m)'!$K$5:$K$17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9"/>
          <c:order val="9"/>
          <c:tx>
            <c:strRef>
              <c:f>'MAC-1&amp;2 (exlc. bus &gt;7m)'!$L$3</c:f>
              <c:strCache>
                <c:ptCount val="1"/>
                <c:pt idx="0">
                  <c:v>GWP &lt;1000</c:v>
                </c:pt>
              </c:strCache>
            </c:strRef>
          </c:tx>
          <c:cat>
            <c:numRef>
              <c:f>'MAC-1&amp;2 (exlc. bus &gt;7m)'!$B$5:$B$17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'MAC-1&amp;2 (exlc. bus &gt;7m)'!$L$5:$L$17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10"/>
          <c:order val="10"/>
          <c:tx>
            <c:strRef>
              <c:f>'MAC-1&amp;2 (exlc. bus &gt;7m)'!$M$3</c:f>
              <c:strCache>
                <c:ptCount val="1"/>
                <c:pt idx="0">
                  <c:v>GWP &lt;10</c:v>
                </c:pt>
              </c:strCache>
            </c:strRef>
          </c:tx>
          <c:cat>
            <c:numRef>
              <c:f>'MAC-1&amp;2 (exlc. bus &gt;7m)'!$B$5:$B$17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'MAC-1&amp;2 (exlc. bus &gt;7m)'!$M$5:$M$17</c:f>
              <c:numCache>
                <c:formatCode>#,##0</c:formatCode>
                <c:ptCount val="13"/>
                <c:pt idx="0">
                  <c:v>631024.89915999386</c:v>
                </c:pt>
                <c:pt idx="1">
                  <c:v>719158.39170494187</c:v>
                </c:pt>
                <c:pt idx="2">
                  <c:v>848287.46035190043</c:v>
                </c:pt>
                <c:pt idx="3">
                  <c:v>1019155.1999864001</c:v>
                </c:pt>
                <c:pt idx="4">
                  <c:v>1232688.76573208</c:v>
                </c:pt>
                <c:pt idx="5">
                  <c:v>1489969.3316075397</c:v>
                </c:pt>
                <c:pt idx="6">
                  <c:v>1792154.5273010402</c:v>
                </c:pt>
                <c:pt idx="7">
                  <c:v>2140356.0953756464</c:v>
                </c:pt>
                <c:pt idx="8">
                  <c:v>2606824.1065275422</c:v>
                </c:pt>
                <c:pt idx="9">
                  <c:v>3194189.8468085201</c:v>
                </c:pt>
                <c:pt idx="10">
                  <c:v>3904495.3566797669</c:v>
                </c:pt>
                <c:pt idx="11">
                  <c:v>4738968.1291207196</c:v>
                </c:pt>
                <c:pt idx="12">
                  <c:v>5697841.699383175</c:v>
                </c:pt>
              </c:numCache>
            </c:numRef>
          </c:val>
        </c:ser>
        <c:axId val="42288256"/>
        <c:axId val="42289792"/>
      </c:areaChart>
      <c:catAx>
        <c:axId val="42288256"/>
        <c:scaling>
          <c:orientation val="minMax"/>
        </c:scaling>
        <c:axPos val="b"/>
        <c:numFmt formatCode="General" sourceLinked="1"/>
        <c:tickLblPos val="nextTo"/>
        <c:txPr>
          <a:bodyPr/>
          <a:lstStyle/>
          <a:p>
            <a:pPr>
              <a:defRPr sz="800"/>
            </a:pPr>
            <a:endParaRPr lang="en-US"/>
          </a:p>
        </c:txPr>
        <c:crossAx val="42289792"/>
        <c:crosses val="autoZero"/>
        <c:auto val="1"/>
        <c:lblAlgn val="ctr"/>
        <c:lblOffset val="100"/>
      </c:catAx>
      <c:valAx>
        <c:axId val="42289792"/>
        <c:scaling>
          <c:orientation val="minMax"/>
        </c:scaling>
        <c:axPos val="l"/>
        <c:majorGridlines/>
        <c:numFmt formatCode="#,##0" sourceLinked="1"/>
        <c:tickLblPos val="nextTo"/>
        <c:txPr>
          <a:bodyPr/>
          <a:lstStyle/>
          <a:p>
            <a:pPr>
              <a:defRPr sz="800"/>
            </a:pPr>
            <a:endParaRPr lang="en-US"/>
          </a:p>
        </c:txPr>
        <c:crossAx val="42288256"/>
        <c:crosses val="autoZero"/>
        <c:crossBetween val="midCat"/>
        <c:dispUnits>
          <c:builtInUnit val="thousands"/>
        </c:dispUnits>
      </c:valAx>
    </c:plotArea>
    <c:legend>
      <c:legendPos val="r"/>
      <c:txPr>
        <a:bodyPr/>
        <a:lstStyle/>
        <a:p>
          <a:pPr>
            <a:defRPr sz="800"/>
          </a:pPr>
          <a:endParaRPr lang="en-US"/>
        </a:p>
      </c:txPr>
    </c:legend>
    <c:plotVisOnly val="1"/>
    <c:dispBlanksAs val="zero"/>
  </c:chart>
  <c:spPr>
    <a:ln>
      <a:noFill/>
    </a:ln>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n-AU"/>
  <c:style val="18"/>
  <c:chart>
    <c:plotArea>
      <c:layout/>
      <c:areaChart>
        <c:grouping val="stacked"/>
        <c:ser>
          <c:idx val="0"/>
          <c:order val="0"/>
          <c:tx>
            <c:strRef>
              <c:f>'MAC-1&amp;2 (exlc. bus &gt;7m)'!$C$3</c:f>
              <c:strCache>
                <c:ptCount val="1"/>
                <c:pt idx="0">
                  <c:v>HCFC-22</c:v>
                </c:pt>
              </c:strCache>
            </c:strRef>
          </c:tx>
          <c:spPr>
            <a:solidFill>
              <a:srgbClr val="FF0000"/>
            </a:solidFill>
          </c:spPr>
          <c:cat>
            <c:numRef>
              <c:f>'MAC-1&amp;2 (exlc. bus &gt;7m)'!$B$82:$B$94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'MAC-1&amp;2 (exlc. bus &gt;7m)'!$C$82:$C$94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1"/>
          <c:order val="1"/>
          <c:tx>
            <c:strRef>
              <c:f>'MAC-1&amp;2 (exlc. bus &gt;7m)'!$D$3</c:f>
              <c:strCache>
                <c:ptCount val="1"/>
                <c:pt idx="0">
                  <c:v>HCFC-123</c:v>
                </c:pt>
              </c:strCache>
            </c:strRef>
          </c:tx>
          <c:cat>
            <c:numRef>
              <c:f>'MAC-1&amp;2 (exlc. bus &gt;7m)'!$B$82:$B$94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'MAC-1&amp;2 (exlc. bus &gt;7m)'!$D$82:$D$94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2"/>
          <c:order val="2"/>
          <c:tx>
            <c:strRef>
              <c:f>'MAC-1&amp;2 (exlc. bus &gt;7m)'!$E$3</c:f>
              <c:strCache>
                <c:ptCount val="1"/>
                <c:pt idx="0">
                  <c:v>HFC-134a</c:v>
                </c:pt>
              </c:strCache>
            </c:strRef>
          </c:tx>
          <c:cat>
            <c:numRef>
              <c:f>'MAC-1&amp;2 (exlc. bus &gt;7m)'!$B$82:$B$94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'MAC-1&amp;2 (exlc. bus &gt;7m)'!$E$82:$E$94</c:f>
              <c:numCache>
                <c:formatCode>#,##0</c:formatCode>
                <c:ptCount val="13"/>
                <c:pt idx="0">
                  <c:v>1193637.6345228201</c:v>
                </c:pt>
                <c:pt idx="1">
                  <c:v>1124390.8031123811</c:v>
                </c:pt>
                <c:pt idx="2">
                  <c:v>1071805.9913640898</c:v>
                </c:pt>
                <c:pt idx="3">
                  <c:v>1026434.8396966804</c:v>
                </c:pt>
                <c:pt idx="4">
                  <c:v>985855.98035825638</c:v>
                </c:pt>
                <c:pt idx="5">
                  <c:v>939399.33468895103</c:v>
                </c:pt>
                <c:pt idx="6">
                  <c:v>902357.84372884943</c:v>
                </c:pt>
                <c:pt idx="7">
                  <c:v>862337.14055981033</c:v>
                </c:pt>
                <c:pt idx="8">
                  <c:v>813286.26658336644</c:v>
                </c:pt>
                <c:pt idx="9">
                  <c:v>755862.48724493675</c:v>
                </c:pt>
                <c:pt idx="10">
                  <c:v>690651.2700292113</c:v>
                </c:pt>
                <c:pt idx="11">
                  <c:v>618251.27165819111</c:v>
                </c:pt>
                <c:pt idx="12">
                  <c:v>539346.59871821187</c:v>
                </c:pt>
              </c:numCache>
            </c:numRef>
          </c:val>
        </c:ser>
        <c:ser>
          <c:idx val="3"/>
          <c:order val="3"/>
          <c:tx>
            <c:strRef>
              <c:f>'MAC-1&amp;2 (exlc. bus &gt;7m)'!$F$3</c:f>
              <c:strCache>
                <c:ptCount val="1"/>
                <c:pt idx="0">
                  <c:v>HFC-404A</c:v>
                </c:pt>
              </c:strCache>
            </c:strRef>
          </c:tx>
          <c:cat>
            <c:numRef>
              <c:f>'MAC-1&amp;2 (exlc. bus &gt;7m)'!$B$82:$B$94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'MAC-1&amp;2 (exlc. bus &gt;7m)'!$F$82:$F$94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4"/>
          <c:order val="4"/>
          <c:tx>
            <c:strRef>
              <c:f>'MAC-1&amp;2 (exlc. bus &gt;7m)'!$G$3</c:f>
              <c:strCache>
                <c:ptCount val="1"/>
                <c:pt idx="0">
                  <c:v>HFC-410A</c:v>
                </c:pt>
              </c:strCache>
            </c:strRef>
          </c:tx>
          <c:cat>
            <c:numRef>
              <c:f>'MAC-1&amp;2 (exlc. bus &gt;7m)'!$B$82:$B$94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'MAC-1&amp;2 (exlc. bus &gt;7m)'!$G$82:$G$94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5"/>
          <c:order val="5"/>
          <c:tx>
            <c:strRef>
              <c:f>'MAC-1&amp;2 (exlc. bus &gt;7m)'!$H$3</c:f>
              <c:strCache>
                <c:ptCount val="1"/>
                <c:pt idx="0">
                  <c:v>HFC-407C</c:v>
                </c:pt>
              </c:strCache>
            </c:strRef>
          </c:tx>
          <c:cat>
            <c:numRef>
              <c:f>'MAC-1&amp;2 (exlc. bus &gt;7m)'!$B$82:$B$94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'MAC-1&amp;2 (exlc. bus &gt;7m)'!$H$82:$H$94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6"/>
          <c:order val="6"/>
          <c:tx>
            <c:strRef>
              <c:f>'MAC-1&amp;2 (exlc. bus &gt;7m)'!$I$3</c:f>
              <c:strCache>
                <c:ptCount val="1"/>
                <c:pt idx="0">
                  <c:v>HFC-32</c:v>
                </c:pt>
              </c:strCache>
            </c:strRef>
          </c:tx>
          <c:cat>
            <c:numRef>
              <c:f>'MAC-1&amp;2 (exlc. bus &gt;7m)'!$B$82:$B$94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'MAC-1&amp;2 (exlc. bus &gt;7m)'!$I$82:$I$94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7"/>
          <c:order val="7"/>
          <c:tx>
            <c:strRef>
              <c:f>'MAC-1&amp;2 (exlc. bus &gt;7m)'!$J$3</c:f>
              <c:strCache>
                <c:ptCount val="1"/>
                <c:pt idx="0">
                  <c:v>HFC-Mix</c:v>
                </c:pt>
              </c:strCache>
            </c:strRef>
          </c:tx>
          <c:cat>
            <c:numRef>
              <c:f>'MAC-1&amp;2 (exlc. bus &gt;7m)'!$B$82:$B$94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'MAC-1&amp;2 (exlc. bus &gt;7m)'!$J$82:$J$94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8"/>
          <c:order val="8"/>
          <c:tx>
            <c:strRef>
              <c:f>'MAC-1&amp;2 (exlc. bus &gt;7m)'!$K$3</c:f>
              <c:strCache>
                <c:ptCount val="1"/>
                <c:pt idx="0">
                  <c:v>GWP &lt;2150</c:v>
                </c:pt>
              </c:strCache>
            </c:strRef>
          </c:tx>
          <c:cat>
            <c:numRef>
              <c:f>'MAC-1&amp;2 (exlc. bus &gt;7m)'!$B$82:$B$94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'MAC-1&amp;2 (exlc. bus &gt;7m)'!$K$82:$K$94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9"/>
          <c:order val="9"/>
          <c:tx>
            <c:strRef>
              <c:f>'MAC-1&amp;2 (exlc. bus &gt;7m)'!$L$3</c:f>
              <c:strCache>
                <c:ptCount val="1"/>
                <c:pt idx="0">
                  <c:v>GWP &lt;1000</c:v>
                </c:pt>
              </c:strCache>
            </c:strRef>
          </c:tx>
          <c:cat>
            <c:numRef>
              <c:f>'MAC-1&amp;2 (exlc. bus &gt;7m)'!$B$82:$B$94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'MAC-1&amp;2 (exlc. bus &gt;7m)'!$L$82:$L$94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10"/>
          <c:order val="10"/>
          <c:tx>
            <c:strRef>
              <c:f>'MAC-1&amp;2 (exlc. bus &gt;7m)'!$M$3</c:f>
              <c:strCache>
                <c:ptCount val="1"/>
                <c:pt idx="0">
                  <c:v>GWP &lt;10</c:v>
                </c:pt>
              </c:strCache>
            </c:strRef>
          </c:tx>
          <c:cat>
            <c:numRef>
              <c:f>'MAC-1&amp;2 (exlc. bus &gt;7m)'!$B$82:$B$94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'MAC-1&amp;2 (exlc. bus &gt;7m)'!$M$82:$M$94</c:f>
              <c:numCache>
                <c:formatCode>#,##0</c:formatCode>
                <c:ptCount val="13"/>
                <c:pt idx="0">
                  <c:v>94653.734873998968</c:v>
                </c:pt>
                <c:pt idx="1">
                  <c:v>104637.54599306842</c:v>
                </c:pt>
                <c:pt idx="2">
                  <c:v>118462.02412233669</c:v>
                </c:pt>
                <c:pt idx="3">
                  <c:v>136817.10339065501</c:v>
                </c:pt>
                <c:pt idx="4">
                  <c:v>157631.84730966389</c:v>
                </c:pt>
                <c:pt idx="5">
                  <c:v>181506.74149815468</c:v>
                </c:pt>
                <c:pt idx="6">
                  <c:v>208229.5110337887</c:v>
                </c:pt>
                <c:pt idx="7">
                  <c:v>237593.90032597838</c:v>
                </c:pt>
                <c:pt idx="8">
                  <c:v>276164.05549291562</c:v>
                </c:pt>
                <c:pt idx="9">
                  <c:v>323287.12757944572</c:v>
                </c:pt>
                <c:pt idx="10">
                  <c:v>378290.25960398122</c:v>
                </c:pt>
                <c:pt idx="11">
                  <c:v>440470.54218600749</c:v>
                </c:pt>
                <c:pt idx="12">
                  <c:v>509090.96039254725</c:v>
                </c:pt>
              </c:numCache>
            </c:numRef>
          </c:val>
        </c:ser>
        <c:axId val="42412672"/>
        <c:axId val="42430848"/>
      </c:areaChart>
      <c:catAx>
        <c:axId val="42412672"/>
        <c:scaling>
          <c:orientation val="minMax"/>
        </c:scaling>
        <c:axPos val="b"/>
        <c:numFmt formatCode="General" sourceLinked="1"/>
        <c:tickLblPos val="nextTo"/>
        <c:txPr>
          <a:bodyPr/>
          <a:lstStyle/>
          <a:p>
            <a:pPr>
              <a:defRPr sz="800"/>
            </a:pPr>
            <a:endParaRPr lang="en-US"/>
          </a:p>
        </c:txPr>
        <c:crossAx val="42430848"/>
        <c:crosses val="autoZero"/>
        <c:auto val="1"/>
        <c:lblAlgn val="ctr"/>
        <c:lblOffset val="100"/>
      </c:catAx>
      <c:valAx>
        <c:axId val="42430848"/>
        <c:scaling>
          <c:orientation val="minMax"/>
        </c:scaling>
        <c:axPos val="l"/>
        <c:majorGridlines/>
        <c:numFmt formatCode="#,##0" sourceLinked="1"/>
        <c:tickLblPos val="nextTo"/>
        <c:txPr>
          <a:bodyPr/>
          <a:lstStyle/>
          <a:p>
            <a:pPr>
              <a:defRPr sz="800"/>
            </a:pPr>
            <a:endParaRPr lang="en-US"/>
          </a:p>
        </c:txPr>
        <c:crossAx val="42412672"/>
        <c:crosses val="autoZero"/>
        <c:crossBetween val="midCat"/>
        <c:dispUnits>
          <c:builtInUnit val="thousands"/>
        </c:dispUnits>
      </c:valAx>
    </c:plotArea>
    <c:legend>
      <c:legendPos val="r"/>
      <c:txPr>
        <a:bodyPr/>
        <a:lstStyle/>
        <a:p>
          <a:pPr>
            <a:defRPr sz="800"/>
          </a:pPr>
          <a:endParaRPr lang="en-US"/>
        </a:p>
      </c:txPr>
    </c:legend>
    <c:plotVisOnly val="1"/>
    <c:dispBlanksAs val="zero"/>
  </c:chart>
  <c:spPr>
    <a:ln>
      <a:noFill/>
    </a:ln>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n-AU"/>
  <c:style val="18"/>
  <c:chart>
    <c:plotArea>
      <c:layout/>
      <c:areaChart>
        <c:grouping val="stacked"/>
        <c:ser>
          <c:idx val="0"/>
          <c:order val="0"/>
          <c:tx>
            <c:strRef>
              <c:f>'Large MAC-3&amp;4 (inc. bus &gt;7m)'!$C$3</c:f>
              <c:strCache>
                <c:ptCount val="1"/>
                <c:pt idx="0">
                  <c:v>HCFC-22</c:v>
                </c:pt>
              </c:strCache>
            </c:strRef>
          </c:tx>
          <c:spPr>
            <a:solidFill>
              <a:srgbClr val="FF0000"/>
            </a:solidFill>
          </c:spPr>
          <c:cat>
            <c:numRef>
              <c:f>'Large MAC-3&amp;4 (inc. bus &gt;7m)'!$B$5:$B$17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MAC-3&amp;4 (inc. bus &gt;7m)'!$C$5:$C$17</c:f>
              <c:numCache>
                <c:formatCode>#,##0</c:formatCode>
                <c:ptCount val="13"/>
                <c:pt idx="0">
                  <c:v>11402.72490490155</c:v>
                </c:pt>
                <c:pt idx="1">
                  <c:v>7180.963820901462</c:v>
                </c:pt>
                <c:pt idx="2">
                  <c:v>4237.0786376213264</c:v>
                </c:pt>
                <c:pt idx="3">
                  <c:v>2373.5401507357201</c:v>
                </c:pt>
                <c:pt idx="4">
                  <c:v>1297.0844239692308</c:v>
                </c:pt>
                <c:pt idx="5">
                  <c:v>726.46368185126937</c:v>
                </c:pt>
                <c:pt idx="6">
                  <c:v>445.84422715371579</c:v>
                </c:pt>
                <c:pt idx="7">
                  <c:v>310.65074232927071</c:v>
                </c:pt>
                <c:pt idx="8">
                  <c:v>234.08030690228352</c:v>
                </c:pt>
                <c:pt idx="9">
                  <c:v>172.96725079902578</c:v>
                </c:pt>
                <c:pt idx="10">
                  <c:v>115.330154203779</c:v>
                </c:pt>
                <c:pt idx="11">
                  <c:v>65.869723699788565</c:v>
                </c:pt>
                <c:pt idx="12">
                  <c:v>31.25749102138273</c:v>
                </c:pt>
              </c:numCache>
            </c:numRef>
          </c:val>
        </c:ser>
        <c:ser>
          <c:idx val="1"/>
          <c:order val="1"/>
          <c:tx>
            <c:strRef>
              <c:f>'Large MAC-3&amp;4 (inc. bus &gt;7m)'!$D$3</c:f>
              <c:strCache>
                <c:ptCount val="1"/>
                <c:pt idx="0">
                  <c:v>HCFC-123</c:v>
                </c:pt>
              </c:strCache>
            </c:strRef>
          </c:tx>
          <c:cat>
            <c:numRef>
              <c:f>'Large MAC-3&amp;4 (inc. bus &gt;7m)'!$B$5:$B$17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MAC-3&amp;4 (inc. bus &gt;7m)'!$D$5:$D$17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2"/>
          <c:order val="2"/>
          <c:tx>
            <c:strRef>
              <c:f>'Large MAC-3&amp;4 (inc. bus &gt;7m)'!$E$3</c:f>
              <c:strCache>
                <c:ptCount val="1"/>
                <c:pt idx="0">
                  <c:v>HFC-134a</c:v>
                </c:pt>
              </c:strCache>
            </c:strRef>
          </c:tx>
          <c:cat>
            <c:numRef>
              <c:f>'Large MAC-3&amp;4 (inc. bus &gt;7m)'!$B$5:$B$17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MAC-3&amp;4 (inc. bus &gt;7m)'!$E$5:$E$17</c:f>
              <c:numCache>
                <c:formatCode>#,##0</c:formatCode>
                <c:ptCount val="13"/>
                <c:pt idx="0">
                  <c:v>168373.22737346159</c:v>
                </c:pt>
                <c:pt idx="1">
                  <c:v>176113.58786156451</c:v>
                </c:pt>
                <c:pt idx="2">
                  <c:v>183655.76631345978</c:v>
                </c:pt>
                <c:pt idx="3">
                  <c:v>190298.17748341811</c:v>
                </c:pt>
                <c:pt idx="4">
                  <c:v>195591.21645885779</c:v>
                </c:pt>
                <c:pt idx="5">
                  <c:v>199490.04752344781</c:v>
                </c:pt>
                <c:pt idx="6">
                  <c:v>201947.99689246374</c:v>
                </c:pt>
                <c:pt idx="7">
                  <c:v>202915.01504979481</c:v>
                </c:pt>
                <c:pt idx="8">
                  <c:v>200996.80826395398</c:v>
                </c:pt>
                <c:pt idx="9">
                  <c:v>196087.39014009148</c:v>
                </c:pt>
                <c:pt idx="10">
                  <c:v>188073.07221469711</c:v>
                </c:pt>
                <c:pt idx="11">
                  <c:v>176845.3641495585</c:v>
                </c:pt>
                <c:pt idx="12">
                  <c:v>162315.76591875931</c:v>
                </c:pt>
              </c:numCache>
            </c:numRef>
          </c:val>
        </c:ser>
        <c:ser>
          <c:idx val="3"/>
          <c:order val="3"/>
          <c:tx>
            <c:strRef>
              <c:f>'Large MAC-3&amp;4 (inc. bus &gt;7m)'!$F$3</c:f>
              <c:strCache>
                <c:ptCount val="1"/>
                <c:pt idx="0">
                  <c:v>HFC-404A</c:v>
                </c:pt>
              </c:strCache>
            </c:strRef>
          </c:tx>
          <c:cat>
            <c:numRef>
              <c:f>'Large MAC-3&amp;4 (inc. bus &gt;7m)'!$B$5:$B$17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MAC-3&amp;4 (inc. bus &gt;7m)'!$F$5:$F$17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4"/>
          <c:order val="4"/>
          <c:tx>
            <c:strRef>
              <c:f>'Large MAC-3&amp;4 (inc. bus &gt;7m)'!$G$3</c:f>
              <c:strCache>
                <c:ptCount val="1"/>
                <c:pt idx="0">
                  <c:v>HFC-410A</c:v>
                </c:pt>
              </c:strCache>
            </c:strRef>
          </c:tx>
          <c:cat>
            <c:numRef>
              <c:f>'Large MAC-3&amp;4 (inc. bus &gt;7m)'!$B$5:$B$17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MAC-3&amp;4 (inc. bus &gt;7m)'!$G$5:$G$17</c:f>
              <c:numCache>
                <c:formatCode>#,##0</c:formatCode>
                <c:ptCount val="13"/>
                <c:pt idx="0">
                  <c:v>2639.6927039094162</c:v>
                </c:pt>
                <c:pt idx="1">
                  <c:v>2953.0499157466488</c:v>
                </c:pt>
                <c:pt idx="2">
                  <c:v>3252.982971836781</c:v>
                </c:pt>
                <c:pt idx="3">
                  <c:v>3189.1173777453228</c:v>
                </c:pt>
                <c:pt idx="4">
                  <c:v>3097.6837353375722</c:v>
                </c:pt>
                <c:pt idx="5">
                  <c:v>2975.9555962359664</c:v>
                </c:pt>
                <c:pt idx="6">
                  <c:v>2821.3884661602638</c:v>
                </c:pt>
                <c:pt idx="7">
                  <c:v>2633.0259377407851</c:v>
                </c:pt>
                <c:pt idx="8">
                  <c:v>2413.29191261708</c:v>
                </c:pt>
                <c:pt idx="9">
                  <c:v>2167.4808107557387</c:v>
                </c:pt>
                <c:pt idx="10">
                  <c:v>1901.3244457993546</c:v>
                </c:pt>
                <c:pt idx="11">
                  <c:v>1619.3831031774678</c:v>
                </c:pt>
                <c:pt idx="12">
                  <c:v>1326.0332797378028</c:v>
                </c:pt>
              </c:numCache>
            </c:numRef>
          </c:val>
        </c:ser>
        <c:ser>
          <c:idx val="5"/>
          <c:order val="5"/>
          <c:tx>
            <c:strRef>
              <c:f>'Large MAC-3&amp;4 (inc. bus &gt;7m)'!$H$3</c:f>
              <c:strCache>
                <c:ptCount val="1"/>
                <c:pt idx="0">
                  <c:v>HFC-407C</c:v>
                </c:pt>
              </c:strCache>
            </c:strRef>
          </c:tx>
          <c:cat>
            <c:numRef>
              <c:f>'Large MAC-3&amp;4 (inc. bus &gt;7m)'!$B$5:$B$17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MAC-3&amp;4 (inc. bus &gt;7m)'!$H$5:$H$17</c:f>
              <c:numCache>
                <c:formatCode>#,##0</c:formatCode>
                <c:ptCount val="13"/>
                <c:pt idx="0">
                  <c:v>161152.9039018148</c:v>
                </c:pt>
                <c:pt idx="1">
                  <c:v>173011.02818624748</c:v>
                </c:pt>
                <c:pt idx="2">
                  <c:v>183514.9796204163</c:v>
                </c:pt>
                <c:pt idx="3">
                  <c:v>191113.01704422411</c:v>
                </c:pt>
                <c:pt idx="4">
                  <c:v>195998.71215046302</c:v>
                </c:pt>
                <c:pt idx="5">
                  <c:v>198346.17358318731</c:v>
                </c:pt>
                <c:pt idx="6">
                  <c:v>198269.08795149784</c:v>
                </c:pt>
                <c:pt idx="7">
                  <c:v>195816.94491795669</c:v>
                </c:pt>
                <c:pt idx="8">
                  <c:v>190986.74019471812</c:v>
                </c:pt>
                <c:pt idx="9">
                  <c:v>183738.3704580882</c:v>
                </c:pt>
                <c:pt idx="10">
                  <c:v>174011.03905655668</c:v>
                </c:pt>
                <c:pt idx="11">
                  <c:v>161742.39758113478</c:v>
                </c:pt>
                <c:pt idx="12">
                  <c:v>146894.246737554</c:v>
                </c:pt>
              </c:numCache>
            </c:numRef>
          </c:val>
        </c:ser>
        <c:ser>
          <c:idx val="6"/>
          <c:order val="6"/>
          <c:tx>
            <c:strRef>
              <c:f>'Large MAC-3&amp;4 (inc. bus &gt;7m)'!$I$3</c:f>
              <c:strCache>
                <c:ptCount val="1"/>
                <c:pt idx="0">
                  <c:v>HFC-32</c:v>
                </c:pt>
              </c:strCache>
            </c:strRef>
          </c:tx>
          <c:cat>
            <c:numRef>
              <c:f>'Large MAC-3&amp;4 (inc. bus &gt;7m)'!$B$5:$B$17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MAC-3&amp;4 (inc. bus &gt;7m)'!$I$5:$I$17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7"/>
          <c:order val="7"/>
          <c:tx>
            <c:strRef>
              <c:f>'Large MAC-3&amp;4 (inc. bus &gt;7m)'!$J$3</c:f>
              <c:strCache>
                <c:ptCount val="1"/>
                <c:pt idx="0">
                  <c:v>HFC-Mix</c:v>
                </c:pt>
              </c:strCache>
            </c:strRef>
          </c:tx>
          <c:cat>
            <c:numRef>
              <c:f>'Large MAC-3&amp;4 (inc. bus &gt;7m)'!$B$5:$B$17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MAC-3&amp;4 (inc. bus &gt;7m)'!$J$5:$J$17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8"/>
          <c:order val="8"/>
          <c:tx>
            <c:strRef>
              <c:f>'Large MAC-3&amp;4 (inc. bus &gt;7m)'!$K$3</c:f>
              <c:strCache>
                <c:ptCount val="1"/>
                <c:pt idx="0">
                  <c:v>GWP &lt;2150</c:v>
                </c:pt>
              </c:strCache>
            </c:strRef>
          </c:tx>
          <c:cat>
            <c:numRef>
              <c:f>'Large MAC-3&amp;4 (inc. bus &gt;7m)'!$B$5:$B$17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MAC-3&amp;4 (inc. bus &gt;7m)'!$K$5:$K$17</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9"/>
          <c:order val="9"/>
          <c:tx>
            <c:strRef>
              <c:f>'Large MAC-3&amp;4 (inc. bus &gt;7m)'!$L$3</c:f>
              <c:strCache>
                <c:ptCount val="1"/>
                <c:pt idx="0">
                  <c:v>GWP &lt;1000</c:v>
                </c:pt>
              </c:strCache>
            </c:strRef>
          </c:tx>
          <c:cat>
            <c:numRef>
              <c:f>'Large MAC-3&amp;4 (inc. bus &gt;7m)'!$B$5:$B$17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MAC-3&amp;4 (inc. bus &gt;7m)'!$L$5:$L$17</c:f>
              <c:numCache>
                <c:formatCode>#,##0</c:formatCode>
                <c:ptCount val="13"/>
                <c:pt idx="0">
                  <c:v>0</c:v>
                </c:pt>
                <c:pt idx="1">
                  <c:v>0</c:v>
                </c:pt>
                <c:pt idx="2">
                  <c:v>0</c:v>
                </c:pt>
                <c:pt idx="3">
                  <c:v>1379.731206941633</c:v>
                </c:pt>
                <c:pt idx="4">
                  <c:v>4180.585556835028</c:v>
                </c:pt>
                <c:pt idx="5">
                  <c:v>8444.8863000776109</c:v>
                </c:pt>
                <c:pt idx="6">
                  <c:v>14215.90656092785</c:v>
                </c:pt>
                <c:pt idx="7">
                  <c:v>21537.8874425553</c:v>
                </c:pt>
                <c:pt idx="8">
                  <c:v>31124.911657334236</c:v>
                </c:pt>
                <c:pt idx="9">
                  <c:v>43043.195021385043</c:v>
                </c:pt>
                <c:pt idx="10">
                  <c:v>57359.951052098324</c:v>
                </c:pt>
                <c:pt idx="11">
                  <c:v>74141.593881525754</c:v>
                </c:pt>
                <c:pt idx="12">
                  <c:v>93447.577355415924</c:v>
                </c:pt>
              </c:numCache>
            </c:numRef>
          </c:val>
        </c:ser>
        <c:ser>
          <c:idx val="10"/>
          <c:order val="10"/>
          <c:tx>
            <c:strRef>
              <c:f>'Large MAC-3&amp;4 (inc. bus &gt;7m)'!$M$3</c:f>
              <c:strCache>
                <c:ptCount val="1"/>
                <c:pt idx="0">
                  <c:v>GWP &lt;10</c:v>
                </c:pt>
              </c:strCache>
            </c:strRef>
          </c:tx>
          <c:cat>
            <c:numRef>
              <c:f>'Large MAC-3&amp;4 (inc. bus &gt;7m)'!$B$5:$B$17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MAC-3&amp;4 (inc. bus &gt;7m)'!$M$5:$M$17</c:f>
              <c:numCache>
                <c:formatCode>#,##0</c:formatCode>
                <c:ptCount val="13"/>
                <c:pt idx="0">
                  <c:v>0</c:v>
                </c:pt>
                <c:pt idx="1">
                  <c:v>0</c:v>
                </c:pt>
                <c:pt idx="2">
                  <c:v>7.0799015134525503</c:v>
                </c:pt>
                <c:pt idx="3">
                  <c:v>1401.1833085263681</c:v>
                </c:pt>
                <c:pt idx="4">
                  <c:v>4291.9956540145504</c:v>
                </c:pt>
                <c:pt idx="5">
                  <c:v>8724.1045280999169</c:v>
                </c:pt>
                <c:pt idx="6">
                  <c:v>14743.098313126829</c:v>
                </c:pt>
                <c:pt idx="7">
                  <c:v>22395.5852586746</c:v>
                </c:pt>
                <c:pt idx="8">
                  <c:v>32398.067757446457</c:v>
                </c:pt>
                <c:pt idx="9">
                  <c:v>44819.232390563404</c:v>
                </c:pt>
                <c:pt idx="10">
                  <c:v>59728.80287555571</c:v>
                </c:pt>
                <c:pt idx="11">
                  <c:v>77195.692371625948</c:v>
                </c:pt>
                <c:pt idx="12">
                  <c:v>97289.891330770712</c:v>
                </c:pt>
              </c:numCache>
            </c:numRef>
          </c:val>
        </c:ser>
        <c:axId val="43811200"/>
        <c:axId val="43812736"/>
      </c:areaChart>
      <c:catAx>
        <c:axId val="43811200"/>
        <c:scaling>
          <c:orientation val="minMax"/>
        </c:scaling>
        <c:axPos val="b"/>
        <c:numFmt formatCode="General" sourceLinked="1"/>
        <c:tickLblPos val="nextTo"/>
        <c:txPr>
          <a:bodyPr/>
          <a:lstStyle/>
          <a:p>
            <a:pPr>
              <a:defRPr sz="800"/>
            </a:pPr>
            <a:endParaRPr lang="en-US"/>
          </a:p>
        </c:txPr>
        <c:crossAx val="43812736"/>
        <c:crosses val="autoZero"/>
        <c:auto val="1"/>
        <c:lblAlgn val="ctr"/>
        <c:lblOffset val="100"/>
      </c:catAx>
      <c:valAx>
        <c:axId val="43812736"/>
        <c:scaling>
          <c:orientation val="minMax"/>
        </c:scaling>
        <c:axPos val="l"/>
        <c:majorGridlines/>
        <c:numFmt formatCode="#,##0" sourceLinked="1"/>
        <c:tickLblPos val="nextTo"/>
        <c:txPr>
          <a:bodyPr/>
          <a:lstStyle/>
          <a:p>
            <a:pPr>
              <a:defRPr sz="800"/>
            </a:pPr>
            <a:endParaRPr lang="en-US"/>
          </a:p>
        </c:txPr>
        <c:crossAx val="43811200"/>
        <c:crosses val="autoZero"/>
        <c:crossBetween val="midCat"/>
        <c:dispUnits>
          <c:builtInUnit val="thousands"/>
        </c:dispUnits>
      </c:valAx>
    </c:plotArea>
    <c:legend>
      <c:legendPos val="r"/>
      <c:txPr>
        <a:bodyPr/>
        <a:lstStyle/>
        <a:p>
          <a:pPr>
            <a:defRPr sz="800"/>
          </a:pPr>
          <a:endParaRPr lang="en-US"/>
        </a:p>
      </c:txPr>
    </c:legend>
    <c:plotVisOnly val="1"/>
    <c:dispBlanksAs val="zero"/>
  </c:chart>
  <c:spPr>
    <a:ln>
      <a:noFill/>
    </a:ln>
  </c:sp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AU"/>
  <c:style val="18"/>
  <c:chart>
    <c:plotArea>
      <c:layout/>
      <c:areaChart>
        <c:grouping val="stacked"/>
        <c:ser>
          <c:idx val="0"/>
          <c:order val="0"/>
          <c:tx>
            <c:strRef>
              <c:f>'Large MAC-3&amp;4 (inc. bus &gt;7m)'!$C$3</c:f>
              <c:strCache>
                <c:ptCount val="1"/>
                <c:pt idx="0">
                  <c:v>HCFC-22</c:v>
                </c:pt>
              </c:strCache>
            </c:strRef>
          </c:tx>
          <c:spPr>
            <a:solidFill>
              <a:srgbClr val="FF0000"/>
            </a:solidFill>
          </c:spPr>
          <c:cat>
            <c:numRef>
              <c:f>'Large MAC-3&amp;4 (inc. bus &gt;7m)'!$B$82:$B$94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MAC-3&amp;4 (inc. bus &gt;7m)'!$C$82:$C$94</c:f>
              <c:numCache>
                <c:formatCode>#,##0</c:formatCode>
                <c:ptCount val="13"/>
                <c:pt idx="0">
                  <c:v>1368.326988588185</c:v>
                </c:pt>
                <c:pt idx="1">
                  <c:v>835.86418875292736</c:v>
                </c:pt>
                <c:pt idx="2">
                  <c:v>478.40007481654862</c:v>
                </c:pt>
                <c:pt idx="3">
                  <c:v>259.95192119909075</c:v>
                </c:pt>
                <c:pt idx="4">
                  <c:v>137.79594174035418</c:v>
                </c:pt>
                <c:pt idx="5">
                  <c:v>74.860689844918227</c:v>
                </c:pt>
                <c:pt idx="6">
                  <c:v>44.565091173389952</c:v>
                </c:pt>
                <c:pt idx="7">
                  <c:v>30.12005646246887</c:v>
                </c:pt>
                <c:pt idx="8">
                  <c:v>22.0150663331762</c:v>
                </c:pt>
                <c:pt idx="9">
                  <c:v>15.77940914250158</c:v>
                </c:pt>
                <c:pt idx="10">
                  <c:v>10.2056685922055</c:v>
                </c:pt>
                <c:pt idx="11">
                  <c:v>5.6540046940179245</c:v>
                </c:pt>
                <c:pt idx="12">
                  <c:v>2.6025325642883872</c:v>
                </c:pt>
              </c:numCache>
            </c:numRef>
          </c:val>
        </c:ser>
        <c:ser>
          <c:idx val="1"/>
          <c:order val="1"/>
          <c:tx>
            <c:strRef>
              <c:f>'Large MAC-3&amp;4 (inc. bus &gt;7m)'!$D$3</c:f>
              <c:strCache>
                <c:ptCount val="1"/>
                <c:pt idx="0">
                  <c:v>HCFC-123</c:v>
                </c:pt>
              </c:strCache>
            </c:strRef>
          </c:tx>
          <c:cat>
            <c:numRef>
              <c:f>'Large MAC-3&amp;4 (inc. bus &gt;7m)'!$B$82:$B$94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MAC-3&amp;4 (inc. bus &gt;7m)'!$D$82:$D$94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2"/>
          <c:order val="2"/>
          <c:tx>
            <c:strRef>
              <c:f>'Large MAC-3&amp;4 (inc. bus &gt;7m)'!$E$3</c:f>
              <c:strCache>
                <c:ptCount val="1"/>
                <c:pt idx="0">
                  <c:v>HFC-134a</c:v>
                </c:pt>
              </c:strCache>
            </c:strRef>
          </c:tx>
          <c:cat>
            <c:numRef>
              <c:f>'Large MAC-3&amp;4 (inc. bus &gt;7m)'!$B$82:$B$94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MAC-3&amp;4 (inc. bus &gt;7m)'!$E$82:$E$94</c:f>
              <c:numCache>
                <c:formatCode>#,##0</c:formatCode>
                <c:ptCount val="13"/>
                <c:pt idx="0">
                  <c:v>28704.78728481532</c:v>
                </c:pt>
                <c:pt idx="1">
                  <c:v>29127.121627086002</c:v>
                </c:pt>
                <c:pt idx="2">
                  <c:v>29493.117762920097</c:v>
                </c:pt>
                <c:pt idx="3">
                  <c:v>29729.867212098819</c:v>
                </c:pt>
                <c:pt idx="4">
                  <c:v>30341.609300552096</c:v>
                </c:pt>
                <c:pt idx="5">
                  <c:v>29998.755736897816</c:v>
                </c:pt>
                <c:pt idx="6">
                  <c:v>28950.570194928507</c:v>
                </c:pt>
                <c:pt idx="7">
                  <c:v>27373.735162982419</c:v>
                </c:pt>
                <c:pt idx="8">
                  <c:v>25267.890501170292</c:v>
                </c:pt>
                <c:pt idx="9">
                  <c:v>22729.874189743721</c:v>
                </c:pt>
                <c:pt idx="10">
                  <c:v>19830.850502675403</c:v>
                </c:pt>
                <c:pt idx="11">
                  <c:v>16624.913974889896</c:v>
                </c:pt>
                <c:pt idx="12">
                  <c:v>13514.586510222569</c:v>
                </c:pt>
              </c:numCache>
            </c:numRef>
          </c:val>
        </c:ser>
        <c:ser>
          <c:idx val="3"/>
          <c:order val="3"/>
          <c:tx>
            <c:strRef>
              <c:f>'Large MAC-3&amp;4 (inc. bus &gt;7m)'!$F$3</c:f>
              <c:strCache>
                <c:ptCount val="1"/>
                <c:pt idx="0">
                  <c:v>HFC-404A</c:v>
                </c:pt>
              </c:strCache>
            </c:strRef>
          </c:tx>
          <c:cat>
            <c:numRef>
              <c:f>'Large MAC-3&amp;4 (inc. bus &gt;7m)'!$B$82:$B$94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MAC-3&amp;4 (inc. bus &gt;7m)'!$F$82:$F$94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4"/>
          <c:order val="4"/>
          <c:tx>
            <c:strRef>
              <c:f>'Large MAC-3&amp;4 (inc. bus &gt;7m)'!$G$3</c:f>
              <c:strCache>
                <c:ptCount val="1"/>
                <c:pt idx="0">
                  <c:v>HFC-410A</c:v>
                </c:pt>
              </c:strCache>
            </c:strRef>
          </c:tx>
          <c:cat>
            <c:numRef>
              <c:f>'Large MAC-3&amp;4 (inc. bus &gt;7m)'!$B$82:$B$94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MAC-3&amp;4 (inc. bus &gt;7m)'!$G$82:$G$94</c:f>
              <c:numCache>
                <c:formatCode>#,##0</c:formatCode>
                <c:ptCount val="13"/>
                <c:pt idx="0">
                  <c:v>316.76312446912829</c:v>
                </c:pt>
                <c:pt idx="1">
                  <c:v>343.73501019290899</c:v>
                </c:pt>
                <c:pt idx="2">
                  <c:v>367.28780138414731</c:v>
                </c:pt>
                <c:pt idx="3">
                  <c:v>349.27455893987366</c:v>
                </c:pt>
                <c:pt idx="4">
                  <c:v>329.08285662579613</c:v>
                </c:pt>
                <c:pt idx="5">
                  <c:v>306.66651953521665</c:v>
                </c:pt>
                <c:pt idx="6">
                  <c:v>282.01651288092819</c:v>
                </c:pt>
                <c:pt idx="7">
                  <c:v>255.29277450699618</c:v>
                </c:pt>
                <c:pt idx="8">
                  <c:v>226.96818130780008</c:v>
                </c:pt>
                <c:pt idx="9">
                  <c:v>197.73434776491519</c:v>
                </c:pt>
                <c:pt idx="10">
                  <c:v>168.24990232650836</c:v>
                </c:pt>
                <c:pt idx="11">
                  <c:v>139.00164070079671</c:v>
                </c:pt>
                <c:pt idx="12">
                  <c:v>110.40696738861622</c:v>
                </c:pt>
              </c:numCache>
            </c:numRef>
          </c:val>
        </c:ser>
        <c:ser>
          <c:idx val="5"/>
          <c:order val="5"/>
          <c:tx>
            <c:strRef>
              <c:f>'Large MAC-3&amp;4 (inc. bus &gt;7m)'!$H$3</c:f>
              <c:strCache>
                <c:ptCount val="1"/>
                <c:pt idx="0">
                  <c:v>HFC-407C</c:v>
                </c:pt>
              </c:strCache>
            </c:strRef>
          </c:tx>
          <c:cat>
            <c:numRef>
              <c:f>'Large MAC-3&amp;4 (inc. bus &gt;7m)'!$B$82:$B$94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MAC-3&amp;4 (inc. bus &gt;7m)'!$H$82:$H$94</c:f>
              <c:numCache>
                <c:formatCode>#,##0</c:formatCode>
                <c:ptCount val="13"/>
                <c:pt idx="0">
                  <c:v>27838.348468217759</c:v>
                </c:pt>
                <c:pt idx="1">
                  <c:v>28765.983680879221</c:v>
                </c:pt>
                <c:pt idx="2">
                  <c:v>29477.22181898195</c:v>
                </c:pt>
                <c:pt idx="3">
                  <c:v>29819.109060076134</c:v>
                </c:pt>
                <c:pt idx="4">
                  <c:v>27043.736407577617</c:v>
                </c:pt>
                <c:pt idx="5">
                  <c:v>24794.443406668761</c:v>
                </c:pt>
                <c:pt idx="6">
                  <c:v>22866.987267080898</c:v>
                </c:pt>
                <c:pt idx="7">
                  <c:v>21120.080576957916</c:v>
                </c:pt>
                <c:pt idx="8">
                  <c:v>19456.00162232462</c:v>
                </c:pt>
                <c:pt idx="9">
                  <c:v>17807.729535351216</c:v>
                </c:pt>
                <c:pt idx="10">
                  <c:v>16130.379565648458</c:v>
                </c:pt>
                <c:pt idx="11">
                  <c:v>14395.738529493567</c:v>
                </c:pt>
                <c:pt idx="12">
                  <c:v>12230.57411676367</c:v>
                </c:pt>
              </c:numCache>
            </c:numRef>
          </c:val>
        </c:ser>
        <c:ser>
          <c:idx val="6"/>
          <c:order val="6"/>
          <c:tx>
            <c:strRef>
              <c:f>'Large MAC-3&amp;4 (inc. bus &gt;7m)'!$I$3</c:f>
              <c:strCache>
                <c:ptCount val="1"/>
                <c:pt idx="0">
                  <c:v>HFC-32</c:v>
                </c:pt>
              </c:strCache>
            </c:strRef>
          </c:tx>
          <c:cat>
            <c:numRef>
              <c:f>'Large MAC-3&amp;4 (inc. bus &gt;7m)'!$B$82:$B$94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MAC-3&amp;4 (inc. bus &gt;7m)'!$I$82:$I$94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7"/>
          <c:order val="7"/>
          <c:tx>
            <c:strRef>
              <c:f>'Large MAC-3&amp;4 (inc. bus &gt;7m)'!$J$3</c:f>
              <c:strCache>
                <c:ptCount val="1"/>
                <c:pt idx="0">
                  <c:v>HFC-Mix</c:v>
                </c:pt>
              </c:strCache>
            </c:strRef>
          </c:tx>
          <c:cat>
            <c:numRef>
              <c:f>'Large MAC-3&amp;4 (inc. bus &gt;7m)'!$B$82:$B$94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MAC-3&amp;4 (inc. bus &gt;7m)'!$J$82:$J$94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8"/>
          <c:order val="8"/>
          <c:tx>
            <c:strRef>
              <c:f>'Large MAC-3&amp;4 (inc. bus &gt;7m)'!$K$3</c:f>
              <c:strCache>
                <c:ptCount val="1"/>
                <c:pt idx="0">
                  <c:v>GWP &lt;2150</c:v>
                </c:pt>
              </c:strCache>
            </c:strRef>
          </c:tx>
          <c:cat>
            <c:numRef>
              <c:f>'Large MAC-3&amp;4 (inc. bus &gt;7m)'!$B$82:$B$94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MAC-3&amp;4 (inc. bus &gt;7m)'!$K$82:$K$94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9"/>
          <c:order val="9"/>
          <c:tx>
            <c:strRef>
              <c:f>'Large MAC-3&amp;4 (inc. bus &gt;7m)'!$L$3</c:f>
              <c:strCache>
                <c:ptCount val="1"/>
                <c:pt idx="0">
                  <c:v>GWP &lt;1000</c:v>
                </c:pt>
              </c:strCache>
            </c:strRef>
          </c:tx>
          <c:cat>
            <c:numRef>
              <c:f>'Large MAC-3&amp;4 (inc. bus &gt;7m)'!$B$82:$B$94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MAC-3&amp;4 (inc. bus &gt;7m)'!$L$82:$L$94</c:f>
              <c:numCache>
                <c:formatCode>#,##0</c:formatCode>
                <c:ptCount val="13"/>
                <c:pt idx="0">
                  <c:v>0</c:v>
                </c:pt>
                <c:pt idx="1">
                  <c:v>0</c:v>
                </c:pt>
                <c:pt idx="2">
                  <c:v>0</c:v>
                </c:pt>
                <c:pt idx="3">
                  <c:v>151.10921037996479</c:v>
                </c:pt>
                <c:pt idx="4">
                  <c:v>1555.2361913178199</c:v>
                </c:pt>
                <c:pt idx="5">
                  <c:v>3092.4515673075725</c:v>
                </c:pt>
                <c:pt idx="6">
                  <c:v>4754.3075961260574</c:v>
                </c:pt>
                <c:pt idx="7">
                  <c:v>6532.7136724138454</c:v>
                </c:pt>
                <c:pt idx="8">
                  <c:v>8482.82869449795</c:v>
                </c:pt>
                <c:pt idx="9">
                  <c:v>10593.399512944567</c:v>
                </c:pt>
                <c:pt idx="10">
                  <c:v>12853.611196577289</c:v>
                </c:pt>
                <c:pt idx="11">
                  <c:v>15252.919224565989</c:v>
                </c:pt>
                <c:pt idx="12">
                  <c:v>17780.546524190271</c:v>
                </c:pt>
              </c:numCache>
            </c:numRef>
          </c:val>
        </c:ser>
        <c:ser>
          <c:idx val="10"/>
          <c:order val="10"/>
          <c:tx>
            <c:strRef>
              <c:f>'Large MAC-3&amp;4 (inc. bus &gt;7m)'!$M$3</c:f>
              <c:strCache>
                <c:ptCount val="1"/>
                <c:pt idx="0">
                  <c:v>GWP &lt;10</c:v>
                </c:pt>
              </c:strCache>
            </c:strRef>
          </c:tx>
          <c:cat>
            <c:numRef>
              <c:f>'Large MAC-3&amp;4 (inc. bus &gt;7m)'!$B$82:$B$94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'Large MAC-3&amp;4 (inc. bus &gt;7m)'!$M$82:$M$94</c:f>
              <c:numCache>
                <c:formatCode>#,##0</c:formatCode>
                <c:ptCount val="13"/>
                <c:pt idx="0">
                  <c:v>0</c:v>
                </c:pt>
                <c:pt idx="1">
                  <c:v>0</c:v>
                </c:pt>
                <c:pt idx="2">
                  <c:v>0.79937752008089991</c:v>
                </c:pt>
                <c:pt idx="3">
                  <c:v>153.45866084912367</c:v>
                </c:pt>
                <c:pt idx="4">
                  <c:v>1603.2940804993698</c:v>
                </c:pt>
                <c:pt idx="5">
                  <c:v>3193.6689149118047</c:v>
                </c:pt>
                <c:pt idx="6">
                  <c:v>4915.670579290073</c:v>
                </c:pt>
                <c:pt idx="7">
                  <c:v>6760.7631758744028</c:v>
                </c:pt>
                <c:pt idx="8">
                  <c:v>8783.6791222879547</c:v>
                </c:pt>
                <c:pt idx="9">
                  <c:v>10972.756698603545</c:v>
                </c:pt>
                <c:pt idx="10">
                  <c:v>13316.78857065165</c:v>
                </c:pt>
                <c:pt idx="11">
                  <c:v>15804.849114560258</c:v>
                </c:pt>
                <c:pt idx="12">
                  <c:v>18426.461748231781</c:v>
                </c:pt>
              </c:numCache>
            </c:numRef>
          </c:val>
        </c:ser>
        <c:axId val="43878272"/>
        <c:axId val="43879808"/>
      </c:areaChart>
      <c:catAx>
        <c:axId val="43878272"/>
        <c:scaling>
          <c:orientation val="minMax"/>
        </c:scaling>
        <c:axPos val="b"/>
        <c:numFmt formatCode="General" sourceLinked="1"/>
        <c:tickLblPos val="nextTo"/>
        <c:txPr>
          <a:bodyPr/>
          <a:lstStyle/>
          <a:p>
            <a:pPr>
              <a:defRPr sz="800"/>
            </a:pPr>
            <a:endParaRPr lang="en-US"/>
          </a:p>
        </c:txPr>
        <c:crossAx val="43879808"/>
        <c:crosses val="autoZero"/>
        <c:auto val="1"/>
        <c:lblAlgn val="ctr"/>
        <c:lblOffset val="100"/>
      </c:catAx>
      <c:valAx>
        <c:axId val="43879808"/>
        <c:scaling>
          <c:orientation val="minMax"/>
        </c:scaling>
        <c:axPos val="l"/>
        <c:majorGridlines/>
        <c:numFmt formatCode="#,##0" sourceLinked="1"/>
        <c:tickLblPos val="nextTo"/>
        <c:txPr>
          <a:bodyPr/>
          <a:lstStyle/>
          <a:p>
            <a:pPr>
              <a:defRPr sz="800"/>
            </a:pPr>
            <a:endParaRPr lang="en-US"/>
          </a:p>
        </c:txPr>
        <c:crossAx val="43878272"/>
        <c:crosses val="autoZero"/>
        <c:crossBetween val="midCat"/>
        <c:dispUnits>
          <c:builtInUnit val="thousands"/>
        </c:dispUnits>
      </c:valAx>
    </c:plotArea>
    <c:legend>
      <c:legendPos val="r"/>
      <c:txPr>
        <a:bodyPr/>
        <a:lstStyle/>
        <a:p>
          <a:pPr>
            <a:defRPr sz="800"/>
          </a:pPr>
          <a:endParaRPr lang="en-US"/>
        </a:p>
      </c:txPr>
    </c:legend>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AU"/>
  <c:style val="18"/>
  <c:chart>
    <c:plotArea>
      <c:layout/>
      <c:areaChart>
        <c:grouping val="stacked"/>
        <c:ser>
          <c:idx val="0"/>
          <c:order val="0"/>
          <c:tx>
            <c:strRef>
              <c:f>'Transition summary'!$C$3</c:f>
              <c:strCache>
                <c:ptCount val="1"/>
                <c:pt idx="0">
                  <c:v>HCFC-22</c:v>
                </c:pt>
              </c:strCache>
            </c:strRef>
          </c:tx>
          <c:spPr>
            <a:solidFill>
              <a:srgbClr val="FF0000"/>
            </a:solidFill>
          </c:spPr>
          <c:cat>
            <c:numRef>
              <c:f>'Transition summary'!$B$53:$B$65</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summary'!$C$53:$C$65</c:f>
              <c:numCache>
                <c:formatCode>#,##0.00</c:formatCode>
                <c:ptCount val="13"/>
                <c:pt idx="0">
                  <c:v>1.262804846138381</c:v>
                </c:pt>
                <c:pt idx="1">
                  <c:v>1.0832694093920558</c:v>
                </c:pt>
                <c:pt idx="2">
                  <c:v>0.89117510032543101</c:v>
                </c:pt>
                <c:pt idx="3">
                  <c:v>0.70073295437412264</c:v>
                </c:pt>
                <c:pt idx="4">
                  <c:v>0.52715245199380001</c:v>
                </c:pt>
                <c:pt idx="5">
                  <c:v>0.38169461284555933</c:v>
                </c:pt>
                <c:pt idx="6">
                  <c:v>0.268749405342113</c:v>
                </c:pt>
                <c:pt idx="7">
                  <c:v>0.18623084113037633</c:v>
                </c:pt>
                <c:pt idx="8">
                  <c:v>0.12822643622782326</c:v>
                </c:pt>
                <c:pt idx="9">
                  <c:v>8.7888460631911081E-2</c:v>
                </c:pt>
                <c:pt idx="10">
                  <c:v>5.9366837479013404E-2</c:v>
                </c:pt>
                <c:pt idx="11">
                  <c:v>3.8660023677559614E-2</c:v>
                </c:pt>
                <c:pt idx="12">
                  <c:v>2.3584936967803213E-2</c:v>
                </c:pt>
              </c:numCache>
            </c:numRef>
          </c:val>
        </c:ser>
        <c:ser>
          <c:idx val="1"/>
          <c:order val="2"/>
          <c:tx>
            <c:strRef>
              <c:f>'Transition summary'!$D$3</c:f>
              <c:strCache>
                <c:ptCount val="1"/>
                <c:pt idx="0">
                  <c:v>HCFC-123</c:v>
                </c:pt>
              </c:strCache>
            </c:strRef>
          </c:tx>
          <c:cat>
            <c:numRef>
              <c:f>'Transition summary'!$B$53:$B$65</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summary'!$D$53:$D$65</c:f>
              <c:numCache>
                <c:formatCode>#,##0.00</c:formatCode>
                <c:ptCount val="13"/>
                <c:pt idx="0">
                  <c:v>1.2781198410620515E-3</c:v>
                </c:pt>
                <c:pt idx="1">
                  <c:v>1.2720741593586116E-3</c:v>
                </c:pt>
                <c:pt idx="2">
                  <c:v>1.1091285251657423E-4</c:v>
                </c:pt>
                <c:pt idx="3">
                  <c:v>1.0465273724963803E-4</c:v>
                </c:pt>
                <c:pt idx="4">
                  <c:v>9.8299551156295694E-5</c:v>
                </c:pt>
                <c:pt idx="5">
                  <c:v>9.1857043687824895E-5</c:v>
                </c:pt>
                <c:pt idx="6">
                  <c:v>8.5329790103750867E-5</c:v>
                </c:pt>
                <c:pt idx="7">
                  <c:v>7.8723191481707062E-5</c:v>
                </c:pt>
                <c:pt idx="8">
                  <c:v>7.2042262773647933E-5</c:v>
                </c:pt>
                <c:pt idx="9">
                  <c:v>6.5290522284040418E-5</c:v>
                </c:pt>
                <c:pt idx="10">
                  <c:v>5.8469834395752902E-5</c:v>
                </c:pt>
                <c:pt idx="11">
                  <c:v>5.1581542897924098E-5</c:v>
                </c:pt>
                <c:pt idx="12">
                  <c:v>4.4630162837923597E-5</c:v>
                </c:pt>
              </c:numCache>
            </c:numRef>
          </c:val>
        </c:ser>
        <c:ser>
          <c:idx val="2"/>
          <c:order val="3"/>
          <c:tx>
            <c:strRef>
              <c:f>'Transition summary'!$E$3</c:f>
              <c:strCache>
                <c:ptCount val="1"/>
                <c:pt idx="0">
                  <c:v>HFC-134a</c:v>
                </c:pt>
              </c:strCache>
            </c:strRef>
          </c:tx>
          <c:cat>
            <c:numRef>
              <c:f>'Transition summary'!$B$53:$B$65</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summary'!$E$53:$E$65</c:f>
              <c:numCache>
                <c:formatCode>#,##0.00</c:formatCode>
                <c:ptCount val="13"/>
                <c:pt idx="0">
                  <c:v>2.4677346678468499</c:v>
                </c:pt>
                <c:pt idx="1">
                  <c:v>2.4039581872315439</c:v>
                </c:pt>
                <c:pt idx="2">
                  <c:v>2.37163074031462</c:v>
                </c:pt>
                <c:pt idx="3">
                  <c:v>2.297410421908233</c:v>
                </c:pt>
                <c:pt idx="4">
                  <c:v>2.2292619241489069</c:v>
                </c:pt>
                <c:pt idx="5">
                  <c:v>2.1383598760153082</c:v>
                </c:pt>
                <c:pt idx="6">
                  <c:v>2.0566367994091137</c:v>
                </c:pt>
                <c:pt idx="7">
                  <c:v>1.9668792570619578</c:v>
                </c:pt>
                <c:pt idx="8">
                  <c:v>1.8584375148400198</c:v>
                </c:pt>
                <c:pt idx="9">
                  <c:v>1.7321071347347083</c:v>
                </c:pt>
                <c:pt idx="10">
                  <c:v>1.5881715154765441</c:v>
                </c:pt>
                <c:pt idx="11">
                  <c:v>1.4265618058634317</c:v>
                </c:pt>
                <c:pt idx="12">
                  <c:v>1.248232113427546</c:v>
                </c:pt>
              </c:numCache>
            </c:numRef>
          </c:val>
        </c:ser>
        <c:ser>
          <c:idx val="3"/>
          <c:order val="4"/>
          <c:tx>
            <c:strRef>
              <c:f>'Transition summary'!$F$3</c:f>
              <c:strCache>
                <c:ptCount val="1"/>
                <c:pt idx="0">
                  <c:v>HFC-404A</c:v>
                </c:pt>
              </c:strCache>
            </c:strRef>
          </c:tx>
          <c:cat>
            <c:numRef>
              <c:f>'Transition summary'!$B$53:$B$65</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summary'!$F$53:$F$65</c:f>
              <c:numCache>
                <c:formatCode>#,##0.00</c:formatCode>
                <c:ptCount val="13"/>
                <c:pt idx="0">
                  <c:v>2.5382114136334737</c:v>
                </c:pt>
                <c:pt idx="1">
                  <c:v>2.5348981224190967</c:v>
                </c:pt>
                <c:pt idx="2">
                  <c:v>2.3801454279845795</c:v>
                </c:pt>
                <c:pt idx="3">
                  <c:v>2.2927503816893031</c:v>
                </c:pt>
                <c:pt idx="4">
                  <c:v>2.1966638664468769</c:v>
                </c:pt>
                <c:pt idx="5">
                  <c:v>2.091315042370844</c:v>
                </c:pt>
                <c:pt idx="6">
                  <c:v>1.9767485944448804</c:v>
                </c:pt>
                <c:pt idx="7">
                  <c:v>1.8500001325478641</c:v>
                </c:pt>
                <c:pt idx="8">
                  <c:v>1.7136356984781806</c:v>
                </c:pt>
                <c:pt idx="9">
                  <c:v>1.5679498944858659</c:v>
                </c:pt>
                <c:pt idx="10">
                  <c:v>1.4133322394329657</c:v>
                </c:pt>
                <c:pt idx="11">
                  <c:v>1.25007314960912</c:v>
                </c:pt>
                <c:pt idx="12">
                  <c:v>1.0781405939119066</c:v>
                </c:pt>
              </c:numCache>
            </c:numRef>
          </c:val>
        </c:ser>
        <c:ser>
          <c:idx val="4"/>
          <c:order val="5"/>
          <c:tx>
            <c:strRef>
              <c:f>'Transition summary'!$G$3</c:f>
              <c:strCache>
                <c:ptCount val="1"/>
                <c:pt idx="0">
                  <c:v>HFC-410A</c:v>
                </c:pt>
              </c:strCache>
            </c:strRef>
          </c:tx>
          <c:cat>
            <c:numRef>
              <c:f>'Transition summary'!$B$53:$B$65</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summary'!$G$53:$G$65</c:f>
              <c:numCache>
                <c:formatCode>#,##0.00</c:formatCode>
                <c:ptCount val="13"/>
                <c:pt idx="0">
                  <c:v>1.3726629930360361</c:v>
                </c:pt>
                <c:pt idx="1">
                  <c:v>1.522650754171142</c:v>
                </c:pt>
                <c:pt idx="2">
                  <c:v>1.6625932628928299</c:v>
                </c:pt>
                <c:pt idx="3">
                  <c:v>1.7631672620862711</c:v>
                </c:pt>
                <c:pt idx="4">
                  <c:v>1.824749255455745</c:v>
                </c:pt>
                <c:pt idx="5">
                  <c:v>1.8402230813991618</c:v>
                </c:pt>
                <c:pt idx="6">
                  <c:v>1.8222891428767589</c:v>
                </c:pt>
                <c:pt idx="7">
                  <c:v>1.7743809658451344</c:v>
                </c:pt>
                <c:pt idx="8">
                  <c:v>1.692565596149004</c:v>
                </c:pt>
                <c:pt idx="9">
                  <c:v>1.5808858370031571</c:v>
                </c:pt>
                <c:pt idx="10">
                  <c:v>1.4424262189060826</c:v>
                </c:pt>
                <c:pt idx="11">
                  <c:v>1.2795521176567621</c:v>
                </c:pt>
                <c:pt idx="12">
                  <c:v>1.094390558578346</c:v>
                </c:pt>
              </c:numCache>
            </c:numRef>
          </c:val>
        </c:ser>
        <c:ser>
          <c:idx val="5"/>
          <c:order val="6"/>
          <c:tx>
            <c:strRef>
              <c:f>'Transition summary'!$H$3</c:f>
              <c:strCache>
                <c:ptCount val="1"/>
                <c:pt idx="0">
                  <c:v>HFC-407C</c:v>
                </c:pt>
              </c:strCache>
            </c:strRef>
          </c:tx>
          <c:cat>
            <c:numRef>
              <c:f>'Transition summary'!$B$53:$B$65</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summary'!$H$53:$H$65</c:f>
              <c:numCache>
                <c:formatCode>#,##0.00</c:formatCode>
                <c:ptCount val="13"/>
                <c:pt idx="0">
                  <c:v>0.22818546541089604</c:v>
                </c:pt>
                <c:pt idx="1">
                  <c:v>0.23076928669214136</c:v>
                </c:pt>
                <c:pt idx="2">
                  <c:v>0.19279830383873817</c:v>
                </c:pt>
                <c:pt idx="3">
                  <c:v>0.16486027179275101</c:v>
                </c:pt>
                <c:pt idx="4">
                  <c:v>0.13905170668342401</c:v>
                </c:pt>
                <c:pt idx="5">
                  <c:v>0.11883453404798702</c:v>
                </c:pt>
                <c:pt idx="6">
                  <c:v>0.10229303909033102</c:v>
                </c:pt>
                <c:pt idx="7">
                  <c:v>8.8307927773620329E-2</c:v>
                </c:pt>
                <c:pt idx="8">
                  <c:v>7.6126977133809837E-2</c:v>
                </c:pt>
                <c:pt idx="9">
                  <c:v>6.5184104192126988E-2</c:v>
                </c:pt>
                <c:pt idx="10">
                  <c:v>5.5042886103546768E-2</c:v>
                </c:pt>
                <c:pt idx="11">
                  <c:v>4.5413270794183822E-2</c:v>
                </c:pt>
                <c:pt idx="12">
                  <c:v>3.5222699896091988E-2</c:v>
                </c:pt>
              </c:numCache>
            </c:numRef>
          </c:val>
        </c:ser>
        <c:ser>
          <c:idx val="6"/>
          <c:order val="7"/>
          <c:tx>
            <c:strRef>
              <c:f>'Transition summary'!$I$3</c:f>
              <c:strCache>
                <c:ptCount val="1"/>
                <c:pt idx="0">
                  <c:v>HFC-32</c:v>
                </c:pt>
              </c:strCache>
            </c:strRef>
          </c:tx>
          <c:cat>
            <c:numRef>
              <c:f>'Transition summary'!$B$53:$B$65</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summary'!$I$53:$I$65</c:f>
              <c:numCache>
                <c:formatCode>#,##0.00</c:formatCode>
                <c:ptCount val="13"/>
                <c:pt idx="0">
                  <c:v>0</c:v>
                </c:pt>
                <c:pt idx="1">
                  <c:v>5.6250000000000017E-4</c:v>
                </c:pt>
                <c:pt idx="2">
                  <c:v>1.1182483039078718E-2</c:v>
                </c:pt>
                <c:pt idx="3">
                  <c:v>2.6744353189000012E-2</c:v>
                </c:pt>
                <c:pt idx="4">
                  <c:v>4.5077422876823932E-2</c:v>
                </c:pt>
                <c:pt idx="5">
                  <c:v>6.6253885678586935E-2</c:v>
                </c:pt>
                <c:pt idx="6">
                  <c:v>9.034755541918868E-2</c:v>
                </c:pt>
                <c:pt idx="7">
                  <c:v>0.117432439060003</c:v>
                </c:pt>
                <c:pt idx="8">
                  <c:v>0.14914854414819423</c:v>
                </c:pt>
                <c:pt idx="9">
                  <c:v>0.18558830596504117</c:v>
                </c:pt>
                <c:pt idx="10">
                  <c:v>0.22678615614893316</c:v>
                </c:pt>
                <c:pt idx="11">
                  <c:v>0.27266579245837974</c:v>
                </c:pt>
                <c:pt idx="12">
                  <c:v>0.3230017774118964</c:v>
                </c:pt>
              </c:numCache>
            </c:numRef>
          </c:val>
        </c:ser>
        <c:ser>
          <c:idx val="7"/>
          <c:order val="8"/>
          <c:tx>
            <c:strRef>
              <c:f>'Transition summary'!$J$3</c:f>
              <c:strCache>
                <c:ptCount val="1"/>
                <c:pt idx="0">
                  <c:v>HFC-Mix</c:v>
                </c:pt>
              </c:strCache>
            </c:strRef>
          </c:tx>
          <c:cat>
            <c:numRef>
              <c:f>'Transition summary'!$B$53:$B$65</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summary'!$J$53:$J$65</c:f>
              <c:numCache>
                <c:formatCode>#,##0.00</c:formatCode>
                <c:ptCount val="13"/>
                <c:pt idx="0">
                  <c:v>0.93276358760561651</c:v>
                </c:pt>
                <c:pt idx="1">
                  <c:v>0.72503124557461263</c:v>
                </c:pt>
                <c:pt idx="2">
                  <c:v>0.64941885307492364</c:v>
                </c:pt>
                <c:pt idx="3">
                  <c:v>0.67048017294802364</c:v>
                </c:pt>
                <c:pt idx="4">
                  <c:v>0.58660117862619365</c:v>
                </c:pt>
                <c:pt idx="5">
                  <c:v>0.52362504602066662</c:v>
                </c:pt>
                <c:pt idx="6">
                  <c:v>0.46068548610922033</c:v>
                </c:pt>
                <c:pt idx="7">
                  <c:v>0.39778209586667179</c:v>
                </c:pt>
                <c:pt idx="8">
                  <c:v>0.33491564463901247</c:v>
                </c:pt>
                <c:pt idx="9">
                  <c:v>0.27209067959572708</c:v>
                </c:pt>
                <c:pt idx="10">
                  <c:v>0.20932093472761501</c:v>
                </c:pt>
                <c:pt idx="11">
                  <c:v>0.14663641777741726</c:v>
                </c:pt>
                <c:pt idx="12">
                  <c:v>8.4086540504534346E-2</c:v>
                </c:pt>
              </c:numCache>
            </c:numRef>
          </c:val>
        </c:ser>
        <c:ser>
          <c:idx val="8"/>
          <c:order val="9"/>
          <c:tx>
            <c:strRef>
              <c:f>'Transition summary'!$K$3</c:f>
              <c:strCache>
                <c:ptCount val="1"/>
                <c:pt idx="0">
                  <c:v>GWP &lt;2150</c:v>
                </c:pt>
              </c:strCache>
            </c:strRef>
          </c:tx>
          <c:cat>
            <c:numRef>
              <c:f>'Transition summary'!$B$53:$B$65</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summary'!$K$53:$K$65</c:f>
              <c:numCache>
                <c:formatCode>#,##0.00</c:formatCode>
                <c:ptCount val="13"/>
                <c:pt idx="0">
                  <c:v>0</c:v>
                </c:pt>
                <c:pt idx="1">
                  <c:v>1.8750000000000023E-3</c:v>
                </c:pt>
                <c:pt idx="2">
                  <c:v>1.7670954545454511E-2</c:v>
                </c:pt>
                <c:pt idx="3">
                  <c:v>3.5202137746982512E-2</c:v>
                </c:pt>
                <c:pt idx="4">
                  <c:v>5.4513123805345606E-2</c:v>
                </c:pt>
                <c:pt idx="5">
                  <c:v>7.5650249101903419E-2</c:v>
                </c:pt>
                <c:pt idx="6">
                  <c:v>9.8661650676463306E-2</c:v>
                </c:pt>
                <c:pt idx="7">
                  <c:v>0.123597300845568</c:v>
                </c:pt>
                <c:pt idx="8">
                  <c:v>0.15080057473185388</c:v>
                </c:pt>
                <c:pt idx="9">
                  <c:v>0.18034896232231326</c:v>
                </c:pt>
                <c:pt idx="10">
                  <c:v>0.21232098483103326</c:v>
                </c:pt>
                <c:pt idx="11">
                  <c:v>0.24679215313347036</c:v>
                </c:pt>
                <c:pt idx="12">
                  <c:v>0.28382387098399448</c:v>
                </c:pt>
              </c:numCache>
            </c:numRef>
          </c:val>
        </c:ser>
        <c:ser>
          <c:idx val="9"/>
          <c:order val="10"/>
          <c:tx>
            <c:strRef>
              <c:f>'Transition summary'!$L$3</c:f>
              <c:strCache>
                <c:ptCount val="1"/>
                <c:pt idx="0">
                  <c:v>GWP &lt;1000</c:v>
                </c:pt>
              </c:strCache>
            </c:strRef>
          </c:tx>
          <c:cat>
            <c:numRef>
              <c:f>'Transition summary'!$B$53:$B$65</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summary'!$L$53:$L$65</c:f>
              <c:numCache>
                <c:formatCode>#,##0.00</c:formatCode>
                <c:ptCount val="13"/>
                <c:pt idx="0">
                  <c:v>0</c:v>
                </c:pt>
                <c:pt idx="1">
                  <c:v>2.0833333333333424E-4</c:v>
                </c:pt>
                <c:pt idx="2">
                  <c:v>9.7200757575757486E-3</c:v>
                </c:pt>
                <c:pt idx="3">
                  <c:v>2.0678914070003353E-2</c:v>
                </c:pt>
                <c:pt idx="4">
                  <c:v>3.4673979034964567E-2</c:v>
                </c:pt>
                <c:pt idx="5">
                  <c:v>5.5122018179391906E-2</c:v>
                </c:pt>
                <c:pt idx="6">
                  <c:v>7.71215625949246E-2</c:v>
                </c:pt>
                <c:pt idx="7">
                  <c:v>0.10070981174495</c:v>
                </c:pt>
                <c:pt idx="8">
                  <c:v>0.12642997432417397</c:v>
                </c:pt>
                <c:pt idx="9">
                  <c:v>0.15432881243604404</c:v>
                </c:pt>
                <c:pt idx="10">
                  <c:v>0.18444772318826233</c:v>
                </c:pt>
                <c:pt idx="11">
                  <c:v>0.21681090279599727</c:v>
                </c:pt>
                <c:pt idx="12">
                  <c:v>0.2514059713510684</c:v>
                </c:pt>
              </c:numCache>
            </c:numRef>
          </c:val>
        </c:ser>
        <c:ser>
          <c:idx val="10"/>
          <c:order val="11"/>
          <c:tx>
            <c:strRef>
              <c:f>'Transition summary'!$M$3</c:f>
              <c:strCache>
                <c:ptCount val="1"/>
                <c:pt idx="0">
                  <c:v>GWP &lt;10</c:v>
                </c:pt>
              </c:strCache>
            </c:strRef>
          </c:tx>
          <c:cat>
            <c:numRef>
              <c:f>'Transition summary'!$B$53:$B$65</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summary'!$M$53:$M$65</c:f>
              <c:numCache>
                <c:formatCode>#,##0.00</c:formatCode>
                <c:ptCount val="13"/>
                <c:pt idx="0">
                  <c:v>8.3689178232139764E-4</c:v>
                </c:pt>
                <c:pt idx="1">
                  <c:v>9.6032580681623366E-4</c:v>
                </c:pt>
                <c:pt idx="2">
                  <c:v>1.4417356731768903E-3</c:v>
                </c:pt>
                <c:pt idx="3">
                  <c:v>1.4939891922439506E-3</c:v>
                </c:pt>
                <c:pt idx="4">
                  <c:v>1.8092028818223226E-3</c:v>
                </c:pt>
                <c:pt idx="5">
                  <c:v>2.1244646949722611E-3</c:v>
                </c:pt>
                <c:pt idx="6">
                  <c:v>2.4582634910138897E-3</c:v>
                </c:pt>
                <c:pt idx="7">
                  <c:v>2.8117100820847412E-3</c:v>
                </c:pt>
                <c:pt idx="8">
                  <c:v>3.2159977112300154E-3</c:v>
                </c:pt>
                <c:pt idx="9">
                  <c:v>3.6680689851335611E-3</c:v>
                </c:pt>
                <c:pt idx="10">
                  <c:v>4.1652996891655024E-3</c:v>
                </c:pt>
                <c:pt idx="11">
                  <c:v>4.7049562223548903E-3</c:v>
                </c:pt>
                <c:pt idx="12">
                  <c:v>5.2841232086208514E-3</c:v>
                </c:pt>
              </c:numCache>
            </c:numRef>
          </c:val>
        </c:ser>
        <c:axId val="41446784"/>
        <c:axId val="41464960"/>
      </c:areaChart>
      <c:lineChart>
        <c:grouping val="standard"/>
        <c:ser>
          <c:idx val="11"/>
          <c:order val="1"/>
          <c:tx>
            <c:strRef>
              <c:f>'Transition summary'!$N$52</c:f>
              <c:strCache>
                <c:ptCount val="1"/>
                <c:pt idx="0">
                  <c:v>Alt Scenario</c:v>
                </c:pt>
              </c:strCache>
            </c:strRef>
          </c:tx>
          <c:spPr>
            <a:ln w="31750">
              <a:solidFill>
                <a:srgbClr val="0000FF"/>
              </a:solidFill>
              <a:prstDash val="sysDot"/>
            </a:ln>
          </c:spPr>
          <c:marker>
            <c:symbol val="none"/>
          </c:marker>
          <c:cat>
            <c:numRef>
              <c:f>'Transition summary'!$B$53:$B$65</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summary'!$N$53:$N$65</c:f>
              <c:numCache>
                <c:formatCode>#,##0.00</c:formatCode>
                <c:ptCount val="13"/>
                <c:pt idx="0">
                  <c:v>9.9298623894300206</c:v>
                </c:pt>
                <c:pt idx="1">
                  <c:v>9.5926186903534933</c:v>
                </c:pt>
                <c:pt idx="2">
                  <c:v>9.234459981540148</c:v>
                </c:pt>
                <c:pt idx="3">
                  <c:v>8.9928107275197515</c:v>
                </c:pt>
                <c:pt idx="4">
                  <c:v>8.6161493362839359</c:v>
                </c:pt>
                <c:pt idx="5">
                  <c:v>8.2255203015767631</c:v>
                </c:pt>
                <c:pt idx="6">
                  <c:v>7.8451994314783109</c:v>
                </c:pt>
                <c:pt idx="7">
                  <c:v>7.4528697802440576</c:v>
                </c:pt>
                <c:pt idx="8">
                  <c:v>7.0303477450895793</c:v>
                </c:pt>
                <c:pt idx="9">
                  <c:v>6.5753070122642523</c:v>
                </c:pt>
                <c:pt idx="10">
                  <c:v>6.0850818787416046</c:v>
                </c:pt>
                <c:pt idx="11">
                  <c:v>5.5578069603739335</c:v>
                </c:pt>
                <c:pt idx="12">
                  <c:v>4.9931028004563576</c:v>
                </c:pt>
              </c:numCache>
            </c:numRef>
          </c:val>
        </c:ser>
        <c:ser>
          <c:idx val="12"/>
          <c:order val="12"/>
          <c:tx>
            <c:strRef>
              <c:f>'Transition summary'!$O$52</c:f>
              <c:strCache>
                <c:ptCount val="1"/>
                <c:pt idx="0">
                  <c:v>Baseline</c:v>
                </c:pt>
              </c:strCache>
            </c:strRef>
          </c:tx>
          <c:spPr>
            <a:ln w="31750">
              <a:solidFill>
                <a:schemeClr val="accent6">
                  <a:lumMod val="75000"/>
                </a:schemeClr>
              </a:solidFill>
            </a:ln>
          </c:spPr>
          <c:marker>
            <c:symbol val="none"/>
          </c:marker>
          <c:cat>
            <c:numRef>
              <c:f>'Transition summary'!$B$53:$B$65</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summary'!$O$53:$O$65</c:f>
              <c:numCache>
                <c:formatCode>#,##0.00</c:formatCode>
                <c:ptCount val="13"/>
                <c:pt idx="0">
                  <c:v>9.9549100243663506</c:v>
                </c:pt>
                <c:pt idx="1">
                  <c:v>9.9549100243663506</c:v>
                </c:pt>
                <c:pt idx="2">
                  <c:v>9.9549100243663506</c:v>
                </c:pt>
                <c:pt idx="3">
                  <c:v>8.9594190219297651</c:v>
                </c:pt>
                <c:pt idx="4">
                  <c:v>8.9594190219297651</c:v>
                </c:pt>
                <c:pt idx="5">
                  <c:v>8.9594190219297651</c:v>
                </c:pt>
                <c:pt idx="6">
                  <c:v>8.9594190219297651</c:v>
                </c:pt>
                <c:pt idx="7">
                  <c:v>8.9594190219297651</c:v>
                </c:pt>
                <c:pt idx="8">
                  <c:v>8.9594190219297651</c:v>
                </c:pt>
                <c:pt idx="9">
                  <c:v>8.9594190219297651</c:v>
                </c:pt>
                <c:pt idx="10">
                  <c:v>6.4706915158381566</c:v>
                </c:pt>
                <c:pt idx="11">
                  <c:v>6.4706915158381566</c:v>
                </c:pt>
                <c:pt idx="12">
                  <c:v>6.4706915158381566</c:v>
                </c:pt>
              </c:numCache>
            </c:numRef>
          </c:val>
        </c:ser>
        <c:marker val="1"/>
        <c:axId val="41472384"/>
        <c:axId val="41466496"/>
      </c:lineChart>
      <c:catAx>
        <c:axId val="41446784"/>
        <c:scaling>
          <c:orientation val="minMax"/>
        </c:scaling>
        <c:axPos val="b"/>
        <c:numFmt formatCode="General" sourceLinked="1"/>
        <c:tickLblPos val="nextTo"/>
        <c:crossAx val="41464960"/>
        <c:crosses val="autoZero"/>
        <c:auto val="1"/>
        <c:lblAlgn val="ctr"/>
        <c:lblOffset val="100"/>
      </c:catAx>
      <c:valAx>
        <c:axId val="41464960"/>
        <c:scaling>
          <c:orientation val="minMax"/>
        </c:scaling>
        <c:axPos val="l"/>
        <c:majorGridlines/>
        <c:numFmt formatCode="#,##0.00" sourceLinked="1"/>
        <c:tickLblPos val="nextTo"/>
        <c:crossAx val="41446784"/>
        <c:crosses val="autoZero"/>
        <c:crossBetween val="between"/>
      </c:valAx>
      <c:valAx>
        <c:axId val="41466496"/>
        <c:scaling>
          <c:orientation val="minMax"/>
          <c:max val="10"/>
        </c:scaling>
        <c:axPos val="r"/>
        <c:numFmt formatCode="#,##0.00" sourceLinked="1"/>
        <c:tickLblPos val="nextTo"/>
        <c:crossAx val="41472384"/>
        <c:crosses val="max"/>
        <c:crossBetween val="between"/>
      </c:valAx>
      <c:catAx>
        <c:axId val="41472384"/>
        <c:scaling>
          <c:orientation val="minMax"/>
        </c:scaling>
        <c:delete val="1"/>
        <c:axPos val="b"/>
        <c:numFmt formatCode="General" sourceLinked="1"/>
        <c:tickLblPos val="none"/>
        <c:crossAx val="41466496"/>
        <c:crosses val="autoZero"/>
        <c:auto val="1"/>
        <c:lblAlgn val="ctr"/>
        <c:lblOffset val="100"/>
      </c:catAx>
      <c:spPr>
        <a:noFill/>
        <a:ln w="25400">
          <a:noFill/>
        </a:ln>
      </c:spPr>
    </c:plotArea>
    <c:legend>
      <c:legendPos val="r"/>
    </c:legend>
    <c:plotVisOnly val="1"/>
    <c:dispBlanksAs val="zero"/>
  </c:chart>
  <c:spPr>
    <a:ln>
      <a:noFill/>
    </a:ln>
  </c:spPr>
  <c:txPr>
    <a:bodyPr/>
    <a:lstStyle/>
    <a:p>
      <a:pPr>
        <a:defRPr sz="800"/>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AU"/>
  <c:style val="18"/>
  <c:chart>
    <c:plotArea>
      <c:layout/>
      <c:areaChart>
        <c:grouping val="stacked"/>
        <c:ser>
          <c:idx val="0"/>
          <c:order val="0"/>
          <c:tx>
            <c:strRef>
              <c:f>'Transition summary'!$C$3</c:f>
              <c:strCache>
                <c:ptCount val="1"/>
                <c:pt idx="0">
                  <c:v>HCFC-22</c:v>
                </c:pt>
              </c:strCache>
            </c:strRef>
          </c:tx>
          <c:spPr>
            <a:solidFill>
              <a:srgbClr val="FF0000"/>
            </a:solidFill>
          </c:spPr>
          <c:cat>
            <c:numRef>
              <c:f>'Transition summary'!$B$5:$B$17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summary'!$C$5:$C$17</c:f>
              <c:numCache>
                <c:formatCode>#,##0</c:formatCode>
                <c:ptCount val="13"/>
                <c:pt idx="0">
                  <c:v>9558848.2800258305</c:v>
                </c:pt>
                <c:pt idx="1">
                  <c:v>8173927.1448425325</c:v>
                </c:pt>
                <c:pt idx="2">
                  <c:v>6707056.2143781697</c:v>
                </c:pt>
                <c:pt idx="3">
                  <c:v>5264580.468232898</c:v>
                </c:pt>
                <c:pt idx="4">
                  <c:v>3955270.0454967497</c:v>
                </c:pt>
                <c:pt idx="5">
                  <c:v>2857422.7529639979</c:v>
                </c:pt>
                <c:pt idx="6">
                  <c:v>2001618.6954384707</c:v>
                </c:pt>
                <c:pt idx="7">
                  <c:v>1374454.5739071611</c:v>
                </c:pt>
                <c:pt idx="8">
                  <c:v>935275.31855880504</c:v>
                </c:pt>
                <c:pt idx="9">
                  <c:v>634458.90018295788</c:v>
                </c:pt>
                <c:pt idx="10">
                  <c:v>427005.42719457002</c:v>
                </c:pt>
                <c:pt idx="11">
                  <c:v>280090.28890821495</c:v>
                </c:pt>
                <c:pt idx="12">
                  <c:v>174415.61562850181</c:v>
                </c:pt>
              </c:numCache>
            </c:numRef>
          </c:val>
        </c:ser>
        <c:ser>
          <c:idx val="1"/>
          <c:order val="1"/>
          <c:tx>
            <c:strRef>
              <c:f>'Transition summary'!$D$3</c:f>
              <c:strCache>
                <c:ptCount val="1"/>
                <c:pt idx="0">
                  <c:v>HCFC-123</c:v>
                </c:pt>
              </c:strCache>
            </c:strRef>
          </c:tx>
          <c:cat>
            <c:numRef>
              <c:f>'Transition summary'!$B$5:$B$17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summary'!$D$5:$D$17</c:f>
              <c:numCache>
                <c:formatCode>#,##0</c:formatCode>
                <c:ptCount val="13"/>
                <c:pt idx="0">
                  <c:v>159895.89748318112</c:v>
                </c:pt>
                <c:pt idx="1">
                  <c:v>152044.36280339048</c:v>
                </c:pt>
                <c:pt idx="2">
                  <c:v>144042.66560594024</c:v>
                </c:pt>
                <c:pt idx="3">
                  <c:v>135912.64577875126</c:v>
                </c:pt>
                <c:pt idx="4">
                  <c:v>127661.75474843559</c:v>
                </c:pt>
                <c:pt idx="5">
                  <c:v>119294.8619322392</c:v>
                </c:pt>
                <c:pt idx="6">
                  <c:v>110817.9092256501</c:v>
                </c:pt>
                <c:pt idx="7">
                  <c:v>102237.91101520337</c:v>
                </c:pt>
                <c:pt idx="8">
                  <c:v>93561.380225516419</c:v>
                </c:pt>
                <c:pt idx="9">
                  <c:v>84792.886083168938</c:v>
                </c:pt>
                <c:pt idx="10">
                  <c:v>75934.849864614225</c:v>
                </c:pt>
                <c:pt idx="11">
                  <c:v>66989.016750550771</c:v>
                </c:pt>
                <c:pt idx="12">
                  <c:v>57961.250438861331</c:v>
                </c:pt>
              </c:numCache>
            </c:numRef>
          </c:val>
        </c:ser>
        <c:ser>
          <c:idx val="2"/>
          <c:order val="2"/>
          <c:tx>
            <c:strRef>
              <c:f>'Transition summary'!$E$3</c:f>
              <c:strCache>
                <c:ptCount val="1"/>
                <c:pt idx="0">
                  <c:v>HFC-134a</c:v>
                </c:pt>
              </c:strCache>
            </c:strRef>
          </c:tx>
          <c:cat>
            <c:numRef>
              <c:f>'Transition summary'!$B$5:$B$17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summary'!$E$5:$E$17</c:f>
              <c:numCache>
                <c:formatCode>#,##0</c:formatCode>
                <c:ptCount val="13"/>
                <c:pt idx="0">
                  <c:v>14407041.938558199</c:v>
                </c:pt>
                <c:pt idx="1">
                  <c:v>14729216.122986997</c:v>
                </c:pt>
                <c:pt idx="2">
                  <c:v>14967046.690321585</c:v>
                </c:pt>
                <c:pt idx="3">
                  <c:v>15112399.722806888</c:v>
                </c:pt>
                <c:pt idx="4">
                  <c:v>15162399.048019499</c:v>
                </c:pt>
                <c:pt idx="5">
                  <c:v>15117557.646807494</c:v>
                </c:pt>
                <c:pt idx="6">
                  <c:v>14980472.838161793</c:v>
                </c:pt>
                <c:pt idx="7">
                  <c:v>14754221.099548791</c:v>
                </c:pt>
                <c:pt idx="8">
                  <c:v>14350876.657488501</c:v>
                </c:pt>
                <c:pt idx="9">
                  <c:v>13777142.8008085</c:v>
                </c:pt>
                <c:pt idx="10">
                  <c:v>13027996.135438388</c:v>
                </c:pt>
                <c:pt idx="11">
                  <c:v>12095576.513480699</c:v>
                </c:pt>
                <c:pt idx="12">
                  <c:v>10974913.969356796</c:v>
                </c:pt>
              </c:numCache>
            </c:numRef>
          </c:val>
        </c:ser>
        <c:ser>
          <c:idx val="3"/>
          <c:order val="3"/>
          <c:tx>
            <c:strRef>
              <c:f>'Transition summary'!$F$3</c:f>
              <c:strCache>
                <c:ptCount val="1"/>
                <c:pt idx="0">
                  <c:v>HFC-404A</c:v>
                </c:pt>
              </c:strCache>
            </c:strRef>
          </c:tx>
          <c:cat>
            <c:numRef>
              <c:f>'Transition summary'!$B$5:$B$17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summary'!$F$5:$F$17</c:f>
              <c:numCache>
                <c:formatCode>#,##0</c:formatCode>
                <c:ptCount val="13"/>
                <c:pt idx="0">
                  <c:v>3316536.2703367397</c:v>
                </c:pt>
                <c:pt idx="1">
                  <c:v>3303767.9755155379</c:v>
                </c:pt>
                <c:pt idx="2">
                  <c:v>3290088.8117145002</c:v>
                </c:pt>
                <c:pt idx="3">
                  <c:v>3257330.7287203432</c:v>
                </c:pt>
                <c:pt idx="4">
                  <c:v>3205099.7859565997</c:v>
                </c:pt>
                <c:pt idx="5">
                  <c:v>3131991.5974424086</c:v>
                </c:pt>
                <c:pt idx="6">
                  <c:v>3037965.0601686276</c:v>
                </c:pt>
                <c:pt idx="7">
                  <c:v>2917965.5470328722</c:v>
                </c:pt>
                <c:pt idx="8">
                  <c:v>2777392.3226292669</c:v>
                </c:pt>
                <c:pt idx="9">
                  <c:v>2617164.5698089022</c:v>
                </c:pt>
                <c:pt idx="10">
                  <c:v>2438439.4220080171</c:v>
                </c:pt>
                <c:pt idx="11">
                  <c:v>2242137.5943809622</c:v>
                </c:pt>
                <c:pt idx="12">
                  <c:v>2028401.7974179708</c:v>
                </c:pt>
              </c:numCache>
            </c:numRef>
          </c:val>
        </c:ser>
        <c:ser>
          <c:idx val="4"/>
          <c:order val="4"/>
          <c:tx>
            <c:strRef>
              <c:f>'Transition summary'!$G$3</c:f>
              <c:strCache>
                <c:ptCount val="1"/>
                <c:pt idx="0">
                  <c:v>HFC-410A</c:v>
                </c:pt>
              </c:strCache>
            </c:strRef>
          </c:tx>
          <c:cat>
            <c:numRef>
              <c:f>'Transition summary'!$B$5:$B$17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summary'!$G$5:$G$17</c:f>
              <c:numCache>
                <c:formatCode>#,##0</c:formatCode>
                <c:ptCount val="13"/>
                <c:pt idx="0">
                  <c:v>16738630.6196541</c:v>
                </c:pt>
                <c:pt idx="1">
                  <c:v>19065733.456997901</c:v>
                </c:pt>
                <c:pt idx="2">
                  <c:v>21129688.583195996</c:v>
                </c:pt>
                <c:pt idx="3">
                  <c:v>22851924.773219787</c:v>
                </c:pt>
                <c:pt idx="4">
                  <c:v>24118652.031070676</c:v>
                </c:pt>
                <c:pt idx="5">
                  <c:v>24896379.026387099</c:v>
                </c:pt>
                <c:pt idx="6">
                  <c:v>25189266.920305301</c:v>
                </c:pt>
                <c:pt idx="7">
                  <c:v>25032983.083460081</c:v>
                </c:pt>
                <c:pt idx="8">
                  <c:v>24352725.048355009</c:v>
                </c:pt>
                <c:pt idx="9">
                  <c:v>23205227.644230001</c:v>
                </c:pt>
                <c:pt idx="10">
                  <c:v>21635626.154141001</c:v>
                </c:pt>
                <c:pt idx="11">
                  <c:v>19678790.8035332</c:v>
                </c:pt>
                <c:pt idx="12">
                  <c:v>17362278.921354897</c:v>
                </c:pt>
              </c:numCache>
            </c:numRef>
          </c:val>
        </c:ser>
        <c:ser>
          <c:idx val="5"/>
          <c:order val="5"/>
          <c:tx>
            <c:strRef>
              <c:f>'Transition summary'!$H$3</c:f>
              <c:strCache>
                <c:ptCount val="1"/>
                <c:pt idx="0">
                  <c:v>HFC-407C</c:v>
                </c:pt>
              </c:strCache>
            </c:strRef>
          </c:tx>
          <c:cat>
            <c:numRef>
              <c:f>'Transition summary'!$B$5:$B$17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summary'!$H$5:$H$17</c:f>
              <c:numCache>
                <c:formatCode>#,##0</c:formatCode>
                <c:ptCount val="13"/>
                <c:pt idx="0">
                  <c:v>1236266.43393432</c:v>
                </c:pt>
                <c:pt idx="1">
                  <c:v>1262886.3663449711</c:v>
                </c:pt>
                <c:pt idx="2">
                  <c:v>1267084.589170411</c:v>
                </c:pt>
                <c:pt idx="3">
                  <c:v>1195436.0622878</c:v>
                </c:pt>
                <c:pt idx="4">
                  <c:v>1100857.5808850508</c:v>
                </c:pt>
                <c:pt idx="5">
                  <c:v>992912.51481763553</c:v>
                </c:pt>
                <c:pt idx="6">
                  <c:v>882009.60907953186</c:v>
                </c:pt>
                <c:pt idx="7">
                  <c:v>775593.57204739028</c:v>
                </c:pt>
                <c:pt idx="8">
                  <c:v>677055.54417464859</c:v>
                </c:pt>
                <c:pt idx="9">
                  <c:v>586525.84939720342</c:v>
                </c:pt>
                <c:pt idx="10">
                  <c:v>502250.90632317861</c:v>
                </c:pt>
                <c:pt idx="11">
                  <c:v>422270.59586074809</c:v>
                </c:pt>
                <c:pt idx="12">
                  <c:v>346007.69598904002</c:v>
                </c:pt>
              </c:numCache>
            </c:numRef>
          </c:val>
        </c:ser>
        <c:ser>
          <c:idx val="6"/>
          <c:order val="6"/>
          <c:tx>
            <c:strRef>
              <c:f>'Transition summary'!$I$3</c:f>
              <c:strCache>
                <c:ptCount val="1"/>
                <c:pt idx="0">
                  <c:v>HFC-32</c:v>
                </c:pt>
              </c:strCache>
            </c:strRef>
          </c:tx>
          <c:cat>
            <c:numRef>
              <c:f>'Transition summary'!$B$5:$B$17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summary'!$I$5:$I$17</c:f>
              <c:numCache>
                <c:formatCode>#,##0</c:formatCode>
                <c:ptCount val="13"/>
                <c:pt idx="0">
                  <c:v>0</c:v>
                </c:pt>
                <c:pt idx="1">
                  <c:v>0</c:v>
                </c:pt>
                <c:pt idx="2">
                  <c:v>129273.35777546951</c:v>
                </c:pt>
                <c:pt idx="3">
                  <c:v>391182.22592994216</c:v>
                </c:pt>
                <c:pt idx="4">
                  <c:v>789183.62374428706</c:v>
                </c:pt>
                <c:pt idx="5">
                  <c:v>1326828.1874097511</c:v>
                </c:pt>
                <c:pt idx="6">
                  <c:v>2007747.3657839799</c:v>
                </c:pt>
                <c:pt idx="7">
                  <c:v>2835583.0103477552</c:v>
                </c:pt>
                <c:pt idx="8">
                  <c:v>3892078.1078939312</c:v>
                </c:pt>
                <c:pt idx="9">
                  <c:v>5181796.2039525807</c:v>
                </c:pt>
                <c:pt idx="10">
                  <c:v>6706436.4550700001</c:v>
                </c:pt>
                <c:pt idx="11">
                  <c:v>8462229.6623110194</c:v>
                </c:pt>
                <c:pt idx="12">
                  <c:v>10438041.906836888</c:v>
                </c:pt>
              </c:numCache>
            </c:numRef>
          </c:val>
        </c:ser>
        <c:ser>
          <c:idx val="7"/>
          <c:order val="7"/>
          <c:tx>
            <c:strRef>
              <c:f>'Transition summary'!$J$3</c:f>
              <c:strCache>
                <c:ptCount val="1"/>
                <c:pt idx="0">
                  <c:v>HFC-Mix</c:v>
                </c:pt>
              </c:strCache>
            </c:strRef>
          </c:tx>
          <c:cat>
            <c:numRef>
              <c:f>'Transition summary'!$B$5:$B$17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summary'!$J$5:$J$17</c:f>
              <c:numCache>
                <c:formatCode>#,##0</c:formatCode>
                <c:ptCount val="13"/>
                <c:pt idx="0">
                  <c:v>53425.06237420535</c:v>
                </c:pt>
                <c:pt idx="1">
                  <c:v>53047.481069702961</c:v>
                </c:pt>
                <c:pt idx="2">
                  <c:v>51527.729519220309</c:v>
                </c:pt>
                <c:pt idx="3">
                  <c:v>48820.272123331393</c:v>
                </c:pt>
                <c:pt idx="4">
                  <c:v>44878.210682875586</c:v>
                </c:pt>
                <c:pt idx="5">
                  <c:v>40857.331180378838</c:v>
                </c:pt>
                <c:pt idx="6">
                  <c:v>36756.216048491333</c:v>
                </c:pt>
                <c:pt idx="7">
                  <c:v>32574.20495612848</c:v>
                </c:pt>
                <c:pt idx="8">
                  <c:v>28314.063340744171</c:v>
                </c:pt>
                <c:pt idx="9">
                  <c:v>23990.095500209158</c:v>
                </c:pt>
                <c:pt idx="10">
                  <c:v>19645.75446682037</c:v>
                </c:pt>
                <c:pt idx="11">
                  <c:v>15378.542907113671</c:v>
                </c:pt>
                <c:pt idx="12">
                  <c:v>11355.256449977069</c:v>
                </c:pt>
              </c:numCache>
            </c:numRef>
          </c:val>
        </c:ser>
        <c:ser>
          <c:idx val="8"/>
          <c:order val="8"/>
          <c:tx>
            <c:strRef>
              <c:f>'Transition summary'!$K$3</c:f>
              <c:strCache>
                <c:ptCount val="1"/>
                <c:pt idx="0">
                  <c:v>GWP &lt;2150</c:v>
                </c:pt>
              </c:strCache>
            </c:strRef>
          </c:tx>
          <c:cat>
            <c:numRef>
              <c:f>'Transition summary'!$B$5:$B$17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summary'!$K$5:$K$17</c:f>
              <c:numCache>
                <c:formatCode>#,##0</c:formatCode>
                <c:ptCount val="13"/>
                <c:pt idx="0">
                  <c:v>0</c:v>
                </c:pt>
                <c:pt idx="1">
                  <c:v>0</c:v>
                </c:pt>
                <c:pt idx="2">
                  <c:v>0</c:v>
                </c:pt>
                <c:pt idx="3">
                  <c:v>9165.4860364411634</c:v>
                </c:pt>
                <c:pt idx="4">
                  <c:v>27863.077531899016</c:v>
                </c:pt>
                <c:pt idx="5">
                  <c:v>56470.392199363596</c:v>
                </c:pt>
                <c:pt idx="6">
                  <c:v>95376.335895580123</c:v>
                </c:pt>
                <c:pt idx="7">
                  <c:v>144981.36956214707</c:v>
                </c:pt>
                <c:pt idx="8">
                  <c:v>205568.08440942774</c:v>
                </c:pt>
                <c:pt idx="9">
                  <c:v>277553.75893158553</c:v>
                </c:pt>
                <c:pt idx="10">
                  <c:v>361359.16555241361</c:v>
                </c:pt>
                <c:pt idx="11">
                  <c:v>457383.81774265115</c:v>
                </c:pt>
                <c:pt idx="12">
                  <c:v>565938.8868589655</c:v>
                </c:pt>
              </c:numCache>
            </c:numRef>
          </c:val>
        </c:ser>
        <c:ser>
          <c:idx val="9"/>
          <c:order val="9"/>
          <c:tx>
            <c:strRef>
              <c:f>'Transition summary'!$L$3</c:f>
              <c:strCache>
                <c:ptCount val="1"/>
                <c:pt idx="0">
                  <c:v>GWP &lt;1000</c:v>
                </c:pt>
              </c:strCache>
            </c:strRef>
          </c:tx>
          <c:cat>
            <c:numRef>
              <c:f>'Transition summary'!$B$5:$B$17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summary'!$L$5:$L$17</c:f>
              <c:numCache>
                <c:formatCode>#,##0</c:formatCode>
                <c:ptCount val="13"/>
                <c:pt idx="0">
                  <c:v>0</c:v>
                </c:pt>
                <c:pt idx="1">
                  <c:v>0</c:v>
                </c:pt>
                <c:pt idx="2">
                  <c:v>0</c:v>
                </c:pt>
                <c:pt idx="3">
                  <c:v>62540.204647543986</c:v>
                </c:pt>
                <c:pt idx="4">
                  <c:v>189564.69648607579</c:v>
                </c:pt>
                <c:pt idx="5">
                  <c:v>383060.21346105222</c:v>
                </c:pt>
                <c:pt idx="6">
                  <c:v>645056.16913710325</c:v>
                </c:pt>
                <c:pt idx="7">
                  <c:v>977620.71994568687</c:v>
                </c:pt>
                <c:pt idx="8">
                  <c:v>1414300.3729132724</c:v>
                </c:pt>
                <c:pt idx="9">
                  <c:v>1957855.2243692402</c:v>
                </c:pt>
                <c:pt idx="10">
                  <c:v>2610664.8404956353</c:v>
                </c:pt>
                <c:pt idx="11">
                  <c:v>3374008.4227132867</c:v>
                </c:pt>
                <c:pt idx="12">
                  <c:v>4246963.6342632007</c:v>
                </c:pt>
              </c:numCache>
            </c:numRef>
          </c:val>
        </c:ser>
        <c:ser>
          <c:idx val="10"/>
          <c:order val="10"/>
          <c:tx>
            <c:strRef>
              <c:f>'Transition summary'!$M$3</c:f>
              <c:strCache>
                <c:ptCount val="1"/>
                <c:pt idx="0">
                  <c:v>GWP &lt;10</c:v>
                </c:pt>
              </c:strCache>
            </c:strRef>
          </c:tx>
          <c:cat>
            <c:numRef>
              <c:f>'Transition summary'!$B$5:$B$17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summary'!$M$5:$M$17</c:f>
              <c:numCache>
                <c:formatCode>#,##0</c:formatCode>
                <c:ptCount val="13"/>
                <c:pt idx="0">
                  <c:v>989205.88746631145</c:v>
                </c:pt>
                <c:pt idx="1">
                  <c:v>1248092.9726342401</c:v>
                </c:pt>
                <c:pt idx="2">
                  <c:v>1583026.8900284201</c:v>
                </c:pt>
                <c:pt idx="3">
                  <c:v>1996943.3676417004</c:v>
                </c:pt>
                <c:pt idx="4">
                  <c:v>2491504.6537818699</c:v>
                </c:pt>
                <c:pt idx="5">
                  <c:v>3068221.571092071</c:v>
                </c:pt>
                <c:pt idx="6">
                  <c:v>3728428.4833138571</c:v>
                </c:pt>
                <c:pt idx="7">
                  <c:v>4478394.0304590212</c:v>
                </c:pt>
                <c:pt idx="8">
                  <c:v>5422886.8773170924</c:v>
                </c:pt>
                <c:pt idx="9">
                  <c:v>6552212.9457805706</c:v>
                </c:pt>
                <c:pt idx="10">
                  <c:v>7867429.1649761535</c:v>
                </c:pt>
                <c:pt idx="11">
                  <c:v>9368140.3556767702</c:v>
                </c:pt>
                <c:pt idx="12">
                  <c:v>11052325.769974491</c:v>
                </c:pt>
              </c:numCache>
            </c:numRef>
          </c:val>
        </c:ser>
        <c:axId val="41594880"/>
        <c:axId val="41596416"/>
      </c:areaChart>
      <c:catAx>
        <c:axId val="41594880"/>
        <c:scaling>
          <c:orientation val="minMax"/>
        </c:scaling>
        <c:axPos val="b"/>
        <c:numFmt formatCode="General" sourceLinked="1"/>
        <c:tickLblPos val="nextTo"/>
        <c:txPr>
          <a:bodyPr/>
          <a:lstStyle/>
          <a:p>
            <a:pPr>
              <a:defRPr sz="800"/>
            </a:pPr>
            <a:endParaRPr lang="en-US"/>
          </a:p>
        </c:txPr>
        <c:crossAx val="41596416"/>
        <c:crosses val="autoZero"/>
        <c:auto val="1"/>
        <c:lblAlgn val="ctr"/>
        <c:lblOffset val="100"/>
      </c:catAx>
      <c:valAx>
        <c:axId val="41596416"/>
        <c:scaling>
          <c:orientation val="minMax"/>
        </c:scaling>
        <c:axPos val="l"/>
        <c:majorGridlines/>
        <c:numFmt formatCode="#,##0" sourceLinked="1"/>
        <c:tickLblPos val="nextTo"/>
        <c:txPr>
          <a:bodyPr/>
          <a:lstStyle/>
          <a:p>
            <a:pPr>
              <a:defRPr sz="800"/>
            </a:pPr>
            <a:endParaRPr lang="en-US"/>
          </a:p>
        </c:txPr>
        <c:crossAx val="41594880"/>
        <c:crosses val="autoZero"/>
        <c:crossBetween val="midCat"/>
        <c:dispUnits>
          <c:builtInUnit val="thousands"/>
        </c:dispUnits>
      </c:valAx>
    </c:plotArea>
    <c:legend>
      <c:legendPos val="r"/>
      <c:txPr>
        <a:bodyPr/>
        <a:lstStyle/>
        <a:p>
          <a:pPr>
            <a:defRPr sz="800"/>
          </a:pPr>
          <a:endParaRPr lang="en-US"/>
        </a:p>
      </c:txPr>
    </c:legend>
    <c:plotVisOnly val="1"/>
    <c:dispBlanksAs val="zero"/>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AU"/>
  <c:style val="18"/>
  <c:chart>
    <c:plotArea>
      <c:layout/>
      <c:areaChart>
        <c:grouping val="stacked"/>
        <c:ser>
          <c:idx val="0"/>
          <c:order val="0"/>
          <c:tx>
            <c:strRef>
              <c:f>'Transition summary'!$CI$3</c:f>
              <c:strCache>
                <c:ptCount val="1"/>
                <c:pt idx="0">
                  <c:v>HCFC-22</c:v>
                </c:pt>
              </c:strCache>
            </c:strRef>
          </c:tx>
          <c:spPr>
            <a:solidFill>
              <a:srgbClr val="FF0000"/>
            </a:solidFill>
          </c:spPr>
          <c:cat>
            <c:numRef>
              <c:f>'Transition summary'!$B$5:$B$17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summary'!$CI$5:$CI$17</c:f>
              <c:numCache>
                <c:formatCode>#,##0.00</c:formatCode>
                <c:ptCount val="13"/>
                <c:pt idx="0">
                  <c:v>17.301515386846841</c:v>
                </c:pt>
                <c:pt idx="1">
                  <c:v>14.794808132165018</c:v>
                </c:pt>
                <c:pt idx="2">
                  <c:v>12.139771748024447</c:v>
                </c:pt>
                <c:pt idx="3">
                  <c:v>9.528890647501548</c:v>
                </c:pt>
                <c:pt idx="4">
                  <c:v>7.1590387823491417</c:v>
                </c:pt>
                <c:pt idx="5">
                  <c:v>5.1719351828648463</c:v>
                </c:pt>
                <c:pt idx="6">
                  <c:v>3.6229298387436248</c:v>
                </c:pt>
                <c:pt idx="7">
                  <c:v>2.4877627787719798</c:v>
                </c:pt>
                <c:pt idx="8">
                  <c:v>1.6928483265914429</c:v>
                </c:pt>
                <c:pt idx="9">
                  <c:v>1.1483706093311541</c:v>
                </c:pt>
                <c:pt idx="10">
                  <c:v>0.77287982322217774</c:v>
                </c:pt>
                <c:pt idx="11">
                  <c:v>0.50696342292386898</c:v>
                </c:pt>
                <c:pt idx="12">
                  <c:v>0.3156922642875894</c:v>
                </c:pt>
              </c:numCache>
            </c:numRef>
          </c:val>
        </c:ser>
        <c:ser>
          <c:idx val="1"/>
          <c:order val="1"/>
          <c:tx>
            <c:strRef>
              <c:f>'Transition summary'!$CJ$3</c:f>
              <c:strCache>
                <c:ptCount val="1"/>
                <c:pt idx="0">
                  <c:v>HCFC-123</c:v>
                </c:pt>
              </c:strCache>
            </c:strRef>
          </c:tx>
          <c:cat>
            <c:numRef>
              <c:f>'Transition summary'!$B$5:$B$17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summary'!$CJ$5:$CJ$17</c:f>
              <c:numCache>
                <c:formatCode>#,##0.00</c:formatCode>
                <c:ptCount val="13"/>
                <c:pt idx="0">
                  <c:v>1.2311984106204998E-2</c:v>
                </c:pt>
                <c:pt idx="1">
                  <c:v>1.1707415935861118E-2</c:v>
                </c:pt>
                <c:pt idx="2">
                  <c:v>1.1091285251657416E-2</c:v>
                </c:pt>
                <c:pt idx="3">
                  <c:v>1.0465273724963801E-2</c:v>
                </c:pt>
                <c:pt idx="4">
                  <c:v>9.8299551156295246E-3</c:v>
                </c:pt>
                <c:pt idx="5">
                  <c:v>9.1857043687824588E-3</c:v>
                </c:pt>
                <c:pt idx="6">
                  <c:v>8.5329790103750667E-3</c:v>
                </c:pt>
                <c:pt idx="7">
                  <c:v>7.8723191481706901E-3</c:v>
                </c:pt>
                <c:pt idx="8">
                  <c:v>7.2042262773647824E-3</c:v>
                </c:pt>
                <c:pt idx="9">
                  <c:v>6.5290522284040123E-3</c:v>
                </c:pt>
                <c:pt idx="10">
                  <c:v>5.8469834395752937E-3</c:v>
                </c:pt>
                <c:pt idx="11">
                  <c:v>5.1581542897924096E-3</c:v>
                </c:pt>
                <c:pt idx="12">
                  <c:v>4.463016283792357E-3</c:v>
                </c:pt>
              </c:numCache>
            </c:numRef>
          </c:val>
        </c:ser>
        <c:ser>
          <c:idx val="2"/>
          <c:order val="2"/>
          <c:tx>
            <c:strRef>
              <c:f>'Transition summary'!$CK$3</c:f>
              <c:strCache>
                <c:ptCount val="1"/>
                <c:pt idx="0">
                  <c:v>HCF-134a</c:v>
                </c:pt>
              </c:strCache>
            </c:strRef>
          </c:tx>
          <c:cat>
            <c:numRef>
              <c:f>'Transition summary'!$B$5:$B$17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summary'!$CK$5:$CK$17</c:f>
              <c:numCache>
                <c:formatCode>#,##0.00</c:formatCode>
                <c:ptCount val="13"/>
                <c:pt idx="0">
                  <c:v>20.602069972138199</c:v>
                </c:pt>
                <c:pt idx="1">
                  <c:v>21.062779055871406</c:v>
                </c:pt>
                <c:pt idx="2">
                  <c:v>21.40287676715992</c:v>
                </c:pt>
                <c:pt idx="3">
                  <c:v>21.61073160361391</c:v>
                </c:pt>
                <c:pt idx="4">
                  <c:v>21.682230638667711</c:v>
                </c:pt>
                <c:pt idx="5">
                  <c:v>21.61810743493475</c:v>
                </c:pt>
                <c:pt idx="6">
                  <c:v>21.422076158571208</c:v>
                </c:pt>
                <c:pt idx="7">
                  <c:v>21.098536172354699</c:v>
                </c:pt>
                <c:pt idx="8">
                  <c:v>20.521753620208582</c:v>
                </c:pt>
                <c:pt idx="9">
                  <c:v>19.701314205156187</c:v>
                </c:pt>
                <c:pt idx="10">
                  <c:v>18.630034473676961</c:v>
                </c:pt>
                <c:pt idx="11">
                  <c:v>17.29667441427744</c:v>
                </c:pt>
                <c:pt idx="12">
                  <c:v>15.69412697618022</c:v>
                </c:pt>
              </c:numCache>
            </c:numRef>
          </c:val>
        </c:ser>
        <c:ser>
          <c:idx val="3"/>
          <c:order val="3"/>
          <c:tx>
            <c:strRef>
              <c:f>'Transition summary'!$CL$3</c:f>
              <c:strCache>
                <c:ptCount val="1"/>
                <c:pt idx="0">
                  <c:v>HCF-404A</c:v>
                </c:pt>
              </c:strCache>
            </c:strRef>
          </c:tx>
          <c:cat>
            <c:numRef>
              <c:f>'Transition summary'!$B$5:$B$17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summary'!$CL$5:$CL$17</c:f>
              <c:numCache>
                <c:formatCode>#,##0.00</c:formatCode>
                <c:ptCount val="13"/>
                <c:pt idx="0">
                  <c:v>13.007455252260726</c:v>
                </c:pt>
                <c:pt idx="1">
                  <c:v>12.95737799997195</c:v>
                </c:pt>
                <c:pt idx="2">
                  <c:v>12.90372831954431</c:v>
                </c:pt>
                <c:pt idx="3">
                  <c:v>12.775251118041178</c:v>
                </c:pt>
                <c:pt idx="4">
                  <c:v>12.570401360521799</c:v>
                </c:pt>
                <c:pt idx="5">
                  <c:v>12.283671045169118</c:v>
                </c:pt>
                <c:pt idx="6">
                  <c:v>11.914898965981378</c:v>
                </c:pt>
                <c:pt idx="7">
                  <c:v>11.444260875462858</c:v>
                </c:pt>
                <c:pt idx="8">
                  <c:v>10.892932689352024</c:v>
                </c:pt>
                <c:pt idx="9">
                  <c:v>10.264519442790448</c:v>
                </c:pt>
                <c:pt idx="10">
                  <c:v>9.5635594131154722</c:v>
                </c:pt>
                <c:pt idx="11">
                  <c:v>8.793663645162118</c:v>
                </c:pt>
                <c:pt idx="12">
                  <c:v>7.9553918494732816</c:v>
                </c:pt>
              </c:numCache>
            </c:numRef>
          </c:val>
        </c:ser>
        <c:ser>
          <c:idx val="4"/>
          <c:order val="4"/>
          <c:tx>
            <c:strRef>
              <c:f>'Transition summary'!$CM$3</c:f>
              <c:strCache>
                <c:ptCount val="1"/>
                <c:pt idx="0">
                  <c:v>HFC-410A</c:v>
                </c:pt>
              </c:strCache>
            </c:strRef>
          </c:tx>
          <c:cat>
            <c:numRef>
              <c:f>'Transition summary'!$B$5:$B$17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summary'!$CM$5:$CM$17</c:f>
              <c:numCache>
                <c:formatCode>#,##0.00</c:formatCode>
                <c:ptCount val="13"/>
                <c:pt idx="0">
                  <c:v>34.950260733837752</c:v>
                </c:pt>
                <c:pt idx="1">
                  <c:v>39.809251458211172</c:v>
                </c:pt>
                <c:pt idx="2">
                  <c:v>44.11878976171274</c:v>
                </c:pt>
                <c:pt idx="3">
                  <c:v>47.714818926483062</c:v>
                </c:pt>
                <c:pt idx="4">
                  <c:v>50.359745440875528</c:v>
                </c:pt>
                <c:pt idx="5">
                  <c:v>51.983639407095993</c:v>
                </c:pt>
                <c:pt idx="6">
                  <c:v>52.595189329597432</c:v>
                </c:pt>
                <c:pt idx="7">
                  <c:v>52.268868678264646</c:v>
                </c:pt>
                <c:pt idx="8">
                  <c:v>50.848489900965141</c:v>
                </c:pt>
                <c:pt idx="9">
                  <c:v>48.452515321152063</c:v>
                </c:pt>
                <c:pt idx="10">
                  <c:v>45.175187409845975</c:v>
                </c:pt>
                <c:pt idx="11">
                  <c:v>41.089315197777331</c:v>
                </c:pt>
                <c:pt idx="12">
                  <c:v>36.252438387789113</c:v>
                </c:pt>
              </c:numCache>
            </c:numRef>
          </c:val>
        </c:ser>
        <c:ser>
          <c:idx val="5"/>
          <c:order val="5"/>
          <c:tx>
            <c:strRef>
              <c:f>'Transition summary'!$CN$3</c:f>
              <c:strCache>
                <c:ptCount val="1"/>
                <c:pt idx="0">
                  <c:v>HFC-407C</c:v>
                </c:pt>
              </c:strCache>
            </c:strRef>
          </c:tx>
          <c:cat>
            <c:numRef>
              <c:f>'Transition summary'!$B$5:$B$17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summary'!$CN$5:$CN$17</c:f>
              <c:numCache>
                <c:formatCode>#,##0.00</c:formatCode>
                <c:ptCount val="13"/>
                <c:pt idx="0">
                  <c:v>2.1931366537994812</c:v>
                </c:pt>
                <c:pt idx="1">
                  <c:v>2.2403604138959752</c:v>
                </c:pt>
                <c:pt idx="2">
                  <c:v>2.2478080611883082</c:v>
                </c:pt>
                <c:pt idx="3">
                  <c:v>2.1207035744985512</c:v>
                </c:pt>
                <c:pt idx="4">
                  <c:v>1.9529213484900778</c:v>
                </c:pt>
                <c:pt idx="5">
                  <c:v>1.7614268012864838</c:v>
                </c:pt>
                <c:pt idx="6">
                  <c:v>1.5646850465070901</c:v>
                </c:pt>
                <c:pt idx="7">
                  <c:v>1.3759029968120711</c:v>
                </c:pt>
                <c:pt idx="8">
                  <c:v>1.2010965353658258</c:v>
                </c:pt>
                <c:pt idx="9">
                  <c:v>1.0404968568306379</c:v>
                </c:pt>
                <c:pt idx="10">
                  <c:v>0.89099310781731633</c:v>
                </c:pt>
                <c:pt idx="11">
                  <c:v>0.74910803705696805</c:v>
                </c:pt>
                <c:pt idx="12">
                  <c:v>0.61381765268456046</c:v>
                </c:pt>
              </c:numCache>
            </c:numRef>
          </c:val>
        </c:ser>
        <c:ser>
          <c:idx val="6"/>
          <c:order val="6"/>
          <c:tx>
            <c:strRef>
              <c:f>'Transition summary'!$CO$3</c:f>
              <c:strCache>
                <c:ptCount val="1"/>
                <c:pt idx="0">
                  <c:v>HFC-32</c:v>
                </c:pt>
              </c:strCache>
            </c:strRef>
          </c:tx>
          <c:cat>
            <c:numRef>
              <c:f>'Transition summary'!$B$5:$B$17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summary'!$CO$5:$CO$17</c:f>
              <c:numCache>
                <c:formatCode>#,##0.00</c:formatCode>
                <c:ptCount val="13"/>
                <c:pt idx="0">
                  <c:v>0</c:v>
                </c:pt>
                <c:pt idx="1">
                  <c:v>0</c:v>
                </c:pt>
                <c:pt idx="2">
                  <c:v>8.7259516498442227E-2</c:v>
                </c:pt>
                <c:pt idx="3">
                  <c:v>0.26404800250271099</c:v>
                </c:pt>
                <c:pt idx="4">
                  <c:v>0.53269894602739565</c:v>
                </c:pt>
                <c:pt idx="5">
                  <c:v>0.89560902650158747</c:v>
                </c:pt>
                <c:pt idx="6">
                  <c:v>1.3552294719041846</c:v>
                </c:pt>
                <c:pt idx="7">
                  <c:v>1.9140185319847529</c:v>
                </c:pt>
                <c:pt idx="8">
                  <c:v>2.6271527228284097</c:v>
                </c:pt>
                <c:pt idx="9">
                  <c:v>3.4977124376679942</c:v>
                </c:pt>
                <c:pt idx="10">
                  <c:v>4.5268446071722446</c:v>
                </c:pt>
                <c:pt idx="11">
                  <c:v>5.7120050220599357</c:v>
                </c:pt>
                <c:pt idx="12">
                  <c:v>7.0456782871149324</c:v>
                </c:pt>
              </c:numCache>
            </c:numRef>
          </c:val>
        </c:ser>
        <c:ser>
          <c:idx val="7"/>
          <c:order val="7"/>
          <c:tx>
            <c:strRef>
              <c:f>'Transition summary'!$CP$3</c:f>
              <c:strCache>
                <c:ptCount val="1"/>
                <c:pt idx="0">
                  <c:v>HFC-Mix</c:v>
                </c:pt>
              </c:strCache>
            </c:strRef>
          </c:tx>
          <c:cat>
            <c:numRef>
              <c:f>'Transition summary'!$B$5:$B$17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summary'!$CP$5:$CP$17</c:f>
              <c:numCache>
                <c:formatCode>#,##0.00</c:formatCode>
                <c:ptCount val="13"/>
                <c:pt idx="0">
                  <c:v>0.17202870084494101</c:v>
                </c:pt>
                <c:pt idx="1">
                  <c:v>0.17081288904444417</c:v>
                </c:pt>
                <c:pt idx="2">
                  <c:v>0.16591928905189046</c:v>
                </c:pt>
                <c:pt idx="3">
                  <c:v>0.15720127623712826</c:v>
                </c:pt>
                <c:pt idx="4">
                  <c:v>0.14450783839886017</c:v>
                </c:pt>
                <c:pt idx="5">
                  <c:v>0.13156060640082001</c:v>
                </c:pt>
                <c:pt idx="6">
                  <c:v>0.118355015676142</c:v>
                </c:pt>
                <c:pt idx="7">
                  <c:v>0.104888939958734</c:v>
                </c:pt>
                <c:pt idx="8">
                  <c:v>9.1171283957196203E-2</c:v>
                </c:pt>
                <c:pt idx="9">
                  <c:v>7.72481075106735E-2</c:v>
                </c:pt>
                <c:pt idx="10">
                  <c:v>6.3259329383161686E-2</c:v>
                </c:pt>
                <c:pt idx="11">
                  <c:v>4.9518908160905921E-2</c:v>
                </c:pt>
                <c:pt idx="12">
                  <c:v>3.656392576892635E-2</c:v>
                </c:pt>
              </c:numCache>
            </c:numRef>
          </c:val>
        </c:ser>
        <c:ser>
          <c:idx val="8"/>
          <c:order val="8"/>
          <c:tx>
            <c:strRef>
              <c:f>'Transition summary'!$CQ$3</c:f>
              <c:strCache>
                <c:ptCount val="1"/>
                <c:pt idx="0">
                  <c:v>GWP &lt;2150</c:v>
                </c:pt>
              </c:strCache>
            </c:strRef>
          </c:tx>
          <c:cat>
            <c:numRef>
              <c:f>'Transition summary'!$B$5:$B$17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summary'!$CQ$5:$CQ$17</c:f>
              <c:numCache>
                <c:formatCode>#,##0.00</c:formatCode>
                <c:ptCount val="13"/>
                <c:pt idx="0">
                  <c:v>0</c:v>
                </c:pt>
                <c:pt idx="1">
                  <c:v>0</c:v>
                </c:pt>
                <c:pt idx="2">
                  <c:v>0</c:v>
                </c:pt>
                <c:pt idx="3">
                  <c:v>1.3748229054661816E-2</c:v>
                </c:pt>
                <c:pt idx="4">
                  <c:v>4.1794616297848808E-2</c:v>
                </c:pt>
                <c:pt idx="5">
                  <c:v>8.4705588299045689E-2</c:v>
                </c:pt>
                <c:pt idx="6">
                  <c:v>0.14306450384337016</c:v>
                </c:pt>
                <c:pt idx="7">
                  <c:v>0.21747205434322317</c:v>
                </c:pt>
                <c:pt idx="8">
                  <c:v>0.30835212661414346</c:v>
                </c:pt>
                <c:pt idx="9">
                  <c:v>0.41633063839737933</c:v>
                </c:pt>
                <c:pt idx="10">
                  <c:v>0.54203874832861998</c:v>
                </c:pt>
                <c:pt idx="11">
                  <c:v>0.68607572661398009</c:v>
                </c:pt>
                <c:pt idx="12">
                  <c:v>0.84890833028845092</c:v>
                </c:pt>
              </c:numCache>
            </c:numRef>
          </c:val>
        </c:ser>
        <c:ser>
          <c:idx val="9"/>
          <c:order val="9"/>
          <c:tx>
            <c:strRef>
              <c:f>'Transition summary'!$CR$3</c:f>
              <c:strCache>
                <c:ptCount val="1"/>
                <c:pt idx="0">
                  <c:v>GWP &lt;1000</c:v>
                </c:pt>
              </c:strCache>
            </c:strRef>
          </c:tx>
          <c:cat>
            <c:numRef>
              <c:f>'Transition summary'!$B$5:$B$17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summary'!$CR$5:$CR$17</c:f>
              <c:numCache>
                <c:formatCode>#,##0.00</c:formatCode>
                <c:ptCount val="13"/>
                <c:pt idx="0">
                  <c:v>0</c:v>
                </c:pt>
                <c:pt idx="1">
                  <c:v>0</c:v>
                </c:pt>
                <c:pt idx="2">
                  <c:v>0</c:v>
                </c:pt>
                <c:pt idx="3">
                  <c:v>3.1270102323772156E-2</c:v>
                </c:pt>
                <c:pt idx="4">
                  <c:v>9.4782348243038245E-2</c:v>
                </c:pt>
                <c:pt idx="5">
                  <c:v>0.19153010673052601</c:v>
                </c:pt>
                <c:pt idx="6">
                  <c:v>0.32252808456855347</c:v>
                </c:pt>
                <c:pt idx="7">
                  <c:v>0.488810359972847</c:v>
                </c:pt>
                <c:pt idx="8">
                  <c:v>0.70715018645663197</c:v>
                </c:pt>
                <c:pt idx="9">
                  <c:v>0.97892761218462221</c:v>
                </c:pt>
                <c:pt idx="10">
                  <c:v>1.3053324202478231</c:v>
                </c:pt>
                <c:pt idx="11">
                  <c:v>1.6870042113566479</c:v>
                </c:pt>
                <c:pt idx="12">
                  <c:v>2.1234818171316099</c:v>
                </c:pt>
              </c:numCache>
            </c:numRef>
          </c:val>
        </c:ser>
        <c:ser>
          <c:idx val="10"/>
          <c:order val="10"/>
          <c:tx>
            <c:strRef>
              <c:f>'Transition summary'!$CS$3</c:f>
              <c:strCache>
                <c:ptCount val="1"/>
                <c:pt idx="0">
                  <c:v>GWP &lt;10</c:v>
                </c:pt>
              </c:strCache>
            </c:strRef>
          </c:tx>
          <c:cat>
            <c:numRef>
              <c:f>'Transition summary'!$B$5:$B$17</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summary'!$CS$5:$CS$17</c:f>
              <c:numCache>
                <c:formatCode>#,##0.00</c:formatCode>
                <c:ptCount val="13"/>
                <c:pt idx="0">
                  <c:v>3.9568235498652401E-3</c:v>
                </c:pt>
                <c:pt idx="1">
                  <c:v>4.992371890536953E-3</c:v>
                </c:pt>
                <c:pt idx="2">
                  <c:v>6.3321075601136924E-3</c:v>
                </c:pt>
                <c:pt idx="3">
                  <c:v>7.9877734705667922E-3</c:v>
                </c:pt>
                <c:pt idx="4">
                  <c:v>9.966018615127515E-3</c:v>
                </c:pt>
                <c:pt idx="5">
                  <c:v>1.2272886284368303E-2</c:v>
                </c:pt>
                <c:pt idx="6">
                  <c:v>1.4913713933255399E-2</c:v>
                </c:pt>
                <c:pt idx="7">
                  <c:v>1.7913576121836111E-2</c:v>
                </c:pt>
                <c:pt idx="8">
                  <c:v>2.1691547509268549E-2</c:v>
                </c:pt>
                <c:pt idx="9">
                  <c:v>2.6208851783122402E-2</c:v>
                </c:pt>
                <c:pt idx="10">
                  <c:v>3.1469716659904841E-2</c:v>
                </c:pt>
                <c:pt idx="11">
                  <c:v>3.7472561422707044E-2</c:v>
                </c:pt>
                <c:pt idx="12">
                  <c:v>4.4209303079897885E-2</c:v>
                </c:pt>
              </c:numCache>
            </c:numRef>
          </c:val>
        </c:ser>
        <c:axId val="41530880"/>
        <c:axId val="41532416"/>
      </c:areaChart>
      <c:catAx>
        <c:axId val="41530880"/>
        <c:scaling>
          <c:orientation val="minMax"/>
        </c:scaling>
        <c:axPos val="b"/>
        <c:numFmt formatCode="General" sourceLinked="1"/>
        <c:tickLblPos val="nextTo"/>
        <c:txPr>
          <a:bodyPr/>
          <a:lstStyle/>
          <a:p>
            <a:pPr>
              <a:defRPr sz="800"/>
            </a:pPr>
            <a:endParaRPr lang="en-US"/>
          </a:p>
        </c:txPr>
        <c:crossAx val="41532416"/>
        <c:crosses val="autoZero"/>
        <c:auto val="1"/>
        <c:lblAlgn val="ctr"/>
        <c:lblOffset val="100"/>
      </c:catAx>
      <c:valAx>
        <c:axId val="41532416"/>
        <c:scaling>
          <c:orientation val="minMax"/>
        </c:scaling>
        <c:axPos val="l"/>
        <c:majorGridlines/>
        <c:numFmt formatCode="#,##0.00" sourceLinked="1"/>
        <c:tickLblPos val="nextTo"/>
        <c:txPr>
          <a:bodyPr/>
          <a:lstStyle/>
          <a:p>
            <a:pPr>
              <a:defRPr sz="800"/>
            </a:pPr>
            <a:endParaRPr lang="en-US"/>
          </a:p>
        </c:txPr>
        <c:crossAx val="41530880"/>
        <c:crosses val="autoZero"/>
        <c:crossBetween val="midCat"/>
      </c:valAx>
    </c:plotArea>
    <c:legend>
      <c:legendPos val="r"/>
      <c:txPr>
        <a:bodyPr/>
        <a:lstStyle/>
        <a:p>
          <a:pPr>
            <a:defRPr sz="800"/>
          </a:pPr>
          <a:endParaRPr lang="en-US"/>
        </a:p>
      </c:txPr>
    </c:legend>
    <c:plotVisOnly val="1"/>
    <c:dispBlanksAs val="zero"/>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AU"/>
  <c:style val="18"/>
  <c:chart>
    <c:plotArea>
      <c:layout/>
      <c:areaChart>
        <c:grouping val="stacked"/>
        <c:ser>
          <c:idx val="0"/>
          <c:order val="0"/>
          <c:tx>
            <c:strRef>
              <c:f>'Transition summary'!$C$3</c:f>
              <c:strCache>
                <c:ptCount val="1"/>
                <c:pt idx="0">
                  <c:v>HCFC-22</c:v>
                </c:pt>
              </c:strCache>
            </c:strRef>
          </c:tx>
          <c:spPr>
            <a:solidFill>
              <a:srgbClr val="FF0000"/>
            </a:solidFill>
          </c:spPr>
          <c:cat>
            <c:numRef>
              <c:f>'Transition summary'!$B$22:$B$34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summary'!$C$22:$C$34</c:f>
              <c:numCache>
                <c:formatCode>#,##0</c:formatCode>
                <c:ptCount val="13"/>
                <c:pt idx="0">
                  <c:v>697682.23543556978</c:v>
                </c:pt>
                <c:pt idx="1">
                  <c:v>598491.38640445145</c:v>
                </c:pt>
                <c:pt idx="2">
                  <c:v>492361.93388145586</c:v>
                </c:pt>
                <c:pt idx="3">
                  <c:v>387145.27865973517</c:v>
                </c:pt>
                <c:pt idx="4">
                  <c:v>291244.4486153592</c:v>
                </c:pt>
                <c:pt idx="5">
                  <c:v>210881.00157213112</c:v>
                </c:pt>
                <c:pt idx="6">
                  <c:v>148480.33444315573</c:v>
                </c:pt>
                <c:pt idx="7">
                  <c:v>102889.96747534539</c:v>
                </c:pt>
                <c:pt idx="8">
                  <c:v>70843.334932498823</c:v>
                </c:pt>
                <c:pt idx="9">
                  <c:v>48557.160570116626</c:v>
                </c:pt>
                <c:pt idx="10">
                  <c:v>32799.357723211586</c:v>
                </c:pt>
                <c:pt idx="11">
                  <c:v>21359.12910362412</c:v>
                </c:pt>
                <c:pt idx="12">
                  <c:v>13030.351915913343</c:v>
                </c:pt>
              </c:numCache>
            </c:numRef>
          </c:val>
        </c:ser>
        <c:ser>
          <c:idx val="1"/>
          <c:order val="1"/>
          <c:tx>
            <c:strRef>
              <c:f>'Transition summary'!$D$3</c:f>
              <c:strCache>
                <c:ptCount val="1"/>
                <c:pt idx="0">
                  <c:v>HCFC-123</c:v>
                </c:pt>
              </c:strCache>
            </c:strRef>
          </c:tx>
          <c:cat>
            <c:numRef>
              <c:f>'Transition summary'!$B$22:$B$34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summary'!$D$22:$D$34</c:f>
              <c:numCache>
                <c:formatCode>#,##0</c:formatCode>
                <c:ptCount val="13"/>
                <c:pt idx="0">
                  <c:v>16598.958974831818</c:v>
                </c:pt>
                <c:pt idx="1">
                  <c:v>16520.4436280339</c:v>
                </c:pt>
                <c:pt idx="2">
                  <c:v>1440.4266560594021</c:v>
                </c:pt>
                <c:pt idx="3">
                  <c:v>1359.1264577875081</c:v>
                </c:pt>
                <c:pt idx="4">
                  <c:v>1276.6175474843521</c:v>
                </c:pt>
                <c:pt idx="5">
                  <c:v>1192.9486193223931</c:v>
                </c:pt>
                <c:pt idx="6">
                  <c:v>1108.1790922564949</c:v>
                </c:pt>
                <c:pt idx="7">
                  <c:v>1022.3791101520329</c:v>
                </c:pt>
                <c:pt idx="8">
                  <c:v>935.61380225516916</c:v>
                </c:pt>
                <c:pt idx="9">
                  <c:v>847.92886083169014</c:v>
                </c:pt>
                <c:pt idx="10">
                  <c:v>759.34849864614353</c:v>
                </c:pt>
                <c:pt idx="11">
                  <c:v>669.89016750550786</c:v>
                </c:pt>
                <c:pt idx="12">
                  <c:v>579.61250438861396</c:v>
                </c:pt>
              </c:numCache>
            </c:numRef>
          </c:val>
        </c:ser>
        <c:ser>
          <c:idx val="2"/>
          <c:order val="2"/>
          <c:tx>
            <c:strRef>
              <c:f>'Transition summary'!$E$3</c:f>
              <c:strCache>
                <c:ptCount val="1"/>
                <c:pt idx="0">
                  <c:v>HFC-134a</c:v>
                </c:pt>
              </c:strCache>
            </c:strRef>
          </c:tx>
          <c:cat>
            <c:numRef>
              <c:f>'Transition summary'!$B$22:$B$34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summary'!$E$22:$E$34</c:f>
              <c:numCache>
                <c:formatCode>#,##0</c:formatCode>
                <c:ptCount val="13"/>
                <c:pt idx="0">
                  <c:v>1725688.5789138712</c:v>
                </c:pt>
                <c:pt idx="1">
                  <c:v>1681089.6414206601</c:v>
                </c:pt>
                <c:pt idx="2">
                  <c:v>1658483.0351850502</c:v>
                </c:pt>
                <c:pt idx="3">
                  <c:v>1606580.714621139</c:v>
                </c:pt>
                <c:pt idx="4">
                  <c:v>1558924.4224817499</c:v>
                </c:pt>
                <c:pt idx="5">
                  <c:v>1495356.5566540598</c:v>
                </c:pt>
                <c:pt idx="6">
                  <c:v>1438207.5520343501</c:v>
                </c:pt>
                <c:pt idx="7">
                  <c:v>1375440.0399034712</c:v>
                </c:pt>
                <c:pt idx="8">
                  <c:v>1299606.653734281</c:v>
                </c:pt>
                <c:pt idx="9">
                  <c:v>1211263.7305837099</c:v>
                </c:pt>
                <c:pt idx="10">
                  <c:v>1110609.4513821988</c:v>
                </c:pt>
                <c:pt idx="11">
                  <c:v>997595.66843596904</c:v>
                </c:pt>
                <c:pt idx="12">
                  <c:v>872889.58980947186</c:v>
                </c:pt>
              </c:numCache>
            </c:numRef>
          </c:val>
        </c:ser>
        <c:ser>
          <c:idx val="3"/>
          <c:order val="3"/>
          <c:tx>
            <c:strRef>
              <c:f>'Transition summary'!$F$3</c:f>
              <c:strCache>
                <c:ptCount val="1"/>
                <c:pt idx="0">
                  <c:v>HFC-404A</c:v>
                </c:pt>
              </c:strCache>
            </c:strRef>
          </c:tx>
          <c:cat>
            <c:numRef>
              <c:f>'Transition summary'!$B$22:$B$34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summary'!$F$22:$F$34</c:f>
              <c:numCache>
                <c:formatCode>#,##0</c:formatCode>
                <c:ptCount val="13"/>
                <c:pt idx="0">
                  <c:v>647172.7214771735</c:v>
                </c:pt>
                <c:pt idx="1">
                  <c:v>646327.92514510383</c:v>
                </c:pt>
                <c:pt idx="2">
                  <c:v>606870.32839994645</c:v>
                </c:pt>
                <c:pt idx="3">
                  <c:v>584587.0427560691</c:v>
                </c:pt>
                <c:pt idx="4">
                  <c:v>560087.67629955767</c:v>
                </c:pt>
                <c:pt idx="5">
                  <c:v>533226.68086966826</c:v>
                </c:pt>
                <c:pt idx="6">
                  <c:v>504015.44988395722</c:v>
                </c:pt>
                <c:pt idx="7">
                  <c:v>471698.14700353419</c:v>
                </c:pt>
                <c:pt idx="8">
                  <c:v>436929.04091743659</c:v>
                </c:pt>
                <c:pt idx="9">
                  <c:v>399783.24693673081</c:v>
                </c:pt>
                <c:pt idx="10">
                  <c:v>360360.08144644811</c:v>
                </c:pt>
                <c:pt idx="11">
                  <c:v>318733.59245515539</c:v>
                </c:pt>
                <c:pt idx="12">
                  <c:v>274895.61293011176</c:v>
                </c:pt>
              </c:numCache>
            </c:numRef>
          </c:val>
        </c:ser>
        <c:ser>
          <c:idx val="4"/>
          <c:order val="4"/>
          <c:tx>
            <c:strRef>
              <c:f>'Transition summary'!$G$3</c:f>
              <c:strCache>
                <c:ptCount val="1"/>
                <c:pt idx="0">
                  <c:v>HFC-410A</c:v>
                </c:pt>
              </c:strCache>
            </c:strRef>
          </c:tx>
          <c:cat>
            <c:numRef>
              <c:f>'Transition summary'!$B$22:$B$34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summary'!$G$22:$G$34</c:f>
              <c:numCache>
                <c:formatCode>#,##0</c:formatCode>
                <c:ptCount val="13"/>
                <c:pt idx="0">
                  <c:v>657405.64800576365</c:v>
                </c:pt>
                <c:pt idx="1">
                  <c:v>729238.86694020242</c:v>
                </c:pt>
                <c:pt idx="2">
                  <c:v>796261.14123219845</c:v>
                </c:pt>
                <c:pt idx="3">
                  <c:v>844428.76536698802</c:v>
                </c:pt>
                <c:pt idx="4">
                  <c:v>873922.05721060641</c:v>
                </c:pt>
                <c:pt idx="5">
                  <c:v>881332.89339040325</c:v>
                </c:pt>
                <c:pt idx="6">
                  <c:v>872743.84237392375</c:v>
                </c:pt>
                <c:pt idx="7">
                  <c:v>849799.31314421864</c:v>
                </c:pt>
                <c:pt idx="8">
                  <c:v>810615.70696791413</c:v>
                </c:pt>
                <c:pt idx="9">
                  <c:v>757129.23228120571</c:v>
                </c:pt>
                <c:pt idx="10">
                  <c:v>690817.15464850876</c:v>
                </c:pt>
                <c:pt idx="11">
                  <c:v>612812.31688542769</c:v>
                </c:pt>
                <c:pt idx="12">
                  <c:v>524133.40928081842</c:v>
                </c:pt>
              </c:numCache>
            </c:numRef>
          </c:val>
        </c:ser>
        <c:ser>
          <c:idx val="5"/>
          <c:order val="5"/>
          <c:tx>
            <c:strRef>
              <c:f>'Transition summary'!$H$3</c:f>
              <c:strCache>
                <c:ptCount val="1"/>
                <c:pt idx="0">
                  <c:v>HFC-407C</c:v>
                </c:pt>
              </c:strCache>
            </c:strRef>
          </c:tx>
          <c:cat>
            <c:numRef>
              <c:f>'Transition summary'!$B$22:$B$34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summary'!$H$22:$H$34</c:f>
              <c:numCache>
                <c:formatCode>#,##0</c:formatCode>
                <c:ptCount val="13"/>
                <c:pt idx="0">
                  <c:v>128627.65806702162</c:v>
                </c:pt>
                <c:pt idx="1">
                  <c:v>130084.15258857927</c:v>
                </c:pt>
                <c:pt idx="2">
                  <c:v>108679.9908899313</c:v>
                </c:pt>
                <c:pt idx="3">
                  <c:v>92931.382070321619</c:v>
                </c:pt>
                <c:pt idx="4">
                  <c:v>78383.14920147894</c:v>
                </c:pt>
                <c:pt idx="5">
                  <c:v>66986.772293115369</c:v>
                </c:pt>
                <c:pt idx="6">
                  <c:v>57662.367018224861</c:v>
                </c:pt>
                <c:pt idx="7">
                  <c:v>49778.989725828658</c:v>
                </c:pt>
                <c:pt idx="8">
                  <c:v>42912.613942395583</c:v>
                </c:pt>
                <c:pt idx="9">
                  <c:v>36744.13990537035</c:v>
                </c:pt>
                <c:pt idx="10">
                  <c:v>31027.55699185266</c:v>
                </c:pt>
                <c:pt idx="11">
                  <c:v>25599.363469100241</c:v>
                </c:pt>
                <c:pt idx="12">
                  <c:v>19854.960482577251</c:v>
                </c:pt>
              </c:numCache>
            </c:numRef>
          </c:val>
        </c:ser>
        <c:ser>
          <c:idx val="6"/>
          <c:order val="6"/>
          <c:tx>
            <c:strRef>
              <c:f>'Transition summary'!$I$3</c:f>
              <c:strCache>
                <c:ptCount val="1"/>
                <c:pt idx="0">
                  <c:v>HFC-32</c:v>
                </c:pt>
              </c:strCache>
            </c:strRef>
          </c:tx>
          <c:cat>
            <c:numRef>
              <c:f>'Transition summary'!$B$22:$B$34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summary'!$I$22:$I$34</c:f>
              <c:numCache>
                <c:formatCode>#,##0</c:formatCode>
                <c:ptCount val="13"/>
                <c:pt idx="0">
                  <c:v>0</c:v>
                </c:pt>
                <c:pt idx="1">
                  <c:v>833.33333333333314</c:v>
                </c:pt>
                <c:pt idx="2">
                  <c:v>16566.641539375651</c:v>
                </c:pt>
                <c:pt idx="3">
                  <c:v>39621.263983703386</c:v>
                </c:pt>
                <c:pt idx="4">
                  <c:v>66781.367224924354</c:v>
                </c:pt>
                <c:pt idx="5">
                  <c:v>98153.904709017908</c:v>
                </c:pt>
                <c:pt idx="6">
                  <c:v>133848.23025065011</c:v>
                </c:pt>
                <c:pt idx="7">
                  <c:v>173973.98379259562</c:v>
                </c:pt>
                <c:pt idx="8">
                  <c:v>220960.80614547231</c:v>
                </c:pt>
                <c:pt idx="9">
                  <c:v>274945.63846672716</c:v>
                </c:pt>
                <c:pt idx="10">
                  <c:v>335979.49059101305</c:v>
                </c:pt>
                <c:pt idx="11">
                  <c:v>403949.3221605632</c:v>
                </c:pt>
                <c:pt idx="12">
                  <c:v>478521.15172132553</c:v>
                </c:pt>
              </c:numCache>
            </c:numRef>
          </c:val>
        </c:ser>
        <c:ser>
          <c:idx val="7"/>
          <c:order val="7"/>
          <c:tx>
            <c:strRef>
              <c:f>'Transition summary'!$J$3</c:f>
              <c:strCache>
                <c:ptCount val="1"/>
                <c:pt idx="0">
                  <c:v>HFC-Mix</c:v>
                </c:pt>
              </c:strCache>
            </c:strRef>
          </c:tx>
          <c:cat>
            <c:numRef>
              <c:f>'Transition summary'!$B$22:$B$34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summary'!$J$22:$J$34</c:f>
              <c:numCache>
                <c:formatCode>#,##0</c:formatCode>
                <c:ptCount val="13"/>
                <c:pt idx="0">
                  <c:v>289678.13279677549</c:v>
                </c:pt>
                <c:pt idx="1">
                  <c:v>225164.98309770462</c:v>
                </c:pt>
                <c:pt idx="2">
                  <c:v>201682.87362575211</c:v>
                </c:pt>
                <c:pt idx="3">
                  <c:v>208223.65619503779</c:v>
                </c:pt>
                <c:pt idx="4">
                  <c:v>182174.27907645711</c:v>
                </c:pt>
                <c:pt idx="5">
                  <c:v>162616.47391946131</c:v>
                </c:pt>
                <c:pt idx="6">
                  <c:v>143070.02674199341</c:v>
                </c:pt>
                <c:pt idx="7">
                  <c:v>123534.81238095339</c:v>
                </c:pt>
                <c:pt idx="8">
                  <c:v>104011.06976366829</c:v>
                </c:pt>
                <c:pt idx="9">
                  <c:v>84500.211054573389</c:v>
                </c:pt>
                <c:pt idx="10">
                  <c:v>65006.501468203525</c:v>
                </c:pt>
                <c:pt idx="11">
                  <c:v>45539.260179322133</c:v>
                </c:pt>
                <c:pt idx="12">
                  <c:v>26113.832454824311</c:v>
                </c:pt>
              </c:numCache>
            </c:numRef>
          </c:val>
        </c:ser>
        <c:ser>
          <c:idx val="8"/>
          <c:order val="8"/>
          <c:tx>
            <c:strRef>
              <c:f>'Transition summary'!$K$3</c:f>
              <c:strCache>
                <c:ptCount val="1"/>
                <c:pt idx="0">
                  <c:v>GWP &lt;2150</c:v>
                </c:pt>
              </c:strCache>
            </c:strRef>
          </c:tx>
          <c:cat>
            <c:numRef>
              <c:f>'Transition summary'!$B$22:$B$34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summary'!$K$22:$K$34</c:f>
              <c:numCache>
                <c:formatCode>#,##0</c:formatCode>
                <c:ptCount val="13"/>
                <c:pt idx="0">
                  <c:v>0</c:v>
                </c:pt>
                <c:pt idx="1">
                  <c:v>1250</c:v>
                </c:pt>
                <c:pt idx="2">
                  <c:v>11780.63636363636</c:v>
                </c:pt>
                <c:pt idx="3">
                  <c:v>23468.091831321701</c:v>
                </c:pt>
                <c:pt idx="4">
                  <c:v>36342.082536897105</c:v>
                </c:pt>
                <c:pt idx="5">
                  <c:v>50433.499401268928</c:v>
                </c:pt>
                <c:pt idx="6">
                  <c:v>65774.43378430864</c:v>
                </c:pt>
                <c:pt idx="7">
                  <c:v>82398.200563711915</c:v>
                </c:pt>
                <c:pt idx="8">
                  <c:v>100533.71648790211</c:v>
                </c:pt>
                <c:pt idx="9">
                  <c:v>120232.64154820899</c:v>
                </c:pt>
                <c:pt idx="10">
                  <c:v>141547.3232206885</c:v>
                </c:pt>
                <c:pt idx="11">
                  <c:v>164528.10208897921</c:v>
                </c:pt>
                <c:pt idx="12">
                  <c:v>189215.91398932901</c:v>
                </c:pt>
              </c:numCache>
            </c:numRef>
          </c:val>
        </c:ser>
        <c:ser>
          <c:idx val="9"/>
          <c:order val="9"/>
          <c:tx>
            <c:strRef>
              <c:f>'Transition summary'!$L$3</c:f>
              <c:strCache>
                <c:ptCount val="1"/>
                <c:pt idx="0">
                  <c:v>GWP &lt;1000</c:v>
                </c:pt>
              </c:strCache>
            </c:strRef>
          </c:tx>
          <c:cat>
            <c:numRef>
              <c:f>'Transition summary'!$B$22:$B$34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summary'!$L$22:$L$34</c:f>
              <c:numCache>
                <c:formatCode>#,##0</c:formatCode>
                <c:ptCount val="13"/>
                <c:pt idx="0">
                  <c:v>0</c:v>
                </c:pt>
                <c:pt idx="1">
                  <c:v>416.66666666666731</c:v>
                </c:pt>
                <c:pt idx="2">
                  <c:v>19440.151515151516</c:v>
                </c:pt>
                <c:pt idx="3">
                  <c:v>41357.828140006357</c:v>
                </c:pt>
                <c:pt idx="4">
                  <c:v>69347.958069928834</c:v>
                </c:pt>
                <c:pt idx="5">
                  <c:v>110244.03635878382</c:v>
                </c:pt>
                <c:pt idx="6">
                  <c:v>154243.12518984909</c:v>
                </c:pt>
                <c:pt idx="7">
                  <c:v>201419.62348990008</c:v>
                </c:pt>
                <c:pt idx="8">
                  <c:v>252859.948648349</c:v>
                </c:pt>
                <c:pt idx="9">
                  <c:v>308657.62487208779</c:v>
                </c:pt>
                <c:pt idx="10">
                  <c:v>368895.4463765212</c:v>
                </c:pt>
                <c:pt idx="11">
                  <c:v>433621.80559199111</c:v>
                </c:pt>
                <c:pt idx="12">
                  <c:v>502811.94270213356</c:v>
                </c:pt>
              </c:numCache>
            </c:numRef>
          </c:val>
        </c:ser>
        <c:ser>
          <c:idx val="10"/>
          <c:order val="10"/>
          <c:tx>
            <c:strRef>
              <c:f>'Transition summary'!$M$3</c:f>
              <c:strCache>
                <c:ptCount val="1"/>
                <c:pt idx="0">
                  <c:v>GWP &lt;10</c:v>
                </c:pt>
              </c:strCache>
            </c:strRef>
          </c:tx>
          <c:cat>
            <c:numRef>
              <c:f>'Transition summary'!$B$22:$B$34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'Transition summary'!$M$22:$M$34</c:f>
              <c:numCache>
                <c:formatCode>#,##0</c:formatCode>
                <c:ptCount val="13"/>
                <c:pt idx="0">
                  <c:v>209222.94558034861</c:v>
                </c:pt>
                <c:pt idx="1">
                  <c:v>240081.45170405798</c:v>
                </c:pt>
                <c:pt idx="2">
                  <c:v>360433.91829422209</c:v>
                </c:pt>
                <c:pt idx="3">
                  <c:v>373497.29806098755</c:v>
                </c:pt>
                <c:pt idx="4">
                  <c:v>452300.72045557998</c:v>
                </c:pt>
                <c:pt idx="5">
                  <c:v>531116.17374306137</c:v>
                </c:pt>
                <c:pt idx="6">
                  <c:v>614565.8727534723</c:v>
                </c:pt>
                <c:pt idx="7">
                  <c:v>702927.52052118431</c:v>
                </c:pt>
                <c:pt idx="8">
                  <c:v>803999.42780750245</c:v>
                </c:pt>
                <c:pt idx="9">
                  <c:v>917017.24628339044</c:v>
                </c:pt>
                <c:pt idx="10">
                  <c:v>1041324.9222913799</c:v>
                </c:pt>
                <c:pt idx="11">
                  <c:v>1176239.0555887199</c:v>
                </c:pt>
                <c:pt idx="12">
                  <c:v>1321030.8021552111</c:v>
                </c:pt>
              </c:numCache>
            </c:numRef>
          </c:val>
        </c:ser>
        <c:axId val="41785984"/>
        <c:axId val="41795968"/>
      </c:areaChart>
      <c:catAx>
        <c:axId val="41785984"/>
        <c:scaling>
          <c:orientation val="minMax"/>
        </c:scaling>
        <c:axPos val="b"/>
        <c:numFmt formatCode="General" sourceLinked="1"/>
        <c:tickLblPos val="nextTo"/>
        <c:txPr>
          <a:bodyPr/>
          <a:lstStyle/>
          <a:p>
            <a:pPr>
              <a:defRPr sz="800"/>
            </a:pPr>
            <a:endParaRPr lang="en-US"/>
          </a:p>
        </c:txPr>
        <c:crossAx val="41795968"/>
        <c:crosses val="autoZero"/>
        <c:auto val="1"/>
        <c:lblAlgn val="ctr"/>
        <c:lblOffset val="100"/>
      </c:catAx>
      <c:valAx>
        <c:axId val="41795968"/>
        <c:scaling>
          <c:orientation val="minMax"/>
        </c:scaling>
        <c:axPos val="l"/>
        <c:majorGridlines/>
        <c:numFmt formatCode="#,##0" sourceLinked="1"/>
        <c:tickLblPos val="nextTo"/>
        <c:txPr>
          <a:bodyPr/>
          <a:lstStyle/>
          <a:p>
            <a:pPr>
              <a:defRPr sz="800"/>
            </a:pPr>
            <a:endParaRPr lang="en-US"/>
          </a:p>
        </c:txPr>
        <c:crossAx val="41785984"/>
        <c:crosses val="autoZero"/>
        <c:crossBetween val="midCat"/>
        <c:dispUnits>
          <c:builtInUnit val="thousands"/>
        </c:dispUnits>
      </c:valAx>
    </c:plotArea>
    <c:legend>
      <c:legendPos val="r"/>
      <c:txPr>
        <a:bodyPr/>
        <a:lstStyle/>
        <a:p>
          <a:pPr>
            <a:defRPr sz="800"/>
          </a:pPr>
          <a:endParaRPr lang="en-US"/>
        </a:p>
      </c:txPr>
    </c:legend>
    <c:plotVisOnly val="1"/>
    <c:dispBlanksAs val="zero"/>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AU"/>
  <c:style val="18"/>
  <c:chart>
    <c:plotArea>
      <c:layout/>
      <c:pieChart>
        <c:varyColors val="1"/>
        <c:ser>
          <c:idx val="4"/>
          <c:order val="4"/>
          <c:dLbls>
            <c:dLbl>
              <c:idx val="0"/>
              <c:tx>
                <c:rich>
                  <a:bodyPr/>
                  <a:lstStyle/>
                  <a:p>
                    <a:r>
                      <a:rPr lang="en-US"/>
                      <a:t>27%</a:t>
                    </a:r>
                  </a:p>
                </c:rich>
              </c:tx>
              <c:showVal val="1"/>
              <c:showPercent val="1"/>
            </c:dLbl>
            <c:dLbl>
              <c:idx val="1"/>
              <c:tx>
                <c:rich>
                  <a:bodyPr/>
                  <a:lstStyle/>
                  <a:p>
                    <a:r>
                      <a:rPr lang="en-US"/>
                      <a:t>48%</a:t>
                    </a:r>
                  </a:p>
                </c:rich>
              </c:tx>
              <c:showVal val="1"/>
              <c:showPercent val="1"/>
            </c:dLbl>
            <c:dLbl>
              <c:idx val="2"/>
              <c:tx>
                <c:rich>
                  <a:bodyPr/>
                  <a:lstStyle/>
                  <a:p>
                    <a:r>
                      <a:rPr lang="en-US"/>
                      <a:t>1%</a:t>
                    </a:r>
                  </a:p>
                </c:rich>
              </c:tx>
              <c:showVal val="1"/>
              <c:showPercent val="1"/>
            </c:dLbl>
            <c:dLbl>
              <c:idx val="3"/>
              <c:tx>
                <c:rich>
                  <a:bodyPr/>
                  <a:lstStyle/>
                  <a:p>
                    <a:r>
                      <a:rPr lang="en-US"/>
                      <a:t>24%</a:t>
                    </a:r>
                  </a:p>
                </c:rich>
              </c:tx>
              <c:showVal val="1"/>
              <c:showPercent val="1"/>
            </c:dLbl>
            <c:showVal val="1"/>
            <c:showPercent val="1"/>
            <c:showLeaderLines val="1"/>
          </c:dLbls>
          <c:cat>
            <c:strRef>
              <c:f>'1f Bank by equipment segment'!$U$72:$U$75</c:f>
              <c:strCache>
                <c:ptCount val="4"/>
                <c:pt idx="0">
                  <c:v>Stationary AC</c:v>
                </c:pt>
                <c:pt idx="1">
                  <c:v>Mobile AC</c:v>
                </c:pt>
                <c:pt idx="2">
                  <c:v>Domestic refrigeration</c:v>
                </c:pt>
                <c:pt idx="3">
                  <c:v>Refrigerated cold food chain</c:v>
                </c:pt>
              </c:strCache>
            </c:strRef>
          </c:cat>
          <c:val>
            <c:numRef>
              <c:f>'1f Bank by equipment segment'!$V$72:$V$75</c:f>
              <c:numCache>
                <c:formatCode>#,##0</c:formatCode>
                <c:ptCount val="4"/>
                <c:pt idx="0">
                  <c:v>607.69985093590003</c:v>
                </c:pt>
                <c:pt idx="1">
                  <c:v>1087.764392273953</c:v>
                </c:pt>
                <c:pt idx="2">
                  <c:v>22.366852840671786</c:v>
                </c:pt>
                <c:pt idx="3">
                  <c:v>550.90246120839072</c:v>
                </c:pt>
              </c:numCache>
            </c:numRef>
          </c:val>
        </c:ser>
        <c:ser>
          <c:idx val="5"/>
          <c:order val="5"/>
          <c:cat>
            <c:strRef>
              <c:f>'1f Bank by equipment segment'!$U$72:$U$75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28816.430827590557</c:v>
                </c:pt>
                <c:pt idx="1">
                  <c:v>9474.5617074887214</c:v>
                </c:pt>
                <c:pt idx="2">
                  <c:v>2236.6852840671709</c:v>
                </c:pt>
                <c:pt idx="3">
                  <c:v>5110.1221704342852</c:v>
                </c:pt>
              </c:numCache>
            </c:numRef>
          </c:val>
        </c:ser>
        <c:ser>
          <c:idx val="6"/>
          <c:order val="6"/>
          <c:cat>
            <c:strRef>
              <c:f>'1f Bank by equipment segment'!$U$72:$U$75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28816.430827590557</c:v>
                </c:pt>
                <c:pt idx="1">
                  <c:v>9474.5617074887214</c:v>
                </c:pt>
                <c:pt idx="2">
                  <c:v>2236.6852840671709</c:v>
                </c:pt>
                <c:pt idx="3">
                  <c:v>5110.1221704342852</c:v>
                </c:pt>
              </c:numCache>
            </c:numRef>
          </c:val>
        </c:ser>
        <c:ser>
          <c:idx val="7"/>
          <c:order val="7"/>
          <c:cat>
            <c:strRef>
              <c:f>'1f Bank by equipment segment'!$U$72:$U$75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28816.430827590557</c:v>
                </c:pt>
                <c:pt idx="1">
                  <c:v>9474.5617074887214</c:v>
                </c:pt>
                <c:pt idx="2">
                  <c:v>2236.6852840671709</c:v>
                </c:pt>
                <c:pt idx="3">
                  <c:v>5110.1221704342852</c:v>
                </c:pt>
              </c:numCache>
            </c:numRef>
          </c:val>
        </c:ser>
        <c:ser>
          <c:idx val="2"/>
          <c:order val="2"/>
          <c:cat>
            <c:strRef>
              <c:f>'1f Bank by equipment segment'!$U$72:$U$75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28816.430827590557</c:v>
                </c:pt>
                <c:pt idx="1">
                  <c:v>9474.5617074887214</c:v>
                </c:pt>
                <c:pt idx="2">
                  <c:v>2236.6852840671709</c:v>
                </c:pt>
                <c:pt idx="3">
                  <c:v>5110.1221704342852</c:v>
                </c:pt>
              </c:numCache>
            </c:numRef>
          </c:val>
        </c:ser>
        <c:ser>
          <c:idx val="3"/>
          <c:order val="3"/>
          <c:cat>
            <c:strRef>
              <c:f>'1f Bank by equipment segment'!$U$72:$U$75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28816.430827590557</c:v>
                </c:pt>
                <c:pt idx="1">
                  <c:v>9474.5617074887214</c:v>
                </c:pt>
                <c:pt idx="2">
                  <c:v>2236.6852840671709</c:v>
                </c:pt>
                <c:pt idx="3">
                  <c:v>5110.1221704342852</c:v>
                </c:pt>
              </c:numCache>
            </c:numRef>
          </c:val>
        </c:ser>
        <c:ser>
          <c:idx val="1"/>
          <c:order val="1"/>
          <c:cat>
            <c:strRef>
              <c:f>'1f Bank by equipment segment'!$U$72:$U$75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28816.430827590557</c:v>
                </c:pt>
                <c:pt idx="1">
                  <c:v>9474.5617074887214</c:v>
                </c:pt>
                <c:pt idx="2">
                  <c:v>2236.6852840671709</c:v>
                </c:pt>
                <c:pt idx="3">
                  <c:v>5110.1221704342852</c:v>
                </c:pt>
              </c:numCache>
            </c:numRef>
          </c:val>
        </c:ser>
        <c:ser>
          <c:idx val="0"/>
          <c:order val="0"/>
          <c:dLbls>
            <c:showPercent val="1"/>
            <c:showLeaderLines val="1"/>
          </c:dLbls>
          <c:cat>
            <c:strRef>
              <c:f>'1f Bank by equipment segment'!$U$72:$U$75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28816.430827590557</c:v>
                </c:pt>
                <c:pt idx="1">
                  <c:v>9474.5617074887214</c:v>
                </c:pt>
                <c:pt idx="2">
                  <c:v>2236.6852840671709</c:v>
                </c:pt>
                <c:pt idx="3">
                  <c:v>5110.1221704342852</c:v>
                </c:pt>
              </c:numCache>
            </c:numRef>
          </c:val>
        </c:ser>
        <c:firstSliceAng val="0"/>
      </c:pieChart>
    </c:plotArea>
    <c:legend>
      <c:legendPos val="r"/>
    </c:legend>
    <c:plotVisOnly val="1"/>
    <c:dispBlanksAs val="zero"/>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AU"/>
  <c:style val="18"/>
  <c:chart>
    <c:plotArea>
      <c:layout/>
      <c:pieChart>
        <c:varyColors val="1"/>
        <c:ser>
          <c:idx val="8"/>
          <c:order val="8"/>
          <c:dLbls>
            <c:showPercent val="1"/>
            <c:showLeaderLines val="1"/>
          </c:dLbls>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28816.430827590557</c:v>
                </c:pt>
                <c:pt idx="1">
                  <c:v>9474.5617074887214</c:v>
                </c:pt>
                <c:pt idx="2">
                  <c:v>2236.6852840671709</c:v>
                </c:pt>
                <c:pt idx="3">
                  <c:v>5110.1221704342852</c:v>
                </c:pt>
              </c:numCache>
            </c:numRef>
          </c:val>
        </c:ser>
        <c:ser>
          <c:idx val="9"/>
          <c:order val="9"/>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28816.430827590557</c:v>
                </c:pt>
                <c:pt idx="1">
                  <c:v>9474.5617074887214</c:v>
                </c:pt>
                <c:pt idx="2">
                  <c:v>2236.6852840671709</c:v>
                </c:pt>
                <c:pt idx="3">
                  <c:v>5110.1221704342852</c:v>
                </c:pt>
              </c:numCache>
            </c:numRef>
          </c:val>
        </c:ser>
        <c:ser>
          <c:idx val="10"/>
          <c:order val="10"/>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28816.430827590557</c:v>
                </c:pt>
                <c:pt idx="1">
                  <c:v>9474.5617074887214</c:v>
                </c:pt>
                <c:pt idx="2">
                  <c:v>2236.6852840671709</c:v>
                </c:pt>
                <c:pt idx="3">
                  <c:v>5110.1221704342852</c:v>
                </c:pt>
              </c:numCache>
            </c:numRef>
          </c:val>
        </c:ser>
        <c:ser>
          <c:idx val="11"/>
          <c:order val="11"/>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28816.430827590557</c:v>
                </c:pt>
                <c:pt idx="1">
                  <c:v>9474.5617074887214</c:v>
                </c:pt>
                <c:pt idx="2">
                  <c:v>2236.6852840671709</c:v>
                </c:pt>
                <c:pt idx="3">
                  <c:v>5110.1221704342852</c:v>
                </c:pt>
              </c:numCache>
            </c:numRef>
          </c:val>
        </c:ser>
        <c:ser>
          <c:idx val="12"/>
          <c:order val="12"/>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28816.430827590557</c:v>
                </c:pt>
                <c:pt idx="1">
                  <c:v>9474.5617074887214</c:v>
                </c:pt>
                <c:pt idx="2">
                  <c:v>2236.6852840671709</c:v>
                </c:pt>
                <c:pt idx="3">
                  <c:v>5110.1221704342852</c:v>
                </c:pt>
              </c:numCache>
            </c:numRef>
          </c:val>
        </c:ser>
        <c:ser>
          <c:idx val="13"/>
          <c:order val="13"/>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28816.430827590557</c:v>
                </c:pt>
                <c:pt idx="1">
                  <c:v>9474.5617074887214</c:v>
                </c:pt>
                <c:pt idx="2">
                  <c:v>2236.6852840671709</c:v>
                </c:pt>
                <c:pt idx="3">
                  <c:v>5110.1221704342852</c:v>
                </c:pt>
              </c:numCache>
            </c:numRef>
          </c:val>
        </c:ser>
        <c:ser>
          <c:idx val="14"/>
          <c:order val="14"/>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28816.430827590557</c:v>
                </c:pt>
                <c:pt idx="1">
                  <c:v>9474.5617074887214</c:v>
                </c:pt>
                <c:pt idx="2">
                  <c:v>2236.6852840671709</c:v>
                </c:pt>
                <c:pt idx="3">
                  <c:v>5110.1221704342852</c:v>
                </c:pt>
              </c:numCache>
            </c:numRef>
          </c:val>
        </c:ser>
        <c:ser>
          <c:idx val="15"/>
          <c:order val="15"/>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28816.430827590557</c:v>
                </c:pt>
                <c:pt idx="1">
                  <c:v>9474.5617074887214</c:v>
                </c:pt>
                <c:pt idx="2">
                  <c:v>2236.6852840671709</c:v>
                </c:pt>
                <c:pt idx="3">
                  <c:v>5110.1221704342852</c:v>
                </c:pt>
              </c:numCache>
            </c:numRef>
          </c:val>
        </c:ser>
        <c:ser>
          <c:idx val="4"/>
          <c:order val="4"/>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28816.430827590557</c:v>
                </c:pt>
                <c:pt idx="1">
                  <c:v>9474.5617074887214</c:v>
                </c:pt>
                <c:pt idx="2">
                  <c:v>2236.6852840671709</c:v>
                </c:pt>
                <c:pt idx="3">
                  <c:v>5110.1221704342852</c:v>
                </c:pt>
              </c:numCache>
            </c:numRef>
          </c:val>
        </c:ser>
        <c:ser>
          <c:idx val="5"/>
          <c:order val="5"/>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28816.430827590557</c:v>
                </c:pt>
                <c:pt idx="1">
                  <c:v>9474.5617074887214</c:v>
                </c:pt>
                <c:pt idx="2">
                  <c:v>2236.6852840671709</c:v>
                </c:pt>
                <c:pt idx="3">
                  <c:v>5110.1221704342852</c:v>
                </c:pt>
              </c:numCache>
            </c:numRef>
          </c:val>
        </c:ser>
        <c:ser>
          <c:idx val="6"/>
          <c:order val="6"/>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28816.430827590557</c:v>
                </c:pt>
                <c:pt idx="1">
                  <c:v>9474.5617074887214</c:v>
                </c:pt>
                <c:pt idx="2">
                  <c:v>2236.6852840671709</c:v>
                </c:pt>
                <c:pt idx="3">
                  <c:v>5110.1221704342852</c:v>
                </c:pt>
              </c:numCache>
            </c:numRef>
          </c:val>
        </c:ser>
        <c:ser>
          <c:idx val="7"/>
          <c:order val="7"/>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28816.430827590557</c:v>
                </c:pt>
                <c:pt idx="1">
                  <c:v>9474.5617074887214</c:v>
                </c:pt>
                <c:pt idx="2">
                  <c:v>2236.6852840671709</c:v>
                </c:pt>
                <c:pt idx="3">
                  <c:v>5110.1221704342852</c:v>
                </c:pt>
              </c:numCache>
            </c:numRef>
          </c:val>
        </c:ser>
        <c:ser>
          <c:idx val="2"/>
          <c:order val="2"/>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28816.430827590557</c:v>
                </c:pt>
                <c:pt idx="1">
                  <c:v>9474.5617074887214</c:v>
                </c:pt>
                <c:pt idx="2">
                  <c:v>2236.6852840671709</c:v>
                </c:pt>
                <c:pt idx="3">
                  <c:v>5110.1221704342852</c:v>
                </c:pt>
              </c:numCache>
            </c:numRef>
          </c:val>
        </c:ser>
        <c:ser>
          <c:idx val="3"/>
          <c:order val="3"/>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28816.430827590557</c:v>
                </c:pt>
                <c:pt idx="1">
                  <c:v>9474.5617074887214</c:v>
                </c:pt>
                <c:pt idx="2">
                  <c:v>2236.6852840671709</c:v>
                </c:pt>
                <c:pt idx="3">
                  <c:v>5110.1221704342852</c:v>
                </c:pt>
              </c:numCache>
            </c:numRef>
          </c:val>
        </c:ser>
        <c:ser>
          <c:idx val="1"/>
          <c:order val="1"/>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28816.430827590557</c:v>
                </c:pt>
                <c:pt idx="1">
                  <c:v>9474.5617074887214</c:v>
                </c:pt>
                <c:pt idx="2">
                  <c:v>2236.6852840671709</c:v>
                </c:pt>
                <c:pt idx="3">
                  <c:v>5110.1221704342852</c:v>
                </c:pt>
              </c:numCache>
            </c:numRef>
          </c:val>
        </c:ser>
        <c:ser>
          <c:idx val="0"/>
          <c:order val="0"/>
          <c:dLbls>
            <c:showPercent val="1"/>
            <c:showLeaderLines val="1"/>
          </c:dLbls>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28816.430827590557</c:v>
                </c:pt>
                <c:pt idx="1">
                  <c:v>9474.5617074887214</c:v>
                </c:pt>
                <c:pt idx="2">
                  <c:v>2236.6852840671709</c:v>
                </c:pt>
                <c:pt idx="3">
                  <c:v>5110.1221704342852</c:v>
                </c:pt>
              </c:numCache>
            </c:numRef>
          </c:val>
        </c:ser>
        <c:firstSliceAng val="0"/>
      </c:pieChart>
    </c:plotArea>
    <c:legend>
      <c:legendPos val="r"/>
    </c:legend>
    <c:plotVisOnly val="1"/>
    <c:dispBlanksAs val="zero"/>
  </c:chart>
  <c:spPr>
    <a:ln>
      <a:noFill/>
    </a:ln>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F50F4B-E6D2-2F43-96E0-001788BA70ED}" type="doc">
      <dgm:prSet loTypeId="urn:microsoft.com/office/officeart/2005/8/layout/lProcess3" loCatId="" qsTypeId="urn:microsoft.com/office/officeart/2005/8/quickstyle/simple4" qsCatId="simple" csTypeId="urn:microsoft.com/office/officeart/2005/8/colors/accent1_2" csCatId="accent1" phldr="1"/>
      <dgm:spPr/>
      <dgm:t>
        <a:bodyPr/>
        <a:lstStyle/>
        <a:p>
          <a:endParaRPr lang="en-US"/>
        </a:p>
      </dgm:t>
    </dgm:pt>
    <dgm:pt modelId="{9F1BCDBD-6140-B54C-908E-212F8555DCD0}">
      <dgm:prSet phldrT="[Text]" custT="1"/>
      <dgm:spPr/>
      <dgm:t>
        <a:bodyPr/>
        <a:lstStyle/>
        <a:p>
          <a:r>
            <a:rPr lang="en-US" sz="1100" dirty="0" smtClean="0"/>
            <a:t>Ammonia</a:t>
          </a:r>
          <a:endParaRPr lang="en-US" sz="1100" dirty="0"/>
        </a:p>
      </dgm:t>
    </dgm:pt>
    <dgm:pt modelId="{797FD95A-F52F-074C-9320-5E856121F34F}" type="parTrans" cxnId="{1CB5F599-4EAE-FC40-9AD5-D646FB88C775}">
      <dgm:prSet/>
      <dgm:spPr/>
      <dgm:t>
        <a:bodyPr/>
        <a:lstStyle/>
        <a:p>
          <a:endParaRPr lang="en-US" sz="1100"/>
        </a:p>
      </dgm:t>
    </dgm:pt>
    <dgm:pt modelId="{FF9E2327-56D5-0F47-8219-CABC33C45E14}" type="sibTrans" cxnId="{1CB5F599-4EAE-FC40-9AD5-D646FB88C775}">
      <dgm:prSet/>
      <dgm:spPr/>
      <dgm:t>
        <a:bodyPr/>
        <a:lstStyle/>
        <a:p>
          <a:endParaRPr lang="en-US" sz="1100"/>
        </a:p>
      </dgm:t>
    </dgm:pt>
    <dgm:pt modelId="{9525675A-A366-344B-8F3A-81E9D53BD3FE}">
      <dgm:prSet phldrT="[Text]" custT="1"/>
      <dgm:spPr/>
      <dgm:t>
        <a:bodyPr/>
        <a:lstStyle/>
        <a:p>
          <a:r>
            <a:rPr lang="en-US" sz="1000" dirty="0" smtClean="0"/>
            <a:t>ODP = 0</a:t>
          </a:r>
          <a:endParaRPr lang="en-US" sz="1000" dirty="0"/>
        </a:p>
      </dgm:t>
    </dgm:pt>
    <dgm:pt modelId="{BF204790-9C5F-A64D-88B9-279B3C29CB32}" type="parTrans" cxnId="{C9F85030-6B89-AD44-8679-98F19D01E3C8}">
      <dgm:prSet/>
      <dgm:spPr/>
      <dgm:t>
        <a:bodyPr/>
        <a:lstStyle/>
        <a:p>
          <a:endParaRPr lang="en-US" sz="1100"/>
        </a:p>
      </dgm:t>
    </dgm:pt>
    <dgm:pt modelId="{F1BE93C9-D67D-F345-AB74-5DCCC3C80A10}" type="sibTrans" cxnId="{C9F85030-6B89-AD44-8679-98F19D01E3C8}">
      <dgm:prSet/>
      <dgm:spPr/>
      <dgm:t>
        <a:bodyPr/>
        <a:lstStyle/>
        <a:p>
          <a:endParaRPr lang="en-US" sz="1100"/>
        </a:p>
      </dgm:t>
    </dgm:pt>
    <dgm:pt modelId="{26F80A44-081B-B649-AE2E-543C50A18C3F}">
      <dgm:prSet phldrT="[Text]" custT="1"/>
      <dgm:spPr/>
      <dgm:t>
        <a:bodyPr/>
        <a:lstStyle/>
        <a:p>
          <a:r>
            <a:rPr lang="en-US" sz="1000" dirty="0" smtClean="0"/>
            <a:t>GWP = 0</a:t>
          </a:r>
          <a:endParaRPr lang="en-US" sz="1000" dirty="0"/>
        </a:p>
      </dgm:t>
    </dgm:pt>
    <dgm:pt modelId="{13BDA059-3124-8446-A1BE-85EF39F67299}" type="parTrans" cxnId="{DAD53F33-9375-2E49-A003-FCEB2BB92947}">
      <dgm:prSet/>
      <dgm:spPr/>
      <dgm:t>
        <a:bodyPr/>
        <a:lstStyle/>
        <a:p>
          <a:endParaRPr lang="en-US" sz="1100"/>
        </a:p>
      </dgm:t>
    </dgm:pt>
    <dgm:pt modelId="{8BD55832-8BFE-AC48-AC05-EAB35CB2A1EA}" type="sibTrans" cxnId="{DAD53F33-9375-2E49-A003-FCEB2BB92947}">
      <dgm:prSet/>
      <dgm:spPr/>
      <dgm:t>
        <a:bodyPr/>
        <a:lstStyle/>
        <a:p>
          <a:endParaRPr lang="en-US" sz="1100"/>
        </a:p>
      </dgm:t>
    </dgm:pt>
    <dgm:pt modelId="{0CBF2457-0C2C-D748-932C-D9EA5016B799}">
      <dgm:prSet phldrT="[Text]" custT="1"/>
      <dgm:spPr/>
      <dgm:t>
        <a:bodyPr/>
        <a:lstStyle/>
        <a:p>
          <a:r>
            <a:rPr lang="en-US" sz="1100" dirty="0" smtClean="0"/>
            <a:t>Carbon dioxide</a:t>
          </a:r>
          <a:endParaRPr lang="en-US" sz="1100" dirty="0"/>
        </a:p>
      </dgm:t>
    </dgm:pt>
    <dgm:pt modelId="{57C16248-B290-E144-9721-C3870C2A26FD}" type="parTrans" cxnId="{23394DBB-A8EB-8645-B4A3-E54D90EB5218}">
      <dgm:prSet/>
      <dgm:spPr/>
      <dgm:t>
        <a:bodyPr/>
        <a:lstStyle/>
        <a:p>
          <a:endParaRPr lang="en-US" sz="1100"/>
        </a:p>
      </dgm:t>
    </dgm:pt>
    <dgm:pt modelId="{221C0DF4-7029-5B4C-916D-3C70F5C008E0}" type="sibTrans" cxnId="{23394DBB-A8EB-8645-B4A3-E54D90EB5218}">
      <dgm:prSet/>
      <dgm:spPr/>
      <dgm:t>
        <a:bodyPr/>
        <a:lstStyle/>
        <a:p>
          <a:endParaRPr lang="en-US" sz="1100"/>
        </a:p>
      </dgm:t>
    </dgm:pt>
    <dgm:pt modelId="{894FE22A-6914-D54F-B3FA-0A58F3759216}">
      <dgm:prSet phldrT="[Text]" custT="1"/>
      <dgm:spPr/>
      <dgm:t>
        <a:bodyPr/>
        <a:lstStyle/>
        <a:p>
          <a:r>
            <a:rPr lang="en-US" sz="1000" dirty="0" smtClean="0"/>
            <a:t>ODP = 0</a:t>
          </a:r>
          <a:endParaRPr lang="en-US" sz="1000" dirty="0"/>
        </a:p>
      </dgm:t>
    </dgm:pt>
    <dgm:pt modelId="{31F006AC-D560-5549-8B53-0B0E9A7348BB}" type="parTrans" cxnId="{41AB1DFD-D950-AD43-94B2-F9CA2290FA66}">
      <dgm:prSet/>
      <dgm:spPr/>
      <dgm:t>
        <a:bodyPr/>
        <a:lstStyle/>
        <a:p>
          <a:endParaRPr lang="en-US" sz="1100"/>
        </a:p>
      </dgm:t>
    </dgm:pt>
    <dgm:pt modelId="{849593C0-6BD8-2E43-9D7A-1037E5C6EBA3}" type="sibTrans" cxnId="{41AB1DFD-D950-AD43-94B2-F9CA2290FA66}">
      <dgm:prSet/>
      <dgm:spPr/>
      <dgm:t>
        <a:bodyPr/>
        <a:lstStyle/>
        <a:p>
          <a:endParaRPr lang="en-US" sz="1100"/>
        </a:p>
      </dgm:t>
    </dgm:pt>
    <dgm:pt modelId="{EE5F2ACC-4E96-D041-AB0C-C42AAC2BBB66}">
      <dgm:prSet phldrT="[Text]" custT="1"/>
      <dgm:spPr/>
      <dgm:t>
        <a:bodyPr/>
        <a:lstStyle/>
        <a:p>
          <a:r>
            <a:rPr lang="en-US" sz="1000" dirty="0" smtClean="0"/>
            <a:t>GWP = 1</a:t>
          </a:r>
          <a:endParaRPr lang="en-US" sz="1000" dirty="0"/>
        </a:p>
      </dgm:t>
    </dgm:pt>
    <dgm:pt modelId="{23D613E2-A6C1-5943-ABC5-793943744686}" type="parTrans" cxnId="{45C65BD2-EFCA-1049-B05F-89171F533166}">
      <dgm:prSet/>
      <dgm:spPr/>
      <dgm:t>
        <a:bodyPr/>
        <a:lstStyle/>
        <a:p>
          <a:endParaRPr lang="en-US" sz="1100"/>
        </a:p>
      </dgm:t>
    </dgm:pt>
    <dgm:pt modelId="{057C0521-9D4D-5041-AC72-555CBC2773FE}" type="sibTrans" cxnId="{45C65BD2-EFCA-1049-B05F-89171F533166}">
      <dgm:prSet/>
      <dgm:spPr/>
      <dgm:t>
        <a:bodyPr/>
        <a:lstStyle/>
        <a:p>
          <a:endParaRPr lang="en-US" sz="1100"/>
        </a:p>
      </dgm:t>
    </dgm:pt>
    <dgm:pt modelId="{724F5C77-6DF9-1148-9731-17D8CDF18CDB}">
      <dgm:prSet phldrT="[Text]" custT="1"/>
      <dgm:spPr/>
      <dgm:t>
        <a:bodyPr/>
        <a:lstStyle/>
        <a:p>
          <a:r>
            <a:rPr lang="en-US" sz="1100" dirty="0" smtClean="0"/>
            <a:t>Hydrocarbons</a:t>
          </a:r>
          <a:endParaRPr lang="en-US" sz="1100" dirty="0"/>
        </a:p>
      </dgm:t>
    </dgm:pt>
    <dgm:pt modelId="{2B36ABD3-9DD5-DE42-B885-29B33A86C4F5}" type="parTrans" cxnId="{AC1BCB40-15BD-C447-B010-DC06978190A6}">
      <dgm:prSet/>
      <dgm:spPr/>
      <dgm:t>
        <a:bodyPr/>
        <a:lstStyle/>
        <a:p>
          <a:endParaRPr lang="en-US" sz="1100"/>
        </a:p>
      </dgm:t>
    </dgm:pt>
    <dgm:pt modelId="{22393F4F-8716-584D-812C-107D2197EB99}" type="sibTrans" cxnId="{AC1BCB40-15BD-C447-B010-DC06978190A6}">
      <dgm:prSet/>
      <dgm:spPr/>
      <dgm:t>
        <a:bodyPr/>
        <a:lstStyle/>
        <a:p>
          <a:endParaRPr lang="en-US" sz="1100"/>
        </a:p>
      </dgm:t>
    </dgm:pt>
    <dgm:pt modelId="{21505287-8DEA-6041-BDF9-C935F12F2CC4}">
      <dgm:prSet phldrT="[Text]" custT="1"/>
      <dgm:spPr/>
      <dgm:t>
        <a:bodyPr/>
        <a:lstStyle/>
        <a:p>
          <a:r>
            <a:rPr lang="en-US" sz="1000" dirty="0" smtClean="0"/>
            <a:t>ODP = 0</a:t>
          </a:r>
          <a:endParaRPr lang="en-US" sz="1000" dirty="0"/>
        </a:p>
      </dgm:t>
    </dgm:pt>
    <dgm:pt modelId="{8A238D9F-F1A2-9B44-A4AC-573B0B195EB4}" type="parTrans" cxnId="{9EB96C1D-C213-DB43-B942-A68D77CE05B7}">
      <dgm:prSet/>
      <dgm:spPr/>
      <dgm:t>
        <a:bodyPr/>
        <a:lstStyle/>
        <a:p>
          <a:endParaRPr lang="en-US" sz="1100"/>
        </a:p>
      </dgm:t>
    </dgm:pt>
    <dgm:pt modelId="{58E977A0-4492-D544-9EE1-9132EC27DDAC}" type="sibTrans" cxnId="{9EB96C1D-C213-DB43-B942-A68D77CE05B7}">
      <dgm:prSet/>
      <dgm:spPr/>
      <dgm:t>
        <a:bodyPr/>
        <a:lstStyle/>
        <a:p>
          <a:endParaRPr lang="en-US" sz="1100"/>
        </a:p>
      </dgm:t>
    </dgm:pt>
    <dgm:pt modelId="{EFCBB034-BBFC-4846-8F44-DD48D8DF4184}">
      <dgm:prSet phldrT="[Text]" custT="1"/>
      <dgm:spPr/>
      <dgm:t>
        <a:bodyPr/>
        <a:lstStyle/>
        <a:p>
          <a:r>
            <a:rPr lang="en-US" sz="1000" smtClean="0"/>
            <a:t>GWP ≈ 3</a:t>
          </a:r>
          <a:endParaRPr lang="en-US" sz="1000" dirty="0"/>
        </a:p>
      </dgm:t>
    </dgm:pt>
    <dgm:pt modelId="{0CC7CA74-AFCE-F54C-89FB-B3221C3326FB}" type="parTrans" cxnId="{5C3536DF-87A5-704D-9950-1DC190864152}">
      <dgm:prSet/>
      <dgm:spPr/>
      <dgm:t>
        <a:bodyPr/>
        <a:lstStyle/>
        <a:p>
          <a:endParaRPr lang="en-US" sz="1100"/>
        </a:p>
      </dgm:t>
    </dgm:pt>
    <dgm:pt modelId="{9115DFD9-0F15-BD48-819A-C932EE25E50A}" type="sibTrans" cxnId="{5C3536DF-87A5-704D-9950-1DC190864152}">
      <dgm:prSet/>
      <dgm:spPr/>
      <dgm:t>
        <a:bodyPr/>
        <a:lstStyle/>
        <a:p>
          <a:endParaRPr lang="en-US" sz="1100"/>
        </a:p>
      </dgm:t>
    </dgm:pt>
    <dgm:pt modelId="{06C3B915-4156-F440-AD3E-3A4D47EE6576}" type="pres">
      <dgm:prSet presAssocID="{E4F50F4B-E6D2-2F43-96E0-001788BA70ED}" presName="Name0" presStyleCnt="0">
        <dgm:presLayoutVars>
          <dgm:chPref val="3"/>
          <dgm:dir/>
          <dgm:animLvl val="lvl"/>
          <dgm:resizeHandles/>
        </dgm:presLayoutVars>
      </dgm:prSet>
      <dgm:spPr/>
      <dgm:t>
        <a:bodyPr/>
        <a:lstStyle/>
        <a:p>
          <a:endParaRPr lang="en-US"/>
        </a:p>
      </dgm:t>
    </dgm:pt>
    <dgm:pt modelId="{FEB00DEC-B097-3148-9D8B-7385C9C35D72}" type="pres">
      <dgm:prSet presAssocID="{9F1BCDBD-6140-B54C-908E-212F8555DCD0}" presName="horFlow" presStyleCnt="0"/>
      <dgm:spPr/>
    </dgm:pt>
    <dgm:pt modelId="{FEC57DC9-A4E6-4A40-A755-94BBF5810FEB}" type="pres">
      <dgm:prSet presAssocID="{9F1BCDBD-6140-B54C-908E-212F8555DCD0}" presName="bigChev" presStyleLbl="node1" presStyleIdx="0" presStyleCnt="3" custScaleX="289905"/>
      <dgm:spPr/>
      <dgm:t>
        <a:bodyPr/>
        <a:lstStyle/>
        <a:p>
          <a:endParaRPr lang="en-US"/>
        </a:p>
      </dgm:t>
    </dgm:pt>
    <dgm:pt modelId="{03D40A8B-3F2A-A549-A84E-097D8382AD06}" type="pres">
      <dgm:prSet presAssocID="{BF204790-9C5F-A64D-88B9-279B3C29CB32}" presName="parTrans" presStyleCnt="0"/>
      <dgm:spPr/>
    </dgm:pt>
    <dgm:pt modelId="{5A8E1144-C48B-D941-B108-42D5161F4D77}" type="pres">
      <dgm:prSet presAssocID="{9525675A-A366-344B-8F3A-81E9D53BD3FE}" presName="node" presStyleLbl="alignAccFollowNode1" presStyleIdx="0" presStyleCnt="6" custScaleX="255887">
        <dgm:presLayoutVars>
          <dgm:bulletEnabled val="1"/>
        </dgm:presLayoutVars>
      </dgm:prSet>
      <dgm:spPr/>
      <dgm:t>
        <a:bodyPr/>
        <a:lstStyle/>
        <a:p>
          <a:endParaRPr lang="en-US"/>
        </a:p>
      </dgm:t>
    </dgm:pt>
    <dgm:pt modelId="{12C519C4-5153-4344-85A2-A0704FCA1776}" type="pres">
      <dgm:prSet presAssocID="{F1BE93C9-D67D-F345-AB74-5DCCC3C80A10}" presName="sibTrans" presStyleCnt="0"/>
      <dgm:spPr/>
    </dgm:pt>
    <dgm:pt modelId="{32BF1FEF-F10D-C144-AC76-D08FFC64B686}" type="pres">
      <dgm:prSet presAssocID="{26F80A44-081B-B649-AE2E-543C50A18C3F}" presName="node" presStyleLbl="alignAccFollowNode1" presStyleIdx="1" presStyleCnt="6" custScaleX="255887">
        <dgm:presLayoutVars>
          <dgm:bulletEnabled val="1"/>
        </dgm:presLayoutVars>
      </dgm:prSet>
      <dgm:spPr/>
      <dgm:t>
        <a:bodyPr/>
        <a:lstStyle/>
        <a:p>
          <a:endParaRPr lang="en-US"/>
        </a:p>
      </dgm:t>
    </dgm:pt>
    <dgm:pt modelId="{12EF4F72-0D51-044A-B1F5-D84EA28D3454}" type="pres">
      <dgm:prSet presAssocID="{9F1BCDBD-6140-B54C-908E-212F8555DCD0}" presName="vSp" presStyleCnt="0"/>
      <dgm:spPr/>
    </dgm:pt>
    <dgm:pt modelId="{D2912051-19DB-1F46-A5B6-8C3878FC1483}" type="pres">
      <dgm:prSet presAssocID="{0CBF2457-0C2C-D748-932C-D9EA5016B799}" presName="horFlow" presStyleCnt="0"/>
      <dgm:spPr/>
    </dgm:pt>
    <dgm:pt modelId="{C74C3FA5-D313-6B46-BF63-B94CC8AFA637}" type="pres">
      <dgm:prSet presAssocID="{0CBF2457-0C2C-D748-932C-D9EA5016B799}" presName="bigChev" presStyleLbl="node1" presStyleIdx="1" presStyleCnt="3" custScaleX="289905"/>
      <dgm:spPr/>
      <dgm:t>
        <a:bodyPr/>
        <a:lstStyle/>
        <a:p>
          <a:endParaRPr lang="en-US"/>
        </a:p>
      </dgm:t>
    </dgm:pt>
    <dgm:pt modelId="{D34807EA-0809-4D4F-9920-6492A624FD57}" type="pres">
      <dgm:prSet presAssocID="{31F006AC-D560-5549-8B53-0B0E9A7348BB}" presName="parTrans" presStyleCnt="0"/>
      <dgm:spPr/>
    </dgm:pt>
    <dgm:pt modelId="{1AD99116-E64F-E647-B4A9-66363453208B}" type="pres">
      <dgm:prSet presAssocID="{894FE22A-6914-D54F-B3FA-0A58F3759216}" presName="node" presStyleLbl="alignAccFollowNode1" presStyleIdx="2" presStyleCnt="6" custScaleX="255887">
        <dgm:presLayoutVars>
          <dgm:bulletEnabled val="1"/>
        </dgm:presLayoutVars>
      </dgm:prSet>
      <dgm:spPr/>
      <dgm:t>
        <a:bodyPr/>
        <a:lstStyle/>
        <a:p>
          <a:endParaRPr lang="en-US"/>
        </a:p>
      </dgm:t>
    </dgm:pt>
    <dgm:pt modelId="{8825BBF0-B50A-FE4E-ACCF-D7F63D437805}" type="pres">
      <dgm:prSet presAssocID="{849593C0-6BD8-2E43-9D7A-1037E5C6EBA3}" presName="sibTrans" presStyleCnt="0"/>
      <dgm:spPr/>
    </dgm:pt>
    <dgm:pt modelId="{4209D93A-EB5E-DB4F-955A-A3DE7057AF04}" type="pres">
      <dgm:prSet presAssocID="{EE5F2ACC-4E96-D041-AB0C-C42AAC2BBB66}" presName="node" presStyleLbl="alignAccFollowNode1" presStyleIdx="3" presStyleCnt="6" custScaleX="255887">
        <dgm:presLayoutVars>
          <dgm:bulletEnabled val="1"/>
        </dgm:presLayoutVars>
      </dgm:prSet>
      <dgm:spPr/>
      <dgm:t>
        <a:bodyPr/>
        <a:lstStyle/>
        <a:p>
          <a:endParaRPr lang="en-US"/>
        </a:p>
      </dgm:t>
    </dgm:pt>
    <dgm:pt modelId="{2AF2C69D-EEF2-8D4D-A37E-738A6C284490}" type="pres">
      <dgm:prSet presAssocID="{0CBF2457-0C2C-D748-932C-D9EA5016B799}" presName="vSp" presStyleCnt="0"/>
      <dgm:spPr/>
    </dgm:pt>
    <dgm:pt modelId="{DF3B1F67-BBB7-CB4E-A6D9-EC0747A420C5}" type="pres">
      <dgm:prSet presAssocID="{724F5C77-6DF9-1148-9731-17D8CDF18CDB}" presName="horFlow" presStyleCnt="0"/>
      <dgm:spPr/>
    </dgm:pt>
    <dgm:pt modelId="{BA8A9F80-E1DD-F742-946A-B8B15185FB13}" type="pres">
      <dgm:prSet presAssocID="{724F5C77-6DF9-1148-9731-17D8CDF18CDB}" presName="bigChev" presStyleLbl="node1" presStyleIdx="2" presStyleCnt="3" custScaleX="289905"/>
      <dgm:spPr/>
      <dgm:t>
        <a:bodyPr/>
        <a:lstStyle/>
        <a:p>
          <a:endParaRPr lang="en-US"/>
        </a:p>
      </dgm:t>
    </dgm:pt>
    <dgm:pt modelId="{922FE468-E021-7647-AE98-4FC4FAC6D78D}" type="pres">
      <dgm:prSet presAssocID="{8A238D9F-F1A2-9B44-A4AC-573B0B195EB4}" presName="parTrans" presStyleCnt="0"/>
      <dgm:spPr/>
    </dgm:pt>
    <dgm:pt modelId="{00DE288E-B039-2641-875F-A679347E5D0D}" type="pres">
      <dgm:prSet presAssocID="{21505287-8DEA-6041-BDF9-C935F12F2CC4}" presName="node" presStyleLbl="alignAccFollowNode1" presStyleIdx="4" presStyleCnt="6" custScaleX="255887">
        <dgm:presLayoutVars>
          <dgm:bulletEnabled val="1"/>
        </dgm:presLayoutVars>
      </dgm:prSet>
      <dgm:spPr/>
      <dgm:t>
        <a:bodyPr/>
        <a:lstStyle/>
        <a:p>
          <a:endParaRPr lang="en-US"/>
        </a:p>
      </dgm:t>
    </dgm:pt>
    <dgm:pt modelId="{FF0AA51D-31CE-8F49-B5B4-6600913E5BE4}" type="pres">
      <dgm:prSet presAssocID="{58E977A0-4492-D544-9EE1-9132EC27DDAC}" presName="sibTrans" presStyleCnt="0"/>
      <dgm:spPr/>
    </dgm:pt>
    <dgm:pt modelId="{FC5F1EB5-8775-F34D-8EB1-FC40C51CC71C}" type="pres">
      <dgm:prSet presAssocID="{EFCBB034-BBFC-4846-8F44-DD48D8DF4184}" presName="node" presStyleLbl="alignAccFollowNode1" presStyleIdx="5" presStyleCnt="6" custScaleX="255887">
        <dgm:presLayoutVars>
          <dgm:bulletEnabled val="1"/>
        </dgm:presLayoutVars>
      </dgm:prSet>
      <dgm:spPr/>
      <dgm:t>
        <a:bodyPr/>
        <a:lstStyle/>
        <a:p>
          <a:endParaRPr lang="en-US"/>
        </a:p>
      </dgm:t>
    </dgm:pt>
  </dgm:ptLst>
  <dgm:cxnLst>
    <dgm:cxn modelId="{C9F85030-6B89-AD44-8679-98F19D01E3C8}" srcId="{9F1BCDBD-6140-B54C-908E-212F8555DCD0}" destId="{9525675A-A366-344B-8F3A-81E9D53BD3FE}" srcOrd="0" destOrd="0" parTransId="{BF204790-9C5F-A64D-88B9-279B3C29CB32}" sibTransId="{F1BE93C9-D67D-F345-AB74-5DCCC3C80A10}"/>
    <dgm:cxn modelId="{23394DBB-A8EB-8645-B4A3-E54D90EB5218}" srcId="{E4F50F4B-E6D2-2F43-96E0-001788BA70ED}" destId="{0CBF2457-0C2C-D748-932C-D9EA5016B799}" srcOrd="1" destOrd="0" parTransId="{57C16248-B290-E144-9721-C3870C2A26FD}" sibTransId="{221C0DF4-7029-5B4C-916D-3C70F5C008E0}"/>
    <dgm:cxn modelId="{31C6D4AF-5F36-42E7-9B3A-28D0827DE106}" type="presOf" srcId="{26F80A44-081B-B649-AE2E-543C50A18C3F}" destId="{32BF1FEF-F10D-C144-AC76-D08FFC64B686}" srcOrd="0" destOrd="0" presId="urn:microsoft.com/office/officeart/2005/8/layout/lProcess3"/>
    <dgm:cxn modelId="{AC1BCB40-15BD-C447-B010-DC06978190A6}" srcId="{E4F50F4B-E6D2-2F43-96E0-001788BA70ED}" destId="{724F5C77-6DF9-1148-9731-17D8CDF18CDB}" srcOrd="2" destOrd="0" parTransId="{2B36ABD3-9DD5-DE42-B885-29B33A86C4F5}" sibTransId="{22393F4F-8716-584D-812C-107D2197EB99}"/>
    <dgm:cxn modelId="{D528659A-935D-4A34-8F7B-E138B49ACEF9}" type="presOf" srcId="{894FE22A-6914-D54F-B3FA-0A58F3759216}" destId="{1AD99116-E64F-E647-B4A9-66363453208B}" srcOrd="0" destOrd="0" presId="urn:microsoft.com/office/officeart/2005/8/layout/lProcess3"/>
    <dgm:cxn modelId="{45C65BD2-EFCA-1049-B05F-89171F533166}" srcId="{0CBF2457-0C2C-D748-932C-D9EA5016B799}" destId="{EE5F2ACC-4E96-D041-AB0C-C42AAC2BBB66}" srcOrd="1" destOrd="0" parTransId="{23D613E2-A6C1-5943-ABC5-793943744686}" sibTransId="{057C0521-9D4D-5041-AC72-555CBC2773FE}"/>
    <dgm:cxn modelId="{DAD53F33-9375-2E49-A003-FCEB2BB92947}" srcId="{9F1BCDBD-6140-B54C-908E-212F8555DCD0}" destId="{26F80A44-081B-B649-AE2E-543C50A18C3F}" srcOrd="1" destOrd="0" parTransId="{13BDA059-3124-8446-A1BE-85EF39F67299}" sibTransId="{8BD55832-8BFE-AC48-AC05-EAB35CB2A1EA}"/>
    <dgm:cxn modelId="{1AF4FACC-E0FA-4EF3-AA07-8B90140DDA36}" type="presOf" srcId="{0CBF2457-0C2C-D748-932C-D9EA5016B799}" destId="{C74C3FA5-D313-6B46-BF63-B94CC8AFA637}" srcOrd="0" destOrd="0" presId="urn:microsoft.com/office/officeart/2005/8/layout/lProcess3"/>
    <dgm:cxn modelId="{38C0418A-E394-47BE-8F96-71CB89E8639F}" type="presOf" srcId="{EFCBB034-BBFC-4846-8F44-DD48D8DF4184}" destId="{FC5F1EB5-8775-F34D-8EB1-FC40C51CC71C}" srcOrd="0" destOrd="0" presId="urn:microsoft.com/office/officeart/2005/8/layout/lProcess3"/>
    <dgm:cxn modelId="{31E0816C-1794-49A5-A742-2B3845776511}" type="presOf" srcId="{724F5C77-6DF9-1148-9731-17D8CDF18CDB}" destId="{BA8A9F80-E1DD-F742-946A-B8B15185FB13}" srcOrd="0" destOrd="0" presId="urn:microsoft.com/office/officeart/2005/8/layout/lProcess3"/>
    <dgm:cxn modelId="{373CBC50-4280-43FC-A550-1C99B5476C5F}" type="presOf" srcId="{E4F50F4B-E6D2-2F43-96E0-001788BA70ED}" destId="{06C3B915-4156-F440-AD3E-3A4D47EE6576}" srcOrd="0" destOrd="0" presId="urn:microsoft.com/office/officeart/2005/8/layout/lProcess3"/>
    <dgm:cxn modelId="{1F07B5B2-496A-4F0F-876E-A2EEDC1B410C}" type="presOf" srcId="{9525675A-A366-344B-8F3A-81E9D53BD3FE}" destId="{5A8E1144-C48B-D941-B108-42D5161F4D77}" srcOrd="0" destOrd="0" presId="urn:microsoft.com/office/officeart/2005/8/layout/lProcess3"/>
    <dgm:cxn modelId="{D5F1263C-332C-4043-9441-DDA16328931C}" type="presOf" srcId="{21505287-8DEA-6041-BDF9-C935F12F2CC4}" destId="{00DE288E-B039-2641-875F-A679347E5D0D}" srcOrd="0" destOrd="0" presId="urn:microsoft.com/office/officeart/2005/8/layout/lProcess3"/>
    <dgm:cxn modelId="{41AB1DFD-D950-AD43-94B2-F9CA2290FA66}" srcId="{0CBF2457-0C2C-D748-932C-D9EA5016B799}" destId="{894FE22A-6914-D54F-B3FA-0A58F3759216}" srcOrd="0" destOrd="0" parTransId="{31F006AC-D560-5549-8B53-0B0E9A7348BB}" sibTransId="{849593C0-6BD8-2E43-9D7A-1037E5C6EBA3}"/>
    <dgm:cxn modelId="{C5FF151E-95A9-44CE-AAC1-54FC3F6CA308}" type="presOf" srcId="{9F1BCDBD-6140-B54C-908E-212F8555DCD0}" destId="{FEC57DC9-A4E6-4A40-A755-94BBF5810FEB}" srcOrd="0" destOrd="0" presId="urn:microsoft.com/office/officeart/2005/8/layout/lProcess3"/>
    <dgm:cxn modelId="{5C3536DF-87A5-704D-9950-1DC190864152}" srcId="{724F5C77-6DF9-1148-9731-17D8CDF18CDB}" destId="{EFCBB034-BBFC-4846-8F44-DD48D8DF4184}" srcOrd="1" destOrd="0" parTransId="{0CC7CA74-AFCE-F54C-89FB-B3221C3326FB}" sibTransId="{9115DFD9-0F15-BD48-819A-C932EE25E50A}"/>
    <dgm:cxn modelId="{47D4D249-A1B9-452F-A99B-F0C67214A663}" type="presOf" srcId="{EE5F2ACC-4E96-D041-AB0C-C42AAC2BBB66}" destId="{4209D93A-EB5E-DB4F-955A-A3DE7057AF04}" srcOrd="0" destOrd="0" presId="urn:microsoft.com/office/officeart/2005/8/layout/lProcess3"/>
    <dgm:cxn modelId="{1CB5F599-4EAE-FC40-9AD5-D646FB88C775}" srcId="{E4F50F4B-E6D2-2F43-96E0-001788BA70ED}" destId="{9F1BCDBD-6140-B54C-908E-212F8555DCD0}" srcOrd="0" destOrd="0" parTransId="{797FD95A-F52F-074C-9320-5E856121F34F}" sibTransId="{FF9E2327-56D5-0F47-8219-CABC33C45E14}"/>
    <dgm:cxn modelId="{9EB96C1D-C213-DB43-B942-A68D77CE05B7}" srcId="{724F5C77-6DF9-1148-9731-17D8CDF18CDB}" destId="{21505287-8DEA-6041-BDF9-C935F12F2CC4}" srcOrd="0" destOrd="0" parTransId="{8A238D9F-F1A2-9B44-A4AC-573B0B195EB4}" sibTransId="{58E977A0-4492-D544-9EE1-9132EC27DDAC}"/>
    <dgm:cxn modelId="{8733B89C-CE29-43A6-8F23-7973B3FA2647}" type="presParOf" srcId="{06C3B915-4156-F440-AD3E-3A4D47EE6576}" destId="{FEB00DEC-B097-3148-9D8B-7385C9C35D72}" srcOrd="0" destOrd="0" presId="urn:microsoft.com/office/officeart/2005/8/layout/lProcess3"/>
    <dgm:cxn modelId="{EECD8546-BD96-44B8-B0B0-979EE6BE3986}" type="presParOf" srcId="{FEB00DEC-B097-3148-9D8B-7385C9C35D72}" destId="{FEC57DC9-A4E6-4A40-A755-94BBF5810FEB}" srcOrd="0" destOrd="0" presId="urn:microsoft.com/office/officeart/2005/8/layout/lProcess3"/>
    <dgm:cxn modelId="{E26486A7-6602-42B7-901B-FA5C11284E04}" type="presParOf" srcId="{FEB00DEC-B097-3148-9D8B-7385C9C35D72}" destId="{03D40A8B-3F2A-A549-A84E-097D8382AD06}" srcOrd="1" destOrd="0" presId="urn:microsoft.com/office/officeart/2005/8/layout/lProcess3"/>
    <dgm:cxn modelId="{834D538C-9A74-4D72-845E-4287FA47B8E1}" type="presParOf" srcId="{FEB00DEC-B097-3148-9D8B-7385C9C35D72}" destId="{5A8E1144-C48B-D941-B108-42D5161F4D77}" srcOrd="2" destOrd="0" presId="urn:microsoft.com/office/officeart/2005/8/layout/lProcess3"/>
    <dgm:cxn modelId="{8A29D930-7C2A-4E8F-85B4-2C7C10301C41}" type="presParOf" srcId="{FEB00DEC-B097-3148-9D8B-7385C9C35D72}" destId="{12C519C4-5153-4344-85A2-A0704FCA1776}" srcOrd="3" destOrd="0" presId="urn:microsoft.com/office/officeart/2005/8/layout/lProcess3"/>
    <dgm:cxn modelId="{88C7D1EC-3E7B-4F4F-BD9A-5F694FF366E8}" type="presParOf" srcId="{FEB00DEC-B097-3148-9D8B-7385C9C35D72}" destId="{32BF1FEF-F10D-C144-AC76-D08FFC64B686}" srcOrd="4" destOrd="0" presId="urn:microsoft.com/office/officeart/2005/8/layout/lProcess3"/>
    <dgm:cxn modelId="{A0866DE5-5AFA-4CE4-835F-BBD60856D4F0}" type="presParOf" srcId="{06C3B915-4156-F440-AD3E-3A4D47EE6576}" destId="{12EF4F72-0D51-044A-B1F5-D84EA28D3454}" srcOrd="1" destOrd="0" presId="urn:microsoft.com/office/officeart/2005/8/layout/lProcess3"/>
    <dgm:cxn modelId="{A473CFC3-690A-4BD3-AAEF-31992D288884}" type="presParOf" srcId="{06C3B915-4156-F440-AD3E-3A4D47EE6576}" destId="{D2912051-19DB-1F46-A5B6-8C3878FC1483}" srcOrd="2" destOrd="0" presId="urn:microsoft.com/office/officeart/2005/8/layout/lProcess3"/>
    <dgm:cxn modelId="{D5EAB7C0-5D4E-4F60-BBB2-C13969856B49}" type="presParOf" srcId="{D2912051-19DB-1F46-A5B6-8C3878FC1483}" destId="{C74C3FA5-D313-6B46-BF63-B94CC8AFA637}" srcOrd="0" destOrd="0" presId="urn:microsoft.com/office/officeart/2005/8/layout/lProcess3"/>
    <dgm:cxn modelId="{87F48F8A-4D2B-41C4-BDD4-C3103A51EB5B}" type="presParOf" srcId="{D2912051-19DB-1F46-A5B6-8C3878FC1483}" destId="{D34807EA-0809-4D4F-9920-6492A624FD57}" srcOrd="1" destOrd="0" presId="urn:microsoft.com/office/officeart/2005/8/layout/lProcess3"/>
    <dgm:cxn modelId="{0E6310EF-CE7B-4B82-A9C6-2BA6BD8FF236}" type="presParOf" srcId="{D2912051-19DB-1F46-A5B6-8C3878FC1483}" destId="{1AD99116-E64F-E647-B4A9-66363453208B}" srcOrd="2" destOrd="0" presId="urn:microsoft.com/office/officeart/2005/8/layout/lProcess3"/>
    <dgm:cxn modelId="{55C563DC-C1D3-49BA-BBF9-F181C867BBCE}" type="presParOf" srcId="{D2912051-19DB-1F46-A5B6-8C3878FC1483}" destId="{8825BBF0-B50A-FE4E-ACCF-D7F63D437805}" srcOrd="3" destOrd="0" presId="urn:microsoft.com/office/officeart/2005/8/layout/lProcess3"/>
    <dgm:cxn modelId="{60E38387-918C-42A6-939C-7AEC3BE498B9}" type="presParOf" srcId="{D2912051-19DB-1F46-A5B6-8C3878FC1483}" destId="{4209D93A-EB5E-DB4F-955A-A3DE7057AF04}" srcOrd="4" destOrd="0" presId="urn:microsoft.com/office/officeart/2005/8/layout/lProcess3"/>
    <dgm:cxn modelId="{A7F3A1E9-5CED-4666-8928-EFCD86ABA86F}" type="presParOf" srcId="{06C3B915-4156-F440-AD3E-3A4D47EE6576}" destId="{2AF2C69D-EEF2-8D4D-A37E-738A6C284490}" srcOrd="3" destOrd="0" presId="urn:microsoft.com/office/officeart/2005/8/layout/lProcess3"/>
    <dgm:cxn modelId="{9AF787F7-545C-4654-AF4C-A528A0065DC5}" type="presParOf" srcId="{06C3B915-4156-F440-AD3E-3A4D47EE6576}" destId="{DF3B1F67-BBB7-CB4E-A6D9-EC0747A420C5}" srcOrd="4" destOrd="0" presId="urn:microsoft.com/office/officeart/2005/8/layout/lProcess3"/>
    <dgm:cxn modelId="{B2CCAD4A-E20E-4FE0-8385-39D3C4313A75}" type="presParOf" srcId="{DF3B1F67-BBB7-CB4E-A6D9-EC0747A420C5}" destId="{BA8A9F80-E1DD-F742-946A-B8B15185FB13}" srcOrd="0" destOrd="0" presId="urn:microsoft.com/office/officeart/2005/8/layout/lProcess3"/>
    <dgm:cxn modelId="{1C7A60A9-0FF1-4DC3-9BBC-3A104AC89182}" type="presParOf" srcId="{DF3B1F67-BBB7-CB4E-A6D9-EC0747A420C5}" destId="{922FE468-E021-7647-AE98-4FC4FAC6D78D}" srcOrd="1" destOrd="0" presId="urn:microsoft.com/office/officeart/2005/8/layout/lProcess3"/>
    <dgm:cxn modelId="{D498AD50-AA63-44C2-AAD3-63161E299ED9}" type="presParOf" srcId="{DF3B1F67-BBB7-CB4E-A6D9-EC0747A420C5}" destId="{00DE288E-B039-2641-875F-A679347E5D0D}" srcOrd="2" destOrd="0" presId="urn:microsoft.com/office/officeart/2005/8/layout/lProcess3"/>
    <dgm:cxn modelId="{94AD1C67-1515-4BCC-99DF-B2985E77A2B9}" type="presParOf" srcId="{DF3B1F67-BBB7-CB4E-A6D9-EC0747A420C5}" destId="{FF0AA51D-31CE-8F49-B5B4-6600913E5BE4}" srcOrd="3" destOrd="0" presId="urn:microsoft.com/office/officeart/2005/8/layout/lProcess3"/>
    <dgm:cxn modelId="{CC57EE01-4205-4334-9F3E-D2EC49B96D63}" type="presParOf" srcId="{DF3B1F67-BBB7-CB4E-A6D9-EC0747A420C5}" destId="{FC5F1EB5-8775-F34D-8EB1-FC40C51CC71C}" srcOrd="4" destOrd="0" presId="urn:microsoft.com/office/officeart/2005/8/layout/lProcess3"/>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55A861C-0728-0E40-820A-6E6D0CCA4241}" type="doc">
      <dgm:prSet loTypeId="urn:microsoft.com/office/officeart/2005/8/layout/chevron1" loCatId="" qsTypeId="urn:microsoft.com/office/officeart/2005/8/quickstyle/simple4" qsCatId="simple" csTypeId="urn:microsoft.com/office/officeart/2005/8/colors/accent1_2" csCatId="accent1" phldr="1"/>
      <dgm:spPr/>
    </dgm:pt>
    <dgm:pt modelId="{8A43B7F0-3756-B942-AF8F-7E8124CBA170}">
      <dgm:prSet phldrT="[Text]" custT="1"/>
      <dgm:spPr/>
      <dgm:t>
        <a:bodyPr/>
        <a:lstStyle/>
        <a:p>
          <a:r>
            <a:rPr lang="en-US" sz="1200" dirty="0" smtClean="0"/>
            <a:t>CFC</a:t>
          </a:r>
          <a:endParaRPr lang="en-US" sz="1200" dirty="0"/>
        </a:p>
      </dgm:t>
    </dgm:pt>
    <dgm:pt modelId="{C8C2931C-D07D-754B-BD3B-E4B995D03CE1}" type="parTrans" cxnId="{DC33DD7F-1426-424E-B4A2-E3E50B22EF1E}">
      <dgm:prSet/>
      <dgm:spPr/>
      <dgm:t>
        <a:bodyPr/>
        <a:lstStyle/>
        <a:p>
          <a:endParaRPr lang="en-US" sz="1200"/>
        </a:p>
      </dgm:t>
    </dgm:pt>
    <dgm:pt modelId="{049BF0CD-9A9F-3849-B3BD-D5F5D88B9744}" type="sibTrans" cxnId="{DC33DD7F-1426-424E-B4A2-E3E50B22EF1E}">
      <dgm:prSet/>
      <dgm:spPr/>
      <dgm:t>
        <a:bodyPr/>
        <a:lstStyle/>
        <a:p>
          <a:endParaRPr lang="en-US" sz="1200"/>
        </a:p>
      </dgm:t>
    </dgm:pt>
    <dgm:pt modelId="{383874DA-F694-4A4D-9032-4967F9235FFC}">
      <dgm:prSet phldrT="[Text]" custT="1"/>
      <dgm:spPr/>
      <dgm:t>
        <a:bodyPr/>
        <a:lstStyle/>
        <a:p>
          <a:r>
            <a:rPr lang="en-US" sz="1200" dirty="0" smtClean="0"/>
            <a:t>HFC</a:t>
          </a:r>
          <a:endParaRPr lang="en-US" sz="1200" dirty="0"/>
        </a:p>
      </dgm:t>
    </dgm:pt>
    <dgm:pt modelId="{44A9225F-48EC-1F4A-9730-838A4305DF94}" type="parTrans" cxnId="{1FAD818C-1D24-AF4B-9F11-8FA66CBC814B}">
      <dgm:prSet/>
      <dgm:spPr/>
      <dgm:t>
        <a:bodyPr/>
        <a:lstStyle/>
        <a:p>
          <a:endParaRPr lang="en-US" sz="1200"/>
        </a:p>
      </dgm:t>
    </dgm:pt>
    <dgm:pt modelId="{E1735C37-BD22-9648-9612-89100E9B2468}" type="sibTrans" cxnId="{1FAD818C-1D24-AF4B-9F11-8FA66CBC814B}">
      <dgm:prSet/>
      <dgm:spPr/>
      <dgm:t>
        <a:bodyPr/>
        <a:lstStyle/>
        <a:p>
          <a:endParaRPr lang="en-US" sz="1200"/>
        </a:p>
      </dgm:t>
    </dgm:pt>
    <dgm:pt modelId="{18FA92A0-CEEE-DB4B-B6EB-383CE192F7A6}">
      <dgm:prSet phldrT="[Text]" custT="1"/>
      <dgm:spPr/>
      <dgm:t>
        <a:bodyPr/>
        <a:lstStyle/>
        <a:p>
          <a:r>
            <a:rPr lang="en-US" sz="1200" dirty="0" smtClean="0"/>
            <a:t>Low GWP</a:t>
          </a:r>
          <a:endParaRPr lang="en-US" sz="1200" dirty="0"/>
        </a:p>
      </dgm:t>
    </dgm:pt>
    <dgm:pt modelId="{42FF4F7B-3616-EF41-A1DF-E756A832C55B}" type="parTrans" cxnId="{F1116F28-1689-4F4E-AEA6-E01888059E15}">
      <dgm:prSet/>
      <dgm:spPr/>
      <dgm:t>
        <a:bodyPr/>
        <a:lstStyle/>
        <a:p>
          <a:endParaRPr lang="en-US" sz="1200"/>
        </a:p>
      </dgm:t>
    </dgm:pt>
    <dgm:pt modelId="{93729B18-B1C7-6044-BC1E-E1759502E4BE}" type="sibTrans" cxnId="{F1116F28-1689-4F4E-AEA6-E01888059E15}">
      <dgm:prSet/>
      <dgm:spPr/>
      <dgm:t>
        <a:bodyPr/>
        <a:lstStyle/>
        <a:p>
          <a:endParaRPr lang="en-US" sz="1200"/>
        </a:p>
      </dgm:t>
    </dgm:pt>
    <dgm:pt modelId="{B3B04371-E202-9546-8E5C-370A587C82C2}">
      <dgm:prSet custT="1"/>
      <dgm:spPr/>
      <dgm:t>
        <a:bodyPr/>
        <a:lstStyle/>
        <a:p>
          <a:r>
            <a:rPr lang="en-US" sz="1200" dirty="0" smtClean="0"/>
            <a:t>HCFC</a:t>
          </a:r>
          <a:endParaRPr lang="en-US" sz="1200" dirty="0"/>
        </a:p>
      </dgm:t>
    </dgm:pt>
    <dgm:pt modelId="{711BB184-AC7A-AD4D-9BD0-49D10533CBAE}" type="parTrans" cxnId="{28F22921-D91A-594A-B08A-BB536D7A7F05}">
      <dgm:prSet/>
      <dgm:spPr/>
      <dgm:t>
        <a:bodyPr/>
        <a:lstStyle/>
        <a:p>
          <a:endParaRPr lang="en-US" sz="1200"/>
        </a:p>
      </dgm:t>
    </dgm:pt>
    <dgm:pt modelId="{6F1BC38C-4570-4443-974D-E75781FC1C4B}" type="sibTrans" cxnId="{28F22921-D91A-594A-B08A-BB536D7A7F05}">
      <dgm:prSet/>
      <dgm:spPr/>
      <dgm:t>
        <a:bodyPr/>
        <a:lstStyle/>
        <a:p>
          <a:endParaRPr lang="en-US" sz="1200"/>
        </a:p>
      </dgm:t>
    </dgm:pt>
    <dgm:pt modelId="{F2DBF03D-9FCD-ED41-8109-9B78354F6E26}" type="pres">
      <dgm:prSet presAssocID="{A55A861C-0728-0E40-820A-6E6D0CCA4241}" presName="Name0" presStyleCnt="0">
        <dgm:presLayoutVars>
          <dgm:dir/>
          <dgm:animLvl val="lvl"/>
          <dgm:resizeHandles val="exact"/>
        </dgm:presLayoutVars>
      </dgm:prSet>
      <dgm:spPr/>
    </dgm:pt>
    <dgm:pt modelId="{D7306E40-4ABD-414A-9BD4-76D4349A32C7}" type="pres">
      <dgm:prSet presAssocID="{8A43B7F0-3756-B942-AF8F-7E8124CBA170}" presName="parTxOnly" presStyleLbl="node1" presStyleIdx="0" presStyleCnt="4">
        <dgm:presLayoutVars>
          <dgm:chMax val="0"/>
          <dgm:chPref val="0"/>
          <dgm:bulletEnabled val="1"/>
        </dgm:presLayoutVars>
      </dgm:prSet>
      <dgm:spPr/>
      <dgm:t>
        <a:bodyPr/>
        <a:lstStyle/>
        <a:p>
          <a:endParaRPr lang="en-US"/>
        </a:p>
      </dgm:t>
    </dgm:pt>
    <dgm:pt modelId="{4107036B-847B-CA41-8024-F72D9B6243EC}" type="pres">
      <dgm:prSet presAssocID="{049BF0CD-9A9F-3849-B3BD-D5F5D88B9744}" presName="parTxOnlySpace" presStyleCnt="0"/>
      <dgm:spPr/>
    </dgm:pt>
    <dgm:pt modelId="{645980AA-BB5F-C14D-910B-9FFA8CA9B793}" type="pres">
      <dgm:prSet presAssocID="{B3B04371-E202-9546-8E5C-370A587C82C2}" presName="parTxOnly" presStyleLbl="node1" presStyleIdx="1" presStyleCnt="4">
        <dgm:presLayoutVars>
          <dgm:chMax val="0"/>
          <dgm:chPref val="0"/>
          <dgm:bulletEnabled val="1"/>
        </dgm:presLayoutVars>
      </dgm:prSet>
      <dgm:spPr/>
      <dgm:t>
        <a:bodyPr/>
        <a:lstStyle/>
        <a:p>
          <a:endParaRPr lang="en-US"/>
        </a:p>
      </dgm:t>
    </dgm:pt>
    <dgm:pt modelId="{FC4C0732-7E0D-FC43-86C8-488D0E1E0D98}" type="pres">
      <dgm:prSet presAssocID="{6F1BC38C-4570-4443-974D-E75781FC1C4B}" presName="parTxOnlySpace" presStyleCnt="0"/>
      <dgm:spPr/>
    </dgm:pt>
    <dgm:pt modelId="{4214CBB7-3C86-974E-80C9-48598EFC191B}" type="pres">
      <dgm:prSet presAssocID="{383874DA-F694-4A4D-9032-4967F9235FFC}" presName="parTxOnly" presStyleLbl="node1" presStyleIdx="2" presStyleCnt="4">
        <dgm:presLayoutVars>
          <dgm:chMax val="0"/>
          <dgm:chPref val="0"/>
          <dgm:bulletEnabled val="1"/>
        </dgm:presLayoutVars>
      </dgm:prSet>
      <dgm:spPr/>
      <dgm:t>
        <a:bodyPr/>
        <a:lstStyle/>
        <a:p>
          <a:endParaRPr lang="en-US"/>
        </a:p>
      </dgm:t>
    </dgm:pt>
    <dgm:pt modelId="{9D343177-63E1-FC44-9834-2E959DA891C1}" type="pres">
      <dgm:prSet presAssocID="{E1735C37-BD22-9648-9612-89100E9B2468}" presName="parTxOnlySpace" presStyleCnt="0"/>
      <dgm:spPr/>
    </dgm:pt>
    <dgm:pt modelId="{25AE0E7A-4E7C-1244-BE87-0FFFA778D340}" type="pres">
      <dgm:prSet presAssocID="{18FA92A0-CEEE-DB4B-B6EB-383CE192F7A6}" presName="parTxOnly" presStyleLbl="node1" presStyleIdx="3" presStyleCnt="4">
        <dgm:presLayoutVars>
          <dgm:chMax val="0"/>
          <dgm:chPref val="0"/>
          <dgm:bulletEnabled val="1"/>
        </dgm:presLayoutVars>
      </dgm:prSet>
      <dgm:spPr/>
      <dgm:t>
        <a:bodyPr/>
        <a:lstStyle/>
        <a:p>
          <a:endParaRPr lang="en-US"/>
        </a:p>
      </dgm:t>
    </dgm:pt>
  </dgm:ptLst>
  <dgm:cxnLst>
    <dgm:cxn modelId="{1FAD818C-1D24-AF4B-9F11-8FA66CBC814B}" srcId="{A55A861C-0728-0E40-820A-6E6D0CCA4241}" destId="{383874DA-F694-4A4D-9032-4967F9235FFC}" srcOrd="2" destOrd="0" parTransId="{44A9225F-48EC-1F4A-9730-838A4305DF94}" sibTransId="{E1735C37-BD22-9648-9612-89100E9B2468}"/>
    <dgm:cxn modelId="{28F22921-D91A-594A-B08A-BB536D7A7F05}" srcId="{A55A861C-0728-0E40-820A-6E6D0CCA4241}" destId="{B3B04371-E202-9546-8E5C-370A587C82C2}" srcOrd="1" destOrd="0" parTransId="{711BB184-AC7A-AD4D-9BD0-49D10533CBAE}" sibTransId="{6F1BC38C-4570-4443-974D-E75781FC1C4B}"/>
    <dgm:cxn modelId="{AB436DD6-4622-400B-9B14-FE0A87F1A007}" type="presOf" srcId="{18FA92A0-CEEE-DB4B-B6EB-383CE192F7A6}" destId="{25AE0E7A-4E7C-1244-BE87-0FFFA778D340}" srcOrd="0" destOrd="0" presId="urn:microsoft.com/office/officeart/2005/8/layout/chevron1"/>
    <dgm:cxn modelId="{1F2BBA74-B302-49B2-AB58-95258CE493DA}" type="presOf" srcId="{B3B04371-E202-9546-8E5C-370A587C82C2}" destId="{645980AA-BB5F-C14D-910B-9FFA8CA9B793}" srcOrd="0" destOrd="0" presId="urn:microsoft.com/office/officeart/2005/8/layout/chevron1"/>
    <dgm:cxn modelId="{DC33DD7F-1426-424E-B4A2-E3E50B22EF1E}" srcId="{A55A861C-0728-0E40-820A-6E6D0CCA4241}" destId="{8A43B7F0-3756-B942-AF8F-7E8124CBA170}" srcOrd="0" destOrd="0" parTransId="{C8C2931C-D07D-754B-BD3B-E4B995D03CE1}" sibTransId="{049BF0CD-9A9F-3849-B3BD-D5F5D88B9744}"/>
    <dgm:cxn modelId="{7D8D0854-8F72-4A0B-B1A6-F53D1DA3A7EB}" type="presOf" srcId="{383874DA-F694-4A4D-9032-4967F9235FFC}" destId="{4214CBB7-3C86-974E-80C9-48598EFC191B}" srcOrd="0" destOrd="0" presId="urn:microsoft.com/office/officeart/2005/8/layout/chevron1"/>
    <dgm:cxn modelId="{F1116F28-1689-4F4E-AEA6-E01888059E15}" srcId="{A55A861C-0728-0E40-820A-6E6D0CCA4241}" destId="{18FA92A0-CEEE-DB4B-B6EB-383CE192F7A6}" srcOrd="3" destOrd="0" parTransId="{42FF4F7B-3616-EF41-A1DF-E756A832C55B}" sibTransId="{93729B18-B1C7-6044-BC1E-E1759502E4BE}"/>
    <dgm:cxn modelId="{77AFB27C-C7E1-4604-9CD0-13612B7034F0}" type="presOf" srcId="{8A43B7F0-3756-B942-AF8F-7E8124CBA170}" destId="{D7306E40-4ABD-414A-9BD4-76D4349A32C7}" srcOrd="0" destOrd="0" presId="urn:microsoft.com/office/officeart/2005/8/layout/chevron1"/>
    <dgm:cxn modelId="{50B68F75-FEB6-40A4-9DD6-570FDA510E37}" type="presOf" srcId="{A55A861C-0728-0E40-820A-6E6D0CCA4241}" destId="{F2DBF03D-9FCD-ED41-8109-9B78354F6E26}" srcOrd="0" destOrd="0" presId="urn:microsoft.com/office/officeart/2005/8/layout/chevron1"/>
    <dgm:cxn modelId="{610794E1-AB99-4849-AB80-DEFD7414D68F}" type="presParOf" srcId="{F2DBF03D-9FCD-ED41-8109-9B78354F6E26}" destId="{D7306E40-4ABD-414A-9BD4-76D4349A32C7}" srcOrd="0" destOrd="0" presId="urn:microsoft.com/office/officeart/2005/8/layout/chevron1"/>
    <dgm:cxn modelId="{BDF98CA0-C4BF-4918-8ADF-332BA843D93F}" type="presParOf" srcId="{F2DBF03D-9FCD-ED41-8109-9B78354F6E26}" destId="{4107036B-847B-CA41-8024-F72D9B6243EC}" srcOrd="1" destOrd="0" presId="urn:microsoft.com/office/officeart/2005/8/layout/chevron1"/>
    <dgm:cxn modelId="{8CF919B8-DDA5-4DF4-9CF4-F29585444851}" type="presParOf" srcId="{F2DBF03D-9FCD-ED41-8109-9B78354F6E26}" destId="{645980AA-BB5F-C14D-910B-9FFA8CA9B793}" srcOrd="2" destOrd="0" presId="urn:microsoft.com/office/officeart/2005/8/layout/chevron1"/>
    <dgm:cxn modelId="{E3D4A1D1-C0EA-4EE0-9228-F395703AC4A0}" type="presParOf" srcId="{F2DBF03D-9FCD-ED41-8109-9B78354F6E26}" destId="{FC4C0732-7E0D-FC43-86C8-488D0E1E0D98}" srcOrd="3" destOrd="0" presId="urn:microsoft.com/office/officeart/2005/8/layout/chevron1"/>
    <dgm:cxn modelId="{890263F6-FD81-4F9E-9023-F939C2D463E4}" type="presParOf" srcId="{F2DBF03D-9FCD-ED41-8109-9B78354F6E26}" destId="{4214CBB7-3C86-974E-80C9-48598EFC191B}" srcOrd="4" destOrd="0" presId="urn:microsoft.com/office/officeart/2005/8/layout/chevron1"/>
    <dgm:cxn modelId="{117D1B68-7B5B-4ADA-84DE-60302739AE24}" type="presParOf" srcId="{F2DBF03D-9FCD-ED41-8109-9B78354F6E26}" destId="{9D343177-63E1-FC44-9834-2E959DA891C1}" srcOrd="5" destOrd="0" presId="urn:microsoft.com/office/officeart/2005/8/layout/chevron1"/>
    <dgm:cxn modelId="{7EC01815-0402-4A6D-84C2-CD924415F217}" type="presParOf" srcId="{F2DBF03D-9FCD-ED41-8109-9B78354F6E26}" destId="{25AE0E7A-4E7C-1244-BE87-0FFFA778D340}" srcOrd="6" destOrd="0" presId="urn:microsoft.com/office/officeart/2005/8/layout/chevron1"/>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EC57DC9-A4E6-4A40-A755-94BBF5810FEB}">
      <dsp:nvSpPr>
        <dsp:cNvPr id="0" name=""/>
        <dsp:cNvSpPr/>
      </dsp:nvSpPr>
      <dsp:spPr>
        <a:xfrm>
          <a:off x="182392" y="205"/>
          <a:ext cx="2088746" cy="288197"/>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sz="1100" kern="1200" dirty="0" smtClean="0"/>
            <a:t>Ammonia</a:t>
          </a:r>
          <a:endParaRPr lang="en-US" sz="1100" kern="1200" dirty="0"/>
        </a:p>
      </dsp:txBody>
      <dsp:txXfrm>
        <a:off x="182392" y="205"/>
        <a:ext cx="2088746" cy="288197"/>
      </dsp:txXfrm>
    </dsp:sp>
    <dsp:sp modelId="{5A8E1144-C48B-D941-B108-42D5161F4D77}">
      <dsp:nvSpPr>
        <dsp:cNvPr id="0" name=""/>
        <dsp:cNvSpPr/>
      </dsp:nvSpPr>
      <dsp:spPr>
        <a:xfrm>
          <a:off x="2177474" y="24702"/>
          <a:ext cx="1530228" cy="239203"/>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smtClean="0"/>
            <a:t>ODP = 0</a:t>
          </a:r>
          <a:endParaRPr lang="en-US" sz="1000" kern="1200" dirty="0"/>
        </a:p>
      </dsp:txBody>
      <dsp:txXfrm>
        <a:off x="2177474" y="24702"/>
        <a:ext cx="1530228" cy="239203"/>
      </dsp:txXfrm>
    </dsp:sp>
    <dsp:sp modelId="{32BF1FEF-F10D-C144-AC76-D08FFC64B686}">
      <dsp:nvSpPr>
        <dsp:cNvPr id="0" name=""/>
        <dsp:cNvSpPr/>
      </dsp:nvSpPr>
      <dsp:spPr>
        <a:xfrm>
          <a:off x="3623982" y="24702"/>
          <a:ext cx="1530228" cy="239203"/>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smtClean="0"/>
            <a:t>GWP = 0</a:t>
          </a:r>
          <a:endParaRPr lang="en-US" sz="1000" kern="1200" dirty="0"/>
        </a:p>
      </dsp:txBody>
      <dsp:txXfrm>
        <a:off x="3623982" y="24702"/>
        <a:ext cx="1530228" cy="239203"/>
      </dsp:txXfrm>
    </dsp:sp>
    <dsp:sp modelId="{C74C3FA5-D313-6B46-BF63-B94CC8AFA637}">
      <dsp:nvSpPr>
        <dsp:cNvPr id="0" name=""/>
        <dsp:cNvSpPr/>
      </dsp:nvSpPr>
      <dsp:spPr>
        <a:xfrm>
          <a:off x="182392" y="328750"/>
          <a:ext cx="2088746" cy="288197"/>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sz="1100" kern="1200" dirty="0" smtClean="0"/>
            <a:t>Carbon dioxide</a:t>
          </a:r>
          <a:endParaRPr lang="en-US" sz="1100" kern="1200" dirty="0"/>
        </a:p>
      </dsp:txBody>
      <dsp:txXfrm>
        <a:off x="182392" y="328750"/>
        <a:ext cx="2088746" cy="288197"/>
      </dsp:txXfrm>
    </dsp:sp>
    <dsp:sp modelId="{1AD99116-E64F-E647-B4A9-66363453208B}">
      <dsp:nvSpPr>
        <dsp:cNvPr id="0" name=""/>
        <dsp:cNvSpPr/>
      </dsp:nvSpPr>
      <dsp:spPr>
        <a:xfrm>
          <a:off x="2177474" y="353247"/>
          <a:ext cx="1530228" cy="239203"/>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smtClean="0"/>
            <a:t>ODP = 0</a:t>
          </a:r>
          <a:endParaRPr lang="en-US" sz="1000" kern="1200" dirty="0"/>
        </a:p>
      </dsp:txBody>
      <dsp:txXfrm>
        <a:off x="2177474" y="353247"/>
        <a:ext cx="1530228" cy="239203"/>
      </dsp:txXfrm>
    </dsp:sp>
    <dsp:sp modelId="{4209D93A-EB5E-DB4F-955A-A3DE7057AF04}">
      <dsp:nvSpPr>
        <dsp:cNvPr id="0" name=""/>
        <dsp:cNvSpPr/>
      </dsp:nvSpPr>
      <dsp:spPr>
        <a:xfrm>
          <a:off x="3623982" y="353247"/>
          <a:ext cx="1530228" cy="239203"/>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smtClean="0"/>
            <a:t>GWP = 1</a:t>
          </a:r>
          <a:endParaRPr lang="en-US" sz="1000" kern="1200" dirty="0"/>
        </a:p>
      </dsp:txBody>
      <dsp:txXfrm>
        <a:off x="3623982" y="353247"/>
        <a:ext cx="1530228" cy="239203"/>
      </dsp:txXfrm>
    </dsp:sp>
    <dsp:sp modelId="{BA8A9F80-E1DD-F742-946A-B8B15185FB13}">
      <dsp:nvSpPr>
        <dsp:cNvPr id="0" name=""/>
        <dsp:cNvSpPr/>
      </dsp:nvSpPr>
      <dsp:spPr>
        <a:xfrm>
          <a:off x="182392" y="657295"/>
          <a:ext cx="2088746" cy="288197"/>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sz="1100" kern="1200" dirty="0" smtClean="0"/>
            <a:t>Hydrocarbons</a:t>
          </a:r>
          <a:endParaRPr lang="en-US" sz="1100" kern="1200" dirty="0"/>
        </a:p>
      </dsp:txBody>
      <dsp:txXfrm>
        <a:off x="182392" y="657295"/>
        <a:ext cx="2088746" cy="288197"/>
      </dsp:txXfrm>
    </dsp:sp>
    <dsp:sp modelId="{00DE288E-B039-2641-875F-A679347E5D0D}">
      <dsp:nvSpPr>
        <dsp:cNvPr id="0" name=""/>
        <dsp:cNvSpPr/>
      </dsp:nvSpPr>
      <dsp:spPr>
        <a:xfrm>
          <a:off x="2177474" y="681792"/>
          <a:ext cx="1530228" cy="239203"/>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smtClean="0"/>
            <a:t>ODP = 0</a:t>
          </a:r>
          <a:endParaRPr lang="en-US" sz="1000" kern="1200" dirty="0"/>
        </a:p>
      </dsp:txBody>
      <dsp:txXfrm>
        <a:off x="2177474" y="681792"/>
        <a:ext cx="1530228" cy="239203"/>
      </dsp:txXfrm>
    </dsp:sp>
    <dsp:sp modelId="{FC5F1EB5-8775-F34D-8EB1-FC40C51CC71C}">
      <dsp:nvSpPr>
        <dsp:cNvPr id="0" name=""/>
        <dsp:cNvSpPr/>
      </dsp:nvSpPr>
      <dsp:spPr>
        <a:xfrm>
          <a:off x="3623982" y="681792"/>
          <a:ext cx="1530228" cy="239203"/>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smtClean="0"/>
            <a:t>GWP ≈ 3</a:t>
          </a:r>
          <a:endParaRPr lang="en-US" sz="1000" kern="1200" dirty="0"/>
        </a:p>
      </dsp:txBody>
      <dsp:txXfrm>
        <a:off x="3623982" y="681792"/>
        <a:ext cx="1530228" cy="23920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7306E40-4ABD-414A-9BD4-76D4349A32C7}">
      <dsp:nvSpPr>
        <dsp:cNvPr id="0" name=""/>
        <dsp:cNvSpPr/>
      </dsp:nvSpPr>
      <dsp:spPr>
        <a:xfrm>
          <a:off x="2772" y="0"/>
          <a:ext cx="1614147" cy="406400"/>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dirty="0" smtClean="0"/>
            <a:t>CFC</a:t>
          </a:r>
          <a:endParaRPr lang="en-US" sz="1200" kern="1200" dirty="0"/>
        </a:p>
      </dsp:txBody>
      <dsp:txXfrm>
        <a:off x="2772" y="0"/>
        <a:ext cx="1614147" cy="406400"/>
      </dsp:txXfrm>
    </dsp:sp>
    <dsp:sp modelId="{645980AA-BB5F-C14D-910B-9FFA8CA9B793}">
      <dsp:nvSpPr>
        <dsp:cNvPr id="0" name=""/>
        <dsp:cNvSpPr/>
      </dsp:nvSpPr>
      <dsp:spPr>
        <a:xfrm>
          <a:off x="1455505" y="0"/>
          <a:ext cx="1614147" cy="406400"/>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dirty="0" smtClean="0"/>
            <a:t>HCFC</a:t>
          </a:r>
          <a:endParaRPr lang="en-US" sz="1200" kern="1200" dirty="0"/>
        </a:p>
      </dsp:txBody>
      <dsp:txXfrm>
        <a:off x="1455505" y="0"/>
        <a:ext cx="1614147" cy="406400"/>
      </dsp:txXfrm>
    </dsp:sp>
    <dsp:sp modelId="{4214CBB7-3C86-974E-80C9-48598EFC191B}">
      <dsp:nvSpPr>
        <dsp:cNvPr id="0" name=""/>
        <dsp:cNvSpPr/>
      </dsp:nvSpPr>
      <dsp:spPr>
        <a:xfrm>
          <a:off x="2908237" y="0"/>
          <a:ext cx="1614147" cy="406400"/>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dirty="0" smtClean="0"/>
            <a:t>HFC</a:t>
          </a:r>
          <a:endParaRPr lang="en-US" sz="1200" kern="1200" dirty="0"/>
        </a:p>
      </dsp:txBody>
      <dsp:txXfrm>
        <a:off x="2908237" y="0"/>
        <a:ext cx="1614147" cy="406400"/>
      </dsp:txXfrm>
    </dsp:sp>
    <dsp:sp modelId="{25AE0E7A-4E7C-1244-BE87-0FFFA778D340}">
      <dsp:nvSpPr>
        <dsp:cNvPr id="0" name=""/>
        <dsp:cNvSpPr/>
      </dsp:nvSpPr>
      <dsp:spPr>
        <a:xfrm>
          <a:off x="4360969" y="0"/>
          <a:ext cx="1614147" cy="406400"/>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dirty="0" smtClean="0"/>
            <a:t>Low GWP</a:t>
          </a:r>
          <a:endParaRPr lang="en-US" sz="1200" kern="1200" dirty="0"/>
        </a:p>
      </dsp:txBody>
      <dsp:txXfrm>
        <a:off x="4360969" y="0"/>
        <a:ext cx="1614147" cy="406400"/>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AF268-687F-4E51-90F2-4EEC335A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47616</Words>
  <Characters>271413</Characters>
  <Application>Microsoft Office Word</Application>
  <DocSecurity>0</DocSecurity>
  <Lines>2261</Lines>
  <Paragraphs>636</Paragraphs>
  <ScaleCrop>false</ScaleCrop>
  <Company/>
  <LinksUpToDate>false</LinksUpToDate>
  <CharactersWithSpaces>318393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HFC Consumption in Australia in 2013 and an Assessment of the Capacity of Industry to Transition to Nil and Lower GWP alternatives</dc:title>
  <dc:creator/>
  <cp:lastModifiedBy/>
  <cp:revision>1</cp:revision>
  <dcterms:created xsi:type="dcterms:W3CDTF">2014-05-19T07:12:00Z</dcterms:created>
  <dcterms:modified xsi:type="dcterms:W3CDTF">2014-05-19T07:12:00Z</dcterms:modified>
</cp:coreProperties>
</file>