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474A7" w14:textId="2701CA22" w:rsidR="005B4BD6" w:rsidRPr="005B4BD6" w:rsidRDefault="005B4BD6" w:rsidP="00640D13">
      <w:pPr>
        <w:pStyle w:val="Heading1"/>
      </w:pPr>
      <w:r>
        <w:t xml:space="preserve">Horticulture export cost recovery arrangement: financial performance </w:t>
      </w:r>
      <w:r w:rsidRPr="00486714">
        <w:t>2024</w:t>
      </w:r>
      <w:r w:rsidR="00F703BB" w:rsidRPr="00401006">
        <w:t>–</w:t>
      </w:r>
      <w:r w:rsidRPr="00486714">
        <w:t>25</w:t>
      </w:r>
    </w:p>
    <w:p w14:paraId="346FCA04" w14:textId="72DB4E47" w:rsidR="00764D6A" w:rsidRDefault="00E91D72">
      <w:pPr>
        <w:pStyle w:val="Normalsmall"/>
      </w:pPr>
      <w:r>
        <w:br w:type="page"/>
      </w:r>
      <w:r>
        <w:lastRenderedPageBreak/>
        <w:t xml:space="preserve">© Commonwealth of Australia </w:t>
      </w:r>
      <w:r w:rsidR="00B97E61">
        <w:t>202</w:t>
      </w:r>
      <w:r w:rsidR="002A5219">
        <w:t>6</w:t>
      </w:r>
    </w:p>
    <w:p w14:paraId="3FA5BB11" w14:textId="77777777" w:rsidR="00764D6A" w:rsidRDefault="00E91D72" w:rsidP="00EE2B6E">
      <w:pPr>
        <w:pStyle w:val="Normalsmall"/>
        <w:spacing w:after="0"/>
        <w:rPr>
          <w:rStyle w:val="Strong"/>
        </w:rPr>
      </w:pPr>
      <w:r>
        <w:rPr>
          <w:rStyle w:val="Strong"/>
        </w:rPr>
        <w:t>Ownership of intellectual property rights</w:t>
      </w:r>
    </w:p>
    <w:p w14:paraId="54065D2E"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13319E08" w14:textId="77777777" w:rsidR="00764D6A" w:rsidRDefault="00E91D72" w:rsidP="00EE2B6E">
      <w:pPr>
        <w:pStyle w:val="Normalsmall"/>
        <w:spacing w:after="0"/>
        <w:rPr>
          <w:rStyle w:val="Strong"/>
        </w:rPr>
      </w:pPr>
      <w:r>
        <w:rPr>
          <w:rStyle w:val="Strong"/>
        </w:rPr>
        <w:t>Creative Commons licence</w:t>
      </w:r>
    </w:p>
    <w:p w14:paraId="71885718"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16822AC8" w14:textId="77777777" w:rsidR="00764D6A" w:rsidRPr="00364A4A" w:rsidRDefault="00E91D72">
      <w:pPr>
        <w:pStyle w:val="Normalsmall"/>
      </w:pPr>
      <w:r w:rsidRPr="00364A4A">
        <w:rPr>
          <w:noProof/>
          <w:lang w:eastAsia="en-AU"/>
        </w:rPr>
        <w:drawing>
          <wp:inline distT="0" distB="0" distL="0" distR="0" wp14:anchorId="399C23ED" wp14:editId="361B10D1">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1AB00643" w14:textId="77777777" w:rsidR="00764D6A" w:rsidRPr="00364A4A" w:rsidRDefault="00E91D72" w:rsidP="00EE2B6E">
      <w:pPr>
        <w:pStyle w:val="Normalsmall"/>
        <w:spacing w:after="0"/>
        <w:rPr>
          <w:rStyle w:val="Strong"/>
        </w:rPr>
      </w:pPr>
      <w:r w:rsidRPr="00364A4A">
        <w:rPr>
          <w:rStyle w:val="Strong"/>
        </w:rPr>
        <w:t>Cataloguing data</w:t>
      </w:r>
    </w:p>
    <w:p w14:paraId="6A5947D1" w14:textId="3DCCFCDE" w:rsidR="004A3EA7" w:rsidRDefault="00E91D72">
      <w:pPr>
        <w:pStyle w:val="Normalsmall"/>
      </w:pPr>
      <w:r w:rsidRPr="00364A4A">
        <w:t xml:space="preserve">This publication (and any material sourced from it) should be attributed as: </w:t>
      </w:r>
      <w:r w:rsidR="004A3EA7" w:rsidRPr="00CC00FF">
        <w:t>DAFF 202</w:t>
      </w:r>
      <w:r w:rsidR="002A5219">
        <w:t>6</w:t>
      </w:r>
      <w:r w:rsidR="004A3EA7" w:rsidRPr="00CC00FF">
        <w:t xml:space="preserve">, </w:t>
      </w:r>
      <w:bookmarkStart w:id="0" w:name="_Hlk178943277"/>
      <w:r w:rsidR="004A3EA7" w:rsidRPr="00135C36">
        <w:rPr>
          <w:rStyle w:val="Emphasis"/>
        </w:rPr>
        <w:t xml:space="preserve">Horticultural export cost recovery arrangement: financial performance </w:t>
      </w:r>
      <w:bookmarkEnd w:id="0"/>
      <w:r w:rsidR="004A3EA7" w:rsidRPr="00135C36">
        <w:rPr>
          <w:rStyle w:val="Emphasis"/>
        </w:rPr>
        <w:t>2024</w:t>
      </w:r>
      <w:r w:rsidR="00541ECD" w:rsidRPr="00135C36">
        <w:rPr>
          <w:rStyle w:val="Emphasis"/>
        </w:rPr>
        <w:t>–</w:t>
      </w:r>
      <w:r w:rsidR="004A3EA7" w:rsidRPr="00135C36">
        <w:rPr>
          <w:rStyle w:val="Emphasis"/>
        </w:rPr>
        <w:t>25</w:t>
      </w:r>
      <w:r w:rsidR="004A3EA7" w:rsidRPr="00CC00FF">
        <w:t>, Department of Agriculture, Fisheries and Forestry, Canberra</w:t>
      </w:r>
      <w:r w:rsidR="00761791">
        <w:t>.</w:t>
      </w:r>
      <w:r w:rsidR="00761791" w:rsidRPr="00761791">
        <w:t xml:space="preserve"> </w:t>
      </w:r>
      <w:r w:rsidR="00761791">
        <w:t>CC BY 4.0.</w:t>
      </w:r>
    </w:p>
    <w:p w14:paraId="36B4D05D" w14:textId="081075D2" w:rsidR="00764D6A" w:rsidRDefault="00E91D72">
      <w:pPr>
        <w:pStyle w:val="Normalsmall"/>
      </w:pPr>
      <w:r>
        <w:t xml:space="preserve">This </w:t>
      </w:r>
      <w:r w:rsidRPr="00364A4A">
        <w:t>publication is available at</w:t>
      </w:r>
      <w:r w:rsidR="00A130BF">
        <w:t xml:space="preserve"> </w:t>
      </w:r>
      <w:hyperlink r:id="rId13" w:history="1">
        <w:r w:rsidR="00935F74" w:rsidRPr="00CC00FF">
          <w:rPr>
            <w:rStyle w:val="Hyperlink"/>
          </w:rPr>
          <w:t>agriculture.gov.au/about/fees/cost-recovery</w:t>
        </w:r>
      </w:hyperlink>
      <w:r w:rsidR="00935F74" w:rsidRPr="00364A4A">
        <w:t>.</w:t>
      </w:r>
    </w:p>
    <w:p w14:paraId="51AA53A1" w14:textId="77777777" w:rsidR="00DE0AAE" w:rsidRDefault="00DE0AAE">
      <w:pPr>
        <w:pStyle w:val="Normalsmall"/>
        <w:spacing w:after="0"/>
      </w:pPr>
      <w:r w:rsidRPr="00DE0AAE">
        <w:t>Department of Agriculture, Fisheries and Forestry</w:t>
      </w:r>
    </w:p>
    <w:p w14:paraId="0E572B25" w14:textId="77777777" w:rsidR="00764D6A" w:rsidRPr="00364A4A" w:rsidRDefault="00E91D72">
      <w:pPr>
        <w:pStyle w:val="Normalsmall"/>
        <w:spacing w:after="0"/>
      </w:pPr>
      <w:r w:rsidRPr="00364A4A">
        <w:t>GPO Box 858 Canberra ACT 2601</w:t>
      </w:r>
    </w:p>
    <w:p w14:paraId="411EF43F" w14:textId="77777777" w:rsidR="00764D6A" w:rsidRPr="00364A4A" w:rsidRDefault="00E91D72">
      <w:pPr>
        <w:pStyle w:val="Normalsmall"/>
        <w:spacing w:after="0"/>
      </w:pPr>
      <w:r w:rsidRPr="00364A4A">
        <w:t>Telephone 1800 900 090</w:t>
      </w:r>
    </w:p>
    <w:p w14:paraId="5B8CEB81"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48338CCE" w14:textId="77777777" w:rsidR="007C358A" w:rsidRDefault="007C358A" w:rsidP="00EE2B6E">
      <w:pPr>
        <w:pStyle w:val="Normalsmall"/>
        <w:spacing w:after="0"/>
      </w:pPr>
      <w:r w:rsidRPr="00364A4A">
        <w:rPr>
          <w:rStyle w:val="Strong"/>
        </w:rPr>
        <w:t>Disclaimer</w:t>
      </w:r>
    </w:p>
    <w:p w14:paraId="7CAD859C"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71673217" w14:textId="77777777" w:rsidR="00B02B9B" w:rsidRDefault="00B02B9B" w:rsidP="00EE2B6E">
      <w:pPr>
        <w:pStyle w:val="Normalsmall"/>
        <w:spacing w:after="0"/>
      </w:pPr>
      <w:r>
        <w:rPr>
          <w:rStyle w:val="Strong"/>
        </w:rPr>
        <w:t>Acknowledgement of Country</w:t>
      </w:r>
    </w:p>
    <w:p w14:paraId="1EF99BA9"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8A2AA39" w14:textId="1CD73C59"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6368F4A4" w14:textId="7AC76EC2" w:rsidR="00764D6A" w:rsidRDefault="00E91D72">
          <w:pPr>
            <w:pStyle w:val="TOCHeading"/>
          </w:pPr>
          <w:r>
            <w:t>Contents</w:t>
          </w:r>
        </w:p>
        <w:p w14:paraId="3454DBED" w14:textId="16634C33" w:rsidR="00E0084F"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0395916" w:history="1">
            <w:r w:rsidR="00E0084F" w:rsidRPr="006F19B7">
              <w:rPr>
                <w:rStyle w:val="Hyperlink"/>
              </w:rPr>
              <w:t>Introduction</w:t>
            </w:r>
            <w:r w:rsidR="00E0084F">
              <w:rPr>
                <w:webHidden/>
              </w:rPr>
              <w:tab/>
            </w:r>
            <w:r w:rsidR="00E0084F">
              <w:rPr>
                <w:webHidden/>
              </w:rPr>
              <w:fldChar w:fldCharType="begin"/>
            </w:r>
            <w:r w:rsidR="00E0084F">
              <w:rPr>
                <w:webHidden/>
              </w:rPr>
              <w:instrText xml:space="preserve"> PAGEREF _Toc220395916 \h </w:instrText>
            </w:r>
            <w:r w:rsidR="00E0084F">
              <w:rPr>
                <w:webHidden/>
              </w:rPr>
            </w:r>
            <w:r w:rsidR="00E0084F">
              <w:rPr>
                <w:webHidden/>
              </w:rPr>
              <w:fldChar w:fldCharType="separate"/>
            </w:r>
            <w:r w:rsidR="007D61E3">
              <w:rPr>
                <w:webHidden/>
              </w:rPr>
              <w:t>1</w:t>
            </w:r>
            <w:r w:rsidR="00E0084F">
              <w:rPr>
                <w:webHidden/>
              </w:rPr>
              <w:fldChar w:fldCharType="end"/>
            </w:r>
          </w:hyperlink>
        </w:p>
        <w:p w14:paraId="3685DDE1" w14:textId="6D4A95D0" w:rsidR="00E0084F" w:rsidRDefault="00E0084F">
          <w:pPr>
            <w:pStyle w:val="TOC1"/>
            <w:rPr>
              <w:rFonts w:eastAsiaTheme="minorEastAsia"/>
              <w:b w:val="0"/>
              <w:kern w:val="2"/>
              <w:sz w:val="24"/>
              <w:szCs w:val="24"/>
              <w:lang w:eastAsia="en-AU"/>
              <w14:ligatures w14:val="standardContextual"/>
            </w:rPr>
          </w:pPr>
          <w:hyperlink w:anchor="_Toc220395917" w:history="1">
            <w:r w:rsidRPr="006F19B7">
              <w:rPr>
                <w:rStyle w:val="Hyperlink"/>
              </w:rPr>
              <w:t>Summary of financial position</w:t>
            </w:r>
            <w:r>
              <w:rPr>
                <w:webHidden/>
              </w:rPr>
              <w:tab/>
            </w:r>
            <w:r>
              <w:rPr>
                <w:webHidden/>
              </w:rPr>
              <w:fldChar w:fldCharType="begin"/>
            </w:r>
            <w:r>
              <w:rPr>
                <w:webHidden/>
              </w:rPr>
              <w:instrText xml:space="preserve"> PAGEREF _Toc220395917 \h </w:instrText>
            </w:r>
            <w:r>
              <w:rPr>
                <w:webHidden/>
              </w:rPr>
            </w:r>
            <w:r>
              <w:rPr>
                <w:webHidden/>
              </w:rPr>
              <w:fldChar w:fldCharType="separate"/>
            </w:r>
            <w:r w:rsidR="007D61E3">
              <w:rPr>
                <w:webHidden/>
              </w:rPr>
              <w:t>2</w:t>
            </w:r>
            <w:r>
              <w:rPr>
                <w:webHidden/>
              </w:rPr>
              <w:fldChar w:fldCharType="end"/>
            </w:r>
          </w:hyperlink>
        </w:p>
        <w:p w14:paraId="489DBEDB" w14:textId="13C8C5B6" w:rsidR="00E0084F" w:rsidRDefault="00E0084F">
          <w:pPr>
            <w:pStyle w:val="TOC2"/>
            <w:rPr>
              <w:rFonts w:eastAsiaTheme="minorEastAsia"/>
              <w:kern w:val="2"/>
              <w:sz w:val="24"/>
              <w:szCs w:val="24"/>
              <w:lang w:eastAsia="en-AU"/>
              <w14:ligatures w14:val="standardContextual"/>
            </w:rPr>
          </w:pPr>
          <w:hyperlink w:anchor="_Toc220395918" w:history="1">
            <w:r w:rsidRPr="006F19B7">
              <w:rPr>
                <w:rStyle w:val="Hyperlink"/>
              </w:rPr>
              <w:t>Securing the future of agricultural trade</w:t>
            </w:r>
            <w:r>
              <w:rPr>
                <w:webHidden/>
              </w:rPr>
              <w:tab/>
            </w:r>
            <w:r>
              <w:rPr>
                <w:webHidden/>
              </w:rPr>
              <w:fldChar w:fldCharType="begin"/>
            </w:r>
            <w:r>
              <w:rPr>
                <w:webHidden/>
              </w:rPr>
              <w:instrText xml:space="preserve"> PAGEREF _Toc220395918 \h </w:instrText>
            </w:r>
            <w:r>
              <w:rPr>
                <w:webHidden/>
              </w:rPr>
            </w:r>
            <w:r>
              <w:rPr>
                <w:webHidden/>
              </w:rPr>
              <w:fldChar w:fldCharType="separate"/>
            </w:r>
            <w:r w:rsidR="007D61E3">
              <w:rPr>
                <w:webHidden/>
              </w:rPr>
              <w:t>2</w:t>
            </w:r>
            <w:r>
              <w:rPr>
                <w:webHidden/>
              </w:rPr>
              <w:fldChar w:fldCharType="end"/>
            </w:r>
          </w:hyperlink>
        </w:p>
        <w:p w14:paraId="66AFA149" w14:textId="2595D0AD" w:rsidR="00E0084F" w:rsidRDefault="00E0084F">
          <w:pPr>
            <w:pStyle w:val="TOC2"/>
            <w:rPr>
              <w:rFonts w:eastAsiaTheme="minorEastAsia"/>
              <w:kern w:val="2"/>
              <w:sz w:val="24"/>
              <w:szCs w:val="24"/>
              <w:lang w:eastAsia="en-AU"/>
              <w14:ligatures w14:val="standardContextual"/>
            </w:rPr>
          </w:pPr>
          <w:hyperlink w:anchor="_Toc220395919" w:history="1">
            <w:r w:rsidRPr="006F19B7">
              <w:rPr>
                <w:rStyle w:val="Hyperlink"/>
              </w:rPr>
              <w:t>CRIS cost modelling</w:t>
            </w:r>
            <w:r>
              <w:rPr>
                <w:webHidden/>
              </w:rPr>
              <w:tab/>
            </w:r>
            <w:r>
              <w:rPr>
                <w:webHidden/>
              </w:rPr>
              <w:fldChar w:fldCharType="begin"/>
            </w:r>
            <w:r>
              <w:rPr>
                <w:webHidden/>
              </w:rPr>
              <w:instrText xml:space="preserve"> PAGEREF _Toc220395919 \h </w:instrText>
            </w:r>
            <w:r>
              <w:rPr>
                <w:webHidden/>
              </w:rPr>
            </w:r>
            <w:r>
              <w:rPr>
                <w:webHidden/>
              </w:rPr>
              <w:fldChar w:fldCharType="separate"/>
            </w:r>
            <w:r w:rsidR="007D61E3">
              <w:rPr>
                <w:webHidden/>
              </w:rPr>
              <w:t>3</w:t>
            </w:r>
            <w:r>
              <w:rPr>
                <w:webHidden/>
              </w:rPr>
              <w:fldChar w:fldCharType="end"/>
            </w:r>
          </w:hyperlink>
        </w:p>
        <w:p w14:paraId="7ACB6387" w14:textId="03F47097" w:rsidR="00E0084F" w:rsidRDefault="00E0084F">
          <w:pPr>
            <w:pStyle w:val="TOC1"/>
            <w:rPr>
              <w:rFonts w:eastAsiaTheme="minorEastAsia"/>
              <w:b w:val="0"/>
              <w:kern w:val="2"/>
              <w:sz w:val="24"/>
              <w:szCs w:val="24"/>
              <w:lang w:eastAsia="en-AU"/>
              <w14:ligatures w14:val="standardContextual"/>
            </w:rPr>
          </w:pPr>
          <w:hyperlink w:anchor="_Toc220395920" w:history="1">
            <w:r w:rsidRPr="006F19B7">
              <w:rPr>
                <w:rStyle w:val="Hyperlink"/>
              </w:rPr>
              <w:t>Volume and revenue</w:t>
            </w:r>
            <w:r>
              <w:rPr>
                <w:webHidden/>
              </w:rPr>
              <w:tab/>
            </w:r>
            <w:r>
              <w:rPr>
                <w:webHidden/>
              </w:rPr>
              <w:fldChar w:fldCharType="begin"/>
            </w:r>
            <w:r>
              <w:rPr>
                <w:webHidden/>
              </w:rPr>
              <w:instrText xml:space="preserve"> PAGEREF _Toc220395920 \h </w:instrText>
            </w:r>
            <w:r>
              <w:rPr>
                <w:webHidden/>
              </w:rPr>
            </w:r>
            <w:r>
              <w:rPr>
                <w:webHidden/>
              </w:rPr>
              <w:fldChar w:fldCharType="separate"/>
            </w:r>
            <w:r w:rsidR="007D61E3">
              <w:rPr>
                <w:webHidden/>
              </w:rPr>
              <w:t>4</w:t>
            </w:r>
            <w:r>
              <w:rPr>
                <w:webHidden/>
              </w:rPr>
              <w:fldChar w:fldCharType="end"/>
            </w:r>
          </w:hyperlink>
        </w:p>
        <w:p w14:paraId="67B63577" w14:textId="59366934" w:rsidR="00E0084F" w:rsidRDefault="00E0084F">
          <w:pPr>
            <w:pStyle w:val="TOC1"/>
            <w:rPr>
              <w:rFonts w:eastAsiaTheme="minorEastAsia"/>
              <w:b w:val="0"/>
              <w:kern w:val="2"/>
              <w:sz w:val="24"/>
              <w:szCs w:val="24"/>
              <w:lang w:eastAsia="en-AU"/>
              <w14:ligatures w14:val="standardContextual"/>
            </w:rPr>
          </w:pPr>
          <w:hyperlink w:anchor="_Toc220395921" w:history="1">
            <w:r w:rsidRPr="006F19B7">
              <w:rPr>
                <w:rStyle w:val="Hyperlink"/>
              </w:rPr>
              <w:t>Expenses</w:t>
            </w:r>
            <w:r>
              <w:rPr>
                <w:webHidden/>
              </w:rPr>
              <w:tab/>
            </w:r>
            <w:r>
              <w:rPr>
                <w:webHidden/>
              </w:rPr>
              <w:fldChar w:fldCharType="begin"/>
            </w:r>
            <w:r>
              <w:rPr>
                <w:webHidden/>
              </w:rPr>
              <w:instrText xml:space="preserve"> PAGEREF _Toc220395921 \h </w:instrText>
            </w:r>
            <w:r>
              <w:rPr>
                <w:webHidden/>
              </w:rPr>
            </w:r>
            <w:r>
              <w:rPr>
                <w:webHidden/>
              </w:rPr>
              <w:fldChar w:fldCharType="separate"/>
            </w:r>
            <w:r w:rsidR="007D61E3">
              <w:rPr>
                <w:webHidden/>
              </w:rPr>
              <w:t>7</w:t>
            </w:r>
            <w:r>
              <w:rPr>
                <w:webHidden/>
              </w:rPr>
              <w:fldChar w:fldCharType="end"/>
            </w:r>
          </w:hyperlink>
        </w:p>
        <w:p w14:paraId="542E0726" w14:textId="0FDC2101" w:rsidR="00E0084F" w:rsidRDefault="00E0084F">
          <w:pPr>
            <w:pStyle w:val="TOC1"/>
            <w:rPr>
              <w:rFonts w:eastAsiaTheme="minorEastAsia"/>
              <w:b w:val="0"/>
              <w:kern w:val="2"/>
              <w:sz w:val="24"/>
              <w:szCs w:val="24"/>
              <w:lang w:eastAsia="en-AU"/>
              <w14:ligatures w14:val="standardContextual"/>
            </w:rPr>
          </w:pPr>
          <w:hyperlink w:anchor="_Toc220395922" w:history="1">
            <w:r w:rsidRPr="006F19B7">
              <w:rPr>
                <w:rStyle w:val="Hyperlink"/>
              </w:rPr>
              <w:t>Non-financial performance</w:t>
            </w:r>
            <w:r>
              <w:rPr>
                <w:webHidden/>
              </w:rPr>
              <w:tab/>
            </w:r>
            <w:r>
              <w:rPr>
                <w:webHidden/>
              </w:rPr>
              <w:fldChar w:fldCharType="begin"/>
            </w:r>
            <w:r>
              <w:rPr>
                <w:webHidden/>
              </w:rPr>
              <w:instrText xml:space="preserve"> PAGEREF _Toc220395922 \h </w:instrText>
            </w:r>
            <w:r>
              <w:rPr>
                <w:webHidden/>
              </w:rPr>
            </w:r>
            <w:r>
              <w:rPr>
                <w:webHidden/>
              </w:rPr>
              <w:fldChar w:fldCharType="separate"/>
            </w:r>
            <w:r w:rsidR="007D61E3">
              <w:rPr>
                <w:webHidden/>
              </w:rPr>
              <w:t>9</w:t>
            </w:r>
            <w:r>
              <w:rPr>
                <w:webHidden/>
              </w:rPr>
              <w:fldChar w:fldCharType="end"/>
            </w:r>
          </w:hyperlink>
        </w:p>
        <w:p w14:paraId="04D50C62" w14:textId="71EF9D5B" w:rsidR="00E0084F" w:rsidRDefault="00E0084F">
          <w:pPr>
            <w:pStyle w:val="TOC2"/>
            <w:rPr>
              <w:rFonts w:eastAsiaTheme="minorEastAsia"/>
              <w:kern w:val="2"/>
              <w:sz w:val="24"/>
              <w:szCs w:val="24"/>
              <w:lang w:eastAsia="en-AU"/>
              <w14:ligatures w14:val="standardContextual"/>
            </w:rPr>
          </w:pPr>
          <w:hyperlink w:anchor="_Toc220395923" w:history="1">
            <w:r w:rsidRPr="006F19B7">
              <w:rPr>
                <w:rStyle w:val="Hyperlink"/>
              </w:rPr>
              <w:t>Objective 1 Sector growth</w:t>
            </w:r>
            <w:r>
              <w:rPr>
                <w:webHidden/>
              </w:rPr>
              <w:tab/>
            </w:r>
            <w:r>
              <w:rPr>
                <w:webHidden/>
              </w:rPr>
              <w:fldChar w:fldCharType="begin"/>
            </w:r>
            <w:r>
              <w:rPr>
                <w:webHidden/>
              </w:rPr>
              <w:instrText xml:space="preserve"> PAGEREF _Toc220395923 \h </w:instrText>
            </w:r>
            <w:r>
              <w:rPr>
                <w:webHidden/>
              </w:rPr>
            </w:r>
            <w:r>
              <w:rPr>
                <w:webHidden/>
              </w:rPr>
              <w:fldChar w:fldCharType="separate"/>
            </w:r>
            <w:r w:rsidR="007D61E3">
              <w:rPr>
                <w:webHidden/>
              </w:rPr>
              <w:t>9</w:t>
            </w:r>
            <w:r>
              <w:rPr>
                <w:webHidden/>
              </w:rPr>
              <w:fldChar w:fldCharType="end"/>
            </w:r>
          </w:hyperlink>
        </w:p>
        <w:p w14:paraId="7C48BB54" w14:textId="65972861" w:rsidR="00E0084F" w:rsidRDefault="00E0084F">
          <w:pPr>
            <w:pStyle w:val="TOC1"/>
            <w:rPr>
              <w:rFonts w:eastAsiaTheme="minorEastAsia"/>
              <w:b w:val="0"/>
              <w:kern w:val="2"/>
              <w:sz w:val="24"/>
              <w:szCs w:val="24"/>
              <w:lang w:eastAsia="en-AU"/>
              <w14:ligatures w14:val="standardContextual"/>
            </w:rPr>
          </w:pPr>
          <w:hyperlink w:anchor="_Toc220395924" w:history="1">
            <w:r w:rsidRPr="006F19B7">
              <w:rPr>
                <w:rStyle w:val="Hyperlink"/>
              </w:rPr>
              <w:t>Appendix A: Divisional activities</w:t>
            </w:r>
            <w:r>
              <w:rPr>
                <w:webHidden/>
              </w:rPr>
              <w:tab/>
            </w:r>
            <w:r>
              <w:rPr>
                <w:webHidden/>
              </w:rPr>
              <w:fldChar w:fldCharType="begin"/>
            </w:r>
            <w:r>
              <w:rPr>
                <w:webHidden/>
              </w:rPr>
              <w:instrText xml:space="preserve"> PAGEREF _Toc220395924 \h </w:instrText>
            </w:r>
            <w:r>
              <w:rPr>
                <w:webHidden/>
              </w:rPr>
            </w:r>
            <w:r>
              <w:rPr>
                <w:webHidden/>
              </w:rPr>
              <w:fldChar w:fldCharType="separate"/>
            </w:r>
            <w:r w:rsidR="007D61E3">
              <w:rPr>
                <w:webHidden/>
              </w:rPr>
              <w:t>12</w:t>
            </w:r>
            <w:r>
              <w:rPr>
                <w:webHidden/>
              </w:rPr>
              <w:fldChar w:fldCharType="end"/>
            </w:r>
          </w:hyperlink>
        </w:p>
        <w:p w14:paraId="0D477A68" w14:textId="3CF8E140" w:rsidR="00E0084F" w:rsidRDefault="00E0084F">
          <w:pPr>
            <w:pStyle w:val="TOC1"/>
            <w:rPr>
              <w:rFonts w:eastAsiaTheme="minorEastAsia"/>
              <w:b w:val="0"/>
              <w:kern w:val="2"/>
              <w:sz w:val="24"/>
              <w:szCs w:val="24"/>
              <w:lang w:eastAsia="en-AU"/>
              <w14:ligatures w14:val="standardContextual"/>
            </w:rPr>
          </w:pPr>
          <w:hyperlink w:anchor="_Toc220395925" w:history="1">
            <w:r w:rsidRPr="006F19B7">
              <w:rPr>
                <w:rStyle w:val="Hyperlink"/>
              </w:rPr>
              <w:t>References</w:t>
            </w:r>
            <w:r>
              <w:rPr>
                <w:webHidden/>
              </w:rPr>
              <w:tab/>
            </w:r>
            <w:r>
              <w:rPr>
                <w:webHidden/>
              </w:rPr>
              <w:fldChar w:fldCharType="begin"/>
            </w:r>
            <w:r>
              <w:rPr>
                <w:webHidden/>
              </w:rPr>
              <w:instrText xml:space="preserve"> PAGEREF _Toc220395925 \h </w:instrText>
            </w:r>
            <w:r>
              <w:rPr>
                <w:webHidden/>
              </w:rPr>
            </w:r>
            <w:r>
              <w:rPr>
                <w:webHidden/>
              </w:rPr>
              <w:fldChar w:fldCharType="separate"/>
            </w:r>
            <w:r w:rsidR="007D61E3">
              <w:rPr>
                <w:webHidden/>
              </w:rPr>
              <w:t>14</w:t>
            </w:r>
            <w:r>
              <w:rPr>
                <w:webHidden/>
              </w:rPr>
              <w:fldChar w:fldCharType="end"/>
            </w:r>
          </w:hyperlink>
        </w:p>
        <w:p w14:paraId="72524730" w14:textId="0A2FA90C" w:rsidR="00764D6A" w:rsidRDefault="00E91D72" w:rsidP="004B3F30">
          <w:pPr>
            <w:pStyle w:val="TOC1"/>
          </w:pPr>
          <w:r>
            <w:rPr>
              <w:b w:val="0"/>
            </w:rPr>
            <w:fldChar w:fldCharType="end"/>
          </w:r>
        </w:p>
      </w:sdtContent>
    </w:sdt>
    <w:p w14:paraId="5981FE5D" w14:textId="77777777" w:rsidR="00764D6A" w:rsidRPr="009622CD" w:rsidRDefault="00E91D72" w:rsidP="009622CD">
      <w:pPr>
        <w:pStyle w:val="TOCHeading2"/>
        <w:rPr>
          <w:rStyle w:val="Strong"/>
          <w:b/>
          <w:bCs w:val="0"/>
        </w:rPr>
      </w:pPr>
      <w:r w:rsidRPr="009622CD">
        <w:rPr>
          <w:rStyle w:val="Strong"/>
          <w:b/>
          <w:bCs w:val="0"/>
        </w:rPr>
        <w:t>Tables</w:t>
      </w:r>
    </w:p>
    <w:p w14:paraId="6311469B" w14:textId="742801FC" w:rsidR="00E0084F"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20395926" w:history="1">
        <w:r w:rsidR="00E0084F" w:rsidRPr="005517C1">
          <w:rPr>
            <w:rStyle w:val="Hyperlink"/>
            <w:noProof/>
          </w:rPr>
          <w:t>Table 1 Horticulture export arrangement financial position, 2024–25</w:t>
        </w:r>
        <w:r w:rsidR="00E0084F">
          <w:rPr>
            <w:noProof/>
            <w:webHidden/>
          </w:rPr>
          <w:tab/>
        </w:r>
        <w:r w:rsidR="00E0084F">
          <w:rPr>
            <w:noProof/>
            <w:webHidden/>
          </w:rPr>
          <w:fldChar w:fldCharType="begin"/>
        </w:r>
        <w:r w:rsidR="00E0084F">
          <w:rPr>
            <w:noProof/>
            <w:webHidden/>
          </w:rPr>
          <w:instrText xml:space="preserve"> PAGEREF _Toc220395926 \h </w:instrText>
        </w:r>
        <w:r w:rsidR="00E0084F">
          <w:rPr>
            <w:noProof/>
            <w:webHidden/>
          </w:rPr>
        </w:r>
        <w:r w:rsidR="00E0084F">
          <w:rPr>
            <w:noProof/>
            <w:webHidden/>
          </w:rPr>
          <w:fldChar w:fldCharType="separate"/>
        </w:r>
        <w:r w:rsidR="007D61E3">
          <w:rPr>
            <w:noProof/>
            <w:webHidden/>
          </w:rPr>
          <w:t>2</w:t>
        </w:r>
        <w:r w:rsidR="00E0084F">
          <w:rPr>
            <w:noProof/>
            <w:webHidden/>
          </w:rPr>
          <w:fldChar w:fldCharType="end"/>
        </w:r>
      </w:hyperlink>
    </w:p>
    <w:p w14:paraId="28CE9422" w14:textId="7FD7C152" w:rsidR="00E0084F" w:rsidRDefault="00E0084F">
      <w:pPr>
        <w:pStyle w:val="TableofFigures"/>
        <w:tabs>
          <w:tab w:val="right" w:leader="dot" w:pos="9060"/>
        </w:tabs>
        <w:rPr>
          <w:rFonts w:eastAsiaTheme="minorEastAsia"/>
          <w:noProof/>
          <w:kern w:val="2"/>
          <w:sz w:val="24"/>
          <w:szCs w:val="24"/>
          <w:lang w:eastAsia="en-AU"/>
          <w14:ligatures w14:val="standardContextual"/>
        </w:rPr>
      </w:pPr>
      <w:hyperlink w:anchor="_Toc220395927" w:history="1">
        <w:r w:rsidRPr="005517C1">
          <w:rPr>
            <w:rStyle w:val="Hyperlink"/>
            <w:noProof/>
          </w:rPr>
          <w:t>Table 2 Horticulture export volumes, by charge point, 2024–25</w:t>
        </w:r>
        <w:r>
          <w:rPr>
            <w:noProof/>
            <w:webHidden/>
          </w:rPr>
          <w:tab/>
        </w:r>
        <w:r>
          <w:rPr>
            <w:noProof/>
            <w:webHidden/>
          </w:rPr>
          <w:fldChar w:fldCharType="begin"/>
        </w:r>
        <w:r>
          <w:rPr>
            <w:noProof/>
            <w:webHidden/>
          </w:rPr>
          <w:instrText xml:space="preserve"> PAGEREF _Toc220395927 \h </w:instrText>
        </w:r>
        <w:r>
          <w:rPr>
            <w:noProof/>
            <w:webHidden/>
          </w:rPr>
        </w:r>
        <w:r>
          <w:rPr>
            <w:noProof/>
            <w:webHidden/>
          </w:rPr>
          <w:fldChar w:fldCharType="separate"/>
        </w:r>
        <w:r w:rsidR="007D61E3">
          <w:rPr>
            <w:noProof/>
            <w:webHidden/>
          </w:rPr>
          <w:t>4</w:t>
        </w:r>
        <w:r>
          <w:rPr>
            <w:noProof/>
            <w:webHidden/>
          </w:rPr>
          <w:fldChar w:fldCharType="end"/>
        </w:r>
      </w:hyperlink>
    </w:p>
    <w:p w14:paraId="18159E71" w14:textId="5F0779FB" w:rsidR="00E0084F" w:rsidRDefault="00E0084F">
      <w:pPr>
        <w:pStyle w:val="TableofFigures"/>
        <w:tabs>
          <w:tab w:val="right" w:leader="dot" w:pos="9060"/>
        </w:tabs>
        <w:rPr>
          <w:rFonts w:eastAsiaTheme="minorEastAsia"/>
          <w:noProof/>
          <w:kern w:val="2"/>
          <w:sz w:val="24"/>
          <w:szCs w:val="24"/>
          <w:lang w:eastAsia="en-AU"/>
          <w14:ligatures w14:val="standardContextual"/>
        </w:rPr>
      </w:pPr>
      <w:hyperlink w:anchor="_Toc220395928" w:history="1">
        <w:r w:rsidRPr="005517C1">
          <w:rPr>
            <w:rStyle w:val="Hyperlink"/>
            <w:noProof/>
          </w:rPr>
          <w:t>Table 3 Horticulture export revenue, by charge point, 2024–25</w:t>
        </w:r>
        <w:r>
          <w:rPr>
            <w:noProof/>
            <w:webHidden/>
          </w:rPr>
          <w:tab/>
        </w:r>
        <w:r>
          <w:rPr>
            <w:noProof/>
            <w:webHidden/>
          </w:rPr>
          <w:fldChar w:fldCharType="begin"/>
        </w:r>
        <w:r>
          <w:rPr>
            <w:noProof/>
            <w:webHidden/>
          </w:rPr>
          <w:instrText xml:space="preserve"> PAGEREF _Toc220395928 \h </w:instrText>
        </w:r>
        <w:r>
          <w:rPr>
            <w:noProof/>
            <w:webHidden/>
          </w:rPr>
        </w:r>
        <w:r>
          <w:rPr>
            <w:noProof/>
            <w:webHidden/>
          </w:rPr>
          <w:fldChar w:fldCharType="separate"/>
        </w:r>
        <w:r w:rsidR="007D61E3">
          <w:rPr>
            <w:noProof/>
            <w:webHidden/>
          </w:rPr>
          <w:t>6</w:t>
        </w:r>
        <w:r>
          <w:rPr>
            <w:noProof/>
            <w:webHidden/>
          </w:rPr>
          <w:fldChar w:fldCharType="end"/>
        </w:r>
      </w:hyperlink>
    </w:p>
    <w:p w14:paraId="106C1079" w14:textId="62261504" w:rsidR="00E0084F" w:rsidRDefault="00E0084F">
      <w:pPr>
        <w:pStyle w:val="TableofFigures"/>
        <w:tabs>
          <w:tab w:val="right" w:leader="dot" w:pos="9060"/>
        </w:tabs>
        <w:rPr>
          <w:rFonts w:eastAsiaTheme="minorEastAsia"/>
          <w:noProof/>
          <w:kern w:val="2"/>
          <w:sz w:val="24"/>
          <w:szCs w:val="24"/>
          <w:lang w:eastAsia="en-AU"/>
          <w14:ligatures w14:val="standardContextual"/>
        </w:rPr>
      </w:pPr>
      <w:hyperlink w:anchor="_Toc220395929" w:history="1">
        <w:r w:rsidRPr="005517C1">
          <w:rPr>
            <w:rStyle w:val="Hyperlink"/>
            <w:noProof/>
          </w:rPr>
          <w:t>Table 4 Horticulture export arrangement cost base, by division, 2024–25</w:t>
        </w:r>
        <w:r>
          <w:rPr>
            <w:noProof/>
            <w:webHidden/>
          </w:rPr>
          <w:tab/>
        </w:r>
        <w:r>
          <w:rPr>
            <w:noProof/>
            <w:webHidden/>
          </w:rPr>
          <w:fldChar w:fldCharType="begin"/>
        </w:r>
        <w:r>
          <w:rPr>
            <w:noProof/>
            <w:webHidden/>
          </w:rPr>
          <w:instrText xml:space="preserve"> PAGEREF _Toc220395929 \h </w:instrText>
        </w:r>
        <w:r>
          <w:rPr>
            <w:noProof/>
            <w:webHidden/>
          </w:rPr>
        </w:r>
        <w:r>
          <w:rPr>
            <w:noProof/>
            <w:webHidden/>
          </w:rPr>
          <w:fldChar w:fldCharType="separate"/>
        </w:r>
        <w:r w:rsidR="007D61E3">
          <w:rPr>
            <w:noProof/>
            <w:webHidden/>
          </w:rPr>
          <w:t>7</w:t>
        </w:r>
        <w:r>
          <w:rPr>
            <w:noProof/>
            <w:webHidden/>
          </w:rPr>
          <w:fldChar w:fldCharType="end"/>
        </w:r>
      </w:hyperlink>
    </w:p>
    <w:p w14:paraId="08A5C619" w14:textId="463235E4" w:rsidR="00E0084F" w:rsidRDefault="00E0084F">
      <w:pPr>
        <w:pStyle w:val="TableofFigures"/>
        <w:tabs>
          <w:tab w:val="right" w:leader="dot" w:pos="9060"/>
        </w:tabs>
        <w:rPr>
          <w:noProof/>
        </w:rPr>
      </w:pPr>
      <w:hyperlink w:anchor="_Toc220395930" w:history="1">
        <w:r w:rsidRPr="005517C1">
          <w:rPr>
            <w:rStyle w:val="Hyperlink"/>
            <w:noProof/>
          </w:rPr>
          <w:t>Table 5 Horticulture export arrangement financial performance, 2021–22 to 2024–25</w:t>
        </w:r>
        <w:r>
          <w:rPr>
            <w:noProof/>
            <w:webHidden/>
          </w:rPr>
          <w:tab/>
        </w:r>
        <w:r>
          <w:rPr>
            <w:noProof/>
            <w:webHidden/>
          </w:rPr>
          <w:fldChar w:fldCharType="begin"/>
        </w:r>
        <w:r>
          <w:rPr>
            <w:noProof/>
            <w:webHidden/>
          </w:rPr>
          <w:instrText xml:space="preserve"> PAGEREF _Toc220395930 \h </w:instrText>
        </w:r>
        <w:r>
          <w:rPr>
            <w:noProof/>
            <w:webHidden/>
          </w:rPr>
        </w:r>
        <w:r>
          <w:rPr>
            <w:noProof/>
            <w:webHidden/>
          </w:rPr>
          <w:fldChar w:fldCharType="separate"/>
        </w:r>
        <w:r w:rsidR="007D61E3">
          <w:rPr>
            <w:noProof/>
            <w:webHidden/>
          </w:rPr>
          <w:t>8</w:t>
        </w:r>
        <w:r>
          <w:rPr>
            <w:noProof/>
            <w:webHidden/>
          </w:rPr>
          <w:fldChar w:fldCharType="end"/>
        </w:r>
      </w:hyperlink>
      <w:r w:rsidR="00E91D72">
        <w:rPr>
          <w:noProof/>
        </w:rPr>
        <w:fldChar w:fldCharType="end"/>
      </w:r>
      <w:r w:rsidR="00E91D72">
        <w:fldChar w:fldCharType="begin"/>
      </w:r>
      <w:r w:rsidR="00E91D72">
        <w:instrText xml:space="preserve"> TOC \h \z \c "Table B" </w:instrText>
      </w:r>
      <w:r w:rsidR="00E91D72">
        <w:fldChar w:fldCharType="separate"/>
      </w:r>
    </w:p>
    <w:p w14:paraId="5AAD68A6" w14:textId="32030467" w:rsidR="00E0084F" w:rsidRDefault="00E0084F">
      <w:pPr>
        <w:pStyle w:val="TableofFigures"/>
        <w:tabs>
          <w:tab w:val="right" w:leader="dot" w:pos="9060"/>
        </w:tabs>
        <w:rPr>
          <w:rFonts w:eastAsiaTheme="minorEastAsia"/>
          <w:noProof/>
          <w:kern w:val="2"/>
          <w:sz w:val="24"/>
          <w:szCs w:val="24"/>
          <w:lang w:eastAsia="en-AU"/>
          <w14:ligatures w14:val="standardContextual"/>
        </w:rPr>
      </w:pPr>
      <w:hyperlink w:anchor="_Toc220395931" w:history="1">
        <w:r w:rsidRPr="008D52E8">
          <w:rPr>
            <w:rStyle w:val="Hyperlink"/>
            <w:noProof/>
          </w:rPr>
          <w:t>Table A1 Department activities, by division</w:t>
        </w:r>
        <w:r>
          <w:rPr>
            <w:noProof/>
            <w:webHidden/>
          </w:rPr>
          <w:tab/>
        </w:r>
        <w:r>
          <w:rPr>
            <w:noProof/>
            <w:webHidden/>
          </w:rPr>
          <w:fldChar w:fldCharType="begin"/>
        </w:r>
        <w:r>
          <w:rPr>
            <w:noProof/>
            <w:webHidden/>
          </w:rPr>
          <w:instrText xml:space="preserve"> PAGEREF _Toc220395931 \h </w:instrText>
        </w:r>
        <w:r>
          <w:rPr>
            <w:noProof/>
            <w:webHidden/>
          </w:rPr>
        </w:r>
        <w:r>
          <w:rPr>
            <w:noProof/>
            <w:webHidden/>
          </w:rPr>
          <w:fldChar w:fldCharType="separate"/>
        </w:r>
        <w:r w:rsidR="007D61E3">
          <w:rPr>
            <w:noProof/>
            <w:webHidden/>
          </w:rPr>
          <w:t>12</w:t>
        </w:r>
        <w:r>
          <w:rPr>
            <w:noProof/>
            <w:webHidden/>
          </w:rPr>
          <w:fldChar w:fldCharType="end"/>
        </w:r>
      </w:hyperlink>
    </w:p>
    <w:p w14:paraId="1538E33E" w14:textId="557EC910" w:rsidR="00691EEB" w:rsidRDefault="00E91D72" w:rsidP="00FD146E">
      <w:pPr>
        <w:pStyle w:val="TableofFigures"/>
        <w:tabs>
          <w:tab w:val="right" w:leader="dot" w:pos="9060"/>
        </w:tabs>
      </w:pPr>
      <w:r>
        <w:fldChar w:fldCharType="end"/>
      </w:r>
    </w:p>
    <w:p w14:paraId="5451A2CF" w14:textId="03DFF786" w:rsidR="00764D6A" w:rsidRDefault="00764D6A" w:rsidP="00691EEB">
      <w:pPr>
        <w:pStyle w:val="Heading2"/>
        <w:numPr>
          <w:ilvl w:val="0"/>
          <w:numId w:val="0"/>
        </w:numPr>
        <w:ind w:left="720" w:hanging="720"/>
        <w:sectPr w:rsidR="00764D6A" w:rsidSect="00362913">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5ADFB956" w14:textId="0BF80FC7" w:rsidR="00764D6A" w:rsidRDefault="00E91D72" w:rsidP="007E39EF">
      <w:pPr>
        <w:pStyle w:val="Heading2"/>
        <w:numPr>
          <w:ilvl w:val="0"/>
          <w:numId w:val="0"/>
        </w:numPr>
        <w:ind w:left="720" w:hanging="720"/>
      </w:pPr>
      <w:bookmarkStart w:id="1" w:name="_Toc430782150"/>
      <w:bookmarkStart w:id="2" w:name="_Toc220395916"/>
      <w:r w:rsidRPr="00DB71A3">
        <w:lastRenderedPageBreak/>
        <w:t>Introduction</w:t>
      </w:r>
      <w:bookmarkEnd w:id="1"/>
      <w:bookmarkEnd w:id="2"/>
    </w:p>
    <w:p w14:paraId="3CF517A6" w14:textId="08CCB81E" w:rsidR="00AB46B0" w:rsidRDefault="00AB46B0" w:rsidP="00AB46B0">
      <w:r w:rsidRPr="006A5BBA">
        <w:t xml:space="preserve">The </w:t>
      </w:r>
      <w:r w:rsidR="00A028AA">
        <w:t>Department of Agriculture</w:t>
      </w:r>
      <w:r w:rsidR="004D66C3">
        <w:t>,</w:t>
      </w:r>
      <w:r w:rsidR="00A028AA">
        <w:t xml:space="preserve"> Fisheries and Forestry</w:t>
      </w:r>
      <w:r w:rsidRPr="006A5BBA">
        <w:t xml:space="preserve"> performs a range of regulatory activities in support of our producers and exporters</w:t>
      </w:r>
      <w:r w:rsidR="003256EF">
        <w:t>,</w:t>
      </w:r>
      <w:r w:rsidRPr="006A5BBA">
        <w:t xml:space="preserve"> who take their high-quality products to global markets. Australian agriculture, fisheries and forestry is a substantial part of the </w:t>
      </w:r>
      <w:r w:rsidRPr="00CB14FE">
        <w:t>Australian economy</w:t>
      </w:r>
      <w:r w:rsidR="003256EF">
        <w:t xml:space="preserve">. According to </w:t>
      </w:r>
      <w:hyperlink r:id="rId21" w:history="1">
        <w:r w:rsidR="00EF3875" w:rsidRPr="004265EE">
          <w:rPr>
            <w:rStyle w:val="Hyperlink"/>
          </w:rPr>
          <w:t>ABARES Agricultural commodities report: December quarter 2024</w:t>
        </w:r>
      </w:hyperlink>
      <w:r w:rsidRPr="00CB14FE">
        <w:t xml:space="preserve">, </w:t>
      </w:r>
      <w:r w:rsidR="000906FE">
        <w:t xml:space="preserve">agricultural </w:t>
      </w:r>
      <w:r w:rsidR="00545F07">
        <w:t>production contributed around</w:t>
      </w:r>
      <w:r w:rsidRPr="00CB14FE">
        <w:t xml:space="preserve"> </w:t>
      </w:r>
      <w:r w:rsidRPr="002D7A1C">
        <w:t>$1.7</w:t>
      </w:r>
      <w:r w:rsidRPr="00CB14FE">
        <w:rPr>
          <w:lang w:eastAsia="en-AU"/>
        </w:rPr>
        <w:t> </w:t>
      </w:r>
      <w:r w:rsidRPr="00CB14FE">
        <w:t>billion every week (</w:t>
      </w:r>
      <w:r w:rsidRPr="002D7A1C">
        <w:t>total $88.4</w:t>
      </w:r>
      <w:r w:rsidRPr="002D7A1C">
        <w:rPr>
          <w:lang w:eastAsia="en-AU"/>
        </w:rPr>
        <w:t> </w:t>
      </w:r>
      <w:r w:rsidRPr="002D7A1C">
        <w:t xml:space="preserve">billion in </w:t>
      </w:r>
      <w:r w:rsidR="00340FE5">
        <w:t>2024–25</w:t>
      </w:r>
      <w:r w:rsidRPr="00CB14FE">
        <w:t>)</w:t>
      </w:r>
      <w:r w:rsidR="00545F07">
        <w:t xml:space="preserve"> to our economy in 2024</w:t>
      </w:r>
      <w:r w:rsidR="00EA2403">
        <w:t>–</w:t>
      </w:r>
      <w:r w:rsidR="00545F07">
        <w:t>25.</w:t>
      </w:r>
    </w:p>
    <w:p w14:paraId="21991CA4" w14:textId="77777777" w:rsidR="00AB46B0" w:rsidRDefault="00AB46B0" w:rsidP="00AB46B0">
      <w:r w:rsidRPr="00016A17">
        <w:t>Cost recovery plays a key role in the way the Australian Government charges non-government sector</w:t>
      </w:r>
      <w:r>
        <w:t>s</w:t>
      </w:r>
      <w:r w:rsidRPr="00016A17">
        <w:t xml:space="preserve"> for some or all the efficient costs for a specific government activity. </w:t>
      </w:r>
      <w:r>
        <w:t>It is an important funding source to support Australian producers in accessing markets and protecting the reputation of Australian agricultural goods.</w:t>
      </w:r>
    </w:p>
    <w:p w14:paraId="09EC712F" w14:textId="77777777" w:rsidR="00AB46B0" w:rsidRPr="00016A17" w:rsidRDefault="00AB46B0" w:rsidP="00AB46B0">
      <w:r w:rsidRPr="00016A17">
        <w:t>Cost recovery can influence the demand for government activity and raise awareness of how much government activities cost. It improve</w:t>
      </w:r>
      <w:r>
        <w:t>s</w:t>
      </w:r>
      <w:r w:rsidRPr="00016A17">
        <w:t xml:space="preserve"> the efficiency, productivity and responsiveness of government activities and accountability for those activities.</w:t>
      </w:r>
    </w:p>
    <w:p w14:paraId="4EBED4FE" w14:textId="3FE501AD" w:rsidR="00AB46B0" w:rsidRPr="00016A17" w:rsidRDefault="00AB46B0" w:rsidP="00AB46B0">
      <w:r w:rsidRPr="00243B05">
        <w:t>Since 2019, the Australian Go</w:t>
      </w:r>
      <w:r w:rsidRPr="00A3492C">
        <w:t xml:space="preserve">vernment has been supporting industry through the </w:t>
      </w:r>
      <w:r w:rsidR="00A3492C" w:rsidRPr="00A3492C">
        <w:rPr>
          <w:rStyle w:val="Emphasis"/>
        </w:rPr>
        <w:t>Busting Congestion for Agricultural Exporters</w:t>
      </w:r>
      <w:r w:rsidR="00A3492C" w:rsidRPr="00A3492C">
        <w:t xml:space="preserve"> package (DAWE 2020) and </w:t>
      </w:r>
      <w:r w:rsidR="00A3492C" w:rsidRPr="00A3492C">
        <w:rPr>
          <w:rStyle w:val="Emphasis"/>
        </w:rPr>
        <w:t>Securing the future of agricultural trade</w:t>
      </w:r>
      <w:r w:rsidR="00A3492C" w:rsidRPr="00A3492C">
        <w:t xml:space="preserve"> measures (DAFF 2023)</w:t>
      </w:r>
      <w:r w:rsidR="00A3492C">
        <w:t xml:space="preserve">. </w:t>
      </w:r>
      <w:r>
        <w:t>T</w:t>
      </w:r>
      <w:r w:rsidRPr="00016A17">
        <w:t>h</w:t>
      </w:r>
      <w:r>
        <w:t>i</w:t>
      </w:r>
      <w:r w:rsidRPr="00016A17">
        <w:t>s</w:t>
      </w:r>
      <w:r>
        <w:t xml:space="preserve"> demonstrates the</w:t>
      </w:r>
      <w:r w:rsidRPr="00016A17">
        <w:t xml:space="preserve"> </w:t>
      </w:r>
      <w:r>
        <w:t>continued</w:t>
      </w:r>
      <w:r w:rsidRPr="00016A17">
        <w:t xml:space="preserve"> investment in</w:t>
      </w:r>
      <w:r>
        <w:t xml:space="preserve"> </w:t>
      </w:r>
      <w:r w:rsidRPr="00016A17">
        <w:t xml:space="preserve">regulatory export trade </w:t>
      </w:r>
      <w:r>
        <w:t xml:space="preserve">and commitment </w:t>
      </w:r>
      <w:r w:rsidRPr="00016A17">
        <w:t>to meet</w:t>
      </w:r>
      <w:r>
        <w:t>ing</w:t>
      </w:r>
      <w:r w:rsidRPr="00016A17">
        <w:t xml:space="preserve"> the needs of exporters and </w:t>
      </w:r>
      <w:r>
        <w:t xml:space="preserve">the </w:t>
      </w:r>
      <w:r w:rsidRPr="00016A17">
        <w:t>expectations of our trading partners.</w:t>
      </w:r>
    </w:p>
    <w:p w14:paraId="09FDE19A" w14:textId="77E9D862" w:rsidR="00AB46B0" w:rsidRDefault="00AB46B0" w:rsidP="00AB46B0">
      <w:r w:rsidRPr="0023363F">
        <w:t>Th</w:t>
      </w:r>
      <w:r>
        <w:t>is</w:t>
      </w:r>
      <w:r w:rsidRPr="0023363F">
        <w:t xml:space="preserve"> report describes the</w:t>
      </w:r>
      <w:r w:rsidR="002C3212">
        <w:t xml:space="preserve"> financial </w:t>
      </w:r>
      <w:r w:rsidR="00FE28D9">
        <w:t xml:space="preserve">performance of the horticulture cost recovery arrangement against the department’s budget </w:t>
      </w:r>
      <w:r w:rsidR="00FE28D9" w:rsidRPr="00486714">
        <w:t xml:space="preserve">and </w:t>
      </w:r>
      <w:bookmarkStart w:id="3" w:name="_Hlk181781245"/>
      <w:r w:rsidRPr="00486714">
        <w:fldChar w:fldCharType="begin"/>
      </w:r>
      <w:r w:rsidR="00236A04">
        <w:instrText>HYPERLINK "https://www.agriculture.gov.au/about/fees/cost-recovery" \l "_202425"</w:instrText>
      </w:r>
      <w:r w:rsidRPr="00486714">
        <w:fldChar w:fldCharType="separate"/>
      </w:r>
      <w:bookmarkEnd w:id="3"/>
      <w:r w:rsidR="00236A04">
        <w:rPr>
          <w:rStyle w:val="Hyperlink"/>
        </w:rPr>
        <w:t>Cost recovery implementation statement horticulture exports 2024–25.</w:t>
      </w:r>
      <w:r w:rsidRPr="00486714">
        <w:fldChar w:fldCharType="end"/>
      </w:r>
    </w:p>
    <w:p w14:paraId="728863B2" w14:textId="77777777" w:rsidR="00074306" w:rsidRPr="00E11E9C" w:rsidRDefault="00074306" w:rsidP="009A39EF">
      <w:pPr>
        <w:pStyle w:val="Heading2"/>
        <w:numPr>
          <w:ilvl w:val="0"/>
          <w:numId w:val="0"/>
        </w:numPr>
        <w:ind w:left="720" w:hanging="720"/>
      </w:pPr>
      <w:bookmarkStart w:id="4" w:name="_Toc172898939"/>
      <w:bookmarkStart w:id="5" w:name="_Toc174707713"/>
      <w:bookmarkStart w:id="6" w:name="_Toc220395917"/>
      <w:r w:rsidRPr="00E11E9C">
        <w:lastRenderedPageBreak/>
        <w:t>Summary of financial position</w:t>
      </w:r>
      <w:bookmarkEnd w:id="4"/>
      <w:bookmarkEnd w:id="5"/>
      <w:bookmarkEnd w:id="6"/>
    </w:p>
    <w:p w14:paraId="75659075" w14:textId="06D4F74A" w:rsidR="00074306" w:rsidRPr="00E11E9C" w:rsidRDefault="00074306" w:rsidP="00074306">
      <w:r w:rsidRPr="003C546B">
        <w:t>The</w:t>
      </w:r>
      <w:r w:rsidR="007A2F9B">
        <w:t xml:space="preserve"> </w:t>
      </w:r>
      <w:r w:rsidR="007A2F9B" w:rsidRPr="00912428">
        <w:rPr>
          <w:rStyle w:val="Emphasis"/>
        </w:rPr>
        <w:t xml:space="preserve">Cost recovery implementation </w:t>
      </w:r>
      <w:r w:rsidR="00380151" w:rsidRPr="00912428">
        <w:rPr>
          <w:rStyle w:val="Emphasis"/>
        </w:rPr>
        <w:t>statement: horticulture exports 2024–25</w:t>
      </w:r>
      <w:r w:rsidR="002E4AB8" w:rsidRPr="00912428">
        <w:rPr>
          <w:rStyle w:val="Emphasis"/>
        </w:rPr>
        <w:t xml:space="preserve"> </w:t>
      </w:r>
      <w:r w:rsidR="00BA6963">
        <w:t>projected</w:t>
      </w:r>
      <w:r w:rsidR="00BA6963" w:rsidRPr="003C546B">
        <w:t xml:space="preserve"> </w:t>
      </w:r>
      <w:r w:rsidRPr="003C546B">
        <w:t xml:space="preserve">a </w:t>
      </w:r>
      <w:r w:rsidR="009D643C">
        <w:t>deficit</w:t>
      </w:r>
      <w:r w:rsidR="009D643C" w:rsidRPr="003C546B">
        <w:t xml:space="preserve"> </w:t>
      </w:r>
      <w:r w:rsidRPr="003C546B">
        <w:t>of $</w:t>
      </w:r>
      <w:r w:rsidR="00F429E3">
        <w:t>0.9</w:t>
      </w:r>
      <w:r w:rsidR="00FD146E">
        <w:t> </w:t>
      </w:r>
      <w:r w:rsidR="003B7A95">
        <w:t>million</w:t>
      </w:r>
      <w:r w:rsidR="003B7A95" w:rsidRPr="003C546B">
        <w:t xml:space="preserve"> </w:t>
      </w:r>
      <w:r w:rsidRPr="003C546B">
        <w:t xml:space="preserve">for the </w:t>
      </w:r>
      <w:r w:rsidR="00340FE5">
        <w:t>2024–25</w:t>
      </w:r>
      <w:r w:rsidRPr="003C546B">
        <w:t xml:space="preserve"> financial year. The department’s actual spend was $</w:t>
      </w:r>
      <w:r w:rsidR="00492078">
        <w:t>14.7</w:t>
      </w:r>
      <w:r w:rsidRPr="003C546B">
        <w:rPr>
          <w:rFonts w:ascii="Calibri" w:eastAsia="Times New Roman" w:hAnsi="Calibri" w:cs="Calibri"/>
          <w:color w:val="000000"/>
          <w:sz w:val="18"/>
          <w:szCs w:val="18"/>
          <w:lang w:eastAsia="en-AU"/>
        </w:rPr>
        <w:t> </w:t>
      </w:r>
      <w:r w:rsidRPr="003C546B">
        <w:t xml:space="preserve">million </w:t>
      </w:r>
      <w:r w:rsidR="00BA6963">
        <w:t>against</w:t>
      </w:r>
      <w:r w:rsidR="00BA6963" w:rsidRPr="003C546B">
        <w:t xml:space="preserve"> </w:t>
      </w:r>
      <w:r w:rsidRPr="003C546B">
        <w:t xml:space="preserve">revenue </w:t>
      </w:r>
      <w:r w:rsidR="00BA6963">
        <w:t>of</w:t>
      </w:r>
      <w:r w:rsidRPr="003C546B">
        <w:t xml:space="preserve"> $</w:t>
      </w:r>
      <w:r w:rsidR="00492078">
        <w:t>13.6</w:t>
      </w:r>
      <w:r w:rsidR="00492078" w:rsidRPr="003C546B">
        <w:rPr>
          <w:rFonts w:ascii="Calibri" w:eastAsia="Times New Roman" w:hAnsi="Calibri" w:cs="Calibri"/>
          <w:color w:val="000000"/>
          <w:sz w:val="18"/>
          <w:szCs w:val="18"/>
          <w:lang w:eastAsia="en-AU"/>
        </w:rPr>
        <w:t> </w:t>
      </w:r>
      <w:r w:rsidRPr="003C546B">
        <w:t xml:space="preserve">million resulting in a </w:t>
      </w:r>
      <w:r w:rsidR="00492078">
        <w:t>defi</w:t>
      </w:r>
      <w:r w:rsidR="00A62350">
        <w:t>cit</w:t>
      </w:r>
      <w:r w:rsidR="00492078" w:rsidRPr="003C546B">
        <w:t xml:space="preserve"> </w:t>
      </w:r>
      <w:r w:rsidRPr="003C546B">
        <w:t>of $</w:t>
      </w:r>
      <w:r w:rsidR="00A62350">
        <w:t>1.</w:t>
      </w:r>
      <w:r w:rsidR="004650F5">
        <w:t>1</w:t>
      </w:r>
      <w:r w:rsidRPr="003C546B">
        <w:rPr>
          <w:rFonts w:ascii="Calibri" w:eastAsia="Times New Roman" w:hAnsi="Calibri" w:cs="Calibri"/>
          <w:color w:val="000000"/>
          <w:sz w:val="18"/>
          <w:szCs w:val="18"/>
          <w:lang w:eastAsia="en-AU"/>
        </w:rPr>
        <w:t> </w:t>
      </w:r>
      <w:r w:rsidRPr="003C546B">
        <w:t>million (</w:t>
      </w:r>
      <w:r w:rsidRPr="003C546B">
        <w:fldChar w:fldCharType="begin"/>
      </w:r>
      <w:r w:rsidRPr="003C546B">
        <w:instrText xml:space="preserve"> REF _Ref445985033 \h  \* MERGEFORMAT </w:instrText>
      </w:r>
      <w:r w:rsidRPr="003C546B">
        <w:fldChar w:fldCharType="separate"/>
      </w:r>
      <w:r w:rsidR="007D61E3" w:rsidRPr="00DE725D">
        <w:t xml:space="preserve">Table </w:t>
      </w:r>
      <w:r w:rsidR="007D61E3">
        <w:rPr>
          <w:noProof/>
        </w:rPr>
        <w:t>1</w:t>
      </w:r>
      <w:r w:rsidRPr="003C546B">
        <w:fldChar w:fldCharType="end"/>
      </w:r>
      <w:r w:rsidRPr="003C546B">
        <w:t>).</w:t>
      </w:r>
    </w:p>
    <w:p w14:paraId="5463CED1" w14:textId="74922A3D" w:rsidR="00074306" w:rsidRPr="00E11E9C" w:rsidRDefault="00074306" w:rsidP="00074306">
      <w:pPr>
        <w:pStyle w:val="Caption"/>
      </w:pPr>
      <w:bookmarkStart w:id="7" w:name="_Ref445985033"/>
      <w:bookmarkStart w:id="8" w:name="_Toc180573271"/>
      <w:bookmarkStart w:id="9" w:name="_Toc220395926"/>
      <w:bookmarkStart w:id="10" w:name="_Toc409769171"/>
      <w:r w:rsidRPr="00DE725D">
        <w:t xml:space="preserve">Table </w:t>
      </w:r>
      <w:r w:rsidRPr="00DE725D">
        <w:rPr>
          <w:noProof/>
        </w:rPr>
        <w:fldChar w:fldCharType="begin"/>
      </w:r>
      <w:r w:rsidRPr="00DE725D">
        <w:rPr>
          <w:noProof/>
        </w:rPr>
        <w:instrText xml:space="preserve"> SEQ Table \* ARABIC </w:instrText>
      </w:r>
      <w:r w:rsidRPr="00DE725D">
        <w:rPr>
          <w:noProof/>
        </w:rPr>
        <w:fldChar w:fldCharType="separate"/>
      </w:r>
      <w:r w:rsidR="007D61E3">
        <w:rPr>
          <w:noProof/>
        </w:rPr>
        <w:t>1</w:t>
      </w:r>
      <w:r w:rsidRPr="00DE725D">
        <w:rPr>
          <w:noProof/>
        </w:rPr>
        <w:fldChar w:fldCharType="end"/>
      </w:r>
      <w:bookmarkEnd w:id="7"/>
      <w:r w:rsidRPr="009A501D">
        <w:t xml:space="preserve"> </w:t>
      </w:r>
      <w:r w:rsidR="00600163">
        <w:t>Horticulture export arrangement financial position, 2024–25</w:t>
      </w:r>
      <w:bookmarkEnd w:id="8"/>
      <w:bookmarkEnd w:id="9"/>
    </w:p>
    <w:tbl>
      <w:tblPr>
        <w:tblW w:w="5000" w:type="pct"/>
        <w:tblLayout w:type="fixed"/>
        <w:tblLook w:val="04A0" w:firstRow="1" w:lastRow="0" w:firstColumn="1" w:lastColumn="0" w:noHBand="0" w:noVBand="1"/>
      </w:tblPr>
      <w:tblGrid>
        <w:gridCol w:w="2980"/>
        <w:gridCol w:w="1275"/>
        <w:gridCol w:w="1134"/>
        <w:gridCol w:w="1419"/>
        <w:gridCol w:w="1130"/>
        <w:gridCol w:w="1132"/>
      </w:tblGrid>
      <w:tr w:rsidR="00074306" w:rsidRPr="00F97476" w14:paraId="3480658F" w14:textId="77777777" w:rsidTr="00DF5527">
        <w:tc>
          <w:tcPr>
            <w:tcW w:w="1642" w:type="pct"/>
            <w:tcBorders>
              <w:top w:val="single" w:sz="4" w:space="0" w:color="auto"/>
              <w:left w:val="nil"/>
              <w:bottom w:val="single" w:sz="4" w:space="0" w:color="auto"/>
              <w:right w:val="nil"/>
            </w:tcBorders>
            <w:hideMark/>
          </w:tcPr>
          <w:p w14:paraId="1401FA93" w14:textId="77777777" w:rsidR="00074306" w:rsidRPr="00F97476" w:rsidRDefault="00074306" w:rsidP="00FD146E">
            <w:pPr>
              <w:pStyle w:val="TableHeading"/>
              <w:rPr>
                <w:lang w:eastAsia="en-AU"/>
              </w:rPr>
            </w:pPr>
            <w:bookmarkStart w:id="11" w:name="Title_1"/>
            <w:bookmarkEnd w:id="10"/>
            <w:bookmarkEnd w:id="11"/>
            <w:r w:rsidRPr="00F97476">
              <w:rPr>
                <w:lang w:eastAsia="en-AU"/>
              </w:rPr>
              <w:t>Category</w:t>
            </w:r>
          </w:p>
        </w:tc>
        <w:tc>
          <w:tcPr>
            <w:tcW w:w="703" w:type="pct"/>
            <w:tcBorders>
              <w:top w:val="single" w:sz="4" w:space="0" w:color="auto"/>
              <w:left w:val="nil"/>
              <w:bottom w:val="single" w:sz="4" w:space="0" w:color="auto"/>
              <w:right w:val="nil"/>
            </w:tcBorders>
            <w:hideMark/>
          </w:tcPr>
          <w:p w14:paraId="2AF69A4B" w14:textId="77777777" w:rsidR="00074306" w:rsidRPr="00F97476" w:rsidRDefault="00074306" w:rsidP="00FD146E">
            <w:pPr>
              <w:pStyle w:val="TableHeading"/>
              <w:jc w:val="right"/>
              <w:rPr>
                <w:lang w:eastAsia="en-AU"/>
              </w:rPr>
            </w:pPr>
            <w:r w:rsidRPr="00F97476">
              <w:rPr>
                <w:lang w:eastAsia="en-AU"/>
              </w:rPr>
              <w:t>Actual ($)</w:t>
            </w:r>
          </w:p>
        </w:tc>
        <w:tc>
          <w:tcPr>
            <w:tcW w:w="625" w:type="pct"/>
            <w:tcBorders>
              <w:top w:val="single" w:sz="4" w:space="0" w:color="auto"/>
              <w:left w:val="nil"/>
              <w:bottom w:val="single" w:sz="4" w:space="0" w:color="auto"/>
              <w:right w:val="nil"/>
            </w:tcBorders>
            <w:hideMark/>
          </w:tcPr>
          <w:p w14:paraId="5189EE43" w14:textId="77777777" w:rsidR="00074306" w:rsidRPr="00F97476" w:rsidRDefault="00074306" w:rsidP="00FD146E">
            <w:pPr>
              <w:pStyle w:val="TableHeading"/>
              <w:jc w:val="right"/>
              <w:rPr>
                <w:color w:val="000000"/>
                <w:lang w:eastAsia="en-AU"/>
              </w:rPr>
            </w:pPr>
            <w:r w:rsidRPr="00F97476">
              <w:rPr>
                <w:color w:val="000000"/>
                <w:lang w:eastAsia="en-AU"/>
              </w:rPr>
              <w:t>Budget ($)</w:t>
            </w:r>
          </w:p>
        </w:tc>
        <w:tc>
          <w:tcPr>
            <w:tcW w:w="782" w:type="pct"/>
            <w:tcBorders>
              <w:top w:val="single" w:sz="4" w:space="0" w:color="auto"/>
              <w:left w:val="nil"/>
              <w:bottom w:val="single" w:sz="4" w:space="0" w:color="auto"/>
              <w:right w:val="nil"/>
            </w:tcBorders>
            <w:hideMark/>
          </w:tcPr>
          <w:p w14:paraId="338650F7" w14:textId="0A6CFB8B" w:rsidR="00074306" w:rsidRPr="00F97476" w:rsidRDefault="00BE469A" w:rsidP="00FD146E">
            <w:pPr>
              <w:pStyle w:val="TableHeading"/>
              <w:jc w:val="right"/>
              <w:rPr>
                <w:color w:val="000000"/>
                <w:lang w:eastAsia="en-AU"/>
              </w:rPr>
            </w:pPr>
            <w:r>
              <w:rPr>
                <w:color w:val="000000"/>
                <w:lang w:eastAsia="en-AU"/>
              </w:rPr>
              <w:t>Budget v</w:t>
            </w:r>
            <w:r w:rsidR="00074306" w:rsidRPr="00F97476">
              <w:rPr>
                <w:color w:val="000000"/>
                <w:lang w:eastAsia="en-AU"/>
              </w:rPr>
              <w:t>ariance ($)</w:t>
            </w:r>
          </w:p>
        </w:tc>
        <w:tc>
          <w:tcPr>
            <w:tcW w:w="623" w:type="pct"/>
            <w:tcBorders>
              <w:top w:val="single" w:sz="4" w:space="0" w:color="auto"/>
              <w:left w:val="nil"/>
              <w:bottom w:val="single" w:sz="4" w:space="0" w:color="auto"/>
              <w:right w:val="nil"/>
            </w:tcBorders>
            <w:hideMark/>
          </w:tcPr>
          <w:p w14:paraId="42DCD84A" w14:textId="77777777" w:rsidR="00074306" w:rsidRPr="00F97476" w:rsidRDefault="00074306" w:rsidP="00FD146E">
            <w:pPr>
              <w:pStyle w:val="TableHeading"/>
              <w:jc w:val="right"/>
              <w:rPr>
                <w:lang w:eastAsia="en-AU"/>
              </w:rPr>
            </w:pPr>
            <w:r w:rsidRPr="00F97476">
              <w:rPr>
                <w:lang w:eastAsia="en-AU"/>
              </w:rPr>
              <w:t>CRIS ($)</w:t>
            </w:r>
          </w:p>
        </w:tc>
        <w:tc>
          <w:tcPr>
            <w:tcW w:w="624" w:type="pct"/>
            <w:tcBorders>
              <w:top w:val="single" w:sz="4" w:space="0" w:color="auto"/>
              <w:left w:val="nil"/>
              <w:bottom w:val="single" w:sz="4" w:space="0" w:color="auto"/>
              <w:right w:val="nil"/>
            </w:tcBorders>
            <w:hideMark/>
          </w:tcPr>
          <w:p w14:paraId="2D627071" w14:textId="7E55C861" w:rsidR="00074306" w:rsidRPr="00F97476" w:rsidRDefault="00466FBB" w:rsidP="00FD146E">
            <w:pPr>
              <w:pStyle w:val="TableHeading"/>
              <w:jc w:val="right"/>
              <w:rPr>
                <w:lang w:eastAsia="en-AU"/>
              </w:rPr>
            </w:pPr>
            <w:r>
              <w:rPr>
                <w:lang w:eastAsia="en-AU"/>
              </w:rPr>
              <w:t>CRIS v</w:t>
            </w:r>
            <w:r w:rsidR="00074306" w:rsidRPr="00F97476">
              <w:rPr>
                <w:lang w:eastAsia="en-AU"/>
              </w:rPr>
              <w:t>ariance ($)</w:t>
            </w:r>
          </w:p>
        </w:tc>
      </w:tr>
      <w:tr w:rsidR="00F55855" w:rsidRPr="00F97476" w14:paraId="249A8E19" w14:textId="77777777" w:rsidTr="00FA6424">
        <w:trPr>
          <w:trHeight w:val="338"/>
        </w:trPr>
        <w:tc>
          <w:tcPr>
            <w:tcW w:w="1642" w:type="pct"/>
            <w:tcBorders>
              <w:top w:val="single" w:sz="4" w:space="0" w:color="auto"/>
              <w:left w:val="nil"/>
              <w:bottom w:val="single" w:sz="4" w:space="0" w:color="auto"/>
              <w:right w:val="nil"/>
            </w:tcBorders>
            <w:vAlign w:val="center"/>
            <w:hideMark/>
          </w:tcPr>
          <w:p w14:paraId="3CC4F5DE" w14:textId="77777777" w:rsidR="00F55855" w:rsidRPr="00F97476" w:rsidRDefault="00F55855" w:rsidP="00F55855">
            <w:pPr>
              <w:pStyle w:val="TableText"/>
              <w:rPr>
                <w:lang w:eastAsia="en-AU"/>
              </w:rPr>
            </w:pPr>
            <w:r w:rsidRPr="00F97476">
              <w:rPr>
                <w:lang w:eastAsia="en-AU"/>
              </w:rPr>
              <w:t>Revenue</w:t>
            </w:r>
          </w:p>
        </w:tc>
        <w:tc>
          <w:tcPr>
            <w:tcW w:w="703" w:type="pct"/>
            <w:tcBorders>
              <w:top w:val="single" w:sz="4" w:space="0" w:color="auto"/>
              <w:left w:val="nil"/>
              <w:bottom w:val="single" w:sz="4" w:space="0" w:color="auto"/>
              <w:right w:val="nil"/>
            </w:tcBorders>
            <w:hideMark/>
          </w:tcPr>
          <w:p w14:paraId="6B191419" w14:textId="471D9D51" w:rsidR="00F55855" w:rsidRPr="00F97476" w:rsidRDefault="001212A3" w:rsidP="00B87643">
            <w:pPr>
              <w:pStyle w:val="TableText"/>
              <w:jc w:val="right"/>
              <w:rPr>
                <w:lang w:eastAsia="en-AU"/>
              </w:rPr>
            </w:pPr>
            <w:r>
              <w:t>13,563,101</w:t>
            </w:r>
          </w:p>
        </w:tc>
        <w:tc>
          <w:tcPr>
            <w:tcW w:w="625" w:type="pct"/>
            <w:tcBorders>
              <w:top w:val="single" w:sz="4" w:space="0" w:color="auto"/>
              <w:left w:val="nil"/>
              <w:bottom w:val="single" w:sz="4" w:space="0" w:color="auto"/>
              <w:right w:val="nil"/>
            </w:tcBorders>
            <w:hideMark/>
          </w:tcPr>
          <w:p w14:paraId="3C24E3BD" w14:textId="7F3B4C5D" w:rsidR="00F55855" w:rsidRPr="00F97476" w:rsidRDefault="00141937" w:rsidP="00B87643">
            <w:pPr>
              <w:pStyle w:val="TableText"/>
              <w:jc w:val="right"/>
              <w:rPr>
                <w:color w:val="000000"/>
                <w:lang w:eastAsia="en-AU"/>
              </w:rPr>
            </w:pPr>
            <w:r>
              <w:t>13,809,939</w:t>
            </w:r>
          </w:p>
        </w:tc>
        <w:tc>
          <w:tcPr>
            <w:tcW w:w="782" w:type="pct"/>
            <w:tcBorders>
              <w:top w:val="single" w:sz="4" w:space="0" w:color="auto"/>
              <w:left w:val="nil"/>
              <w:bottom w:val="single" w:sz="4" w:space="0" w:color="auto"/>
              <w:right w:val="nil"/>
            </w:tcBorders>
            <w:hideMark/>
          </w:tcPr>
          <w:p w14:paraId="6E41AFC9" w14:textId="20ED7EE1" w:rsidR="00F55855" w:rsidRPr="00F55855" w:rsidRDefault="00F55855" w:rsidP="00B87643">
            <w:pPr>
              <w:pStyle w:val="TableText"/>
              <w:jc w:val="right"/>
            </w:pPr>
            <w:r>
              <w:t>(</w:t>
            </w:r>
            <w:r w:rsidR="0073185A">
              <w:t>246,837</w:t>
            </w:r>
            <w:r>
              <w:t>)</w:t>
            </w:r>
          </w:p>
        </w:tc>
        <w:tc>
          <w:tcPr>
            <w:tcW w:w="623" w:type="pct"/>
            <w:tcBorders>
              <w:top w:val="single" w:sz="4" w:space="0" w:color="auto"/>
              <w:left w:val="nil"/>
              <w:bottom w:val="single" w:sz="4" w:space="0" w:color="auto"/>
              <w:right w:val="nil"/>
            </w:tcBorders>
            <w:vAlign w:val="center"/>
            <w:hideMark/>
          </w:tcPr>
          <w:p w14:paraId="6901A1F6" w14:textId="52293137" w:rsidR="00F55855" w:rsidRPr="00967761" w:rsidRDefault="005D73D3" w:rsidP="00B87643">
            <w:pPr>
              <w:pStyle w:val="TableText"/>
              <w:jc w:val="right"/>
            </w:pPr>
            <w:r>
              <w:t>11,</w:t>
            </w:r>
            <w:r w:rsidR="23EEB918">
              <w:t>2</w:t>
            </w:r>
            <w:r>
              <w:t>34</w:t>
            </w:r>
            <w:r w:rsidR="00CB06DF">
              <w:t>,25</w:t>
            </w:r>
            <w:r w:rsidR="3F666492">
              <w:t>8</w:t>
            </w:r>
          </w:p>
        </w:tc>
        <w:tc>
          <w:tcPr>
            <w:tcW w:w="624" w:type="pct"/>
            <w:tcBorders>
              <w:top w:val="single" w:sz="4" w:space="0" w:color="auto"/>
              <w:left w:val="nil"/>
              <w:bottom w:val="single" w:sz="4" w:space="0" w:color="auto"/>
              <w:right w:val="nil"/>
            </w:tcBorders>
            <w:vAlign w:val="center"/>
            <w:hideMark/>
          </w:tcPr>
          <w:p w14:paraId="7EAF4297" w14:textId="2EF9A0AD" w:rsidR="00F55855" w:rsidRPr="00967761" w:rsidRDefault="00F829D1" w:rsidP="00AE51B1">
            <w:pPr>
              <w:pStyle w:val="TableText"/>
              <w:jc w:val="right"/>
            </w:pPr>
            <w:r>
              <w:t>2,328,843</w:t>
            </w:r>
          </w:p>
        </w:tc>
      </w:tr>
      <w:tr w:rsidR="00F55855" w:rsidRPr="00F97476" w14:paraId="3B8A2B40" w14:textId="77777777" w:rsidTr="274275C9">
        <w:trPr>
          <w:trHeight w:val="338"/>
        </w:trPr>
        <w:tc>
          <w:tcPr>
            <w:tcW w:w="1642" w:type="pct"/>
            <w:tcBorders>
              <w:top w:val="nil"/>
              <w:left w:val="nil"/>
              <w:bottom w:val="single" w:sz="4" w:space="0" w:color="auto"/>
              <w:right w:val="nil"/>
            </w:tcBorders>
            <w:vAlign w:val="center"/>
            <w:hideMark/>
          </w:tcPr>
          <w:p w14:paraId="584A16A5" w14:textId="77777777" w:rsidR="00F55855" w:rsidRPr="00F97476" w:rsidRDefault="00F55855" w:rsidP="00F55855">
            <w:pPr>
              <w:pStyle w:val="TableText"/>
              <w:rPr>
                <w:lang w:eastAsia="en-AU"/>
              </w:rPr>
            </w:pPr>
            <w:r w:rsidRPr="00F97476">
              <w:rPr>
                <w:lang w:eastAsia="en-AU"/>
              </w:rPr>
              <w:t>Expenses</w:t>
            </w:r>
          </w:p>
        </w:tc>
        <w:tc>
          <w:tcPr>
            <w:tcW w:w="703" w:type="pct"/>
            <w:tcBorders>
              <w:top w:val="nil"/>
              <w:left w:val="nil"/>
              <w:bottom w:val="single" w:sz="4" w:space="0" w:color="auto"/>
              <w:right w:val="nil"/>
            </w:tcBorders>
            <w:hideMark/>
          </w:tcPr>
          <w:p w14:paraId="2D538F4F" w14:textId="0C8ACC10" w:rsidR="00F55855" w:rsidRPr="00F97476" w:rsidRDefault="00F55855" w:rsidP="00B87643">
            <w:pPr>
              <w:pStyle w:val="TableText"/>
              <w:jc w:val="right"/>
              <w:rPr>
                <w:lang w:eastAsia="en-AU"/>
              </w:rPr>
            </w:pPr>
            <w:r w:rsidRPr="000712EF">
              <w:t>14,710,265</w:t>
            </w:r>
          </w:p>
        </w:tc>
        <w:tc>
          <w:tcPr>
            <w:tcW w:w="625" w:type="pct"/>
            <w:tcBorders>
              <w:top w:val="nil"/>
              <w:left w:val="nil"/>
              <w:bottom w:val="single" w:sz="4" w:space="0" w:color="auto"/>
              <w:right w:val="nil"/>
            </w:tcBorders>
            <w:hideMark/>
          </w:tcPr>
          <w:p w14:paraId="79AD9B98" w14:textId="31229D9A" w:rsidR="00F55855" w:rsidRPr="00F97476" w:rsidRDefault="00F55855" w:rsidP="00B87643">
            <w:pPr>
              <w:pStyle w:val="TableText"/>
              <w:jc w:val="right"/>
              <w:rPr>
                <w:color w:val="000000"/>
                <w:lang w:eastAsia="en-AU"/>
              </w:rPr>
            </w:pPr>
            <w:r w:rsidRPr="000712EF">
              <w:t>15,146,995</w:t>
            </w:r>
          </w:p>
        </w:tc>
        <w:tc>
          <w:tcPr>
            <w:tcW w:w="782" w:type="pct"/>
            <w:tcBorders>
              <w:top w:val="nil"/>
              <w:left w:val="nil"/>
              <w:bottom w:val="single" w:sz="4" w:space="0" w:color="auto"/>
              <w:right w:val="nil"/>
            </w:tcBorders>
            <w:hideMark/>
          </w:tcPr>
          <w:p w14:paraId="14370484" w14:textId="1804E8ED" w:rsidR="00F55855" w:rsidRPr="00F55855" w:rsidRDefault="00F55855" w:rsidP="00B87643">
            <w:pPr>
              <w:pStyle w:val="TableText"/>
              <w:jc w:val="right"/>
            </w:pPr>
            <w:r w:rsidRPr="000712EF">
              <w:t>(436,730)</w:t>
            </w:r>
          </w:p>
        </w:tc>
        <w:tc>
          <w:tcPr>
            <w:tcW w:w="623" w:type="pct"/>
            <w:tcBorders>
              <w:top w:val="nil"/>
              <w:left w:val="nil"/>
              <w:bottom w:val="single" w:sz="4" w:space="0" w:color="auto"/>
              <w:right w:val="nil"/>
            </w:tcBorders>
            <w:vAlign w:val="center"/>
            <w:hideMark/>
          </w:tcPr>
          <w:p w14:paraId="1DB4FDD1" w14:textId="0F68869F" w:rsidR="00F55855" w:rsidRPr="00967761" w:rsidRDefault="004C39E0" w:rsidP="00B87643">
            <w:pPr>
              <w:pStyle w:val="TableText"/>
              <w:jc w:val="right"/>
            </w:pPr>
            <w:r>
              <w:t>12,108,485</w:t>
            </w:r>
          </w:p>
        </w:tc>
        <w:tc>
          <w:tcPr>
            <w:tcW w:w="624" w:type="pct"/>
            <w:tcBorders>
              <w:top w:val="nil"/>
              <w:left w:val="nil"/>
              <w:bottom w:val="single" w:sz="4" w:space="0" w:color="auto"/>
              <w:right w:val="nil"/>
            </w:tcBorders>
            <w:vAlign w:val="center"/>
            <w:hideMark/>
          </w:tcPr>
          <w:p w14:paraId="437A07CD" w14:textId="38012FEB" w:rsidR="00F55855" w:rsidRPr="00967761" w:rsidRDefault="004C39E0" w:rsidP="00B87643">
            <w:pPr>
              <w:pStyle w:val="TableText"/>
              <w:jc w:val="right"/>
            </w:pPr>
            <w:r>
              <w:t>2,601,781</w:t>
            </w:r>
          </w:p>
        </w:tc>
      </w:tr>
      <w:tr w:rsidR="00F55855" w:rsidRPr="00F97476" w14:paraId="5CB3E8AA" w14:textId="77777777" w:rsidTr="274275C9">
        <w:trPr>
          <w:trHeight w:val="338"/>
        </w:trPr>
        <w:tc>
          <w:tcPr>
            <w:tcW w:w="1642" w:type="pct"/>
            <w:tcBorders>
              <w:top w:val="nil"/>
              <w:left w:val="nil"/>
              <w:bottom w:val="single" w:sz="4" w:space="0" w:color="auto"/>
              <w:right w:val="nil"/>
            </w:tcBorders>
            <w:vAlign w:val="center"/>
            <w:hideMark/>
          </w:tcPr>
          <w:p w14:paraId="3EA9FFAE" w14:textId="07110489" w:rsidR="00F55855" w:rsidRPr="00486714" w:rsidRDefault="00F55855" w:rsidP="00F55855">
            <w:pPr>
              <w:pStyle w:val="TableText"/>
              <w:rPr>
                <w:rStyle w:val="Strong"/>
                <w:highlight w:val="green"/>
              </w:rPr>
            </w:pPr>
            <w:r w:rsidRPr="00486714">
              <w:rPr>
                <w:rStyle w:val="Strong"/>
              </w:rPr>
              <w:t xml:space="preserve">Net </w:t>
            </w:r>
            <w:r w:rsidR="00486714" w:rsidRPr="009B29AA">
              <w:rPr>
                <w:rStyle w:val="Strong"/>
              </w:rPr>
              <w:t>s</w:t>
            </w:r>
            <w:r w:rsidRPr="00486714">
              <w:rPr>
                <w:rStyle w:val="Strong"/>
              </w:rPr>
              <w:t>urplus/(</w:t>
            </w:r>
            <w:r w:rsidR="00486714" w:rsidRPr="00486714">
              <w:rPr>
                <w:rStyle w:val="Strong"/>
              </w:rPr>
              <w:t>d</w:t>
            </w:r>
            <w:r w:rsidRPr="00486714">
              <w:rPr>
                <w:rStyle w:val="Strong"/>
              </w:rPr>
              <w:t>eficit)</w:t>
            </w:r>
          </w:p>
        </w:tc>
        <w:tc>
          <w:tcPr>
            <w:tcW w:w="703" w:type="pct"/>
            <w:tcBorders>
              <w:top w:val="nil"/>
              <w:left w:val="nil"/>
              <w:bottom w:val="single" w:sz="4" w:space="0" w:color="auto"/>
              <w:right w:val="nil"/>
            </w:tcBorders>
            <w:hideMark/>
          </w:tcPr>
          <w:p w14:paraId="1AC2905A" w14:textId="32E7AF65" w:rsidR="00F55855" w:rsidRPr="00F55855" w:rsidRDefault="00F55855" w:rsidP="00B87643">
            <w:pPr>
              <w:pStyle w:val="TableText"/>
              <w:jc w:val="right"/>
              <w:rPr>
                <w:rStyle w:val="Strong"/>
                <w:b w:val="0"/>
                <w:bCs w:val="0"/>
              </w:rPr>
            </w:pPr>
            <w:r w:rsidRPr="274275C9">
              <w:rPr>
                <w:b/>
                <w:bCs/>
              </w:rPr>
              <w:t>(</w:t>
            </w:r>
            <w:r w:rsidR="001212A3">
              <w:rPr>
                <w:b/>
                <w:bCs/>
              </w:rPr>
              <w:t>1,147,164</w:t>
            </w:r>
            <w:r w:rsidRPr="274275C9">
              <w:rPr>
                <w:b/>
                <w:bCs/>
              </w:rPr>
              <w:t>)</w:t>
            </w:r>
          </w:p>
        </w:tc>
        <w:tc>
          <w:tcPr>
            <w:tcW w:w="625" w:type="pct"/>
            <w:tcBorders>
              <w:top w:val="nil"/>
              <w:left w:val="nil"/>
              <w:bottom w:val="single" w:sz="4" w:space="0" w:color="auto"/>
              <w:right w:val="nil"/>
            </w:tcBorders>
            <w:hideMark/>
          </w:tcPr>
          <w:p w14:paraId="352893E1" w14:textId="7D40954C" w:rsidR="00F55855" w:rsidRPr="00F55855" w:rsidRDefault="00F55855" w:rsidP="00B87643">
            <w:pPr>
              <w:pStyle w:val="TableText"/>
              <w:jc w:val="right"/>
              <w:rPr>
                <w:rStyle w:val="Strong"/>
                <w:b w:val="0"/>
                <w:bCs w:val="0"/>
              </w:rPr>
            </w:pPr>
            <w:r w:rsidRPr="00A73759">
              <w:rPr>
                <w:b/>
                <w:bCs/>
              </w:rPr>
              <w:t>(1,</w:t>
            </w:r>
            <w:r w:rsidR="0073185A">
              <w:rPr>
                <w:b/>
                <w:bCs/>
              </w:rPr>
              <w:t>337,056</w:t>
            </w:r>
            <w:r w:rsidRPr="00A73759">
              <w:rPr>
                <w:b/>
                <w:bCs/>
              </w:rPr>
              <w:t>)</w:t>
            </w:r>
          </w:p>
        </w:tc>
        <w:tc>
          <w:tcPr>
            <w:tcW w:w="782" w:type="pct"/>
            <w:tcBorders>
              <w:top w:val="nil"/>
              <w:left w:val="nil"/>
              <w:bottom w:val="single" w:sz="4" w:space="0" w:color="auto"/>
              <w:right w:val="nil"/>
            </w:tcBorders>
            <w:hideMark/>
          </w:tcPr>
          <w:p w14:paraId="70BDE7A4" w14:textId="31AC7C1F" w:rsidR="00F55855" w:rsidRPr="00F55855" w:rsidRDefault="0073185A" w:rsidP="00B87643">
            <w:pPr>
              <w:pStyle w:val="TableText"/>
              <w:jc w:val="right"/>
              <w:rPr>
                <w:rStyle w:val="Strong"/>
                <w:b w:val="0"/>
                <w:bCs w:val="0"/>
              </w:rPr>
            </w:pPr>
            <w:r>
              <w:rPr>
                <w:b/>
                <w:bCs/>
              </w:rPr>
              <w:t>189,892</w:t>
            </w:r>
          </w:p>
        </w:tc>
        <w:tc>
          <w:tcPr>
            <w:tcW w:w="623" w:type="pct"/>
            <w:tcBorders>
              <w:top w:val="nil"/>
              <w:left w:val="nil"/>
              <w:bottom w:val="single" w:sz="4" w:space="0" w:color="auto"/>
              <w:right w:val="nil"/>
            </w:tcBorders>
            <w:vAlign w:val="center"/>
            <w:hideMark/>
          </w:tcPr>
          <w:p w14:paraId="406C74AA" w14:textId="41228050" w:rsidR="00F55855" w:rsidRPr="00967761" w:rsidRDefault="292F9EE4" w:rsidP="00B87643">
            <w:pPr>
              <w:pStyle w:val="TableText"/>
              <w:jc w:val="right"/>
            </w:pPr>
            <w:r w:rsidRPr="274275C9">
              <w:rPr>
                <w:b/>
                <w:bCs/>
              </w:rPr>
              <w:t>(874,227)</w:t>
            </w:r>
          </w:p>
        </w:tc>
        <w:tc>
          <w:tcPr>
            <w:tcW w:w="624" w:type="pct"/>
            <w:tcBorders>
              <w:top w:val="nil"/>
              <w:left w:val="nil"/>
              <w:bottom w:val="single" w:sz="4" w:space="0" w:color="auto"/>
              <w:right w:val="nil"/>
            </w:tcBorders>
            <w:vAlign w:val="center"/>
            <w:hideMark/>
          </w:tcPr>
          <w:p w14:paraId="1BC481CA" w14:textId="000EC93A" w:rsidR="00F55855" w:rsidRPr="00967761" w:rsidRDefault="78976982" w:rsidP="274275C9">
            <w:pPr>
              <w:pStyle w:val="TableText"/>
              <w:jc w:val="right"/>
              <w:rPr>
                <w:b/>
                <w:bCs/>
              </w:rPr>
            </w:pPr>
            <w:r w:rsidRPr="274275C9">
              <w:rPr>
                <w:b/>
                <w:bCs/>
              </w:rPr>
              <w:t>(</w:t>
            </w:r>
            <w:r w:rsidR="00F829D1">
              <w:rPr>
                <w:b/>
                <w:bCs/>
              </w:rPr>
              <w:t>272,937</w:t>
            </w:r>
            <w:r w:rsidRPr="274275C9">
              <w:rPr>
                <w:b/>
                <w:bCs/>
              </w:rPr>
              <w:t>)</w:t>
            </w:r>
          </w:p>
        </w:tc>
      </w:tr>
      <w:tr w:rsidR="00F55855" w:rsidRPr="00F97476" w14:paraId="129DDBE2" w14:textId="77777777" w:rsidTr="274275C9">
        <w:trPr>
          <w:trHeight w:val="338"/>
        </w:trPr>
        <w:tc>
          <w:tcPr>
            <w:tcW w:w="1642" w:type="pct"/>
            <w:tcBorders>
              <w:top w:val="nil"/>
              <w:left w:val="nil"/>
              <w:bottom w:val="single" w:sz="4" w:space="0" w:color="auto"/>
              <w:right w:val="nil"/>
            </w:tcBorders>
            <w:vAlign w:val="center"/>
            <w:hideMark/>
          </w:tcPr>
          <w:p w14:paraId="7CF1AA21" w14:textId="76817388" w:rsidR="00F55855" w:rsidRPr="00F97476" w:rsidRDefault="00F55855" w:rsidP="00D966EA">
            <w:pPr>
              <w:pStyle w:val="TableText"/>
              <w:rPr>
                <w:lang w:eastAsia="en-AU"/>
              </w:rPr>
            </w:pPr>
            <w:r w:rsidRPr="274275C9">
              <w:rPr>
                <w:lang w:eastAsia="en-AU"/>
              </w:rPr>
              <w:t>Appropriation</w:t>
            </w:r>
          </w:p>
        </w:tc>
        <w:tc>
          <w:tcPr>
            <w:tcW w:w="703" w:type="pct"/>
            <w:tcBorders>
              <w:top w:val="nil"/>
              <w:left w:val="nil"/>
              <w:bottom w:val="single" w:sz="4" w:space="0" w:color="auto"/>
              <w:right w:val="nil"/>
            </w:tcBorders>
            <w:hideMark/>
          </w:tcPr>
          <w:p w14:paraId="5E18B52A" w14:textId="3D706608" w:rsidR="00F55855" w:rsidRPr="00F97476" w:rsidRDefault="00F55855" w:rsidP="00B87643">
            <w:pPr>
              <w:pStyle w:val="TableText"/>
              <w:jc w:val="right"/>
              <w:rPr>
                <w:lang w:eastAsia="en-AU"/>
              </w:rPr>
            </w:pPr>
            <w:r w:rsidRPr="000712EF">
              <w:t>1,147,164</w:t>
            </w:r>
          </w:p>
        </w:tc>
        <w:tc>
          <w:tcPr>
            <w:tcW w:w="625" w:type="pct"/>
            <w:tcBorders>
              <w:top w:val="nil"/>
              <w:left w:val="nil"/>
              <w:bottom w:val="single" w:sz="4" w:space="0" w:color="auto"/>
              <w:right w:val="nil"/>
            </w:tcBorders>
            <w:hideMark/>
          </w:tcPr>
          <w:p w14:paraId="74EAEBCA" w14:textId="325121E8" w:rsidR="00F55855" w:rsidRPr="00F55855" w:rsidRDefault="00284BF9" w:rsidP="00B87643">
            <w:pPr>
              <w:pStyle w:val="TableText"/>
              <w:jc w:val="right"/>
            </w:pPr>
            <w:r>
              <w:t>–</w:t>
            </w:r>
          </w:p>
        </w:tc>
        <w:tc>
          <w:tcPr>
            <w:tcW w:w="782" w:type="pct"/>
            <w:tcBorders>
              <w:top w:val="nil"/>
              <w:left w:val="nil"/>
              <w:bottom w:val="single" w:sz="4" w:space="0" w:color="auto"/>
              <w:right w:val="nil"/>
            </w:tcBorders>
            <w:hideMark/>
          </w:tcPr>
          <w:p w14:paraId="736494EC" w14:textId="59462FCA" w:rsidR="00F55855" w:rsidRPr="00F55855" w:rsidRDefault="00F55855" w:rsidP="00B87643">
            <w:pPr>
              <w:pStyle w:val="TableText"/>
              <w:jc w:val="right"/>
            </w:pPr>
            <w:r w:rsidRPr="000712EF">
              <w:t>1,147,164</w:t>
            </w:r>
          </w:p>
        </w:tc>
        <w:tc>
          <w:tcPr>
            <w:tcW w:w="623" w:type="pct"/>
            <w:tcBorders>
              <w:top w:val="nil"/>
              <w:left w:val="nil"/>
              <w:bottom w:val="single" w:sz="4" w:space="0" w:color="auto"/>
              <w:right w:val="nil"/>
            </w:tcBorders>
            <w:vAlign w:val="center"/>
            <w:hideMark/>
          </w:tcPr>
          <w:p w14:paraId="74B21B57" w14:textId="5A0DA78B" w:rsidR="00F55855" w:rsidRPr="00F97476" w:rsidRDefault="00B87643" w:rsidP="00B87643">
            <w:pPr>
              <w:pStyle w:val="TableText"/>
              <w:jc w:val="right"/>
            </w:pPr>
            <w:r>
              <w:t>n/a</w:t>
            </w:r>
          </w:p>
        </w:tc>
        <w:tc>
          <w:tcPr>
            <w:tcW w:w="624" w:type="pct"/>
            <w:tcBorders>
              <w:top w:val="nil"/>
              <w:left w:val="nil"/>
              <w:bottom w:val="single" w:sz="4" w:space="0" w:color="auto"/>
              <w:right w:val="nil"/>
            </w:tcBorders>
            <w:vAlign w:val="center"/>
            <w:hideMark/>
          </w:tcPr>
          <w:p w14:paraId="6FCFD150" w14:textId="57EDCCC2" w:rsidR="00F55855" w:rsidRPr="00F97476" w:rsidRDefault="00B87643" w:rsidP="00B87643">
            <w:pPr>
              <w:pStyle w:val="TableText"/>
              <w:jc w:val="right"/>
            </w:pPr>
            <w:r>
              <w:t>n/a</w:t>
            </w:r>
          </w:p>
        </w:tc>
      </w:tr>
      <w:tr w:rsidR="00F55855" w:rsidRPr="00F97476" w14:paraId="54CEC01B" w14:textId="77777777" w:rsidTr="274275C9">
        <w:trPr>
          <w:trHeight w:val="338"/>
        </w:trPr>
        <w:tc>
          <w:tcPr>
            <w:tcW w:w="1642" w:type="pct"/>
            <w:tcBorders>
              <w:top w:val="nil"/>
              <w:left w:val="nil"/>
              <w:bottom w:val="single" w:sz="4" w:space="0" w:color="auto"/>
              <w:right w:val="nil"/>
            </w:tcBorders>
            <w:vAlign w:val="center"/>
            <w:hideMark/>
          </w:tcPr>
          <w:p w14:paraId="4D091D48" w14:textId="77777777" w:rsidR="00F55855" w:rsidRPr="00F97476" w:rsidRDefault="00F55855" w:rsidP="00F55855">
            <w:pPr>
              <w:pStyle w:val="TableText"/>
              <w:rPr>
                <w:rStyle w:val="Strong"/>
              </w:rPr>
            </w:pPr>
            <w:r w:rsidRPr="00F97476">
              <w:rPr>
                <w:rStyle w:val="Strong"/>
              </w:rPr>
              <w:t>Accumulated result</w:t>
            </w:r>
          </w:p>
        </w:tc>
        <w:tc>
          <w:tcPr>
            <w:tcW w:w="703" w:type="pct"/>
            <w:tcBorders>
              <w:top w:val="nil"/>
              <w:left w:val="nil"/>
              <w:bottom w:val="single" w:sz="4" w:space="0" w:color="auto"/>
              <w:right w:val="nil"/>
            </w:tcBorders>
            <w:hideMark/>
          </w:tcPr>
          <w:p w14:paraId="71B52520" w14:textId="58D515CD" w:rsidR="00F55855" w:rsidRPr="00F55855" w:rsidRDefault="00F55855" w:rsidP="00B87643">
            <w:pPr>
              <w:pStyle w:val="TableText"/>
              <w:jc w:val="right"/>
            </w:pPr>
            <w:r w:rsidRPr="00F55855">
              <w:rPr>
                <w:b/>
                <w:bCs/>
              </w:rPr>
              <w:t>(8,082,193)</w:t>
            </w:r>
          </w:p>
        </w:tc>
        <w:tc>
          <w:tcPr>
            <w:tcW w:w="625" w:type="pct"/>
            <w:tcBorders>
              <w:top w:val="nil"/>
              <w:left w:val="nil"/>
              <w:bottom w:val="single" w:sz="4" w:space="0" w:color="auto"/>
              <w:right w:val="nil"/>
            </w:tcBorders>
            <w:hideMark/>
          </w:tcPr>
          <w:p w14:paraId="4D5E31E3" w14:textId="01B245D3" w:rsidR="00F55855" w:rsidRPr="00F55855" w:rsidRDefault="00F55855" w:rsidP="00B87643">
            <w:pPr>
              <w:pStyle w:val="TableText"/>
              <w:jc w:val="right"/>
            </w:pPr>
            <w:r w:rsidRPr="00F55855">
              <w:rPr>
                <w:b/>
                <w:bCs/>
              </w:rPr>
              <w:t>(8,846,719)</w:t>
            </w:r>
          </w:p>
        </w:tc>
        <w:tc>
          <w:tcPr>
            <w:tcW w:w="782" w:type="pct"/>
            <w:tcBorders>
              <w:top w:val="nil"/>
              <w:left w:val="nil"/>
              <w:bottom w:val="single" w:sz="4" w:space="0" w:color="auto"/>
              <w:right w:val="nil"/>
            </w:tcBorders>
            <w:hideMark/>
          </w:tcPr>
          <w:p w14:paraId="31ACB5A5" w14:textId="794111AE" w:rsidR="00F55855" w:rsidRPr="00F55855" w:rsidRDefault="00F55855" w:rsidP="00B87643">
            <w:pPr>
              <w:pStyle w:val="TableText"/>
              <w:jc w:val="right"/>
            </w:pPr>
            <w:r w:rsidRPr="00F55855">
              <w:rPr>
                <w:b/>
                <w:bCs/>
              </w:rPr>
              <w:t>764,526</w:t>
            </w:r>
          </w:p>
        </w:tc>
        <w:tc>
          <w:tcPr>
            <w:tcW w:w="623" w:type="pct"/>
            <w:tcBorders>
              <w:top w:val="nil"/>
              <w:left w:val="nil"/>
              <w:bottom w:val="single" w:sz="4" w:space="0" w:color="auto"/>
              <w:right w:val="nil"/>
            </w:tcBorders>
            <w:vAlign w:val="center"/>
            <w:hideMark/>
          </w:tcPr>
          <w:p w14:paraId="49C14F29" w14:textId="3017A79A" w:rsidR="00F55855" w:rsidRPr="00F55855" w:rsidRDefault="00B87643" w:rsidP="00B87643">
            <w:pPr>
              <w:pStyle w:val="TableText"/>
              <w:jc w:val="right"/>
            </w:pPr>
            <w:r>
              <w:rPr>
                <w:b/>
                <w:bCs/>
              </w:rPr>
              <w:t>n/a</w:t>
            </w:r>
          </w:p>
        </w:tc>
        <w:tc>
          <w:tcPr>
            <w:tcW w:w="624" w:type="pct"/>
            <w:tcBorders>
              <w:top w:val="nil"/>
              <w:left w:val="nil"/>
              <w:bottom w:val="single" w:sz="4" w:space="0" w:color="auto"/>
              <w:right w:val="nil"/>
            </w:tcBorders>
            <w:vAlign w:val="center"/>
            <w:hideMark/>
          </w:tcPr>
          <w:p w14:paraId="1806B808" w14:textId="1A91733E" w:rsidR="00F55855" w:rsidRPr="00F55855" w:rsidRDefault="00B87643" w:rsidP="00B87643">
            <w:pPr>
              <w:pStyle w:val="TableText"/>
              <w:jc w:val="right"/>
            </w:pPr>
            <w:r>
              <w:rPr>
                <w:b/>
                <w:bCs/>
              </w:rPr>
              <w:t>n/a</w:t>
            </w:r>
          </w:p>
        </w:tc>
      </w:tr>
    </w:tbl>
    <w:p w14:paraId="1AACA44D" w14:textId="77777777" w:rsidR="00074306" w:rsidRDefault="00074306" w:rsidP="00074306">
      <w:pPr>
        <w:pStyle w:val="FigureTableNoteSource"/>
      </w:pPr>
      <w:r w:rsidRPr="00E11E9C">
        <w:t>Note: Numbers in brackets are negative.</w:t>
      </w:r>
      <w:r>
        <w:t xml:space="preserve"> </w:t>
      </w:r>
      <w:r w:rsidRPr="00E11E9C">
        <w:t>Total revenue figures are inclusive of other revenue that is not recovered through regulatory fees and charges.</w:t>
      </w:r>
    </w:p>
    <w:p w14:paraId="6C27E54D" w14:textId="3D294596" w:rsidR="00074306" w:rsidRPr="00E11E9C" w:rsidRDefault="00074306" w:rsidP="00074306">
      <w:pPr>
        <w:pStyle w:val="Heading3"/>
        <w:numPr>
          <w:ilvl w:val="0"/>
          <w:numId w:val="0"/>
        </w:numPr>
        <w:ind w:left="964" w:hanging="964"/>
      </w:pPr>
      <w:bookmarkStart w:id="12" w:name="_Toc175231738"/>
      <w:bookmarkStart w:id="13" w:name="_Toc180573326"/>
      <w:bookmarkStart w:id="14" w:name="_Toc204936455"/>
      <w:bookmarkStart w:id="15" w:name="_Toc220395918"/>
      <w:r w:rsidRPr="00E11E9C">
        <w:t>Securing the future of agricultural trade</w:t>
      </w:r>
      <w:bookmarkEnd w:id="12"/>
      <w:bookmarkEnd w:id="13"/>
      <w:bookmarkEnd w:id="14"/>
      <w:bookmarkEnd w:id="15"/>
    </w:p>
    <w:p w14:paraId="5194B82D" w14:textId="16617407" w:rsidR="00074306" w:rsidRPr="00646BA5" w:rsidRDefault="00074306" w:rsidP="00074306">
      <w:bookmarkStart w:id="16" w:name="_Hlk174528513"/>
      <w:r w:rsidRPr="00646BA5">
        <w:t xml:space="preserve">The government announced the </w:t>
      </w:r>
      <w:r w:rsidR="00B228AA" w:rsidRPr="00A3492C">
        <w:rPr>
          <w:rStyle w:val="Emphasis"/>
        </w:rPr>
        <w:t>Busting Congestion for Agricultural Exporters</w:t>
      </w:r>
      <w:r w:rsidR="00B228AA" w:rsidRPr="00A3492C">
        <w:t xml:space="preserve"> package (DAWE 2020)</w:t>
      </w:r>
      <w:r w:rsidRPr="00646BA5">
        <w:t xml:space="preserv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 from reality.</w:t>
      </w:r>
    </w:p>
    <w:p w14:paraId="516A8444" w14:textId="72DE9ED0" w:rsidR="00074306" w:rsidRPr="00646BA5" w:rsidRDefault="00074306" w:rsidP="00074306">
      <w:r w:rsidRPr="00646BA5">
        <w:t xml:space="preserve">In the </w:t>
      </w:r>
      <w:r w:rsidRPr="00FB5877">
        <w:rPr>
          <w:rStyle w:val="Emphasis"/>
        </w:rPr>
        <w:t xml:space="preserve">2023–24 Mid-Year Economic </w:t>
      </w:r>
      <w:r w:rsidR="00F673CB" w:rsidRPr="00FB5877">
        <w:rPr>
          <w:rStyle w:val="Emphasis"/>
        </w:rPr>
        <w:t xml:space="preserve">and </w:t>
      </w:r>
      <w:r w:rsidRPr="00FB5877">
        <w:rPr>
          <w:rStyle w:val="Emphasis"/>
        </w:rPr>
        <w:t>Fiscal Outlook</w:t>
      </w:r>
      <w:r w:rsidR="002B5426">
        <w:t>,</w:t>
      </w:r>
      <w:r>
        <w:t xml:space="preserve"> </w:t>
      </w:r>
      <w:r w:rsidRPr="00646BA5">
        <w:t>the Australian Government committed $91.8</w:t>
      </w:r>
      <w:r w:rsidRPr="00646BA5">
        <w:rPr>
          <w:rFonts w:ascii="Calibri" w:eastAsia="Times New Roman" w:hAnsi="Calibri" w:cs="Calibri"/>
          <w:color w:val="000000"/>
          <w:sz w:val="18"/>
          <w:szCs w:val="18"/>
          <w:lang w:eastAsia="en-AU"/>
        </w:rPr>
        <w:t> </w:t>
      </w:r>
      <w:r w:rsidRPr="00646BA5">
        <w:t xml:space="preserve">million over 2 years through the </w:t>
      </w:r>
      <w:r w:rsidR="00590FFC" w:rsidRPr="00A3492C">
        <w:rPr>
          <w:rStyle w:val="Emphasis"/>
        </w:rPr>
        <w:t>Securing the future of agricultural trade</w:t>
      </w:r>
      <w:r w:rsidR="00590FFC" w:rsidRPr="00A3492C">
        <w:t xml:space="preserve"> measures (DAFF 2023)</w:t>
      </w:r>
      <w:r>
        <w:t xml:space="preserve"> </w:t>
      </w:r>
      <w:r w:rsidRPr="00646BA5">
        <w:t>to sustain delivery of key department export trade and regulatory functions. A further $3.7</w:t>
      </w:r>
      <w:r w:rsidRPr="00646BA5">
        <w:rPr>
          <w:rFonts w:ascii="Calibri" w:eastAsia="Times New Roman" w:hAnsi="Calibri" w:cs="Calibri"/>
          <w:color w:val="000000"/>
          <w:sz w:val="18"/>
          <w:szCs w:val="18"/>
          <w:lang w:eastAsia="en-AU"/>
        </w:rPr>
        <w:t> </w:t>
      </w:r>
      <w:r w:rsidRPr="00646BA5">
        <w:t xml:space="preserve">million </w:t>
      </w:r>
      <w:r>
        <w:t>was</w:t>
      </w:r>
      <w:r w:rsidRPr="00646BA5">
        <w:t xml:space="preserve"> provided over </w:t>
      </w:r>
      <w:r>
        <w:t xml:space="preserve">3 </w:t>
      </w:r>
      <w:r w:rsidRPr="00646BA5">
        <w:t>years to enable development of an ongoing sustainable funding model</w:t>
      </w:r>
      <w:r>
        <w:t>. This will assist</w:t>
      </w:r>
      <w:r w:rsidRPr="00646BA5">
        <w:t xml:space="preserve"> to the department </w:t>
      </w:r>
      <w:r>
        <w:t xml:space="preserve">to </w:t>
      </w:r>
      <w:r w:rsidRPr="00646BA5">
        <w:t>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the department</w:t>
      </w:r>
      <w:r w:rsidR="00EF110D">
        <w:t>’</w:t>
      </w:r>
      <w:r w:rsidRPr="00646BA5">
        <w:t>s export regulatory and trade activities.</w:t>
      </w:r>
    </w:p>
    <w:p w14:paraId="6CC0ED42" w14:textId="41468732" w:rsidR="00074306" w:rsidRDefault="00074306" w:rsidP="009C7CE6">
      <w:r w:rsidRPr="00646BA5">
        <w:t xml:space="preserve">Sustainable funding will </w:t>
      </w:r>
      <w:r>
        <w:t>provide</w:t>
      </w:r>
      <w:r w:rsidRPr="00646BA5">
        <w:t xml:space="preserve"> the availability of a consistent, sufficient funding source that appropriately underpins the delivery of trade and export services and associated enabling activities</w:t>
      </w:r>
      <w:r>
        <w:t xml:space="preserve">. This </w:t>
      </w:r>
      <w:r w:rsidRPr="00646BA5">
        <w:t>includ</w:t>
      </w:r>
      <w:r>
        <w:t>es</w:t>
      </w:r>
      <w:r w:rsidRPr="00646BA5">
        <w:t xml:space="preserve"> strategic prioritisation, and importantly the execution of regulatory export functions and the associated supporting international market access and advocacy activities.</w:t>
      </w:r>
    </w:p>
    <w:p w14:paraId="405AE2F4" w14:textId="77777777" w:rsidR="00074306" w:rsidRPr="00E11E9C" w:rsidRDefault="00074306" w:rsidP="00FD146E">
      <w:pPr>
        <w:pStyle w:val="Heading3"/>
        <w:numPr>
          <w:ilvl w:val="0"/>
          <w:numId w:val="0"/>
        </w:numPr>
        <w:ind w:left="964" w:hanging="964"/>
      </w:pPr>
      <w:bookmarkStart w:id="17" w:name="_Toc175231739"/>
      <w:bookmarkStart w:id="18" w:name="_Toc180573327"/>
      <w:bookmarkStart w:id="19" w:name="_Toc204936456"/>
      <w:bookmarkStart w:id="20" w:name="_Toc220395919"/>
      <w:bookmarkEnd w:id="16"/>
      <w:r w:rsidRPr="00E11E9C">
        <w:lastRenderedPageBreak/>
        <w:t>CRIS cost modelling</w:t>
      </w:r>
      <w:bookmarkEnd w:id="17"/>
      <w:bookmarkEnd w:id="18"/>
      <w:bookmarkEnd w:id="19"/>
      <w:bookmarkEnd w:id="20"/>
    </w:p>
    <w:p w14:paraId="79C18CB8" w14:textId="456AEF10" w:rsidR="00074306" w:rsidRPr="00E11E9C" w:rsidRDefault="00BA6963" w:rsidP="0037174E">
      <w:pPr>
        <w:keepNext/>
        <w:rPr>
          <w:lang w:eastAsia="ja-JP"/>
        </w:rPr>
      </w:pPr>
      <w:bookmarkStart w:id="21" w:name="_Hlk174528576"/>
      <w:r>
        <w:rPr>
          <w:lang w:eastAsia="ja-JP"/>
        </w:rPr>
        <w:t>The k</w:t>
      </w:r>
      <w:r w:rsidRPr="00E11E9C">
        <w:rPr>
          <w:lang w:eastAsia="ja-JP"/>
        </w:rPr>
        <w:t xml:space="preserve">ey </w:t>
      </w:r>
      <w:r w:rsidR="00074306" w:rsidRPr="00E11E9C">
        <w:rPr>
          <w:lang w:eastAsia="ja-JP"/>
        </w:rPr>
        <w:t xml:space="preserve">objectives </w:t>
      </w:r>
      <w:r w:rsidR="00686926">
        <w:rPr>
          <w:lang w:eastAsia="ja-JP"/>
        </w:rPr>
        <w:t>of</w:t>
      </w:r>
      <w:r w:rsidR="00074306" w:rsidRPr="00E11E9C">
        <w:rPr>
          <w:lang w:eastAsia="ja-JP"/>
        </w:rPr>
        <w:t xml:space="preserve"> the department</w:t>
      </w:r>
      <w:r w:rsidR="009648D5">
        <w:rPr>
          <w:lang w:eastAsia="ja-JP"/>
        </w:rPr>
        <w:t>’</w:t>
      </w:r>
      <w:r w:rsidR="00074306" w:rsidRPr="00E11E9C">
        <w:rPr>
          <w:lang w:eastAsia="ja-JP"/>
        </w:rPr>
        <w:t>s cost recovery arrangements are to:</w:t>
      </w:r>
    </w:p>
    <w:p w14:paraId="11406622" w14:textId="59CE506A" w:rsidR="00074306" w:rsidRPr="00E11E9C" w:rsidRDefault="00074306" w:rsidP="00825440">
      <w:pPr>
        <w:pStyle w:val="ListBullet"/>
        <w:keepNext/>
        <w:numPr>
          <w:ilvl w:val="0"/>
          <w:numId w:val="4"/>
        </w:numPr>
      </w:pPr>
      <w:r w:rsidRPr="00E11E9C">
        <w:rPr>
          <w:lang w:eastAsia="ja-JP"/>
        </w:rPr>
        <w:t>safeguard Australia’s animal and plant health</w:t>
      </w:r>
      <w:r w:rsidRPr="00E11E9C">
        <w:t xml:space="preserve">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6E9AE06B" w14:textId="77777777" w:rsidR="00074306" w:rsidRPr="00E11E9C" w:rsidRDefault="00074306" w:rsidP="00074306">
      <w:pPr>
        <w:pStyle w:val="ListBullet"/>
        <w:numPr>
          <w:ilvl w:val="0"/>
          <w:numId w:val="4"/>
        </w:numPr>
      </w:pPr>
      <w:r w:rsidRPr="00E11E9C">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46A0604F" w14:textId="0A5C9569" w:rsidR="00074306" w:rsidRPr="00E11E9C" w:rsidRDefault="00074306" w:rsidP="00074306">
      <w:pPr>
        <w:spacing w:before="120" w:after="120"/>
      </w:pPr>
      <w:r w:rsidRPr="00E11E9C">
        <w:rPr>
          <w:lang w:eastAsia="ja-JP"/>
        </w:rPr>
        <w:t xml:space="preserve">We use </w:t>
      </w:r>
      <w:r w:rsidRPr="00E11E9C">
        <w:t>resources such as people, IT, property and equipment to meet these</w:t>
      </w:r>
      <w:r w:rsidRPr="00E11E9C" w:rsidDel="00BA6963">
        <w:t xml:space="preserve"> </w:t>
      </w:r>
      <w:r w:rsidRPr="00E11E9C">
        <w:t>objectives and undertake the corresponding business processes (regulatory activities)</w:t>
      </w:r>
      <w:r>
        <w:t xml:space="preserve">. These activities </w:t>
      </w:r>
      <w:r w:rsidRPr="00E11E9C">
        <w:t>enable us to provide outputs that meet the department’s policy objectives.</w:t>
      </w:r>
    </w:p>
    <w:p w14:paraId="119B7EDC" w14:textId="6DDD8170" w:rsidR="00074306" w:rsidRPr="00E11E9C" w:rsidRDefault="00074306" w:rsidP="00074306">
      <w:pPr>
        <w:spacing w:before="120" w:after="120"/>
        <w:rPr>
          <w:lang w:eastAsia="ja-JP"/>
        </w:rPr>
      </w:pPr>
      <w:r w:rsidRPr="00E11E9C">
        <w:rPr>
          <w:lang w:eastAsia="ja-JP"/>
        </w:rPr>
        <w:t xml:space="preserve">The </w:t>
      </w:r>
      <w:r w:rsidR="00BA6963">
        <w:rPr>
          <w:lang w:eastAsia="ja-JP"/>
        </w:rPr>
        <w:t>largest portion</w:t>
      </w:r>
      <w:r w:rsidRPr="00E11E9C">
        <w:rPr>
          <w:lang w:eastAsia="ja-JP"/>
        </w:rPr>
        <w:t xml:space="preserve"> 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 make up other major direct costs.</w:t>
      </w:r>
    </w:p>
    <w:p w14:paraId="155E6E54" w14:textId="00F74FB5" w:rsidR="00074306" w:rsidRPr="00E11E9C" w:rsidRDefault="00074306" w:rsidP="00074306">
      <w:r w:rsidRPr="00E11E9C">
        <w:t xml:space="preserve">The </w:t>
      </w:r>
      <w:hyperlink r:id="rId22" w:history="1">
        <w:r w:rsidRPr="00E11E9C">
          <w:rPr>
            <w:color w:val="165788"/>
            <w:u w:val="single"/>
          </w:rPr>
          <w:t>Australian Government Charging Framework</w:t>
        </w:r>
      </w:hyperlink>
      <w:r w:rsidRPr="00E11E9C">
        <w:t xml:space="preserve"> allows government agencies to plan, implement and review their charging activities. Our charging is spilt between regulatory fees and regulatory levies. Fees are imposed when an activity and its costs can be attributed to a specific individual or organisation.</w:t>
      </w:r>
      <w:r w:rsidR="0057590A">
        <w:t xml:space="preserve"> A levy is imposed when a good, service or regulation is provided to a group of individuals or organisations rather than to a specific individual or organisation.</w:t>
      </w:r>
    </w:p>
    <w:p w14:paraId="62BB4D07" w14:textId="05546943" w:rsidR="00074306" w:rsidRPr="00E11E9C" w:rsidRDefault="00074306" w:rsidP="00074306">
      <w:pPr>
        <w:rPr>
          <w:lang w:eastAsia="ja-JP"/>
        </w:rPr>
      </w:pPr>
      <w:r w:rsidRPr="00E11E9C">
        <w:rPr>
          <w:lang w:eastAsia="ja-JP"/>
        </w:rPr>
        <w:t xml:space="preserve">The cost base is modelled to reflect the full costs to </w:t>
      </w:r>
      <w:r w:rsidRPr="00E11E9C">
        <w:t>deliver regulatory services</w:t>
      </w:r>
      <w:r w:rsidR="00A83237">
        <w:t xml:space="preserve"> that</w:t>
      </w:r>
      <w:r w:rsidRPr="00E11E9C">
        <w:t xml:space="preserve"> support the </w:t>
      </w:r>
      <w:r>
        <w:t>horticulture</w:t>
      </w:r>
      <w:r w:rsidRPr="00E11E9C">
        <w:t xml:space="preserve"> industry</w:t>
      </w:r>
      <w:r w:rsidRPr="00E11E9C">
        <w:rPr>
          <w:lang w:eastAsia="ja-JP"/>
        </w:rPr>
        <w:t>.</w:t>
      </w:r>
      <w:r w:rsidR="009B12BB">
        <w:t xml:space="preserve"> </w:t>
      </w:r>
      <w:r w:rsidR="009B12BB" w:rsidRPr="000441EC">
        <w:rPr>
          <w:lang w:eastAsia="ja-JP"/>
        </w:rPr>
        <w:t>The department</w:t>
      </w:r>
      <w:r w:rsidR="009B12BB">
        <w:rPr>
          <w:lang w:eastAsia="ja-JP"/>
        </w:rPr>
        <w:t>’</w:t>
      </w:r>
      <w:r w:rsidR="009B12BB" w:rsidRPr="000441EC">
        <w:rPr>
          <w:lang w:eastAsia="ja-JP"/>
        </w:rPr>
        <w:t>s</w:t>
      </w:r>
      <w:r w:rsidR="009B12BB">
        <w:rPr>
          <w:lang w:eastAsia="ja-JP"/>
        </w:rPr>
        <w:t xml:space="preserve"> </w:t>
      </w:r>
      <w:hyperlink r:id="rId23" w:anchor="_202425" w:history="1">
        <w:r w:rsidR="008B1456">
          <w:rPr>
            <w:rStyle w:val="Hyperlink"/>
          </w:rPr>
          <w:t>Cost recovery implementation statement horticulture exports 2024–25</w:t>
        </w:r>
      </w:hyperlink>
      <w:r w:rsidR="009B12BB" w:rsidRPr="000441EC">
        <w:rPr>
          <w:lang w:eastAsia="ja-JP"/>
        </w:rPr>
        <w:t xml:space="preserve"> </w:t>
      </w:r>
      <w:r w:rsidR="009B12BB" w:rsidRPr="000441EC">
        <w:t>describes this in further detail.</w:t>
      </w:r>
    </w:p>
    <w:p w14:paraId="4686EE71" w14:textId="10F56649" w:rsidR="00074306" w:rsidRPr="00E11E9C" w:rsidRDefault="002C0AC7" w:rsidP="00074306">
      <w:pPr>
        <w:rPr>
          <w:lang w:eastAsia="ja-JP"/>
        </w:rPr>
      </w:pPr>
      <w:r>
        <w:rPr>
          <w:lang w:eastAsia="ja-JP"/>
        </w:rPr>
        <w:t xml:space="preserve">The </w:t>
      </w:r>
      <w:hyperlink w:anchor="_Expenses" w:history="1">
        <w:r w:rsidRPr="00EF69DE">
          <w:rPr>
            <w:rStyle w:val="Hyperlink"/>
            <w:lang w:eastAsia="ja-JP"/>
          </w:rPr>
          <w:t>Expenses</w:t>
        </w:r>
      </w:hyperlink>
      <w:r>
        <w:rPr>
          <w:lang w:eastAsia="ja-JP"/>
        </w:rPr>
        <w:t xml:space="preserve"> chapter describes </w:t>
      </w:r>
      <w:r w:rsidR="00E801FD">
        <w:rPr>
          <w:lang w:eastAsia="ja-JP"/>
        </w:rPr>
        <w:t xml:space="preserve">the costs involved in providing our services, by division. For descriptions of the services provided by these divisions, see </w:t>
      </w:r>
      <w:hyperlink w:anchor="Title_A1" w:history="1">
        <w:r w:rsidR="00074306" w:rsidRPr="006A2C5E">
          <w:rPr>
            <w:color w:val="165788"/>
            <w:u w:val="single"/>
            <w:lang w:eastAsia="ja-JP"/>
          </w:rPr>
          <w:t>Appendix A</w:t>
        </w:r>
      </w:hyperlink>
      <w:r w:rsidR="00074306" w:rsidRPr="006A2C5E">
        <w:rPr>
          <w:lang w:eastAsia="ja-JP"/>
        </w:rPr>
        <w:t>.</w:t>
      </w:r>
    </w:p>
    <w:p w14:paraId="753EFE02" w14:textId="77777777" w:rsidR="00C503D3" w:rsidRPr="00E11E9C" w:rsidRDefault="00C503D3" w:rsidP="00CD3BC0">
      <w:pPr>
        <w:pStyle w:val="Heading2"/>
        <w:numPr>
          <w:ilvl w:val="0"/>
          <w:numId w:val="0"/>
        </w:numPr>
        <w:ind w:left="720" w:hanging="720"/>
      </w:pPr>
      <w:bookmarkStart w:id="22" w:name="_Toc175231740"/>
      <w:bookmarkStart w:id="23" w:name="_Toc220395920"/>
      <w:bookmarkEnd w:id="21"/>
      <w:r w:rsidRPr="00E11E9C">
        <w:lastRenderedPageBreak/>
        <w:t xml:space="preserve">Volume and </w:t>
      </w:r>
      <w:r>
        <w:t>r</w:t>
      </w:r>
      <w:r w:rsidRPr="00E11E9C">
        <w:t>evenue</w:t>
      </w:r>
      <w:bookmarkEnd w:id="22"/>
      <w:bookmarkEnd w:id="23"/>
    </w:p>
    <w:p w14:paraId="78E1B9BE" w14:textId="573E0617" w:rsidR="00C503D3" w:rsidRPr="00DD1FF3" w:rsidRDefault="003B7D5C" w:rsidP="007F479A">
      <w:r>
        <w:t>R</w:t>
      </w:r>
      <w:r w:rsidR="00C503D3" w:rsidRPr="00896EF3">
        <w:t>evenue for the horticulture exports arrangement was $</w:t>
      </w:r>
      <w:r w:rsidR="007D0B90" w:rsidRPr="00896EF3">
        <w:t>13.5</w:t>
      </w:r>
      <w:r w:rsidR="00C503D3" w:rsidRPr="00896EF3">
        <w:t> million in 2024–25, $0.</w:t>
      </w:r>
      <w:r w:rsidR="00F55F36">
        <w:t>3</w:t>
      </w:r>
      <w:r w:rsidR="00C503D3" w:rsidRPr="00896EF3">
        <w:t xml:space="preserve"> million </w:t>
      </w:r>
      <w:r w:rsidR="00F55F36">
        <w:t>below</w:t>
      </w:r>
      <w:r w:rsidR="00F55F36" w:rsidRPr="00896EF3">
        <w:t xml:space="preserve"> </w:t>
      </w:r>
      <w:r w:rsidR="00C503D3" w:rsidRPr="00896EF3">
        <w:t xml:space="preserve">budget and </w:t>
      </w:r>
      <w:r w:rsidR="00896EF3">
        <w:t>$2.</w:t>
      </w:r>
      <w:r w:rsidR="001C2136">
        <w:t>3</w:t>
      </w:r>
      <w:r w:rsidR="0076341C">
        <w:t> </w:t>
      </w:r>
      <w:r w:rsidR="00896EF3">
        <w:t>million</w:t>
      </w:r>
      <w:r w:rsidR="00C503D3" w:rsidRPr="00896EF3">
        <w:t xml:space="preserve"> higher than forecast in the CRIS.</w:t>
      </w:r>
      <w:r w:rsidR="002164CD">
        <w:t xml:space="preserve"> </w:t>
      </w:r>
      <w:r w:rsidR="00C503D3">
        <w:fldChar w:fldCharType="begin"/>
      </w:r>
      <w:r w:rsidR="00C503D3">
        <w:instrText xml:space="preserve"> REF _Ref178845570 \h </w:instrText>
      </w:r>
      <w:r w:rsidR="00C503D3">
        <w:fldChar w:fldCharType="separate"/>
      </w:r>
      <w:r w:rsidR="007D61E3" w:rsidRPr="000365F5">
        <w:t xml:space="preserve">Table </w:t>
      </w:r>
      <w:r w:rsidR="007D61E3">
        <w:rPr>
          <w:noProof/>
        </w:rPr>
        <w:t>2</w:t>
      </w:r>
      <w:r w:rsidR="00C503D3">
        <w:fldChar w:fldCharType="end"/>
      </w:r>
      <w:r w:rsidR="00C503D3" w:rsidRPr="00DD1FF3">
        <w:t xml:space="preserve"> and </w:t>
      </w:r>
      <w:r w:rsidR="00C503D3">
        <w:fldChar w:fldCharType="begin"/>
      </w:r>
      <w:r w:rsidR="00C503D3">
        <w:instrText xml:space="preserve"> REF _Ref173495800 \h </w:instrText>
      </w:r>
      <w:r w:rsidR="00C503D3">
        <w:fldChar w:fldCharType="separate"/>
      </w:r>
      <w:r w:rsidR="007D61E3">
        <w:t xml:space="preserve">Table </w:t>
      </w:r>
      <w:r w:rsidR="007D61E3">
        <w:rPr>
          <w:noProof/>
        </w:rPr>
        <w:t>3</w:t>
      </w:r>
      <w:r w:rsidR="00C503D3">
        <w:fldChar w:fldCharType="end"/>
      </w:r>
      <w:r w:rsidR="00C503D3" w:rsidRPr="00DD1FF3">
        <w:t xml:space="preserve"> detail the volumes and equivalent revenue generated for each regulatory charge and fee.</w:t>
      </w:r>
    </w:p>
    <w:p w14:paraId="166D4518" w14:textId="5B615BA5" w:rsidR="00CB33DD" w:rsidRPr="00CB33DD" w:rsidRDefault="00C503D3" w:rsidP="00CB33DD">
      <w:pPr>
        <w:pStyle w:val="Caption"/>
      </w:pPr>
      <w:bookmarkStart w:id="24" w:name="_Ref178845570"/>
      <w:bookmarkStart w:id="25" w:name="_Toc180573272"/>
      <w:bookmarkStart w:id="26" w:name="_Toc220395927"/>
      <w:r w:rsidRPr="000365F5">
        <w:t xml:space="preserve">Table </w:t>
      </w:r>
      <w:r w:rsidRPr="000365F5">
        <w:fldChar w:fldCharType="begin"/>
      </w:r>
      <w:r w:rsidRPr="000365F5">
        <w:instrText xml:space="preserve"> SEQ Table \* ARABIC </w:instrText>
      </w:r>
      <w:r w:rsidRPr="000365F5">
        <w:fldChar w:fldCharType="separate"/>
      </w:r>
      <w:r w:rsidR="007D61E3">
        <w:rPr>
          <w:noProof/>
        </w:rPr>
        <w:t>2</w:t>
      </w:r>
      <w:r w:rsidRPr="000365F5">
        <w:fldChar w:fldCharType="end"/>
      </w:r>
      <w:bookmarkEnd w:id="24"/>
      <w:r w:rsidRPr="000365F5">
        <w:t xml:space="preserve"> </w:t>
      </w:r>
      <w:r w:rsidR="006C3C83">
        <w:t>Horticulture export volumes, by charge point,</w:t>
      </w:r>
      <w:r w:rsidRPr="000365F5">
        <w:t xml:space="preserve"> 202</w:t>
      </w:r>
      <w:r>
        <w:t>4</w:t>
      </w:r>
      <w:r w:rsidR="00CD4802">
        <w:t>–</w:t>
      </w:r>
      <w:r w:rsidRPr="000365F5">
        <w:t>2</w:t>
      </w:r>
      <w:r>
        <w:t>5</w:t>
      </w:r>
      <w:bookmarkEnd w:id="25"/>
      <w:bookmarkEnd w:id="26"/>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59"/>
        <w:gridCol w:w="1700"/>
        <w:gridCol w:w="1161"/>
        <w:gridCol w:w="1163"/>
        <w:gridCol w:w="1163"/>
        <w:gridCol w:w="1163"/>
        <w:gridCol w:w="1161"/>
      </w:tblGrid>
      <w:tr w:rsidR="006301DF" w:rsidRPr="005A41A6" w14:paraId="2A198CE9" w14:textId="77777777" w:rsidTr="00512B25">
        <w:trPr>
          <w:cantSplit/>
          <w:trHeight w:val="1066"/>
          <w:tblHeader/>
        </w:trPr>
        <w:tc>
          <w:tcPr>
            <w:tcW w:w="860" w:type="pct"/>
          </w:tcPr>
          <w:p w14:paraId="28CB7FC3" w14:textId="53631416" w:rsidR="00C503D3" w:rsidRPr="005A41A6" w:rsidRDefault="00C503D3" w:rsidP="00AD5D18">
            <w:pPr>
              <w:pStyle w:val="TableHeading"/>
              <w:rPr>
                <w:lang w:eastAsia="en-AU"/>
              </w:rPr>
            </w:pPr>
            <w:bookmarkStart w:id="27" w:name="Title_2"/>
            <w:bookmarkEnd w:id="27"/>
            <w:r w:rsidRPr="005A41A6">
              <w:rPr>
                <w:lang w:eastAsia="en-AU"/>
              </w:rPr>
              <w:t xml:space="preserve">Type of </w:t>
            </w:r>
            <w:r w:rsidR="006C3C83">
              <w:rPr>
                <w:lang w:eastAsia="en-AU"/>
              </w:rPr>
              <w:t>c</w:t>
            </w:r>
            <w:r w:rsidRPr="005A41A6">
              <w:rPr>
                <w:lang w:eastAsia="en-AU"/>
              </w:rPr>
              <w:t>harge</w:t>
            </w:r>
          </w:p>
        </w:tc>
        <w:tc>
          <w:tcPr>
            <w:tcW w:w="937" w:type="pct"/>
          </w:tcPr>
          <w:p w14:paraId="21F12965" w14:textId="0BD3FFD7" w:rsidR="00C503D3" w:rsidRPr="005A41A6" w:rsidRDefault="00C503D3" w:rsidP="00AD5D18">
            <w:pPr>
              <w:pStyle w:val="TableHeading"/>
              <w:rPr>
                <w:lang w:eastAsia="en-AU"/>
              </w:rPr>
            </w:pPr>
            <w:r w:rsidRPr="005A41A6">
              <w:rPr>
                <w:lang w:eastAsia="en-AU"/>
              </w:rPr>
              <w:t>Cost recovery charges</w:t>
            </w:r>
          </w:p>
        </w:tc>
        <w:tc>
          <w:tcPr>
            <w:tcW w:w="640" w:type="pct"/>
          </w:tcPr>
          <w:p w14:paraId="3BCDBB18" w14:textId="1B066364" w:rsidR="00C503D3" w:rsidRPr="005A41A6" w:rsidRDefault="00B22D92" w:rsidP="00AD5D18">
            <w:pPr>
              <w:pStyle w:val="TableHeading"/>
              <w:jc w:val="right"/>
              <w:rPr>
                <w:lang w:eastAsia="en-AU"/>
              </w:rPr>
            </w:pPr>
            <w:r w:rsidRPr="00F03C5D">
              <w:t>Actual</w:t>
            </w:r>
            <w:r w:rsidR="00981FBC">
              <w:t xml:space="preserve"> volume</w:t>
            </w:r>
            <w:r w:rsidRPr="00F03C5D">
              <w:t xml:space="preserve"> (</w:t>
            </w:r>
            <w:r w:rsidR="000F313F">
              <w:t>u</w:t>
            </w:r>
            <w:r w:rsidRPr="00F03C5D">
              <w:t>nits)</w:t>
            </w:r>
          </w:p>
        </w:tc>
        <w:tc>
          <w:tcPr>
            <w:tcW w:w="641" w:type="pct"/>
          </w:tcPr>
          <w:p w14:paraId="5E8F526C" w14:textId="195A2CF7" w:rsidR="00C503D3" w:rsidRPr="005A41A6" w:rsidRDefault="00B22D92" w:rsidP="00AD5D18">
            <w:pPr>
              <w:pStyle w:val="TableHeading"/>
              <w:jc w:val="right"/>
              <w:rPr>
                <w:lang w:eastAsia="en-AU"/>
              </w:rPr>
            </w:pPr>
            <w:r w:rsidRPr="00F03C5D">
              <w:t>Budget (</w:t>
            </w:r>
            <w:r w:rsidR="000F313F">
              <w:t>u</w:t>
            </w:r>
            <w:r w:rsidRPr="00F03C5D">
              <w:t>nits)</w:t>
            </w:r>
          </w:p>
        </w:tc>
        <w:tc>
          <w:tcPr>
            <w:tcW w:w="641" w:type="pct"/>
          </w:tcPr>
          <w:p w14:paraId="3B59D6BF" w14:textId="5D435383" w:rsidR="00C503D3" w:rsidRPr="005A41A6" w:rsidRDefault="00B22D92" w:rsidP="00AD5D18">
            <w:pPr>
              <w:pStyle w:val="TableHeading"/>
              <w:jc w:val="right"/>
              <w:rPr>
                <w:lang w:eastAsia="en-AU"/>
              </w:rPr>
            </w:pPr>
            <w:r w:rsidRPr="00F03C5D">
              <w:t>Variance (</w:t>
            </w:r>
            <w:r w:rsidR="006301DF">
              <w:t>u</w:t>
            </w:r>
            <w:r w:rsidRPr="00F03C5D">
              <w:t>nits)</w:t>
            </w:r>
          </w:p>
        </w:tc>
        <w:tc>
          <w:tcPr>
            <w:tcW w:w="641" w:type="pct"/>
          </w:tcPr>
          <w:p w14:paraId="00902B3E" w14:textId="7AE7C352" w:rsidR="00C503D3" w:rsidRPr="005421F1" w:rsidRDefault="00B22D92" w:rsidP="00AD5D18">
            <w:pPr>
              <w:pStyle w:val="TableHeading"/>
              <w:jc w:val="right"/>
              <w:rPr>
                <w:lang w:eastAsia="en-AU"/>
              </w:rPr>
            </w:pPr>
            <w:r w:rsidRPr="005421F1">
              <w:t>Variance (%)</w:t>
            </w:r>
          </w:p>
        </w:tc>
        <w:tc>
          <w:tcPr>
            <w:tcW w:w="640" w:type="pct"/>
          </w:tcPr>
          <w:p w14:paraId="35D7926F" w14:textId="283D0EDC" w:rsidR="00C503D3" w:rsidRPr="005421F1" w:rsidRDefault="00B22D92" w:rsidP="00AD5D18">
            <w:pPr>
              <w:pStyle w:val="TableHeading"/>
              <w:jc w:val="right"/>
              <w:rPr>
                <w:lang w:eastAsia="en-AU"/>
              </w:rPr>
            </w:pPr>
            <w:r w:rsidRPr="005421F1">
              <w:t xml:space="preserve">CRIS </w:t>
            </w:r>
            <w:r w:rsidR="00395166" w:rsidRPr="005421F1">
              <w:t xml:space="preserve">estimated volume </w:t>
            </w:r>
            <w:r w:rsidRPr="005421F1">
              <w:t>(</w:t>
            </w:r>
            <w:r w:rsidR="00395166" w:rsidRPr="005421F1">
              <w:t>u</w:t>
            </w:r>
            <w:r w:rsidRPr="005421F1">
              <w:t>nits)</w:t>
            </w:r>
          </w:p>
        </w:tc>
      </w:tr>
      <w:tr w:rsidR="006301DF" w:rsidRPr="005A41A6" w14:paraId="1F8D8F40" w14:textId="77777777" w:rsidTr="005421F1">
        <w:tc>
          <w:tcPr>
            <w:tcW w:w="860" w:type="pct"/>
            <w:vMerge w:val="restart"/>
          </w:tcPr>
          <w:p w14:paraId="313F8AC1" w14:textId="25F44DD5" w:rsidR="00E46253" w:rsidRPr="005A41A6" w:rsidRDefault="00E46253" w:rsidP="0056493A">
            <w:pPr>
              <w:pStyle w:val="TableText"/>
              <w:rPr>
                <w:lang w:eastAsia="en-AU"/>
              </w:rPr>
            </w:pPr>
            <w:r w:rsidRPr="005A41A6">
              <w:rPr>
                <w:lang w:eastAsia="en-AU"/>
              </w:rPr>
              <w:t>Charges</w:t>
            </w:r>
          </w:p>
        </w:tc>
        <w:tc>
          <w:tcPr>
            <w:tcW w:w="937" w:type="pct"/>
          </w:tcPr>
          <w:p w14:paraId="6DBAEC39" w14:textId="4CA14EF8" w:rsidR="00E46253" w:rsidRPr="005A41A6" w:rsidRDefault="00E46253" w:rsidP="00E46253">
            <w:pPr>
              <w:pStyle w:val="TableText"/>
              <w:rPr>
                <w:lang w:eastAsia="en-AU"/>
              </w:rPr>
            </w:pPr>
            <w:r w:rsidRPr="003836D0">
              <w:t>Establishment registration – grower or exporter</w:t>
            </w:r>
          </w:p>
        </w:tc>
        <w:tc>
          <w:tcPr>
            <w:tcW w:w="640" w:type="pct"/>
          </w:tcPr>
          <w:p w14:paraId="370525F1" w14:textId="2502E29C" w:rsidR="00E46253" w:rsidRPr="005A41A6" w:rsidRDefault="00252350" w:rsidP="00E46253">
            <w:pPr>
              <w:pStyle w:val="TableText"/>
              <w:jc w:val="right"/>
              <w:rPr>
                <w:lang w:eastAsia="en-AU"/>
              </w:rPr>
            </w:pPr>
            <w:r w:rsidRPr="0017763B">
              <w:t>44</w:t>
            </w:r>
          </w:p>
        </w:tc>
        <w:tc>
          <w:tcPr>
            <w:tcW w:w="641" w:type="pct"/>
          </w:tcPr>
          <w:p w14:paraId="5B8D634B" w14:textId="5B355264" w:rsidR="00E46253" w:rsidRPr="005A41A6" w:rsidRDefault="00252350" w:rsidP="00E46253">
            <w:pPr>
              <w:pStyle w:val="TableText"/>
              <w:jc w:val="right"/>
              <w:rPr>
                <w:lang w:eastAsia="en-AU"/>
              </w:rPr>
            </w:pPr>
            <w:r w:rsidRPr="0017763B">
              <w:t>36</w:t>
            </w:r>
          </w:p>
        </w:tc>
        <w:tc>
          <w:tcPr>
            <w:tcW w:w="641" w:type="pct"/>
          </w:tcPr>
          <w:p w14:paraId="5A271ECB" w14:textId="2A7C3FE6" w:rsidR="00E46253" w:rsidRPr="005A41A6" w:rsidRDefault="00252350" w:rsidP="00E46253">
            <w:pPr>
              <w:pStyle w:val="TableText"/>
              <w:jc w:val="right"/>
              <w:rPr>
                <w:lang w:eastAsia="en-AU"/>
              </w:rPr>
            </w:pPr>
            <w:r w:rsidRPr="0017763B">
              <w:t>8</w:t>
            </w:r>
          </w:p>
        </w:tc>
        <w:tc>
          <w:tcPr>
            <w:tcW w:w="641" w:type="pct"/>
          </w:tcPr>
          <w:p w14:paraId="29D536D3" w14:textId="58BCC8BB" w:rsidR="00E46253" w:rsidRPr="00020203" w:rsidRDefault="00252350" w:rsidP="00E46253">
            <w:pPr>
              <w:pStyle w:val="TableText"/>
              <w:jc w:val="right"/>
              <w:rPr>
                <w:highlight w:val="cyan"/>
                <w:lang w:eastAsia="en-AU"/>
              </w:rPr>
            </w:pPr>
            <w:r w:rsidRPr="0017763B">
              <w:t>22</w:t>
            </w:r>
          </w:p>
        </w:tc>
        <w:tc>
          <w:tcPr>
            <w:tcW w:w="640" w:type="pct"/>
          </w:tcPr>
          <w:p w14:paraId="73A517C3" w14:textId="73DCFB01" w:rsidR="00E46253" w:rsidRPr="005A41A6" w:rsidRDefault="00252350" w:rsidP="00E46253">
            <w:pPr>
              <w:pStyle w:val="TableText"/>
              <w:jc w:val="right"/>
              <w:rPr>
                <w:lang w:eastAsia="en-AU"/>
              </w:rPr>
            </w:pPr>
            <w:r w:rsidRPr="0017763B">
              <w:t>71</w:t>
            </w:r>
          </w:p>
        </w:tc>
      </w:tr>
      <w:tr w:rsidR="006301DF" w:rsidRPr="005A41A6" w14:paraId="3BA76148" w14:textId="77777777" w:rsidTr="005421F1">
        <w:tc>
          <w:tcPr>
            <w:tcW w:w="860" w:type="pct"/>
            <w:vMerge/>
          </w:tcPr>
          <w:p w14:paraId="14BD4406" w14:textId="77777777" w:rsidR="00E46253" w:rsidRPr="005A41A6" w:rsidRDefault="00E46253" w:rsidP="0056493A">
            <w:pPr>
              <w:pStyle w:val="TableText"/>
              <w:rPr>
                <w:lang w:eastAsia="en-AU"/>
              </w:rPr>
            </w:pPr>
          </w:p>
        </w:tc>
        <w:tc>
          <w:tcPr>
            <w:tcW w:w="937" w:type="pct"/>
          </w:tcPr>
          <w:p w14:paraId="3BE74F61" w14:textId="78C06C59" w:rsidR="00E46253" w:rsidRPr="005A41A6" w:rsidRDefault="00E46253" w:rsidP="00E46253">
            <w:pPr>
              <w:pStyle w:val="TableText"/>
              <w:rPr>
                <w:lang w:eastAsia="en-AU"/>
              </w:rPr>
            </w:pPr>
            <w:r w:rsidRPr="003836D0">
              <w:t>Establishment registration – simple</w:t>
            </w:r>
          </w:p>
        </w:tc>
        <w:tc>
          <w:tcPr>
            <w:tcW w:w="640" w:type="pct"/>
          </w:tcPr>
          <w:p w14:paraId="33DD14BB" w14:textId="001EC6F1" w:rsidR="00E46253" w:rsidRPr="005A41A6" w:rsidRDefault="00252350" w:rsidP="00E46253">
            <w:pPr>
              <w:pStyle w:val="TableText"/>
              <w:jc w:val="right"/>
              <w:rPr>
                <w:lang w:eastAsia="en-AU"/>
              </w:rPr>
            </w:pPr>
            <w:r w:rsidRPr="0017763B">
              <w:t>178</w:t>
            </w:r>
          </w:p>
        </w:tc>
        <w:tc>
          <w:tcPr>
            <w:tcW w:w="641" w:type="pct"/>
          </w:tcPr>
          <w:p w14:paraId="43711144" w14:textId="35CD8239" w:rsidR="00E46253" w:rsidRPr="005A41A6" w:rsidRDefault="00252350" w:rsidP="00E46253">
            <w:pPr>
              <w:pStyle w:val="TableText"/>
              <w:jc w:val="right"/>
              <w:rPr>
                <w:lang w:eastAsia="en-AU"/>
              </w:rPr>
            </w:pPr>
            <w:r w:rsidRPr="0017763B">
              <w:t>208</w:t>
            </w:r>
          </w:p>
        </w:tc>
        <w:tc>
          <w:tcPr>
            <w:tcW w:w="641" w:type="pct"/>
          </w:tcPr>
          <w:p w14:paraId="63B0348B" w14:textId="7BAC1B84" w:rsidR="00E46253" w:rsidRPr="005A41A6" w:rsidRDefault="00252350" w:rsidP="00E46253">
            <w:pPr>
              <w:pStyle w:val="TableText"/>
              <w:jc w:val="right"/>
              <w:rPr>
                <w:lang w:eastAsia="en-AU"/>
              </w:rPr>
            </w:pPr>
            <w:r w:rsidRPr="0017763B">
              <w:t>(30)</w:t>
            </w:r>
          </w:p>
        </w:tc>
        <w:tc>
          <w:tcPr>
            <w:tcW w:w="641" w:type="pct"/>
          </w:tcPr>
          <w:p w14:paraId="79DCA656" w14:textId="14A8834D" w:rsidR="00E46253" w:rsidRPr="005A41A6" w:rsidRDefault="00252350" w:rsidP="00E46253">
            <w:pPr>
              <w:pStyle w:val="TableText"/>
              <w:jc w:val="right"/>
              <w:rPr>
                <w:lang w:eastAsia="en-AU"/>
              </w:rPr>
            </w:pPr>
            <w:r w:rsidRPr="0017763B">
              <w:t>(14)</w:t>
            </w:r>
          </w:p>
        </w:tc>
        <w:tc>
          <w:tcPr>
            <w:tcW w:w="640" w:type="pct"/>
          </w:tcPr>
          <w:p w14:paraId="20E63C63" w14:textId="0BB61873" w:rsidR="00E46253" w:rsidRPr="005A41A6" w:rsidRDefault="00252350" w:rsidP="00E46253">
            <w:pPr>
              <w:pStyle w:val="TableText"/>
              <w:jc w:val="right"/>
              <w:rPr>
                <w:lang w:eastAsia="en-AU"/>
              </w:rPr>
            </w:pPr>
            <w:r w:rsidRPr="0017763B">
              <w:t>152</w:t>
            </w:r>
          </w:p>
        </w:tc>
      </w:tr>
      <w:tr w:rsidR="006301DF" w:rsidRPr="005A41A6" w14:paraId="1249FCC1" w14:textId="77777777" w:rsidTr="005421F1">
        <w:tc>
          <w:tcPr>
            <w:tcW w:w="860" w:type="pct"/>
            <w:vMerge/>
          </w:tcPr>
          <w:p w14:paraId="1F4BCD4B" w14:textId="77777777" w:rsidR="00E46253" w:rsidRPr="005A41A6" w:rsidRDefault="00E46253" w:rsidP="0056493A">
            <w:pPr>
              <w:pStyle w:val="TableText"/>
              <w:rPr>
                <w:lang w:eastAsia="en-AU"/>
              </w:rPr>
            </w:pPr>
          </w:p>
        </w:tc>
        <w:tc>
          <w:tcPr>
            <w:tcW w:w="937" w:type="pct"/>
          </w:tcPr>
          <w:p w14:paraId="3A0F6A52" w14:textId="0FEB2A2A" w:rsidR="00E46253" w:rsidRPr="005A41A6" w:rsidRDefault="00E46253" w:rsidP="00E46253">
            <w:pPr>
              <w:pStyle w:val="TableText"/>
              <w:rPr>
                <w:lang w:eastAsia="en-AU"/>
              </w:rPr>
            </w:pPr>
            <w:r w:rsidRPr="003836D0">
              <w:t>Establishment registration – complex</w:t>
            </w:r>
          </w:p>
        </w:tc>
        <w:tc>
          <w:tcPr>
            <w:tcW w:w="640" w:type="pct"/>
          </w:tcPr>
          <w:p w14:paraId="7C6EAED7" w14:textId="1D0DC1AE" w:rsidR="00E46253" w:rsidRPr="005A41A6" w:rsidRDefault="00252350" w:rsidP="00E46253">
            <w:pPr>
              <w:pStyle w:val="TableText"/>
              <w:jc w:val="right"/>
              <w:rPr>
                <w:lang w:eastAsia="en-AU"/>
              </w:rPr>
            </w:pPr>
            <w:r w:rsidRPr="0017763B">
              <w:t>98</w:t>
            </w:r>
          </w:p>
        </w:tc>
        <w:tc>
          <w:tcPr>
            <w:tcW w:w="641" w:type="pct"/>
          </w:tcPr>
          <w:p w14:paraId="3D367341" w14:textId="360B52E6" w:rsidR="00E46253" w:rsidRPr="005A41A6" w:rsidRDefault="00252350" w:rsidP="00E46253">
            <w:pPr>
              <w:pStyle w:val="TableText"/>
              <w:jc w:val="right"/>
              <w:rPr>
                <w:lang w:eastAsia="en-AU"/>
              </w:rPr>
            </w:pPr>
            <w:r w:rsidRPr="0017763B">
              <w:t>102</w:t>
            </w:r>
          </w:p>
        </w:tc>
        <w:tc>
          <w:tcPr>
            <w:tcW w:w="641" w:type="pct"/>
          </w:tcPr>
          <w:p w14:paraId="6CF055E8" w14:textId="1FC1EDA0" w:rsidR="00E46253" w:rsidRPr="005A41A6" w:rsidRDefault="00252350" w:rsidP="00E46253">
            <w:pPr>
              <w:pStyle w:val="TableText"/>
              <w:jc w:val="right"/>
              <w:rPr>
                <w:lang w:eastAsia="en-AU"/>
              </w:rPr>
            </w:pPr>
            <w:r w:rsidRPr="0017763B">
              <w:t>(4)</w:t>
            </w:r>
          </w:p>
        </w:tc>
        <w:tc>
          <w:tcPr>
            <w:tcW w:w="641" w:type="pct"/>
          </w:tcPr>
          <w:p w14:paraId="5B1CA88E" w14:textId="6DC5E5FE" w:rsidR="00E46253" w:rsidRPr="005A41A6" w:rsidRDefault="00252350" w:rsidP="00E46253">
            <w:pPr>
              <w:pStyle w:val="TableText"/>
              <w:jc w:val="right"/>
              <w:rPr>
                <w:lang w:eastAsia="en-AU"/>
              </w:rPr>
            </w:pPr>
            <w:r w:rsidRPr="0017763B">
              <w:t>(4)</w:t>
            </w:r>
          </w:p>
        </w:tc>
        <w:tc>
          <w:tcPr>
            <w:tcW w:w="640" w:type="pct"/>
          </w:tcPr>
          <w:p w14:paraId="757B326A" w14:textId="14A80B24" w:rsidR="00E46253" w:rsidRPr="005A41A6" w:rsidRDefault="00252350" w:rsidP="00E46253">
            <w:pPr>
              <w:pStyle w:val="TableText"/>
              <w:jc w:val="right"/>
              <w:rPr>
                <w:lang w:eastAsia="en-AU"/>
              </w:rPr>
            </w:pPr>
            <w:r w:rsidRPr="0017763B">
              <w:t>146</w:t>
            </w:r>
          </w:p>
        </w:tc>
      </w:tr>
      <w:tr w:rsidR="006301DF" w:rsidRPr="005A41A6" w14:paraId="2F7079CC" w14:textId="77777777" w:rsidTr="005421F1">
        <w:tc>
          <w:tcPr>
            <w:tcW w:w="860" w:type="pct"/>
            <w:vMerge/>
          </w:tcPr>
          <w:p w14:paraId="3B722F7C" w14:textId="77777777" w:rsidR="00E46253" w:rsidRPr="005A41A6" w:rsidRDefault="00E46253" w:rsidP="0056493A">
            <w:pPr>
              <w:pStyle w:val="TableText"/>
              <w:rPr>
                <w:lang w:eastAsia="en-AU"/>
              </w:rPr>
            </w:pPr>
          </w:p>
        </w:tc>
        <w:tc>
          <w:tcPr>
            <w:tcW w:w="937" w:type="pct"/>
          </w:tcPr>
          <w:p w14:paraId="26948ACE" w14:textId="4BBD447B" w:rsidR="00E46253" w:rsidRPr="005A41A6" w:rsidRDefault="00E46253" w:rsidP="00E46253">
            <w:pPr>
              <w:pStyle w:val="TableText"/>
              <w:rPr>
                <w:lang w:eastAsia="en-AU"/>
              </w:rPr>
            </w:pPr>
            <w:r w:rsidRPr="003836D0">
              <w:t>Authorised officer annual charge</w:t>
            </w:r>
          </w:p>
        </w:tc>
        <w:tc>
          <w:tcPr>
            <w:tcW w:w="640" w:type="pct"/>
          </w:tcPr>
          <w:p w14:paraId="2B9DC3C0" w14:textId="67278A84" w:rsidR="00E46253" w:rsidRPr="005A41A6" w:rsidRDefault="00252350" w:rsidP="00E46253">
            <w:pPr>
              <w:pStyle w:val="TableText"/>
              <w:jc w:val="right"/>
              <w:rPr>
                <w:lang w:eastAsia="en-AU"/>
              </w:rPr>
            </w:pPr>
            <w:r w:rsidRPr="0017763B">
              <w:t>266</w:t>
            </w:r>
          </w:p>
        </w:tc>
        <w:tc>
          <w:tcPr>
            <w:tcW w:w="641" w:type="pct"/>
          </w:tcPr>
          <w:p w14:paraId="5E6B5817" w14:textId="62A35AD7" w:rsidR="00E46253" w:rsidRPr="005A41A6" w:rsidRDefault="00252350" w:rsidP="00E46253">
            <w:pPr>
              <w:pStyle w:val="TableText"/>
              <w:jc w:val="right"/>
              <w:rPr>
                <w:lang w:eastAsia="en-AU"/>
              </w:rPr>
            </w:pPr>
            <w:r w:rsidRPr="0017763B">
              <w:t>269</w:t>
            </w:r>
          </w:p>
        </w:tc>
        <w:tc>
          <w:tcPr>
            <w:tcW w:w="641" w:type="pct"/>
          </w:tcPr>
          <w:p w14:paraId="571F6529" w14:textId="5C153D6E" w:rsidR="00E46253" w:rsidRPr="005A41A6" w:rsidRDefault="00252350" w:rsidP="00E46253">
            <w:pPr>
              <w:pStyle w:val="TableText"/>
              <w:jc w:val="right"/>
              <w:rPr>
                <w:lang w:eastAsia="en-AU"/>
              </w:rPr>
            </w:pPr>
            <w:r w:rsidRPr="0017763B">
              <w:t>(3)</w:t>
            </w:r>
          </w:p>
        </w:tc>
        <w:tc>
          <w:tcPr>
            <w:tcW w:w="641" w:type="pct"/>
          </w:tcPr>
          <w:p w14:paraId="6A78CAEE" w14:textId="35E27E0D" w:rsidR="00E46253" w:rsidRPr="005A41A6" w:rsidRDefault="00252350" w:rsidP="00E46253">
            <w:pPr>
              <w:pStyle w:val="TableText"/>
              <w:jc w:val="right"/>
              <w:rPr>
                <w:lang w:eastAsia="en-AU"/>
              </w:rPr>
            </w:pPr>
            <w:r w:rsidRPr="0017763B">
              <w:t>(1)</w:t>
            </w:r>
          </w:p>
        </w:tc>
        <w:tc>
          <w:tcPr>
            <w:tcW w:w="640" w:type="pct"/>
          </w:tcPr>
          <w:p w14:paraId="370E0206" w14:textId="4B875F4A" w:rsidR="00E46253" w:rsidRPr="005A41A6" w:rsidRDefault="00252350" w:rsidP="00E46253">
            <w:pPr>
              <w:pStyle w:val="TableText"/>
              <w:jc w:val="right"/>
              <w:rPr>
                <w:lang w:eastAsia="en-AU"/>
              </w:rPr>
            </w:pPr>
            <w:r w:rsidRPr="0017763B">
              <w:t>215</w:t>
            </w:r>
          </w:p>
        </w:tc>
      </w:tr>
      <w:tr w:rsidR="006301DF" w:rsidRPr="005A41A6" w14:paraId="6F02DF8B" w14:textId="77777777" w:rsidTr="005421F1">
        <w:tc>
          <w:tcPr>
            <w:tcW w:w="860" w:type="pct"/>
            <w:vMerge/>
          </w:tcPr>
          <w:p w14:paraId="08FD43E1" w14:textId="77777777" w:rsidR="00E46253" w:rsidRPr="005A41A6" w:rsidRDefault="00E46253" w:rsidP="0056493A">
            <w:pPr>
              <w:pStyle w:val="TableText"/>
              <w:rPr>
                <w:lang w:eastAsia="en-AU"/>
              </w:rPr>
            </w:pPr>
          </w:p>
        </w:tc>
        <w:tc>
          <w:tcPr>
            <w:tcW w:w="937" w:type="pct"/>
          </w:tcPr>
          <w:p w14:paraId="7721CE20" w14:textId="36F8F781" w:rsidR="00E46253" w:rsidRPr="005A41A6" w:rsidRDefault="00E46253" w:rsidP="00E46253">
            <w:pPr>
              <w:pStyle w:val="TableText"/>
              <w:rPr>
                <w:lang w:eastAsia="en-AU"/>
              </w:rPr>
            </w:pPr>
            <w:r w:rsidRPr="003836D0">
              <w:t>Establishment application (one-off)</w:t>
            </w:r>
          </w:p>
        </w:tc>
        <w:tc>
          <w:tcPr>
            <w:tcW w:w="640" w:type="pct"/>
          </w:tcPr>
          <w:p w14:paraId="66ED9516" w14:textId="7AD01B19" w:rsidR="00E46253" w:rsidRPr="005A41A6" w:rsidRDefault="00252350" w:rsidP="00E46253">
            <w:pPr>
              <w:pStyle w:val="TableText"/>
              <w:jc w:val="right"/>
              <w:rPr>
                <w:lang w:eastAsia="en-AU"/>
              </w:rPr>
            </w:pPr>
            <w:r w:rsidRPr="0017763B">
              <w:t>21</w:t>
            </w:r>
          </w:p>
        </w:tc>
        <w:tc>
          <w:tcPr>
            <w:tcW w:w="641" w:type="pct"/>
          </w:tcPr>
          <w:p w14:paraId="437D69BF" w14:textId="1A447B7F" w:rsidR="00E46253" w:rsidRPr="005A41A6" w:rsidRDefault="00252350" w:rsidP="00E46253">
            <w:pPr>
              <w:pStyle w:val="TableText"/>
              <w:jc w:val="right"/>
              <w:rPr>
                <w:lang w:eastAsia="en-AU"/>
              </w:rPr>
            </w:pPr>
            <w:r w:rsidRPr="0017763B">
              <w:t>14</w:t>
            </w:r>
          </w:p>
        </w:tc>
        <w:tc>
          <w:tcPr>
            <w:tcW w:w="641" w:type="pct"/>
          </w:tcPr>
          <w:p w14:paraId="3D4EAEC9" w14:textId="297A51ED" w:rsidR="00E46253" w:rsidRPr="005A41A6" w:rsidRDefault="00252350" w:rsidP="00E46253">
            <w:pPr>
              <w:pStyle w:val="TableText"/>
              <w:jc w:val="right"/>
              <w:rPr>
                <w:lang w:eastAsia="en-AU"/>
              </w:rPr>
            </w:pPr>
            <w:r w:rsidRPr="0017763B">
              <w:t>7</w:t>
            </w:r>
          </w:p>
        </w:tc>
        <w:tc>
          <w:tcPr>
            <w:tcW w:w="641" w:type="pct"/>
          </w:tcPr>
          <w:p w14:paraId="0E942C2A" w14:textId="7519E55E" w:rsidR="00E46253" w:rsidRPr="005A41A6" w:rsidRDefault="00252350" w:rsidP="00E46253">
            <w:pPr>
              <w:pStyle w:val="TableText"/>
              <w:jc w:val="right"/>
              <w:rPr>
                <w:lang w:eastAsia="en-AU"/>
              </w:rPr>
            </w:pPr>
            <w:r w:rsidRPr="0017763B">
              <w:t>50</w:t>
            </w:r>
          </w:p>
        </w:tc>
        <w:tc>
          <w:tcPr>
            <w:tcW w:w="640" w:type="pct"/>
          </w:tcPr>
          <w:p w14:paraId="656F043F" w14:textId="6469DCE1" w:rsidR="00E46253" w:rsidRPr="005A41A6" w:rsidRDefault="00252350" w:rsidP="00E46253">
            <w:pPr>
              <w:pStyle w:val="TableText"/>
              <w:jc w:val="right"/>
              <w:rPr>
                <w:lang w:eastAsia="en-AU"/>
              </w:rPr>
            </w:pPr>
            <w:r w:rsidRPr="0017763B">
              <w:t>45</w:t>
            </w:r>
          </w:p>
        </w:tc>
      </w:tr>
      <w:tr w:rsidR="006301DF" w:rsidRPr="005A41A6" w14:paraId="134CD2DA" w14:textId="77777777" w:rsidTr="005421F1">
        <w:tc>
          <w:tcPr>
            <w:tcW w:w="860" w:type="pct"/>
            <w:vMerge/>
          </w:tcPr>
          <w:p w14:paraId="5C46BE99" w14:textId="77777777" w:rsidR="00E46253" w:rsidRPr="005A41A6" w:rsidRDefault="00E46253" w:rsidP="0056493A">
            <w:pPr>
              <w:pStyle w:val="TableText"/>
              <w:rPr>
                <w:lang w:eastAsia="en-AU"/>
              </w:rPr>
            </w:pPr>
          </w:p>
        </w:tc>
        <w:tc>
          <w:tcPr>
            <w:tcW w:w="937" w:type="pct"/>
          </w:tcPr>
          <w:p w14:paraId="210ACB07" w14:textId="083BDB05" w:rsidR="00E46253" w:rsidRPr="005A41A6" w:rsidRDefault="00E46253" w:rsidP="00E46253">
            <w:pPr>
              <w:pStyle w:val="TableText"/>
              <w:rPr>
                <w:lang w:eastAsia="en-AU"/>
              </w:rPr>
            </w:pPr>
            <w:r w:rsidRPr="003836D0">
              <w:t>Phytosanitary certificate</w:t>
            </w:r>
          </w:p>
        </w:tc>
        <w:tc>
          <w:tcPr>
            <w:tcW w:w="640" w:type="pct"/>
          </w:tcPr>
          <w:p w14:paraId="361B7E0C" w14:textId="1A8567DA" w:rsidR="00E46253" w:rsidRPr="005A41A6" w:rsidRDefault="00252350" w:rsidP="00E46253">
            <w:pPr>
              <w:pStyle w:val="TableText"/>
              <w:jc w:val="right"/>
              <w:rPr>
                <w:lang w:eastAsia="en-AU"/>
              </w:rPr>
            </w:pPr>
            <w:r w:rsidRPr="0017763B">
              <w:t>40,762</w:t>
            </w:r>
          </w:p>
        </w:tc>
        <w:tc>
          <w:tcPr>
            <w:tcW w:w="641" w:type="pct"/>
          </w:tcPr>
          <w:p w14:paraId="57BF562B" w14:textId="10955E88" w:rsidR="00E46253" w:rsidRPr="005A41A6" w:rsidRDefault="00252350" w:rsidP="00E46253">
            <w:pPr>
              <w:pStyle w:val="TableText"/>
              <w:jc w:val="right"/>
              <w:rPr>
                <w:lang w:eastAsia="en-AU"/>
              </w:rPr>
            </w:pPr>
            <w:r w:rsidRPr="0017763B">
              <w:t>40,199</w:t>
            </w:r>
          </w:p>
        </w:tc>
        <w:tc>
          <w:tcPr>
            <w:tcW w:w="641" w:type="pct"/>
          </w:tcPr>
          <w:p w14:paraId="62599838" w14:textId="63A978B8" w:rsidR="00E46253" w:rsidRPr="005A41A6" w:rsidRDefault="00252350" w:rsidP="00E46253">
            <w:pPr>
              <w:pStyle w:val="TableText"/>
              <w:jc w:val="right"/>
              <w:rPr>
                <w:lang w:eastAsia="en-AU"/>
              </w:rPr>
            </w:pPr>
            <w:r w:rsidRPr="0017763B">
              <w:t>563</w:t>
            </w:r>
          </w:p>
        </w:tc>
        <w:tc>
          <w:tcPr>
            <w:tcW w:w="641" w:type="pct"/>
          </w:tcPr>
          <w:p w14:paraId="22318C10" w14:textId="6120613E" w:rsidR="00E46253" w:rsidRPr="005A41A6" w:rsidRDefault="00252350" w:rsidP="00E46253">
            <w:pPr>
              <w:pStyle w:val="TableText"/>
              <w:jc w:val="right"/>
              <w:rPr>
                <w:lang w:eastAsia="en-AU"/>
              </w:rPr>
            </w:pPr>
            <w:r w:rsidRPr="0017763B">
              <w:t>1</w:t>
            </w:r>
          </w:p>
        </w:tc>
        <w:tc>
          <w:tcPr>
            <w:tcW w:w="640" w:type="pct"/>
          </w:tcPr>
          <w:p w14:paraId="61D714FB" w14:textId="0282957C" w:rsidR="00E46253" w:rsidRPr="005A41A6" w:rsidRDefault="00252350" w:rsidP="00E46253">
            <w:pPr>
              <w:pStyle w:val="TableText"/>
              <w:jc w:val="right"/>
              <w:rPr>
                <w:lang w:eastAsia="en-AU"/>
              </w:rPr>
            </w:pPr>
            <w:r w:rsidRPr="0017763B">
              <w:t>40,668</w:t>
            </w:r>
          </w:p>
        </w:tc>
      </w:tr>
      <w:tr w:rsidR="006301DF" w:rsidRPr="005A41A6" w14:paraId="5194E6E8" w14:textId="77777777" w:rsidTr="005421F1">
        <w:tc>
          <w:tcPr>
            <w:tcW w:w="860" w:type="pct"/>
            <w:vMerge/>
          </w:tcPr>
          <w:p w14:paraId="0541BDBB" w14:textId="77777777" w:rsidR="00E46253" w:rsidRPr="005A41A6" w:rsidRDefault="00E46253" w:rsidP="0056493A">
            <w:pPr>
              <w:pStyle w:val="TableText"/>
              <w:rPr>
                <w:lang w:eastAsia="en-AU"/>
              </w:rPr>
            </w:pPr>
          </w:p>
        </w:tc>
        <w:tc>
          <w:tcPr>
            <w:tcW w:w="937" w:type="pct"/>
          </w:tcPr>
          <w:p w14:paraId="46185BD1" w14:textId="64D206FA" w:rsidR="00E46253" w:rsidRPr="005A41A6" w:rsidRDefault="00E46253" w:rsidP="00E46253">
            <w:pPr>
              <w:pStyle w:val="TableText"/>
              <w:rPr>
                <w:lang w:eastAsia="en-AU"/>
              </w:rPr>
            </w:pPr>
            <w:r w:rsidRPr="003836D0">
              <w:t>Export volume rate – non-protocol rate</w:t>
            </w:r>
          </w:p>
        </w:tc>
        <w:tc>
          <w:tcPr>
            <w:tcW w:w="640" w:type="pct"/>
          </w:tcPr>
          <w:p w14:paraId="2F873333" w14:textId="36BBB0DF" w:rsidR="00E46253" w:rsidRPr="005A41A6" w:rsidRDefault="00252350" w:rsidP="00E46253">
            <w:pPr>
              <w:pStyle w:val="TableText"/>
              <w:jc w:val="right"/>
              <w:rPr>
                <w:lang w:eastAsia="en-AU"/>
              </w:rPr>
            </w:pPr>
            <w:r w:rsidRPr="0017763B">
              <w:t>431,329</w:t>
            </w:r>
          </w:p>
        </w:tc>
        <w:tc>
          <w:tcPr>
            <w:tcW w:w="641" w:type="pct"/>
          </w:tcPr>
          <w:p w14:paraId="70C3EFEF" w14:textId="5296242C" w:rsidR="00E46253" w:rsidRPr="005A41A6" w:rsidRDefault="00252350" w:rsidP="00E46253">
            <w:pPr>
              <w:pStyle w:val="TableText"/>
              <w:jc w:val="right"/>
              <w:rPr>
                <w:lang w:eastAsia="en-AU"/>
              </w:rPr>
            </w:pPr>
            <w:r w:rsidRPr="0017763B">
              <w:t>423,937</w:t>
            </w:r>
          </w:p>
        </w:tc>
        <w:tc>
          <w:tcPr>
            <w:tcW w:w="641" w:type="pct"/>
          </w:tcPr>
          <w:p w14:paraId="27D89DCF" w14:textId="44EE79CD" w:rsidR="00E46253" w:rsidRPr="005A41A6" w:rsidRDefault="00252350" w:rsidP="00E46253">
            <w:pPr>
              <w:pStyle w:val="TableText"/>
              <w:jc w:val="right"/>
              <w:rPr>
                <w:lang w:eastAsia="en-AU"/>
              </w:rPr>
            </w:pPr>
            <w:r w:rsidRPr="0017763B">
              <w:t>7,392</w:t>
            </w:r>
          </w:p>
        </w:tc>
        <w:tc>
          <w:tcPr>
            <w:tcW w:w="641" w:type="pct"/>
          </w:tcPr>
          <w:p w14:paraId="3C2ADCF3" w14:textId="67DD11B7" w:rsidR="00E46253" w:rsidRPr="005A41A6" w:rsidRDefault="00252350" w:rsidP="00E46253">
            <w:pPr>
              <w:pStyle w:val="TableText"/>
              <w:jc w:val="right"/>
              <w:rPr>
                <w:lang w:eastAsia="en-AU"/>
              </w:rPr>
            </w:pPr>
            <w:r w:rsidRPr="0017763B">
              <w:t>2</w:t>
            </w:r>
          </w:p>
        </w:tc>
        <w:tc>
          <w:tcPr>
            <w:tcW w:w="640" w:type="pct"/>
          </w:tcPr>
          <w:p w14:paraId="536B2C72" w14:textId="038C2369" w:rsidR="00E46253" w:rsidRPr="005A41A6" w:rsidRDefault="00252350" w:rsidP="00E46253">
            <w:pPr>
              <w:pStyle w:val="TableText"/>
              <w:jc w:val="right"/>
              <w:rPr>
                <w:lang w:eastAsia="en-AU"/>
              </w:rPr>
            </w:pPr>
            <w:r w:rsidRPr="0017763B">
              <w:t>515,066</w:t>
            </w:r>
          </w:p>
        </w:tc>
      </w:tr>
      <w:tr w:rsidR="006301DF" w:rsidRPr="005A41A6" w14:paraId="0A0AD03C" w14:textId="77777777" w:rsidTr="005421F1">
        <w:tc>
          <w:tcPr>
            <w:tcW w:w="860" w:type="pct"/>
            <w:vMerge/>
          </w:tcPr>
          <w:p w14:paraId="586B35C9" w14:textId="77777777" w:rsidR="00E46253" w:rsidRPr="005A41A6" w:rsidRDefault="00E46253" w:rsidP="0056493A">
            <w:pPr>
              <w:pStyle w:val="TableText"/>
              <w:rPr>
                <w:lang w:eastAsia="en-AU"/>
              </w:rPr>
            </w:pPr>
          </w:p>
        </w:tc>
        <w:tc>
          <w:tcPr>
            <w:tcW w:w="937" w:type="pct"/>
          </w:tcPr>
          <w:p w14:paraId="23FB4241" w14:textId="271A7A20" w:rsidR="00E46253" w:rsidRPr="005A41A6" w:rsidRDefault="00E46253" w:rsidP="00E46253">
            <w:pPr>
              <w:pStyle w:val="TableText"/>
              <w:rPr>
                <w:lang w:eastAsia="en-AU"/>
              </w:rPr>
            </w:pPr>
            <w:r w:rsidRPr="003836D0">
              <w:t>Export volume rate – protocol rate</w:t>
            </w:r>
          </w:p>
        </w:tc>
        <w:tc>
          <w:tcPr>
            <w:tcW w:w="640" w:type="pct"/>
          </w:tcPr>
          <w:p w14:paraId="7929701B" w14:textId="618A048B" w:rsidR="00E46253" w:rsidRPr="005A41A6" w:rsidRDefault="00252350" w:rsidP="00E46253">
            <w:pPr>
              <w:pStyle w:val="TableText"/>
              <w:jc w:val="right"/>
              <w:rPr>
                <w:lang w:eastAsia="en-AU"/>
              </w:rPr>
            </w:pPr>
            <w:r w:rsidRPr="0017763B">
              <w:t>291,609</w:t>
            </w:r>
          </w:p>
        </w:tc>
        <w:tc>
          <w:tcPr>
            <w:tcW w:w="641" w:type="pct"/>
          </w:tcPr>
          <w:p w14:paraId="45BEBA5D" w14:textId="2CA86A31" w:rsidR="00E46253" w:rsidRPr="005A41A6" w:rsidRDefault="00252350" w:rsidP="00E46253">
            <w:pPr>
              <w:pStyle w:val="TableText"/>
              <w:jc w:val="right"/>
              <w:rPr>
                <w:lang w:eastAsia="en-AU"/>
              </w:rPr>
            </w:pPr>
            <w:r w:rsidRPr="0017763B">
              <w:t>298,397</w:t>
            </w:r>
          </w:p>
        </w:tc>
        <w:tc>
          <w:tcPr>
            <w:tcW w:w="641" w:type="pct"/>
          </w:tcPr>
          <w:p w14:paraId="410053AF" w14:textId="26FD7FE9" w:rsidR="00E46253" w:rsidRPr="005A41A6" w:rsidRDefault="00252350" w:rsidP="00E46253">
            <w:pPr>
              <w:pStyle w:val="TableText"/>
              <w:jc w:val="right"/>
              <w:rPr>
                <w:lang w:eastAsia="en-AU"/>
              </w:rPr>
            </w:pPr>
            <w:r w:rsidRPr="0017763B">
              <w:t>(6,788)</w:t>
            </w:r>
          </w:p>
        </w:tc>
        <w:tc>
          <w:tcPr>
            <w:tcW w:w="641" w:type="pct"/>
          </w:tcPr>
          <w:p w14:paraId="44972881" w14:textId="6620CCBB" w:rsidR="00E46253" w:rsidRPr="005A41A6" w:rsidRDefault="00252350" w:rsidP="00E46253">
            <w:pPr>
              <w:pStyle w:val="TableText"/>
              <w:jc w:val="right"/>
              <w:rPr>
                <w:lang w:eastAsia="en-AU"/>
              </w:rPr>
            </w:pPr>
            <w:r w:rsidRPr="0017763B">
              <w:t>(2)</w:t>
            </w:r>
          </w:p>
        </w:tc>
        <w:tc>
          <w:tcPr>
            <w:tcW w:w="640" w:type="pct"/>
          </w:tcPr>
          <w:p w14:paraId="75F9C516" w14:textId="23D5858C" w:rsidR="00E46253" w:rsidRPr="005A41A6" w:rsidRDefault="00252350" w:rsidP="00E46253">
            <w:pPr>
              <w:pStyle w:val="TableText"/>
              <w:jc w:val="right"/>
              <w:rPr>
                <w:lang w:eastAsia="en-AU"/>
              </w:rPr>
            </w:pPr>
            <w:r w:rsidRPr="0017763B">
              <w:t>286,247</w:t>
            </w:r>
          </w:p>
        </w:tc>
      </w:tr>
      <w:tr w:rsidR="006301DF" w:rsidRPr="005A41A6" w14:paraId="297B4CAD" w14:textId="77777777" w:rsidTr="005421F1">
        <w:tc>
          <w:tcPr>
            <w:tcW w:w="860" w:type="pct"/>
            <w:vMerge/>
          </w:tcPr>
          <w:p w14:paraId="7FF5467A" w14:textId="77777777" w:rsidR="00E46253" w:rsidRPr="005A41A6" w:rsidRDefault="00E46253" w:rsidP="0056493A">
            <w:pPr>
              <w:pStyle w:val="TableText"/>
              <w:rPr>
                <w:lang w:eastAsia="en-AU"/>
              </w:rPr>
            </w:pPr>
          </w:p>
        </w:tc>
        <w:tc>
          <w:tcPr>
            <w:tcW w:w="937" w:type="pct"/>
          </w:tcPr>
          <w:p w14:paraId="7F9DC32F" w14:textId="781073F5" w:rsidR="00E46253" w:rsidRPr="005A41A6" w:rsidRDefault="00E46253" w:rsidP="00E46253">
            <w:pPr>
              <w:pStyle w:val="TableText"/>
              <w:rPr>
                <w:lang w:eastAsia="en-AU"/>
              </w:rPr>
            </w:pPr>
            <w:r w:rsidRPr="003836D0">
              <w:t>TRQ certificates</w:t>
            </w:r>
          </w:p>
        </w:tc>
        <w:tc>
          <w:tcPr>
            <w:tcW w:w="640" w:type="pct"/>
          </w:tcPr>
          <w:p w14:paraId="6255CE7E" w14:textId="0FF14140" w:rsidR="00E46253" w:rsidRPr="005A41A6" w:rsidRDefault="00252350" w:rsidP="00E46253">
            <w:pPr>
              <w:pStyle w:val="TableText"/>
              <w:jc w:val="right"/>
              <w:rPr>
                <w:lang w:eastAsia="en-AU"/>
              </w:rPr>
            </w:pPr>
            <w:r w:rsidRPr="0017763B">
              <w:t>652</w:t>
            </w:r>
          </w:p>
        </w:tc>
        <w:tc>
          <w:tcPr>
            <w:tcW w:w="641" w:type="pct"/>
          </w:tcPr>
          <w:p w14:paraId="10DFB1AF" w14:textId="3F244B2A" w:rsidR="00E46253" w:rsidRPr="005A41A6" w:rsidRDefault="00252350" w:rsidP="00E46253">
            <w:pPr>
              <w:pStyle w:val="TableText"/>
              <w:jc w:val="right"/>
              <w:rPr>
                <w:lang w:eastAsia="en-AU"/>
              </w:rPr>
            </w:pPr>
            <w:r w:rsidRPr="0017763B">
              <w:t>1,037</w:t>
            </w:r>
          </w:p>
        </w:tc>
        <w:tc>
          <w:tcPr>
            <w:tcW w:w="641" w:type="pct"/>
          </w:tcPr>
          <w:p w14:paraId="70B04E5A" w14:textId="135B1FE4" w:rsidR="00E46253" w:rsidRPr="005A41A6" w:rsidRDefault="00252350" w:rsidP="00E46253">
            <w:pPr>
              <w:pStyle w:val="TableText"/>
              <w:jc w:val="right"/>
              <w:rPr>
                <w:lang w:eastAsia="en-AU"/>
              </w:rPr>
            </w:pPr>
            <w:r w:rsidRPr="0017763B">
              <w:t>(385)</w:t>
            </w:r>
          </w:p>
        </w:tc>
        <w:tc>
          <w:tcPr>
            <w:tcW w:w="641" w:type="pct"/>
          </w:tcPr>
          <w:p w14:paraId="36BAD359" w14:textId="29E32E45" w:rsidR="00E46253" w:rsidRPr="005A41A6" w:rsidRDefault="00252350" w:rsidP="00E46253">
            <w:pPr>
              <w:pStyle w:val="TableText"/>
              <w:jc w:val="right"/>
              <w:rPr>
                <w:lang w:eastAsia="en-AU"/>
              </w:rPr>
            </w:pPr>
            <w:r w:rsidRPr="0017763B">
              <w:t>(37)</w:t>
            </w:r>
          </w:p>
        </w:tc>
        <w:tc>
          <w:tcPr>
            <w:tcW w:w="640" w:type="pct"/>
          </w:tcPr>
          <w:p w14:paraId="384AD287" w14:textId="3F6026D0" w:rsidR="00E46253" w:rsidRPr="005A41A6" w:rsidRDefault="00252350" w:rsidP="00E46253">
            <w:pPr>
              <w:pStyle w:val="TableText"/>
              <w:jc w:val="right"/>
              <w:rPr>
                <w:lang w:eastAsia="en-AU"/>
              </w:rPr>
            </w:pPr>
            <w:r w:rsidRPr="0017763B">
              <w:t>0</w:t>
            </w:r>
          </w:p>
        </w:tc>
      </w:tr>
      <w:tr w:rsidR="006301DF" w:rsidRPr="005A41A6" w14:paraId="7D3C1FB0" w14:textId="77777777" w:rsidTr="005421F1">
        <w:tc>
          <w:tcPr>
            <w:tcW w:w="860" w:type="pct"/>
            <w:vMerge w:val="restart"/>
          </w:tcPr>
          <w:p w14:paraId="5BE34F5C" w14:textId="5F24630E" w:rsidR="00E46253" w:rsidRPr="005A41A6" w:rsidRDefault="00E46253" w:rsidP="0056493A">
            <w:pPr>
              <w:pStyle w:val="TableText"/>
              <w:rPr>
                <w:lang w:eastAsia="en-AU"/>
              </w:rPr>
            </w:pPr>
            <w:r w:rsidRPr="005A41A6">
              <w:rPr>
                <w:lang w:eastAsia="en-AU"/>
              </w:rPr>
              <w:t>Fees – audit and inspection</w:t>
            </w:r>
          </w:p>
        </w:tc>
        <w:tc>
          <w:tcPr>
            <w:tcW w:w="937" w:type="pct"/>
          </w:tcPr>
          <w:p w14:paraId="3A6853CA" w14:textId="3DCBF43E" w:rsidR="00E46253" w:rsidRPr="005A41A6" w:rsidRDefault="00E46253" w:rsidP="00E46253">
            <w:pPr>
              <w:pStyle w:val="TableText"/>
              <w:rPr>
                <w:lang w:eastAsia="en-AU"/>
              </w:rPr>
            </w:pPr>
            <w:r w:rsidRPr="00221687">
              <w:t>Audit</w:t>
            </w:r>
          </w:p>
        </w:tc>
        <w:tc>
          <w:tcPr>
            <w:tcW w:w="640" w:type="pct"/>
          </w:tcPr>
          <w:p w14:paraId="4F633E47" w14:textId="5E8B9C9F" w:rsidR="00E46253" w:rsidRPr="005A41A6" w:rsidRDefault="00252350" w:rsidP="00E46253">
            <w:pPr>
              <w:pStyle w:val="TableText"/>
              <w:jc w:val="right"/>
              <w:rPr>
                <w:lang w:eastAsia="en-AU"/>
              </w:rPr>
            </w:pPr>
            <w:r w:rsidRPr="0017763B">
              <w:t>16,016</w:t>
            </w:r>
          </w:p>
        </w:tc>
        <w:tc>
          <w:tcPr>
            <w:tcW w:w="641" w:type="pct"/>
          </w:tcPr>
          <w:p w14:paraId="2D591817" w14:textId="67D0A6AA" w:rsidR="00E46253" w:rsidRPr="005A41A6" w:rsidRDefault="00252350" w:rsidP="00E46253">
            <w:pPr>
              <w:pStyle w:val="TableText"/>
              <w:jc w:val="right"/>
              <w:rPr>
                <w:lang w:eastAsia="en-AU"/>
              </w:rPr>
            </w:pPr>
            <w:r w:rsidRPr="0017763B">
              <w:t>18,076</w:t>
            </w:r>
          </w:p>
        </w:tc>
        <w:tc>
          <w:tcPr>
            <w:tcW w:w="641" w:type="pct"/>
          </w:tcPr>
          <w:p w14:paraId="4DFDEC38" w14:textId="0B72C8A3" w:rsidR="00E46253" w:rsidRPr="005A41A6" w:rsidRDefault="00252350" w:rsidP="00E46253">
            <w:pPr>
              <w:pStyle w:val="TableText"/>
              <w:jc w:val="right"/>
              <w:rPr>
                <w:lang w:eastAsia="en-AU"/>
              </w:rPr>
            </w:pPr>
            <w:r w:rsidRPr="0017763B">
              <w:t>(2,060)</w:t>
            </w:r>
          </w:p>
        </w:tc>
        <w:tc>
          <w:tcPr>
            <w:tcW w:w="641" w:type="pct"/>
          </w:tcPr>
          <w:p w14:paraId="215BED39" w14:textId="4D87D833" w:rsidR="00E46253" w:rsidRPr="005A41A6" w:rsidRDefault="00252350" w:rsidP="00E46253">
            <w:pPr>
              <w:pStyle w:val="TableText"/>
              <w:jc w:val="right"/>
              <w:rPr>
                <w:lang w:eastAsia="en-AU"/>
              </w:rPr>
            </w:pPr>
            <w:r w:rsidRPr="0017763B">
              <w:t>(11)</w:t>
            </w:r>
          </w:p>
        </w:tc>
        <w:tc>
          <w:tcPr>
            <w:tcW w:w="640" w:type="pct"/>
          </w:tcPr>
          <w:p w14:paraId="5EA8651E" w14:textId="6CC638C7" w:rsidR="00E46253" w:rsidRPr="005A41A6" w:rsidRDefault="00252350" w:rsidP="00E46253">
            <w:pPr>
              <w:pStyle w:val="TableText"/>
              <w:jc w:val="right"/>
              <w:rPr>
                <w:lang w:eastAsia="en-AU"/>
              </w:rPr>
            </w:pPr>
            <w:r w:rsidRPr="0017763B">
              <w:t>18,257</w:t>
            </w:r>
          </w:p>
        </w:tc>
      </w:tr>
      <w:tr w:rsidR="006301DF" w:rsidRPr="005A41A6" w14:paraId="7C211F34" w14:textId="77777777" w:rsidTr="005421F1">
        <w:tc>
          <w:tcPr>
            <w:tcW w:w="860" w:type="pct"/>
            <w:vMerge/>
          </w:tcPr>
          <w:p w14:paraId="0698A371" w14:textId="77777777" w:rsidR="00E46253" w:rsidRPr="005A41A6" w:rsidRDefault="00E46253" w:rsidP="0056493A">
            <w:pPr>
              <w:pStyle w:val="TableText"/>
              <w:rPr>
                <w:lang w:eastAsia="en-AU"/>
              </w:rPr>
            </w:pPr>
          </w:p>
        </w:tc>
        <w:tc>
          <w:tcPr>
            <w:tcW w:w="937" w:type="pct"/>
          </w:tcPr>
          <w:p w14:paraId="28C2ED4F" w14:textId="090427FA" w:rsidR="00E46253" w:rsidRPr="005A41A6" w:rsidRDefault="00E46253" w:rsidP="00E46253">
            <w:pPr>
              <w:pStyle w:val="TableText"/>
              <w:rPr>
                <w:lang w:eastAsia="en-AU"/>
              </w:rPr>
            </w:pPr>
            <w:r w:rsidRPr="00221687">
              <w:t>Core inspection</w:t>
            </w:r>
          </w:p>
        </w:tc>
        <w:tc>
          <w:tcPr>
            <w:tcW w:w="640" w:type="pct"/>
          </w:tcPr>
          <w:p w14:paraId="5916BF92" w14:textId="0D377C25" w:rsidR="00E46253" w:rsidRPr="005A41A6" w:rsidRDefault="00252350" w:rsidP="00E46253">
            <w:pPr>
              <w:pStyle w:val="TableText"/>
              <w:jc w:val="right"/>
              <w:rPr>
                <w:lang w:eastAsia="en-AU"/>
              </w:rPr>
            </w:pPr>
            <w:r w:rsidRPr="0017763B">
              <w:t>577</w:t>
            </w:r>
          </w:p>
        </w:tc>
        <w:tc>
          <w:tcPr>
            <w:tcW w:w="641" w:type="pct"/>
          </w:tcPr>
          <w:p w14:paraId="58C03601" w14:textId="0456BF5B" w:rsidR="00E46253" w:rsidRPr="005A41A6" w:rsidRDefault="00252350" w:rsidP="00E46253">
            <w:pPr>
              <w:pStyle w:val="TableText"/>
              <w:jc w:val="right"/>
              <w:rPr>
                <w:lang w:eastAsia="en-AU"/>
              </w:rPr>
            </w:pPr>
            <w:r w:rsidRPr="0017763B">
              <w:t>463</w:t>
            </w:r>
          </w:p>
        </w:tc>
        <w:tc>
          <w:tcPr>
            <w:tcW w:w="641" w:type="pct"/>
          </w:tcPr>
          <w:p w14:paraId="60E4A8C4" w14:textId="509A6C37" w:rsidR="00E46253" w:rsidRPr="005A41A6" w:rsidRDefault="00252350" w:rsidP="00E46253">
            <w:pPr>
              <w:pStyle w:val="TableText"/>
              <w:jc w:val="right"/>
              <w:rPr>
                <w:lang w:eastAsia="en-AU"/>
              </w:rPr>
            </w:pPr>
            <w:r w:rsidRPr="0017763B">
              <w:t>114</w:t>
            </w:r>
          </w:p>
        </w:tc>
        <w:tc>
          <w:tcPr>
            <w:tcW w:w="641" w:type="pct"/>
          </w:tcPr>
          <w:p w14:paraId="3F2B5054" w14:textId="709C8395" w:rsidR="00E46253" w:rsidRPr="005A41A6" w:rsidRDefault="00252350" w:rsidP="00E46253">
            <w:pPr>
              <w:pStyle w:val="TableText"/>
              <w:jc w:val="right"/>
              <w:rPr>
                <w:lang w:eastAsia="en-AU"/>
              </w:rPr>
            </w:pPr>
            <w:r w:rsidRPr="0017763B">
              <w:t>25</w:t>
            </w:r>
          </w:p>
        </w:tc>
        <w:tc>
          <w:tcPr>
            <w:tcW w:w="640" w:type="pct"/>
          </w:tcPr>
          <w:p w14:paraId="7BB57A48" w14:textId="7C83FBCA" w:rsidR="00E46253" w:rsidRPr="005A41A6" w:rsidRDefault="00252350" w:rsidP="00E46253">
            <w:pPr>
              <w:pStyle w:val="TableText"/>
              <w:jc w:val="right"/>
              <w:rPr>
                <w:lang w:eastAsia="en-AU"/>
              </w:rPr>
            </w:pPr>
            <w:r w:rsidRPr="0017763B">
              <w:t>4,051</w:t>
            </w:r>
          </w:p>
        </w:tc>
      </w:tr>
      <w:tr w:rsidR="006301DF" w:rsidRPr="005A41A6" w14:paraId="52B5C3AE" w14:textId="77777777" w:rsidTr="005421F1">
        <w:tc>
          <w:tcPr>
            <w:tcW w:w="860" w:type="pct"/>
            <w:vMerge/>
          </w:tcPr>
          <w:p w14:paraId="1DB70242" w14:textId="77777777" w:rsidR="00E46253" w:rsidRPr="005A41A6" w:rsidRDefault="00E46253" w:rsidP="0056493A">
            <w:pPr>
              <w:pStyle w:val="TableText"/>
              <w:rPr>
                <w:lang w:eastAsia="en-AU"/>
              </w:rPr>
            </w:pPr>
          </w:p>
        </w:tc>
        <w:tc>
          <w:tcPr>
            <w:tcW w:w="937" w:type="pct"/>
          </w:tcPr>
          <w:p w14:paraId="10DE54E7" w14:textId="7F7E58BD" w:rsidR="00E46253" w:rsidRPr="005A41A6" w:rsidRDefault="00E46253" w:rsidP="00E46253">
            <w:pPr>
              <w:pStyle w:val="TableText"/>
              <w:rPr>
                <w:lang w:eastAsia="en-AU"/>
              </w:rPr>
            </w:pPr>
            <w:r w:rsidRPr="00221687">
              <w:t>Additional inspection</w:t>
            </w:r>
          </w:p>
        </w:tc>
        <w:tc>
          <w:tcPr>
            <w:tcW w:w="640" w:type="pct"/>
          </w:tcPr>
          <w:p w14:paraId="3C6BDADD" w14:textId="0E5B0AF0" w:rsidR="00E46253" w:rsidRPr="005A41A6" w:rsidRDefault="00252350" w:rsidP="00E46253">
            <w:pPr>
              <w:pStyle w:val="TableText"/>
              <w:jc w:val="right"/>
              <w:rPr>
                <w:lang w:eastAsia="en-AU"/>
              </w:rPr>
            </w:pPr>
            <w:r w:rsidRPr="0017763B">
              <w:t>314</w:t>
            </w:r>
          </w:p>
        </w:tc>
        <w:tc>
          <w:tcPr>
            <w:tcW w:w="641" w:type="pct"/>
          </w:tcPr>
          <w:p w14:paraId="10B82BED" w14:textId="099B0D14" w:rsidR="00E46253" w:rsidRPr="005A41A6" w:rsidRDefault="00252350" w:rsidP="00E46253">
            <w:pPr>
              <w:pStyle w:val="TableText"/>
              <w:jc w:val="right"/>
              <w:rPr>
                <w:lang w:eastAsia="en-AU"/>
              </w:rPr>
            </w:pPr>
            <w:r w:rsidRPr="0017763B">
              <w:t>503</w:t>
            </w:r>
          </w:p>
        </w:tc>
        <w:tc>
          <w:tcPr>
            <w:tcW w:w="641" w:type="pct"/>
          </w:tcPr>
          <w:p w14:paraId="0479DC32" w14:textId="3F70D680" w:rsidR="00E46253" w:rsidRPr="005A41A6" w:rsidRDefault="00252350" w:rsidP="00E46253">
            <w:pPr>
              <w:pStyle w:val="TableText"/>
              <w:jc w:val="right"/>
              <w:rPr>
                <w:lang w:eastAsia="en-AU"/>
              </w:rPr>
            </w:pPr>
            <w:r w:rsidRPr="0017763B">
              <w:t>(189)</w:t>
            </w:r>
          </w:p>
        </w:tc>
        <w:tc>
          <w:tcPr>
            <w:tcW w:w="641" w:type="pct"/>
          </w:tcPr>
          <w:p w14:paraId="52012D60" w14:textId="66E1D194" w:rsidR="00E46253" w:rsidRPr="005A41A6" w:rsidRDefault="00252350" w:rsidP="00E46253">
            <w:pPr>
              <w:pStyle w:val="TableText"/>
              <w:jc w:val="right"/>
              <w:rPr>
                <w:lang w:eastAsia="en-AU"/>
              </w:rPr>
            </w:pPr>
            <w:r w:rsidRPr="0017763B">
              <w:t>(38)</w:t>
            </w:r>
          </w:p>
        </w:tc>
        <w:tc>
          <w:tcPr>
            <w:tcW w:w="640" w:type="pct"/>
          </w:tcPr>
          <w:p w14:paraId="12369318" w14:textId="4B244135" w:rsidR="00E46253" w:rsidRPr="005A41A6" w:rsidRDefault="00252350" w:rsidP="00E46253">
            <w:pPr>
              <w:pStyle w:val="TableText"/>
              <w:jc w:val="right"/>
              <w:rPr>
                <w:lang w:eastAsia="en-AU"/>
              </w:rPr>
            </w:pPr>
            <w:r w:rsidRPr="0017763B">
              <w:t xml:space="preserve"> </w:t>
            </w:r>
            <w:r w:rsidR="007D4136">
              <w:t>–</w:t>
            </w:r>
          </w:p>
        </w:tc>
      </w:tr>
      <w:tr w:rsidR="006301DF" w:rsidRPr="005A41A6" w14:paraId="0BBA2265" w14:textId="77777777" w:rsidTr="005421F1">
        <w:tc>
          <w:tcPr>
            <w:tcW w:w="860" w:type="pct"/>
            <w:vMerge w:val="restart"/>
          </w:tcPr>
          <w:p w14:paraId="2220BA63" w14:textId="03A23279" w:rsidR="00E46253" w:rsidRPr="005A41A6" w:rsidRDefault="00E46253" w:rsidP="0056493A">
            <w:pPr>
              <w:pStyle w:val="TableText"/>
              <w:rPr>
                <w:lang w:eastAsia="en-AU"/>
              </w:rPr>
            </w:pPr>
            <w:r w:rsidRPr="005A41A6">
              <w:rPr>
                <w:lang w:eastAsia="en-AU"/>
              </w:rPr>
              <w:t>Fees – documentation</w:t>
            </w:r>
          </w:p>
        </w:tc>
        <w:tc>
          <w:tcPr>
            <w:tcW w:w="937" w:type="pct"/>
          </w:tcPr>
          <w:p w14:paraId="5C9B2913" w14:textId="0031F5E2" w:rsidR="00E46253" w:rsidRPr="005A41A6" w:rsidRDefault="00E46253" w:rsidP="00E46253">
            <w:pPr>
              <w:pStyle w:val="TableText"/>
              <w:rPr>
                <w:lang w:eastAsia="en-AU"/>
              </w:rPr>
            </w:pPr>
            <w:r w:rsidRPr="00CD68F9">
              <w:t xml:space="preserve">Document – </w:t>
            </w:r>
            <w:r w:rsidR="006301DF">
              <w:t>e</w:t>
            </w:r>
            <w:r w:rsidRPr="00CD68F9">
              <w:t>lectronic</w:t>
            </w:r>
          </w:p>
        </w:tc>
        <w:tc>
          <w:tcPr>
            <w:tcW w:w="640" w:type="pct"/>
          </w:tcPr>
          <w:p w14:paraId="4783B82F" w14:textId="4657340B" w:rsidR="00E46253" w:rsidRPr="005A41A6" w:rsidRDefault="00252350" w:rsidP="00E46253">
            <w:pPr>
              <w:pStyle w:val="TableText"/>
              <w:jc w:val="right"/>
              <w:rPr>
                <w:lang w:eastAsia="en-AU"/>
              </w:rPr>
            </w:pPr>
            <w:r w:rsidRPr="0017763B">
              <w:t>94,674</w:t>
            </w:r>
          </w:p>
        </w:tc>
        <w:tc>
          <w:tcPr>
            <w:tcW w:w="641" w:type="pct"/>
          </w:tcPr>
          <w:p w14:paraId="233DCDB3" w14:textId="26BA082F" w:rsidR="00E46253" w:rsidRPr="005A41A6" w:rsidRDefault="00252350" w:rsidP="00E46253">
            <w:pPr>
              <w:pStyle w:val="TableText"/>
              <w:jc w:val="right"/>
              <w:rPr>
                <w:lang w:eastAsia="en-AU"/>
              </w:rPr>
            </w:pPr>
            <w:r w:rsidRPr="0017763B">
              <w:t>93,129</w:t>
            </w:r>
          </w:p>
        </w:tc>
        <w:tc>
          <w:tcPr>
            <w:tcW w:w="641" w:type="pct"/>
          </w:tcPr>
          <w:p w14:paraId="150911B7" w14:textId="37F611B7" w:rsidR="00E46253" w:rsidRPr="005A41A6" w:rsidRDefault="00252350" w:rsidP="00E46253">
            <w:pPr>
              <w:pStyle w:val="TableText"/>
              <w:jc w:val="right"/>
              <w:rPr>
                <w:lang w:eastAsia="en-AU"/>
              </w:rPr>
            </w:pPr>
            <w:r w:rsidRPr="0017763B">
              <w:t>1,545</w:t>
            </w:r>
          </w:p>
        </w:tc>
        <w:tc>
          <w:tcPr>
            <w:tcW w:w="641" w:type="pct"/>
          </w:tcPr>
          <w:p w14:paraId="17F94A1D" w14:textId="3E3CDABC" w:rsidR="00E46253" w:rsidRPr="005A41A6" w:rsidRDefault="00252350" w:rsidP="00E46253">
            <w:pPr>
              <w:pStyle w:val="TableText"/>
              <w:jc w:val="right"/>
              <w:rPr>
                <w:lang w:eastAsia="en-AU"/>
              </w:rPr>
            </w:pPr>
            <w:r w:rsidRPr="0017763B">
              <w:t>2</w:t>
            </w:r>
          </w:p>
        </w:tc>
        <w:tc>
          <w:tcPr>
            <w:tcW w:w="640" w:type="pct"/>
          </w:tcPr>
          <w:p w14:paraId="519CE997" w14:textId="1A2949B5" w:rsidR="00E46253" w:rsidRPr="005A41A6" w:rsidRDefault="00252350" w:rsidP="00E46253">
            <w:pPr>
              <w:pStyle w:val="TableText"/>
              <w:jc w:val="right"/>
              <w:rPr>
                <w:lang w:eastAsia="en-AU"/>
              </w:rPr>
            </w:pPr>
            <w:r w:rsidRPr="0017763B">
              <w:t>111,705</w:t>
            </w:r>
          </w:p>
        </w:tc>
      </w:tr>
      <w:tr w:rsidR="006301DF" w:rsidRPr="005A41A6" w14:paraId="212F7700" w14:textId="77777777" w:rsidTr="005421F1">
        <w:tc>
          <w:tcPr>
            <w:tcW w:w="860" w:type="pct"/>
            <w:vMerge/>
          </w:tcPr>
          <w:p w14:paraId="7EC63CAD" w14:textId="77777777" w:rsidR="00E46253" w:rsidRPr="005A41A6" w:rsidRDefault="00E46253" w:rsidP="0056493A">
            <w:pPr>
              <w:pStyle w:val="TableText"/>
              <w:rPr>
                <w:lang w:eastAsia="en-AU"/>
              </w:rPr>
            </w:pPr>
          </w:p>
        </w:tc>
        <w:tc>
          <w:tcPr>
            <w:tcW w:w="937" w:type="pct"/>
          </w:tcPr>
          <w:p w14:paraId="1612BDB3" w14:textId="3FA0367D" w:rsidR="00E46253" w:rsidRPr="005A41A6" w:rsidRDefault="00E46253" w:rsidP="00E46253">
            <w:pPr>
              <w:pStyle w:val="TableText"/>
              <w:rPr>
                <w:lang w:eastAsia="en-AU"/>
              </w:rPr>
            </w:pPr>
            <w:r w:rsidRPr="00CD68F9">
              <w:t xml:space="preserve">Document – </w:t>
            </w:r>
            <w:r w:rsidR="006301DF">
              <w:t>m</w:t>
            </w:r>
            <w:r w:rsidRPr="00CD68F9">
              <w:t>anual</w:t>
            </w:r>
          </w:p>
        </w:tc>
        <w:tc>
          <w:tcPr>
            <w:tcW w:w="640" w:type="pct"/>
          </w:tcPr>
          <w:p w14:paraId="68043173" w14:textId="07A5FE40" w:rsidR="00E46253" w:rsidRPr="005A41A6" w:rsidRDefault="00252350" w:rsidP="00E46253">
            <w:pPr>
              <w:pStyle w:val="TableText"/>
              <w:jc w:val="right"/>
              <w:rPr>
                <w:lang w:eastAsia="en-AU"/>
              </w:rPr>
            </w:pPr>
            <w:r w:rsidRPr="0017763B">
              <w:t>16,282</w:t>
            </w:r>
          </w:p>
        </w:tc>
        <w:tc>
          <w:tcPr>
            <w:tcW w:w="641" w:type="pct"/>
          </w:tcPr>
          <w:p w14:paraId="03E9F62D" w14:textId="6C3302C7" w:rsidR="00E46253" w:rsidRPr="005A41A6" w:rsidRDefault="00252350" w:rsidP="00E46253">
            <w:pPr>
              <w:pStyle w:val="TableText"/>
              <w:jc w:val="right"/>
              <w:rPr>
                <w:lang w:eastAsia="en-AU"/>
              </w:rPr>
            </w:pPr>
            <w:r w:rsidRPr="0017763B">
              <w:t>16,667</w:t>
            </w:r>
          </w:p>
        </w:tc>
        <w:tc>
          <w:tcPr>
            <w:tcW w:w="641" w:type="pct"/>
          </w:tcPr>
          <w:p w14:paraId="4195D751" w14:textId="00572B3C" w:rsidR="00E46253" w:rsidRPr="005A41A6" w:rsidRDefault="00252350" w:rsidP="00E46253">
            <w:pPr>
              <w:pStyle w:val="TableText"/>
              <w:jc w:val="right"/>
              <w:rPr>
                <w:lang w:eastAsia="en-AU"/>
              </w:rPr>
            </w:pPr>
            <w:r w:rsidRPr="0017763B">
              <w:t>(385)</w:t>
            </w:r>
          </w:p>
        </w:tc>
        <w:tc>
          <w:tcPr>
            <w:tcW w:w="641" w:type="pct"/>
          </w:tcPr>
          <w:p w14:paraId="2C721665" w14:textId="2B225DC3" w:rsidR="00E46253" w:rsidRPr="005A41A6" w:rsidRDefault="00252350" w:rsidP="00E46253">
            <w:pPr>
              <w:pStyle w:val="TableText"/>
              <w:jc w:val="right"/>
              <w:rPr>
                <w:lang w:eastAsia="en-AU"/>
              </w:rPr>
            </w:pPr>
            <w:r w:rsidRPr="0017763B">
              <w:t>(2)</w:t>
            </w:r>
          </w:p>
        </w:tc>
        <w:tc>
          <w:tcPr>
            <w:tcW w:w="640" w:type="pct"/>
          </w:tcPr>
          <w:p w14:paraId="2FD1DD9C" w14:textId="517E7E89" w:rsidR="00E46253" w:rsidRPr="005A41A6" w:rsidRDefault="00252350" w:rsidP="00E46253">
            <w:pPr>
              <w:pStyle w:val="TableText"/>
              <w:jc w:val="right"/>
              <w:rPr>
                <w:lang w:eastAsia="en-AU"/>
              </w:rPr>
            </w:pPr>
            <w:r w:rsidRPr="0017763B">
              <w:t>2,700</w:t>
            </w:r>
          </w:p>
        </w:tc>
      </w:tr>
      <w:tr w:rsidR="006301DF" w:rsidRPr="005A41A6" w14:paraId="031A839E" w14:textId="77777777" w:rsidTr="005421F1">
        <w:tc>
          <w:tcPr>
            <w:tcW w:w="860" w:type="pct"/>
            <w:vMerge/>
          </w:tcPr>
          <w:p w14:paraId="34F4FFDC" w14:textId="77777777" w:rsidR="00E46253" w:rsidRPr="005A41A6" w:rsidRDefault="00E46253" w:rsidP="0056493A">
            <w:pPr>
              <w:pStyle w:val="TableText"/>
              <w:rPr>
                <w:lang w:eastAsia="en-AU"/>
              </w:rPr>
            </w:pPr>
          </w:p>
        </w:tc>
        <w:tc>
          <w:tcPr>
            <w:tcW w:w="937" w:type="pct"/>
          </w:tcPr>
          <w:p w14:paraId="360871FD" w14:textId="7A7576D1" w:rsidR="00E46253" w:rsidRPr="005A41A6" w:rsidRDefault="00E46253" w:rsidP="00E46253">
            <w:pPr>
              <w:pStyle w:val="TableText"/>
              <w:rPr>
                <w:lang w:eastAsia="en-AU"/>
              </w:rPr>
            </w:pPr>
            <w:r w:rsidRPr="00CD68F9">
              <w:t>Replacement certificate</w:t>
            </w:r>
          </w:p>
        </w:tc>
        <w:tc>
          <w:tcPr>
            <w:tcW w:w="640" w:type="pct"/>
          </w:tcPr>
          <w:p w14:paraId="7D09D34B" w14:textId="7708303E" w:rsidR="00E46253" w:rsidRPr="005A41A6" w:rsidRDefault="00252350" w:rsidP="00E46253">
            <w:pPr>
              <w:pStyle w:val="TableText"/>
              <w:jc w:val="right"/>
              <w:rPr>
                <w:lang w:eastAsia="en-AU"/>
              </w:rPr>
            </w:pPr>
            <w:r w:rsidRPr="0017763B">
              <w:t>14</w:t>
            </w:r>
          </w:p>
        </w:tc>
        <w:tc>
          <w:tcPr>
            <w:tcW w:w="641" w:type="pct"/>
          </w:tcPr>
          <w:p w14:paraId="7CFBE305" w14:textId="4A28FC3D" w:rsidR="00E46253" w:rsidRPr="005A41A6" w:rsidRDefault="00252350" w:rsidP="00E46253">
            <w:pPr>
              <w:pStyle w:val="TableText"/>
              <w:jc w:val="right"/>
              <w:rPr>
                <w:lang w:eastAsia="en-AU"/>
              </w:rPr>
            </w:pPr>
            <w:r w:rsidRPr="0017763B">
              <w:t>23</w:t>
            </w:r>
          </w:p>
        </w:tc>
        <w:tc>
          <w:tcPr>
            <w:tcW w:w="641" w:type="pct"/>
          </w:tcPr>
          <w:p w14:paraId="664143E8" w14:textId="6073C7D3" w:rsidR="00E46253" w:rsidRPr="005A41A6" w:rsidRDefault="00252350" w:rsidP="00E46253">
            <w:pPr>
              <w:pStyle w:val="TableText"/>
              <w:jc w:val="right"/>
              <w:rPr>
                <w:lang w:eastAsia="en-AU"/>
              </w:rPr>
            </w:pPr>
            <w:r w:rsidRPr="0017763B">
              <w:t>(9)</w:t>
            </w:r>
          </w:p>
        </w:tc>
        <w:tc>
          <w:tcPr>
            <w:tcW w:w="641" w:type="pct"/>
          </w:tcPr>
          <w:p w14:paraId="70D6F651" w14:textId="54C5C48A" w:rsidR="00E46253" w:rsidRPr="005A41A6" w:rsidRDefault="00252350" w:rsidP="00E46253">
            <w:pPr>
              <w:pStyle w:val="TableText"/>
              <w:jc w:val="right"/>
              <w:rPr>
                <w:lang w:eastAsia="en-AU"/>
              </w:rPr>
            </w:pPr>
            <w:r w:rsidRPr="0017763B">
              <w:t>(39)</w:t>
            </w:r>
          </w:p>
        </w:tc>
        <w:tc>
          <w:tcPr>
            <w:tcW w:w="640" w:type="pct"/>
          </w:tcPr>
          <w:p w14:paraId="01B475DE" w14:textId="7A1EDCA7" w:rsidR="00E46253" w:rsidRPr="005A41A6" w:rsidRDefault="00252350" w:rsidP="00E46253">
            <w:pPr>
              <w:pStyle w:val="TableText"/>
              <w:jc w:val="right"/>
              <w:rPr>
                <w:lang w:eastAsia="en-AU"/>
              </w:rPr>
            </w:pPr>
            <w:r w:rsidRPr="0017763B">
              <w:t>10</w:t>
            </w:r>
          </w:p>
        </w:tc>
      </w:tr>
      <w:tr w:rsidR="006301DF" w:rsidRPr="005A41A6" w14:paraId="7B6F941B" w14:textId="77777777" w:rsidTr="005421F1">
        <w:tc>
          <w:tcPr>
            <w:tcW w:w="860" w:type="pct"/>
            <w:vMerge/>
          </w:tcPr>
          <w:p w14:paraId="2B380032" w14:textId="77777777" w:rsidR="00E46253" w:rsidRPr="005A41A6" w:rsidRDefault="00E46253" w:rsidP="0056493A">
            <w:pPr>
              <w:pStyle w:val="TableText"/>
              <w:rPr>
                <w:lang w:eastAsia="en-AU"/>
              </w:rPr>
            </w:pPr>
          </w:p>
        </w:tc>
        <w:tc>
          <w:tcPr>
            <w:tcW w:w="937" w:type="pct"/>
          </w:tcPr>
          <w:p w14:paraId="1E6C46B1" w14:textId="44EC54E9" w:rsidR="00E46253" w:rsidRPr="005A41A6" w:rsidRDefault="00E46253" w:rsidP="00E46253">
            <w:pPr>
              <w:pStyle w:val="TableText"/>
              <w:rPr>
                <w:lang w:eastAsia="en-AU"/>
              </w:rPr>
            </w:pPr>
            <w:r w:rsidRPr="00CD68F9">
              <w:t>TRQ certificates</w:t>
            </w:r>
          </w:p>
        </w:tc>
        <w:tc>
          <w:tcPr>
            <w:tcW w:w="640" w:type="pct"/>
          </w:tcPr>
          <w:p w14:paraId="3AE0BFE7" w14:textId="12E746E5" w:rsidR="00E46253" w:rsidRPr="005A41A6" w:rsidRDefault="00252350" w:rsidP="00E46253">
            <w:pPr>
              <w:pStyle w:val="TableText"/>
              <w:jc w:val="right"/>
              <w:rPr>
                <w:lang w:eastAsia="en-AU"/>
              </w:rPr>
            </w:pPr>
            <w:r w:rsidRPr="0017763B">
              <w:t>652</w:t>
            </w:r>
          </w:p>
        </w:tc>
        <w:tc>
          <w:tcPr>
            <w:tcW w:w="641" w:type="pct"/>
          </w:tcPr>
          <w:p w14:paraId="5B2EE552" w14:textId="7DFC891F" w:rsidR="00E46253" w:rsidRPr="005A41A6" w:rsidRDefault="00252350" w:rsidP="00E46253">
            <w:pPr>
              <w:pStyle w:val="TableText"/>
              <w:jc w:val="right"/>
              <w:rPr>
                <w:lang w:eastAsia="en-AU"/>
              </w:rPr>
            </w:pPr>
            <w:r w:rsidRPr="0017763B">
              <w:t>1,037</w:t>
            </w:r>
          </w:p>
        </w:tc>
        <w:tc>
          <w:tcPr>
            <w:tcW w:w="641" w:type="pct"/>
          </w:tcPr>
          <w:p w14:paraId="312063EA" w14:textId="4211C8A3" w:rsidR="00E46253" w:rsidRPr="005A41A6" w:rsidRDefault="00252350" w:rsidP="00E46253">
            <w:pPr>
              <w:pStyle w:val="TableText"/>
              <w:jc w:val="right"/>
              <w:rPr>
                <w:lang w:eastAsia="en-AU"/>
              </w:rPr>
            </w:pPr>
            <w:r w:rsidRPr="0017763B">
              <w:t>(385)</w:t>
            </w:r>
          </w:p>
        </w:tc>
        <w:tc>
          <w:tcPr>
            <w:tcW w:w="641" w:type="pct"/>
          </w:tcPr>
          <w:p w14:paraId="42A5DBC7" w14:textId="3F4ADB46" w:rsidR="00E46253" w:rsidRPr="005A41A6" w:rsidRDefault="00252350" w:rsidP="00E46253">
            <w:pPr>
              <w:pStyle w:val="TableText"/>
              <w:jc w:val="right"/>
              <w:rPr>
                <w:lang w:eastAsia="en-AU"/>
              </w:rPr>
            </w:pPr>
            <w:r w:rsidRPr="0017763B">
              <w:t>(37)</w:t>
            </w:r>
          </w:p>
        </w:tc>
        <w:tc>
          <w:tcPr>
            <w:tcW w:w="640" w:type="pct"/>
          </w:tcPr>
          <w:p w14:paraId="6FED3DFA" w14:textId="40888935" w:rsidR="00E46253" w:rsidRPr="005A41A6" w:rsidRDefault="00252350" w:rsidP="00E46253">
            <w:pPr>
              <w:pStyle w:val="TableText"/>
              <w:jc w:val="right"/>
              <w:rPr>
                <w:lang w:eastAsia="en-AU"/>
              </w:rPr>
            </w:pPr>
            <w:r w:rsidRPr="0017763B">
              <w:t>0</w:t>
            </w:r>
          </w:p>
        </w:tc>
      </w:tr>
      <w:tr w:rsidR="006301DF" w:rsidRPr="005A41A6" w14:paraId="66A38485" w14:textId="77777777" w:rsidTr="005421F1">
        <w:tc>
          <w:tcPr>
            <w:tcW w:w="860" w:type="pct"/>
            <w:vMerge w:val="restart"/>
          </w:tcPr>
          <w:p w14:paraId="0291CC6B" w14:textId="42FC61BB" w:rsidR="0056493A" w:rsidRPr="005A41A6" w:rsidRDefault="0056493A" w:rsidP="0056493A">
            <w:pPr>
              <w:pStyle w:val="TableText"/>
              <w:rPr>
                <w:lang w:eastAsia="en-AU"/>
              </w:rPr>
            </w:pPr>
            <w:r w:rsidRPr="005A41A6">
              <w:rPr>
                <w:lang w:eastAsia="en-AU"/>
              </w:rPr>
              <w:t xml:space="preserve">Fees – </w:t>
            </w:r>
            <w:r w:rsidR="006301DF">
              <w:rPr>
                <w:lang w:eastAsia="en-AU"/>
              </w:rPr>
              <w:t>a</w:t>
            </w:r>
            <w:r w:rsidRPr="005A41A6">
              <w:rPr>
                <w:lang w:eastAsia="en-AU"/>
              </w:rPr>
              <w:t xml:space="preserve">uthorised </w:t>
            </w:r>
            <w:r w:rsidR="006301DF">
              <w:rPr>
                <w:lang w:eastAsia="en-AU"/>
              </w:rPr>
              <w:t>o</w:t>
            </w:r>
            <w:r w:rsidRPr="005A41A6">
              <w:rPr>
                <w:lang w:eastAsia="en-AU"/>
              </w:rPr>
              <w:t>fficer</w:t>
            </w:r>
          </w:p>
        </w:tc>
        <w:tc>
          <w:tcPr>
            <w:tcW w:w="937" w:type="pct"/>
          </w:tcPr>
          <w:p w14:paraId="2E5BDB0C" w14:textId="57B684A3" w:rsidR="0056493A" w:rsidRPr="005A41A6" w:rsidRDefault="0056493A" w:rsidP="0056493A">
            <w:pPr>
              <w:pStyle w:val="TableText"/>
              <w:rPr>
                <w:lang w:eastAsia="en-AU"/>
              </w:rPr>
            </w:pPr>
            <w:r w:rsidRPr="00ED507A">
              <w:t>Authorised officer application fee</w:t>
            </w:r>
          </w:p>
        </w:tc>
        <w:tc>
          <w:tcPr>
            <w:tcW w:w="640" w:type="pct"/>
          </w:tcPr>
          <w:p w14:paraId="14EF1B5A" w14:textId="7050292D" w:rsidR="0056493A" w:rsidRPr="005A41A6" w:rsidRDefault="00252350" w:rsidP="0056493A">
            <w:pPr>
              <w:pStyle w:val="TableText"/>
              <w:jc w:val="right"/>
              <w:rPr>
                <w:lang w:eastAsia="en-AU"/>
              </w:rPr>
            </w:pPr>
            <w:r w:rsidRPr="0017763B">
              <w:t>55</w:t>
            </w:r>
          </w:p>
        </w:tc>
        <w:tc>
          <w:tcPr>
            <w:tcW w:w="641" w:type="pct"/>
          </w:tcPr>
          <w:p w14:paraId="33F91AD2" w14:textId="1D24E21D" w:rsidR="0056493A" w:rsidRPr="005A41A6" w:rsidRDefault="00252350" w:rsidP="0056493A">
            <w:pPr>
              <w:pStyle w:val="TableText"/>
              <w:jc w:val="right"/>
              <w:rPr>
                <w:lang w:eastAsia="en-AU"/>
              </w:rPr>
            </w:pPr>
            <w:r w:rsidRPr="0017763B">
              <w:t>64</w:t>
            </w:r>
          </w:p>
        </w:tc>
        <w:tc>
          <w:tcPr>
            <w:tcW w:w="641" w:type="pct"/>
          </w:tcPr>
          <w:p w14:paraId="7686BCEF" w14:textId="673E2157" w:rsidR="0056493A" w:rsidRPr="005A41A6" w:rsidRDefault="00252350" w:rsidP="0056493A">
            <w:pPr>
              <w:pStyle w:val="TableText"/>
              <w:jc w:val="right"/>
              <w:rPr>
                <w:lang w:eastAsia="en-AU"/>
              </w:rPr>
            </w:pPr>
            <w:r w:rsidRPr="0017763B">
              <w:t>(9)</w:t>
            </w:r>
          </w:p>
        </w:tc>
        <w:tc>
          <w:tcPr>
            <w:tcW w:w="641" w:type="pct"/>
          </w:tcPr>
          <w:p w14:paraId="2A0B0414" w14:textId="559201B6" w:rsidR="0056493A" w:rsidRPr="005A41A6" w:rsidRDefault="00252350" w:rsidP="0056493A">
            <w:pPr>
              <w:pStyle w:val="TableText"/>
              <w:jc w:val="right"/>
              <w:rPr>
                <w:lang w:eastAsia="en-AU"/>
              </w:rPr>
            </w:pPr>
            <w:r w:rsidRPr="0017763B">
              <w:t>(14)</w:t>
            </w:r>
          </w:p>
        </w:tc>
        <w:tc>
          <w:tcPr>
            <w:tcW w:w="640" w:type="pct"/>
          </w:tcPr>
          <w:p w14:paraId="03A8326F" w14:textId="3332C12C" w:rsidR="0056493A" w:rsidRPr="005A41A6" w:rsidRDefault="00252350" w:rsidP="0056493A">
            <w:pPr>
              <w:pStyle w:val="TableText"/>
              <w:jc w:val="right"/>
              <w:rPr>
                <w:lang w:eastAsia="en-AU"/>
              </w:rPr>
            </w:pPr>
            <w:r w:rsidRPr="0017763B">
              <w:t>45</w:t>
            </w:r>
          </w:p>
        </w:tc>
      </w:tr>
      <w:tr w:rsidR="006301DF" w:rsidRPr="005A41A6" w14:paraId="1D1B1382" w14:textId="77777777" w:rsidTr="005421F1">
        <w:tc>
          <w:tcPr>
            <w:tcW w:w="860" w:type="pct"/>
            <w:vMerge/>
          </w:tcPr>
          <w:p w14:paraId="2A1FC500" w14:textId="77777777" w:rsidR="0056493A" w:rsidRPr="005A41A6" w:rsidRDefault="0056493A" w:rsidP="0056493A">
            <w:pPr>
              <w:pStyle w:val="TableText"/>
              <w:rPr>
                <w:lang w:eastAsia="en-AU"/>
              </w:rPr>
            </w:pPr>
          </w:p>
        </w:tc>
        <w:tc>
          <w:tcPr>
            <w:tcW w:w="937" w:type="pct"/>
          </w:tcPr>
          <w:p w14:paraId="1FD54CF2" w14:textId="62599473" w:rsidR="0056493A" w:rsidRPr="005A41A6" w:rsidRDefault="0056493A" w:rsidP="0056493A">
            <w:pPr>
              <w:pStyle w:val="TableText"/>
              <w:rPr>
                <w:lang w:eastAsia="en-AU"/>
              </w:rPr>
            </w:pPr>
            <w:r w:rsidRPr="00ED507A">
              <w:t>Authorised officer approval</w:t>
            </w:r>
          </w:p>
        </w:tc>
        <w:tc>
          <w:tcPr>
            <w:tcW w:w="640" w:type="pct"/>
          </w:tcPr>
          <w:p w14:paraId="54F59F61" w14:textId="6DECC19B" w:rsidR="0056493A" w:rsidRPr="005A41A6" w:rsidRDefault="00252350" w:rsidP="0056493A">
            <w:pPr>
              <w:pStyle w:val="TableText"/>
              <w:jc w:val="right"/>
              <w:rPr>
                <w:lang w:eastAsia="en-AU"/>
              </w:rPr>
            </w:pPr>
            <w:r w:rsidRPr="0017763B">
              <w:t>166</w:t>
            </w:r>
          </w:p>
        </w:tc>
        <w:tc>
          <w:tcPr>
            <w:tcW w:w="641" w:type="pct"/>
          </w:tcPr>
          <w:p w14:paraId="6DF0204E" w14:textId="6916D8BF" w:rsidR="0056493A" w:rsidRPr="005A41A6" w:rsidRDefault="00252350" w:rsidP="0056493A">
            <w:pPr>
              <w:pStyle w:val="TableText"/>
              <w:jc w:val="right"/>
              <w:rPr>
                <w:lang w:eastAsia="en-AU"/>
              </w:rPr>
            </w:pPr>
            <w:r w:rsidRPr="0017763B">
              <w:t>153</w:t>
            </w:r>
          </w:p>
        </w:tc>
        <w:tc>
          <w:tcPr>
            <w:tcW w:w="641" w:type="pct"/>
          </w:tcPr>
          <w:p w14:paraId="301448E6" w14:textId="2DE54DC6" w:rsidR="0056493A" w:rsidRPr="005A41A6" w:rsidRDefault="00252350" w:rsidP="0056493A">
            <w:pPr>
              <w:pStyle w:val="TableText"/>
              <w:jc w:val="right"/>
              <w:rPr>
                <w:lang w:eastAsia="en-AU"/>
              </w:rPr>
            </w:pPr>
            <w:r w:rsidRPr="0017763B">
              <w:t>13</w:t>
            </w:r>
          </w:p>
        </w:tc>
        <w:tc>
          <w:tcPr>
            <w:tcW w:w="641" w:type="pct"/>
          </w:tcPr>
          <w:p w14:paraId="153D5D13" w14:textId="0AD09032" w:rsidR="0056493A" w:rsidRPr="005A41A6" w:rsidRDefault="00252350" w:rsidP="0056493A">
            <w:pPr>
              <w:pStyle w:val="TableText"/>
              <w:jc w:val="right"/>
              <w:rPr>
                <w:lang w:eastAsia="en-AU"/>
              </w:rPr>
            </w:pPr>
            <w:r w:rsidRPr="0017763B">
              <w:t>8</w:t>
            </w:r>
          </w:p>
        </w:tc>
        <w:tc>
          <w:tcPr>
            <w:tcW w:w="640" w:type="pct"/>
          </w:tcPr>
          <w:p w14:paraId="6E285A3F" w14:textId="50FAE965" w:rsidR="0056493A" w:rsidRPr="005A41A6" w:rsidRDefault="00252350" w:rsidP="0056493A">
            <w:pPr>
              <w:pStyle w:val="TableText"/>
              <w:jc w:val="right"/>
              <w:rPr>
                <w:lang w:eastAsia="en-AU"/>
              </w:rPr>
            </w:pPr>
            <w:r w:rsidRPr="0017763B">
              <w:t>148</w:t>
            </w:r>
          </w:p>
        </w:tc>
      </w:tr>
      <w:tr w:rsidR="006301DF" w:rsidRPr="005A41A6" w14:paraId="1D4B34DE" w14:textId="77777777" w:rsidTr="005421F1">
        <w:tc>
          <w:tcPr>
            <w:tcW w:w="860" w:type="pct"/>
            <w:vMerge/>
          </w:tcPr>
          <w:p w14:paraId="32C81601" w14:textId="77777777" w:rsidR="0056493A" w:rsidRPr="005A41A6" w:rsidRDefault="0056493A" w:rsidP="0056493A">
            <w:pPr>
              <w:pStyle w:val="TableText"/>
              <w:rPr>
                <w:lang w:eastAsia="en-AU"/>
              </w:rPr>
            </w:pPr>
          </w:p>
        </w:tc>
        <w:tc>
          <w:tcPr>
            <w:tcW w:w="937" w:type="pct"/>
          </w:tcPr>
          <w:p w14:paraId="4100EB8C" w14:textId="09F9C22F" w:rsidR="0056493A" w:rsidRPr="005A41A6" w:rsidRDefault="0056493A" w:rsidP="0056493A">
            <w:pPr>
              <w:pStyle w:val="TableText"/>
              <w:rPr>
                <w:lang w:eastAsia="en-AU"/>
              </w:rPr>
            </w:pPr>
            <w:r w:rsidRPr="00ED507A">
              <w:t>Authorised officer learning and assessment</w:t>
            </w:r>
          </w:p>
        </w:tc>
        <w:tc>
          <w:tcPr>
            <w:tcW w:w="640" w:type="pct"/>
          </w:tcPr>
          <w:p w14:paraId="5B5922C3" w14:textId="3433C166" w:rsidR="0056493A" w:rsidRPr="005A41A6" w:rsidRDefault="00252350" w:rsidP="0056493A">
            <w:pPr>
              <w:pStyle w:val="TableText"/>
              <w:jc w:val="right"/>
              <w:rPr>
                <w:lang w:eastAsia="en-AU"/>
              </w:rPr>
            </w:pPr>
            <w:r w:rsidRPr="0017763B">
              <w:t>45</w:t>
            </w:r>
          </w:p>
        </w:tc>
        <w:tc>
          <w:tcPr>
            <w:tcW w:w="641" w:type="pct"/>
          </w:tcPr>
          <w:p w14:paraId="059788EE" w14:textId="1CFB651C" w:rsidR="0056493A" w:rsidRPr="005A41A6" w:rsidRDefault="00252350" w:rsidP="0056493A">
            <w:pPr>
              <w:pStyle w:val="TableText"/>
              <w:jc w:val="right"/>
              <w:rPr>
                <w:lang w:eastAsia="en-AU"/>
              </w:rPr>
            </w:pPr>
            <w:r w:rsidRPr="0017763B">
              <w:t>52</w:t>
            </w:r>
          </w:p>
        </w:tc>
        <w:tc>
          <w:tcPr>
            <w:tcW w:w="641" w:type="pct"/>
          </w:tcPr>
          <w:p w14:paraId="216CD021" w14:textId="6F431ADB" w:rsidR="0056493A" w:rsidRPr="005A41A6" w:rsidRDefault="00252350" w:rsidP="0056493A">
            <w:pPr>
              <w:pStyle w:val="TableText"/>
              <w:jc w:val="right"/>
              <w:rPr>
                <w:lang w:eastAsia="en-AU"/>
              </w:rPr>
            </w:pPr>
            <w:r w:rsidRPr="0017763B">
              <w:t>(7)</w:t>
            </w:r>
          </w:p>
        </w:tc>
        <w:tc>
          <w:tcPr>
            <w:tcW w:w="641" w:type="pct"/>
          </w:tcPr>
          <w:p w14:paraId="66794845" w14:textId="7C6A3020" w:rsidR="0056493A" w:rsidRPr="005A41A6" w:rsidRDefault="00252350" w:rsidP="0056493A">
            <w:pPr>
              <w:pStyle w:val="TableText"/>
              <w:jc w:val="right"/>
              <w:rPr>
                <w:lang w:eastAsia="en-AU"/>
              </w:rPr>
            </w:pPr>
            <w:r w:rsidRPr="0017763B">
              <w:t>(13)</w:t>
            </w:r>
          </w:p>
        </w:tc>
        <w:tc>
          <w:tcPr>
            <w:tcW w:w="640" w:type="pct"/>
          </w:tcPr>
          <w:p w14:paraId="55D66771" w14:textId="0E1336BE" w:rsidR="0056493A" w:rsidRPr="005A41A6" w:rsidRDefault="00252350" w:rsidP="0056493A">
            <w:pPr>
              <w:pStyle w:val="TableText"/>
              <w:jc w:val="right"/>
              <w:rPr>
                <w:lang w:eastAsia="en-AU"/>
              </w:rPr>
            </w:pPr>
            <w:r w:rsidRPr="0017763B">
              <w:t>45</w:t>
            </w:r>
          </w:p>
        </w:tc>
      </w:tr>
      <w:tr w:rsidR="006301DF" w:rsidRPr="005A41A6" w14:paraId="1F60DC14" w14:textId="77777777" w:rsidTr="005421F1">
        <w:tc>
          <w:tcPr>
            <w:tcW w:w="860" w:type="pct"/>
            <w:vMerge/>
          </w:tcPr>
          <w:p w14:paraId="6937E1D1" w14:textId="77777777" w:rsidR="0056493A" w:rsidRPr="005A41A6" w:rsidRDefault="0056493A" w:rsidP="0056493A">
            <w:pPr>
              <w:pStyle w:val="TableText"/>
              <w:rPr>
                <w:lang w:eastAsia="en-AU"/>
              </w:rPr>
            </w:pPr>
          </w:p>
        </w:tc>
        <w:tc>
          <w:tcPr>
            <w:tcW w:w="937" w:type="pct"/>
          </w:tcPr>
          <w:p w14:paraId="1FDEFF78" w14:textId="7ABA3891" w:rsidR="0056493A" w:rsidRPr="005A41A6" w:rsidRDefault="0056493A" w:rsidP="0056493A">
            <w:pPr>
              <w:pStyle w:val="TableText"/>
              <w:rPr>
                <w:lang w:eastAsia="en-AU"/>
              </w:rPr>
            </w:pPr>
            <w:r w:rsidRPr="00ED507A">
              <w:t xml:space="preserve">Additional </w:t>
            </w:r>
            <w:r w:rsidR="006301DF">
              <w:t>l</w:t>
            </w:r>
            <w:r w:rsidRPr="00ED507A">
              <w:t xml:space="preserve">earning and </w:t>
            </w:r>
            <w:r w:rsidR="006301DF">
              <w:t>a</w:t>
            </w:r>
            <w:r w:rsidRPr="00ED507A">
              <w:t>ssessment</w:t>
            </w:r>
          </w:p>
        </w:tc>
        <w:tc>
          <w:tcPr>
            <w:tcW w:w="640" w:type="pct"/>
          </w:tcPr>
          <w:p w14:paraId="48FB71B0" w14:textId="3124B96C" w:rsidR="0056493A" w:rsidRPr="005A41A6" w:rsidRDefault="00252350" w:rsidP="0056493A">
            <w:pPr>
              <w:pStyle w:val="TableText"/>
              <w:jc w:val="right"/>
              <w:rPr>
                <w:lang w:eastAsia="en-AU"/>
              </w:rPr>
            </w:pPr>
            <w:r w:rsidRPr="0017763B">
              <w:t>2</w:t>
            </w:r>
          </w:p>
        </w:tc>
        <w:tc>
          <w:tcPr>
            <w:tcW w:w="641" w:type="pct"/>
          </w:tcPr>
          <w:p w14:paraId="714557A2" w14:textId="1F012752" w:rsidR="0056493A" w:rsidRPr="005A41A6" w:rsidRDefault="00252350" w:rsidP="0056493A">
            <w:pPr>
              <w:pStyle w:val="TableText"/>
              <w:jc w:val="right"/>
              <w:rPr>
                <w:lang w:eastAsia="en-AU"/>
              </w:rPr>
            </w:pPr>
            <w:r w:rsidRPr="0017763B">
              <w:t>1</w:t>
            </w:r>
          </w:p>
        </w:tc>
        <w:tc>
          <w:tcPr>
            <w:tcW w:w="641" w:type="pct"/>
          </w:tcPr>
          <w:p w14:paraId="0C3FD4DF" w14:textId="3F2F6550" w:rsidR="0056493A" w:rsidRPr="005A41A6" w:rsidRDefault="00252350" w:rsidP="0056493A">
            <w:pPr>
              <w:pStyle w:val="TableText"/>
              <w:jc w:val="right"/>
              <w:rPr>
                <w:lang w:eastAsia="en-AU"/>
              </w:rPr>
            </w:pPr>
            <w:r w:rsidRPr="0017763B">
              <w:t>1</w:t>
            </w:r>
          </w:p>
        </w:tc>
        <w:tc>
          <w:tcPr>
            <w:tcW w:w="641" w:type="pct"/>
          </w:tcPr>
          <w:p w14:paraId="07D61B99" w14:textId="195B8819" w:rsidR="0056493A" w:rsidRPr="005A41A6" w:rsidRDefault="00252350" w:rsidP="0056493A">
            <w:pPr>
              <w:pStyle w:val="TableText"/>
              <w:jc w:val="right"/>
              <w:rPr>
                <w:lang w:eastAsia="en-AU"/>
              </w:rPr>
            </w:pPr>
            <w:r w:rsidRPr="0017763B">
              <w:t>100</w:t>
            </w:r>
          </w:p>
        </w:tc>
        <w:tc>
          <w:tcPr>
            <w:tcW w:w="640" w:type="pct"/>
          </w:tcPr>
          <w:p w14:paraId="3BED72FB" w14:textId="5E1BE33F" w:rsidR="0056493A" w:rsidRPr="005A41A6" w:rsidRDefault="00252350" w:rsidP="0056493A">
            <w:pPr>
              <w:pStyle w:val="TableText"/>
              <w:jc w:val="right"/>
              <w:rPr>
                <w:lang w:eastAsia="en-AU"/>
              </w:rPr>
            </w:pPr>
            <w:r w:rsidRPr="0017763B">
              <w:t>0</w:t>
            </w:r>
          </w:p>
        </w:tc>
      </w:tr>
      <w:tr w:rsidR="006301DF" w:rsidRPr="005A41A6" w14:paraId="14F81A8B" w14:textId="77777777" w:rsidTr="005421F1">
        <w:tc>
          <w:tcPr>
            <w:tcW w:w="860" w:type="pct"/>
            <w:hideMark/>
          </w:tcPr>
          <w:p w14:paraId="61E7BD63" w14:textId="58E8281B" w:rsidR="0056493A" w:rsidRPr="005A41A6" w:rsidRDefault="006301DF" w:rsidP="0056493A">
            <w:pPr>
              <w:pStyle w:val="TableText"/>
              <w:rPr>
                <w:lang w:eastAsia="en-AU"/>
              </w:rPr>
            </w:pPr>
            <w:r>
              <w:rPr>
                <w:lang w:eastAsia="en-AU"/>
              </w:rPr>
              <w:t>Fees – o</w:t>
            </w:r>
            <w:r w:rsidR="0056493A" w:rsidRPr="005A41A6">
              <w:rPr>
                <w:lang w:eastAsia="en-AU"/>
              </w:rPr>
              <w:t>rganics</w:t>
            </w:r>
            <w:r w:rsidR="00C53DB4">
              <w:rPr>
                <w:lang w:eastAsia="en-AU"/>
              </w:rPr>
              <w:t> </w:t>
            </w:r>
            <w:r w:rsidR="0056493A" w:rsidRPr="005421F1">
              <w:rPr>
                <w:rStyle w:val="Strong"/>
              </w:rPr>
              <w:t>a</w:t>
            </w:r>
          </w:p>
        </w:tc>
        <w:tc>
          <w:tcPr>
            <w:tcW w:w="937" w:type="pct"/>
            <w:hideMark/>
          </w:tcPr>
          <w:p w14:paraId="12595BCE" w14:textId="2F268322" w:rsidR="0056493A" w:rsidRPr="005A41A6" w:rsidRDefault="0056493A" w:rsidP="0056493A">
            <w:pPr>
              <w:pStyle w:val="TableText"/>
              <w:rPr>
                <w:lang w:eastAsia="en-AU"/>
              </w:rPr>
            </w:pPr>
            <w:r w:rsidRPr="00E71E20">
              <w:t>Organic certifying organisation</w:t>
            </w:r>
          </w:p>
        </w:tc>
        <w:tc>
          <w:tcPr>
            <w:tcW w:w="640" w:type="pct"/>
            <w:hideMark/>
          </w:tcPr>
          <w:p w14:paraId="0923A357" w14:textId="79B0C879" w:rsidR="0056493A" w:rsidRPr="005A41A6" w:rsidRDefault="00252350" w:rsidP="0056493A">
            <w:pPr>
              <w:pStyle w:val="TableText"/>
              <w:jc w:val="right"/>
              <w:rPr>
                <w:lang w:eastAsia="en-AU"/>
              </w:rPr>
            </w:pPr>
            <w:r w:rsidRPr="0017763B">
              <w:t>1</w:t>
            </w:r>
          </w:p>
        </w:tc>
        <w:tc>
          <w:tcPr>
            <w:tcW w:w="641" w:type="pct"/>
            <w:hideMark/>
          </w:tcPr>
          <w:p w14:paraId="373DE83E" w14:textId="74DBD766" w:rsidR="0056493A" w:rsidRPr="005A41A6" w:rsidRDefault="00252350" w:rsidP="0056493A">
            <w:pPr>
              <w:pStyle w:val="TableText"/>
              <w:jc w:val="right"/>
              <w:rPr>
                <w:lang w:eastAsia="en-AU"/>
              </w:rPr>
            </w:pPr>
            <w:r w:rsidRPr="0017763B">
              <w:t>1</w:t>
            </w:r>
          </w:p>
        </w:tc>
        <w:tc>
          <w:tcPr>
            <w:tcW w:w="641" w:type="pct"/>
            <w:hideMark/>
          </w:tcPr>
          <w:p w14:paraId="5D036FBC" w14:textId="52B6DABF" w:rsidR="0056493A" w:rsidRPr="005A41A6" w:rsidRDefault="00064739" w:rsidP="0056493A">
            <w:pPr>
              <w:pStyle w:val="TableText"/>
              <w:jc w:val="right"/>
              <w:rPr>
                <w:lang w:eastAsia="en-AU"/>
              </w:rPr>
            </w:pPr>
            <w:r>
              <w:rPr>
                <w:lang w:eastAsia="en-AU"/>
              </w:rPr>
              <w:t>–</w:t>
            </w:r>
          </w:p>
        </w:tc>
        <w:tc>
          <w:tcPr>
            <w:tcW w:w="641" w:type="pct"/>
            <w:hideMark/>
          </w:tcPr>
          <w:p w14:paraId="67E257A3" w14:textId="3AB33E4F" w:rsidR="0056493A" w:rsidRPr="005A41A6" w:rsidRDefault="00064739" w:rsidP="0056493A">
            <w:pPr>
              <w:pStyle w:val="TableText"/>
              <w:jc w:val="right"/>
              <w:rPr>
                <w:lang w:eastAsia="en-AU"/>
              </w:rPr>
            </w:pPr>
            <w:r>
              <w:rPr>
                <w:lang w:eastAsia="en-AU"/>
              </w:rPr>
              <w:t>–</w:t>
            </w:r>
          </w:p>
        </w:tc>
        <w:tc>
          <w:tcPr>
            <w:tcW w:w="640" w:type="pct"/>
            <w:hideMark/>
          </w:tcPr>
          <w:p w14:paraId="7148E7F8" w14:textId="23AE61C7" w:rsidR="0056493A" w:rsidRPr="005A41A6" w:rsidRDefault="00252350" w:rsidP="0056493A">
            <w:pPr>
              <w:pStyle w:val="TableText"/>
              <w:jc w:val="right"/>
              <w:rPr>
                <w:lang w:eastAsia="en-AU"/>
              </w:rPr>
            </w:pPr>
            <w:r w:rsidRPr="0017763B">
              <w:t>1</w:t>
            </w:r>
          </w:p>
        </w:tc>
      </w:tr>
    </w:tbl>
    <w:p w14:paraId="0D1F0D4F" w14:textId="3F3814C2" w:rsidR="00DD2888" w:rsidRDefault="00C503D3" w:rsidP="00C503D3">
      <w:pPr>
        <w:pStyle w:val="FigureTableNoteSource"/>
      </w:pPr>
      <w:r w:rsidRPr="0011662A">
        <w:rPr>
          <w:rStyle w:val="Strong"/>
        </w:rPr>
        <w:t>a</w:t>
      </w:r>
      <w:r w:rsidRPr="000445FC">
        <w:t xml:space="preserve"> Organic certifiers support a small number of exporters in </w:t>
      </w:r>
      <w:r>
        <w:t>each</w:t>
      </w:r>
      <w:r w:rsidRPr="000445FC">
        <w:t xml:space="preserve"> export arrangement (excluding Live Animal Exports) </w:t>
      </w:r>
      <w:r>
        <w:t>with</w:t>
      </w:r>
      <w:r w:rsidRPr="000445FC">
        <w:t xml:space="preserve"> revenue and expense reflected </w:t>
      </w:r>
      <w:r w:rsidR="00AB315A">
        <w:t>i</w:t>
      </w:r>
      <w:r w:rsidRPr="000445FC">
        <w:t xml:space="preserve">n each </w:t>
      </w:r>
      <w:r>
        <w:t>arrangement</w:t>
      </w:r>
      <w:r w:rsidRPr="000445FC">
        <w:t>.</w:t>
      </w:r>
    </w:p>
    <w:p w14:paraId="599D4292" w14:textId="6EA7DB7A" w:rsidR="00CB33DD" w:rsidRPr="00CB33DD" w:rsidRDefault="00C503D3" w:rsidP="00123976">
      <w:pPr>
        <w:pStyle w:val="Caption"/>
        <w:pageBreakBefore/>
        <w:widowControl w:val="0"/>
      </w:pPr>
      <w:bookmarkStart w:id="28" w:name="_Ref173495800"/>
      <w:bookmarkStart w:id="29" w:name="_Toc173156463"/>
      <w:bookmarkStart w:id="30" w:name="_Toc174708417"/>
      <w:bookmarkStart w:id="31" w:name="_Toc180573273"/>
      <w:bookmarkStart w:id="32" w:name="_Toc220395928"/>
      <w:r>
        <w:lastRenderedPageBreak/>
        <w:t xml:space="preserve">Table </w:t>
      </w:r>
      <w:r>
        <w:fldChar w:fldCharType="begin"/>
      </w:r>
      <w:r>
        <w:instrText xml:space="preserve"> SEQ Table \* ARABIC </w:instrText>
      </w:r>
      <w:r>
        <w:fldChar w:fldCharType="separate"/>
      </w:r>
      <w:r w:rsidR="007D61E3">
        <w:rPr>
          <w:noProof/>
        </w:rPr>
        <w:t>3</w:t>
      </w:r>
      <w:r>
        <w:fldChar w:fldCharType="end"/>
      </w:r>
      <w:bookmarkEnd w:id="28"/>
      <w:r w:rsidRPr="00003BCC">
        <w:t xml:space="preserve"> </w:t>
      </w:r>
      <w:r>
        <w:t>Horticulture</w:t>
      </w:r>
      <w:r w:rsidR="009328FC">
        <w:t xml:space="preserve"> </w:t>
      </w:r>
      <w:r w:rsidR="008423CF">
        <w:t xml:space="preserve">export </w:t>
      </w:r>
      <w:r w:rsidR="009328FC">
        <w:t>revenue</w:t>
      </w:r>
      <w:r w:rsidR="006301DF">
        <w:t>,</w:t>
      </w:r>
      <w:r w:rsidR="009328FC">
        <w:t xml:space="preserve"> by charge point, </w:t>
      </w:r>
      <w:r>
        <w:t>2024</w:t>
      </w:r>
      <w:r w:rsidR="00CD4802">
        <w:t>–</w:t>
      </w:r>
      <w:r>
        <w:t>25</w:t>
      </w:r>
      <w:bookmarkEnd w:id="29"/>
      <w:bookmarkEnd w:id="30"/>
      <w:bookmarkEnd w:id="31"/>
      <w:bookmarkEnd w:id="32"/>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419"/>
        <w:gridCol w:w="2269"/>
        <w:gridCol w:w="1134"/>
        <w:gridCol w:w="1137"/>
        <w:gridCol w:w="992"/>
        <w:gridCol w:w="994"/>
        <w:gridCol w:w="1125"/>
      </w:tblGrid>
      <w:tr w:rsidR="00C503D3" w:rsidRPr="0054709C" w14:paraId="359E1418" w14:textId="77777777" w:rsidTr="00CD57CA">
        <w:trPr>
          <w:cantSplit/>
          <w:trHeight w:val="556"/>
          <w:tblHeader/>
        </w:trPr>
        <w:tc>
          <w:tcPr>
            <w:tcW w:w="782" w:type="pct"/>
            <w:hideMark/>
          </w:tcPr>
          <w:p w14:paraId="02715E2C" w14:textId="15ABAE1B" w:rsidR="00C503D3" w:rsidRPr="0054709C" w:rsidRDefault="00C503D3" w:rsidP="00AD5D18">
            <w:pPr>
              <w:pStyle w:val="TableHeading"/>
              <w:rPr>
                <w:lang w:eastAsia="en-AU"/>
              </w:rPr>
            </w:pPr>
            <w:bookmarkStart w:id="33" w:name="Title_3"/>
            <w:bookmarkEnd w:id="33"/>
            <w:r w:rsidRPr="0054709C">
              <w:rPr>
                <w:lang w:eastAsia="en-AU"/>
              </w:rPr>
              <w:t xml:space="preserve">Type of </w:t>
            </w:r>
            <w:r w:rsidR="001E2BF7">
              <w:rPr>
                <w:lang w:eastAsia="en-AU"/>
              </w:rPr>
              <w:t>c</w:t>
            </w:r>
            <w:r w:rsidRPr="0054709C">
              <w:rPr>
                <w:lang w:eastAsia="en-AU"/>
              </w:rPr>
              <w:t>harge</w:t>
            </w:r>
          </w:p>
        </w:tc>
        <w:tc>
          <w:tcPr>
            <w:tcW w:w="1251" w:type="pct"/>
            <w:hideMark/>
          </w:tcPr>
          <w:p w14:paraId="523679DA" w14:textId="77777777" w:rsidR="00C503D3" w:rsidRPr="0054709C" w:rsidRDefault="00C503D3" w:rsidP="00AD5D18">
            <w:pPr>
              <w:pStyle w:val="TableHeading"/>
              <w:rPr>
                <w:lang w:eastAsia="en-AU"/>
              </w:rPr>
            </w:pPr>
            <w:r w:rsidRPr="0054709C">
              <w:rPr>
                <w:lang w:eastAsia="en-AU"/>
              </w:rPr>
              <w:t>Cost recovery charges</w:t>
            </w:r>
          </w:p>
        </w:tc>
        <w:tc>
          <w:tcPr>
            <w:tcW w:w="625" w:type="pct"/>
            <w:hideMark/>
          </w:tcPr>
          <w:p w14:paraId="0EED7F0F" w14:textId="759596A8" w:rsidR="00C503D3" w:rsidRPr="0054709C" w:rsidRDefault="00A62D3F" w:rsidP="00BE1754">
            <w:pPr>
              <w:pStyle w:val="TableHeading"/>
              <w:jc w:val="right"/>
              <w:rPr>
                <w:lang w:eastAsia="en-AU"/>
              </w:rPr>
            </w:pPr>
            <w:r w:rsidRPr="00C20E4B">
              <w:t xml:space="preserve">Actual </w:t>
            </w:r>
            <w:r w:rsidR="009328FC">
              <w:t xml:space="preserve">revenue </w:t>
            </w:r>
            <w:r w:rsidRPr="00C20E4B">
              <w:t>($)</w:t>
            </w:r>
          </w:p>
        </w:tc>
        <w:tc>
          <w:tcPr>
            <w:tcW w:w="627" w:type="pct"/>
            <w:hideMark/>
          </w:tcPr>
          <w:p w14:paraId="48302B48" w14:textId="7642EBEA" w:rsidR="00C503D3" w:rsidRPr="0054709C" w:rsidRDefault="00A62D3F" w:rsidP="00BE1754">
            <w:pPr>
              <w:pStyle w:val="TableHeading"/>
              <w:jc w:val="right"/>
              <w:rPr>
                <w:lang w:eastAsia="en-AU"/>
              </w:rPr>
            </w:pPr>
            <w:r w:rsidRPr="00C20E4B">
              <w:t>Budget</w:t>
            </w:r>
            <w:r w:rsidR="004D3AD9">
              <w:t xml:space="preserve"> revenue </w:t>
            </w:r>
            <w:r w:rsidRPr="00C20E4B">
              <w:t>($)</w:t>
            </w:r>
          </w:p>
        </w:tc>
        <w:tc>
          <w:tcPr>
            <w:tcW w:w="547" w:type="pct"/>
            <w:hideMark/>
          </w:tcPr>
          <w:p w14:paraId="7AF931E9" w14:textId="7452AF17" w:rsidR="00C503D3" w:rsidRPr="0054709C" w:rsidRDefault="00A62D3F" w:rsidP="00BE1754">
            <w:pPr>
              <w:pStyle w:val="TableHeading"/>
              <w:jc w:val="right"/>
              <w:rPr>
                <w:lang w:eastAsia="en-AU"/>
              </w:rPr>
            </w:pPr>
            <w:r w:rsidRPr="00C20E4B">
              <w:t>Variance ($)</w:t>
            </w:r>
          </w:p>
        </w:tc>
        <w:tc>
          <w:tcPr>
            <w:tcW w:w="548" w:type="pct"/>
            <w:hideMark/>
          </w:tcPr>
          <w:p w14:paraId="44FC9FCB" w14:textId="7007C48D" w:rsidR="00C503D3" w:rsidRPr="00486714" w:rsidRDefault="00A62D3F" w:rsidP="00BE1754">
            <w:pPr>
              <w:pStyle w:val="TableHeading"/>
              <w:jc w:val="right"/>
              <w:rPr>
                <w:lang w:eastAsia="en-AU"/>
              </w:rPr>
            </w:pPr>
            <w:r w:rsidRPr="00486714">
              <w:t>Variance (%)</w:t>
            </w:r>
          </w:p>
        </w:tc>
        <w:tc>
          <w:tcPr>
            <w:tcW w:w="620" w:type="pct"/>
            <w:hideMark/>
          </w:tcPr>
          <w:p w14:paraId="2A8B1B2B" w14:textId="0609A2DE" w:rsidR="00C503D3" w:rsidRPr="00486714" w:rsidRDefault="00A62D3F" w:rsidP="00BE1754">
            <w:pPr>
              <w:pStyle w:val="TableHeading"/>
              <w:jc w:val="right"/>
              <w:rPr>
                <w:lang w:eastAsia="en-AU"/>
              </w:rPr>
            </w:pPr>
            <w:r w:rsidRPr="00486714">
              <w:t xml:space="preserve">CRIS </w:t>
            </w:r>
            <w:r w:rsidR="004D3AD9" w:rsidRPr="00486714">
              <w:t xml:space="preserve">estimated revenue </w:t>
            </w:r>
            <w:r w:rsidRPr="00486714">
              <w:t>($)</w:t>
            </w:r>
          </w:p>
        </w:tc>
      </w:tr>
      <w:tr w:rsidR="0056493A" w:rsidRPr="0054709C" w14:paraId="72FAABD1" w14:textId="77777777" w:rsidTr="00DB16E8">
        <w:trPr>
          <w:trHeight w:val="480"/>
          <w:tblHeader/>
        </w:trPr>
        <w:tc>
          <w:tcPr>
            <w:tcW w:w="782" w:type="pct"/>
            <w:vMerge w:val="restart"/>
            <w:hideMark/>
          </w:tcPr>
          <w:p w14:paraId="0C759D89" w14:textId="77777777" w:rsidR="0056493A" w:rsidRPr="0054709C" w:rsidRDefault="0056493A" w:rsidP="0056493A">
            <w:pPr>
              <w:pStyle w:val="TableText"/>
              <w:rPr>
                <w:lang w:eastAsia="en-AU"/>
              </w:rPr>
            </w:pPr>
            <w:r w:rsidRPr="0054709C">
              <w:rPr>
                <w:lang w:eastAsia="en-AU"/>
              </w:rPr>
              <w:t>Charges</w:t>
            </w:r>
          </w:p>
        </w:tc>
        <w:tc>
          <w:tcPr>
            <w:tcW w:w="1251" w:type="pct"/>
            <w:hideMark/>
          </w:tcPr>
          <w:p w14:paraId="172948D2" w14:textId="750C3D72" w:rsidR="0056493A" w:rsidRPr="0054709C" w:rsidRDefault="0056493A" w:rsidP="0056493A">
            <w:pPr>
              <w:pStyle w:val="TableText"/>
              <w:rPr>
                <w:lang w:eastAsia="en-AU"/>
              </w:rPr>
            </w:pPr>
            <w:r w:rsidRPr="00D95917">
              <w:t xml:space="preserve">Establishment registration </w:t>
            </w:r>
            <w:r w:rsidR="001E2BF7">
              <w:t>–</w:t>
            </w:r>
            <w:r w:rsidRPr="00D95917">
              <w:t xml:space="preserve"> grower or exporter</w:t>
            </w:r>
          </w:p>
        </w:tc>
        <w:tc>
          <w:tcPr>
            <w:tcW w:w="625" w:type="pct"/>
            <w:hideMark/>
          </w:tcPr>
          <w:p w14:paraId="25DB4EAC" w14:textId="21EB42D8" w:rsidR="0056493A" w:rsidRPr="0054709C" w:rsidRDefault="00281210" w:rsidP="0056493A">
            <w:pPr>
              <w:pStyle w:val="TableText"/>
              <w:jc w:val="right"/>
              <w:rPr>
                <w:lang w:eastAsia="en-AU"/>
              </w:rPr>
            </w:pPr>
            <w:r w:rsidRPr="00813BDF">
              <w:t>51,398</w:t>
            </w:r>
          </w:p>
        </w:tc>
        <w:tc>
          <w:tcPr>
            <w:tcW w:w="627" w:type="pct"/>
            <w:hideMark/>
          </w:tcPr>
          <w:p w14:paraId="6965E0AB" w14:textId="0EB3FB54" w:rsidR="0056493A" w:rsidRPr="0054709C" w:rsidRDefault="00281210" w:rsidP="0056493A">
            <w:pPr>
              <w:pStyle w:val="TableText"/>
              <w:jc w:val="right"/>
              <w:rPr>
                <w:lang w:eastAsia="en-AU"/>
              </w:rPr>
            </w:pPr>
            <w:r w:rsidRPr="00813BDF">
              <w:t>42,158</w:t>
            </w:r>
          </w:p>
        </w:tc>
        <w:tc>
          <w:tcPr>
            <w:tcW w:w="547" w:type="pct"/>
            <w:hideMark/>
          </w:tcPr>
          <w:p w14:paraId="0468E534" w14:textId="5CE69B63" w:rsidR="0056493A" w:rsidRPr="0054709C" w:rsidRDefault="00281210" w:rsidP="0056493A">
            <w:pPr>
              <w:pStyle w:val="TableText"/>
              <w:jc w:val="right"/>
              <w:rPr>
                <w:lang w:eastAsia="en-AU"/>
              </w:rPr>
            </w:pPr>
            <w:r w:rsidRPr="00813BDF">
              <w:t>9,240</w:t>
            </w:r>
          </w:p>
        </w:tc>
        <w:tc>
          <w:tcPr>
            <w:tcW w:w="548" w:type="pct"/>
            <w:hideMark/>
          </w:tcPr>
          <w:p w14:paraId="472DB0A4" w14:textId="6A6D4B92" w:rsidR="0056493A" w:rsidRPr="0054709C" w:rsidRDefault="00281210" w:rsidP="0056493A">
            <w:pPr>
              <w:pStyle w:val="TableText"/>
              <w:jc w:val="right"/>
              <w:rPr>
                <w:lang w:eastAsia="en-AU"/>
              </w:rPr>
            </w:pPr>
            <w:r w:rsidRPr="00813BDF">
              <w:t>22</w:t>
            </w:r>
          </w:p>
        </w:tc>
        <w:tc>
          <w:tcPr>
            <w:tcW w:w="620" w:type="pct"/>
            <w:hideMark/>
          </w:tcPr>
          <w:p w14:paraId="3EDE589F" w14:textId="7B6BAD70" w:rsidR="0056493A" w:rsidRPr="0054709C" w:rsidRDefault="00FE47BE" w:rsidP="0056493A">
            <w:pPr>
              <w:pStyle w:val="TableText"/>
              <w:jc w:val="right"/>
              <w:rPr>
                <w:lang w:eastAsia="en-AU"/>
              </w:rPr>
            </w:pPr>
            <w:r>
              <w:t>83,780</w:t>
            </w:r>
          </w:p>
        </w:tc>
      </w:tr>
      <w:tr w:rsidR="0056493A" w:rsidRPr="0054709C" w14:paraId="53241BA6" w14:textId="77777777" w:rsidTr="00DB16E8">
        <w:trPr>
          <w:trHeight w:val="300"/>
          <w:tblHeader/>
        </w:trPr>
        <w:tc>
          <w:tcPr>
            <w:tcW w:w="782" w:type="pct"/>
            <w:vMerge/>
            <w:hideMark/>
          </w:tcPr>
          <w:p w14:paraId="159E6BE3" w14:textId="77777777" w:rsidR="0056493A" w:rsidRPr="0054709C" w:rsidRDefault="0056493A" w:rsidP="0056493A">
            <w:pPr>
              <w:pStyle w:val="TableText"/>
              <w:rPr>
                <w:lang w:eastAsia="en-AU"/>
              </w:rPr>
            </w:pPr>
          </w:p>
        </w:tc>
        <w:tc>
          <w:tcPr>
            <w:tcW w:w="1251" w:type="pct"/>
            <w:hideMark/>
          </w:tcPr>
          <w:p w14:paraId="799D99C9" w14:textId="7DF90650" w:rsidR="0056493A" w:rsidRPr="0054709C" w:rsidRDefault="0056493A" w:rsidP="0056493A">
            <w:pPr>
              <w:pStyle w:val="TableText"/>
              <w:rPr>
                <w:lang w:eastAsia="en-AU"/>
              </w:rPr>
            </w:pPr>
            <w:r w:rsidRPr="00D95917">
              <w:t xml:space="preserve">Establishment registration </w:t>
            </w:r>
            <w:r w:rsidR="001E2BF7">
              <w:t>–</w:t>
            </w:r>
            <w:r w:rsidRPr="00D95917">
              <w:t xml:space="preserve"> simple</w:t>
            </w:r>
          </w:p>
        </w:tc>
        <w:tc>
          <w:tcPr>
            <w:tcW w:w="625" w:type="pct"/>
            <w:hideMark/>
          </w:tcPr>
          <w:p w14:paraId="2E21A84F" w14:textId="5C5DA74A" w:rsidR="0056493A" w:rsidRPr="0054709C" w:rsidRDefault="00281210" w:rsidP="0056493A">
            <w:pPr>
              <w:pStyle w:val="TableText"/>
              <w:jc w:val="right"/>
              <w:rPr>
                <w:lang w:eastAsia="en-AU"/>
              </w:rPr>
            </w:pPr>
            <w:r w:rsidRPr="00813BDF">
              <w:t>1,042,226</w:t>
            </w:r>
          </w:p>
        </w:tc>
        <w:tc>
          <w:tcPr>
            <w:tcW w:w="627" w:type="pct"/>
            <w:hideMark/>
          </w:tcPr>
          <w:p w14:paraId="5C42B4F1" w14:textId="0FE798E1" w:rsidR="0056493A" w:rsidRPr="0054709C" w:rsidRDefault="00281210" w:rsidP="0056493A">
            <w:pPr>
              <w:pStyle w:val="TableText"/>
              <w:jc w:val="right"/>
              <w:rPr>
                <w:lang w:eastAsia="en-AU"/>
              </w:rPr>
            </w:pPr>
            <w:r w:rsidRPr="00813BDF">
              <w:t>1,215,161</w:t>
            </w:r>
          </w:p>
        </w:tc>
        <w:tc>
          <w:tcPr>
            <w:tcW w:w="547" w:type="pct"/>
            <w:hideMark/>
          </w:tcPr>
          <w:p w14:paraId="06245E04" w14:textId="557428F1" w:rsidR="0056493A" w:rsidRPr="0054709C" w:rsidRDefault="00281210" w:rsidP="0056493A">
            <w:pPr>
              <w:pStyle w:val="TableText"/>
              <w:jc w:val="right"/>
              <w:rPr>
                <w:lang w:eastAsia="en-AU"/>
              </w:rPr>
            </w:pPr>
            <w:r w:rsidRPr="00813BDF">
              <w:t>(172,935)</w:t>
            </w:r>
          </w:p>
        </w:tc>
        <w:tc>
          <w:tcPr>
            <w:tcW w:w="548" w:type="pct"/>
            <w:hideMark/>
          </w:tcPr>
          <w:p w14:paraId="3C377879" w14:textId="64538562" w:rsidR="0056493A" w:rsidRPr="0054709C" w:rsidRDefault="00281210" w:rsidP="0056493A">
            <w:pPr>
              <w:pStyle w:val="TableText"/>
              <w:jc w:val="right"/>
              <w:rPr>
                <w:lang w:eastAsia="en-AU"/>
              </w:rPr>
            </w:pPr>
            <w:r w:rsidRPr="00813BDF">
              <w:t>(14)</w:t>
            </w:r>
          </w:p>
        </w:tc>
        <w:tc>
          <w:tcPr>
            <w:tcW w:w="620" w:type="pct"/>
            <w:hideMark/>
          </w:tcPr>
          <w:p w14:paraId="37159C90" w14:textId="7BC22F4E" w:rsidR="0056493A" w:rsidRPr="0054709C" w:rsidRDefault="00A93F39" w:rsidP="0056493A">
            <w:pPr>
              <w:pStyle w:val="TableText"/>
              <w:jc w:val="right"/>
              <w:rPr>
                <w:lang w:eastAsia="en-AU"/>
              </w:rPr>
            </w:pPr>
            <w:r>
              <w:t>896,800</w:t>
            </w:r>
          </w:p>
        </w:tc>
      </w:tr>
      <w:tr w:rsidR="0056493A" w:rsidRPr="0054709C" w14:paraId="65A112E8" w14:textId="77777777" w:rsidTr="00DB16E8">
        <w:trPr>
          <w:trHeight w:val="300"/>
          <w:tblHeader/>
        </w:trPr>
        <w:tc>
          <w:tcPr>
            <w:tcW w:w="782" w:type="pct"/>
            <w:vMerge/>
            <w:hideMark/>
          </w:tcPr>
          <w:p w14:paraId="2B459941" w14:textId="77777777" w:rsidR="0056493A" w:rsidRPr="0054709C" w:rsidRDefault="0056493A" w:rsidP="0056493A">
            <w:pPr>
              <w:pStyle w:val="TableText"/>
              <w:rPr>
                <w:lang w:eastAsia="en-AU"/>
              </w:rPr>
            </w:pPr>
          </w:p>
        </w:tc>
        <w:tc>
          <w:tcPr>
            <w:tcW w:w="1251" w:type="pct"/>
            <w:hideMark/>
          </w:tcPr>
          <w:p w14:paraId="2815264F" w14:textId="7330E6A7" w:rsidR="0056493A" w:rsidRPr="0054709C" w:rsidRDefault="0056493A" w:rsidP="0056493A">
            <w:pPr>
              <w:pStyle w:val="TableText"/>
              <w:rPr>
                <w:lang w:eastAsia="en-AU"/>
              </w:rPr>
            </w:pPr>
            <w:r w:rsidRPr="00D95917">
              <w:t xml:space="preserve">Establishment registration </w:t>
            </w:r>
            <w:r w:rsidR="001E2BF7">
              <w:t>–</w:t>
            </w:r>
            <w:r w:rsidRPr="00D95917">
              <w:t xml:space="preserve"> complex</w:t>
            </w:r>
          </w:p>
        </w:tc>
        <w:tc>
          <w:tcPr>
            <w:tcW w:w="625" w:type="pct"/>
            <w:hideMark/>
          </w:tcPr>
          <w:p w14:paraId="4E6B7A6B" w14:textId="7BD1E7B5" w:rsidR="0056493A" w:rsidRPr="0054709C" w:rsidRDefault="00281210" w:rsidP="0056493A">
            <w:pPr>
              <w:pStyle w:val="TableText"/>
              <w:jc w:val="right"/>
              <w:rPr>
                <w:lang w:eastAsia="en-AU"/>
              </w:rPr>
            </w:pPr>
            <w:r w:rsidRPr="00813BDF">
              <w:t>1,144,959</w:t>
            </w:r>
          </w:p>
        </w:tc>
        <w:tc>
          <w:tcPr>
            <w:tcW w:w="627" w:type="pct"/>
            <w:hideMark/>
          </w:tcPr>
          <w:p w14:paraId="0C442CEC" w14:textId="3EB30CD4" w:rsidR="0056493A" w:rsidRPr="0054709C" w:rsidRDefault="00281210" w:rsidP="0056493A">
            <w:pPr>
              <w:pStyle w:val="TableText"/>
              <w:jc w:val="right"/>
              <w:rPr>
                <w:lang w:eastAsia="en-AU"/>
              </w:rPr>
            </w:pPr>
            <w:r w:rsidRPr="00813BDF">
              <w:t>1,203,726</w:t>
            </w:r>
          </w:p>
        </w:tc>
        <w:tc>
          <w:tcPr>
            <w:tcW w:w="547" w:type="pct"/>
            <w:hideMark/>
          </w:tcPr>
          <w:p w14:paraId="2E7C093E" w14:textId="360D7DA5" w:rsidR="0056493A" w:rsidRPr="0054709C" w:rsidRDefault="00281210" w:rsidP="00086979">
            <w:pPr>
              <w:pStyle w:val="TableText"/>
              <w:jc w:val="right"/>
              <w:rPr>
                <w:lang w:eastAsia="en-AU"/>
              </w:rPr>
            </w:pPr>
            <w:r w:rsidRPr="00813BDF">
              <w:t>(58,767)</w:t>
            </w:r>
          </w:p>
        </w:tc>
        <w:tc>
          <w:tcPr>
            <w:tcW w:w="548" w:type="pct"/>
            <w:hideMark/>
          </w:tcPr>
          <w:p w14:paraId="677B4924" w14:textId="3E99E8DA" w:rsidR="0056493A" w:rsidRPr="0054709C" w:rsidRDefault="00281210" w:rsidP="0056493A">
            <w:pPr>
              <w:pStyle w:val="TableText"/>
              <w:jc w:val="right"/>
              <w:rPr>
                <w:lang w:eastAsia="en-AU"/>
              </w:rPr>
            </w:pPr>
            <w:r w:rsidRPr="00813BDF">
              <w:t>(5)</w:t>
            </w:r>
          </w:p>
        </w:tc>
        <w:tc>
          <w:tcPr>
            <w:tcW w:w="620" w:type="pct"/>
            <w:hideMark/>
          </w:tcPr>
          <w:p w14:paraId="7FB1DE10" w14:textId="60CDAB33" w:rsidR="0056493A" w:rsidRPr="0054709C" w:rsidRDefault="00A93F39" w:rsidP="0056493A">
            <w:pPr>
              <w:pStyle w:val="TableText"/>
              <w:jc w:val="right"/>
              <w:rPr>
                <w:lang w:eastAsia="en-AU"/>
              </w:rPr>
            </w:pPr>
            <w:r>
              <w:t>1,722,654</w:t>
            </w:r>
          </w:p>
        </w:tc>
      </w:tr>
      <w:tr w:rsidR="0056493A" w:rsidRPr="0054709C" w14:paraId="01197B28" w14:textId="77777777" w:rsidTr="00DB16E8">
        <w:trPr>
          <w:trHeight w:val="300"/>
          <w:tblHeader/>
        </w:trPr>
        <w:tc>
          <w:tcPr>
            <w:tcW w:w="782" w:type="pct"/>
            <w:vMerge/>
            <w:hideMark/>
          </w:tcPr>
          <w:p w14:paraId="6F5F3B4D" w14:textId="77777777" w:rsidR="0056493A" w:rsidRPr="0054709C" w:rsidRDefault="0056493A" w:rsidP="0056493A">
            <w:pPr>
              <w:pStyle w:val="TableText"/>
              <w:rPr>
                <w:lang w:eastAsia="en-AU"/>
              </w:rPr>
            </w:pPr>
          </w:p>
        </w:tc>
        <w:tc>
          <w:tcPr>
            <w:tcW w:w="1251" w:type="pct"/>
            <w:hideMark/>
          </w:tcPr>
          <w:p w14:paraId="3372DDD4" w14:textId="3D3764C2" w:rsidR="0056493A" w:rsidRPr="0054709C" w:rsidRDefault="0056493A" w:rsidP="0056493A">
            <w:pPr>
              <w:pStyle w:val="TableText"/>
              <w:rPr>
                <w:lang w:eastAsia="en-AU"/>
              </w:rPr>
            </w:pPr>
            <w:r w:rsidRPr="00D95917">
              <w:t>Authorised officer annual charge</w:t>
            </w:r>
          </w:p>
        </w:tc>
        <w:tc>
          <w:tcPr>
            <w:tcW w:w="625" w:type="pct"/>
            <w:hideMark/>
          </w:tcPr>
          <w:p w14:paraId="58B4D45F" w14:textId="30370C2C" w:rsidR="0056493A" w:rsidRPr="0054709C" w:rsidRDefault="00281210" w:rsidP="0056493A">
            <w:pPr>
              <w:pStyle w:val="TableText"/>
              <w:jc w:val="right"/>
              <w:rPr>
                <w:lang w:eastAsia="en-AU"/>
              </w:rPr>
            </w:pPr>
            <w:r w:rsidRPr="00813BDF">
              <w:t>261,478</w:t>
            </w:r>
          </w:p>
        </w:tc>
        <w:tc>
          <w:tcPr>
            <w:tcW w:w="627" w:type="pct"/>
            <w:hideMark/>
          </w:tcPr>
          <w:p w14:paraId="2C442FDB" w14:textId="4ADAB565" w:rsidR="0056493A" w:rsidRPr="0054709C" w:rsidRDefault="00281210" w:rsidP="0056493A">
            <w:pPr>
              <w:pStyle w:val="TableText"/>
              <w:jc w:val="right"/>
              <w:rPr>
                <w:lang w:eastAsia="en-AU"/>
              </w:rPr>
            </w:pPr>
            <w:r w:rsidRPr="00813BDF">
              <w:t>264,427</w:t>
            </w:r>
          </w:p>
        </w:tc>
        <w:tc>
          <w:tcPr>
            <w:tcW w:w="547" w:type="pct"/>
            <w:hideMark/>
          </w:tcPr>
          <w:p w14:paraId="4EECBB40" w14:textId="3186B8BB" w:rsidR="0056493A" w:rsidRPr="0054709C" w:rsidRDefault="00281210" w:rsidP="0056493A">
            <w:pPr>
              <w:pStyle w:val="TableText"/>
              <w:jc w:val="right"/>
              <w:rPr>
                <w:lang w:eastAsia="en-AU"/>
              </w:rPr>
            </w:pPr>
            <w:r w:rsidRPr="00813BDF">
              <w:t>(2,949)</w:t>
            </w:r>
          </w:p>
        </w:tc>
        <w:tc>
          <w:tcPr>
            <w:tcW w:w="548" w:type="pct"/>
            <w:hideMark/>
          </w:tcPr>
          <w:p w14:paraId="6AD86628" w14:textId="1869A6FE" w:rsidR="0056493A" w:rsidRPr="0054709C" w:rsidRDefault="00281210" w:rsidP="0056493A">
            <w:pPr>
              <w:pStyle w:val="TableText"/>
              <w:jc w:val="right"/>
              <w:rPr>
                <w:lang w:eastAsia="en-AU"/>
              </w:rPr>
            </w:pPr>
            <w:r w:rsidRPr="00813BDF">
              <w:t>(1)</w:t>
            </w:r>
          </w:p>
        </w:tc>
        <w:tc>
          <w:tcPr>
            <w:tcW w:w="620" w:type="pct"/>
            <w:hideMark/>
          </w:tcPr>
          <w:p w14:paraId="0AD3F98E" w14:textId="6DCAA89E" w:rsidR="0056493A" w:rsidRPr="0054709C" w:rsidRDefault="00A81C92" w:rsidP="0056493A">
            <w:pPr>
              <w:pStyle w:val="TableText"/>
              <w:jc w:val="right"/>
              <w:rPr>
                <w:lang w:eastAsia="en-AU"/>
              </w:rPr>
            </w:pPr>
            <w:r>
              <w:t>211,345</w:t>
            </w:r>
          </w:p>
        </w:tc>
      </w:tr>
      <w:tr w:rsidR="0056493A" w:rsidRPr="0054709C" w14:paraId="55FA9540" w14:textId="77777777" w:rsidTr="00DB16E8">
        <w:trPr>
          <w:trHeight w:val="300"/>
          <w:tblHeader/>
        </w:trPr>
        <w:tc>
          <w:tcPr>
            <w:tcW w:w="782" w:type="pct"/>
            <w:vMerge/>
            <w:hideMark/>
          </w:tcPr>
          <w:p w14:paraId="49965458" w14:textId="77777777" w:rsidR="0056493A" w:rsidRPr="0054709C" w:rsidRDefault="0056493A" w:rsidP="0056493A">
            <w:pPr>
              <w:pStyle w:val="TableText"/>
              <w:rPr>
                <w:lang w:eastAsia="en-AU"/>
              </w:rPr>
            </w:pPr>
          </w:p>
        </w:tc>
        <w:tc>
          <w:tcPr>
            <w:tcW w:w="1251" w:type="pct"/>
            <w:hideMark/>
          </w:tcPr>
          <w:p w14:paraId="272E9142" w14:textId="11213080" w:rsidR="0056493A" w:rsidRPr="0054709C" w:rsidRDefault="0056493A" w:rsidP="0056493A">
            <w:pPr>
              <w:pStyle w:val="TableText"/>
              <w:rPr>
                <w:lang w:eastAsia="en-AU"/>
              </w:rPr>
            </w:pPr>
            <w:r w:rsidRPr="00D95917">
              <w:t>Establishment application (one-off)</w:t>
            </w:r>
          </w:p>
        </w:tc>
        <w:tc>
          <w:tcPr>
            <w:tcW w:w="625" w:type="pct"/>
            <w:hideMark/>
          </w:tcPr>
          <w:p w14:paraId="40875563" w14:textId="681C9F20" w:rsidR="0056493A" w:rsidRPr="0054709C" w:rsidRDefault="00281210" w:rsidP="0056493A">
            <w:pPr>
              <w:pStyle w:val="TableText"/>
              <w:jc w:val="right"/>
              <w:rPr>
                <w:lang w:eastAsia="en-AU"/>
              </w:rPr>
            </w:pPr>
            <w:r w:rsidRPr="00813BDF">
              <w:t>16,521</w:t>
            </w:r>
          </w:p>
        </w:tc>
        <w:tc>
          <w:tcPr>
            <w:tcW w:w="627" w:type="pct"/>
            <w:hideMark/>
          </w:tcPr>
          <w:p w14:paraId="22E38A96" w14:textId="2D11738E" w:rsidR="0056493A" w:rsidRPr="0054709C" w:rsidRDefault="00281210" w:rsidP="0056493A">
            <w:pPr>
              <w:pStyle w:val="TableText"/>
              <w:jc w:val="right"/>
              <w:rPr>
                <w:lang w:eastAsia="en-AU"/>
              </w:rPr>
            </w:pPr>
            <w:r w:rsidRPr="00813BDF">
              <w:t>11,019</w:t>
            </w:r>
          </w:p>
        </w:tc>
        <w:tc>
          <w:tcPr>
            <w:tcW w:w="547" w:type="pct"/>
            <w:hideMark/>
          </w:tcPr>
          <w:p w14:paraId="0E486B3F" w14:textId="0AA05DD4" w:rsidR="0056493A" w:rsidRPr="0054709C" w:rsidRDefault="00281210" w:rsidP="0056493A">
            <w:pPr>
              <w:pStyle w:val="TableText"/>
              <w:jc w:val="right"/>
              <w:rPr>
                <w:lang w:eastAsia="en-AU"/>
              </w:rPr>
            </w:pPr>
            <w:r w:rsidRPr="00813BDF">
              <w:t>5,502</w:t>
            </w:r>
          </w:p>
        </w:tc>
        <w:tc>
          <w:tcPr>
            <w:tcW w:w="548" w:type="pct"/>
            <w:hideMark/>
          </w:tcPr>
          <w:p w14:paraId="0B46FFB2" w14:textId="36978EB1" w:rsidR="0056493A" w:rsidRPr="0054709C" w:rsidRDefault="00281210" w:rsidP="0056493A">
            <w:pPr>
              <w:pStyle w:val="TableText"/>
              <w:jc w:val="right"/>
              <w:rPr>
                <w:lang w:eastAsia="en-AU"/>
              </w:rPr>
            </w:pPr>
            <w:r w:rsidRPr="00813BDF">
              <w:t>50</w:t>
            </w:r>
          </w:p>
        </w:tc>
        <w:tc>
          <w:tcPr>
            <w:tcW w:w="620" w:type="pct"/>
            <w:hideMark/>
          </w:tcPr>
          <w:p w14:paraId="3DCBFECB" w14:textId="0B47A8BD" w:rsidR="0056493A" w:rsidRPr="0054709C" w:rsidRDefault="00A81C92" w:rsidP="0056493A">
            <w:pPr>
              <w:pStyle w:val="TableText"/>
              <w:jc w:val="right"/>
              <w:rPr>
                <w:lang w:eastAsia="en-AU"/>
              </w:rPr>
            </w:pPr>
            <w:r>
              <w:t>35,370</w:t>
            </w:r>
          </w:p>
        </w:tc>
      </w:tr>
      <w:tr w:rsidR="0056493A" w:rsidRPr="0054709C" w14:paraId="68461140" w14:textId="77777777" w:rsidTr="00DB16E8">
        <w:trPr>
          <w:trHeight w:val="300"/>
          <w:tblHeader/>
        </w:trPr>
        <w:tc>
          <w:tcPr>
            <w:tcW w:w="782" w:type="pct"/>
            <w:vMerge/>
            <w:hideMark/>
          </w:tcPr>
          <w:p w14:paraId="093C9A7C" w14:textId="77777777" w:rsidR="0056493A" w:rsidRPr="0054709C" w:rsidRDefault="0056493A" w:rsidP="0056493A">
            <w:pPr>
              <w:pStyle w:val="TableText"/>
              <w:rPr>
                <w:lang w:eastAsia="en-AU"/>
              </w:rPr>
            </w:pPr>
          </w:p>
        </w:tc>
        <w:tc>
          <w:tcPr>
            <w:tcW w:w="1251" w:type="pct"/>
            <w:hideMark/>
          </w:tcPr>
          <w:p w14:paraId="74FF3F8A" w14:textId="414E5460" w:rsidR="0056493A" w:rsidRPr="0054709C" w:rsidRDefault="0056493A" w:rsidP="0056493A">
            <w:pPr>
              <w:pStyle w:val="TableText"/>
              <w:rPr>
                <w:lang w:eastAsia="en-AU"/>
              </w:rPr>
            </w:pPr>
            <w:r w:rsidRPr="00D95917">
              <w:t>Phytosanitary certificate</w:t>
            </w:r>
          </w:p>
        </w:tc>
        <w:tc>
          <w:tcPr>
            <w:tcW w:w="625" w:type="pct"/>
            <w:hideMark/>
          </w:tcPr>
          <w:p w14:paraId="7F358FAF" w14:textId="38409DC9" w:rsidR="0056493A" w:rsidRPr="0054709C" w:rsidRDefault="00281210" w:rsidP="0056493A">
            <w:pPr>
              <w:pStyle w:val="TableText"/>
              <w:jc w:val="right"/>
              <w:rPr>
                <w:lang w:eastAsia="en-AU"/>
              </w:rPr>
            </w:pPr>
            <w:r w:rsidRPr="00813BDF">
              <w:t>3,057,145</w:t>
            </w:r>
          </w:p>
        </w:tc>
        <w:tc>
          <w:tcPr>
            <w:tcW w:w="627" w:type="pct"/>
            <w:hideMark/>
          </w:tcPr>
          <w:p w14:paraId="44D624D6" w14:textId="21F1F92B" w:rsidR="0056493A" w:rsidRPr="0054709C" w:rsidRDefault="00281210" w:rsidP="0056493A">
            <w:pPr>
              <w:pStyle w:val="TableText"/>
              <w:jc w:val="right"/>
              <w:rPr>
                <w:lang w:eastAsia="en-AU"/>
              </w:rPr>
            </w:pPr>
            <w:r w:rsidRPr="00813BDF">
              <w:t>3,014,941</w:t>
            </w:r>
          </w:p>
        </w:tc>
        <w:tc>
          <w:tcPr>
            <w:tcW w:w="547" w:type="pct"/>
            <w:hideMark/>
          </w:tcPr>
          <w:p w14:paraId="664FEDBF" w14:textId="032CB7FD" w:rsidR="0056493A" w:rsidRPr="0054709C" w:rsidRDefault="00281210" w:rsidP="0056493A">
            <w:pPr>
              <w:pStyle w:val="TableText"/>
              <w:jc w:val="right"/>
              <w:rPr>
                <w:lang w:eastAsia="en-AU"/>
              </w:rPr>
            </w:pPr>
            <w:r w:rsidRPr="00813BDF">
              <w:t>42,204</w:t>
            </w:r>
          </w:p>
        </w:tc>
        <w:tc>
          <w:tcPr>
            <w:tcW w:w="548" w:type="pct"/>
            <w:hideMark/>
          </w:tcPr>
          <w:p w14:paraId="2360A795" w14:textId="0826351C" w:rsidR="0056493A" w:rsidRPr="0054709C" w:rsidRDefault="00281210" w:rsidP="0056493A">
            <w:pPr>
              <w:pStyle w:val="TableText"/>
              <w:jc w:val="right"/>
              <w:rPr>
                <w:lang w:eastAsia="en-AU"/>
              </w:rPr>
            </w:pPr>
            <w:r w:rsidRPr="00813BDF">
              <w:t>1</w:t>
            </w:r>
          </w:p>
        </w:tc>
        <w:tc>
          <w:tcPr>
            <w:tcW w:w="620" w:type="pct"/>
            <w:hideMark/>
          </w:tcPr>
          <w:p w14:paraId="4E09C7E2" w14:textId="5BBA9F0E" w:rsidR="0056493A" w:rsidRPr="0054709C" w:rsidRDefault="00191AC7" w:rsidP="0056493A">
            <w:pPr>
              <w:pStyle w:val="TableText"/>
              <w:jc w:val="right"/>
              <w:rPr>
                <w:lang w:eastAsia="en-AU"/>
              </w:rPr>
            </w:pPr>
            <w:r>
              <w:t>3,050,100</w:t>
            </w:r>
          </w:p>
        </w:tc>
      </w:tr>
      <w:tr w:rsidR="0056493A" w:rsidRPr="0054709C" w14:paraId="76A6695F" w14:textId="77777777" w:rsidTr="00DB16E8">
        <w:trPr>
          <w:trHeight w:val="300"/>
          <w:tblHeader/>
        </w:trPr>
        <w:tc>
          <w:tcPr>
            <w:tcW w:w="782" w:type="pct"/>
            <w:vMerge/>
            <w:hideMark/>
          </w:tcPr>
          <w:p w14:paraId="6310B085" w14:textId="77777777" w:rsidR="0056493A" w:rsidRPr="0054709C" w:rsidRDefault="0056493A" w:rsidP="0056493A">
            <w:pPr>
              <w:pStyle w:val="TableText"/>
              <w:rPr>
                <w:lang w:eastAsia="en-AU"/>
              </w:rPr>
            </w:pPr>
          </w:p>
        </w:tc>
        <w:tc>
          <w:tcPr>
            <w:tcW w:w="1251" w:type="pct"/>
            <w:hideMark/>
          </w:tcPr>
          <w:p w14:paraId="1250CA37" w14:textId="7507B15A" w:rsidR="0056493A" w:rsidRPr="0054709C" w:rsidRDefault="0056493A" w:rsidP="0056493A">
            <w:pPr>
              <w:pStyle w:val="TableText"/>
              <w:rPr>
                <w:lang w:eastAsia="en-AU"/>
              </w:rPr>
            </w:pPr>
            <w:r w:rsidRPr="00D95917">
              <w:t>Export volume rate – non-protocol rate</w:t>
            </w:r>
          </w:p>
        </w:tc>
        <w:tc>
          <w:tcPr>
            <w:tcW w:w="625" w:type="pct"/>
            <w:hideMark/>
          </w:tcPr>
          <w:p w14:paraId="406A6909" w14:textId="44C50325" w:rsidR="0056493A" w:rsidRPr="0054709C" w:rsidRDefault="00281210" w:rsidP="0056493A">
            <w:pPr>
              <w:pStyle w:val="TableText"/>
              <w:jc w:val="right"/>
              <w:rPr>
                <w:lang w:eastAsia="en-AU"/>
              </w:rPr>
            </w:pPr>
            <w:r w:rsidRPr="00813BDF">
              <w:t>552,102</w:t>
            </w:r>
          </w:p>
        </w:tc>
        <w:tc>
          <w:tcPr>
            <w:tcW w:w="627" w:type="pct"/>
            <w:hideMark/>
          </w:tcPr>
          <w:p w14:paraId="4D4C5BEE" w14:textId="55168AE4" w:rsidR="0056493A" w:rsidRPr="0054709C" w:rsidRDefault="00281210" w:rsidP="0056493A">
            <w:pPr>
              <w:pStyle w:val="TableText"/>
              <w:jc w:val="right"/>
              <w:rPr>
                <w:lang w:eastAsia="en-AU"/>
              </w:rPr>
            </w:pPr>
            <w:r w:rsidRPr="00813BDF">
              <w:t>542,640</w:t>
            </w:r>
          </w:p>
        </w:tc>
        <w:tc>
          <w:tcPr>
            <w:tcW w:w="547" w:type="pct"/>
            <w:hideMark/>
          </w:tcPr>
          <w:p w14:paraId="056F9541" w14:textId="1AD1842D" w:rsidR="0056493A" w:rsidRPr="0054709C" w:rsidRDefault="00281210" w:rsidP="0056493A">
            <w:pPr>
              <w:pStyle w:val="TableText"/>
              <w:jc w:val="right"/>
              <w:rPr>
                <w:lang w:eastAsia="en-AU"/>
              </w:rPr>
            </w:pPr>
            <w:r w:rsidRPr="00813BDF">
              <w:t>9,462</w:t>
            </w:r>
          </w:p>
        </w:tc>
        <w:tc>
          <w:tcPr>
            <w:tcW w:w="548" w:type="pct"/>
            <w:hideMark/>
          </w:tcPr>
          <w:p w14:paraId="24BD7F49" w14:textId="0C590871" w:rsidR="0056493A" w:rsidRPr="0054709C" w:rsidRDefault="00281210" w:rsidP="0056493A">
            <w:pPr>
              <w:pStyle w:val="TableText"/>
              <w:jc w:val="right"/>
              <w:rPr>
                <w:lang w:eastAsia="en-AU"/>
              </w:rPr>
            </w:pPr>
            <w:r w:rsidRPr="00813BDF">
              <w:t>2</w:t>
            </w:r>
          </w:p>
        </w:tc>
        <w:tc>
          <w:tcPr>
            <w:tcW w:w="620" w:type="pct"/>
            <w:hideMark/>
          </w:tcPr>
          <w:p w14:paraId="14C8CE7E" w14:textId="37147F8C" w:rsidR="0056493A" w:rsidRPr="0054709C" w:rsidRDefault="00191AC7" w:rsidP="0056493A">
            <w:pPr>
              <w:pStyle w:val="TableText"/>
              <w:jc w:val="right"/>
              <w:rPr>
                <w:lang w:eastAsia="en-AU"/>
              </w:rPr>
            </w:pPr>
            <w:r>
              <w:t>59,284</w:t>
            </w:r>
          </w:p>
        </w:tc>
      </w:tr>
      <w:tr w:rsidR="0056493A" w:rsidRPr="0054709C" w14:paraId="1A749DE3" w14:textId="77777777" w:rsidTr="00DB16E8">
        <w:trPr>
          <w:trHeight w:val="315"/>
          <w:tblHeader/>
        </w:trPr>
        <w:tc>
          <w:tcPr>
            <w:tcW w:w="782" w:type="pct"/>
            <w:vMerge/>
            <w:hideMark/>
          </w:tcPr>
          <w:p w14:paraId="69256B27" w14:textId="77777777" w:rsidR="0056493A" w:rsidRPr="0054709C" w:rsidRDefault="0056493A" w:rsidP="0056493A">
            <w:pPr>
              <w:pStyle w:val="TableText"/>
              <w:rPr>
                <w:lang w:eastAsia="en-AU"/>
              </w:rPr>
            </w:pPr>
          </w:p>
        </w:tc>
        <w:tc>
          <w:tcPr>
            <w:tcW w:w="1251" w:type="pct"/>
            <w:hideMark/>
          </w:tcPr>
          <w:p w14:paraId="5B8CAAEE" w14:textId="7F582C0B" w:rsidR="0056493A" w:rsidRPr="0054709C" w:rsidRDefault="0056493A" w:rsidP="0056493A">
            <w:pPr>
              <w:pStyle w:val="TableText"/>
              <w:rPr>
                <w:lang w:eastAsia="en-AU"/>
              </w:rPr>
            </w:pPr>
            <w:r w:rsidRPr="00D95917">
              <w:t>Export volume rate – protocol rate</w:t>
            </w:r>
          </w:p>
        </w:tc>
        <w:tc>
          <w:tcPr>
            <w:tcW w:w="625" w:type="pct"/>
            <w:hideMark/>
          </w:tcPr>
          <w:p w14:paraId="3E865EA7" w14:textId="673428CA" w:rsidR="0056493A" w:rsidRPr="0054709C" w:rsidRDefault="00281210" w:rsidP="0056493A">
            <w:pPr>
              <w:pStyle w:val="TableText"/>
              <w:jc w:val="right"/>
              <w:rPr>
                <w:lang w:eastAsia="en-AU"/>
              </w:rPr>
            </w:pPr>
            <w:r w:rsidRPr="00813BDF">
              <w:t>746,518</w:t>
            </w:r>
          </w:p>
        </w:tc>
        <w:tc>
          <w:tcPr>
            <w:tcW w:w="627" w:type="pct"/>
            <w:hideMark/>
          </w:tcPr>
          <w:p w14:paraId="43E9FF9D" w14:textId="2A08DACC" w:rsidR="0056493A" w:rsidRPr="0054709C" w:rsidRDefault="00281210" w:rsidP="0056493A">
            <w:pPr>
              <w:pStyle w:val="TableText"/>
              <w:jc w:val="right"/>
              <w:rPr>
                <w:lang w:eastAsia="en-AU"/>
              </w:rPr>
            </w:pPr>
            <w:r w:rsidRPr="00813BDF">
              <w:t>763,896</w:t>
            </w:r>
          </w:p>
        </w:tc>
        <w:tc>
          <w:tcPr>
            <w:tcW w:w="547" w:type="pct"/>
            <w:hideMark/>
          </w:tcPr>
          <w:p w14:paraId="030006CD" w14:textId="4EA586A1" w:rsidR="0056493A" w:rsidRPr="0054709C" w:rsidRDefault="00281210" w:rsidP="0056493A">
            <w:pPr>
              <w:pStyle w:val="TableText"/>
              <w:jc w:val="right"/>
              <w:rPr>
                <w:lang w:eastAsia="en-AU"/>
              </w:rPr>
            </w:pPr>
            <w:r w:rsidRPr="00813BDF">
              <w:t>(17,378)</w:t>
            </w:r>
          </w:p>
        </w:tc>
        <w:tc>
          <w:tcPr>
            <w:tcW w:w="548" w:type="pct"/>
            <w:hideMark/>
          </w:tcPr>
          <w:p w14:paraId="33119501" w14:textId="3F2AB571" w:rsidR="0056493A" w:rsidRPr="0054709C" w:rsidRDefault="00281210" w:rsidP="0056493A">
            <w:pPr>
              <w:pStyle w:val="TableText"/>
              <w:jc w:val="right"/>
              <w:rPr>
                <w:lang w:eastAsia="en-AU"/>
              </w:rPr>
            </w:pPr>
            <w:r w:rsidRPr="00813BDF">
              <w:t>(2)</w:t>
            </w:r>
          </w:p>
        </w:tc>
        <w:tc>
          <w:tcPr>
            <w:tcW w:w="620" w:type="pct"/>
            <w:hideMark/>
          </w:tcPr>
          <w:p w14:paraId="448E197D" w14:textId="1DF24007" w:rsidR="0056493A" w:rsidRPr="0054709C" w:rsidRDefault="00EE50AE" w:rsidP="0056493A">
            <w:pPr>
              <w:pStyle w:val="TableText"/>
              <w:jc w:val="right"/>
              <w:rPr>
                <w:lang w:eastAsia="en-AU"/>
              </w:rPr>
            </w:pPr>
            <w:r>
              <w:t>732,792</w:t>
            </w:r>
          </w:p>
        </w:tc>
      </w:tr>
      <w:tr w:rsidR="0056493A" w:rsidRPr="0054709C" w14:paraId="4A86C2F2" w14:textId="77777777" w:rsidTr="00DB16E8">
        <w:trPr>
          <w:trHeight w:val="315"/>
          <w:tblHeader/>
        </w:trPr>
        <w:tc>
          <w:tcPr>
            <w:tcW w:w="782" w:type="pct"/>
            <w:vMerge/>
          </w:tcPr>
          <w:p w14:paraId="34AAC500" w14:textId="77777777" w:rsidR="0056493A" w:rsidRPr="0054709C" w:rsidRDefault="0056493A" w:rsidP="0056493A">
            <w:pPr>
              <w:pStyle w:val="TableText"/>
              <w:rPr>
                <w:lang w:eastAsia="en-AU"/>
              </w:rPr>
            </w:pPr>
          </w:p>
        </w:tc>
        <w:tc>
          <w:tcPr>
            <w:tcW w:w="1251" w:type="pct"/>
          </w:tcPr>
          <w:p w14:paraId="1654593C" w14:textId="7F62347B" w:rsidR="0056493A" w:rsidRPr="0054709C" w:rsidRDefault="0056493A" w:rsidP="0056493A">
            <w:pPr>
              <w:pStyle w:val="TableText"/>
              <w:rPr>
                <w:lang w:eastAsia="en-AU"/>
              </w:rPr>
            </w:pPr>
            <w:r w:rsidRPr="00D95917">
              <w:t>TRQ certificates</w:t>
            </w:r>
          </w:p>
        </w:tc>
        <w:tc>
          <w:tcPr>
            <w:tcW w:w="625" w:type="pct"/>
          </w:tcPr>
          <w:p w14:paraId="3CF00A2B" w14:textId="47288BDB" w:rsidR="0056493A" w:rsidRPr="0054709C" w:rsidRDefault="00281210" w:rsidP="0056493A">
            <w:pPr>
              <w:pStyle w:val="TableText"/>
              <w:jc w:val="right"/>
              <w:rPr>
                <w:lang w:eastAsia="en-AU"/>
              </w:rPr>
            </w:pPr>
            <w:r w:rsidRPr="00813BDF">
              <w:t>29,991</w:t>
            </w:r>
          </w:p>
        </w:tc>
        <w:tc>
          <w:tcPr>
            <w:tcW w:w="627" w:type="pct"/>
          </w:tcPr>
          <w:p w14:paraId="5FC2F660" w14:textId="798A3A5B" w:rsidR="0056493A" w:rsidRPr="0054709C" w:rsidRDefault="00281210" w:rsidP="0056493A">
            <w:pPr>
              <w:pStyle w:val="TableText"/>
              <w:jc w:val="right"/>
              <w:rPr>
                <w:lang w:eastAsia="en-AU"/>
              </w:rPr>
            </w:pPr>
            <w:r w:rsidRPr="00813BDF">
              <w:t>47,701</w:t>
            </w:r>
          </w:p>
        </w:tc>
        <w:tc>
          <w:tcPr>
            <w:tcW w:w="547" w:type="pct"/>
          </w:tcPr>
          <w:p w14:paraId="5572AA26" w14:textId="647F798E" w:rsidR="0056493A" w:rsidRPr="0054709C" w:rsidRDefault="00281210" w:rsidP="0056493A">
            <w:pPr>
              <w:pStyle w:val="TableText"/>
              <w:jc w:val="right"/>
              <w:rPr>
                <w:lang w:eastAsia="en-AU"/>
              </w:rPr>
            </w:pPr>
            <w:r w:rsidRPr="00813BDF">
              <w:t>(17,710)</w:t>
            </w:r>
          </w:p>
        </w:tc>
        <w:tc>
          <w:tcPr>
            <w:tcW w:w="548" w:type="pct"/>
          </w:tcPr>
          <w:p w14:paraId="2AF65583" w14:textId="09671DB2" w:rsidR="0056493A" w:rsidRPr="0054709C" w:rsidRDefault="00281210" w:rsidP="0056493A">
            <w:pPr>
              <w:pStyle w:val="TableText"/>
              <w:jc w:val="right"/>
              <w:rPr>
                <w:lang w:eastAsia="en-AU"/>
              </w:rPr>
            </w:pPr>
            <w:r w:rsidRPr="00813BDF">
              <w:t>(37)</w:t>
            </w:r>
          </w:p>
        </w:tc>
        <w:tc>
          <w:tcPr>
            <w:tcW w:w="620" w:type="pct"/>
          </w:tcPr>
          <w:p w14:paraId="473B5709" w14:textId="1F935AA8" w:rsidR="0056493A" w:rsidRPr="0054709C" w:rsidRDefault="00281210" w:rsidP="0056493A">
            <w:pPr>
              <w:pStyle w:val="TableText"/>
              <w:jc w:val="right"/>
              <w:rPr>
                <w:lang w:eastAsia="en-AU"/>
              </w:rPr>
            </w:pPr>
            <w:r w:rsidRPr="00813BDF">
              <w:t>0</w:t>
            </w:r>
          </w:p>
        </w:tc>
      </w:tr>
      <w:tr w:rsidR="003D240F" w:rsidRPr="007C6D51" w14:paraId="44109167" w14:textId="77777777" w:rsidTr="00DB16E8">
        <w:trPr>
          <w:trHeight w:val="315"/>
          <w:tblHeader/>
        </w:trPr>
        <w:tc>
          <w:tcPr>
            <w:tcW w:w="782" w:type="pct"/>
            <w:hideMark/>
          </w:tcPr>
          <w:p w14:paraId="06D9E044" w14:textId="77777777" w:rsidR="003D240F" w:rsidRPr="007C6D51" w:rsidRDefault="003D240F" w:rsidP="003D240F">
            <w:pPr>
              <w:pStyle w:val="TableText"/>
              <w:rPr>
                <w:rStyle w:val="Strong"/>
              </w:rPr>
            </w:pPr>
            <w:r w:rsidRPr="007C6D51">
              <w:rPr>
                <w:rStyle w:val="Strong"/>
              </w:rPr>
              <w:t>Total charges</w:t>
            </w:r>
          </w:p>
        </w:tc>
        <w:tc>
          <w:tcPr>
            <w:tcW w:w="1251" w:type="pct"/>
            <w:hideMark/>
          </w:tcPr>
          <w:p w14:paraId="6F7D3929" w14:textId="51C5BBE0" w:rsidR="003D240F" w:rsidRPr="005D0999" w:rsidRDefault="005D0999" w:rsidP="003D240F">
            <w:pPr>
              <w:pStyle w:val="TableText"/>
              <w:rPr>
                <w:rStyle w:val="Strong"/>
                <w:bCs w:val="0"/>
              </w:rPr>
            </w:pPr>
            <w:r w:rsidRPr="005D0999">
              <w:rPr>
                <w:rStyle w:val="Strong"/>
                <w:bCs w:val="0"/>
              </w:rPr>
              <w:t>–</w:t>
            </w:r>
          </w:p>
        </w:tc>
        <w:tc>
          <w:tcPr>
            <w:tcW w:w="625" w:type="pct"/>
            <w:hideMark/>
          </w:tcPr>
          <w:p w14:paraId="3206DD65" w14:textId="73099175" w:rsidR="003D240F" w:rsidRPr="00086979" w:rsidRDefault="00281210" w:rsidP="003D240F">
            <w:pPr>
              <w:pStyle w:val="TableText"/>
              <w:jc w:val="right"/>
              <w:rPr>
                <w:rStyle w:val="Strong"/>
                <w:b w:val="0"/>
              </w:rPr>
            </w:pPr>
            <w:r w:rsidRPr="00BE1754">
              <w:rPr>
                <w:b/>
                <w:bCs/>
              </w:rPr>
              <w:t>6,902,338</w:t>
            </w:r>
          </w:p>
        </w:tc>
        <w:tc>
          <w:tcPr>
            <w:tcW w:w="627" w:type="pct"/>
            <w:hideMark/>
          </w:tcPr>
          <w:p w14:paraId="4C683D23" w14:textId="511E18B5" w:rsidR="003D240F" w:rsidRPr="00086979" w:rsidRDefault="00281210" w:rsidP="003D240F">
            <w:pPr>
              <w:pStyle w:val="TableText"/>
              <w:jc w:val="right"/>
              <w:rPr>
                <w:rStyle w:val="Strong"/>
                <w:b w:val="0"/>
              </w:rPr>
            </w:pPr>
            <w:r w:rsidRPr="00BE1754">
              <w:rPr>
                <w:b/>
                <w:bCs/>
              </w:rPr>
              <w:t>7,105,669</w:t>
            </w:r>
          </w:p>
        </w:tc>
        <w:tc>
          <w:tcPr>
            <w:tcW w:w="547" w:type="pct"/>
            <w:hideMark/>
          </w:tcPr>
          <w:p w14:paraId="55FE5290" w14:textId="3ACC454D" w:rsidR="003D240F" w:rsidRPr="00086979" w:rsidRDefault="00DC6D1A" w:rsidP="003D240F">
            <w:pPr>
              <w:pStyle w:val="TableText"/>
              <w:jc w:val="right"/>
              <w:rPr>
                <w:rStyle w:val="Strong"/>
                <w:b w:val="0"/>
              </w:rPr>
            </w:pPr>
            <w:r w:rsidRPr="00BE1754">
              <w:rPr>
                <w:b/>
                <w:bCs/>
              </w:rPr>
              <w:t>(</w:t>
            </w:r>
            <w:r w:rsidR="00281210" w:rsidRPr="00BE1754">
              <w:rPr>
                <w:b/>
                <w:bCs/>
              </w:rPr>
              <w:t>203,331</w:t>
            </w:r>
            <w:r w:rsidRPr="006D4F4C">
              <w:rPr>
                <w:b/>
                <w:bCs/>
              </w:rPr>
              <w:t>)</w:t>
            </w:r>
          </w:p>
        </w:tc>
        <w:tc>
          <w:tcPr>
            <w:tcW w:w="548" w:type="pct"/>
            <w:hideMark/>
          </w:tcPr>
          <w:p w14:paraId="18B238E7" w14:textId="7854C0D9" w:rsidR="003D240F" w:rsidRPr="00086979" w:rsidRDefault="00281210" w:rsidP="003D240F">
            <w:pPr>
              <w:pStyle w:val="TableText"/>
              <w:jc w:val="right"/>
              <w:rPr>
                <w:rStyle w:val="Strong"/>
                <w:b w:val="0"/>
              </w:rPr>
            </w:pPr>
            <w:r w:rsidRPr="00BE1754">
              <w:rPr>
                <w:b/>
                <w:bCs/>
              </w:rPr>
              <w:t>(3)</w:t>
            </w:r>
          </w:p>
        </w:tc>
        <w:tc>
          <w:tcPr>
            <w:tcW w:w="620" w:type="pct"/>
            <w:hideMark/>
          </w:tcPr>
          <w:p w14:paraId="083DC08D" w14:textId="66DE3013" w:rsidR="003D240F" w:rsidRPr="00086979" w:rsidRDefault="004967E4" w:rsidP="003D240F">
            <w:pPr>
              <w:pStyle w:val="TableText"/>
              <w:jc w:val="right"/>
              <w:rPr>
                <w:rStyle w:val="Strong"/>
                <w:b w:val="0"/>
              </w:rPr>
            </w:pPr>
            <w:r>
              <w:rPr>
                <w:b/>
                <w:bCs/>
              </w:rPr>
              <w:t>6,792,125</w:t>
            </w:r>
          </w:p>
        </w:tc>
      </w:tr>
      <w:tr w:rsidR="001D2F3B" w:rsidRPr="0054709C" w14:paraId="0A6D8B6D" w14:textId="77777777" w:rsidTr="00DB16E8">
        <w:trPr>
          <w:trHeight w:val="300"/>
          <w:tblHeader/>
        </w:trPr>
        <w:tc>
          <w:tcPr>
            <w:tcW w:w="782" w:type="pct"/>
            <w:vMerge w:val="restart"/>
            <w:hideMark/>
          </w:tcPr>
          <w:p w14:paraId="4AA6EE64" w14:textId="77777777" w:rsidR="001D2F3B" w:rsidRPr="0054709C" w:rsidRDefault="001D2F3B" w:rsidP="001D2F3B">
            <w:pPr>
              <w:pStyle w:val="TableText"/>
              <w:rPr>
                <w:lang w:eastAsia="en-AU"/>
              </w:rPr>
            </w:pPr>
            <w:r w:rsidRPr="0054709C">
              <w:rPr>
                <w:lang w:eastAsia="en-AU"/>
              </w:rPr>
              <w:t>Fees – audit and inspection</w:t>
            </w:r>
          </w:p>
        </w:tc>
        <w:tc>
          <w:tcPr>
            <w:tcW w:w="1251" w:type="pct"/>
            <w:hideMark/>
          </w:tcPr>
          <w:p w14:paraId="0114413B" w14:textId="0CA71493" w:rsidR="001D2F3B" w:rsidRPr="0054709C" w:rsidRDefault="001D2F3B" w:rsidP="001D2F3B">
            <w:pPr>
              <w:pStyle w:val="TableText"/>
              <w:rPr>
                <w:lang w:eastAsia="en-AU"/>
              </w:rPr>
            </w:pPr>
            <w:r w:rsidRPr="00921744">
              <w:t>Audit</w:t>
            </w:r>
          </w:p>
        </w:tc>
        <w:tc>
          <w:tcPr>
            <w:tcW w:w="625" w:type="pct"/>
            <w:hideMark/>
          </w:tcPr>
          <w:p w14:paraId="0117322E" w14:textId="293374C8" w:rsidR="001D2F3B" w:rsidRPr="0054709C" w:rsidRDefault="00281210" w:rsidP="001D2F3B">
            <w:pPr>
              <w:pStyle w:val="TableText"/>
              <w:jc w:val="right"/>
              <w:rPr>
                <w:lang w:eastAsia="en-AU"/>
              </w:rPr>
            </w:pPr>
            <w:r w:rsidRPr="00813BDF">
              <w:t>752,502</w:t>
            </w:r>
          </w:p>
        </w:tc>
        <w:tc>
          <w:tcPr>
            <w:tcW w:w="627" w:type="pct"/>
            <w:hideMark/>
          </w:tcPr>
          <w:p w14:paraId="71ECB599" w14:textId="3613DB26" w:rsidR="001D2F3B" w:rsidRPr="0054709C" w:rsidRDefault="00281210" w:rsidP="001D2F3B">
            <w:pPr>
              <w:pStyle w:val="TableText"/>
              <w:jc w:val="right"/>
              <w:rPr>
                <w:lang w:eastAsia="en-AU"/>
              </w:rPr>
            </w:pPr>
            <w:r w:rsidRPr="00813BDF">
              <w:t>849,330</w:t>
            </w:r>
          </w:p>
        </w:tc>
        <w:tc>
          <w:tcPr>
            <w:tcW w:w="547" w:type="pct"/>
            <w:hideMark/>
          </w:tcPr>
          <w:p w14:paraId="20FF9E56" w14:textId="66773765" w:rsidR="001D2F3B" w:rsidRPr="0054709C" w:rsidRDefault="00281210" w:rsidP="001D2F3B">
            <w:pPr>
              <w:pStyle w:val="TableText"/>
              <w:jc w:val="right"/>
              <w:rPr>
                <w:lang w:eastAsia="en-AU"/>
              </w:rPr>
            </w:pPr>
            <w:r w:rsidRPr="00813BDF">
              <w:t>(96,828)</w:t>
            </w:r>
          </w:p>
        </w:tc>
        <w:tc>
          <w:tcPr>
            <w:tcW w:w="548" w:type="pct"/>
            <w:hideMark/>
          </w:tcPr>
          <w:p w14:paraId="096A1C31" w14:textId="0695138F" w:rsidR="001D2F3B" w:rsidRPr="0054709C" w:rsidRDefault="00281210" w:rsidP="001D2F3B">
            <w:pPr>
              <w:pStyle w:val="TableText"/>
              <w:jc w:val="right"/>
              <w:rPr>
                <w:lang w:eastAsia="en-AU"/>
              </w:rPr>
            </w:pPr>
            <w:r w:rsidRPr="00813BDF">
              <w:t>(11)</w:t>
            </w:r>
          </w:p>
        </w:tc>
        <w:tc>
          <w:tcPr>
            <w:tcW w:w="620" w:type="pct"/>
            <w:hideMark/>
          </w:tcPr>
          <w:p w14:paraId="46C83A33" w14:textId="40B8353D" w:rsidR="001D2F3B" w:rsidRPr="0054709C" w:rsidRDefault="00704055" w:rsidP="001D2F3B">
            <w:pPr>
              <w:pStyle w:val="TableText"/>
              <w:jc w:val="right"/>
              <w:rPr>
                <w:lang w:eastAsia="en-AU"/>
              </w:rPr>
            </w:pPr>
            <w:r>
              <w:t>858,079</w:t>
            </w:r>
          </w:p>
        </w:tc>
      </w:tr>
      <w:tr w:rsidR="001D2F3B" w:rsidRPr="0054709C" w14:paraId="397CA0E3" w14:textId="77777777" w:rsidTr="00DB16E8">
        <w:trPr>
          <w:trHeight w:val="300"/>
          <w:tblHeader/>
        </w:trPr>
        <w:tc>
          <w:tcPr>
            <w:tcW w:w="782" w:type="pct"/>
            <w:vMerge/>
            <w:hideMark/>
          </w:tcPr>
          <w:p w14:paraId="278A805C" w14:textId="77777777" w:rsidR="001D2F3B" w:rsidRPr="0054709C" w:rsidRDefault="001D2F3B" w:rsidP="001D2F3B">
            <w:pPr>
              <w:pStyle w:val="TableText"/>
              <w:rPr>
                <w:lang w:eastAsia="en-AU"/>
              </w:rPr>
            </w:pPr>
          </w:p>
        </w:tc>
        <w:tc>
          <w:tcPr>
            <w:tcW w:w="1251" w:type="pct"/>
            <w:hideMark/>
          </w:tcPr>
          <w:p w14:paraId="076AFFE6" w14:textId="17E6C1EC" w:rsidR="001D2F3B" w:rsidRPr="0054709C" w:rsidRDefault="001D2F3B" w:rsidP="001D2F3B">
            <w:pPr>
              <w:pStyle w:val="TableText"/>
              <w:rPr>
                <w:lang w:eastAsia="en-AU"/>
              </w:rPr>
            </w:pPr>
            <w:r w:rsidRPr="00921744">
              <w:t>Core inspection</w:t>
            </w:r>
          </w:p>
        </w:tc>
        <w:tc>
          <w:tcPr>
            <w:tcW w:w="625" w:type="pct"/>
            <w:hideMark/>
          </w:tcPr>
          <w:p w14:paraId="2EE7D00E" w14:textId="52DA93B2" w:rsidR="001D2F3B" w:rsidRPr="0054709C" w:rsidRDefault="00281210" w:rsidP="001D2F3B">
            <w:pPr>
              <w:pStyle w:val="TableText"/>
              <w:jc w:val="right"/>
              <w:rPr>
                <w:lang w:eastAsia="en-AU"/>
              </w:rPr>
            </w:pPr>
            <w:r w:rsidRPr="00813BDF">
              <w:t>26,918</w:t>
            </w:r>
          </w:p>
        </w:tc>
        <w:tc>
          <w:tcPr>
            <w:tcW w:w="627" w:type="pct"/>
            <w:hideMark/>
          </w:tcPr>
          <w:p w14:paraId="0E257717" w14:textId="266107BB" w:rsidR="001D2F3B" w:rsidRPr="0054709C" w:rsidRDefault="00281210" w:rsidP="001D2F3B">
            <w:pPr>
              <w:pStyle w:val="TableText"/>
              <w:jc w:val="right"/>
              <w:rPr>
                <w:lang w:eastAsia="en-AU"/>
              </w:rPr>
            </w:pPr>
            <w:r w:rsidRPr="00813BDF">
              <w:t>21,672</w:t>
            </w:r>
          </w:p>
        </w:tc>
        <w:tc>
          <w:tcPr>
            <w:tcW w:w="547" w:type="pct"/>
            <w:hideMark/>
          </w:tcPr>
          <w:p w14:paraId="4E566434" w14:textId="6CE101C3" w:rsidR="001D2F3B" w:rsidRPr="0054709C" w:rsidRDefault="00281210" w:rsidP="00BE1754">
            <w:pPr>
              <w:pStyle w:val="TableText"/>
              <w:jc w:val="right"/>
              <w:rPr>
                <w:lang w:eastAsia="en-AU"/>
              </w:rPr>
            </w:pPr>
            <w:r w:rsidRPr="00813BDF">
              <w:t>5,246</w:t>
            </w:r>
          </w:p>
        </w:tc>
        <w:tc>
          <w:tcPr>
            <w:tcW w:w="548" w:type="pct"/>
            <w:hideMark/>
          </w:tcPr>
          <w:p w14:paraId="634EF73B" w14:textId="1384C0E3" w:rsidR="001D2F3B" w:rsidRPr="0054709C" w:rsidRDefault="00281210" w:rsidP="001D2F3B">
            <w:pPr>
              <w:pStyle w:val="TableText"/>
              <w:jc w:val="right"/>
              <w:rPr>
                <w:lang w:eastAsia="en-AU"/>
              </w:rPr>
            </w:pPr>
            <w:r w:rsidRPr="00813BDF">
              <w:t>24</w:t>
            </w:r>
          </w:p>
        </w:tc>
        <w:tc>
          <w:tcPr>
            <w:tcW w:w="620" w:type="pct"/>
            <w:hideMark/>
          </w:tcPr>
          <w:p w14:paraId="676F7231" w14:textId="53712E4E" w:rsidR="001D2F3B" w:rsidRPr="0054709C" w:rsidRDefault="00B747A3" w:rsidP="001D2F3B">
            <w:pPr>
              <w:pStyle w:val="TableText"/>
              <w:jc w:val="right"/>
              <w:rPr>
                <w:lang w:eastAsia="en-AU"/>
              </w:rPr>
            </w:pPr>
            <w:r>
              <w:t>190,397</w:t>
            </w:r>
          </w:p>
        </w:tc>
      </w:tr>
      <w:tr w:rsidR="001D2F3B" w:rsidRPr="0054709C" w14:paraId="292CF6B1" w14:textId="77777777" w:rsidTr="00DB16E8">
        <w:trPr>
          <w:trHeight w:val="315"/>
          <w:tblHeader/>
        </w:trPr>
        <w:tc>
          <w:tcPr>
            <w:tcW w:w="782" w:type="pct"/>
            <w:vMerge/>
            <w:hideMark/>
          </w:tcPr>
          <w:p w14:paraId="7D34EB32" w14:textId="77777777" w:rsidR="001D2F3B" w:rsidRPr="0054709C" w:rsidRDefault="001D2F3B" w:rsidP="001D2F3B">
            <w:pPr>
              <w:pStyle w:val="TableText"/>
              <w:rPr>
                <w:lang w:eastAsia="en-AU"/>
              </w:rPr>
            </w:pPr>
          </w:p>
        </w:tc>
        <w:tc>
          <w:tcPr>
            <w:tcW w:w="1251" w:type="pct"/>
            <w:hideMark/>
          </w:tcPr>
          <w:p w14:paraId="722FC8FC" w14:textId="49141098" w:rsidR="001D2F3B" w:rsidRPr="0054709C" w:rsidRDefault="001D2F3B" w:rsidP="001D2F3B">
            <w:pPr>
              <w:pStyle w:val="TableText"/>
              <w:rPr>
                <w:lang w:eastAsia="en-AU"/>
              </w:rPr>
            </w:pPr>
            <w:r w:rsidRPr="00921744">
              <w:t>Additional inspection</w:t>
            </w:r>
          </w:p>
        </w:tc>
        <w:tc>
          <w:tcPr>
            <w:tcW w:w="625" w:type="pct"/>
            <w:hideMark/>
          </w:tcPr>
          <w:p w14:paraId="2E3E5413" w14:textId="0D8E6F09" w:rsidR="001D2F3B" w:rsidRPr="0054709C" w:rsidRDefault="00281210" w:rsidP="001D2F3B">
            <w:pPr>
              <w:pStyle w:val="TableText"/>
              <w:jc w:val="right"/>
              <w:rPr>
                <w:lang w:eastAsia="en-AU"/>
              </w:rPr>
            </w:pPr>
            <w:r w:rsidRPr="00813BDF">
              <w:t>30,772</w:t>
            </w:r>
          </w:p>
        </w:tc>
        <w:tc>
          <w:tcPr>
            <w:tcW w:w="627" w:type="pct"/>
            <w:hideMark/>
          </w:tcPr>
          <w:p w14:paraId="282C1F5E" w14:textId="2C467494" w:rsidR="001D2F3B" w:rsidRPr="0054709C" w:rsidRDefault="00281210" w:rsidP="001D2F3B">
            <w:pPr>
              <w:pStyle w:val="TableText"/>
              <w:jc w:val="right"/>
              <w:rPr>
                <w:lang w:eastAsia="en-AU"/>
              </w:rPr>
            </w:pPr>
            <w:r w:rsidRPr="00813BDF">
              <w:t>49,294</w:t>
            </w:r>
          </w:p>
        </w:tc>
        <w:tc>
          <w:tcPr>
            <w:tcW w:w="547" w:type="pct"/>
            <w:hideMark/>
          </w:tcPr>
          <w:p w14:paraId="3FBC110C" w14:textId="66E87CA9" w:rsidR="001D2F3B" w:rsidRPr="0054709C" w:rsidRDefault="00281210" w:rsidP="001D2F3B">
            <w:pPr>
              <w:pStyle w:val="TableText"/>
              <w:jc w:val="right"/>
              <w:rPr>
                <w:lang w:eastAsia="en-AU"/>
              </w:rPr>
            </w:pPr>
            <w:r w:rsidRPr="00813BDF">
              <w:t>(18,522)</w:t>
            </w:r>
          </w:p>
        </w:tc>
        <w:tc>
          <w:tcPr>
            <w:tcW w:w="548" w:type="pct"/>
            <w:hideMark/>
          </w:tcPr>
          <w:p w14:paraId="2CE6C02B" w14:textId="00034214" w:rsidR="001D2F3B" w:rsidRPr="0054709C" w:rsidRDefault="00281210" w:rsidP="001D2F3B">
            <w:pPr>
              <w:pStyle w:val="TableText"/>
              <w:jc w:val="right"/>
              <w:rPr>
                <w:lang w:eastAsia="en-AU"/>
              </w:rPr>
            </w:pPr>
            <w:r w:rsidRPr="00813BDF">
              <w:t>(38)</w:t>
            </w:r>
          </w:p>
        </w:tc>
        <w:tc>
          <w:tcPr>
            <w:tcW w:w="620" w:type="pct"/>
            <w:hideMark/>
          </w:tcPr>
          <w:p w14:paraId="2B66FE0D" w14:textId="21A66AB4" w:rsidR="001D2F3B" w:rsidRPr="0054709C" w:rsidRDefault="00281210" w:rsidP="001D2F3B">
            <w:pPr>
              <w:pStyle w:val="TableText"/>
              <w:jc w:val="right"/>
              <w:rPr>
                <w:lang w:eastAsia="en-AU"/>
              </w:rPr>
            </w:pPr>
            <w:r w:rsidRPr="00813BDF">
              <w:t>0</w:t>
            </w:r>
          </w:p>
        </w:tc>
      </w:tr>
      <w:tr w:rsidR="004D0676" w:rsidRPr="0054709C" w14:paraId="581F0432" w14:textId="77777777" w:rsidTr="00DB16E8">
        <w:trPr>
          <w:trHeight w:val="300"/>
          <w:tblHeader/>
        </w:trPr>
        <w:tc>
          <w:tcPr>
            <w:tcW w:w="782" w:type="pct"/>
            <w:vMerge w:val="restart"/>
            <w:hideMark/>
          </w:tcPr>
          <w:p w14:paraId="3D00A018" w14:textId="77777777" w:rsidR="004D0676" w:rsidRPr="0054709C" w:rsidRDefault="004D0676" w:rsidP="004D0676">
            <w:pPr>
              <w:pStyle w:val="TableText"/>
              <w:rPr>
                <w:lang w:eastAsia="en-AU"/>
              </w:rPr>
            </w:pPr>
            <w:r w:rsidRPr="0054709C">
              <w:rPr>
                <w:lang w:eastAsia="en-AU"/>
              </w:rPr>
              <w:t>Fees – documentation</w:t>
            </w:r>
          </w:p>
        </w:tc>
        <w:tc>
          <w:tcPr>
            <w:tcW w:w="1251" w:type="pct"/>
            <w:hideMark/>
          </w:tcPr>
          <w:p w14:paraId="5C0A909C" w14:textId="180AB536" w:rsidR="004D0676" w:rsidRPr="0054709C" w:rsidRDefault="004D0676" w:rsidP="004D0676">
            <w:pPr>
              <w:pStyle w:val="TableText"/>
              <w:rPr>
                <w:lang w:eastAsia="en-AU"/>
              </w:rPr>
            </w:pPr>
            <w:r w:rsidRPr="00241C36">
              <w:t xml:space="preserve">Document – </w:t>
            </w:r>
            <w:r w:rsidR="001E2BF7">
              <w:t>e</w:t>
            </w:r>
            <w:r w:rsidRPr="00241C36">
              <w:t>lectronic</w:t>
            </w:r>
          </w:p>
        </w:tc>
        <w:tc>
          <w:tcPr>
            <w:tcW w:w="625" w:type="pct"/>
            <w:hideMark/>
          </w:tcPr>
          <w:p w14:paraId="1C5A8CFC" w14:textId="0858335E" w:rsidR="004D0676" w:rsidRPr="0054709C" w:rsidRDefault="00281210" w:rsidP="004D0676">
            <w:pPr>
              <w:pStyle w:val="TableText"/>
              <w:jc w:val="right"/>
              <w:rPr>
                <w:lang w:eastAsia="en-AU"/>
              </w:rPr>
            </w:pPr>
            <w:r w:rsidRPr="00813BDF">
              <w:t>2,272,199</w:t>
            </w:r>
          </w:p>
        </w:tc>
        <w:tc>
          <w:tcPr>
            <w:tcW w:w="627" w:type="pct"/>
            <w:hideMark/>
          </w:tcPr>
          <w:p w14:paraId="58DF70FE" w14:textId="3AB74490" w:rsidR="004D0676" w:rsidRPr="0054709C" w:rsidRDefault="00281210" w:rsidP="004D0676">
            <w:pPr>
              <w:pStyle w:val="TableText"/>
              <w:jc w:val="right"/>
              <w:rPr>
                <w:lang w:eastAsia="en-AU"/>
              </w:rPr>
            </w:pPr>
            <w:r w:rsidRPr="00813BDF">
              <w:t>2,235,113</w:t>
            </w:r>
          </w:p>
        </w:tc>
        <w:tc>
          <w:tcPr>
            <w:tcW w:w="547" w:type="pct"/>
            <w:hideMark/>
          </w:tcPr>
          <w:p w14:paraId="0EFEAB20" w14:textId="5C953F85" w:rsidR="004D0676" w:rsidRPr="0054709C" w:rsidRDefault="00281210" w:rsidP="00BE1754">
            <w:pPr>
              <w:pStyle w:val="TableText"/>
              <w:jc w:val="right"/>
              <w:rPr>
                <w:lang w:eastAsia="en-AU"/>
              </w:rPr>
            </w:pPr>
            <w:r w:rsidRPr="00813BDF">
              <w:t>37,086</w:t>
            </w:r>
          </w:p>
        </w:tc>
        <w:tc>
          <w:tcPr>
            <w:tcW w:w="548" w:type="pct"/>
            <w:hideMark/>
          </w:tcPr>
          <w:p w14:paraId="5AF79ED9" w14:textId="3A0E7925" w:rsidR="004D0676" w:rsidRPr="0054709C" w:rsidRDefault="00281210" w:rsidP="004D0676">
            <w:pPr>
              <w:pStyle w:val="TableText"/>
              <w:jc w:val="right"/>
              <w:rPr>
                <w:lang w:eastAsia="en-AU"/>
              </w:rPr>
            </w:pPr>
            <w:r w:rsidRPr="00813BDF">
              <w:t>2</w:t>
            </w:r>
          </w:p>
        </w:tc>
        <w:tc>
          <w:tcPr>
            <w:tcW w:w="620" w:type="pct"/>
            <w:hideMark/>
          </w:tcPr>
          <w:p w14:paraId="6895DBD2" w14:textId="6EE0D171" w:rsidR="004D0676" w:rsidRPr="0054709C" w:rsidRDefault="00B747A3" w:rsidP="004D0676">
            <w:pPr>
              <w:pStyle w:val="TableText"/>
              <w:jc w:val="right"/>
              <w:rPr>
                <w:lang w:eastAsia="en-AU"/>
              </w:rPr>
            </w:pPr>
            <w:r>
              <w:t>2,680,920</w:t>
            </w:r>
          </w:p>
        </w:tc>
      </w:tr>
      <w:tr w:rsidR="004D0676" w:rsidRPr="0054709C" w14:paraId="34B74B90" w14:textId="77777777" w:rsidTr="00DB16E8">
        <w:trPr>
          <w:trHeight w:val="300"/>
          <w:tblHeader/>
        </w:trPr>
        <w:tc>
          <w:tcPr>
            <w:tcW w:w="782" w:type="pct"/>
            <w:vMerge/>
            <w:hideMark/>
          </w:tcPr>
          <w:p w14:paraId="38F0C423" w14:textId="77777777" w:rsidR="004D0676" w:rsidRPr="0054709C" w:rsidRDefault="004D0676" w:rsidP="004D0676">
            <w:pPr>
              <w:pStyle w:val="TableText"/>
              <w:rPr>
                <w:lang w:eastAsia="en-AU"/>
              </w:rPr>
            </w:pPr>
          </w:p>
        </w:tc>
        <w:tc>
          <w:tcPr>
            <w:tcW w:w="1251" w:type="pct"/>
            <w:hideMark/>
          </w:tcPr>
          <w:p w14:paraId="07A1419E" w14:textId="584A5D93" w:rsidR="004D0676" w:rsidRPr="0054709C" w:rsidRDefault="004D0676" w:rsidP="004D0676">
            <w:pPr>
              <w:pStyle w:val="TableText"/>
              <w:rPr>
                <w:lang w:eastAsia="en-AU"/>
              </w:rPr>
            </w:pPr>
            <w:r w:rsidRPr="00241C36">
              <w:t xml:space="preserve">Document – </w:t>
            </w:r>
            <w:r w:rsidR="001E2BF7">
              <w:t>m</w:t>
            </w:r>
            <w:r w:rsidRPr="00241C36">
              <w:t>anual</w:t>
            </w:r>
          </w:p>
        </w:tc>
        <w:tc>
          <w:tcPr>
            <w:tcW w:w="625" w:type="pct"/>
            <w:hideMark/>
          </w:tcPr>
          <w:p w14:paraId="505F0824" w14:textId="0A460EEB" w:rsidR="004D0676" w:rsidRPr="0054709C" w:rsidRDefault="00281210" w:rsidP="004D0676">
            <w:pPr>
              <w:pStyle w:val="TableText"/>
              <w:jc w:val="right"/>
              <w:rPr>
                <w:lang w:eastAsia="en-AU"/>
              </w:rPr>
            </w:pPr>
            <w:r w:rsidRPr="00813BDF">
              <w:t>3,206,078</w:t>
            </w:r>
          </w:p>
        </w:tc>
        <w:tc>
          <w:tcPr>
            <w:tcW w:w="627" w:type="pct"/>
            <w:hideMark/>
          </w:tcPr>
          <w:p w14:paraId="68C81A54" w14:textId="3CB70531" w:rsidR="004D0676" w:rsidRPr="0054709C" w:rsidRDefault="00281210" w:rsidP="004D0676">
            <w:pPr>
              <w:pStyle w:val="TableText"/>
              <w:jc w:val="right"/>
              <w:rPr>
                <w:lang w:eastAsia="en-AU"/>
              </w:rPr>
            </w:pPr>
            <w:r w:rsidRPr="00813BDF">
              <w:t>3,282,011</w:t>
            </w:r>
          </w:p>
        </w:tc>
        <w:tc>
          <w:tcPr>
            <w:tcW w:w="547" w:type="pct"/>
            <w:hideMark/>
          </w:tcPr>
          <w:p w14:paraId="5FA6ECC5" w14:textId="37F4C823" w:rsidR="004D0676" w:rsidRPr="0054709C" w:rsidRDefault="00281210" w:rsidP="00BE1754">
            <w:pPr>
              <w:pStyle w:val="TableText"/>
              <w:jc w:val="right"/>
              <w:rPr>
                <w:lang w:eastAsia="en-AU"/>
              </w:rPr>
            </w:pPr>
            <w:r w:rsidRPr="00813BDF">
              <w:t>(75,933)</w:t>
            </w:r>
          </w:p>
        </w:tc>
        <w:tc>
          <w:tcPr>
            <w:tcW w:w="548" w:type="pct"/>
            <w:hideMark/>
          </w:tcPr>
          <w:p w14:paraId="21D61CC2" w14:textId="44AECA98" w:rsidR="004D0676" w:rsidRPr="0054709C" w:rsidRDefault="00281210" w:rsidP="004D0676">
            <w:pPr>
              <w:pStyle w:val="TableText"/>
              <w:jc w:val="right"/>
              <w:rPr>
                <w:lang w:eastAsia="en-AU"/>
              </w:rPr>
            </w:pPr>
            <w:r w:rsidRPr="00813BDF">
              <w:t>(2)</w:t>
            </w:r>
          </w:p>
        </w:tc>
        <w:tc>
          <w:tcPr>
            <w:tcW w:w="620" w:type="pct"/>
            <w:hideMark/>
          </w:tcPr>
          <w:p w14:paraId="2E19F420" w14:textId="3ADB9575" w:rsidR="004D0676" w:rsidRPr="0054709C" w:rsidRDefault="00B747A3" w:rsidP="004D0676">
            <w:pPr>
              <w:pStyle w:val="TableText"/>
              <w:jc w:val="right"/>
              <w:rPr>
                <w:lang w:eastAsia="en-AU"/>
              </w:rPr>
            </w:pPr>
            <w:r>
              <w:t>531,900</w:t>
            </w:r>
          </w:p>
        </w:tc>
      </w:tr>
      <w:tr w:rsidR="004D0676" w:rsidRPr="0054709C" w14:paraId="213AC583" w14:textId="77777777" w:rsidTr="00DB16E8">
        <w:trPr>
          <w:trHeight w:val="300"/>
          <w:tblHeader/>
        </w:trPr>
        <w:tc>
          <w:tcPr>
            <w:tcW w:w="782" w:type="pct"/>
            <w:vMerge/>
            <w:hideMark/>
          </w:tcPr>
          <w:p w14:paraId="76DAA847" w14:textId="77777777" w:rsidR="004D0676" w:rsidRPr="0054709C" w:rsidRDefault="004D0676" w:rsidP="004D0676">
            <w:pPr>
              <w:pStyle w:val="TableText"/>
              <w:rPr>
                <w:lang w:eastAsia="en-AU"/>
              </w:rPr>
            </w:pPr>
          </w:p>
        </w:tc>
        <w:tc>
          <w:tcPr>
            <w:tcW w:w="1251" w:type="pct"/>
            <w:hideMark/>
          </w:tcPr>
          <w:p w14:paraId="3D76AB3F" w14:textId="2BEF96FA" w:rsidR="004D0676" w:rsidRPr="0054709C" w:rsidRDefault="004D0676" w:rsidP="004D0676">
            <w:pPr>
              <w:pStyle w:val="TableText"/>
              <w:rPr>
                <w:lang w:eastAsia="en-AU"/>
              </w:rPr>
            </w:pPr>
            <w:r w:rsidRPr="00241C36">
              <w:t>Replacement certificate</w:t>
            </w:r>
          </w:p>
        </w:tc>
        <w:tc>
          <w:tcPr>
            <w:tcW w:w="625" w:type="pct"/>
            <w:hideMark/>
          </w:tcPr>
          <w:p w14:paraId="0C9468AE" w14:textId="3B5D0E12" w:rsidR="004D0676" w:rsidRPr="0054709C" w:rsidRDefault="00281210" w:rsidP="004D0676">
            <w:pPr>
              <w:pStyle w:val="TableText"/>
              <w:jc w:val="right"/>
              <w:rPr>
                <w:lang w:eastAsia="en-AU"/>
              </w:rPr>
            </w:pPr>
            <w:r w:rsidRPr="00813BDF">
              <w:t>8,036</w:t>
            </w:r>
          </w:p>
        </w:tc>
        <w:tc>
          <w:tcPr>
            <w:tcW w:w="627" w:type="pct"/>
            <w:hideMark/>
          </w:tcPr>
          <w:p w14:paraId="3480980E" w14:textId="7BF18A06" w:rsidR="004D0676" w:rsidRPr="0054709C" w:rsidRDefault="00281210" w:rsidP="004D0676">
            <w:pPr>
              <w:pStyle w:val="TableText"/>
              <w:jc w:val="right"/>
              <w:rPr>
                <w:lang w:eastAsia="en-AU"/>
              </w:rPr>
            </w:pPr>
            <w:r w:rsidRPr="00813BDF">
              <w:t>13,202</w:t>
            </w:r>
          </w:p>
        </w:tc>
        <w:tc>
          <w:tcPr>
            <w:tcW w:w="547" w:type="pct"/>
            <w:hideMark/>
          </w:tcPr>
          <w:p w14:paraId="44561772" w14:textId="009F07EF" w:rsidR="004D0676" w:rsidRPr="0054709C" w:rsidRDefault="00281210" w:rsidP="004D0676">
            <w:pPr>
              <w:pStyle w:val="TableText"/>
              <w:jc w:val="right"/>
              <w:rPr>
                <w:lang w:eastAsia="en-AU"/>
              </w:rPr>
            </w:pPr>
            <w:r w:rsidRPr="00813BDF">
              <w:t>(5,166)</w:t>
            </w:r>
          </w:p>
        </w:tc>
        <w:tc>
          <w:tcPr>
            <w:tcW w:w="548" w:type="pct"/>
            <w:hideMark/>
          </w:tcPr>
          <w:p w14:paraId="35CE3965" w14:textId="6FFFFFB6" w:rsidR="004D0676" w:rsidRPr="0054709C" w:rsidRDefault="00281210" w:rsidP="004D0676">
            <w:pPr>
              <w:pStyle w:val="TableText"/>
              <w:jc w:val="right"/>
              <w:rPr>
                <w:lang w:eastAsia="en-AU"/>
              </w:rPr>
            </w:pPr>
            <w:r w:rsidRPr="00813BDF">
              <w:t>(39)</w:t>
            </w:r>
          </w:p>
        </w:tc>
        <w:tc>
          <w:tcPr>
            <w:tcW w:w="620" w:type="pct"/>
            <w:hideMark/>
          </w:tcPr>
          <w:p w14:paraId="437CAE62" w14:textId="72BAC8C1" w:rsidR="004D0676" w:rsidRPr="0054709C" w:rsidRDefault="006E1313" w:rsidP="004D0676">
            <w:pPr>
              <w:pStyle w:val="TableText"/>
              <w:jc w:val="right"/>
              <w:rPr>
                <w:lang w:eastAsia="en-AU"/>
              </w:rPr>
            </w:pPr>
            <w:r>
              <w:t>5,740</w:t>
            </w:r>
          </w:p>
        </w:tc>
      </w:tr>
      <w:tr w:rsidR="004D0676" w:rsidRPr="0054709C" w14:paraId="16A6146C" w14:textId="77777777" w:rsidTr="00DB16E8">
        <w:trPr>
          <w:trHeight w:val="300"/>
          <w:tblHeader/>
        </w:trPr>
        <w:tc>
          <w:tcPr>
            <w:tcW w:w="782" w:type="pct"/>
            <w:vMerge/>
            <w:hideMark/>
          </w:tcPr>
          <w:p w14:paraId="66B7F93F" w14:textId="77777777" w:rsidR="004D0676" w:rsidRPr="0054709C" w:rsidRDefault="004D0676" w:rsidP="004D0676">
            <w:pPr>
              <w:pStyle w:val="TableText"/>
              <w:rPr>
                <w:lang w:eastAsia="en-AU"/>
              </w:rPr>
            </w:pPr>
          </w:p>
        </w:tc>
        <w:tc>
          <w:tcPr>
            <w:tcW w:w="1251" w:type="pct"/>
            <w:hideMark/>
          </w:tcPr>
          <w:p w14:paraId="3AE1CABE" w14:textId="4B01E98C" w:rsidR="004D0676" w:rsidRPr="0054709C" w:rsidRDefault="004D0676" w:rsidP="004D0676">
            <w:pPr>
              <w:pStyle w:val="TableText"/>
              <w:rPr>
                <w:lang w:eastAsia="en-AU"/>
              </w:rPr>
            </w:pPr>
            <w:r w:rsidRPr="00241C36">
              <w:t>Outside ordinary hours</w:t>
            </w:r>
          </w:p>
        </w:tc>
        <w:tc>
          <w:tcPr>
            <w:tcW w:w="625" w:type="pct"/>
            <w:hideMark/>
          </w:tcPr>
          <w:p w14:paraId="032BA13C" w14:textId="1FBFC151" w:rsidR="004D0676" w:rsidRPr="0054709C" w:rsidRDefault="00281210" w:rsidP="004D0676">
            <w:pPr>
              <w:pStyle w:val="TableText"/>
              <w:jc w:val="right"/>
              <w:rPr>
                <w:lang w:eastAsia="en-AU"/>
              </w:rPr>
            </w:pPr>
            <w:r w:rsidRPr="00813BDF">
              <w:t>116,135</w:t>
            </w:r>
          </w:p>
        </w:tc>
        <w:tc>
          <w:tcPr>
            <w:tcW w:w="627" w:type="pct"/>
            <w:hideMark/>
          </w:tcPr>
          <w:p w14:paraId="3BD535D7" w14:textId="3C1FE016" w:rsidR="004D0676" w:rsidRPr="0054709C" w:rsidRDefault="00281210" w:rsidP="004D0676">
            <w:pPr>
              <w:pStyle w:val="TableText"/>
              <w:jc w:val="right"/>
              <w:rPr>
                <w:lang w:eastAsia="en-AU"/>
              </w:rPr>
            </w:pPr>
            <w:r w:rsidRPr="00813BDF">
              <w:t>32,835</w:t>
            </w:r>
          </w:p>
        </w:tc>
        <w:tc>
          <w:tcPr>
            <w:tcW w:w="547" w:type="pct"/>
            <w:hideMark/>
          </w:tcPr>
          <w:p w14:paraId="7D7F580A" w14:textId="1E523204" w:rsidR="004D0676" w:rsidRPr="0054709C" w:rsidRDefault="00281210" w:rsidP="004D0676">
            <w:pPr>
              <w:pStyle w:val="TableText"/>
              <w:jc w:val="right"/>
              <w:rPr>
                <w:lang w:eastAsia="en-AU"/>
              </w:rPr>
            </w:pPr>
            <w:r w:rsidRPr="00813BDF">
              <w:t>83,300</w:t>
            </w:r>
          </w:p>
        </w:tc>
        <w:tc>
          <w:tcPr>
            <w:tcW w:w="548" w:type="pct"/>
            <w:hideMark/>
          </w:tcPr>
          <w:p w14:paraId="19616DCC" w14:textId="34CE8DFA" w:rsidR="004D0676" w:rsidRPr="0054709C" w:rsidRDefault="00281210" w:rsidP="004D0676">
            <w:pPr>
              <w:pStyle w:val="TableText"/>
              <w:jc w:val="right"/>
              <w:rPr>
                <w:lang w:eastAsia="en-AU"/>
              </w:rPr>
            </w:pPr>
            <w:r w:rsidRPr="00813BDF">
              <w:t>&gt;100</w:t>
            </w:r>
          </w:p>
        </w:tc>
        <w:tc>
          <w:tcPr>
            <w:tcW w:w="620" w:type="pct"/>
            <w:hideMark/>
          </w:tcPr>
          <w:p w14:paraId="49BDEFD1" w14:textId="622AD722" w:rsidR="004D0676" w:rsidRPr="0054709C" w:rsidRDefault="00281210" w:rsidP="004D0676">
            <w:pPr>
              <w:pStyle w:val="TableText"/>
              <w:jc w:val="right"/>
              <w:rPr>
                <w:lang w:eastAsia="en-AU"/>
              </w:rPr>
            </w:pPr>
            <w:r w:rsidRPr="00813BDF">
              <w:t>0</w:t>
            </w:r>
          </w:p>
        </w:tc>
      </w:tr>
      <w:tr w:rsidR="004D0676" w:rsidRPr="0054709C" w14:paraId="097BB8F8" w14:textId="77777777" w:rsidTr="00DB16E8">
        <w:trPr>
          <w:trHeight w:val="315"/>
          <w:tblHeader/>
        </w:trPr>
        <w:tc>
          <w:tcPr>
            <w:tcW w:w="782" w:type="pct"/>
            <w:vMerge/>
            <w:hideMark/>
          </w:tcPr>
          <w:p w14:paraId="7C6A317F" w14:textId="77777777" w:rsidR="004D0676" w:rsidRPr="0054709C" w:rsidRDefault="004D0676" w:rsidP="004D0676">
            <w:pPr>
              <w:pStyle w:val="TableText"/>
              <w:rPr>
                <w:lang w:eastAsia="en-AU"/>
              </w:rPr>
            </w:pPr>
          </w:p>
        </w:tc>
        <w:tc>
          <w:tcPr>
            <w:tcW w:w="1251" w:type="pct"/>
            <w:hideMark/>
          </w:tcPr>
          <w:p w14:paraId="10F9D32B" w14:textId="26AC51F1" w:rsidR="004D0676" w:rsidRPr="0054709C" w:rsidRDefault="004D0676" w:rsidP="004D0676">
            <w:pPr>
              <w:pStyle w:val="TableText"/>
              <w:rPr>
                <w:lang w:eastAsia="en-AU"/>
              </w:rPr>
            </w:pPr>
            <w:r w:rsidRPr="00241C36">
              <w:t>TRQ certificates</w:t>
            </w:r>
          </w:p>
        </w:tc>
        <w:tc>
          <w:tcPr>
            <w:tcW w:w="625" w:type="pct"/>
            <w:hideMark/>
          </w:tcPr>
          <w:p w14:paraId="5B26E02D" w14:textId="1AF1F150" w:rsidR="004D0676" w:rsidRPr="0054709C" w:rsidRDefault="00281210" w:rsidP="004D0676">
            <w:pPr>
              <w:pStyle w:val="TableText"/>
              <w:jc w:val="right"/>
              <w:rPr>
                <w:lang w:eastAsia="en-AU"/>
              </w:rPr>
            </w:pPr>
            <w:r w:rsidRPr="00813BDF">
              <w:t>26,732</w:t>
            </w:r>
          </w:p>
        </w:tc>
        <w:tc>
          <w:tcPr>
            <w:tcW w:w="627" w:type="pct"/>
            <w:hideMark/>
          </w:tcPr>
          <w:p w14:paraId="7D730A17" w14:textId="3328284A" w:rsidR="004D0676" w:rsidRPr="0054709C" w:rsidRDefault="00281210" w:rsidP="004D0676">
            <w:pPr>
              <w:pStyle w:val="TableText"/>
              <w:jc w:val="right"/>
              <w:rPr>
                <w:lang w:eastAsia="en-AU"/>
              </w:rPr>
            </w:pPr>
            <w:r w:rsidRPr="00813BDF">
              <w:t>42,517</w:t>
            </w:r>
          </w:p>
        </w:tc>
        <w:tc>
          <w:tcPr>
            <w:tcW w:w="547" w:type="pct"/>
            <w:hideMark/>
          </w:tcPr>
          <w:p w14:paraId="41571C33" w14:textId="269E67CA" w:rsidR="004D0676" w:rsidRPr="0054709C" w:rsidRDefault="00281210" w:rsidP="004D0676">
            <w:pPr>
              <w:pStyle w:val="TableText"/>
              <w:jc w:val="right"/>
              <w:rPr>
                <w:lang w:eastAsia="en-AU"/>
              </w:rPr>
            </w:pPr>
            <w:r w:rsidRPr="00813BDF">
              <w:t>(15,785)</w:t>
            </w:r>
          </w:p>
        </w:tc>
        <w:tc>
          <w:tcPr>
            <w:tcW w:w="548" w:type="pct"/>
            <w:hideMark/>
          </w:tcPr>
          <w:p w14:paraId="45E1B681" w14:textId="2600801C" w:rsidR="004D0676" w:rsidRPr="0054709C" w:rsidRDefault="00281210" w:rsidP="004D0676">
            <w:pPr>
              <w:pStyle w:val="TableText"/>
              <w:jc w:val="right"/>
              <w:rPr>
                <w:lang w:eastAsia="en-AU"/>
              </w:rPr>
            </w:pPr>
            <w:r w:rsidRPr="00813BDF">
              <w:t>(37)</w:t>
            </w:r>
          </w:p>
        </w:tc>
        <w:tc>
          <w:tcPr>
            <w:tcW w:w="620" w:type="pct"/>
            <w:hideMark/>
          </w:tcPr>
          <w:p w14:paraId="7F2354DE" w14:textId="109607E4" w:rsidR="004D0676" w:rsidRPr="0054709C" w:rsidRDefault="00281210" w:rsidP="004D0676">
            <w:pPr>
              <w:pStyle w:val="TableText"/>
              <w:jc w:val="right"/>
              <w:rPr>
                <w:lang w:eastAsia="en-AU"/>
              </w:rPr>
            </w:pPr>
            <w:r w:rsidRPr="00813BDF">
              <w:t>0</w:t>
            </w:r>
          </w:p>
        </w:tc>
      </w:tr>
      <w:tr w:rsidR="004D0676" w:rsidRPr="0054709C" w14:paraId="34EB1C8D" w14:textId="77777777" w:rsidTr="00DB16E8">
        <w:trPr>
          <w:trHeight w:val="300"/>
          <w:tblHeader/>
        </w:trPr>
        <w:tc>
          <w:tcPr>
            <w:tcW w:w="782" w:type="pct"/>
            <w:vMerge w:val="restart"/>
            <w:hideMark/>
          </w:tcPr>
          <w:p w14:paraId="6A73C05B" w14:textId="28B25164" w:rsidR="004D0676" w:rsidRPr="0054709C" w:rsidRDefault="004D0676" w:rsidP="004D0676">
            <w:pPr>
              <w:pStyle w:val="TableText"/>
              <w:rPr>
                <w:lang w:eastAsia="en-AU"/>
              </w:rPr>
            </w:pPr>
            <w:r w:rsidRPr="0054709C">
              <w:rPr>
                <w:lang w:eastAsia="en-AU"/>
              </w:rPr>
              <w:t xml:space="preserve">Fees – </w:t>
            </w:r>
            <w:r w:rsidR="001E2BF7">
              <w:rPr>
                <w:lang w:eastAsia="en-AU"/>
              </w:rPr>
              <w:t>a</w:t>
            </w:r>
            <w:r w:rsidRPr="0054709C">
              <w:rPr>
                <w:lang w:eastAsia="en-AU"/>
              </w:rPr>
              <w:t xml:space="preserve">uthorised </w:t>
            </w:r>
            <w:r w:rsidR="001E2BF7">
              <w:rPr>
                <w:lang w:eastAsia="en-AU"/>
              </w:rPr>
              <w:t>o</w:t>
            </w:r>
            <w:r w:rsidRPr="0054709C">
              <w:rPr>
                <w:lang w:eastAsia="en-AU"/>
              </w:rPr>
              <w:t>fficer</w:t>
            </w:r>
          </w:p>
        </w:tc>
        <w:tc>
          <w:tcPr>
            <w:tcW w:w="1251" w:type="pct"/>
            <w:hideMark/>
          </w:tcPr>
          <w:p w14:paraId="75A76116" w14:textId="3BD06391" w:rsidR="004D0676" w:rsidRPr="0054709C" w:rsidRDefault="004D0676" w:rsidP="004D0676">
            <w:pPr>
              <w:pStyle w:val="TableText"/>
              <w:rPr>
                <w:lang w:eastAsia="en-AU"/>
              </w:rPr>
            </w:pPr>
            <w:r w:rsidRPr="008A5339">
              <w:t>Authorised officer application fee</w:t>
            </w:r>
          </w:p>
        </w:tc>
        <w:tc>
          <w:tcPr>
            <w:tcW w:w="625" w:type="pct"/>
            <w:hideMark/>
          </w:tcPr>
          <w:p w14:paraId="314476C3" w14:textId="7D897796" w:rsidR="004D0676" w:rsidRPr="0054709C" w:rsidRDefault="00281210" w:rsidP="004D0676">
            <w:pPr>
              <w:pStyle w:val="TableText"/>
              <w:jc w:val="right"/>
              <w:rPr>
                <w:lang w:eastAsia="en-AU"/>
              </w:rPr>
            </w:pPr>
            <w:r w:rsidRPr="00813BDF">
              <w:t>18,040</w:t>
            </w:r>
          </w:p>
        </w:tc>
        <w:tc>
          <w:tcPr>
            <w:tcW w:w="627" w:type="pct"/>
            <w:hideMark/>
          </w:tcPr>
          <w:p w14:paraId="2A8CF4BA" w14:textId="1DBDC07D" w:rsidR="004D0676" w:rsidRPr="0054709C" w:rsidRDefault="00281210" w:rsidP="004D0676">
            <w:pPr>
              <w:pStyle w:val="TableText"/>
              <w:jc w:val="right"/>
              <w:rPr>
                <w:lang w:eastAsia="en-AU"/>
              </w:rPr>
            </w:pPr>
            <w:r w:rsidRPr="00813BDF">
              <w:t>20,992</w:t>
            </w:r>
          </w:p>
        </w:tc>
        <w:tc>
          <w:tcPr>
            <w:tcW w:w="547" w:type="pct"/>
            <w:hideMark/>
          </w:tcPr>
          <w:p w14:paraId="7C954DE5" w14:textId="5BE92B7D" w:rsidR="004D0676" w:rsidRPr="0054709C" w:rsidRDefault="00281210" w:rsidP="004D0676">
            <w:pPr>
              <w:pStyle w:val="TableText"/>
              <w:jc w:val="right"/>
              <w:rPr>
                <w:lang w:eastAsia="en-AU"/>
              </w:rPr>
            </w:pPr>
            <w:r w:rsidRPr="00813BDF">
              <w:t>(2,952)</w:t>
            </w:r>
          </w:p>
        </w:tc>
        <w:tc>
          <w:tcPr>
            <w:tcW w:w="548" w:type="pct"/>
            <w:hideMark/>
          </w:tcPr>
          <w:p w14:paraId="06DA5197" w14:textId="1B36432A" w:rsidR="004D0676" w:rsidRPr="0054709C" w:rsidRDefault="00281210" w:rsidP="004D0676">
            <w:pPr>
              <w:pStyle w:val="TableText"/>
              <w:jc w:val="right"/>
              <w:rPr>
                <w:lang w:eastAsia="en-AU"/>
              </w:rPr>
            </w:pPr>
            <w:r w:rsidRPr="00813BDF">
              <w:t>(14)</w:t>
            </w:r>
          </w:p>
        </w:tc>
        <w:tc>
          <w:tcPr>
            <w:tcW w:w="620" w:type="pct"/>
            <w:hideMark/>
          </w:tcPr>
          <w:p w14:paraId="0078CA07" w14:textId="6B4AFC19" w:rsidR="004D0676" w:rsidRPr="0054709C" w:rsidRDefault="006E1313" w:rsidP="004D0676">
            <w:pPr>
              <w:pStyle w:val="TableText"/>
              <w:jc w:val="right"/>
              <w:rPr>
                <w:lang w:eastAsia="en-AU"/>
              </w:rPr>
            </w:pPr>
            <w:r>
              <w:t>14,760</w:t>
            </w:r>
          </w:p>
        </w:tc>
      </w:tr>
      <w:tr w:rsidR="004D0676" w:rsidRPr="0054709C" w14:paraId="34211ED5" w14:textId="77777777" w:rsidTr="00DB16E8">
        <w:trPr>
          <w:trHeight w:val="300"/>
          <w:tblHeader/>
        </w:trPr>
        <w:tc>
          <w:tcPr>
            <w:tcW w:w="782" w:type="pct"/>
            <w:vMerge/>
            <w:hideMark/>
          </w:tcPr>
          <w:p w14:paraId="3AB314EE" w14:textId="77777777" w:rsidR="004D0676" w:rsidRPr="0054709C" w:rsidRDefault="004D0676" w:rsidP="004D0676">
            <w:pPr>
              <w:pStyle w:val="TableText"/>
              <w:rPr>
                <w:lang w:eastAsia="en-AU"/>
              </w:rPr>
            </w:pPr>
          </w:p>
        </w:tc>
        <w:tc>
          <w:tcPr>
            <w:tcW w:w="1251" w:type="pct"/>
            <w:hideMark/>
          </w:tcPr>
          <w:p w14:paraId="0336CD49" w14:textId="4488836C" w:rsidR="004D0676" w:rsidRPr="0054709C" w:rsidRDefault="004D0676" w:rsidP="004D0676">
            <w:pPr>
              <w:pStyle w:val="TableText"/>
              <w:rPr>
                <w:lang w:eastAsia="en-AU"/>
              </w:rPr>
            </w:pPr>
            <w:r w:rsidRPr="008A5339">
              <w:t>Authorised officer approval</w:t>
            </w:r>
          </w:p>
        </w:tc>
        <w:tc>
          <w:tcPr>
            <w:tcW w:w="625" w:type="pct"/>
            <w:hideMark/>
          </w:tcPr>
          <w:p w14:paraId="686E2B01" w14:textId="78C792CB" w:rsidR="004D0676" w:rsidRPr="0054709C" w:rsidRDefault="00281210" w:rsidP="004D0676">
            <w:pPr>
              <w:pStyle w:val="TableText"/>
              <w:jc w:val="right"/>
              <w:rPr>
                <w:lang w:eastAsia="en-AU"/>
              </w:rPr>
            </w:pPr>
            <w:r w:rsidRPr="00813BDF">
              <w:t>54,427</w:t>
            </w:r>
          </w:p>
        </w:tc>
        <w:tc>
          <w:tcPr>
            <w:tcW w:w="627" w:type="pct"/>
            <w:hideMark/>
          </w:tcPr>
          <w:p w14:paraId="6574BC20" w14:textId="4453333B" w:rsidR="004D0676" w:rsidRPr="0054709C" w:rsidRDefault="00281210" w:rsidP="004D0676">
            <w:pPr>
              <w:pStyle w:val="TableText"/>
              <w:jc w:val="right"/>
              <w:rPr>
                <w:lang w:eastAsia="en-AU"/>
              </w:rPr>
            </w:pPr>
            <w:r w:rsidRPr="00813BDF">
              <w:t>50,163</w:t>
            </w:r>
          </w:p>
        </w:tc>
        <w:tc>
          <w:tcPr>
            <w:tcW w:w="547" w:type="pct"/>
            <w:hideMark/>
          </w:tcPr>
          <w:p w14:paraId="4A6204A5" w14:textId="2C73235E" w:rsidR="004D0676" w:rsidRPr="0054709C" w:rsidRDefault="00281210" w:rsidP="004D0676">
            <w:pPr>
              <w:pStyle w:val="TableText"/>
              <w:jc w:val="right"/>
              <w:rPr>
                <w:lang w:eastAsia="en-AU"/>
              </w:rPr>
            </w:pPr>
            <w:r w:rsidRPr="00813BDF">
              <w:t>4,264</w:t>
            </w:r>
          </w:p>
        </w:tc>
        <w:tc>
          <w:tcPr>
            <w:tcW w:w="548" w:type="pct"/>
            <w:hideMark/>
          </w:tcPr>
          <w:p w14:paraId="2D5912CC" w14:textId="75A22160" w:rsidR="004D0676" w:rsidRPr="0054709C" w:rsidRDefault="00281210" w:rsidP="004D0676">
            <w:pPr>
              <w:pStyle w:val="TableText"/>
              <w:jc w:val="right"/>
              <w:rPr>
                <w:lang w:eastAsia="en-AU"/>
              </w:rPr>
            </w:pPr>
            <w:r w:rsidRPr="00813BDF">
              <w:t>9</w:t>
            </w:r>
          </w:p>
        </w:tc>
        <w:tc>
          <w:tcPr>
            <w:tcW w:w="620" w:type="pct"/>
            <w:hideMark/>
          </w:tcPr>
          <w:p w14:paraId="4D32E251" w14:textId="16ADD00D" w:rsidR="004D0676" w:rsidRPr="0054709C" w:rsidRDefault="00CE56E8" w:rsidP="004D0676">
            <w:pPr>
              <w:pStyle w:val="TableText"/>
              <w:jc w:val="right"/>
              <w:rPr>
                <w:lang w:eastAsia="en-AU"/>
              </w:rPr>
            </w:pPr>
            <w:r>
              <w:t>48,544</w:t>
            </w:r>
          </w:p>
        </w:tc>
      </w:tr>
      <w:tr w:rsidR="004D0676" w:rsidRPr="0054709C" w14:paraId="2292F597" w14:textId="77777777" w:rsidTr="00DB16E8">
        <w:trPr>
          <w:trHeight w:val="480"/>
          <w:tblHeader/>
        </w:trPr>
        <w:tc>
          <w:tcPr>
            <w:tcW w:w="782" w:type="pct"/>
            <w:vMerge/>
            <w:hideMark/>
          </w:tcPr>
          <w:p w14:paraId="75A8B04F" w14:textId="77777777" w:rsidR="004D0676" w:rsidRPr="0054709C" w:rsidRDefault="004D0676" w:rsidP="004D0676">
            <w:pPr>
              <w:pStyle w:val="TableText"/>
              <w:rPr>
                <w:lang w:eastAsia="en-AU"/>
              </w:rPr>
            </w:pPr>
          </w:p>
        </w:tc>
        <w:tc>
          <w:tcPr>
            <w:tcW w:w="1251" w:type="pct"/>
            <w:hideMark/>
          </w:tcPr>
          <w:p w14:paraId="6380CC38" w14:textId="4426A698" w:rsidR="004D0676" w:rsidRPr="0054709C" w:rsidRDefault="004D0676" w:rsidP="004D0676">
            <w:pPr>
              <w:pStyle w:val="TableText"/>
              <w:rPr>
                <w:lang w:eastAsia="en-AU"/>
              </w:rPr>
            </w:pPr>
            <w:r w:rsidRPr="008A5339">
              <w:t>Authorised officer learning and assessment</w:t>
            </w:r>
          </w:p>
        </w:tc>
        <w:tc>
          <w:tcPr>
            <w:tcW w:w="625" w:type="pct"/>
            <w:hideMark/>
          </w:tcPr>
          <w:p w14:paraId="5F27748E" w14:textId="427223C0" w:rsidR="004D0676" w:rsidRPr="0054709C" w:rsidRDefault="00281210" w:rsidP="004D0676">
            <w:pPr>
              <w:pStyle w:val="TableText"/>
              <w:jc w:val="right"/>
              <w:rPr>
                <w:lang w:eastAsia="en-AU"/>
              </w:rPr>
            </w:pPr>
            <w:r w:rsidRPr="00813BDF">
              <w:t>103,185</w:t>
            </w:r>
          </w:p>
        </w:tc>
        <w:tc>
          <w:tcPr>
            <w:tcW w:w="627" w:type="pct"/>
            <w:hideMark/>
          </w:tcPr>
          <w:p w14:paraId="07AF613A" w14:textId="2FD25DA2" w:rsidR="004D0676" w:rsidRPr="0054709C" w:rsidRDefault="00281210" w:rsidP="004D0676">
            <w:pPr>
              <w:pStyle w:val="TableText"/>
              <w:jc w:val="right"/>
              <w:rPr>
                <w:lang w:eastAsia="en-AU"/>
              </w:rPr>
            </w:pPr>
            <w:r w:rsidRPr="00813BDF">
              <w:t>119,236</w:t>
            </w:r>
          </w:p>
        </w:tc>
        <w:tc>
          <w:tcPr>
            <w:tcW w:w="547" w:type="pct"/>
            <w:hideMark/>
          </w:tcPr>
          <w:p w14:paraId="6E31A849" w14:textId="67E756A2" w:rsidR="004D0676" w:rsidRPr="0054709C" w:rsidRDefault="00281210" w:rsidP="004D0676">
            <w:pPr>
              <w:pStyle w:val="TableText"/>
              <w:jc w:val="right"/>
              <w:rPr>
                <w:lang w:eastAsia="en-AU"/>
              </w:rPr>
            </w:pPr>
            <w:r w:rsidRPr="00813BDF">
              <w:t>(16,051)</w:t>
            </w:r>
          </w:p>
        </w:tc>
        <w:tc>
          <w:tcPr>
            <w:tcW w:w="548" w:type="pct"/>
            <w:hideMark/>
          </w:tcPr>
          <w:p w14:paraId="0211FDE5" w14:textId="30F3814F" w:rsidR="004D0676" w:rsidRPr="0054709C" w:rsidRDefault="00281210" w:rsidP="004D0676">
            <w:pPr>
              <w:pStyle w:val="TableText"/>
              <w:jc w:val="right"/>
              <w:rPr>
                <w:lang w:eastAsia="en-AU"/>
              </w:rPr>
            </w:pPr>
            <w:r w:rsidRPr="00813BDF">
              <w:t>(13)</w:t>
            </w:r>
          </w:p>
        </w:tc>
        <w:tc>
          <w:tcPr>
            <w:tcW w:w="620" w:type="pct"/>
            <w:hideMark/>
          </w:tcPr>
          <w:p w14:paraId="0745F9F6" w14:textId="10BB8C0A" w:rsidR="004D0676" w:rsidRPr="0054709C" w:rsidRDefault="00CE56E8" w:rsidP="004D0676">
            <w:pPr>
              <w:pStyle w:val="TableText"/>
              <w:jc w:val="right"/>
              <w:rPr>
                <w:lang w:eastAsia="en-AU"/>
              </w:rPr>
            </w:pPr>
            <w:r>
              <w:t>103,185</w:t>
            </w:r>
          </w:p>
        </w:tc>
      </w:tr>
      <w:tr w:rsidR="004D0676" w:rsidRPr="0054709C" w14:paraId="2F0F7448" w14:textId="77777777" w:rsidTr="00DB16E8">
        <w:trPr>
          <w:trHeight w:val="495"/>
          <w:tblHeader/>
        </w:trPr>
        <w:tc>
          <w:tcPr>
            <w:tcW w:w="782" w:type="pct"/>
            <w:vMerge/>
            <w:hideMark/>
          </w:tcPr>
          <w:p w14:paraId="7AE45432" w14:textId="77777777" w:rsidR="004D0676" w:rsidRPr="0054709C" w:rsidRDefault="004D0676" w:rsidP="004D0676">
            <w:pPr>
              <w:pStyle w:val="TableText"/>
              <w:rPr>
                <w:lang w:eastAsia="en-AU"/>
              </w:rPr>
            </w:pPr>
          </w:p>
        </w:tc>
        <w:tc>
          <w:tcPr>
            <w:tcW w:w="1251" w:type="pct"/>
            <w:hideMark/>
          </w:tcPr>
          <w:p w14:paraId="247EF585" w14:textId="0FF4AC56" w:rsidR="004D0676" w:rsidRPr="0054709C" w:rsidRDefault="004D0676" w:rsidP="004D0676">
            <w:pPr>
              <w:pStyle w:val="TableText"/>
              <w:rPr>
                <w:lang w:eastAsia="en-AU"/>
              </w:rPr>
            </w:pPr>
            <w:r w:rsidRPr="008A5339">
              <w:t xml:space="preserve">Additional </w:t>
            </w:r>
            <w:r w:rsidR="001E2BF7">
              <w:t>l</w:t>
            </w:r>
            <w:r w:rsidRPr="008A5339">
              <w:t xml:space="preserve">earning and </w:t>
            </w:r>
            <w:r w:rsidR="001E2BF7">
              <w:t>a</w:t>
            </w:r>
            <w:r w:rsidRPr="008A5339">
              <w:t>ssessment</w:t>
            </w:r>
          </w:p>
        </w:tc>
        <w:tc>
          <w:tcPr>
            <w:tcW w:w="625" w:type="pct"/>
            <w:hideMark/>
          </w:tcPr>
          <w:p w14:paraId="359DA80A" w14:textId="78A215DC" w:rsidR="004D0676" w:rsidRPr="0054709C" w:rsidRDefault="00281210" w:rsidP="004D0676">
            <w:pPr>
              <w:pStyle w:val="TableText"/>
              <w:jc w:val="right"/>
              <w:rPr>
                <w:lang w:eastAsia="en-AU"/>
              </w:rPr>
            </w:pPr>
            <w:r w:rsidRPr="00813BDF">
              <w:t>5,242</w:t>
            </w:r>
          </w:p>
        </w:tc>
        <w:tc>
          <w:tcPr>
            <w:tcW w:w="627" w:type="pct"/>
            <w:hideMark/>
          </w:tcPr>
          <w:p w14:paraId="7C444E5D" w14:textId="7D2D868A" w:rsidR="004D0676" w:rsidRPr="0054709C" w:rsidRDefault="00281210" w:rsidP="004D0676">
            <w:pPr>
              <w:pStyle w:val="TableText"/>
              <w:jc w:val="right"/>
              <w:rPr>
                <w:lang w:eastAsia="en-AU"/>
              </w:rPr>
            </w:pPr>
            <w:r w:rsidRPr="00813BDF">
              <w:t>2,621</w:t>
            </w:r>
          </w:p>
        </w:tc>
        <w:tc>
          <w:tcPr>
            <w:tcW w:w="547" w:type="pct"/>
            <w:hideMark/>
          </w:tcPr>
          <w:p w14:paraId="637F319B" w14:textId="3F0280AE" w:rsidR="004D0676" w:rsidRPr="0054709C" w:rsidRDefault="00281210" w:rsidP="004D0676">
            <w:pPr>
              <w:pStyle w:val="TableText"/>
              <w:jc w:val="right"/>
              <w:rPr>
                <w:lang w:eastAsia="en-AU"/>
              </w:rPr>
            </w:pPr>
            <w:r w:rsidRPr="00813BDF">
              <w:t>2,621</w:t>
            </w:r>
          </w:p>
        </w:tc>
        <w:tc>
          <w:tcPr>
            <w:tcW w:w="548" w:type="pct"/>
            <w:hideMark/>
          </w:tcPr>
          <w:p w14:paraId="219EEFD6" w14:textId="0DEEDEE5" w:rsidR="004D0676" w:rsidRPr="0054709C" w:rsidRDefault="00281210" w:rsidP="004D0676">
            <w:pPr>
              <w:pStyle w:val="TableText"/>
              <w:jc w:val="right"/>
              <w:rPr>
                <w:lang w:eastAsia="en-AU"/>
              </w:rPr>
            </w:pPr>
            <w:r w:rsidRPr="00813BDF">
              <w:t>100</w:t>
            </w:r>
          </w:p>
        </w:tc>
        <w:tc>
          <w:tcPr>
            <w:tcW w:w="620" w:type="pct"/>
            <w:hideMark/>
          </w:tcPr>
          <w:p w14:paraId="6963A720" w14:textId="0E3D3BB6" w:rsidR="004D0676" w:rsidRPr="0054709C" w:rsidRDefault="00281210" w:rsidP="004D0676">
            <w:pPr>
              <w:pStyle w:val="TableText"/>
              <w:jc w:val="right"/>
              <w:rPr>
                <w:lang w:eastAsia="en-AU"/>
              </w:rPr>
            </w:pPr>
            <w:r w:rsidRPr="00813BDF">
              <w:t>0</w:t>
            </w:r>
          </w:p>
        </w:tc>
      </w:tr>
      <w:tr w:rsidR="004D0676" w:rsidRPr="0054709C" w14:paraId="1ACB1D89" w14:textId="77777777" w:rsidTr="00DB16E8">
        <w:trPr>
          <w:trHeight w:val="315"/>
          <w:tblHeader/>
        </w:trPr>
        <w:tc>
          <w:tcPr>
            <w:tcW w:w="782" w:type="pct"/>
            <w:hideMark/>
          </w:tcPr>
          <w:p w14:paraId="7EECB915" w14:textId="612E6056" w:rsidR="004D0676" w:rsidRPr="0054709C" w:rsidRDefault="001E2BF7" w:rsidP="004D0676">
            <w:pPr>
              <w:pStyle w:val="TableText"/>
              <w:rPr>
                <w:lang w:eastAsia="en-AU"/>
              </w:rPr>
            </w:pPr>
            <w:r>
              <w:rPr>
                <w:lang w:eastAsia="en-AU"/>
              </w:rPr>
              <w:t>Fees – o</w:t>
            </w:r>
            <w:r w:rsidR="004D0676" w:rsidRPr="0054709C">
              <w:rPr>
                <w:lang w:eastAsia="en-AU"/>
              </w:rPr>
              <w:t>rganics</w:t>
            </w:r>
            <w:r w:rsidR="00131D05">
              <w:rPr>
                <w:lang w:eastAsia="en-AU"/>
              </w:rPr>
              <w:t> a</w:t>
            </w:r>
            <w:r w:rsidR="004D0676" w:rsidRPr="0054709C">
              <w:rPr>
                <w:lang w:eastAsia="en-AU"/>
              </w:rPr>
              <w:t xml:space="preserve"> </w:t>
            </w:r>
          </w:p>
        </w:tc>
        <w:tc>
          <w:tcPr>
            <w:tcW w:w="1251" w:type="pct"/>
            <w:hideMark/>
          </w:tcPr>
          <w:p w14:paraId="5A854D0B" w14:textId="5953E07C" w:rsidR="004D0676" w:rsidRPr="0054709C" w:rsidRDefault="004D0676" w:rsidP="004D0676">
            <w:pPr>
              <w:pStyle w:val="TableText"/>
              <w:rPr>
                <w:lang w:eastAsia="en-AU"/>
              </w:rPr>
            </w:pPr>
            <w:r w:rsidRPr="008A5339">
              <w:t>Organic certifying organisation</w:t>
            </w:r>
          </w:p>
        </w:tc>
        <w:tc>
          <w:tcPr>
            <w:tcW w:w="625" w:type="pct"/>
            <w:hideMark/>
          </w:tcPr>
          <w:p w14:paraId="46E986EC" w14:textId="5E286F56" w:rsidR="004D0676" w:rsidRPr="0054709C" w:rsidRDefault="00281210" w:rsidP="004D0676">
            <w:pPr>
              <w:pStyle w:val="TableText"/>
              <w:jc w:val="right"/>
              <w:rPr>
                <w:lang w:eastAsia="en-AU"/>
              </w:rPr>
            </w:pPr>
            <w:r w:rsidRPr="00813BDF">
              <w:t>8,608</w:t>
            </w:r>
          </w:p>
        </w:tc>
        <w:tc>
          <w:tcPr>
            <w:tcW w:w="627" w:type="pct"/>
            <w:hideMark/>
          </w:tcPr>
          <w:p w14:paraId="07E9E31B" w14:textId="50441540" w:rsidR="004D0676" w:rsidRPr="0054709C" w:rsidRDefault="00281210" w:rsidP="004D0676">
            <w:pPr>
              <w:pStyle w:val="TableText"/>
              <w:jc w:val="right"/>
              <w:rPr>
                <w:lang w:eastAsia="en-AU"/>
              </w:rPr>
            </w:pPr>
            <w:r w:rsidRPr="00813BDF">
              <w:t>8,608</w:t>
            </w:r>
          </w:p>
        </w:tc>
        <w:tc>
          <w:tcPr>
            <w:tcW w:w="547" w:type="pct"/>
            <w:hideMark/>
          </w:tcPr>
          <w:p w14:paraId="32BA2E58" w14:textId="14257604" w:rsidR="004D0676" w:rsidRPr="0054709C" w:rsidRDefault="005D0999" w:rsidP="004D0676">
            <w:pPr>
              <w:pStyle w:val="TableText"/>
              <w:jc w:val="right"/>
              <w:rPr>
                <w:lang w:eastAsia="en-AU"/>
              </w:rPr>
            </w:pPr>
            <w:r>
              <w:rPr>
                <w:lang w:eastAsia="en-AU"/>
              </w:rPr>
              <w:t>–</w:t>
            </w:r>
          </w:p>
        </w:tc>
        <w:tc>
          <w:tcPr>
            <w:tcW w:w="548" w:type="pct"/>
            <w:hideMark/>
          </w:tcPr>
          <w:p w14:paraId="2B90ADE7" w14:textId="6DAC28EC" w:rsidR="004D0676" w:rsidRPr="0054709C" w:rsidRDefault="005D0999" w:rsidP="004D0676">
            <w:pPr>
              <w:pStyle w:val="TableText"/>
              <w:jc w:val="right"/>
              <w:rPr>
                <w:lang w:eastAsia="en-AU"/>
              </w:rPr>
            </w:pPr>
            <w:r>
              <w:rPr>
                <w:lang w:eastAsia="en-AU"/>
              </w:rPr>
              <w:t>–</w:t>
            </w:r>
          </w:p>
        </w:tc>
        <w:tc>
          <w:tcPr>
            <w:tcW w:w="620" w:type="pct"/>
            <w:hideMark/>
          </w:tcPr>
          <w:p w14:paraId="686C38C7" w14:textId="34F29201" w:rsidR="004D0676" w:rsidRPr="0054709C" w:rsidRDefault="00281210" w:rsidP="004D0676">
            <w:pPr>
              <w:pStyle w:val="TableText"/>
              <w:jc w:val="right"/>
              <w:rPr>
                <w:lang w:eastAsia="en-AU"/>
              </w:rPr>
            </w:pPr>
            <w:r w:rsidRPr="00813BDF">
              <w:t>8,608</w:t>
            </w:r>
          </w:p>
        </w:tc>
      </w:tr>
      <w:tr w:rsidR="003D240F" w:rsidRPr="00486714" w14:paraId="640B5B58" w14:textId="77777777" w:rsidTr="00DB16E8">
        <w:trPr>
          <w:trHeight w:val="315"/>
          <w:tblHeader/>
        </w:trPr>
        <w:tc>
          <w:tcPr>
            <w:tcW w:w="782" w:type="pct"/>
            <w:hideMark/>
          </w:tcPr>
          <w:p w14:paraId="7D38D22E" w14:textId="77777777" w:rsidR="003D240F" w:rsidRPr="007C6D51" w:rsidRDefault="003D240F" w:rsidP="003D240F">
            <w:pPr>
              <w:pStyle w:val="TableText"/>
              <w:rPr>
                <w:rStyle w:val="Strong"/>
              </w:rPr>
            </w:pPr>
            <w:r w:rsidRPr="007C6D51">
              <w:rPr>
                <w:rStyle w:val="Strong"/>
              </w:rPr>
              <w:t>Total fees</w:t>
            </w:r>
          </w:p>
        </w:tc>
        <w:tc>
          <w:tcPr>
            <w:tcW w:w="1251" w:type="pct"/>
            <w:vAlign w:val="center"/>
            <w:hideMark/>
          </w:tcPr>
          <w:p w14:paraId="07E41E82" w14:textId="33AC2352" w:rsidR="003D240F" w:rsidRPr="00486714" w:rsidRDefault="005D0999" w:rsidP="003D240F">
            <w:pPr>
              <w:pStyle w:val="TableText"/>
              <w:rPr>
                <w:rStyle w:val="Strong"/>
              </w:rPr>
            </w:pPr>
            <w:r>
              <w:rPr>
                <w:rStyle w:val="Strong"/>
              </w:rPr>
              <w:t>–</w:t>
            </w:r>
          </w:p>
        </w:tc>
        <w:tc>
          <w:tcPr>
            <w:tcW w:w="625" w:type="pct"/>
            <w:hideMark/>
          </w:tcPr>
          <w:p w14:paraId="55731500" w14:textId="58D7EF4D" w:rsidR="003D240F" w:rsidRPr="00486714" w:rsidRDefault="00281210" w:rsidP="003D240F">
            <w:pPr>
              <w:pStyle w:val="TableText"/>
              <w:jc w:val="right"/>
              <w:rPr>
                <w:rStyle w:val="Strong"/>
                <w:b w:val="0"/>
              </w:rPr>
            </w:pPr>
            <w:r w:rsidRPr="00486714">
              <w:rPr>
                <w:b/>
                <w:bCs/>
              </w:rPr>
              <w:t>6,628,874</w:t>
            </w:r>
          </w:p>
        </w:tc>
        <w:tc>
          <w:tcPr>
            <w:tcW w:w="627" w:type="pct"/>
            <w:hideMark/>
          </w:tcPr>
          <w:p w14:paraId="3AF98E8C" w14:textId="6F044CFD" w:rsidR="003D240F" w:rsidRPr="00486714" w:rsidRDefault="00281210" w:rsidP="003D240F">
            <w:pPr>
              <w:pStyle w:val="TableText"/>
              <w:jc w:val="right"/>
              <w:rPr>
                <w:rStyle w:val="Strong"/>
                <w:b w:val="0"/>
              </w:rPr>
            </w:pPr>
            <w:r w:rsidRPr="00486714">
              <w:rPr>
                <w:b/>
                <w:bCs/>
              </w:rPr>
              <w:t>6,727,594</w:t>
            </w:r>
          </w:p>
        </w:tc>
        <w:tc>
          <w:tcPr>
            <w:tcW w:w="547" w:type="pct"/>
            <w:hideMark/>
          </w:tcPr>
          <w:p w14:paraId="12DE59C5" w14:textId="130A74F5" w:rsidR="003D240F" w:rsidRPr="00486714" w:rsidRDefault="00B644D5" w:rsidP="003D240F">
            <w:pPr>
              <w:pStyle w:val="TableText"/>
              <w:jc w:val="right"/>
              <w:rPr>
                <w:rStyle w:val="Strong"/>
                <w:b w:val="0"/>
              </w:rPr>
            </w:pPr>
            <w:r w:rsidRPr="00486714">
              <w:rPr>
                <w:b/>
                <w:bCs/>
              </w:rPr>
              <w:t>(</w:t>
            </w:r>
            <w:r w:rsidR="00281210" w:rsidRPr="00486714">
              <w:rPr>
                <w:b/>
                <w:bCs/>
              </w:rPr>
              <w:t>98,720</w:t>
            </w:r>
            <w:r w:rsidRPr="00486714">
              <w:rPr>
                <w:b/>
                <w:bCs/>
              </w:rPr>
              <w:t>)</w:t>
            </w:r>
          </w:p>
        </w:tc>
        <w:tc>
          <w:tcPr>
            <w:tcW w:w="548" w:type="pct"/>
            <w:hideMark/>
          </w:tcPr>
          <w:p w14:paraId="772683EC" w14:textId="7E7F2F89" w:rsidR="003D240F" w:rsidRPr="00486714" w:rsidRDefault="00281210" w:rsidP="003D240F">
            <w:pPr>
              <w:pStyle w:val="TableText"/>
              <w:jc w:val="right"/>
              <w:rPr>
                <w:rStyle w:val="Strong"/>
                <w:b w:val="0"/>
              </w:rPr>
            </w:pPr>
            <w:r w:rsidRPr="00486714">
              <w:rPr>
                <w:b/>
                <w:bCs/>
              </w:rPr>
              <w:t>(1)</w:t>
            </w:r>
          </w:p>
        </w:tc>
        <w:tc>
          <w:tcPr>
            <w:tcW w:w="620" w:type="pct"/>
            <w:hideMark/>
          </w:tcPr>
          <w:p w14:paraId="1B9FFF21" w14:textId="4CC593BD" w:rsidR="003D240F" w:rsidRPr="00486714" w:rsidRDefault="005857FB" w:rsidP="003D240F">
            <w:pPr>
              <w:pStyle w:val="TableText"/>
              <w:jc w:val="right"/>
              <w:rPr>
                <w:rStyle w:val="Strong"/>
                <w:b w:val="0"/>
              </w:rPr>
            </w:pPr>
            <w:r w:rsidRPr="00486714">
              <w:rPr>
                <w:b/>
                <w:bCs/>
              </w:rPr>
              <w:t>4,442,133</w:t>
            </w:r>
          </w:p>
        </w:tc>
      </w:tr>
      <w:tr w:rsidR="003D240F" w:rsidRPr="00486714" w14:paraId="7418FFC7" w14:textId="77777777" w:rsidTr="00DB16E8">
        <w:trPr>
          <w:trHeight w:val="315"/>
          <w:tblHeader/>
        </w:trPr>
        <w:tc>
          <w:tcPr>
            <w:tcW w:w="782" w:type="pct"/>
            <w:hideMark/>
          </w:tcPr>
          <w:p w14:paraId="22BC2E50" w14:textId="30A1482C" w:rsidR="003D240F" w:rsidRPr="007C6D51" w:rsidRDefault="003D240F" w:rsidP="003D240F">
            <w:pPr>
              <w:pStyle w:val="TableText"/>
              <w:rPr>
                <w:rStyle w:val="Strong"/>
              </w:rPr>
            </w:pPr>
            <w:r>
              <w:rPr>
                <w:rStyle w:val="Strong"/>
              </w:rPr>
              <w:t>Total fees and charges</w:t>
            </w:r>
          </w:p>
        </w:tc>
        <w:tc>
          <w:tcPr>
            <w:tcW w:w="1251" w:type="pct"/>
            <w:vAlign w:val="center"/>
            <w:hideMark/>
          </w:tcPr>
          <w:p w14:paraId="284989C2" w14:textId="70D96DCB" w:rsidR="003D240F" w:rsidRPr="00486714" w:rsidRDefault="005D0999" w:rsidP="003D240F">
            <w:pPr>
              <w:pStyle w:val="TableText"/>
              <w:rPr>
                <w:rStyle w:val="Strong"/>
              </w:rPr>
            </w:pPr>
            <w:r>
              <w:rPr>
                <w:rStyle w:val="Strong"/>
              </w:rPr>
              <w:t>–</w:t>
            </w:r>
          </w:p>
        </w:tc>
        <w:tc>
          <w:tcPr>
            <w:tcW w:w="625" w:type="pct"/>
            <w:hideMark/>
          </w:tcPr>
          <w:p w14:paraId="28369106" w14:textId="3D589784" w:rsidR="003D240F" w:rsidRPr="00486714" w:rsidRDefault="00281210" w:rsidP="003D240F">
            <w:pPr>
              <w:pStyle w:val="TableText"/>
              <w:jc w:val="right"/>
              <w:rPr>
                <w:rStyle w:val="Strong"/>
                <w:b w:val="0"/>
              </w:rPr>
            </w:pPr>
            <w:r w:rsidRPr="00486714">
              <w:rPr>
                <w:b/>
                <w:bCs/>
              </w:rPr>
              <w:t>13,531,212</w:t>
            </w:r>
          </w:p>
        </w:tc>
        <w:tc>
          <w:tcPr>
            <w:tcW w:w="627" w:type="pct"/>
            <w:hideMark/>
          </w:tcPr>
          <w:p w14:paraId="506659D6" w14:textId="0AB97048" w:rsidR="003D240F" w:rsidRPr="00486714" w:rsidRDefault="00281210" w:rsidP="003D240F">
            <w:pPr>
              <w:pStyle w:val="TableText"/>
              <w:jc w:val="right"/>
              <w:rPr>
                <w:rStyle w:val="Strong"/>
                <w:b w:val="0"/>
              </w:rPr>
            </w:pPr>
            <w:r w:rsidRPr="00486714">
              <w:rPr>
                <w:b/>
                <w:bCs/>
              </w:rPr>
              <w:t>13,833,263</w:t>
            </w:r>
          </w:p>
        </w:tc>
        <w:tc>
          <w:tcPr>
            <w:tcW w:w="547" w:type="pct"/>
            <w:hideMark/>
          </w:tcPr>
          <w:p w14:paraId="01914B9A" w14:textId="2C216869" w:rsidR="003D240F" w:rsidRPr="00486714" w:rsidRDefault="00B644D5" w:rsidP="003D240F">
            <w:pPr>
              <w:pStyle w:val="TableText"/>
              <w:jc w:val="right"/>
              <w:rPr>
                <w:rStyle w:val="Strong"/>
                <w:b w:val="0"/>
              </w:rPr>
            </w:pPr>
            <w:r w:rsidRPr="00486714">
              <w:rPr>
                <w:b/>
                <w:bCs/>
              </w:rPr>
              <w:t>(</w:t>
            </w:r>
            <w:r w:rsidR="00281210" w:rsidRPr="00486714">
              <w:rPr>
                <w:b/>
                <w:bCs/>
              </w:rPr>
              <w:t>302,051</w:t>
            </w:r>
            <w:r w:rsidRPr="00486714">
              <w:rPr>
                <w:b/>
                <w:bCs/>
              </w:rPr>
              <w:t>)</w:t>
            </w:r>
          </w:p>
        </w:tc>
        <w:tc>
          <w:tcPr>
            <w:tcW w:w="548" w:type="pct"/>
            <w:hideMark/>
          </w:tcPr>
          <w:p w14:paraId="3E0DF2CA" w14:textId="20967331" w:rsidR="003D240F" w:rsidRPr="00486714" w:rsidRDefault="00281210" w:rsidP="003D240F">
            <w:pPr>
              <w:pStyle w:val="TableText"/>
              <w:jc w:val="right"/>
              <w:rPr>
                <w:rStyle w:val="Strong"/>
                <w:b w:val="0"/>
              </w:rPr>
            </w:pPr>
            <w:r w:rsidRPr="00486714">
              <w:rPr>
                <w:b/>
                <w:bCs/>
              </w:rPr>
              <w:t xml:space="preserve"> (2)</w:t>
            </w:r>
          </w:p>
        </w:tc>
        <w:tc>
          <w:tcPr>
            <w:tcW w:w="620" w:type="pct"/>
            <w:hideMark/>
          </w:tcPr>
          <w:p w14:paraId="382810CB" w14:textId="7F9AFEBB" w:rsidR="003D240F" w:rsidRPr="00486714" w:rsidRDefault="007E74BE" w:rsidP="003D240F">
            <w:pPr>
              <w:pStyle w:val="TableText"/>
              <w:jc w:val="right"/>
              <w:rPr>
                <w:rStyle w:val="Strong"/>
                <w:b w:val="0"/>
              </w:rPr>
            </w:pPr>
            <w:r w:rsidRPr="00486714">
              <w:rPr>
                <w:b/>
                <w:bCs/>
              </w:rPr>
              <w:t>11,234,258</w:t>
            </w:r>
          </w:p>
        </w:tc>
      </w:tr>
    </w:tbl>
    <w:p w14:paraId="1C45B777" w14:textId="17D2CDB3" w:rsidR="00764D6A" w:rsidRDefault="00CD4802" w:rsidP="00CD4802">
      <w:pPr>
        <w:pStyle w:val="FigureTableNoteSource"/>
      </w:pPr>
      <w:r>
        <w:t xml:space="preserve">Note: Based on revised budget </w:t>
      </w:r>
      <w:r w:rsidRPr="000B6307">
        <w:t>set MYEFO 2024</w:t>
      </w:r>
      <w:r>
        <w:t xml:space="preserve">. </w:t>
      </w:r>
      <w:r w:rsidR="00C503D3" w:rsidRPr="0011662A">
        <w:rPr>
          <w:rStyle w:val="Strong"/>
        </w:rPr>
        <w:t>a</w:t>
      </w:r>
      <w:r w:rsidR="00C503D3" w:rsidRPr="000445FC">
        <w:t xml:space="preserve"> Organic certifiers support a small number of exporters in </w:t>
      </w:r>
      <w:r w:rsidR="00C503D3">
        <w:t>each</w:t>
      </w:r>
      <w:r w:rsidR="00C503D3" w:rsidRPr="000445FC">
        <w:t xml:space="preserve"> export arrangement (excluding </w:t>
      </w:r>
      <w:r w:rsidR="001E2BF7">
        <w:t>l</w:t>
      </w:r>
      <w:r w:rsidR="00C503D3" w:rsidRPr="000445FC">
        <w:t xml:space="preserve">ive </w:t>
      </w:r>
      <w:r w:rsidR="001E2BF7">
        <w:t>a</w:t>
      </w:r>
      <w:r w:rsidR="00C503D3" w:rsidRPr="000445FC">
        <w:t xml:space="preserve">nimal </w:t>
      </w:r>
      <w:r w:rsidR="001E2BF7">
        <w:t>e</w:t>
      </w:r>
      <w:r w:rsidR="00C503D3" w:rsidRPr="000445FC">
        <w:t xml:space="preserve">xports) </w:t>
      </w:r>
      <w:r w:rsidR="00C503D3">
        <w:t>with</w:t>
      </w:r>
      <w:r w:rsidR="00C503D3" w:rsidRPr="000445FC">
        <w:t xml:space="preserve"> revenue and expense reflected in each </w:t>
      </w:r>
      <w:r w:rsidR="00C503D3">
        <w:t>arrangement</w:t>
      </w:r>
      <w:r w:rsidR="00086979">
        <w:t>.</w:t>
      </w:r>
    </w:p>
    <w:p w14:paraId="7143EC4A" w14:textId="77777777" w:rsidR="00F85393" w:rsidRDefault="00F85393" w:rsidP="00F85393">
      <w:pPr>
        <w:pStyle w:val="Heading2"/>
        <w:numPr>
          <w:ilvl w:val="0"/>
          <w:numId w:val="0"/>
        </w:numPr>
        <w:ind w:left="720" w:hanging="720"/>
      </w:pPr>
      <w:bookmarkStart w:id="34" w:name="_Expenses"/>
      <w:bookmarkStart w:id="35" w:name="_Toc180573328"/>
      <w:bookmarkStart w:id="36" w:name="_Toc204936457"/>
      <w:bookmarkStart w:id="37" w:name="_Toc220395921"/>
      <w:bookmarkEnd w:id="34"/>
      <w:r>
        <w:lastRenderedPageBreak/>
        <w:t>Expenses</w:t>
      </w:r>
      <w:bookmarkEnd w:id="35"/>
      <w:bookmarkEnd w:id="36"/>
      <w:bookmarkEnd w:id="37"/>
    </w:p>
    <w:p w14:paraId="344E9665" w14:textId="6E0E2099" w:rsidR="005A15E2" w:rsidRPr="00CD4802" w:rsidRDefault="00F85393" w:rsidP="00DB16E8">
      <w:r w:rsidRPr="00CD4802">
        <w:t xml:space="preserve">Expenditure in </w:t>
      </w:r>
      <w:r w:rsidR="00340FE5" w:rsidRPr="00CD4802">
        <w:t>2024–25</w:t>
      </w:r>
      <w:r w:rsidRPr="00CD4802">
        <w:t xml:space="preserve"> was $14.7 million, $0.4 million </w:t>
      </w:r>
      <w:r w:rsidR="0040453C" w:rsidRPr="00CD4802">
        <w:t xml:space="preserve">lower than budgeted </w:t>
      </w:r>
      <w:r w:rsidR="00947552">
        <w:t>(</w:t>
      </w:r>
      <w:r w:rsidR="00575332">
        <w:fldChar w:fldCharType="begin"/>
      </w:r>
      <w:r w:rsidR="00575332">
        <w:instrText xml:space="preserve"> REF _Ref174704814 \h </w:instrText>
      </w:r>
      <w:r w:rsidR="00575332">
        <w:fldChar w:fldCharType="separate"/>
      </w:r>
      <w:r w:rsidR="007D61E3" w:rsidRPr="008E1CA7">
        <w:t xml:space="preserve">Table </w:t>
      </w:r>
      <w:r w:rsidR="007D61E3">
        <w:rPr>
          <w:noProof/>
        </w:rPr>
        <w:t>4</w:t>
      </w:r>
      <w:r w:rsidR="00575332">
        <w:fldChar w:fldCharType="end"/>
      </w:r>
      <w:r w:rsidR="00896DBB" w:rsidRPr="00CD4802">
        <w:t>)</w:t>
      </w:r>
      <w:r w:rsidRPr="00CD4802">
        <w:t>.</w:t>
      </w:r>
    </w:p>
    <w:p w14:paraId="50925F4E" w14:textId="5B67F72C" w:rsidR="005A15E2" w:rsidRPr="00CD4802" w:rsidRDefault="005A15E2" w:rsidP="00DB16E8">
      <w:r w:rsidRPr="00CD4802">
        <w:t xml:space="preserve">The primary driver of the direct budget underspend was due to a reduction in both domestic and international travel. The combined impact of lower-than-budgeted expenditure in other areas, such as </w:t>
      </w:r>
      <w:r w:rsidR="001E2BF7">
        <w:t>c</w:t>
      </w:r>
      <w:r w:rsidRPr="00CD4802">
        <w:t xml:space="preserve">ompliance and </w:t>
      </w:r>
      <w:r w:rsidR="001E2BF7">
        <w:t>e</w:t>
      </w:r>
      <w:r w:rsidRPr="00CD4802">
        <w:t>nforcement and other corporate expenses further contributed to the overall budget underspend in both direct and indirect expenditure.</w:t>
      </w:r>
    </w:p>
    <w:p w14:paraId="7FE23010" w14:textId="1A5F14BF" w:rsidR="005A15E2" w:rsidRPr="00CD4802" w:rsidRDefault="005A15E2" w:rsidP="00DB16E8">
      <w:r w:rsidRPr="00CD4802">
        <w:t>The savings offset overspend in both our direct and indirect digital functions. Cost pressures in the digital space are being driven by ongoing inflationary pressures for digital products, which is particularly being observed in the contractor space.</w:t>
      </w:r>
    </w:p>
    <w:p w14:paraId="2BF359F3" w14:textId="74517F88" w:rsidR="00F85393" w:rsidRPr="008E1CA7" w:rsidRDefault="00F85393" w:rsidP="00F85393">
      <w:pPr>
        <w:pStyle w:val="Caption"/>
        <w:spacing w:before="200"/>
      </w:pPr>
      <w:bookmarkStart w:id="38" w:name="_Ref174704814"/>
      <w:bookmarkStart w:id="39" w:name="_Toc174708418"/>
      <w:bookmarkStart w:id="40" w:name="_Toc180573274"/>
      <w:bookmarkStart w:id="41" w:name="_Ref217456629"/>
      <w:bookmarkStart w:id="42" w:name="_Toc220395929"/>
      <w:bookmarkStart w:id="43" w:name="_Hlk178680819"/>
      <w:r w:rsidRPr="008E1CA7">
        <w:t xml:space="preserve">Table </w:t>
      </w:r>
      <w:r w:rsidRPr="008E1CA7">
        <w:fldChar w:fldCharType="begin"/>
      </w:r>
      <w:r w:rsidRPr="008E1CA7">
        <w:instrText xml:space="preserve"> SEQ Table \* ARABIC </w:instrText>
      </w:r>
      <w:r w:rsidRPr="008E1CA7">
        <w:fldChar w:fldCharType="separate"/>
      </w:r>
      <w:r w:rsidR="007D61E3">
        <w:rPr>
          <w:noProof/>
        </w:rPr>
        <w:t>4</w:t>
      </w:r>
      <w:r w:rsidRPr="008E1CA7">
        <w:fldChar w:fldCharType="end"/>
      </w:r>
      <w:bookmarkEnd w:id="38"/>
      <w:r w:rsidRPr="008E1CA7">
        <w:t xml:space="preserve"> Horticulture export arrangement cost base</w:t>
      </w:r>
      <w:r w:rsidR="00FC4EB6">
        <w:t>,</w:t>
      </w:r>
      <w:r w:rsidRPr="008E1CA7">
        <w:t xml:space="preserve"> by </w:t>
      </w:r>
      <w:r w:rsidR="00BA6963">
        <w:t>division</w:t>
      </w:r>
      <w:r w:rsidRPr="008E1CA7">
        <w:t xml:space="preserve">, </w:t>
      </w:r>
      <w:bookmarkEnd w:id="39"/>
      <w:bookmarkEnd w:id="40"/>
      <w:r w:rsidR="00340FE5">
        <w:t>2024–25</w:t>
      </w:r>
      <w:bookmarkEnd w:id="41"/>
      <w:bookmarkEnd w:id="42"/>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92"/>
        <w:gridCol w:w="2694"/>
        <w:gridCol w:w="1346"/>
        <w:gridCol w:w="1346"/>
        <w:gridCol w:w="1346"/>
        <w:gridCol w:w="1346"/>
      </w:tblGrid>
      <w:tr w:rsidR="00F85393" w:rsidRPr="008E1CA7" w14:paraId="722E4B14" w14:textId="77777777" w:rsidTr="007B1EF3">
        <w:trPr>
          <w:cantSplit/>
          <w:trHeight w:val="556"/>
          <w:tblHeader/>
        </w:trPr>
        <w:tc>
          <w:tcPr>
            <w:tcW w:w="547" w:type="pct"/>
          </w:tcPr>
          <w:p w14:paraId="31CE90F3" w14:textId="77777777" w:rsidR="00F85393" w:rsidRPr="008E1CA7" w:rsidRDefault="00F85393" w:rsidP="00AD5D18">
            <w:pPr>
              <w:pStyle w:val="TableHeading"/>
            </w:pPr>
            <w:bookmarkStart w:id="44" w:name="Title_4"/>
            <w:bookmarkEnd w:id="43"/>
            <w:bookmarkEnd w:id="44"/>
            <w:r w:rsidRPr="008E1CA7">
              <w:t>Expenses</w:t>
            </w:r>
          </w:p>
        </w:tc>
        <w:tc>
          <w:tcPr>
            <w:tcW w:w="1485" w:type="pct"/>
          </w:tcPr>
          <w:p w14:paraId="5C9B93AA" w14:textId="77777777" w:rsidR="00F85393" w:rsidRPr="008E1CA7" w:rsidRDefault="00F85393" w:rsidP="00AD5D18">
            <w:pPr>
              <w:pStyle w:val="TableHeading"/>
            </w:pPr>
            <w:r w:rsidRPr="008E1CA7">
              <w:t>Division</w:t>
            </w:r>
          </w:p>
        </w:tc>
        <w:tc>
          <w:tcPr>
            <w:tcW w:w="742" w:type="pct"/>
          </w:tcPr>
          <w:p w14:paraId="577CD558" w14:textId="7421E79A" w:rsidR="00F85393" w:rsidRPr="008E1CA7" w:rsidRDefault="00F85393" w:rsidP="00CD4802">
            <w:pPr>
              <w:pStyle w:val="TableHeading"/>
              <w:jc w:val="right"/>
            </w:pPr>
            <w:r w:rsidRPr="008E1CA7">
              <w:t>Actual</w:t>
            </w:r>
            <w:r w:rsidR="00485F77">
              <w:t xml:space="preserve"> cost</w:t>
            </w:r>
            <w:r w:rsidRPr="008E1CA7">
              <w:t xml:space="preserve"> ($)</w:t>
            </w:r>
          </w:p>
        </w:tc>
        <w:tc>
          <w:tcPr>
            <w:tcW w:w="742" w:type="pct"/>
          </w:tcPr>
          <w:p w14:paraId="6B118315" w14:textId="26B5E185" w:rsidR="00F85393" w:rsidRPr="00486714" w:rsidRDefault="00F85393" w:rsidP="00CD4802">
            <w:pPr>
              <w:pStyle w:val="TableHeading"/>
              <w:jc w:val="right"/>
            </w:pPr>
            <w:r w:rsidRPr="00486714">
              <w:t>Budget</w:t>
            </w:r>
            <w:r w:rsidR="00485F77" w:rsidRPr="00486714">
              <w:t xml:space="preserve"> cost</w:t>
            </w:r>
            <w:r w:rsidR="00CD4802" w:rsidRPr="00486714">
              <w:t xml:space="preserve"> </w:t>
            </w:r>
            <w:r w:rsidRPr="00486714">
              <w:t>($)</w:t>
            </w:r>
          </w:p>
        </w:tc>
        <w:tc>
          <w:tcPr>
            <w:tcW w:w="742" w:type="pct"/>
          </w:tcPr>
          <w:p w14:paraId="19DEAEF9" w14:textId="77777777" w:rsidR="00F85393" w:rsidRPr="00486714" w:rsidRDefault="00F85393" w:rsidP="00CD4802">
            <w:pPr>
              <w:pStyle w:val="TableHeading"/>
              <w:jc w:val="right"/>
            </w:pPr>
            <w:r w:rsidRPr="00486714">
              <w:t>Variance ($)</w:t>
            </w:r>
          </w:p>
        </w:tc>
        <w:tc>
          <w:tcPr>
            <w:tcW w:w="742" w:type="pct"/>
          </w:tcPr>
          <w:p w14:paraId="0EEB4121" w14:textId="2A996F5A" w:rsidR="00F85393" w:rsidRPr="00486714" w:rsidRDefault="00F85393" w:rsidP="00CD4802">
            <w:pPr>
              <w:pStyle w:val="TableHeading"/>
              <w:jc w:val="right"/>
            </w:pPr>
            <w:r w:rsidRPr="00486714">
              <w:t>Variance (%)</w:t>
            </w:r>
          </w:p>
        </w:tc>
      </w:tr>
      <w:tr w:rsidR="00F85393" w:rsidRPr="008E1CA7" w14:paraId="4FD02299" w14:textId="77777777" w:rsidTr="00DB16E8">
        <w:trPr>
          <w:tblHeader/>
        </w:trPr>
        <w:tc>
          <w:tcPr>
            <w:tcW w:w="547" w:type="pct"/>
            <w:vMerge w:val="restart"/>
          </w:tcPr>
          <w:p w14:paraId="75033207" w14:textId="77777777" w:rsidR="00F85393" w:rsidRPr="008E1CA7" w:rsidRDefault="00F85393" w:rsidP="00AD5D18">
            <w:pPr>
              <w:pStyle w:val="TableText"/>
            </w:pPr>
            <w:r w:rsidRPr="008E1CA7">
              <w:t>Direct</w:t>
            </w:r>
          </w:p>
        </w:tc>
        <w:tc>
          <w:tcPr>
            <w:tcW w:w="1485" w:type="pct"/>
          </w:tcPr>
          <w:p w14:paraId="16A328D0" w14:textId="77777777" w:rsidR="00F85393" w:rsidRPr="008E1CA7" w:rsidRDefault="00F85393" w:rsidP="00AD5D18">
            <w:pPr>
              <w:pStyle w:val="TableText"/>
            </w:pPr>
            <w:r w:rsidRPr="003101B5">
              <w:t>Export &amp; Veterinary Services Division</w:t>
            </w:r>
          </w:p>
        </w:tc>
        <w:tc>
          <w:tcPr>
            <w:tcW w:w="742" w:type="pct"/>
          </w:tcPr>
          <w:p w14:paraId="0C616731" w14:textId="667A4318" w:rsidR="00F85393" w:rsidRPr="008E1CA7" w:rsidRDefault="00F85393" w:rsidP="00AD5D18">
            <w:pPr>
              <w:pStyle w:val="TableText"/>
              <w:jc w:val="right"/>
            </w:pPr>
            <w:r w:rsidRPr="003101B5">
              <w:t>585,146</w:t>
            </w:r>
          </w:p>
        </w:tc>
        <w:tc>
          <w:tcPr>
            <w:tcW w:w="742" w:type="pct"/>
          </w:tcPr>
          <w:p w14:paraId="0FC07C0D" w14:textId="1C684BFB" w:rsidR="00F85393" w:rsidRPr="00486714" w:rsidRDefault="00F85393" w:rsidP="00AD5D18">
            <w:pPr>
              <w:pStyle w:val="TableText"/>
              <w:jc w:val="right"/>
            </w:pPr>
            <w:r w:rsidRPr="00486714">
              <w:t>596,764</w:t>
            </w:r>
          </w:p>
        </w:tc>
        <w:tc>
          <w:tcPr>
            <w:tcW w:w="742" w:type="pct"/>
          </w:tcPr>
          <w:p w14:paraId="6663A981" w14:textId="68378D42" w:rsidR="00F85393" w:rsidRPr="00486714" w:rsidRDefault="00F85393" w:rsidP="00AD5D18">
            <w:pPr>
              <w:pStyle w:val="TableText"/>
              <w:jc w:val="right"/>
            </w:pPr>
            <w:r w:rsidRPr="00486714">
              <w:t>(11,618)</w:t>
            </w:r>
          </w:p>
        </w:tc>
        <w:tc>
          <w:tcPr>
            <w:tcW w:w="742" w:type="pct"/>
          </w:tcPr>
          <w:p w14:paraId="186AAF34" w14:textId="77777777" w:rsidR="00F85393" w:rsidRPr="00486714" w:rsidRDefault="00F85393" w:rsidP="00AD5D18">
            <w:pPr>
              <w:pStyle w:val="TableText"/>
              <w:jc w:val="right"/>
            </w:pPr>
            <w:r w:rsidRPr="00486714">
              <w:t>(2)</w:t>
            </w:r>
          </w:p>
        </w:tc>
      </w:tr>
      <w:tr w:rsidR="00F85393" w:rsidRPr="008E1CA7" w14:paraId="52602000" w14:textId="77777777" w:rsidTr="00DB16E8">
        <w:trPr>
          <w:tblHeader/>
        </w:trPr>
        <w:tc>
          <w:tcPr>
            <w:tcW w:w="547" w:type="pct"/>
            <w:vMerge/>
          </w:tcPr>
          <w:p w14:paraId="7ECC3712" w14:textId="77777777" w:rsidR="00F85393" w:rsidRPr="008E1CA7" w:rsidRDefault="00F85393" w:rsidP="00AD5D18">
            <w:pPr>
              <w:pStyle w:val="TableText"/>
            </w:pPr>
          </w:p>
        </w:tc>
        <w:tc>
          <w:tcPr>
            <w:tcW w:w="1485" w:type="pct"/>
          </w:tcPr>
          <w:p w14:paraId="7B69B887" w14:textId="7B48C57F" w:rsidR="00F85393" w:rsidRPr="008E1CA7" w:rsidRDefault="00F85393" w:rsidP="00AD5D18">
            <w:pPr>
              <w:pStyle w:val="TableText"/>
            </w:pPr>
            <w:r w:rsidRPr="003101B5">
              <w:t>Plant &amp; LAE Welfare &amp; Regulation</w:t>
            </w:r>
          </w:p>
        </w:tc>
        <w:tc>
          <w:tcPr>
            <w:tcW w:w="742" w:type="pct"/>
          </w:tcPr>
          <w:p w14:paraId="21D91126" w14:textId="61CDE110" w:rsidR="00F85393" w:rsidRPr="008E1CA7" w:rsidRDefault="00F85393" w:rsidP="00AD5D18">
            <w:pPr>
              <w:pStyle w:val="TableText"/>
              <w:jc w:val="right"/>
            </w:pPr>
            <w:r w:rsidRPr="003101B5">
              <w:t>5,397,005</w:t>
            </w:r>
          </w:p>
        </w:tc>
        <w:tc>
          <w:tcPr>
            <w:tcW w:w="742" w:type="pct"/>
          </w:tcPr>
          <w:p w14:paraId="1F73AD42" w14:textId="5E02AADC" w:rsidR="00F85393" w:rsidRPr="00486714" w:rsidRDefault="00F85393" w:rsidP="00AD5D18">
            <w:pPr>
              <w:pStyle w:val="TableText"/>
              <w:jc w:val="right"/>
            </w:pPr>
            <w:r w:rsidRPr="00486714">
              <w:t>5,577,974</w:t>
            </w:r>
          </w:p>
        </w:tc>
        <w:tc>
          <w:tcPr>
            <w:tcW w:w="742" w:type="pct"/>
          </w:tcPr>
          <w:p w14:paraId="33CA7746" w14:textId="2761B375" w:rsidR="00F85393" w:rsidRPr="00486714" w:rsidRDefault="00F85393" w:rsidP="00AD5D18">
            <w:pPr>
              <w:pStyle w:val="TableText"/>
              <w:jc w:val="right"/>
            </w:pPr>
            <w:r w:rsidRPr="00486714">
              <w:t>(180,969)</w:t>
            </w:r>
          </w:p>
        </w:tc>
        <w:tc>
          <w:tcPr>
            <w:tcW w:w="742" w:type="pct"/>
          </w:tcPr>
          <w:p w14:paraId="794E780A" w14:textId="77777777" w:rsidR="00F85393" w:rsidRPr="00486714" w:rsidRDefault="00F85393" w:rsidP="00AD5D18">
            <w:pPr>
              <w:pStyle w:val="TableText"/>
              <w:jc w:val="right"/>
            </w:pPr>
            <w:r w:rsidRPr="00486714">
              <w:t>(3)</w:t>
            </w:r>
          </w:p>
        </w:tc>
      </w:tr>
      <w:tr w:rsidR="00F85393" w:rsidRPr="008E1CA7" w14:paraId="69D9CC94" w14:textId="77777777" w:rsidTr="00DB16E8">
        <w:trPr>
          <w:tblHeader/>
        </w:trPr>
        <w:tc>
          <w:tcPr>
            <w:tcW w:w="547" w:type="pct"/>
            <w:vMerge/>
          </w:tcPr>
          <w:p w14:paraId="4CB89051" w14:textId="77777777" w:rsidR="00F85393" w:rsidRPr="008E1CA7" w:rsidRDefault="00F85393" w:rsidP="00AD5D18">
            <w:pPr>
              <w:pStyle w:val="TableText"/>
            </w:pPr>
          </w:p>
        </w:tc>
        <w:tc>
          <w:tcPr>
            <w:tcW w:w="1485" w:type="pct"/>
          </w:tcPr>
          <w:p w14:paraId="5F8557FA" w14:textId="77777777" w:rsidR="00F85393" w:rsidRPr="008E1CA7" w:rsidRDefault="00F85393" w:rsidP="00AD5D18">
            <w:pPr>
              <w:pStyle w:val="TableText"/>
            </w:pPr>
            <w:r w:rsidRPr="003101B5">
              <w:t>Digital Business</w:t>
            </w:r>
          </w:p>
        </w:tc>
        <w:tc>
          <w:tcPr>
            <w:tcW w:w="742" w:type="pct"/>
          </w:tcPr>
          <w:p w14:paraId="198D08E2" w14:textId="0F5E7FBC" w:rsidR="00F85393" w:rsidRPr="008E1CA7" w:rsidRDefault="00F85393" w:rsidP="00AD5D18">
            <w:pPr>
              <w:pStyle w:val="TableText"/>
              <w:jc w:val="right"/>
            </w:pPr>
            <w:r w:rsidRPr="003101B5">
              <w:t>283,556</w:t>
            </w:r>
          </w:p>
        </w:tc>
        <w:tc>
          <w:tcPr>
            <w:tcW w:w="742" w:type="pct"/>
          </w:tcPr>
          <w:p w14:paraId="529A91A1" w14:textId="1F1542FC" w:rsidR="00F85393" w:rsidRPr="00486714" w:rsidRDefault="00F85393" w:rsidP="00AD5D18">
            <w:pPr>
              <w:pStyle w:val="TableText"/>
              <w:jc w:val="right"/>
            </w:pPr>
            <w:r w:rsidRPr="00486714">
              <w:t>264,780</w:t>
            </w:r>
          </w:p>
        </w:tc>
        <w:tc>
          <w:tcPr>
            <w:tcW w:w="742" w:type="pct"/>
          </w:tcPr>
          <w:p w14:paraId="0ED1AAED" w14:textId="5401679F" w:rsidR="00F85393" w:rsidRPr="00486714" w:rsidRDefault="00F85393" w:rsidP="00AD5D18">
            <w:pPr>
              <w:pStyle w:val="TableText"/>
              <w:jc w:val="right"/>
            </w:pPr>
            <w:r w:rsidRPr="00486714">
              <w:t>18,776</w:t>
            </w:r>
          </w:p>
        </w:tc>
        <w:tc>
          <w:tcPr>
            <w:tcW w:w="742" w:type="pct"/>
          </w:tcPr>
          <w:p w14:paraId="1C970CFB" w14:textId="77777777" w:rsidR="00F85393" w:rsidRPr="00486714" w:rsidRDefault="00F85393" w:rsidP="00AD5D18">
            <w:pPr>
              <w:pStyle w:val="TableText"/>
              <w:jc w:val="right"/>
            </w:pPr>
            <w:r w:rsidRPr="00486714">
              <w:t>7</w:t>
            </w:r>
          </w:p>
        </w:tc>
      </w:tr>
      <w:tr w:rsidR="00F85393" w:rsidRPr="008E1CA7" w14:paraId="02A93F97" w14:textId="77777777" w:rsidTr="00DB16E8">
        <w:trPr>
          <w:tblHeader/>
        </w:trPr>
        <w:tc>
          <w:tcPr>
            <w:tcW w:w="547" w:type="pct"/>
            <w:vMerge/>
          </w:tcPr>
          <w:p w14:paraId="638A29F9" w14:textId="77777777" w:rsidR="00F85393" w:rsidRPr="008E1CA7" w:rsidRDefault="00F85393" w:rsidP="00AD5D18">
            <w:pPr>
              <w:pStyle w:val="TableText"/>
            </w:pPr>
          </w:p>
        </w:tc>
        <w:tc>
          <w:tcPr>
            <w:tcW w:w="1485" w:type="pct"/>
          </w:tcPr>
          <w:p w14:paraId="467917FD" w14:textId="77777777" w:rsidR="00F85393" w:rsidRPr="008E1CA7" w:rsidRDefault="00F85393" w:rsidP="00AD5D18">
            <w:pPr>
              <w:pStyle w:val="TableText"/>
            </w:pPr>
            <w:r w:rsidRPr="003101B5">
              <w:t>Compliance &amp; Enforcement</w:t>
            </w:r>
          </w:p>
        </w:tc>
        <w:tc>
          <w:tcPr>
            <w:tcW w:w="742" w:type="pct"/>
          </w:tcPr>
          <w:p w14:paraId="2E9A1948" w14:textId="445FEE8B" w:rsidR="00F85393" w:rsidRPr="008E1CA7" w:rsidRDefault="00F85393" w:rsidP="00AD5D18">
            <w:pPr>
              <w:pStyle w:val="TableText"/>
              <w:jc w:val="right"/>
            </w:pPr>
            <w:r w:rsidRPr="003101B5">
              <w:t>2,462,406</w:t>
            </w:r>
          </w:p>
        </w:tc>
        <w:tc>
          <w:tcPr>
            <w:tcW w:w="742" w:type="pct"/>
          </w:tcPr>
          <w:p w14:paraId="68C8A6DC" w14:textId="098B106B" w:rsidR="00F85393" w:rsidRPr="00486714" w:rsidRDefault="00F85393" w:rsidP="00AD5D18">
            <w:pPr>
              <w:pStyle w:val="TableText"/>
              <w:jc w:val="right"/>
            </w:pPr>
            <w:r w:rsidRPr="00486714">
              <w:t>2,521,660</w:t>
            </w:r>
          </w:p>
        </w:tc>
        <w:tc>
          <w:tcPr>
            <w:tcW w:w="742" w:type="pct"/>
          </w:tcPr>
          <w:p w14:paraId="74B63F9A" w14:textId="370194BD" w:rsidR="00F85393" w:rsidRPr="00486714" w:rsidRDefault="00F85393" w:rsidP="00AD5D18">
            <w:pPr>
              <w:pStyle w:val="TableText"/>
              <w:jc w:val="right"/>
            </w:pPr>
            <w:r w:rsidRPr="00486714">
              <w:t>(59,255)</w:t>
            </w:r>
          </w:p>
        </w:tc>
        <w:tc>
          <w:tcPr>
            <w:tcW w:w="742" w:type="pct"/>
          </w:tcPr>
          <w:p w14:paraId="0EB2F68D" w14:textId="77777777" w:rsidR="00F85393" w:rsidRPr="00486714" w:rsidRDefault="00F85393" w:rsidP="00AD5D18">
            <w:pPr>
              <w:pStyle w:val="TableText"/>
              <w:jc w:val="right"/>
            </w:pPr>
            <w:r w:rsidRPr="00486714">
              <w:t>(2)</w:t>
            </w:r>
          </w:p>
        </w:tc>
      </w:tr>
      <w:tr w:rsidR="00F85393" w:rsidRPr="008E1CA7" w14:paraId="0AEDDBEE" w14:textId="77777777" w:rsidTr="00DB16E8">
        <w:trPr>
          <w:tblHeader/>
        </w:trPr>
        <w:tc>
          <w:tcPr>
            <w:tcW w:w="547" w:type="pct"/>
            <w:vMerge/>
          </w:tcPr>
          <w:p w14:paraId="31F93875" w14:textId="77777777" w:rsidR="00F85393" w:rsidRPr="008E1CA7" w:rsidRDefault="00F85393" w:rsidP="00AD5D18">
            <w:pPr>
              <w:pStyle w:val="TableText"/>
            </w:pPr>
          </w:p>
        </w:tc>
        <w:tc>
          <w:tcPr>
            <w:tcW w:w="1485" w:type="pct"/>
          </w:tcPr>
          <w:p w14:paraId="40F7A79D" w14:textId="77777777" w:rsidR="00F85393" w:rsidRPr="008E1CA7" w:rsidRDefault="00F85393" w:rsidP="00AD5D18">
            <w:pPr>
              <w:pStyle w:val="TableText"/>
            </w:pPr>
            <w:r w:rsidRPr="003101B5">
              <w:t>Trade and International</w:t>
            </w:r>
          </w:p>
        </w:tc>
        <w:tc>
          <w:tcPr>
            <w:tcW w:w="742" w:type="pct"/>
          </w:tcPr>
          <w:p w14:paraId="77E60AF9" w14:textId="5CDEC781" w:rsidR="00F85393" w:rsidRPr="008E1CA7" w:rsidRDefault="00F85393" w:rsidP="00AD5D18">
            <w:pPr>
              <w:pStyle w:val="TableText"/>
              <w:jc w:val="right"/>
            </w:pPr>
            <w:r w:rsidRPr="003101B5">
              <w:t>126,961</w:t>
            </w:r>
          </w:p>
        </w:tc>
        <w:tc>
          <w:tcPr>
            <w:tcW w:w="742" w:type="pct"/>
          </w:tcPr>
          <w:p w14:paraId="4F3FE399" w14:textId="1E0DEBB0" w:rsidR="00F85393" w:rsidRPr="00486714" w:rsidRDefault="00F85393" w:rsidP="00AD5D18">
            <w:pPr>
              <w:pStyle w:val="TableText"/>
              <w:jc w:val="right"/>
            </w:pPr>
            <w:r w:rsidRPr="00486714">
              <w:t>136,858</w:t>
            </w:r>
          </w:p>
        </w:tc>
        <w:tc>
          <w:tcPr>
            <w:tcW w:w="742" w:type="pct"/>
          </w:tcPr>
          <w:p w14:paraId="610B4936" w14:textId="171784EC" w:rsidR="00F85393" w:rsidRPr="00486714" w:rsidRDefault="00F85393" w:rsidP="00AD5D18">
            <w:pPr>
              <w:pStyle w:val="TableText"/>
              <w:jc w:val="right"/>
            </w:pPr>
            <w:r w:rsidRPr="00486714">
              <w:t>(9,897)</w:t>
            </w:r>
          </w:p>
        </w:tc>
        <w:tc>
          <w:tcPr>
            <w:tcW w:w="742" w:type="pct"/>
          </w:tcPr>
          <w:p w14:paraId="09047449" w14:textId="77777777" w:rsidR="00F85393" w:rsidRPr="00486714" w:rsidRDefault="00F85393" w:rsidP="00AD5D18">
            <w:pPr>
              <w:pStyle w:val="TableText"/>
              <w:jc w:val="right"/>
            </w:pPr>
            <w:r w:rsidRPr="00486714">
              <w:t>(7)</w:t>
            </w:r>
          </w:p>
        </w:tc>
      </w:tr>
      <w:tr w:rsidR="00F85393" w:rsidRPr="008E1CA7" w14:paraId="74F30ADD" w14:textId="77777777" w:rsidTr="00DB16E8">
        <w:trPr>
          <w:tblHeader/>
        </w:trPr>
        <w:tc>
          <w:tcPr>
            <w:tcW w:w="547" w:type="pct"/>
            <w:vMerge/>
          </w:tcPr>
          <w:p w14:paraId="621AF0E8" w14:textId="77777777" w:rsidR="00F85393" w:rsidRPr="008E1CA7" w:rsidRDefault="00F85393" w:rsidP="00AD5D18">
            <w:pPr>
              <w:pStyle w:val="TableText"/>
            </w:pPr>
          </w:p>
        </w:tc>
        <w:tc>
          <w:tcPr>
            <w:tcW w:w="1485" w:type="pct"/>
          </w:tcPr>
          <w:p w14:paraId="3E98DE01" w14:textId="77777777" w:rsidR="00F85393" w:rsidRPr="008E1CA7" w:rsidRDefault="00F85393" w:rsidP="00AD5D18">
            <w:pPr>
              <w:pStyle w:val="TableText"/>
            </w:pPr>
            <w:r w:rsidRPr="003101B5">
              <w:t>Biosecurity Operations</w:t>
            </w:r>
          </w:p>
        </w:tc>
        <w:tc>
          <w:tcPr>
            <w:tcW w:w="742" w:type="pct"/>
          </w:tcPr>
          <w:p w14:paraId="0989B185" w14:textId="1BBBCF19" w:rsidR="00F85393" w:rsidRPr="008E1CA7" w:rsidRDefault="00F85393" w:rsidP="00AD5D18">
            <w:pPr>
              <w:pStyle w:val="TableText"/>
              <w:jc w:val="right"/>
            </w:pPr>
            <w:r w:rsidRPr="003101B5">
              <w:t>47,655</w:t>
            </w:r>
          </w:p>
        </w:tc>
        <w:tc>
          <w:tcPr>
            <w:tcW w:w="742" w:type="pct"/>
          </w:tcPr>
          <w:p w14:paraId="026BF70A" w14:textId="40F12961" w:rsidR="00F85393" w:rsidRPr="00486714" w:rsidRDefault="00F85393" w:rsidP="00AD5D18">
            <w:pPr>
              <w:pStyle w:val="TableText"/>
              <w:jc w:val="right"/>
            </w:pPr>
            <w:r w:rsidRPr="00486714">
              <w:t>94,531</w:t>
            </w:r>
          </w:p>
        </w:tc>
        <w:tc>
          <w:tcPr>
            <w:tcW w:w="742" w:type="pct"/>
          </w:tcPr>
          <w:p w14:paraId="02F0E532" w14:textId="7ECD4706" w:rsidR="00F85393" w:rsidRPr="00486714" w:rsidRDefault="00F85393" w:rsidP="00AD5D18">
            <w:pPr>
              <w:pStyle w:val="TableText"/>
              <w:jc w:val="right"/>
            </w:pPr>
            <w:r w:rsidRPr="00486714">
              <w:t>(46,875)</w:t>
            </w:r>
          </w:p>
        </w:tc>
        <w:tc>
          <w:tcPr>
            <w:tcW w:w="742" w:type="pct"/>
          </w:tcPr>
          <w:p w14:paraId="6E95693C" w14:textId="77777777" w:rsidR="00F85393" w:rsidRPr="00486714" w:rsidRDefault="00F85393" w:rsidP="00AD5D18">
            <w:pPr>
              <w:pStyle w:val="TableText"/>
              <w:jc w:val="right"/>
            </w:pPr>
            <w:r w:rsidRPr="00486714">
              <w:t>(50)</w:t>
            </w:r>
          </w:p>
        </w:tc>
      </w:tr>
      <w:tr w:rsidR="00F85393" w:rsidRPr="008E1CA7" w14:paraId="1FADBDC3" w14:textId="77777777" w:rsidTr="00DB16E8">
        <w:trPr>
          <w:tblHeader/>
        </w:trPr>
        <w:tc>
          <w:tcPr>
            <w:tcW w:w="547" w:type="pct"/>
            <w:vMerge/>
          </w:tcPr>
          <w:p w14:paraId="2AF4C463" w14:textId="77777777" w:rsidR="00F85393" w:rsidRPr="008E1CA7" w:rsidRDefault="00F85393" w:rsidP="00AD5D18">
            <w:pPr>
              <w:pStyle w:val="TableText"/>
            </w:pPr>
          </w:p>
        </w:tc>
        <w:tc>
          <w:tcPr>
            <w:tcW w:w="1485" w:type="pct"/>
          </w:tcPr>
          <w:p w14:paraId="0B1EC66F" w14:textId="77777777" w:rsidR="00F85393" w:rsidRPr="008E1CA7" w:rsidRDefault="00F85393" w:rsidP="00AD5D18">
            <w:pPr>
              <w:pStyle w:val="TableText"/>
            </w:pPr>
            <w:r w:rsidRPr="003101B5">
              <w:t>Biosecurity Plant and Science Services</w:t>
            </w:r>
          </w:p>
        </w:tc>
        <w:tc>
          <w:tcPr>
            <w:tcW w:w="742" w:type="pct"/>
          </w:tcPr>
          <w:p w14:paraId="36AF5A34" w14:textId="164B1E1C" w:rsidR="00F85393" w:rsidRPr="008E1CA7" w:rsidRDefault="00F85393" w:rsidP="00AD5D18">
            <w:pPr>
              <w:pStyle w:val="TableText"/>
              <w:jc w:val="right"/>
            </w:pPr>
            <w:r w:rsidRPr="003101B5">
              <w:t>1,025,498</w:t>
            </w:r>
          </w:p>
        </w:tc>
        <w:tc>
          <w:tcPr>
            <w:tcW w:w="742" w:type="pct"/>
          </w:tcPr>
          <w:p w14:paraId="00245A7B" w14:textId="4DA06BDC" w:rsidR="00F85393" w:rsidRPr="00486714" w:rsidRDefault="00F85393" w:rsidP="00AD5D18">
            <w:pPr>
              <w:pStyle w:val="TableText"/>
              <w:jc w:val="right"/>
              <w:rPr>
                <w:rFonts w:ascii="Calibri" w:hAnsi="Calibri" w:cs="Calibri"/>
                <w:color w:val="000000"/>
                <w:szCs w:val="18"/>
              </w:rPr>
            </w:pPr>
            <w:r w:rsidRPr="00486714">
              <w:t>1,039,174</w:t>
            </w:r>
          </w:p>
        </w:tc>
        <w:tc>
          <w:tcPr>
            <w:tcW w:w="742" w:type="pct"/>
          </w:tcPr>
          <w:p w14:paraId="0DAFCF24" w14:textId="1E56B6D5" w:rsidR="00F85393" w:rsidRPr="00486714" w:rsidRDefault="00F85393" w:rsidP="00AD5D18">
            <w:pPr>
              <w:pStyle w:val="TableText"/>
              <w:jc w:val="right"/>
            </w:pPr>
            <w:r w:rsidRPr="00486714">
              <w:t>(13,676)</w:t>
            </w:r>
          </w:p>
        </w:tc>
        <w:tc>
          <w:tcPr>
            <w:tcW w:w="742" w:type="pct"/>
          </w:tcPr>
          <w:p w14:paraId="2CAA633C" w14:textId="77777777" w:rsidR="00F85393" w:rsidRPr="00486714" w:rsidRDefault="00F85393" w:rsidP="00AD5D18">
            <w:pPr>
              <w:pStyle w:val="TableText"/>
              <w:jc w:val="right"/>
            </w:pPr>
            <w:r w:rsidRPr="00486714">
              <w:t>(1)</w:t>
            </w:r>
          </w:p>
        </w:tc>
      </w:tr>
      <w:tr w:rsidR="00F85393" w:rsidRPr="008E1CA7" w14:paraId="35B0B6F6" w14:textId="77777777" w:rsidTr="00DB16E8">
        <w:trPr>
          <w:tblHeader/>
        </w:trPr>
        <w:tc>
          <w:tcPr>
            <w:tcW w:w="547" w:type="pct"/>
            <w:vMerge/>
          </w:tcPr>
          <w:p w14:paraId="67559A09" w14:textId="77777777" w:rsidR="00F85393" w:rsidRPr="008E1CA7" w:rsidRDefault="00F85393" w:rsidP="00AD5D18">
            <w:pPr>
              <w:pStyle w:val="TableText"/>
            </w:pPr>
          </w:p>
        </w:tc>
        <w:tc>
          <w:tcPr>
            <w:tcW w:w="1485" w:type="pct"/>
          </w:tcPr>
          <w:p w14:paraId="5A032DF3" w14:textId="77777777" w:rsidR="00F85393" w:rsidRPr="008E1CA7" w:rsidRDefault="00F85393" w:rsidP="00AD5D18">
            <w:pPr>
              <w:pStyle w:val="TableText"/>
            </w:pPr>
            <w:r w:rsidRPr="003101B5">
              <w:t>Plant Protection &amp; Environmental Biosecurity</w:t>
            </w:r>
          </w:p>
        </w:tc>
        <w:tc>
          <w:tcPr>
            <w:tcW w:w="742" w:type="pct"/>
          </w:tcPr>
          <w:p w14:paraId="4706A595" w14:textId="3D29CE20" w:rsidR="00F85393" w:rsidRPr="008E1CA7" w:rsidRDefault="00F85393" w:rsidP="00AD5D18">
            <w:pPr>
              <w:pStyle w:val="TableText"/>
              <w:jc w:val="right"/>
            </w:pPr>
            <w:r w:rsidRPr="003101B5">
              <w:t>133,276</w:t>
            </w:r>
          </w:p>
        </w:tc>
        <w:tc>
          <w:tcPr>
            <w:tcW w:w="742" w:type="pct"/>
          </w:tcPr>
          <w:p w14:paraId="650B2AF4" w14:textId="2102F787" w:rsidR="00F85393" w:rsidRPr="00486714" w:rsidRDefault="00F85393" w:rsidP="00AD5D18">
            <w:pPr>
              <w:pStyle w:val="TableText"/>
              <w:jc w:val="right"/>
            </w:pPr>
            <w:r w:rsidRPr="00486714">
              <w:t>139,690</w:t>
            </w:r>
          </w:p>
        </w:tc>
        <w:tc>
          <w:tcPr>
            <w:tcW w:w="742" w:type="pct"/>
          </w:tcPr>
          <w:p w14:paraId="787BCD12" w14:textId="09DECCBD" w:rsidR="00F85393" w:rsidRPr="00486714" w:rsidRDefault="00F85393" w:rsidP="00AD5D18">
            <w:pPr>
              <w:pStyle w:val="TableText"/>
              <w:jc w:val="right"/>
            </w:pPr>
            <w:r w:rsidRPr="00486714">
              <w:t>(6,414)</w:t>
            </w:r>
          </w:p>
        </w:tc>
        <w:tc>
          <w:tcPr>
            <w:tcW w:w="742" w:type="pct"/>
          </w:tcPr>
          <w:p w14:paraId="40772419" w14:textId="77777777" w:rsidR="00F85393" w:rsidRPr="00486714" w:rsidRDefault="00F85393" w:rsidP="00AD5D18">
            <w:pPr>
              <w:pStyle w:val="TableText"/>
              <w:jc w:val="right"/>
            </w:pPr>
            <w:r w:rsidRPr="00486714">
              <w:t>(5)</w:t>
            </w:r>
          </w:p>
        </w:tc>
      </w:tr>
      <w:tr w:rsidR="00F85393" w:rsidRPr="008E1CA7" w14:paraId="52FFB476" w14:textId="77777777" w:rsidTr="00DB16E8">
        <w:trPr>
          <w:tblHeader/>
        </w:trPr>
        <w:tc>
          <w:tcPr>
            <w:tcW w:w="547" w:type="pct"/>
            <w:vMerge/>
          </w:tcPr>
          <w:p w14:paraId="5767DA13" w14:textId="77777777" w:rsidR="00F85393" w:rsidRPr="008E1CA7" w:rsidRDefault="00F85393" w:rsidP="00AD5D18">
            <w:pPr>
              <w:pStyle w:val="TableText"/>
            </w:pPr>
          </w:p>
        </w:tc>
        <w:tc>
          <w:tcPr>
            <w:tcW w:w="1485" w:type="pct"/>
          </w:tcPr>
          <w:p w14:paraId="4625FB85" w14:textId="77777777" w:rsidR="00F85393" w:rsidRPr="008E1CA7" w:rsidRDefault="00F85393" w:rsidP="00AD5D18">
            <w:pPr>
              <w:pStyle w:val="TableText"/>
            </w:pPr>
            <w:r w:rsidRPr="003101B5">
              <w:t>Biosecurity Strategy and Reform</w:t>
            </w:r>
          </w:p>
        </w:tc>
        <w:tc>
          <w:tcPr>
            <w:tcW w:w="742" w:type="pct"/>
          </w:tcPr>
          <w:p w14:paraId="3A2EF762" w14:textId="01503FEA" w:rsidR="00F85393" w:rsidRPr="008E1CA7" w:rsidRDefault="00F85393" w:rsidP="00AD5D18">
            <w:pPr>
              <w:pStyle w:val="TableText"/>
              <w:jc w:val="right"/>
            </w:pPr>
            <w:r w:rsidRPr="003101B5">
              <w:t>56</w:t>
            </w:r>
          </w:p>
        </w:tc>
        <w:tc>
          <w:tcPr>
            <w:tcW w:w="742" w:type="pct"/>
          </w:tcPr>
          <w:p w14:paraId="36D52AD1" w14:textId="6FEF0F39" w:rsidR="00F85393" w:rsidRPr="00486714" w:rsidRDefault="00ED5555" w:rsidP="00AD5D18">
            <w:pPr>
              <w:pStyle w:val="TableText"/>
              <w:jc w:val="right"/>
            </w:pPr>
            <w:r>
              <w:t>–</w:t>
            </w:r>
          </w:p>
        </w:tc>
        <w:tc>
          <w:tcPr>
            <w:tcW w:w="742" w:type="pct"/>
          </w:tcPr>
          <w:p w14:paraId="2AD860F4" w14:textId="5BBC9EB5" w:rsidR="00F85393" w:rsidRPr="00486714" w:rsidRDefault="00F85393" w:rsidP="00AD5D18">
            <w:pPr>
              <w:pStyle w:val="TableText"/>
              <w:jc w:val="right"/>
            </w:pPr>
            <w:r w:rsidRPr="00486714">
              <w:t>56</w:t>
            </w:r>
          </w:p>
        </w:tc>
        <w:tc>
          <w:tcPr>
            <w:tcW w:w="742" w:type="pct"/>
          </w:tcPr>
          <w:p w14:paraId="4A0C3FFD" w14:textId="77777777" w:rsidR="00F85393" w:rsidRPr="00486714" w:rsidRDefault="00F85393" w:rsidP="00AD5D18">
            <w:pPr>
              <w:pStyle w:val="TableText"/>
              <w:jc w:val="right"/>
            </w:pPr>
            <w:r w:rsidRPr="00486714">
              <w:t>0</w:t>
            </w:r>
          </w:p>
        </w:tc>
      </w:tr>
      <w:tr w:rsidR="00F85393" w:rsidRPr="008E1CA7" w14:paraId="321F8BDE" w14:textId="77777777" w:rsidTr="00DB16E8">
        <w:trPr>
          <w:tblHeader/>
        </w:trPr>
        <w:tc>
          <w:tcPr>
            <w:tcW w:w="547" w:type="pct"/>
          </w:tcPr>
          <w:p w14:paraId="36BAEDC2" w14:textId="77777777" w:rsidR="00F85393" w:rsidRPr="00F812A8" w:rsidRDefault="00F85393" w:rsidP="00AD5D18">
            <w:pPr>
              <w:pStyle w:val="TableText"/>
              <w:rPr>
                <w:rStyle w:val="Strong"/>
              </w:rPr>
            </w:pPr>
            <w:r w:rsidRPr="008E1CA7">
              <w:rPr>
                <w:rStyle w:val="Strong"/>
              </w:rPr>
              <w:t xml:space="preserve">Total direct expenses </w:t>
            </w:r>
          </w:p>
        </w:tc>
        <w:tc>
          <w:tcPr>
            <w:tcW w:w="1485" w:type="pct"/>
          </w:tcPr>
          <w:p w14:paraId="3C3FEB9E" w14:textId="34A6B804" w:rsidR="00F85393" w:rsidRPr="008E1CA7" w:rsidRDefault="00ED5555" w:rsidP="00AD5D18">
            <w:pPr>
              <w:pStyle w:val="TableText"/>
              <w:rPr>
                <w:rStyle w:val="Strong"/>
              </w:rPr>
            </w:pPr>
            <w:r>
              <w:rPr>
                <w:rStyle w:val="Strong"/>
              </w:rPr>
              <w:t>–</w:t>
            </w:r>
          </w:p>
        </w:tc>
        <w:tc>
          <w:tcPr>
            <w:tcW w:w="742" w:type="pct"/>
          </w:tcPr>
          <w:p w14:paraId="7B3ED274" w14:textId="026DB762" w:rsidR="00F85393" w:rsidRPr="00F812A8" w:rsidRDefault="00F85393" w:rsidP="00AD5D18">
            <w:pPr>
              <w:pStyle w:val="TableText"/>
              <w:jc w:val="right"/>
              <w:rPr>
                <w:rStyle w:val="Strong"/>
                <w:b w:val="0"/>
              </w:rPr>
            </w:pPr>
            <w:r w:rsidRPr="008867E1">
              <w:rPr>
                <w:b/>
              </w:rPr>
              <w:t>10,061,559</w:t>
            </w:r>
          </w:p>
        </w:tc>
        <w:tc>
          <w:tcPr>
            <w:tcW w:w="742" w:type="pct"/>
          </w:tcPr>
          <w:p w14:paraId="341CA5FA" w14:textId="736DB409" w:rsidR="00F85393" w:rsidRPr="00486714" w:rsidRDefault="00F85393" w:rsidP="00AD5D18">
            <w:pPr>
              <w:pStyle w:val="TableText"/>
              <w:jc w:val="right"/>
              <w:rPr>
                <w:rStyle w:val="Strong"/>
                <w:b w:val="0"/>
              </w:rPr>
            </w:pPr>
            <w:r w:rsidRPr="00486714">
              <w:rPr>
                <w:b/>
              </w:rPr>
              <w:t>10,371,430</w:t>
            </w:r>
          </w:p>
        </w:tc>
        <w:tc>
          <w:tcPr>
            <w:tcW w:w="742" w:type="pct"/>
          </w:tcPr>
          <w:p w14:paraId="4A1828C8" w14:textId="52A0B42E" w:rsidR="00F85393" w:rsidRPr="00486714" w:rsidRDefault="00F85393" w:rsidP="00AD5D18">
            <w:pPr>
              <w:pStyle w:val="TableText"/>
              <w:jc w:val="right"/>
              <w:rPr>
                <w:rStyle w:val="Strong"/>
                <w:b w:val="0"/>
              </w:rPr>
            </w:pPr>
            <w:r w:rsidRPr="00486714">
              <w:rPr>
                <w:b/>
              </w:rPr>
              <w:t>(309,871)</w:t>
            </w:r>
          </w:p>
        </w:tc>
        <w:tc>
          <w:tcPr>
            <w:tcW w:w="742" w:type="pct"/>
          </w:tcPr>
          <w:p w14:paraId="1BE16D01" w14:textId="77777777" w:rsidR="00F85393" w:rsidRPr="00486714" w:rsidRDefault="00F85393" w:rsidP="00AD5D18">
            <w:pPr>
              <w:pStyle w:val="TableText"/>
              <w:jc w:val="right"/>
              <w:rPr>
                <w:rStyle w:val="Strong"/>
                <w:b w:val="0"/>
              </w:rPr>
            </w:pPr>
            <w:r w:rsidRPr="00486714">
              <w:rPr>
                <w:b/>
              </w:rPr>
              <w:t>(3)</w:t>
            </w:r>
          </w:p>
        </w:tc>
      </w:tr>
      <w:tr w:rsidR="00F85393" w:rsidRPr="008E1CA7" w14:paraId="57163982" w14:textId="77777777" w:rsidTr="00DB16E8">
        <w:trPr>
          <w:tblHeader/>
        </w:trPr>
        <w:tc>
          <w:tcPr>
            <w:tcW w:w="547" w:type="pct"/>
            <w:vMerge w:val="restart"/>
          </w:tcPr>
          <w:p w14:paraId="7F458894" w14:textId="77777777" w:rsidR="00F85393" w:rsidRPr="008E1CA7" w:rsidRDefault="00F85393" w:rsidP="00AD5D18">
            <w:pPr>
              <w:pStyle w:val="TableText"/>
            </w:pPr>
            <w:r w:rsidRPr="008E1CA7">
              <w:t>Indirect</w:t>
            </w:r>
          </w:p>
        </w:tc>
        <w:tc>
          <w:tcPr>
            <w:tcW w:w="1485" w:type="pct"/>
          </w:tcPr>
          <w:p w14:paraId="29959A2A" w14:textId="77777777" w:rsidR="00F85393" w:rsidRPr="008E1CA7" w:rsidRDefault="00F85393" w:rsidP="00AD5D18">
            <w:pPr>
              <w:pStyle w:val="TableText"/>
            </w:pPr>
            <w:r w:rsidRPr="00D462DF">
              <w:t>Digital Services</w:t>
            </w:r>
          </w:p>
        </w:tc>
        <w:tc>
          <w:tcPr>
            <w:tcW w:w="742" w:type="pct"/>
          </w:tcPr>
          <w:p w14:paraId="6B481599" w14:textId="321A3B4F" w:rsidR="00F85393" w:rsidRPr="008E1CA7" w:rsidRDefault="00F85393" w:rsidP="00AD5D18">
            <w:pPr>
              <w:pStyle w:val="TableText"/>
              <w:jc w:val="right"/>
            </w:pPr>
            <w:r w:rsidRPr="00D462DF">
              <w:t>2,008,998</w:t>
            </w:r>
          </w:p>
        </w:tc>
        <w:tc>
          <w:tcPr>
            <w:tcW w:w="742" w:type="pct"/>
          </w:tcPr>
          <w:p w14:paraId="47716E57" w14:textId="52D46BAC" w:rsidR="00F85393" w:rsidRPr="00486714" w:rsidRDefault="00F85393" w:rsidP="00AD5D18">
            <w:pPr>
              <w:pStyle w:val="TableText"/>
              <w:jc w:val="right"/>
            </w:pPr>
            <w:r w:rsidRPr="00486714">
              <w:t>2,004,207</w:t>
            </w:r>
          </w:p>
        </w:tc>
        <w:tc>
          <w:tcPr>
            <w:tcW w:w="742" w:type="pct"/>
          </w:tcPr>
          <w:p w14:paraId="65A2DED6" w14:textId="6446A938" w:rsidR="00F85393" w:rsidRPr="00486714" w:rsidRDefault="00F85393" w:rsidP="00AD5D18">
            <w:pPr>
              <w:pStyle w:val="TableText"/>
              <w:jc w:val="right"/>
            </w:pPr>
            <w:r w:rsidRPr="00486714">
              <w:t>4,791</w:t>
            </w:r>
          </w:p>
        </w:tc>
        <w:tc>
          <w:tcPr>
            <w:tcW w:w="742" w:type="pct"/>
          </w:tcPr>
          <w:p w14:paraId="344BB2C7" w14:textId="77777777" w:rsidR="00F85393" w:rsidRPr="00486714" w:rsidRDefault="00F85393" w:rsidP="00AD5D18">
            <w:pPr>
              <w:pStyle w:val="TableText"/>
              <w:jc w:val="right"/>
            </w:pPr>
            <w:r w:rsidRPr="00486714">
              <w:t>0</w:t>
            </w:r>
          </w:p>
        </w:tc>
      </w:tr>
      <w:tr w:rsidR="00F85393" w:rsidRPr="008E1CA7" w14:paraId="64F5B391" w14:textId="77777777" w:rsidTr="00DB16E8">
        <w:trPr>
          <w:tblHeader/>
        </w:trPr>
        <w:tc>
          <w:tcPr>
            <w:tcW w:w="547" w:type="pct"/>
            <w:vMerge/>
          </w:tcPr>
          <w:p w14:paraId="0AA9196E" w14:textId="77777777" w:rsidR="00F85393" w:rsidRPr="008E1CA7" w:rsidRDefault="00F85393" w:rsidP="00AD5D18">
            <w:pPr>
              <w:pStyle w:val="TableText"/>
            </w:pPr>
          </w:p>
        </w:tc>
        <w:tc>
          <w:tcPr>
            <w:tcW w:w="1485" w:type="pct"/>
          </w:tcPr>
          <w:p w14:paraId="14414557" w14:textId="77777777" w:rsidR="00F85393" w:rsidRPr="008E1CA7" w:rsidRDefault="00F85393" w:rsidP="00AD5D18">
            <w:pPr>
              <w:pStyle w:val="TableText"/>
            </w:pPr>
            <w:r w:rsidRPr="00D462DF">
              <w:t>People, Property &amp; Security</w:t>
            </w:r>
          </w:p>
        </w:tc>
        <w:tc>
          <w:tcPr>
            <w:tcW w:w="742" w:type="pct"/>
          </w:tcPr>
          <w:p w14:paraId="270DCCCF" w14:textId="19EDE954" w:rsidR="00F85393" w:rsidRPr="008E1CA7" w:rsidRDefault="00F85393" w:rsidP="00AD5D18">
            <w:pPr>
              <w:pStyle w:val="TableText"/>
              <w:jc w:val="right"/>
            </w:pPr>
            <w:r w:rsidRPr="00D462DF">
              <w:t>1,543,016</w:t>
            </w:r>
          </w:p>
        </w:tc>
        <w:tc>
          <w:tcPr>
            <w:tcW w:w="742" w:type="pct"/>
          </w:tcPr>
          <w:p w14:paraId="5776EF80" w14:textId="105EE607" w:rsidR="00F85393" w:rsidRPr="00486714" w:rsidRDefault="00F85393" w:rsidP="00AD5D18">
            <w:pPr>
              <w:pStyle w:val="TableText"/>
              <w:jc w:val="right"/>
            </w:pPr>
            <w:r w:rsidRPr="00486714">
              <w:t>1,564,022</w:t>
            </w:r>
          </w:p>
        </w:tc>
        <w:tc>
          <w:tcPr>
            <w:tcW w:w="742" w:type="pct"/>
          </w:tcPr>
          <w:p w14:paraId="08CED439" w14:textId="23AB621A" w:rsidR="00F85393" w:rsidRPr="00486714" w:rsidRDefault="00F85393" w:rsidP="00AD5D18">
            <w:pPr>
              <w:pStyle w:val="TableText"/>
              <w:jc w:val="right"/>
            </w:pPr>
            <w:r w:rsidRPr="00486714">
              <w:t>(21,006)</w:t>
            </w:r>
          </w:p>
        </w:tc>
        <w:tc>
          <w:tcPr>
            <w:tcW w:w="742" w:type="pct"/>
          </w:tcPr>
          <w:p w14:paraId="01B05691" w14:textId="77777777" w:rsidR="00F85393" w:rsidRPr="00486714" w:rsidRDefault="00F85393" w:rsidP="00AD5D18">
            <w:pPr>
              <w:pStyle w:val="TableText"/>
              <w:jc w:val="right"/>
            </w:pPr>
            <w:r w:rsidRPr="00486714">
              <w:t>(1)</w:t>
            </w:r>
          </w:p>
        </w:tc>
      </w:tr>
      <w:tr w:rsidR="00F85393" w:rsidRPr="008E1CA7" w14:paraId="1E697146" w14:textId="77777777" w:rsidTr="00DB16E8">
        <w:trPr>
          <w:tblHeader/>
        </w:trPr>
        <w:tc>
          <w:tcPr>
            <w:tcW w:w="547" w:type="pct"/>
            <w:vMerge/>
          </w:tcPr>
          <w:p w14:paraId="40F6B90A" w14:textId="77777777" w:rsidR="00F85393" w:rsidRPr="008E1CA7" w:rsidRDefault="00F85393" w:rsidP="00AD5D18">
            <w:pPr>
              <w:pStyle w:val="TableText"/>
            </w:pPr>
          </w:p>
        </w:tc>
        <w:tc>
          <w:tcPr>
            <w:tcW w:w="1485" w:type="pct"/>
          </w:tcPr>
          <w:p w14:paraId="54258CAC" w14:textId="77777777" w:rsidR="00F85393" w:rsidRPr="008E1CA7" w:rsidRDefault="00F85393" w:rsidP="00AD5D18">
            <w:pPr>
              <w:pStyle w:val="TableText"/>
            </w:pPr>
            <w:r w:rsidRPr="00D462DF">
              <w:t>Finance and Investment</w:t>
            </w:r>
          </w:p>
        </w:tc>
        <w:tc>
          <w:tcPr>
            <w:tcW w:w="742" w:type="pct"/>
          </w:tcPr>
          <w:p w14:paraId="3F928CBC" w14:textId="10605A80" w:rsidR="00F85393" w:rsidRPr="008E1CA7" w:rsidRDefault="00F85393" w:rsidP="00AD5D18">
            <w:pPr>
              <w:pStyle w:val="TableText"/>
              <w:jc w:val="right"/>
            </w:pPr>
            <w:r w:rsidRPr="00D462DF">
              <w:t>753,023</w:t>
            </w:r>
          </w:p>
        </w:tc>
        <w:tc>
          <w:tcPr>
            <w:tcW w:w="742" w:type="pct"/>
          </w:tcPr>
          <w:p w14:paraId="742DD180" w14:textId="5714862C" w:rsidR="00F85393" w:rsidRPr="00486714" w:rsidRDefault="00F85393" w:rsidP="00AD5D18">
            <w:pPr>
              <w:pStyle w:val="TableText"/>
              <w:jc w:val="right"/>
            </w:pPr>
            <w:r w:rsidRPr="00486714">
              <w:t>827,086</w:t>
            </w:r>
          </w:p>
        </w:tc>
        <w:tc>
          <w:tcPr>
            <w:tcW w:w="742" w:type="pct"/>
          </w:tcPr>
          <w:p w14:paraId="1CCB0719" w14:textId="496C22BF" w:rsidR="00F85393" w:rsidRPr="00486714" w:rsidRDefault="00F85393" w:rsidP="00AD5D18">
            <w:pPr>
              <w:pStyle w:val="TableText"/>
              <w:jc w:val="right"/>
            </w:pPr>
            <w:r w:rsidRPr="00486714">
              <w:t>(74,063)</w:t>
            </w:r>
          </w:p>
        </w:tc>
        <w:tc>
          <w:tcPr>
            <w:tcW w:w="742" w:type="pct"/>
          </w:tcPr>
          <w:p w14:paraId="33DC1DA1" w14:textId="77777777" w:rsidR="00F85393" w:rsidRPr="00486714" w:rsidRDefault="00F85393" w:rsidP="00AD5D18">
            <w:pPr>
              <w:pStyle w:val="TableText"/>
              <w:jc w:val="right"/>
            </w:pPr>
            <w:r w:rsidRPr="00486714">
              <w:t>(9)</w:t>
            </w:r>
          </w:p>
        </w:tc>
      </w:tr>
      <w:tr w:rsidR="00F85393" w:rsidRPr="008E1CA7" w14:paraId="4DEFCF12" w14:textId="77777777" w:rsidTr="00DB16E8">
        <w:trPr>
          <w:tblHeader/>
        </w:trPr>
        <w:tc>
          <w:tcPr>
            <w:tcW w:w="547" w:type="pct"/>
            <w:vMerge/>
          </w:tcPr>
          <w:p w14:paraId="4E2B3E5B" w14:textId="77777777" w:rsidR="00F85393" w:rsidRPr="008E1CA7" w:rsidRDefault="00F85393" w:rsidP="00AD5D18">
            <w:pPr>
              <w:pStyle w:val="TableText"/>
            </w:pPr>
          </w:p>
        </w:tc>
        <w:tc>
          <w:tcPr>
            <w:tcW w:w="1485" w:type="pct"/>
          </w:tcPr>
          <w:p w14:paraId="6C03FE2D" w14:textId="77777777" w:rsidR="00F85393" w:rsidRPr="008E1CA7" w:rsidRDefault="00F85393" w:rsidP="00AD5D18">
            <w:pPr>
              <w:pStyle w:val="TableText"/>
            </w:pPr>
            <w:r w:rsidRPr="00D462DF">
              <w:t>Legal</w:t>
            </w:r>
          </w:p>
        </w:tc>
        <w:tc>
          <w:tcPr>
            <w:tcW w:w="742" w:type="pct"/>
          </w:tcPr>
          <w:p w14:paraId="703AEB5F" w14:textId="795F7246" w:rsidR="00F85393" w:rsidRPr="008E1CA7" w:rsidRDefault="00F85393" w:rsidP="00AD5D18">
            <w:pPr>
              <w:pStyle w:val="TableText"/>
              <w:jc w:val="right"/>
            </w:pPr>
            <w:r w:rsidRPr="00D462DF">
              <w:t>205,341</w:t>
            </w:r>
          </w:p>
        </w:tc>
        <w:tc>
          <w:tcPr>
            <w:tcW w:w="742" w:type="pct"/>
          </w:tcPr>
          <w:p w14:paraId="1F64926D" w14:textId="40C8FE6D" w:rsidR="00F85393" w:rsidRPr="00486714" w:rsidRDefault="00F85393" w:rsidP="00AD5D18">
            <w:pPr>
              <w:pStyle w:val="TableText"/>
              <w:jc w:val="right"/>
            </w:pPr>
            <w:r w:rsidRPr="00486714">
              <w:t>216,874</w:t>
            </w:r>
          </w:p>
        </w:tc>
        <w:tc>
          <w:tcPr>
            <w:tcW w:w="742" w:type="pct"/>
          </w:tcPr>
          <w:p w14:paraId="70521D43" w14:textId="79D57090" w:rsidR="00F85393" w:rsidRPr="00486714" w:rsidRDefault="00F85393" w:rsidP="00AD5D18">
            <w:pPr>
              <w:pStyle w:val="TableText"/>
              <w:jc w:val="right"/>
            </w:pPr>
            <w:r w:rsidRPr="00486714">
              <w:t>(11,533)</w:t>
            </w:r>
          </w:p>
        </w:tc>
        <w:tc>
          <w:tcPr>
            <w:tcW w:w="742" w:type="pct"/>
          </w:tcPr>
          <w:p w14:paraId="19397FFD" w14:textId="77777777" w:rsidR="00F85393" w:rsidRPr="00486714" w:rsidRDefault="00F85393" w:rsidP="00AD5D18">
            <w:pPr>
              <w:pStyle w:val="TableText"/>
              <w:jc w:val="right"/>
            </w:pPr>
            <w:r w:rsidRPr="00486714">
              <w:t>(5)</w:t>
            </w:r>
          </w:p>
        </w:tc>
      </w:tr>
      <w:tr w:rsidR="00F85393" w:rsidRPr="008E1CA7" w14:paraId="3F79E775" w14:textId="77777777" w:rsidTr="00DB16E8">
        <w:trPr>
          <w:tblHeader/>
        </w:trPr>
        <w:tc>
          <w:tcPr>
            <w:tcW w:w="547" w:type="pct"/>
            <w:vMerge/>
          </w:tcPr>
          <w:p w14:paraId="03E7CE4B" w14:textId="77777777" w:rsidR="00F85393" w:rsidRPr="008E1CA7" w:rsidRDefault="00F85393" w:rsidP="00AD5D18">
            <w:pPr>
              <w:pStyle w:val="TableText"/>
            </w:pPr>
          </w:p>
        </w:tc>
        <w:tc>
          <w:tcPr>
            <w:tcW w:w="1485" w:type="pct"/>
          </w:tcPr>
          <w:p w14:paraId="6EE1C42C" w14:textId="77777777" w:rsidR="00F85393" w:rsidRPr="008E1CA7" w:rsidRDefault="00F85393" w:rsidP="00AD5D18">
            <w:pPr>
              <w:pStyle w:val="TableText"/>
            </w:pPr>
            <w:r w:rsidRPr="00D462DF">
              <w:t>Strategy Performance and Engagement</w:t>
            </w:r>
          </w:p>
        </w:tc>
        <w:tc>
          <w:tcPr>
            <w:tcW w:w="742" w:type="pct"/>
          </w:tcPr>
          <w:p w14:paraId="662FBD46" w14:textId="64D08EFE" w:rsidR="00F85393" w:rsidRPr="008E1CA7" w:rsidRDefault="00F85393" w:rsidP="00AD5D18">
            <w:pPr>
              <w:pStyle w:val="TableText"/>
              <w:jc w:val="right"/>
            </w:pPr>
            <w:r w:rsidRPr="00D462DF">
              <w:t>115,498</w:t>
            </w:r>
          </w:p>
        </w:tc>
        <w:tc>
          <w:tcPr>
            <w:tcW w:w="742" w:type="pct"/>
          </w:tcPr>
          <w:p w14:paraId="507D18D8" w14:textId="1F48FA0B" w:rsidR="00F85393" w:rsidRPr="00486714" w:rsidRDefault="00F85393" w:rsidP="00AD5D18">
            <w:pPr>
              <w:pStyle w:val="TableText"/>
              <w:jc w:val="right"/>
            </w:pPr>
            <w:r w:rsidRPr="00486714">
              <w:t>131,950</w:t>
            </w:r>
          </w:p>
        </w:tc>
        <w:tc>
          <w:tcPr>
            <w:tcW w:w="742" w:type="pct"/>
          </w:tcPr>
          <w:p w14:paraId="6A2EFE51" w14:textId="4DAD40FA" w:rsidR="00F85393" w:rsidRPr="00486714" w:rsidRDefault="00F85393" w:rsidP="00AD5D18">
            <w:pPr>
              <w:pStyle w:val="TableText"/>
              <w:jc w:val="right"/>
            </w:pPr>
            <w:r w:rsidRPr="00486714">
              <w:t>(16,451)</w:t>
            </w:r>
          </w:p>
        </w:tc>
        <w:tc>
          <w:tcPr>
            <w:tcW w:w="742" w:type="pct"/>
          </w:tcPr>
          <w:p w14:paraId="27DF6030" w14:textId="77777777" w:rsidR="00F85393" w:rsidRPr="00486714" w:rsidRDefault="00F85393" w:rsidP="00AD5D18">
            <w:pPr>
              <w:pStyle w:val="TableText"/>
              <w:jc w:val="right"/>
            </w:pPr>
            <w:r w:rsidRPr="00486714">
              <w:t>(12)</w:t>
            </w:r>
          </w:p>
        </w:tc>
      </w:tr>
      <w:tr w:rsidR="00F85393" w:rsidRPr="008E1CA7" w14:paraId="3CEBF027" w14:textId="77777777" w:rsidTr="00DB16E8">
        <w:trPr>
          <w:tblHeader/>
        </w:trPr>
        <w:tc>
          <w:tcPr>
            <w:tcW w:w="547" w:type="pct"/>
            <w:vMerge/>
          </w:tcPr>
          <w:p w14:paraId="42B13B10" w14:textId="77777777" w:rsidR="00F85393" w:rsidRPr="008E1CA7" w:rsidRDefault="00F85393" w:rsidP="00AD5D18">
            <w:pPr>
              <w:pStyle w:val="TableText"/>
            </w:pPr>
          </w:p>
        </w:tc>
        <w:tc>
          <w:tcPr>
            <w:tcW w:w="1485" w:type="pct"/>
          </w:tcPr>
          <w:p w14:paraId="24339A33" w14:textId="77777777" w:rsidR="00F85393" w:rsidRPr="008E1CA7" w:rsidRDefault="00F85393" w:rsidP="00AD5D18">
            <w:pPr>
              <w:pStyle w:val="TableText"/>
            </w:pPr>
            <w:r w:rsidRPr="00D462DF">
              <w:t>Central Funds</w:t>
            </w:r>
          </w:p>
        </w:tc>
        <w:tc>
          <w:tcPr>
            <w:tcW w:w="742" w:type="pct"/>
          </w:tcPr>
          <w:p w14:paraId="6AAF51A5" w14:textId="191BBA80" w:rsidR="00F85393" w:rsidRPr="008E1CA7" w:rsidRDefault="00F85393" w:rsidP="00AD5D18">
            <w:pPr>
              <w:pStyle w:val="TableText"/>
              <w:jc w:val="right"/>
            </w:pPr>
            <w:r w:rsidRPr="00D462DF">
              <w:t>15,343</w:t>
            </w:r>
          </w:p>
        </w:tc>
        <w:tc>
          <w:tcPr>
            <w:tcW w:w="742" w:type="pct"/>
          </w:tcPr>
          <w:p w14:paraId="62DC0CD8" w14:textId="2923EE63" w:rsidR="00F85393" w:rsidRPr="00486714" w:rsidRDefault="00F85393" w:rsidP="00AD5D18">
            <w:pPr>
              <w:pStyle w:val="TableText"/>
              <w:jc w:val="right"/>
            </w:pPr>
            <w:r w:rsidRPr="00486714">
              <w:t>24,010</w:t>
            </w:r>
          </w:p>
        </w:tc>
        <w:tc>
          <w:tcPr>
            <w:tcW w:w="742" w:type="pct"/>
          </w:tcPr>
          <w:p w14:paraId="2EE59582" w14:textId="627D122C" w:rsidR="00F85393" w:rsidRPr="00486714" w:rsidRDefault="00F85393" w:rsidP="00AD5D18">
            <w:pPr>
              <w:pStyle w:val="TableText"/>
              <w:jc w:val="right"/>
            </w:pPr>
            <w:r w:rsidRPr="00486714">
              <w:t>(8,667)</w:t>
            </w:r>
          </w:p>
        </w:tc>
        <w:tc>
          <w:tcPr>
            <w:tcW w:w="742" w:type="pct"/>
          </w:tcPr>
          <w:p w14:paraId="38A56A4D" w14:textId="77777777" w:rsidR="00F85393" w:rsidRPr="00486714" w:rsidRDefault="00F85393" w:rsidP="00AD5D18">
            <w:pPr>
              <w:pStyle w:val="TableText"/>
              <w:jc w:val="right"/>
            </w:pPr>
            <w:r w:rsidRPr="00486714">
              <w:t>(36)</w:t>
            </w:r>
          </w:p>
        </w:tc>
      </w:tr>
      <w:tr w:rsidR="00F85393" w:rsidRPr="008E1CA7" w14:paraId="53A86EDB" w14:textId="77777777" w:rsidTr="00DB16E8">
        <w:trPr>
          <w:tblHeader/>
        </w:trPr>
        <w:tc>
          <w:tcPr>
            <w:tcW w:w="547" w:type="pct"/>
            <w:vMerge/>
          </w:tcPr>
          <w:p w14:paraId="4268DC63" w14:textId="77777777" w:rsidR="00F85393" w:rsidRPr="008E1CA7" w:rsidRDefault="00F85393" w:rsidP="00AD5D18">
            <w:pPr>
              <w:pStyle w:val="TableText"/>
            </w:pPr>
          </w:p>
        </w:tc>
        <w:tc>
          <w:tcPr>
            <w:tcW w:w="1485" w:type="pct"/>
          </w:tcPr>
          <w:p w14:paraId="4BDBA219" w14:textId="77777777" w:rsidR="00F85393" w:rsidRPr="008E1CA7" w:rsidRDefault="00F85393" w:rsidP="00AD5D18">
            <w:pPr>
              <w:pStyle w:val="TableText"/>
            </w:pPr>
            <w:r w:rsidRPr="00D462DF">
              <w:t>Transformation Taskforce</w:t>
            </w:r>
          </w:p>
        </w:tc>
        <w:tc>
          <w:tcPr>
            <w:tcW w:w="742" w:type="pct"/>
          </w:tcPr>
          <w:p w14:paraId="43E674A5" w14:textId="6DA1F243" w:rsidR="00F85393" w:rsidRPr="008E1CA7" w:rsidRDefault="00F85393" w:rsidP="00AD5D18">
            <w:pPr>
              <w:pStyle w:val="TableText"/>
              <w:jc w:val="right"/>
            </w:pPr>
            <w:r w:rsidRPr="00D462DF">
              <w:t>7,487</w:t>
            </w:r>
          </w:p>
        </w:tc>
        <w:tc>
          <w:tcPr>
            <w:tcW w:w="742" w:type="pct"/>
          </w:tcPr>
          <w:p w14:paraId="7B15B66E" w14:textId="0ADC8326" w:rsidR="00F85393" w:rsidRPr="00486714" w:rsidRDefault="00F85393" w:rsidP="00AD5D18">
            <w:pPr>
              <w:pStyle w:val="TableText"/>
              <w:jc w:val="right"/>
            </w:pPr>
            <w:r w:rsidRPr="00486714">
              <w:t>7,417</w:t>
            </w:r>
          </w:p>
        </w:tc>
        <w:tc>
          <w:tcPr>
            <w:tcW w:w="742" w:type="pct"/>
          </w:tcPr>
          <w:p w14:paraId="0B0487A9" w14:textId="3F220ADC" w:rsidR="00F85393" w:rsidRPr="00486714" w:rsidRDefault="00F85393" w:rsidP="00AD5D18">
            <w:pPr>
              <w:pStyle w:val="TableText"/>
              <w:jc w:val="right"/>
            </w:pPr>
            <w:r w:rsidRPr="00486714">
              <w:t>70</w:t>
            </w:r>
          </w:p>
        </w:tc>
        <w:tc>
          <w:tcPr>
            <w:tcW w:w="742" w:type="pct"/>
          </w:tcPr>
          <w:p w14:paraId="47D50EDF" w14:textId="77777777" w:rsidR="00F85393" w:rsidRPr="00486714" w:rsidRDefault="00F85393" w:rsidP="00AD5D18">
            <w:pPr>
              <w:pStyle w:val="TableText"/>
              <w:jc w:val="right"/>
            </w:pPr>
            <w:r w:rsidRPr="00486714">
              <w:t>1</w:t>
            </w:r>
          </w:p>
        </w:tc>
      </w:tr>
      <w:tr w:rsidR="00F85393" w:rsidRPr="008E1CA7" w14:paraId="4B2241C2" w14:textId="77777777" w:rsidTr="00DB16E8">
        <w:trPr>
          <w:tblHeader/>
        </w:trPr>
        <w:tc>
          <w:tcPr>
            <w:tcW w:w="547" w:type="pct"/>
          </w:tcPr>
          <w:p w14:paraId="7FB1AC55" w14:textId="032EB023" w:rsidR="00F85393" w:rsidRPr="00F812A8" w:rsidRDefault="00F85393" w:rsidP="00AD5D18">
            <w:pPr>
              <w:pStyle w:val="TableText"/>
              <w:rPr>
                <w:rStyle w:val="Strong"/>
              </w:rPr>
            </w:pPr>
            <w:r w:rsidRPr="008E1CA7">
              <w:rPr>
                <w:rStyle w:val="Strong"/>
              </w:rPr>
              <w:t xml:space="preserve">Total </w:t>
            </w:r>
            <w:r w:rsidR="00CD4802">
              <w:rPr>
                <w:rStyle w:val="Strong"/>
              </w:rPr>
              <w:t>i</w:t>
            </w:r>
            <w:r w:rsidRPr="008E1CA7">
              <w:rPr>
                <w:rStyle w:val="Strong"/>
              </w:rPr>
              <w:t xml:space="preserve">ndirect </w:t>
            </w:r>
            <w:r w:rsidR="00CD4802">
              <w:rPr>
                <w:rStyle w:val="Strong"/>
              </w:rPr>
              <w:t>e</w:t>
            </w:r>
            <w:r w:rsidRPr="008E1CA7">
              <w:rPr>
                <w:rStyle w:val="Strong"/>
              </w:rPr>
              <w:t>xpenses</w:t>
            </w:r>
          </w:p>
        </w:tc>
        <w:tc>
          <w:tcPr>
            <w:tcW w:w="1485" w:type="pct"/>
          </w:tcPr>
          <w:p w14:paraId="5E2D44D8" w14:textId="61E88B88" w:rsidR="00F85393" w:rsidRPr="008E1CA7" w:rsidRDefault="009601E2" w:rsidP="00AD5D18">
            <w:pPr>
              <w:pStyle w:val="TableText"/>
              <w:rPr>
                <w:rStyle w:val="Strong"/>
              </w:rPr>
            </w:pPr>
            <w:r>
              <w:rPr>
                <w:rStyle w:val="Strong"/>
              </w:rPr>
              <w:t>–</w:t>
            </w:r>
          </w:p>
        </w:tc>
        <w:tc>
          <w:tcPr>
            <w:tcW w:w="742" w:type="pct"/>
          </w:tcPr>
          <w:p w14:paraId="09B6F800" w14:textId="75E7E6FA" w:rsidR="00F85393" w:rsidRPr="00F812A8" w:rsidRDefault="00F85393" w:rsidP="00AD5D18">
            <w:pPr>
              <w:pStyle w:val="TableText"/>
              <w:jc w:val="right"/>
              <w:rPr>
                <w:rStyle w:val="Strong"/>
                <w:b w:val="0"/>
              </w:rPr>
            </w:pPr>
            <w:r w:rsidRPr="00CC6AB7">
              <w:rPr>
                <w:b/>
                <w:bCs/>
              </w:rPr>
              <w:t>4,648,707</w:t>
            </w:r>
          </w:p>
        </w:tc>
        <w:tc>
          <w:tcPr>
            <w:tcW w:w="742" w:type="pct"/>
          </w:tcPr>
          <w:p w14:paraId="4B54D032" w14:textId="5C840233" w:rsidR="00F85393" w:rsidRPr="00486714" w:rsidRDefault="00F85393" w:rsidP="00AD5D18">
            <w:pPr>
              <w:pStyle w:val="TableText"/>
              <w:jc w:val="right"/>
              <w:rPr>
                <w:rStyle w:val="Strong"/>
                <w:b w:val="0"/>
              </w:rPr>
            </w:pPr>
            <w:r w:rsidRPr="00486714">
              <w:rPr>
                <w:b/>
                <w:bCs/>
              </w:rPr>
              <w:t>4,775,566</w:t>
            </w:r>
          </w:p>
        </w:tc>
        <w:tc>
          <w:tcPr>
            <w:tcW w:w="742" w:type="pct"/>
          </w:tcPr>
          <w:p w14:paraId="0FC3F0D9" w14:textId="4F554EC5" w:rsidR="00F85393" w:rsidRPr="00486714" w:rsidRDefault="00F85393" w:rsidP="00AD5D18">
            <w:pPr>
              <w:pStyle w:val="TableText"/>
              <w:jc w:val="right"/>
              <w:rPr>
                <w:rStyle w:val="Strong"/>
                <w:b w:val="0"/>
              </w:rPr>
            </w:pPr>
            <w:r w:rsidRPr="00486714">
              <w:rPr>
                <w:b/>
                <w:bCs/>
              </w:rPr>
              <w:t>(126,859)</w:t>
            </w:r>
          </w:p>
        </w:tc>
        <w:tc>
          <w:tcPr>
            <w:tcW w:w="742" w:type="pct"/>
          </w:tcPr>
          <w:p w14:paraId="6AFB70C6" w14:textId="77777777" w:rsidR="00F85393" w:rsidRPr="00486714" w:rsidRDefault="00F85393" w:rsidP="00AD5D18">
            <w:pPr>
              <w:pStyle w:val="TableText"/>
              <w:jc w:val="right"/>
              <w:rPr>
                <w:rStyle w:val="Strong"/>
                <w:b w:val="0"/>
              </w:rPr>
            </w:pPr>
            <w:r w:rsidRPr="00486714">
              <w:rPr>
                <w:b/>
                <w:bCs/>
              </w:rPr>
              <w:t>(3)</w:t>
            </w:r>
          </w:p>
        </w:tc>
      </w:tr>
      <w:tr w:rsidR="00F85393" w:rsidRPr="008E1CA7" w14:paraId="774AF419" w14:textId="77777777" w:rsidTr="00DB16E8">
        <w:trPr>
          <w:tblHeader/>
        </w:trPr>
        <w:tc>
          <w:tcPr>
            <w:tcW w:w="547" w:type="pct"/>
          </w:tcPr>
          <w:p w14:paraId="7C41839E" w14:textId="3ABAE1FD" w:rsidR="00F85393" w:rsidRPr="00F812A8" w:rsidRDefault="00F85393" w:rsidP="00AD5D18">
            <w:pPr>
              <w:pStyle w:val="TableText"/>
              <w:rPr>
                <w:rStyle w:val="Strong"/>
              </w:rPr>
            </w:pPr>
            <w:r w:rsidRPr="008E1CA7">
              <w:rPr>
                <w:rStyle w:val="Strong"/>
              </w:rPr>
              <w:t xml:space="preserve">Total </w:t>
            </w:r>
            <w:r w:rsidR="00CD4802">
              <w:rPr>
                <w:rStyle w:val="Strong"/>
              </w:rPr>
              <w:t>e</w:t>
            </w:r>
            <w:r w:rsidRPr="008E1CA7">
              <w:rPr>
                <w:rStyle w:val="Strong"/>
              </w:rPr>
              <w:t>xpense</w:t>
            </w:r>
          </w:p>
        </w:tc>
        <w:tc>
          <w:tcPr>
            <w:tcW w:w="1485" w:type="pct"/>
          </w:tcPr>
          <w:p w14:paraId="786343EC" w14:textId="1855366D" w:rsidR="00F85393" w:rsidRPr="008E1CA7" w:rsidRDefault="00ED5555" w:rsidP="00AD5D18">
            <w:pPr>
              <w:pStyle w:val="TableText"/>
              <w:rPr>
                <w:rStyle w:val="Strong"/>
              </w:rPr>
            </w:pPr>
            <w:r>
              <w:rPr>
                <w:rStyle w:val="Strong"/>
              </w:rPr>
              <w:t>–</w:t>
            </w:r>
          </w:p>
        </w:tc>
        <w:tc>
          <w:tcPr>
            <w:tcW w:w="742" w:type="pct"/>
          </w:tcPr>
          <w:p w14:paraId="1331BAEF" w14:textId="21FA510E" w:rsidR="00F85393" w:rsidRPr="00F812A8" w:rsidRDefault="00F85393" w:rsidP="00AD5D18">
            <w:pPr>
              <w:pStyle w:val="TableText"/>
              <w:jc w:val="right"/>
              <w:rPr>
                <w:rStyle w:val="Strong"/>
                <w:b w:val="0"/>
              </w:rPr>
            </w:pPr>
            <w:r w:rsidRPr="00CC6AB7">
              <w:rPr>
                <w:b/>
                <w:bCs/>
              </w:rPr>
              <w:t>14,710,265</w:t>
            </w:r>
          </w:p>
        </w:tc>
        <w:tc>
          <w:tcPr>
            <w:tcW w:w="742" w:type="pct"/>
          </w:tcPr>
          <w:p w14:paraId="75DD2296" w14:textId="10A4A700" w:rsidR="00F85393" w:rsidRPr="00486714" w:rsidRDefault="00F85393" w:rsidP="00AD5D18">
            <w:pPr>
              <w:pStyle w:val="TableText"/>
              <w:jc w:val="right"/>
              <w:rPr>
                <w:rStyle w:val="Strong"/>
                <w:b w:val="0"/>
              </w:rPr>
            </w:pPr>
            <w:r w:rsidRPr="00486714">
              <w:rPr>
                <w:b/>
                <w:bCs/>
              </w:rPr>
              <w:t>15,146,995</w:t>
            </w:r>
          </w:p>
        </w:tc>
        <w:tc>
          <w:tcPr>
            <w:tcW w:w="742" w:type="pct"/>
          </w:tcPr>
          <w:p w14:paraId="3F84C46F" w14:textId="17A756FC" w:rsidR="00F85393" w:rsidRPr="00486714" w:rsidRDefault="00F85393" w:rsidP="00AD5D18">
            <w:pPr>
              <w:pStyle w:val="TableText"/>
              <w:jc w:val="right"/>
              <w:rPr>
                <w:rStyle w:val="Strong"/>
                <w:b w:val="0"/>
              </w:rPr>
            </w:pPr>
            <w:r w:rsidRPr="00486714">
              <w:rPr>
                <w:b/>
                <w:bCs/>
              </w:rPr>
              <w:t>(436,730)</w:t>
            </w:r>
          </w:p>
        </w:tc>
        <w:tc>
          <w:tcPr>
            <w:tcW w:w="742" w:type="pct"/>
          </w:tcPr>
          <w:p w14:paraId="6370BE8C" w14:textId="77777777" w:rsidR="00F85393" w:rsidRPr="00486714" w:rsidRDefault="00F85393" w:rsidP="00AD5D18">
            <w:pPr>
              <w:pStyle w:val="TableText"/>
              <w:jc w:val="right"/>
              <w:rPr>
                <w:rStyle w:val="Strong"/>
                <w:b w:val="0"/>
              </w:rPr>
            </w:pPr>
            <w:r w:rsidRPr="00486714">
              <w:rPr>
                <w:b/>
                <w:bCs/>
              </w:rPr>
              <w:t>(3)</w:t>
            </w:r>
          </w:p>
        </w:tc>
      </w:tr>
    </w:tbl>
    <w:p w14:paraId="11834ADC" w14:textId="77777777" w:rsidR="00F85393" w:rsidRDefault="00F85393" w:rsidP="00F85393">
      <w:pPr>
        <w:pStyle w:val="FigureTableNoteSource"/>
      </w:pPr>
      <w:r w:rsidRPr="00486714">
        <w:t>Note: Totals are rounded.</w:t>
      </w:r>
    </w:p>
    <w:p w14:paraId="6B582E3F" w14:textId="6400FA74" w:rsidR="00535367" w:rsidRPr="001A6EC1" w:rsidRDefault="00535367" w:rsidP="00535367">
      <w:r>
        <w:lastRenderedPageBreak/>
        <w:t>The gradual increase in staff throughout 2023</w:t>
      </w:r>
      <w:r w:rsidR="00402F5E">
        <w:t>–</w:t>
      </w:r>
      <w:r>
        <w:t>24 and into 2024–25 has brought staffing levels and service delivery back up to a similar level prior to austerity measures that were put in place 2022–23.</w:t>
      </w:r>
      <w:r w:rsidRPr="001A6EC1">
        <w:t xml:space="preserve"> </w:t>
      </w:r>
      <w:r>
        <w:t>This is enabling the department to return to an optimal and efficient workforce and has resulted in a 15.6% rise in staffing associated with the horticulture arrangement, with an increase in expenses compared to 2023–24</w:t>
      </w:r>
      <w:r w:rsidR="008F02AE">
        <w:t xml:space="preserve"> (</w:t>
      </w:r>
      <w:r w:rsidR="00D17A8F">
        <w:fldChar w:fldCharType="begin"/>
      </w:r>
      <w:r w:rsidR="00D17A8F">
        <w:instrText xml:space="preserve"> REF _Ref219712737 \h </w:instrText>
      </w:r>
      <w:r w:rsidR="00D17A8F">
        <w:fldChar w:fldCharType="separate"/>
      </w:r>
      <w:r w:rsidR="007D61E3" w:rsidRPr="00DD4264">
        <w:t xml:space="preserve">Table </w:t>
      </w:r>
      <w:r w:rsidR="007D61E3">
        <w:rPr>
          <w:noProof/>
        </w:rPr>
        <w:t>5</w:t>
      </w:r>
      <w:r w:rsidR="00D17A8F">
        <w:fldChar w:fldCharType="end"/>
      </w:r>
      <w:r w:rsidR="008F02AE">
        <w:t>)</w:t>
      </w:r>
      <w:r>
        <w:t>.</w:t>
      </w:r>
    </w:p>
    <w:p w14:paraId="41A4CA35" w14:textId="5A0A547D" w:rsidR="00F85393" w:rsidRPr="00DD4264" w:rsidRDefault="00F85393" w:rsidP="001E2BF7">
      <w:pPr>
        <w:pStyle w:val="Caption"/>
      </w:pPr>
      <w:bookmarkStart w:id="45" w:name="_Ref219712737"/>
      <w:bookmarkStart w:id="46" w:name="_Toc173156465"/>
      <w:bookmarkStart w:id="47" w:name="_Toc174708419"/>
      <w:bookmarkStart w:id="48" w:name="_Toc180573275"/>
      <w:bookmarkStart w:id="49" w:name="_Ref217456781"/>
      <w:bookmarkStart w:id="50" w:name="_Toc220395930"/>
      <w:r w:rsidRPr="00DD4264">
        <w:t xml:space="preserve">Table </w:t>
      </w:r>
      <w:r w:rsidRPr="00DD4264">
        <w:fldChar w:fldCharType="begin"/>
      </w:r>
      <w:r w:rsidRPr="00DD4264">
        <w:instrText xml:space="preserve"> SEQ Table \* ARABIC </w:instrText>
      </w:r>
      <w:r w:rsidRPr="00DD4264">
        <w:fldChar w:fldCharType="separate"/>
      </w:r>
      <w:r w:rsidR="007D61E3">
        <w:rPr>
          <w:noProof/>
        </w:rPr>
        <w:t>5</w:t>
      </w:r>
      <w:r w:rsidRPr="00DD4264">
        <w:fldChar w:fldCharType="end"/>
      </w:r>
      <w:bookmarkEnd w:id="45"/>
      <w:r w:rsidRPr="00DD4264">
        <w:t xml:space="preserve"> </w:t>
      </w:r>
      <w:r w:rsidR="001E2BF7" w:rsidRPr="00DD4264">
        <w:t>Horticulture export</w:t>
      </w:r>
      <w:r w:rsidR="001E2BF7">
        <w:t xml:space="preserve"> arrangement</w:t>
      </w:r>
      <w:r w:rsidR="001E2BF7" w:rsidRPr="00DD4264">
        <w:t xml:space="preserve"> </w:t>
      </w:r>
      <w:r w:rsidR="001E2BF7">
        <w:t>f</w:t>
      </w:r>
      <w:r w:rsidRPr="00DD4264">
        <w:t xml:space="preserve">inancial </w:t>
      </w:r>
      <w:r w:rsidRPr="001E2BF7">
        <w:t>performance</w:t>
      </w:r>
      <w:r w:rsidR="001E2BF7">
        <w:t>,</w:t>
      </w:r>
      <w:bookmarkEnd w:id="46"/>
      <w:bookmarkEnd w:id="47"/>
      <w:bookmarkEnd w:id="48"/>
      <w:r w:rsidR="001E2BF7">
        <w:t xml:space="preserve"> </w:t>
      </w:r>
      <w:r w:rsidRPr="00DD4264">
        <w:t>2021</w:t>
      </w:r>
      <w:r w:rsidR="008607BE">
        <w:t>–</w:t>
      </w:r>
      <w:r w:rsidRPr="00DD4264">
        <w:t xml:space="preserve">22 to </w:t>
      </w:r>
      <w:r w:rsidR="00340FE5">
        <w:t>2024–25</w:t>
      </w:r>
      <w:bookmarkEnd w:id="49"/>
      <w:bookmarkEnd w:id="50"/>
    </w:p>
    <w:tbl>
      <w:tblPr>
        <w:tblW w:w="5000" w:type="pct"/>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402"/>
        <w:gridCol w:w="1843"/>
        <w:gridCol w:w="1417"/>
        <w:gridCol w:w="1136"/>
        <w:gridCol w:w="1272"/>
      </w:tblGrid>
      <w:tr w:rsidR="00F85393" w:rsidRPr="008E1CA7" w14:paraId="0BDC2D4C" w14:textId="77777777" w:rsidTr="00DF5527">
        <w:tc>
          <w:tcPr>
            <w:tcW w:w="1875" w:type="pct"/>
            <w:noWrap/>
            <w:vAlign w:val="center"/>
            <w:hideMark/>
          </w:tcPr>
          <w:p w14:paraId="69EE1F74" w14:textId="77777777" w:rsidR="00F85393" w:rsidRPr="008E1CA7" w:rsidRDefault="00F85393" w:rsidP="00AD5D18">
            <w:pPr>
              <w:pStyle w:val="TableHeading"/>
              <w:rPr>
                <w:lang w:eastAsia="en-AU"/>
              </w:rPr>
            </w:pPr>
            <w:bookmarkStart w:id="51" w:name="Title_5"/>
            <w:bookmarkEnd w:id="51"/>
            <w:r w:rsidRPr="008E1CA7">
              <w:rPr>
                <w:lang w:eastAsia="en-AU"/>
              </w:rPr>
              <w:t>Finance element</w:t>
            </w:r>
          </w:p>
        </w:tc>
        <w:tc>
          <w:tcPr>
            <w:tcW w:w="1016" w:type="pct"/>
            <w:noWrap/>
            <w:hideMark/>
          </w:tcPr>
          <w:p w14:paraId="6F399AED" w14:textId="77777777" w:rsidR="00F85393" w:rsidRPr="008E1CA7" w:rsidRDefault="00F85393" w:rsidP="00AD5D18">
            <w:pPr>
              <w:pStyle w:val="TableHeading"/>
              <w:jc w:val="right"/>
              <w:rPr>
                <w:lang w:eastAsia="en-AU"/>
              </w:rPr>
            </w:pPr>
            <w:r w:rsidRPr="00512242">
              <w:t>2021–22 ($)</w:t>
            </w:r>
          </w:p>
        </w:tc>
        <w:tc>
          <w:tcPr>
            <w:tcW w:w="781" w:type="pct"/>
            <w:noWrap/>
            <w:hideMark/>
          </w:tcPr>
          <w:p w14:paraId="0FF9649F" w14:textId="77777777" w:rsidR="00F85393" w:rsidRPr="008E1CA7" w:rsidRDefault="00F85393" w:rsidP="00AD5D18">
            <w:pPr>
              <w:pStyle w:val="TableHeading"/>
              <w:jc w:val="right"/>
              <w:rPr>
                <w:lang w:eastAsia="en-AU"/>
              </w:rPr>
            </w:pPr>
            <w:r w:rsidRPr="00512242">
              <w:t>2022–23 ($)</w:t>
            </w:r>
          </w:p>
        </w:tc>
        <w:tc>
          <w:tcPr>
            <w:tcW w:w="626" w:type="pct"/>
            <w:noWrap/>
            <w:hideMark/>
          </w:tcPr>
          <w:p w14:paraId="6D95D83D" w14:textId="77777777" w:rsidR="00F85393" w:rsidRPr="008E1CA7" w:rsidRDefault="00F85393" w:rsidP="00AD5D18">
            <w:pPr>
              <w:pStyle w:val="TableHeading"/>
              <w:jc w:val="right"/>
              <w:rPr>
                <w:lang w:eastAsia="en-AU"/>
              </w:rPr>
            </w:pPr>
            <w:r w:rsidRPr="00512242">
              <w:t>2023–24 ($)</w:t>
            </w:r>
          </w:p>
        </w:tc>
        <w:tc>
          <w:tcPr>
            <w:tcW w:w="701" w:type="pct"/>
            <w:noWrap/>
            <w:hideMark/>
          </w:tcPr>
          <w:p w14:paraId="28958A02" w14:textId="77777777" w:rsidR="00F85393" w:rsidRPr="008E1CA7" w:rsidRDefault="00F85393" w:rsidP="00AD5D18">
            <w:pPr>
              <w:pStyle w:val="TableHeading"/>
              <w:jc w:val="right"/>
              <w:rPr>
                <w:lang w:eastAsia="en-AU"/>
              </w:rPr>
            </w:pPr>
            <w:r w:rsidRPr="00512242">
              <w:t>2024–25 ($)</w:t>
            </w:r>
          </w:p>
        </w:tc>
      </w:tr>
      <w:tr w:rsidR="00F85393" w:rsidRPr="008E1CA7" w14:paraId="0D1FB656" w14:textId="77777777" w:rsidTr="00454E2E">
        <w:trPr>
          <w:trHeight w:val="338"/>
        </w:trPr>
        <w:tc>
          <w:tcPr>
            <w:tcW w:w="1875" w:type="pct"/>
            <w:noWrap/>
            <w:vAlign w:val="center"/>
            <w:hideMark/>
          </w:tcPr>
          <w:p w14:paraId="18C2636D" w14:textId="77777777" w:rsidR="00F85393" w:rsidRPr="008E1CA7" w:rsidRDefault="00F85393" w:rsidP="00AD5D18">
            <w:pPr>
              <w:pStyle w:val="TableText"/>
              <w:rPr>
                <w:lang w:eastAsia="en-AU"/>
              </w:rPr>
            </w:pPr>
            <w:r w:rsidRPr="008E1CA7">
              <w:rPr>
                <w:lang w:eastAsia="en-AU"/>
              </w:rPr>
              <w:t>Revenue = X</w:t>
            </w:r>
          </w:p>
        </w:tc>
        <w:tc>
          <w:tcPr>
            <w:tcW w:w="1016" w:type="pct"/>
            <w:noWrap/>
            <w:hideMark/>
          </w:tcPr>
          <w:p w14:paraId="746D0384" w14:textId="502CE539" w:rsidR="00F85393" w:rsidRPr="008E1CA7" w:rsidRDefault="00F85393" w:rsidP="00AD5D18">
            <w:pPr>
              <w:pStyle w:val="TableText"/>
              <w:jc w:val="right"/>
              <w:rPr>
                <w:lang w:eastAsia="en-AU"/>
              </w:rPr>
            </w:pPr>
            <w:r w:rsidRPr="00512242">
              <w:t>9,494,735</w:t>
            </w:r>
          </w:p>
        </w:tc>
        <w:tc>
          <w:tcPr>
            <w:tcW w:w="781" w:type="pct"/>
            <w:noWrap/>
            <w:hideMark/>
          </w:tcPr>
          <w:p w14:paraId="152CE4A1" w14:textId="13CD797D" w:rsidR="00F85393" w:rsidRPr="008E1CA7" w:rsidRDefault="00F85393" w:rsidP="00AD5D18">
            <w:pPr>
              <w:pStyle w:val="TableText"/>
              <w:jc w:val="right"/>
              <w:rPr>
                <w:lang w:eastAsia="en-AU"/>
              </w:rPr>
            </w:pPr>
            <w:r w:rsidRPr="00512242">
              <w:t>11,274,927</w:t>
            </w:r>
          </w:p>
        </w:tc>
        <w:tc>
          <w:tcPr>
            <w:tcW w:w="626" w:type="pct"/>
            <w:noWrap/>
            <w:hideMark/>
          </w:tcPr>
          <w:p w14:paraId="764BA9C2" w14:textId="278816C4" w:rsidR="00F85393" w:rsidRPr="008E1CA7" w:rsidRDefault="00F85393" w:rsidP="00AD5D18">
            <w:pPr>
              <w:pStyle w:val="TableText"/>
              <w:jc w:val="right"/>
              <w:rPr>
                <w:lang w:eastAsia="en-AU"/>
              </w:rPr>
            </w:pPr>
            <w:r w:rsidRPr="00512242">
              <w:t>12,794,297</w:t>
            </w:r>
          </w:p>
        </w:tc>
        <w:tc>
          <w:tcPr>
            <w:tcW w:w="701" w:type="pct"/>
            <w:noWrap/>
            <w:hideMark/>
          </w:tcPr>
          <w:p w14:paraId="4FBC7D4C" w14:textId="2685BA1D" w:rsidR="00F85393" w:rsidRPr="008E1CA7" w:rsidRDefault="00186C1E" w:rsidP="00AD5D18">
            <w:pPr>
              <w:pStyle w:val="TableText"/>
              <w:jc w:val="right"/>
              <w:rPr>
                <w:lang w:eastAsia="en-AU"/>
              </w:rPr>
            </w:pPr>
            <w:r>
              <w:t>13,563,101</w:t>
            </w:r>
          </w:p>
        </w:tc>
      </w:tr>
      <w:tr w:rsidR="00F85393" w:rsidRPr="008E1CA7" w14:paraId="3615DA39" w14:textId="77777777" w:rsidTr="00454E2E">
        <w:trPr>
          <w:trHeight w:val="338"/>
        </w:trPr>
        <w:tc>
          <w:tcPr>
            <w:tcW w:w="1875" w:type="pct"/>
            <w:noWrap/>
            <w:vAlign w:val="center"/>
            <w:hideMark/>
          </w:tcPr>
          <w:p w14:paraId="14A2C009" w14:textId="77777777" w:rsidR="00F85393" w:rsidRPr="008E1CA7" w:rsidRDefault="00F85393" w:rsidP="00AD5D18">
            <w:pPr>
              <w:pStyle w:val="TableText"/>
              <w:rPr>
                <w:lang w:eastAsia="en-AU"/>
              </w:rPr>
            </w:pPr>
            <w:r w:rsidRPr="008E1CA7">
              <w:rPr>
                <w:lang w:eastAsia="en-AU"/>
              </w:rPr>
              <w:t>Expenses = Y</w:t>
            </w:r>
          </w:p>
        </w:tc>
        <w:tc>
          <w:tcPr>
            <w:tcW w:w="1016" w:type="pct"/>
            <w:noWrap/>
            <w:hideMark/>
          </w:tcPr>
          <w:p w14:paraId="42ADD4FD" w14:textId="3BAA58F9" w:rsidR="00F85393" w:rsidRPr="008E1CA7" w:rsidRDefault="00F85393" w:rsidP="00AD5D18">
            <w:pPr>
              <w:pStyle w:val="TableText"/>
              <w:jc w:val="right"/>
              <w:rPr>
                <w:lang w:eastAsia="en-AU"/>
              </w:rPr>
            </w:pPr>
            <w:r w:rsidRPr="00512242">
              <w:t>10,916,857</w:t>
            </w:r>
          </w:p>
        </w:tc>
        <w:tc>
          <w:tcPr>
            <w:tcW w:w="781" w:type="pct"/>
            <w:noWrap/>
            <w:hideMark/>
          </w:tcPr>
          <w:p w14:paraId="21D0BED6" w14:textId="30282799" w:rsidR="00F85393" w:rsidRPr="008E1CA7" w:rsidRDefault="00F85393" w:rsidP="00AD5D18">
            <w:pPr>
              <w:pStyle w:val="TableText"/>
              <w:jc w:val="right"/>
              <w:rPr>
                <w:lang w:eastAsia="en-AU"/>
              </w:rPr>
            </w:pPr>
            <w:r w:rsidRPr="00512242">
              <w:t>11,456,216</w:t>
            </w:r>
          </w:p>
        </w:tc>
        <w:tc>
          <w:tcPr>
            <w:tcW w:w="626" w:type="pct"/>
            <w:noWrap/>
            <w:hideMark/>
          </w:tcPr>
          <w:p w14:paraId="6035D1CF" w14:textId="4F4660F7" w:rsidR="00F85393" w:rsidRPr="008E1CA7" w:rsidRDefault="00F85393" w:rsidP="00AD5D18">
            <w:pPr>
              <w:pStyle w:val="TableText"/>
              <w:jc w:val="right"/>
              <w:rPr>
                <w:lang w:eastAsia="en-AU"/>
              </w:rPr>
            </w:pPr>
            <w:r w:rsidRPr="00512242">
              <w:t>12,029,771</w:t>
            </w:r>
          </w:p>
        </w:tc>
        <w:tc>
          <w:tcPr>
            <w:tcW w:w="701" w:type="pct"/>
            <w:noWrap/>
            <w:hideMark/>
          </w:tcPr>
          <w:p w14:paraId="0BBEE9A3" w14:textId="358E62F4" w:rsidR="00F85393" w:rsidRPr="008E1CA7" w:rsidRDefault="00F85393" w:rsidP="00AD5D18">
            <w:pPr>
              <w:pStyle w:val="TableText"/>
              <w:jc w:val="right"/>
              <w:rPr>
                <w:lang w:eastAsia="en-AU"/>
              </w:rPr>
            </w:pPr>
            <w:r w:rsidRPr="00512242">
              <w:t>14,710,265</w:t>
            </w:r>
          </w:p>
        </w:tc>
      </w:tr>
      <w:tr w:rsidR="00F85393" w:rsidRPr="008E1CA7" w14:paraId="250A210F" w14:textId="77777777" w:rsidTr="00454E2E">
        <w:trPr>
          <w:trHeight w:val="338"/>
        </w:trPr>
        <w:tc>
          <w:tcPr>
            <w:tcW w:w="1875" w:type="pct"/>
            <w:noWrap/>
            <w:vAlign w:val="center"/>
            <w:hideMark/>
          </w:tcPr>
          <w:p w14:paraId="7F618589" w14:textId="2D5CA4AA" w:rsidR="00F85393" w:rsidRPr="006E2211" w:rsidRDefault="00F85393" w:rsidP="00AD5D18">
            <w:pPr>
              <w:pStyle w:val="TableText"/>
              <w:rPr>
                <w:rStyle w:val="Strong"/>
              </w:rPr>
            </w:pPr>
            <w:r w:rsidRPr="008E1CA7">
              <w:rPr>
                <w:rStyle w:val="Strong"/>
              </w:rPr>
              <w:t xml:space="preserve">Balance = X </w:t>
            </w:r>
            <w:r w:rsidR="001E2BF7">
              <w:rPr>
                <w:rStyle w:val="Strong"/>
              </w:rPr>
              <w:t>−</w:t>
            </w:r>
            <w:r w:rsidRPr="008E1CA7">
              <w:rPr>
                <w:rStyle w:val="Strong"/>
              </w:rPr>
              <w:t xml:space="preserve"> Y</w:t>
            </w:r>
          </w:p>
        </w:tc>
        <w:tc>
          <w:tcPr>
            <w:tcW w:w="1016" w:type="pct"/>
            <w:noWrap/>
            <w:hideMark/>
          </w:tcPr>
          <w:p w14:paraId="5B4CC7E3" w14:textId="327704A1" w:rsidR="00F85393" w:rsidRPr="00E05E6B" w:rsidRDefault="00F85393" w:rsidP="00AD5D18">
            <w:pPr>
              <w:pStyle w:val="TableText"/>
              <w:jc w:val="right"/>
              <w:rPr>
                <w:rStyle w:val="Strong"/>
                <w:b w:val="0"/>
              </w:rPr>
            </w:pPr>
            <w:r w:rsidRPr="00775EEF">
              <w:rPr>
                <w:b/>
              </w:rPr>
              <w:t>(1,422,122)</w:t>
            </w:r>
          </w:p>
        </w:tc>
        <w:tc>
          <w:tcPr>
            <w:tcW w:w="781" w:type="pct"/>
            <w:noWrap/>
            <w:hideMark/>
          </w:tcPr>
          <w:p w14:paraId="2B9D37B1" w14:textId="1AF97419" w:rsidR="00F85393" w:rsidRPr="00E05E6B" w:rsidRDefault="00F85393" w:rsidP="00AD5D18">
            <w:pPr>
              <w:pStyle w:val="TableText"/>
              <w:jc w:val="right"/>
              <w:rPr>
                <w:rStyle w:val="Strong"/>
                <w:b w:val="0"/>
              </w:rPr>
            </w:pPr>
            <w:r w:rsidRPr="00775EEF">
              <w:rPr>
                <w:b/>
              </w:rPr>
              <w:t>(181,288)</w:t>
            </w:r>
          </w:p>
        </w:tc>
        <w:tc>
          <w:tcPr>
            <w:tcW w:w="626" w:type="pct"/>
            <w:noWrap/>
            <w:hideMark/>
          </w:tcPr>
          <w:p w14:paraId="496E4E2D" w14:textId="49FA0A68" w:rsidR="00F85393" w:rsidRPr="00E05E6B" w:rsidRDefault="00F85393" w:rsidP="00AD5D18">
            <w:pPr>
              <w:pStyle w:val="TableText"/>
              <w:jc w:val="right"/>
              <w:rPr>
                <w:rStyle w:val="Strong"/>
                <w:b w:val="0"/>
              </w:rPr>
            </w:pPr>
            <w:r w:rsidRPr="00775EEF">
              <w:rPr>
                <w:b/>
              </w:rPr>
              <w:t>764,526</w:t>
            </w:r>
          </w:p>
        </w:tc>
        <w:tc>
          <w:tcPr>
            <w:tcW w:w="701" w:type="pct"/>
            <w:noWrap/>
            <w:hideMark/>
          </w:tcPr>
          <w:p w14:paraId="27B9FC20" w14:textId="186E2302" w:rsidR="00F85393" w:rsidRPr="00E05E6B" w:rsidRDefault="00F85393" w:rsidP="00AD5D18">
            <w:pPr>
              <w:pStyle w:val="TableText"/>
              <w:jc w:val="right"/>
              <w:rPr>
                <w:rStyle w:val="Strong"/>
                <w:b w:val="0"/>
                <w:bCs w:val="0"/>
              </w:rPr>
            </w:pPr>
            <w:r w:rsidRPr="54CEF1E7">
              <w:rPr>
                <w:b/>
                <w:bCs/>
              </w:rPr>
              <w:t>(</w:t>
            </w:r>
            <w:r w:rsidR="00186C1E">
              <w:rPr>
                <w:b/>
                <w:bCs/>
              </w:rPr>
              <w:t>1,147,164</w:t>
            </w:r>
            <w:r w:rsidRPr="54CEF1E7">
              <w:rPr>
                <w:b/>
                <w:bCs/>
              </w:rPr>
              <w:t>)</w:t>
            </w:r>
          </w:p>
        </w:tc>
      </w:tr>
      <w:tr w:rsidR="00F85393" w:rsidRPr="008E1CA7" w14:paraId="4E152B0A" w14:textId="77777777" w:rsidTr="00454E2E">
        <w:trPr>
          <w:trHeight w:val="338"/>
        </w:trPr>
        <w:tc>
          <w:tcPr>
            <w:tcW w:w="1875" w:type="pct"/>
            <w:noWrap/>
            <w:vAlign w:val="center"/>
            <w:hideMark/>
          </w:tcPr>
          <w:p w14:paraId="10A2F03A" w14:textId="77777777" w:rsidR="00F85393" w:rsidRPr="008E1CA7" w:rsidRDefault="00F85393" w:rsidP="00AD5D18">
            <w:pPr>
              <w:pStyle w:val="TableText"/>
              <w:rPr>
                <w:lang w:eastAsia="en-AU"/>
              </w:rPr>
            </w:pPr>
            <w:r w:rsidRPr="008E1CA7">
              <w:rPr>
                <w:lang w:eastAsia="en-AU"/>
              </w:rPr>
              <w:t>Remissions, rebates and adjustments = Z</w:t>
            </w:r>
          </w:p>
        </w:tc>
        <w:tc>
          <w:tcPr>
            <w:tcW w:w="1016" w:type="pct"/>
            <w:noWrap/>
            <w:hideMark/>
          </w:tcPr>
          <w:p w14:paraId="55E6A840" w14:textId="77B3BC58" w:rsidR="00F85393" w:rsidRPr="008E1CA7" w:rsidRDefault="00F85393" w:rsidP="00AD5D18">
            <w:pPr>
              <w:pStyle w:val="TableText"/>
              <w:jc w:val="right"/>
              <w:rPr>
                <w:lang w:eastAsia="en-AU"/>
              </w:rPr>
            </w:pPr>
            <w:r w:rsidRPr="00512242">
              <w:t>1,422,122</w:t>
            </w:r>
          </w:p>
        </w:tc>
        <w:tc>
          <w:tcPr>
            <w:tcW w:w="781" w:type="pct"/>
            <w:noWrap/>
            <w:hideMark/>
          </w:tcPr>
          <w:p w14:paraId="0CD18E86" w14:textId="486AD81D" w:rsidR="00F85393" w:rsidRPr="008E1CA7" w:rsidRDefault="00F85393" w:rsidP="00AD5D18">
            <w:pPr>
              <w:pStyle w:val="TableText"/>
              <w:jc w:val="right"/>
              <w:rPr>
                <w:lang w:eastAsia="en-AU"/>
              </w:rPr>
            </w:pPr>
            <w:r w:rsidRPr="00512242">
              <w:t>100,664</w:t>
            </w:r>
          </w:p>
        </w:tc>
        <w:tc>
          <w:tcPr>
            <w:tcW w:w="626" w:type="pct"/>
            <w:noWrap/>
            <w:hideMark/>
          </w:tcPr>
          <w:p w14:paraId="5E55540A" w14:textId="4B93A0A4" w:rsidR="00F85393" w:rsidRPr="008E1CA7" w:rsidRDefault="000F467D" w:rsidP="00AD5D18">
            <w:pPr>
              <w:pStyle w:val="TableText"/>
              <w:jc w:val="right"/>
              <w:rPr>
                <w:lang w:eastAsia="en-AU"/>
              </w:rPr>
            </w:pPr>
            <w:r>
              <w:rPr>
                <w:lang w:eastAsia="en-AU"/>
              </w:rPr>
              <w:t>–</w:t>
            </w:r>
          </w:p>
        </w:tc>
        <w:tc>
          <w:tcPr>
            <w:tcW w:w="701" w:type="pct"/>
            <w:noWrap/>
            <w:hideMark/>
          </w:tcPr>
          <w:p w14:paraId="0A85E7AA" w14:textId="45F1AB80" w:rsidR="00F85393" w:rsidRPr="00D966EA" w:rsidRDefault="00186C1E" w:rsidP="54CEF1E7">
            <w:pPr>
              <w:pStyle w:val="TableText"/>
              <w:jc w:val="right"/>
              <w:rPr>
                <w:highlight w:val="yellow"/>
                <w:lang w:eastAsia="en-AU"/>
              </w:rPr>
            </w:pPr>
            <w:r>
              <w:t>1,147,164</w:t>
            </w:r>
          </w:p>
        </w:tc>
      </w:tr>
      <w:tr w:rsidR="00F85393" w:rsidRPr="00D966EA" w14:paraId="04178CE1" w14:textId="77777777" w:rsidTr="00454E2E">
        <w:trPr>
          <w:trHeight w:val="338"/>
        </w:trPr>
        <w:tc>
          <w:tcPr>
            <w:tcW w:w="1875" w:type="pct"/>
            <w:noWrap/>
            <w:vAlign w:val="center"/>
            <w:hideMark/>
          </w:tcPr>
          <w:p w14:paraId="1D210703" w14:textId="77777777" w:rsidR="00F85393" w:rsidRPr="008E1CA7" w:rsidRDefault="00F85393" w:rsidP="00AD5D18">
            <w:pPr>
              <w:pStyle w:val="TableText"/>
              <w:rPr>
                <w:lang w:eastAsia="en-AU"/>
              </w:rPr>
            </w:pPr>
            <w:r w:rsidRPr="008E1CA7">
              <w:rPr>
                <w:lang w:eastAsia="en-AU"/>
              </w:rPr>
              <w:t>Net balance = balance + Z</w:t>
            </w:r>
          </w:p>
        </w:tc>
        <w:tc>
          <w:tcPr>
            <w:tcW w:w="1016" w:type="pct"/>
            <w:noWrap/>
            <w:hideMark/>
          </w:tcPr>
          <w:p w14:paraId="1716B28B" w14:textId="1F1C669C" w:rsidR="00F85393" w:rsidRPr="008E1CA7" w:rsidRDefault="00F85393" w:rsidP="00AD5D18">
            <w:pPr>
              <w:pStyle w:val="TableText"/>
              <w:jc w:val="right"/>
              <w:rPr>
                <w:lang w:eastAsia="en-AU"/>
              </w:rPr>
            </w:pPr>
            <w:r w:rsidRPr="00512242">
              <w:t>0</w:t>
            </w:r>
          </w:p>
        </w:tc>
        <w:tc>
          <w:tcPr>
            <w:tcW w:w="781" w:type="pct"/>
            <w:noWrap/>
            <w:hideMark/>
          </w:tcPr>
          <w:p w14:paraId="5CCC37AA" w14:textId="1F994285" w:rsidR="00F85393" w:rsidRPr="008E1CA7" w:rsidRDefault="00F85393" w:rsidP="00AD5D18">
            <w:pPr>
              <w:pStyle w:val="TableText"/>
              <w:jc w:val="right"/>
              <w:rPr>
                <w:lang w:eastAsia="en-AU"/>
              </w:rPr>
            </w:pPr>
            <w:r w:rsidRPr="00512242">
              <w:t>(80,624)</w:t>
            </w:r>
          </w:p>
        </w:tc>
        <w:tc>
          <w:tcPr>
            <w:tcW w:w="626" w:type="pct"/>
            <w:noWrap/>
            <w:hideMark/>
          </w:tcPr>
          <w:p w14:paraId="2180654D" w14:textId="02731B7B" w:rsidR="00F85393" w:rsidRPr="008E1CA7" w:rsidRDefault="00F85393" w:rsidP="00AD5D18">
            <w:pPr>
              <w:pStyle w:val="TableText"/>
              <w:jc w:val="right"/>
              <w:rPr>
                <w:lang w:eastAsia="en-AU"/>
              </w:rPr>
            </w:pPr>
            <w:r w:rsidRPr="00512242">
              <w:t>764,526</w:t>
            </w:r>
          </w:p>
        </w:tc>
        <w:tc>
          <w:tcPr>
            <w:tcW w:w="701" w:type="pct"/>
            <w:noWrap/>
            <w:hideMark/>
          </w:tcPr>
          <w:p w14:paraId="55BB0E11" w14:textId="2041E922" w:rsidR="00F85393" w:rsidRPr="00D966EA" w:rsidRDefault="00F85393" w:rsidP="54CEF1E7">
            <w:pPr>
              <w:pStyle w:val="TableText"/>
              <w:jc w:val="right"/>
              <w:rPr>
                <w:lang w:eastAsia="en-AU"/>
              </w:rPr>
            </w:pPr>
            <w:r w:rsidRPr="00D966EA">
              <w:t>0</w:t>
            </w:r>
          </w:p>
        </w:tc>
      </w:tr>
      <w:tr w:rsidR="00F85393" w:rsidRPr="00D966EA" w14:paraId="72324763" w14:textId="77777777" w:rsidTr="00454E2E">
        <w:trPr>
          <w:trHeight w:val="338"/>
        </w:trPr>
        <w:tc>
          <w:tcPr>
            <w:tcW w:w="1875" w:type="pct"/>
            <w:noWrap/>
            <w:vAlign w:val="center"/>
            <w:hideMark/>
          </w:tcPr>
          <w:p w14:paraId="16843A08" w14:textId="77777777" w:rsidR="00F85393" w:rsidRPr="006E2211" w:rsidRDefault="00F85393" w:rsidP="00AD5D18">
            <w:pPr>
              <w:pStyle w:val="TableText"/>
              <w:rPr>
                <w:rStyle w:val="Strong"/>
              </w:rPr>
            </w:pPr>
            <w:r w:rsidRPr="008E1CA7">
              <w:rPr>
                <w:rStyle w:val="Strong"/>
              </w:rPr>
              <w:t>Accumulated result</w:t>
            </w:r>
          </w:p>
        </w:tc>
        <w:tc>
          <w:tcPr>
            <w:tcW w:w="1016" w:type="pct"/>
            <w:noWrap/>
            <w:hideMark/>
          </w:tcPr>
          <w:p w14:paraId="69B2F169" w14:textId="1B9978C6" w:rsidR="00F85393" w:rsidRPr="00E05E6B" w:rsidRDefault="00F85393" w:rsidP="00AD5D18">
            <w:pPr>
              <w:pStyle w:val="TableText"/>
              <w:jc w:val="right"/>
              <w:rPr>
                <w:rStyle w:val="Strong"/>
                <w:b w:val="0"/>
              </w:rPr>
            </w:pPr>
            <w:r w:rsidRPr="00775EEF">
              <w:rPr>
                <w:b/>
              </w:rPr>
              <w:t>(8,766,095)</w:t>
            </w:r>
          </w:p>
        </w:tc>
        <w:tc>
          <w:tcPr>
            <w:tcW w:w="781" w:type="pct"/>
            <w:noWrap/>
            <w:hideMark/>
          </w:tcPr>
          <w:p w14:paraId="10E4454E" w14:textId="69BAF8FA" w:rsidR="00F85393" w:rsidRPr="00E05E6B" w:rsidRDefault="00F85393" w:rsidP="00AD5D18">
            <w:pPr>
              <w:pStyle w:val="TableText"/>
              <w:jc w:val="right"/>
              <w:rPr>
                <w:rStyle w:val="Strong"/>
                <w:b w:val="0"/>
              </w:rPr>
            </w:pPr>
            <w:r w:rsidRPr="00775EEF">
              <w:rPr>
                <w:b/>
              </w:rPr>
              <w:t>(8,846,719)</w:t>
            </w:r>
          </w:p>
        </w:tc>
        <w:tc>
          <w:tcPr>
            <w:tcW w:w="626" w:type="pct"/>
            <w:noWrap/>
            <w:hideMark/>
          </w:tcPr>
          <w:p w14:paraId="204373FD" w14:textId="44EE7FBD" w:rsidR="00F85393" w:rsidRPr="00E05E6B" w:rsidRDefault="00F85393" w:rsidP="00AD5D18">
            <w:pPr>
              <w:pStyle w:val="TableText"/>
              <w:jc w:val="right"/>
              <w:rPr>
                <w:rStyle w:val="Strong"/>
                <w:b w:val="0"/>
              </w:rPr>
            </w:pPr>
            <w:r w:rsidRPr="00775EEF">
              <w:rPr>
                <w:b/>
              </w:rPr>
              <w:t>(8,082,193)</w:t>
            </w:r>
          </w:p>
        </w:tc>
        <w:tc>
          <w:tcPr>
            <w:tcW w:w="701" w:type="pct"/>
            <w:noWrap/>
            <w:hideMark/>
          </w:tcPr>
          <w:p w14:paraId="56C582A8" w14:textId="0CA7453D" w:rsidR="00F85393" w:rsidRPr="00D966EA" w:rsidRDefault="00F85393" w:rsidP="54CEF1E7">
            <w:pPr>
              <w:pStyle w:val="TableText"/>
              <w:jc w:val="right"/>
              <w:rPr>
                <w:rStyle w:val="Strong"/>
                <w:b w:val="0"/>
                <w:bCs w:val="0"/>
              </w:rPr>
            </w:pPr>
            <w:r w:rsidRPr="00D966EA">
              <w:rPr>
                <w:b/>
                <w:bCs/>
              </w:rPr>
              <w:t>(8,082,193)</w:t>
            </w:r>
          </w:p>
        </w:tc>
      </w:tr>
    </w:tbl>
    <w:p w14:paraId="547D1B86" w14:textId="1304403E" w:rsidR="00F85393" w:rsidRPr="000B365D" w:rsidRDefault="00F85393" w:rsidP="00CD49AE">
      <w:pPr>
        <w:pStyle w:val="Heading2"/>
        <w:numPr>
          <w:ilvl w:val="0"/>
          <w:numId w:val="0"/>
        </w:numPr>
        <w:ind w:left="720" w:hanging="720"/>
      </w:pPr>
      <w:bookmarkStart w:id="52" w:name="_Appendix_A:_Statistical"/>
      <w:bookmarkStart w:id="53" w:name="_Toc172898942"/>
      <w:bookmarkStart w:id="54" w:name="_Toc174637345"/>
      <w:bookmarkStart w:id="55" w:name="_Toc180491664"/>
      <w:bookmarkStart w:id="56" w:name="_Toc180573329"/>
      <w:bookmarkStart w:id="57" w:name="_Toc204936458"/>
      <w:bookmarkStart w:id="58" w:name="_Toc220395922"/>
      <w:bookmarkEnd w:id="52"/>
      <w:r w:rsidRPr="000B365D">
        <w:lastRenderedPageBreak/>
        <w:t>Non</w:t>
      </w:r>
      <w:r w:rsidR="00CD49AE">
        <w:t>-</w:t>
      </w:r>
      <w:r w:rsidRPr="000B365D">
        <w:t>financial performance</w:t>
      </w:r>
      <w:bookmarkEnd w:id="53"/>
      <w:bookmarkEnd w:id="54"/>
      <w:bookmarkEnd w:id="55"/>
      <w:bookmarkEnd w:id="56"/>
      <w:bookmarkEnd w:id="57"/>
      <w:bookmarkEnd w:id="58"/>
    </w:p>
    <w:p w14:paraId="5E95D977" w14:textId="675EA49C" w:rsidR="00F85393" w:rsidRPr="000B365D" w:rsidRDefault="00CD49AE" w:rsidP="00F85393">
      <w:r>
        <w:t xml:space="preserve">The </w:t>
      </w:r>
      <w:hyperlink r:id="rId24" w:history="1">
        <w:r>
          <w:rPr>
            <w:rStyle w:val="Hyperlink"/>
          </w:rPr>
          <w:t>Annual report 2024–25</w:t>
        </w:r>
      </w:hyperlink>
      <w:r w:rsidR="00F85393" w:rsidRPr="000B365D">
        <w:t xml:space="preserve"> provides comprehensive information on performance measures and performance results. Non</w:t>
      </w:r>
      <w:r w:rsidR="0018773D">
        <w:t>-</w:t>
      </w:r>
      <w:r w:rsidR="00F85393" w:rsidRPr="000B365D">
        <w:t>financial performance measures are given as high</w:t>
      </w:r>
      <w:r w:rsidR="005253E7">
        <w:t>-</w:t>
      </w:r>
      <w:r w:rsidR="00F85393" w:rsidRPr="000B365D">
        <w:t>level objectives and are not reported at a level specific to each cost recovery arrangement.</w:t>
      </w:r>
    </w:p>
    <w:p w14:paraId="35C498C0" w14:textId="52696566" w:rsidR="00F85393" w:rsidRPr="000B365D" w:rsidRDefault="00F85393" w:rsidP="00F85393">
      <w:pPr>
        <w:pStyle w:val="Heading3"/>
        <w:numPr>
          <w:ilvl w:val="0"/>
          <w:numId w:val="0"/>
        </w:numPr>
        <w:ind w:left="964" w:hanging="964"/>
      </w:pPr>
      <w:bookmarkStart w:id="59" w:name="_Toc180573330"/>
      <w:bookmarkStart w:id="60" w:name="_Toc204936459"/>
      <w:bookmarkStart w:id="61" w:name="_Toc220395923"/>
      <w:r w:rsidRPr="000B365D">
        <w:t xml:space="preserve">Objective 1 </w:t>
      </w:r>
      <w:r w:rsidR="00410251">
        <w:t>Sector</w:t>
      </w:r>
      <w:r w:rsidRPr="000B365D">
        <w:t xml:space="preserve"> growth</w:t>
      </w:r>
      <w:bookmarkEnd w:id="59"/>
      <w:bookmarkEnd w:id="60"/>
      <w:bookmarkEnd w:id="61"/>
    </w:p>
    <w:p w14:paraId="5224D484" w14:textId="10D0E6BD" w:rsidR="00F85393" w:rsidRPr="00906C0D" w:rsidRDefault="00A50C4F" w:rsidP="00F85393">
      <w:r w:rsidRPr="004F3A9A">
        <w:t xml:space="preserve">Support </w:t>
      </w:r>
      <w:r>
        <w:t>Australia’s agricultural sector, including the food and fibre industries</w:t>
      </w:r>
      <w:r w:rsidR="005253E7">
        <w:t>,</w:t>
      </w:r>
      <w:r>
        <w:t xml:space="preserve"> to be increasingly prosperous and internationally competitive in an ever</w:t>
      </w:r>
      <w:r w:rsidR="005253E7">
        <w:t>-</w:t>
      </w:r>
      <w:r>
        <w:t>changing world.</w:t>
      </w:r>
    </w:p>
    <w:p w14:paraId="469A6F15" w14:textId="77777777" w:rsidR="00AC694D" w:rsidRPr="006E3EA9" w:rsidRDefault="00AC694D" w:rsidP="0024766E">
      <w:pPr>
        <w:pStyle w:val="Heading4"/>
        <w:numPr>
          <w:ilvl w:val="0"/>
          <w:numId w:val="0"/>
        </w:numPr>
        <w:ind w:left="964" w:hanging="964"/>
      </w:pPr>
      <w:bookmarkStart w:id="62" w:name="_Toc181602565"/>
      <w:bookmarkStart w:id="63" w:name="_Hlk181603905"/>
      <w:bookmarkStart w:id="64" w:name="_Toc166655134"/>
      <w:bookmarkStart w:id="65" w:name="_Toc180491631"/>
      <w:bookmarkStart w:id="66" w:name="_Toc181181926"/>
      <w:r w:rsidRPr="006E3EA9">
        <w:t>Key activity 1.1</w:t>
      </w:r>
    </w:p>
    <w:p w14:paraId="2DA44715" w14:textId="1315A4B3" w:rsidR="00AC694D" w:rsidRPr="006E3EA9" w:rsidRDefault="0070610E" w:rsidP="00AC694D">
      <w:pPr>
        <w:rPr>
          <w:rFonts w:ascii="Calibri" w:eastAsia="Calibri" w:hAnsi="Calibri" w:cs="Arial"/>
        </w:rPr>
      </w:pPr>
      <w:r w:rsidRPr="007746F1">
        <w:t>Support sector productivity growth and innovation</w:t>
      </w:r>
      <w:r w:rsidR="00AC694D" w:rsidRPr="006E3EA9">
        <w:rPr>
          <w:rFonts w:ascii="Calibri" w:eastAsia="Calibri" w:hAnsi="Calibri" w:cs="Arial"/>
        </w:rPr>
        <w:t>.</w:t>
      </w:r>
    </w:p>
    <w:p w14:paraId="1247AAED" w14:textId="2F6357B4" w:rsidR="00AC694D" w:rsidRPr="006E3EA9" w:rsidRDefault="00AC694D" w:rsidP="00B85A9C">
      <w:pPr>
        <w:pStyle w:val="Heading5"/>
        <w:keepNext w:val="0"/>
        <w:spacing w:before="120"/>
      </w:pPr>
      <w:bookmarkStart w:id="67" w:name="_Hlk181782432"/>
      <w:bookmarkStart w:id="68" w:name="RowTitle_IG_01"/>
      <w:r w:rsidRPr="006E3EA9">
        <w:t>Measure SG</w:t>
      </w:r>
      <w:r w:rsidR="009D7C35">
        <w:t>-</w:t>
      </w:r>
      <w:r w:rsidRPr="006E3EA9">
        <w:t>01</w:t>
      </w:r>
      <w:bookmarkEnd w:id="62"/>
      <w:bookmarkEnd w:id="63"/>
      <w:bookmarkEnd w:id="67"/>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AC694D" w:rsidRPr="006E3EA9" w14:paraId="5C2A0A94" w14:textId="77777777" w:rsidTr="009A6FBA">
        <w:trPr>
          <w:tblHeader/>
        </w:trPr>
        <w:tc>
          <w:tcPr>
            <w:tcW w:w="1014" w:type="pct"/>
          </w:tcPr>
          <w:p w14:paraId="627505B6" w14:textId="14CF518D" w:rsidR="00AC694D" w:rsidRPr="00CB73D2" w:rsidRDefault="00AC694D" w:rsidP="003F7CB2">
            <w:pPr>
              <w:pStyle w:val="TableHeading"/>
              <w:keepNext w:val="0"/>
              <w:rPr>
                <w:rStyle w:val="Strong"/>
                <w:b/>
                <w:bCs w:val="0"/>
              </w:rPr>
            </w:pPr>
            <w:bookmarkStart w:id="69" w:name="RowTitle_SG_01"/>
            <w:bookmarkEnd w:id="68"/>
            <w:r w:rsidRPr="00CB73D2">
              <w:rPr>
                <w:rStyle w:val="Strong"/>
                <w:b/>
                <w:bCs w:val="0"/>
              </w:rPr>
              <w:t>Measure SG</w:t>
            </w:r>
            <w:r w:rsidR="009D7C35" w:rsidRPr="00CB73D2">
              <w:rPr>
                <w:rStyle w:val="Strong"/>
                <w:b/>
                <w:bCs w:val="0"/>
              </w:rPr>
              <w:t>-</w:t>
            </w:r>
            <w:r w:rsidRPr="00CB73D2">
              <w:rPr>
                <w:rStyle w:val="Strong"/>
                <w:b/>
                <w:bCs w:val="0"/>
              </w:rPr>
              <w:t>01</w:t>
            </w:r>
            <w:bookmarkEnd w:id="69"/>
          </w:p>
        </w:tc>
        <w:tc>
          <w:tcPr>
            <w:tcW w:w="3986" w:type="pct"/>
          </w:tcPr>
          <w:p w14:paraId="3E68F920" w14:textId="77777777" w:rsidR="00AC694D" w:rsidRPr="006E3EA9" w:rsidRDefault="00AC694D" w:rsidP="00740A3D">
            <w:pPr>
              <w:pStyle w:val="TableText"/>
              <w:rPr>
                <w:highlight w:val="yellow"/>
              </w:rPr>
            </w:pPr>
            <w:r w:rsidRPr="006E3EA9">
              <w:t>Greater growth in average agricultural productivity (adjusted for climate and weather effects) for the past 10 years, compared with average annual market sector productivity growth over the same period.</w:t>
            </w:r>
          </w:p>
        </w:tc>
      </w:tr>
      <w:tr w:rsidR="00AC694D" w:rsidRPr="006E3EA9" w14:paraId="308F4CF0" w14:textId="77777777" w:rsidTr="00F37768">
        <w:trPr>
          <w:tblHeader/>
        </w:trPr>
        <w:tc>
          <w:tcPr>
            <w:tcW w:w="1014" w:type="pct"/>
          </w:tcPr>
          <w:p w14:paraId="53E4B452" w14:textId="77777777" w:rsidR="00AC694D" w:rsidRPr="00CB73D2" w:rsidRDefault="00AC694D" w:rsidP="00CB73D2">
            <w:pPr>
              <w:pStyle w:val="TableText"/>
              <w:rPr>
                <w:rStyle w:val="Strong"/>
              </w:rPr>
            </w:pPr>
            <w:r w:rsidRPr="00CB73D2">
              <w:rPr>
                <w:rStyle w:val="Strong"/>
              </w:rPr>
              <w:t>Measure type</w:t>
            </w:r>
          </w:p>
        </w:tc>
        <w:tc>
          <w:tcPr>
            <w:tcW w:w="3986" w:type="pct"/>
          </w:tcPr>
          <w:p w14:paraId="07E67E7E" w14:textId="77777777" w:rsidR="00AC694D" w:rsidRPr="006E3EA9" w:rsidRDefault="00AC694D" w:rsidP="00740A3D">
            <w:pPr>
              <w:pStyle w:val="TableText"/>
              <w:rPr>
                <w:highlight w:val="yellow"/>
              </w:rPr>
            </w:pPr>
            <w:r w:rsidRPr="006E3EA9">
              <w:t>Quantitative effectiveness</w:t>
            </w:r>
          </w:p>
        </w:tc>
      </w:tr>
      <w:tr w:rsidR="00AC694D" w:rsidRPr="006E3EA9" w14:paraId="08142D20" w14:textId="77777777" w:rsidTr="009A6FBA">
        <w:trPr>
          <w:tblHeader/>
        </w:trPr>
        <w:tc>
          <w:tcPr>
            <w:tcW w:w="1014" w:type="pct"/>
          </w:tcPr>
          <w:p w14:paraId="048770A1" w14:textId="77777777" w:rsidR="00AC694D" w:rsidRPr="00CB73D2" w:rsidRDefault="00AC694D" w:rsidP="00CB73D2">
            <w:pPr>
              <w:pStyle w:val="TableText"/>
              <w:rPr>
                <w:rStyle w:val="Strong"/>
              </w:rPr>
            </w:pPr>
            <w:r w:rsidRPr="00CB73D2">
              <w:rPr>
                <w:rStyle w:val="Strong"/>
              </w:rPr>
              <w:t>Target</w:t>
            </w:r>
          </w:p>
        </w:tc>
        <w:tc>
          <w:tcPr>
            <w:tcW w:w="3986" w:type="pct"/>
          </w:tcPr>
          <w:p w14:paraId="5AF87101" w14:textId="77777777" w:rsidR="00AC694D" w:rsidRPr="006E3EA9" w:rsidRDefault="00AC694D" w:rsidP="00740A3D">
            <w:pPr>
              <w:pStyle w:val="TableText"/>
              <w:rPr>
                <w:highlight w:val="yellow"/>
              </w:rPr>
            </w:pPr>
            <w:r w:rsidRPr="006E3EA9">
              <w:t>Greater than or equal to 0% difference over the past 10 years.</w:t>
            </w:r>
          </w:p>
        </w:tc>
      </w:tr>
      <w:tr w:rsidR="00AC694D" w:rsidRPr="006E3EA9" w14:paraId="77BB93FE" w14:textId="77777777" w:rsidTr="009A6FBA">
        <w:trPr>
          <w:tblHeader/>
        </w:trPr>
        <w:tc>
          <w:tcPr>
            <w:tcW w:w="1014" w:type="pct"/>
            <w:vMerge w:val="restart"/>
          </w:tcPr>
          <w:p w14:paraId="0913DE79" w14:textId="77777777" w:rsidR="00AC694D" w:rsidRPr="00CB73D2" w:rsidRDefault="00AC694D" w:rsidP="00CB73D2">
            <w:pPr>
              <w:pStyle w:val="TableText"/>
              <w:rPr>
                <w:rStyle w:val="Strong"/>
              </w:rPr>
            </w:pPr>
            <w:r w:rsidRPr="00CB73D2">
              <w:rPr>
                <w:rStyle w:val="Strong"/>
              </w:rPr>
              <w:t>Sources</w:t>
            </w:r>
          </w:p>
        </w:tc>
        <w:tc>
          <w:tcPr>
            <w:tcW w:w="3986" w:type="pct"/>
          </w:tcPr>
          <w:p w14:paraId="5A4A8420" w14:textId="77777777" w:rsidR="00AC694D" w:rsidRPr="00B142E4" w:rsidRDefault="00AC694D" w:rsidP="00740A3D">
            <w:pPr>
              <w:pStyle w:val="TableText"/>
              <w:rPr>
                <w:rStyle w:val="Emphasis"/>
                <w:highlight w:val="yellow"/>
              </w:rPr>
            </w:pPr>
            <w:r w:rsidRPr="00B142E4">
              <w:rPr>
                <w:rStyle w:val="Emphasis"/>
              </w:rPr>
              <w:t>Corporate Plan 2024–25</w:t>
            </w:r>
          </w:p>
        </w:tc>
      </w:tr>
      <w:tr w:rsidR="00AC694D" w:rsidRPr="006E3EA9" w14:paraId="780759AC" w14:textId="77777777" w:rsidTr="009A6FBA">
        <w:trPr>
          <w:tblHeader/>
        </w:trPr>
        <w:tc>
          <w:tcPr>
            <w:tcW w:w="1014" w:type="pct"/>
            <w:vMerge/>
          </w:tcPr>
          <w:p w14:paraId="72296557" w14:textId="77777777" w:rsidR="00AC694D" w:rsidRPr="00CB73D2" w:rsidRDefault="00AC694D" w:rsidP="00CB73D2">
            <w:pPr>
              <w:pStyle w:val="TableText"/>
              <w:rPr>
                <w:rStyle w:val="Strong"/>
              </w:rPr>
            </w:pPr>
          </w:p>
        </w:tc>
        <w:tc>
          <w:tcPr>
            <w:tcW w:w="3986" w:type="pct"/>
          </w:tcPr>
          <w:p w14:paraId="3921B45D" w14:textId="77777777" w:rsidR="00AC694D" w:rsidRPr="006E3EA9" w:rsidRDefault="00AC694D" w:rsidP="00740A3D">
            <w:pPr>
              <w:pStyle w:val="TableText"/>
              <w:rPr>
                <w:i/>
                <w:iCs/>
              </w:rPr>
            </w:pPr>
            <w:r w:rsidRPr="006E3EA9">
              <w:rPr>
                <w:i/>
                <w:iCs/>
              </w:rPr>
              <w:t>Portfolio Budget Statements 2024–25</w:t>
            </w:r>
          </w:p>
          <w:p w14:paraId="5D113411" w14:textId="77777777" w:rsidR="00AC694D" w:rsidRPr="006E3EA9" w:rsidRDefault="00AC694D" w:rsidP="00740A3D">
            <w:pPr>
              <w:pStyle w:val="TableText"/>
              <w:rPr>
                <w:highlight w:val="yellow"/>
              </w:rPr>
            </w:pPr>
            <w:r w:rsidRPr="006E3EA9">
              <w:t>Programs: 1.1, 1.3, 1.4, 1.5, 1.6, 1.7, 1.8, 1.9, 1.10, 1.12</w:t>
            </w:r>
          </w:p>
        </w:tc>
      </w:tr>
      <w:tr w:rsidR="00AC694D" w:rsidRPr="006E3EA9" w14:paraId="42C127ED" w14:textId="77777777" w:rsidTr="00F37768">
        <w:trPr>
          <w:tblHeader/>
        </w:trPr>
        <w:tc>
          <w:tcPr>
            <w:tcW w:w="1014" w:type="pct"/>
          </w:tcPr>
          <w:p w14:paraId="4D081218" w14:textId="707844FE" w:rsidR="00AC694D" w:rsidRPr="00CB73D2" w:rsidRDefault="00340FE5" w:rsidP="00CB73D2">
            <w:pPr>
              <w:pStyle w:val="TableText"/>
              <w:rPr>
                <w:rStyle w:val="Strong"/>
              </w:rPr>
            </w:pPr>
            <w:r w:rsidRPr="00CB73D2">
              <w:rPr>
                <w:rStyle w:val="Strong"/>
              </w:rPr>
              <w:t>2024–25</w:t>
            </w:r>
            <w:r w:rsidR="00AC694D" w:rsidRPr="00CB73D2">
              <w:rPr>
                <w:rStyle w:val="Strong"/>
              </w:rPr>
              <w:t xml:space="preserve"> outcome</w:t>
            </w:r>
          </w:p>
        </w:tc>
        <w:tc>
          <w:tcPr>
            <w:tcW w:w="3986" w:type="pct"/>
          </w:tcPr>
          <w:p w14:paraId="49AB113D" w14:textId="77777777" w:rsidR="00AC694D" w:rsidRPr="006E3EA9" w:rsidRDefault="00AC694D" w:rsidP="00740A3D">
            <w:pPr>
              <w:pStyle w:val="TableText"/>
            </w:pPr>
            <w:r w:rsidRPr="006E3EA9">
              <w:t>Achieved</w:t>
            </w:r>
          </w:p>
        </w:tc>
      </w:tr>
      <w:tr w:rsidR="00822E89" w:rsidRPr="006E3EA9" w14:paraId="7886A21E" w14:textId="77777777" w:rsidTr="00FF60C1">
        <w:trPr>
          <w:trHeight w:val="172"/>
          <w:tblHeader/>
        </w:trPr>
        <w:tc>
          <w:tcPr>
            <w:tcW w:w="1014" w:type="pct"/>
          </w:tcPr>
          <w:p w14:paraId="27640CFE" w14:textId="5C74BDD7" w:rsidR="00822E89" w:rsidRPr="00CB73D2" w:rsidRDefault="001E2BF7" w:rsidP="00CB73D2">
            <w:pPr>
              <w:pStyle w:val="TableText"/>
              <w:rPr>
                <w:rStyle w:val="Strong"/>
              </w:rPr>
            </w:pPr>
            <w:r w:rsidRPr="00CB73D2">
              <w:rPr>
                <w:rStyle w:val="Strong"/>
              </w:rPr>
              <w:t>Result</w:t>
            </w:r>
          </w:p>
        </w:tc>
        <w:tc>
          <w:tcPr>
            <w:tcW w:w="3986" w:type="pct"/>
          </w:tcPr>
          <w:p w14:paraId="4717D657" w14:textId="77777777" w:rsidR="00822E89" w:rsidRPr="006E3EA9" w:rsidRDefault="00822E89" w:rsidP="00740A3D">
            <w:pPr>
              <w:pStyle w:val="TableText"/>
            </w:pPr>
            <w:r w:rsidRPr="006E3EA9">
              <w:t>Agricultural productivity growth was 0.61 percentage points higher than the market sector growth rate.</w:t>
            </w:r>
          </w:p>
        </w:tc>
      </w:tr>
      <w:tr w:rsidR="00AC694D" w:rsidRPr="006E3EA9" w14:paraId="0CF58DA6" w14:textId="77777777" w:rsidTr="00F37768">
        <w:trPr>
          <w:tblHeader/>
        </w:trPr>
        <w:tc>
          <w:tcPr>
            <w:tcW w:w="1014" w:type="pct"/>
          </w:tcPr>
          <w:p w14:paraId="600642EC" w14:textId="77777777" w:rsidR="00AC694D" w:rsidRPr="00CB73D2" w:rsidRDefault="00AC694D" w:rsidP="00CB73D2">
            <w:pPr>
              <w:pStyle w:val="TableText"/>
              <w:rPr>
                <w:rStyle w:val="Strong"/>
                <w:highlight w:val="yellow"/>
              </w:rPr>
            </w:pPr>
            <w:r w:rsidRPr="00CB73D2">
              <w:rPr>
                <w:rStyle w:val="Strong"/>
              </w:rPr>
              <w:t>Tolerances</w:t>
            </w:r>
          </w:p>
        </w:tc>
        <w:tc>
          <w:tcPr>
            <w:tcW w:w="3986" w:type="pct"/>
          </w:tcPr>
          <w:p w14:paraId="6B423278" w14:textId="77777777" w:rsidR="00AC694D" w:rsidRPr="006E3EA9" w:rsidRDefault="00AC694D" w:rsidP="00740A3D">
            <w:pPr>
              <w:pStyle w:val="TableText"/>
            </w:pPr>
            <w:r w:rsidRPr="006E3EA9">
              <w:t>Achieved: Average annual growth in agricultural productivity (climate-adjusted) exceeds average annual market sector productivity growth over the same period.</w:t>
            </w:r>
          </w:p>
          <w:p w14:paraId="65972485" w14:textId="77777777" w:rsidR="00AC694D" w:rsidRPr="006E3EA9" w:rsidRDefault="00AC694D" w:rsidP="00740A3D">
            <w:pPr>
              <w:pStyle w:val="TableText"/>
            </w:pPr>
            <w:r w:rsidRPr="006E3EA9">
              <w:t>Partially achieved: Not applicable.</w:t>
            </w:r>
          </w:p>
          <w:p w14:paraId="7260F720" w14:textId="77777777" w:rsidR="00AC694D" w:rsidRPr="006E3EA9" w:rsidRDefault="00AC694D" w:rsidP="00740A3D">
            <w:pPr>
              <w:pStyle w:val="TableText"/>
              <w:rPr>
                <w:highlight w:val="yellow"/>
              </w:rPr>
            </w:pPr>
            <w:r w:rsidRPr="006E3EA9">
              <w:t>Not achieved: Average annual growth in agricultural productivity (climate adjusted) is lower than average annual market sector productivity growth over the same period.</w:t>
            </w:r>
          </w:p>
        </w:tc>
      </w:tr>
    </w:tbl>
    <w:p w14:paraId="4347D912" w14:textId="50FBBC02" w:rsidR="00AC694D" w:rsidRPr="006E3EA9" w:rsidRDefault="00AC694D" w:rsidP="00B85A9C">
      <w:pPr>
        <w:pStyle w:val="Heading5"/>
        <w:keepNext w:val="0"/>
        <w:spacing w:before="120"/>
        <w:rPr>
          <w:highlight w:val="yellow"/>
        </w:rPr>
      </w:pPr>
      <w:bookmarkStart w:id="70" w:name="_Hlk181781491"/>
      <w:bookmarkStart w:id="71" w:name="RowTitle_IG_02"/>
      <w:r w:rsidRPr="006E3EA9">
        <w:t>Measure SG</w:t>
      </w:r>
      <w:r w:rsidR="009D7C35">
        <w:t>-</w:t>
      </w:r>
      <w:r w:rsidRPr="006E3EA9">
        <w:t>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AC694D" w:rsidRPr="006E3EA9" w14:paraId="044BDCC4" w14:textId="77777777" w:rsidTr="009A6FBA">
        <w:trPr>
          <w:tblHeader/>
        </w:trPr>
        <w:tc>
          <w:tcPr>
            <w:tcW w:w="1014" w:type="pct"/>
          </w:tcPr>
          <w:p w14:paraId="365F511F" w14:textId="4B771D69" w:rsidR="00AC694D" w:rsidRPr="00CB73D2" w:rsidRDefault="00AC694D" w:rsidP="003F7CB2">
            <w:pPr>
              <w:pStyle w:val="TableHeading"/>
              <w:keepNext w:val="0"/>
              <w:rPr>
                <w:rStyle w:val="Strong"/>
                <w:b/>
                <w:bCs w:val="0"/>
              </w:rPr>
            </w:pPr>
            <w:bookmarkStart w:id="72" w:name="RowTitle_SG_02"/>
            <w:bookmarkEnd w:id="70"/>
            <w:bookmarkEnd w:id="71"/>
            <w:r w:rsidRPr="00CB73D2">
              <w:rPr>
                <w:rStyle w:val="Strong"/>
                <w:b/>
                <w:bCs w:val="0"/>
              </w:rPr>
              <w:t>Measure SG</w:t>
            </w:r>
            <w:r w:rsidR="009D7C35" w:rsidRPr="00CB73D2">
              <w:rPr>
                <w:rStyle w:val="Strong"/>
                <w:b/>
                <w:bCs w:val="0"/>
              </w:rPr>
              <w:t>-</w:t>
            </w:r>
            <w:r w:rsidRPr="00CB73D2">
              <w:rPr>
                <w:rStyle w:val="Strong"/>
                <w:b/>
                <w:bCs w:val="0"/>
              </w:rPr>
              <w:t>02</w:t>
            </w:r>
            <w:bookmarkEnd w:id="72"/>
          </w:p>
        </w:tc>
        <w:tc>
          <w:tcPr>
            <w:tcW w:w="3986" w:type="pct"/>
          </w:tcPr>
          <w:p w14:paraId="01B7D3FA" w14:textId="77777777" w:rsidR="00AC694D" w:rsidRPr="006E3EA9" w:rsidRDefault="00AC694D" w:rsidP="00740A3D">
            <w:pPr>
              <w:pStyle w:val="TableText"/>
              <w:rPr>
                <w:highlight w:val="yellow"/>
              </w:rPr>
            </w:pPr>
            <w:r w:rsidRPr="006E3EA9">
              <w:t>Equal or reduced cost of levies administration compared with levies disbursed.</w:t>
            </w:r>
          </w:p>
        </w:tc>
      </w:tr>
      <w:tr w:rsidR="00AC694D" w:rsidRPr="006E3EA9" w14:paraId="34DDBD78" w14:textId="77777777" w:rsidTr="00F37768">
        <w:trPr>
          <w:tblHeader/>
        </w:trPr>
        <w:tc>
          <w:tcPr>
            <w:tcW w:w="1014" w:type="pct"/>
          </w:tcPr>
          <w:p w14:paraId="6D60EE7F" w14:textId="77777777" w:rsidR="00AC694D" w:rsidRPr="00CB73D2" w:rsidRDefault="00AC694D" w:rsidP="00CB73D2">
            <w:pPr>
              <w:pStyle w:val="TableText"/>
              <w:rPr>
                <w:rStyle w:val="Strong"/>
              </w:rPr>
            </w:pPr>
            <w:r w:rsidRPr="00CB73D2">
              <w:rPr>
                <w:rStyle w:val="Strong"/>
              </w:rPr>
              <w:t>Measure type</w:t>
            </w:r>
          </w:p>
        </w:tc>
        <w:tc>
          <w:tcPr>
            <w:tcW w:w="3986" w:type="pct"/>
          </w:tcPr>
          <w:p w14:paraId="3AAA5DD0" w14:textId="77777777" w:rsidR="00AC694D" w:rsidRPr="006E3EA9" w:rsidRDefault="00AC694D" w:rsidP="00740A3D">
            <w:pPr>
              <w:pStyle w:val="TableText"/>
              <w:rPr>
                <w:highlight w:val="yellow"/>
              </w:rPr>
            </w:pPr>
            <w:r w:rsidRPr="006E3EA9">
              <w:t>Quantitative efficiency and regulatory.</w:t>
            </w:r>
          </w:p>
        </w:tc>
      </w:tr>
      <w:tr w:rsidR="00AC694D" w:rsidRPr="006E3EA9" w14:paraId="3148EDCA" w14:textId="77777777" w:rsidTr="009A6FBA">
        <w:trPr>
          <w:tblHeader/>
        </w:trPr>
        <w:tc>
          <w:tcPr>
            <w:tcW w:w="1014" w:type="pct"/>
          </w:tcPr>
          <w:p w14:paraId="39BA7451" w14:textId="77777777" w:rsidR="00AC694D" w:rsidRPr="00CB73D2" w:rsidRDefault="00AC694D" w:rsidP="00CB73D2">
            <w:pPr>
              <w:pStyle w:val="TableText"/>
              <w:rPr>
                <w:rStyle w:val="Strong"/>
              </w:rPr>
            </w:pPr>
            <w:r w:rsidRPr="00CB73D2">
              <w:rPr>
                <w:rStyle w:val="Strong"/>
              </w:rPr>
              <w:t>Target</w:t>
            </w:r>
          </w:p>
        </w:tc>
        <w:tc>
          <w:tcPr>
            <w:tcW w:w="3986" w:type="pct"/>
          </w:tcPr>
          <w:p w14:paraId="410D2B75" w14:textId="77777777" w:rsidR="00AC694D" w:rsidRPr="006E3EA9" w:rsidRDefault="00AC694D" w:rsidP="00740A3D">
            <w:pPr>
              <w:pStyle w:val="TableText"/>
              <w:rPr>
                <w:highlight w:val="yellow"/>
              </w:rPr>
            </w:pPr>
            <w:r w:rsidRPr="006E3EA9">
              <w:t>Levies administration cost is less than or equal to 1.2% of levies disbursed.</w:t>
            </w:r>
          </w:p>
        </w:tc>
      </w:tr>
      <w:tr w:rsidR="00AC694D" w:rsidRPr="006E3EA9" w14:paraId="34613D66" w14:textId="77777777" w:rsidTr="009A6FBA">
        <w:trPr>
          <w:tblHeader/>
        </w:trPr>
        <w:tc>
          <w:tcPr>
            <w:tcW w:w="1014" w:type="pct"/>
            <w:vMerge w:val="restart"/>
          </w:tcPr>
          <w:p w14:paraId="55D72065" w14:textId="77777777" w:rsidR="00AC694D" w:rsidRPr="00CB73D2" w:rsidRDefault="00AC694D" w:rsidP="00CB73D2">
            <w:pPr>
              <w:pStyle w:val="TableText"/>
              <w:rPr>
                <w:rStyle w:val="Strong"/>
              </w:rPr>
            </w:pPr>
            <w:r w:rsidRPr="00CB73D2">
              <w:rPr>
                <w:rStyle w:val="Strong"/>
              </w:rPr>
              <w:t>Sources</w:t>
            </w:r>
          </w:p>
        </w:tc>
        <w:tc>
          <w:tcPr>
            <w:tcW w:w="3986" w:type="pct"/>
          </w:tcPr>
          <w:p w14:paraId="39029D81" w14:textId="77777777" w:rsidR="00AC694D" w:rsidRPr="00B142E4" w:rsidRDefault="00AC694D" w:rsidP="00740A3D">
            <w:pPr>
              <w:pStyle w:val="TableText"/>
              <w:rPr>
                <w:rStyle w:val="Emphasis"/>
                <w:highlight w:val="yellow"/>
              </w:rPr>
            </w:pPr>
            <w:r w:rsidRPr="00B142E4">
              <w:rPr>
                <w:rStyle w:val="Emphasis"/>
              </w:rPr>
              <w:t>Corporate Plan 2024–25</w:t>
            </w:r>
          </w:p>
        </w:tc>
      </w:tr>
      <w:tr w:rsidR="00AC694D" w:rsidRPr="006E3EA9" w14:paraId="295C24B2" w14:textId="77777777" w:rsidTr="009A6FBA">
        <w:trPr>
          <w:tblHeader/>
        </w:trPr>
        <w:tc>
          <w:tcPr>
            <w:tcW w:w="1014" w:type="pct"/>
            <w:vMerge/>
          </w:tcPr>
          <w:p w14:paraId="117D3C3D" w14:textId="77777777" w:rsidR="00AC694D" w:rsidRPr="00CB73D2" w:rsidRDefault="00AC694D" w:rsidP="00CB73D2">
            <w:pPr>
              <w:pStyle w:val="TableText"/>
              <w:rPr>
                <w:rStyle w:val="Strong"/>
              </w:rPr>
            </w:pPr>
          </w:p>
        </w:tc>
        <w:tc>
          <w:tcPr>
            <w:tcW w:w="3986" w:type="pct"/>
          </w:tcPr>
          <w:p w14:paraId="0C7C9CE5" w14:textId="77777777" w:rsidR="00AC694D" w:rsidRPr="00B142E4" w:rsidRDefault="00AC694D" w:rsidP="00740A3D">
            <w:pPr>
              <w:pStyle w:val="TableText"/>
              <w:rPr>
                <w:rStyle w:val="Emphasis"/>
                <w:highlight w:val="yellow"/>
              </w:rPr>
            </w:pPr>
            <w:r w:rsidRPr="00B142E4">
              <w:rPr>
                <w:rStyle w:val="Emphasis"/>
              </w:rPr>
              <w:t>Portfolio Budget Statements 2024–25</w:t>
            </w:r>
          </w:p>
          <w:p w14:paraId="239BC187" w14:textId="77777777" w:rsidR="00AC694D" w:rsidRPr="006E3EA9" w:rsidRDefault="00AC694D" w:rsidP="00740A3D">
            <w:pPr>
              <w:pStyle w:val="TableText"/>
              <w:rPr>
                <w:i/>
                <w:highlight w:val="yellow"/>
              </w:rPr>
            </w:pPr>
            <w:r w:rsidRPr="006E3EA9">
              <w:t>Programs: 1.1, 1.3, 1.4, 1.5, 1.6, 1.7, 1.8, 1.9, 1.10, 1.12</w:t>
            </w:r>
          </w:p>
        </w:tc>
      </w:tr>
      <w:tr w:rsidR="00AC694D" w:rsidRPr="006E3EA9" w14:paraId="1CC1A154" w14:textId="77777777" w:rsidTr="009A6FBA">
        <w:trPr>
          <w:tblHeader/>
        </w:trPr>
        <w:tc>
          <w:tcPr>
            <w:tcW w:w="1014" w:type="pct"/>
          </w:tcPr>
          <w:p w14:paraId="4EF89389" w14:textId="09283E20" w:rsidR="00AC694D" w:rsidRPr="00CB73D2" w:rsidRDefault="00340FE5" w:rsidP="00CB73D2">
            <w:pPr>
              <w:pStyle w:val="TableText"/>
              <w:rPr>
                <w:rStyle w:val="Strong"/>
              </w:rPr>
            </w:pPr>
            <w:r w:rsidRPr="00CB73D2">
              <w:rPr>
                <w:rStyle w:val="Strong"/>
              </w:rPr>
              <w:t>2024–25</w:t>
            </w:r>
            <w:r w:rsidR="00AC694D" w:rsidRPr="00CB73D2">
              <w:rPr>
                <w:rStyle w:val="Strong"/>
              </w:rPr>
              <w:t xml:space="preserve"> </w:t>
            </w:r>
            <w:r w:rsidR="005253E7" w:rsidRPr="00CB73D2">
              <w:rPr>
                <w:rStyle w:val="Strong"/>
              </w:rPr>
              <w:t>o</w:t>
            </w:r>
            <w:r w:rsidR="00AC694D" w:rsidRPr="00CB73D2">
              <w:rPr>
                <w:rStyle w:val="Strong"/>
              </w:rPr>
              <w:t>utcome</w:t>
            </w:r>
          </w:p>
        </w:tc>
        <w:tc>
          <w:tcPr>
            <w:tcW w:w="3986" w:type="pct"/>
          </w:tcPr>
          <w:p w14:paraId="3140C490" w14:textId="77777777" w:rsidR="00AC694D" w:rsidRPr="006E3EA9" w:rsidRDefault="00AC694D" w:rsidP="00740A3D">
            <w:pPr>
              <w:pStyle w:val="TableText"/>
            </w:pPr>
            <w:r w:rsidRPr="006E3EA9">
              <w:t>Achieved</w:t>
            </w:r>
          </w:p>
        </w:tc>
      </w:tr>
      <w:tr w:rsidR="00822E89" w:rsidRPr="006E3EA9" w14:paraId="2FA4C39C" w14:textId="77777777" w:rsidTr="00FF60C1">
        <w:trPr>
          <w:trHeight w:val="172"/>
          <w:tblHeader/>
        </w:trPr>
        <w:tc>
          <w:tcPr>
            <w:tcW w:w="1014" w:type="pct"/>
          </w:tcPr>
          <w:p w14:paraId="30D0D725" w14:textId="749D2EBF" w:rsidR="00822E89" w:rsidRPr="00CB73D2" w:rsidRDefault="001E2BF7" w:rsidP="00CB73D2">
            <w:pPr>
              <w:pStyle w:val="TableText"/>
              <w:rPr>
                <w:rStyle w:val="Strong"/>
              </w:rPr>
            </w:pPr>
            <w:r w:rsidRPr="00CB73D2">
              <w:rPr>
                <w:rStyle w:val="Strong"/>
              </w:rPr>
              <w:t>Result</w:t>
            </w:r>
          </w:p>
        </w:tc>
        <w:tc>
          <w:tcPr>
            <w:tcW w:w="3986" w:type="pct"/>
          </w:tcPr>
          <w:p w14:paraId="13228DC0" w14:textId="62C4161A" w:rsidR="00822E89" w:rsidRPr="006E3EA9" w:rsidRDefault="00822E89" w:rsidP="00740A3D">
            <w:pPr>
              <w:pStyle w:val="TableText"/>
              <w:rPr>
                <w:highlight w:val="yellow"/>
              </w:rPr>
            </w:pPr>
            <w:r w:rsidRPr="006E3EA9">
              <w:t>Cost was $6.94</w:t>
            </w:r>
            <w:r w:rsidR="00042838">
              <w:t> </w:t>
            </w:r>
            <w:r w:rsidRPr="006E3EA9">
              <w:t>million or 1.10% of levies disbursed</w:t>
            </w:r>
          </w:p>
        </w:tc>
      </w:tr>
      <w:tr w:rsidR="00AC694D" w:rsidRPr="006E3EA9" w14:paraId="65D02EFE" w14:textId="77777777" w:rsidTr="00F37768">
        <w:trPr>
          <w:tblHeader/>
        </w:trPr>
        <w:tc>
          <w:tcPr>
            <w:tcW w:w="1014" w:type="pct"/>
          </w:tcPr>
          <w:p w14:paraId="5EF10EBD" w14:textId="77777777" w:rsidR="00AC694D" w:rsidRPr="00CB73D2" w:rsidRDefault="00AC694D" w:rsidP="00CB73D2">
            <w:pPr>
              <w:pStyle w:val="TableText"/>
              <w:rPr>
                <w:rStyle w:val="Strong"/>
              </w:rPr>
            </w:pPr>
            <w:r w:rsidRPr="00CB73D2">
              <w:rPr>
                <w:rStyle w:val="Strong"/>
              </w:rPr>
              <w:t>Tolerances</w:t>
            </w:r>
          </w:p>
        </w:tc>
        <w:tc>
          <w:tcPr>
            <w:tcW w:w="3986" w:type="pct"/>
          </w:tcPr>
          <w:p w14:paraId="60CF450C" w14:textId="77777777" w:rsidR="00AC694D" w:rsidRPr="006E3EA9" w:rsidRDefault="00AC694D" w:rsidP="00740A3D">
            <w:pPr>
              <w:pStyle w:val="TableText"/>
            </w:pPr>
            <w:r w:rsidRPr="006E3EA9">
              <w:t>Achieved: Levies administration cost is less than or equal to 1.2% of levies disbursed.</w:t>
            </w:r>
          </w:p>
          <w:p w14:paraId="0A98B5C7" w14:textId="77777777" w:rsidR="00AC694D" w:rsidRPr="006E3EA9" w:rsidRDefault="00AC694D" w:rsidP="00740A3D">
            <w:pPr>
              <w:pStyle w:val="TableText"/>
            </w:pPr>
            <w:r w:rsidRPr="006E3EA9">
              <w:t>Partially achieved: Not applicable.</w:t>
            </w:r>
          </w:p>
          <w:p w14:paraId="1F8253A9" w14:textId="77777777" w:rsidR="00AC694D" w:rsidRPr="006E3EA9" w:rsidRDefault="00AC694D" w:rsidP="00740A3D">
            <w:pPr>
              <w:pStyle w:val="TableText"/>
              <w:rPr>
                <w:highlight w:val="yellow"/>
              </w:rPr>
            </w:pPr>
            <w:r w:rsidRPr="006E3EA9">
              <w:t>Not achieved: Levies administration cost is more than 1.2% of levies disbursed.</w:t>
            </w:r>
          </w:p>
        </w:tc>
      </w:tr>
    </w:tbl>
    <w:p w14:paraId="1AAFCB5F" w14:textId="77777777" w:rsidR="00A62726" w:rsidRPr="006E3EA9" w:rsidRDefault="00A62726" w:rsidP="0070610E">
      <w:pPr>
        <w:pStyle w:val="Heading4"/>
        <w:numPr>
          <w:ilvl w:val="0"/>
          <w:numId w:val="0"/>
        </w:numPr>
        <w:ind w:left="964" w:hanging="964"/>
      </w:pPr>
      <w:bookmarkStart w:id="73" w:name="_Toc181602566"/>
      <w:bookmarkStart w:id="74" w:name="_Toc180491633"/>
      <w:bookmarkStart w:id="75" w:name="_Toc181181927"/>
      <w:bookmarkEnd w:id="64"/>
      <w:bookmarkEnd w:id="65"/>
      <w:bookmarkEnd w:id="66"/>
      <w:r w:rsidRPr="006E3EA9">
        <w:lastRenderedPageBreak/>
        <w:t>Key activity 1.2</w:t>
      </w:r>
    </w:p>
    <w:p w14:paraId="6519C2C4" w14:textId="77777777" w:rsidR="00A62726" w:rsidRPr="006E3EA9" w:rsidRDefault="00A62726" w:rsidP="00A62726">
      <w:pPr>
        <w:rPr>
          <w:rFonts w:ascii="Calibri" w:eastAsia="Calibri" w:hAnsi="Calibri" w:cs="Arial"/>
        </w:rPr>
      </w:pPr>
      <w:r w:rsidRPr="006E3EA9">
        <w:rPr>
          <w:rFonts w:ascii="Calibri" w:eastAsia="Calibri" w:hAnsi="Calibri" w:cs="Arial"/>
        </w:rPr>
        <w:t xml:space="preserve">Regulate exports and enable, improve and protect access to international markets. </w:t>
      </w:r>
    </w:p>
    <w:p w14:paraId="2851CF71" w14:textId="0D6C82B3" w:rsidR="00A62726" w:rsidRPr="006E3EA9" w:rsidRDefault="00A62726" w:rsidP="00B85A9C">
      <w:pPr>
        <w:pStyle w:val="Heading5"/>
        <w:keepNext w:val="0"/>
        <w:spacing w:before="120"/>
      </w:pPr>
      <w:bookmarkStart w:id="76" w:name="_Hlk181782556"/>
      <w:bookmarkStart w:id="77" w:name="RowTitle_IG_04"/>
      <w:r w:rsidRPr="006E3EA9">
        <w:t xml:space="preserve">Measure </w:t>
      </w:r>
      <w:bookmarkEnd w:id="73"/>
      <w:bookmarkEnd w:id="76"/>
      <w:r w:rsidRPr="006E3EA9">
        <w:t>SG</w:t>
      </w:r>
      <w:r w:rsidR="009D7C35">
        <w:t>-</w:t>
      </w:r>
      <w:r w:rsidRPr="006E3EA9">
        <w:t>04</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A62726" w:rsidRPr="006E3EA9" w14:paraId="6BB20FA9" w14:textId="77777777" w:rsidTr="009A6FBA">
        <w:trPr>
          <w:tblHeader/>
        </w:trPr>
        <w:tc>
          <w:tcPr>
            <w:tcW w:w="1014" w:type="pct"/>
          </w:tcPr>
          <w:p w14:paraId="658FEDA7" w14:textId="7794AF95" w:rsidR="00A62726" w:rsidRPr="00711387" w:rsidRDefault="00A62726" w:rsidP="003F7CB2">
            <w:pPr>
              <w:pStyle w:val="TableHeading"/>
              <w:keepNext w:val="0"/>
              <w:rPr>
                <w:rStyle w:val="Strong"/>
                <w:b/>
                <w:bCs w:val="0"/>
              </w:rPr>
            </w:pPr>
            <w:bookmarkStart w:id="78" w:name="RowTitle_SG_04"/>
            <w:bookmarkEnd w:id="77"/>
            <w:r w:rsidRPr="00711387">
              <w:rPr>
                <w:rStyle w:val="Strong"/>
                <w:b/>
                <w:bCs w:val="0"/>
              </w:rPr>
              <w:t>Measure SG</w:t>
            </w:r>
            <w:r w:rsidR="009D7C35" w:rsidRPr="00711387">
              <w:rPr>
                <w:rStyle w:val="Strong"/>
                <w:b/>
                <w:bCs w:val="0"/>
              </w:rPr>
              <w:t>-</w:t>
            </w:r>
            <w:r w:rsidRPr="00711387">
              <w:rPr>
                <w:rStyle w:val="Strong"/>
                <w:b/>
                <w:bCs w:val="0"/>
              </w:rPr>
              <w:t>04</w:t>
            </w:r>
            <w:bookmarkEnd w:id="78"/>
          </w:p>
        </w:tc>
        <w:tc>
          <w:tcPr>
            <w:tcW w:w="3986" w:type="pct"/>
          </w:tcPr>
          <w:p w14:paraId="5D9D0412" w14:textId="1912A87C" w:rsidR="00A62726" w:rsidRPr="009A6FBA" w:rsidRDefault="00A62726" w:rsidP="00740A3D">
            <w:pPr>
              <w:pStyle w:val="TableText"/>
            </w:pPr>
            <w:r w:rsidRPr="001E2BF7">
              <w:rPr>
                <w:lang w:eastAsia="ja-JP"/>
              </w:rPr>
              <w:t>Grow access to a diverse range of international markets for Australian exporters of agricultural, fisheries and forestry</w:t>
            </w:r>
            <w:r w:rsidR="000F714A" w:rsidRPr="001E2BF7">
              <w:rPr>
                <w:lang w:eastAsia="ja-JP"/>
              </w:rPr>
              <w:t xml:space="preserve"> (AFF)</w:t>
            </w:r>
            <w:r w:rsidRPr="001E2BF7">
              <w:rPr>
                <w:lang w:eastAsia="ja-JP"/>
              </w:rPr>
              <w:t xml:space="preserve"> products.</w:t>
            </w:r>
          </w:p>
        </w:tc>
      </w:tr>
      <w:tr w:rsidR="00A62726" w:rsidRPr="006E3EA9" w14:paraId="7DBBAE99" w14:textId="77777777" w:rsidTr="00F37768">
        <w:trPr>
          <w:tblHeader/>
        </w:trPr>
        <w:tc>
          <w:tcPr>
            <w:tcW w:w="1014" w:type="pct"/>
          </w:tcPr>
          <w:p w14:paraId="290FC088" w14:textId="77777777" w:rsidR="00A62726" w:rsidRPr="00711387" w:rsidRDefault="00A62726" w:rsidP="00711387">
            <w:pPr>
              <w:pStyle w:val="TableText"/>
              <w:rPr>
                <w:rStyle w:val="Strong"/>
              </w:rPr>
            </w:pPr>
            <w:r w:rsidRPr="00711387">
              <w:rPr>
                <w:rStyle w:val="Strong"/>
              </w:rPr>
              <w:t>Measure type</w:t>
            </w:r>
          </w:p>
        </w:tc>
        <w:tc>
          <w:tcPr>
            <w:tcW w:w="3986" w:type="pct"/>
          </w:tcPr>
          <w:p w14:paraId="5C59D7E1" w14:textId="77777777" w:rsidR="00A62726" w:rsidRPr="009A6FBA" w:rsidRDefault="00A62726" w:rsidP="00740A3D">
            <w:pPr>
              <w:pStyle w:val="TableText"/>
            </w:pPr>
            <w:r w:rsidRPr="001E2BF7">
              <w:rPr>
                <w:lang w:eastAsia="ja-JP"/>
              </w:rPr>
              <w:t>Quantitative output</w:t>
            </w:r>
          </w:p>
        </w:tc>
      </w:tr>
      <w:tr w:rsidR="00A62726" w:rsidRPr="006E3EA9" w14:paraId="70B68FD5" w14:textId="77777777" w:rsidTr="009A6FBA">
        <w:trPr>
          <w:tblHeader/>
        </w:trPr>
        <w:tc>
          <w:tcPr>
            <w:tcW w:w="1014" w:type="pct"/>
          </w:tcPr>
          <w:p w14:paraId="242617F3" w14:textId="77777777" w:rsidR="00A62726" w:rsidRPr="00711387" w:rsidRDefault="00A62726" w:rsidP="00711387">
            <w:pPr>
              <w:pStyle w:val="TableText"/>
              <w:rPr>
                <w:rStyle w:val="Strong"/>
              </w:rPr>
            </w:pPr>
            <w:r w:rsidRPr="00711387">
              <w:rPr>
                <w:rStyle w:val="Strong"/>
              </w:rPr>
              <w:t>Target</w:t>
            </w:r>
          </w:p>
        </w:tc>
        <w:tc>
          <w:tcPr>
            <w:tcW w:w="3986" w:type="pct"/>
          </w:tcPr>
          <w:p w14:paraId="64717C33" w14:textId="77777777" w:rsidR="00A62726" w:rsidRPr="009A6FBA" w:rsidRDefault="00A62726" w:rsidP="00740A3D">
            <w:pPr>
              <w:pStyle w:val="TableText"/>
            </w:pPr>
            <w:r w:rsidRPr="001E2BF7">
              <w:rPr>
                <w:lang w:eastAsia="ja-JP"/>
              </w:rPr>
              <w:t>Each year, the department can qualitatively describe the impact of technical market access achievements and how these achievements grow access for Australian AFF producers. Achievements may include opening, improving, maintaining or restoring access. Examples need to be provided to demonstrate that different markets and commodities have had their technical access progressed.</w:t>
            </w:r>
          </w:p>
        </w:tc>
      </w:tr>
      <w:tr w:rsidR="00A62726" w:rsidRPr="006E3EA9" w14:paraId="0A171E1D" w14:textId="77777777" w:rsidTr="009A6FBA">
        <w:trPr>
          <w:tblHeader/>
        </w:trPr>
        <w:tc>
          <w:tcPr>
            <w:tcW w:w="1014" w:type="pct"/>
            <w:vMerge w:val="restart"/>
          </w:tcPr>
          <w:p w14:paraId="26B8E062" w14:textId="77777777" w:rsidR="00A62726" w:rsidRPr="00711387" w:rsidRDefault="00A62726" w:rsidP="00711387">
            <w:pPr>
              <w:pStyle w:val="TableText"/>
              <w:rPr>
                <w:rStyle w:val="Strong"/>
              </w:rPr>
            </w:pPr>
            <w:r w:rsidRPr="00711387">
              <w:rPr>
                <w:rStyle w:val="Strong"/>
              </w:rPr>
              <w:t>Sources</w:t>
            </w:r>
          </w:p>
        </w:tc>
        <w:tc>
          <w:tcPr>
            <w:tcW w:w="3986" w:type="pct"/>
          </w:tcPr>
          <w:p w14:paraId="1D84C8C6" w14:textId="77777777" w:rsidR="00A62726" w:rsidRPr="001F091B" w:rsidRDefault="00A62726" w:rsidP="00740A3D">
            <w:pPr>
              <w:pStyle w:val="TableText"/>
              <w:rPr>
                <w:rStyle w:val="Emphasis"/>
              </w:rPr>
            </w:pPr>
            <w:r w:rsidRPr="001F091B">
              <w:rPr>
                <w:rStyle w:val="Emphasis"/>
              </w:rPr>
              <w:t>Corporate Plan 2024–25</w:t>
            </w:r>
          </w:p>
        </w:tc>
      </w:tr>
      <w:tr w:rsidR="00A62726" w:rsidRPr="006E3EA9" w14:paraId="5A7B1B69" w14:textId="77777777" w:rsidTr="009A6FBA">
        <w:trPr>
          <w:tblHeader/>
        </w:trPr>
        <w:tc>
          <w:tcPr>
            <w:tcW w:w="1014" w:type="pct"/>
            <w:vMerge/>
          </w:tcPr>
          <w:p w14:paraId="33EAEB45" w14:textId="77777777" w:rsidR="00A62726" w:rsidRPr="00711387" w:rsidRDefault="00A62726" w:rsidP="00711387">
            <w:pPr>
              <w:pStyle w:val="TableText"/>
              <w:rPr>
                <w:rStyle w:val="Strong"/>
              </w:rPr>
            </w:pPr>
          </w:p>
        </w:tc>
        <w:tc>
          <w:tcPr>
            <w:tcW w:w="3986" w:type="pct"/>
          </w:tcPr>
          <w:p w14:paraId="56507A66" w14:textId="1E20E636" w:rsidR="00A62726" w:rsidRPr="001F091B" w:rsidRDefault="00A62726" w:rsidP="00740A3D">
            <w:pPr>
              <w:pStyle w:val="TableText"/>
              <w:rPr>
                <w:rStyle w:val="Emphasis"/>
              </w:rPr>
            </w:pPr>
            <w:r w:rsidRPr="001F091B">
              <w:rPr>
                <w:rStyle w:val="Emphasis"/>
              </w:rPr>
              <w:t>Portfolio Budget Statements 2024–25</w:t>
            </w:r>
          </w:p>
          <w:p w14:paraId="68748E11" w14:textId="77777777" w:rsidR="00A62726" w:rsidRPr="009A6FBA" w:rsidRDefault="00A62726" w:rsidP="00740A3D">
            <w:pPr>
              <w:pStyle w:val="TableText"/>
              <w:rPr>
                <w:iCs/>
              </w:rPr>
            </w:pPr>
            <w:r w:rsidRPr="001E2BF7">
              <w:t>Programs: 1.13</w:t>
            </w:r>
          </w:p>
        </w:tc>
      </w:tr>
      <w:tr w:rsidR="00A62726" w:rsidRPr="006E3EA9" w14:paraId="7CAA8CA2" w14:textId="77777777" w:rsidTr="00F37768">
        <w:trPr>
          <w:trHeight w:val="70"/>
          <w:tblHeader/>
        </w:trPr>
        <w:tc>
          <w:tcPr>
            <w:tcW w:w="1014" w:type="pct"/>
          </w:tcPr>
          <w:p w14:paraId="3FD760F0" w14:textId="6F2C5B7D" w:rsidR="00A62726" w:rsidRPr="00711387" w:rsidRDefault="00340FE5" w:rsidP="00711387">
            <w:pPr>
              <w:pStyle w:val="TableText"/>
              <w:rPr>
                <w:rStyle w:val="Strong"/>
              </w:rPr>
            </w:pPr>
            <w:r w:rsidRPr="00711387">
              <w:rPr>
                <w:rStyle w:val="Strong"/>
              </w:rPr>
              <w:t>2024–25</w:t>
            </w:r>
            <w:r w:rsidR="00A62726" w:rsidRPr="00711387">
              <w:rPr>
                <w:rStyle w:val="Strong"/>
              </w:rPr>
              <w:t xml:space="preserve"> outcome</w:t>
            </w:r>
          </w:p>
        </w:tc>
        <w:tc>
          <w:tcPr>
            <w:tcW w:w="3986" w:type="pct"/>
          </w:tcPr>
          <w:p w14:paraId="44AEB034" w14:textId="77777777" w:rsidR="00A62726" w:rsidRPr="001E2BF7" w:rsidRDefault="00A62726" w:rsidP="00740A3D">
            <w:pPr>
              <w:pStyle w:val="TableText"/>
              <w:rPr>
                <w:lang w:eastAsia="ja-JP"/>
              </w:rPr>
            </w:pPr>
            <w:r w:rsidRPr="001E2BF7">
              <w:rPr>
                <w:lang w:eastAsia="ja-JP"/>
              </w:rPr>
              <w:t>Achieved</w:t>
            </w:r>
          </w:p>
        </w:tc>
      </w:tr>
      <w:tr w:rsidR="00822E89" w:rsidRPr="006E3EA9" w14:paraId="4F17F460" w14:textId="77777777" w:rsidTr="00FF60C1">
        <w:trPr>
          <w:trHeight w:val="172"/>
          <w:tblHeader/>
        </w:trPr>
        <w:tc>
          <w:tcPr>
            <w:tcW w:w="1014" w:type="pct"/>
          </w:tcPr>
          <w:p w14:paraId="1A0F60B7" w14:textId="727DDB22" w:rsidR="00822E89" w:rsidRPr="00711387" w:rsidRDefault="001E2BF7" w:rsidP="00711387">
            <w:pPr>
              <w:pStyle w:val="TableText"/>
              <w:rPr>
                <w:rStyle w:val="Strong"/>
              </w:rPr>
            </w:pPr>
            <w:r w:rsidRPr="00711387">
              <w:rPr>
                <w:rStyle w:val="Strong"/>
              </w:rPr>
              <w:t>Result</w:t>
            </w:r>
          </w:p>
        </w:tc>
        <w:tc>
          <w:tcPr>
            <w:tcW w:w="3986" w:type="pct"/>
          </w:tcPr>
          <w:p w14:paraId="5CCA11C1" w14:textId="77777777" w:rsidR="00822E89" w:rsidRPr="001E2BF7" w:rsidRDefault="00822E89" w:rsidP="00740A3D">
            <w:pPr>
              <w:pStyle w:val="TableText"/>
              <w:rPr>
                <w:lang w:eastAsia="ja-JP"/>
              </w:rPr>
            </w:pPr>
            <w:r w:rsidRPr="001E2BF7">
              <w:t xml:space="preserve">Examples of new, improved, maintained and restored market access have been achieved, with a clear beneficial impact for Australian producers. Examples cover a range of different markets and commodities. </w:t>
            </w:r>
          </w:p>
        </w:tc>
      </w:tr>
      <w:tr w:rsidR="00A62726" w:rsidRPr="006E3EA9" w14:paraId="2262081F" w14:textId="77777777" w:rsidTr="00F37768">
        <w:trPr>
          <w:trHeight w:val="70"/>
          <w:tblHeader/>
        </w:trPr>
        <w:tc>
          <w:tcPr>
            <w:tcW w:w="1014" w:type="pct"/>
          </w:tcPr>
          <w:p w14:paraId="6506E9DA" w14:textId="77777777" w:rsidR="00A62726" w:rsidRPr="00740A3D" w:rsidRDefault="00A62726" w:rsidP="00740A3D">
            <w:pPr>
              <w:pStyle w:val="TableText"/>
              <w:rPr>
                <w:rStyle w:val="Strong"/>
              </w:rPr>
            </w:pPr>
            <w:r w:rsidRPr="00740A3D">
              <w:rPr>
                <w:rStyle w:val="Strong"/>
              </w:rPr>
              <w:t>Tolerances</w:t>
            </w:r>
          </w:p>
        </w:tc>
        <w:tc>
          <w:tcPr>
            <w:tcW w:w="3986" w:type="pct"/>
          </w:tcPr>
          <w:p w14:paraId="55464E60" w14:textId="77777777" w:rsidR="00A62726" w:rsidRPr="001E2BF7" w:rsidRDefault="00A62726" w:rsidP="00740A3D">
            <w:pPr>
              <w:pStyle w:val="TableText"/>
            </w:pPr>
            <w:r w:rsidRPr="001E2BF7">
              <w:t>Achieved: If the department provides examples of opening, improving, maintaining and restoring technical market access for different markets, and different commodities. Examples of market access changes have been implemented and are available to AFF exporters.</w:t>
            </w:r>
          </w:p>
          <w:p w14:paraId="05398E39" w14:textId="77777777" w:rsidR="00A62726" w:rsidRPr="001E2BF7" w:rsidRDefault="00A62726" w:rsidP="00740A3D">
            <w:pPr>
              <w:pStyle w:val="TableText"/>
            </w:pPr>
            <w:r w:rsidRPr="001E2BF7">
              <w:t>Partially achieved: If the department provides examples of opening, improving, maintaining or restoring access but not all four. Alternatively, if the examples do not demonstrate that clear benefits have been achieved for different markets and commodities (i.e. examples are all focused on a single market or commodity, or the achievements are not of value to Australian exporters). Examples of market access changes have been implemented and are available to AFF exporters.</w:t>
            </w:r>
          </w:p>
          <w:p w14:paraId="0C11CFEA" w14:textId="77777777" w:rsidR="00A62726" w:rsidRPr="009A6FBA" w:rsidRDefault="00A62726" w:rsidP="00740A3D">
            <w:pPr>
              <w:pStyle w:val="TableText"/>
            </w:pPr>
            <w:r w:rsidRPr="001E2BF7">
              <w:t>Not achieved: If the department cannot provide any examples of opening, improving, maintaining or restoring access to any markets or commodities.</w:t>
            </w:r>
          </w:p>
        </w:tc>
      </w:tr>
    </w:tbl>
    <w:p w14:paraId="5B0A3CF6" w14:textId="1FFD7F4D" w:rsidR="00A62726" w:rsidRPr="006E3EA9" w:rsidRDefault="00A62726" w:rsidP="00B85A9C">
      <w:pPr>
        <w:pStyle w:val="Heading5"/>
        <w:keepNext w:val="0"/>
        <w:spacing w:before="120"/>
      </w:pPr>
      <w:bookmarkStart w:id="79" w:name="RowTitle_IG_06"/>
      <w:r w:rsidRPr="006E3EA9">
        <w:t>Measure SG</w:t>
      </w:r>
      <w:r w:rsidR="009D7C35">
        <w:t>-</w:t>
      </w:r>
      <w:r w:rsidRPr="006E3EA9">
        <w:t>06</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A62726" w:rsidRPr="006E3EA9" w14:paraId="3FE395A5" w14:textId="77777777" w:rsidTr="009A6FBA">
        <w:tc>
          <w:tcPr>
            <w:tcW w:w="1011" w:type="pct"/>
          </w:tcPr>
          <w:p w14:paraId="32D17E0A" w14:textId="33CD6958" w:rsidR="00A62726" w:rsidRPr="00711387" w:rsidRDefault="000274A1" w:rsidP="002C3F04">
            <w:pPr>
              <w:pStyle w:val="TableHeading"/>
              <w:keepNext w:val="0"/>
              <w:rPr>
                <w:rStyle w:val="Strong"/>
                <w:b/>
                <w:bCs w:val="0"/>
              </w:rPr>
            </w:pPr>
            <w:bookmarkStart w:id="80" w:name="RowTitle_SG_06"/>
            <w:bookmarkEnd w:id="79"/>
            <w:r w:rsidRPr="00711387">
              <w:rPr>
                <w:rStyle w:val="Strong"/>
                <w:b/>
                <w:bCs w:val="0"/>
              </w:rPr>
              <w:t>Measure</w:t>
            </w:r>
            <w:r w:rsidR="0010022E" w:rsidRPr="00711387">
              <w:rPr>
                <w:rStyle w:val="Strong"/>
                <w:b/>
                <w:bCs w:val="0"/>
              </w:rPr>
              <w:t xml:space="preserve"> </w:t>
            </w:r>
            <w:r w:rsidR="00A62726" w:rsidRPr="00711387">
              <w:rPr>
                <w:rStyle w:val="Strong"/>
                <w:b/>
                <w:bCs w:val="0"/>
              </w:rPr>
              <w:t>SG</w:t>
            </w:r>
            <w:r w:rsidR="009D7C35" w:rsidRPr="00711387">
              <w:rPr>
                <w:rStyle w:val="Strong"/>
                <w:b/>
                <w:bCs w:val="0"/>
              </w:rPr>
              <w:t>-</w:t>
            </w:r>
            <w:r w:rsidR="00A62726" w:rsidRPr="00711387">
              <w:rPr>
                <w:rStyle w:val="Strong"/>
                <w:b/>
                <w:bCs w:val="0"/>
              </w:rPr>
              <w:t>06</w:t>
            </w:r>
            <w:bookmarkEnd w:id="80"/>
          </w:p>
        </w:tc>
        <w:tc>
          <w:tcPr>
            <w:tcW w:w="3989" w:type="pct"/>
          </w:tcPr>
          <w:p w14:paraId="29DD02DA" w14:textId="77777777" w:rsidR="00A62726" w:rsidRPr="00080A83" w:rsidRDefault="00A62726" w:rsidP="00740A3D">
            <w:pPr>
              <w:pStyle w:val="TableText"/>
              <w:rPr>
                <w:rStyle w:val="Emphasis"/>
              </w:rPr>
            </w:pPr>
            <w:r w:rsidRPr="006E3EA9">
              <w:rPr>
                <w:lang w:eastAsia="ja-JP"/>
              </w:rPr>
              <w:t xml:space="preserve">Effective delivery of regulatory responsibilities for relevant export applications under the </w:t>
            </w:r>
            <w:r w:rsidRPr="00080A83">
              <w:rPr>
                <w:rStyle w:val="Emphasis"/>
              </w:rPr>
              <w:t xml:space="preserve">Export </w:t>
            </w:r>
          </w:p>
          <w:p w14:paraId="1EC32809" w14:textId="77777777" w:rsidR="00A62726" w:rsidRPr="006E3EA9" w:rsidRDefault="00A62726" w:rsidP="00740A3D">
            <w:pPr>
              <w:pStyle w:val="TableText"/>
            </w:pPr>
            <w:r w:rsidRPr="00080A83">
              <w:rPr>
                <w:rStyle w:val="Emphasis"/>
              </w:rPr>
              <w:t>Control Act 2020.</w:t>
            </w:r>
          </w:p>
        </w:tc>
      </w:tr>
      <w:tr w:rsidR="00A62726" w:rsidRPr="006E3EA9" w14:paraId="16D51DC4" w14:textId="77777777" w:rsidTr="00F37768">
        <w:tc>
          <w:tcPr>
            <w:tcW w:w="1011" w:type="pct"/>
          </w:tcPr>
          <w:p w14:paraId="18F0B382" w14:textId="77777777" w:rsidR="00A62726" w:rsidRPr="00711387" w:rsidRDefault="00A62726" w:rsidP="00711387">
            <w:pPr>
              <w:pStyle w:val="TableText"/>
              <w:rPr>
                <w:rStyle w:val="Strong"/>
              </w:rPr>
            </w:pPr>
            <w:r w:rsidRPr="00711387">
              <w:rPr>
                <w:rStyle w:val="Strong"/>
              </w:rPr>
              <w:t>Measure type</w:t>
            </w:r>
          </w:p>
        </w:tc>
        <w:tc>
          <w:tcPr>
            <w:tcW w:w="3989" w:type="pct"/>
          </w:tcPr>
          <w:p w14:paraId="65235086" w14:textId="77777777" w:rsidR="00A62726" w:rsidRPr="006E3EA9" w:rsidRDefault="00A62726" w:rsidP="00740A3D">
            <w:pPr>
              <w:pStyle w:val="TableText"/>
            </w:pPr>
            <w:r w:rsidRPr="006E3EA9">
              <w:rPr>
                <w:lang w:eastAsia="ja-JP"/>
              </w:rPr>
              <w:t>Quantitative, effectiveness and regulatory.</w:t>
            </w:r>
          </w:p>
        </w:tc>
      </w:tr>
      <w:tr w:rsidR="00A62726" w:rsidRPr="006E3EA9" w14:paraId="121BC0C1" w14:textId="77777777" w:rsidTr="00F37768">
        <w:tc>
          <w:tcPr>
            <w:tcW w:w="1011" w:type="pct"/>
          </w:tcPr>
          <w:p w14:paraId="08E3B010" w14:textId="77777777" w:rsidR="00A62726" w:rsidRPr="00711387" w:rsidRDefault="00A62726" w:rsidP="00711387">
            <w:pPr>
              <w:pStyle w:val="TableText"/>
              <w:rPr>
                <w:rStyle w:val="Strong"/>
              </w:rPr>
            </w:pPr>
            <w:r w:rsidRPr="00711387">
              <w:rPr>
                <w:rStyle w:val="Strong"/>
              </w:rPr>
              <w:t>Target</w:t>
            </w:r>
          </w:p>
        </w:tc>
        <w:tc>
          <w:tcPr>
            <w:tcW w:w="3989" w:type="pct"/>
          </w:tcPr>
          <w:p w14:paraId="21E610B5" w14:textId="77777777" w:rsidR="00A62726" w:rsidRPr="006E3EA9" w:rsidRDefault="00A62726" w:rsidP="00740A3D">
            <w:pPr>
              <w:pStyle w:val="TableText"/>
            </w:pPr>
            <w:r w:rsidRPr="006E3EA9">
              <w:t>Establish a baseline.</w:t>
            </w:r>
          </w:p>
        </w:tc>
      </w:tr>
      <w:tr w:rsidR="00A62726" w:rsidRPr="006E3EA9" w14:paraId="2951F3A5" w14:textId="77777777" w:rsidTr="00DA4AE1">
        <w:tc>
          <w:tcPr>
            <w:tcW w:w="1011" w:type="pct"/>
            <w:vMerge w:val="restart"/>
          </w:tcPr>
          <w:p w14:paraId="4DBE6D27" w14:textId="77777777" w:rsidR="00A62726" w:rsidRPr="00711387" w:rsidRDefault="00A62726" w:rsidP="00711387">
            <w:pPr>
              <w:pStyle w:val="TableText"/>
              <w:rPr>
                <w:rStyle w:val="Strong"/>
              </w:rPr>
            </w:pPr>
            <w:r w:rsidRPr="00711387">
              <w:rPr>
                <w:rStyle w:val="Strong"/>
              </w:rPr>
              <w:t>Sources</w:t>
            </w:r>
          </w:p>
        </w:tc>
        <w:tc>
          <w:tcPr>
            <w:tcW w:w="3989" w:type="pct"/>
          </w:tcPr>
          <w:p w14:paraId="1D6E3E1F" w14:textId="77777777" w:rsidR="00A62726" w:rsidRPr="006E3EA9" w:rsidRDefault="00A62726" w:rsidP="00740A3D">
            <w:pPr>
              <w:pStyle w:val="TableText"/>
              <w:rPr>
                <w:i/>
                <w:iCs/>
              </w:rPr>
            </w:pPr>
            <w:r w:rsidRPr="006E3EA9">
              <w:rPr>
                <w:i/>
                <w:iCs/>
              </w:rPr>
              <w:t>Corporate Plan 2024–25</w:t>
            </w:r>
          </w:p>
        </w:tc>
      </w:tr>
      <w:tr w:rsidR="00A62726" w:rsidRPr="006E3EA9" w14:paraId="7433E9F2" w14:textId="77777777" w:rsidTr="00DA4AE1">
        <w:tc>
          <w:tcPr>
            <w:tcW w:w="1011" w:type="pct"/>
            <w:vMerge/>
          </w:tcPr>
          <w:p w14:paraId="47FCC640" w14:textId="77777777" w:rsidR="00A62726" w:rsidRPr="00711387" w:rsidRDefault="00A62726" w:rsidP="00711387">
            <w:pPr>
              <w:pStyle w:val="TableText"/>
              <w:rPr>
                <w:rStyle w:val="Strong"/>
              </w:rPr>
            </w:pPr>
          </w:p>
        </w:tc>
        <w:tc>
          <w:tcPr>
            <w:tcW w:w="3989" w:type="pct"/>
          </w:tcPr>
          <w:p w14:paraId="474E5FC3" w14:textId="77777777" w:rsidR="00A62726" w:rsidRPr="00080A83" w:rsidRDefault="00A62726" w:rsidP="00740A3D">
            <w:pPr>
              <w:pStyle w:val="TableText"/>
              <w:rPr>
                <w:rStyle w:val="Emphasis"/>
              </w:rPr>
            </w:pPr>
            <w:r w:rsidRPr="00080A83">
              <w:rPr>
                <w:rStyle w:val="Emphasis"/>
              </w:rPr>
              <w:t>Portfolio Budget Statements 2024–25</w:t>
            </w:r>
          </w:p>
          <w:p w14:paraId="24BCA5DE" w14:textId="77777777" w:rsidR="00A62726" w:rsidRPr="006E3EA9" w:rsidRDefault="00A62726" w:rsidP="00740A3D">
            <w:pPr>
              <w:pStyle w:val="TableText"/>
            </w:pPr>
            <w:r w:rsidRPr="006E3EA9">
              <w:t>Programs: 1.13</w:t>
            </w:r>
          </w:p>
        </w:tc>
      </w:tr>
      <w:tr w:rsidR="00A62726" w:rsidRPr="006E3EA9" w14:paraId="72FC1B53" w14:textId="77777777" w:rsidTr="00F37768">
        <w:tc>
          <w:tcPr>
            <w:tcW w:w="1011" w:type="pct"/>
          </w:tcPr>
          <w:p w14:paraId="06A2E0E1" w14:textId="77777777" w:rsidR="00A62726" w:rsidRPr="00711387" w:rsidRDefault="00A62726" w:rsidP="00711387">
            <w:pPr>
              <w:pStyle w:val="TableText"/>
              <w:rPr>
                <w:rStyle w:val="Strong"/>
              </w:rPr>
            </w:pPr>
            <w:r w:rsidRPr="00711387">
              <w:rPr>
                <w:rStyle w:val="Strong"/>
              </w:rPr>
              <w:t>2024–25 outcome</w:t>
            </w:r>
          </w:p>
        </w:tc>
        <w:tc>
          <w:tcPr>
            <w:tcW w:w="3989" w:type="pct"/>
          </w:tcPr>
          <w:p w14:paraId="3199C3DF" w14:textId="77777777" w:rsidR="00A62726" w:rsidRPr="0070610E" w:rsidRDefault="00A62726" w:rsidP="00740A3D">
            <w:pPr>
              <w:pStyle w:val="TableText"/>
            </w:pPr>
            <w:r w:rsidRPr="0070610E">
              <w:t>Achieved</w:t>
            </w:r>
          </w:p>
        </w:tc>
      </w:tr>
      <w:tr w:rsidR="00822E89" w:rsidRPr="006E3EA9" w14:paraId="5B6CB018" w14:textId="77777777" w:rsidTr="00FF60C1">
        <w:trPr>
          <w:trHeight w:val="172"/>
        </w:trPr>
        <w:tc>
          <w:tcPr>
            <w:tcW w:w="1011" w:type="pct"/>
          </w:tcPr>
          <w:p w14:paraId="45E251AF" w14:textId="45D03E24" w:rsidR="00822E89" w:rsidRPr="00711387" w:rsidRDefault="00486714" w:rsidP="00711387">
            <w:pPr>
              <w:pStyle w:val="TableText"/>
              <w:rPr>
                <w:rStyle w:val="Strong"/>
              </w:rPr>
            </w:pPr>
            <w:r w:rsidRPr="00711387">
              <w:rPr>
                <w:rStyle w:val="Strong"/>
              </w:rPr>
              <w:t>Result</w:t>
            </w:r>
          </w:p>
        </w:tc>
        <w:tc>
          <w:tcPr>
            <w:tcW w:w="3989" w:type="pct"/>
          </w:tcPr>
          <w:p w14:paraId="272F44BC" w14:textId="77777777" w:rsidR="00822E89" w:rsidRPr="006E3EA9" w:rsidRDefault="00822E89" w:rsidP="00740A3D">
            <w:pPr>
              <w:pStyle w:val="TableText"/>
              <w:rPr>
                <w:i/>
                <w:iCs/>
              </w:rPr>
            </w:pPr>
            <w:r w:rsidRPr="006E3EA9">
              <w:t>99.83</w:t>
            </w:r>
            <w:r w:rsidRPr="006E3EA9">
              <w:rPr>
                <w:lang w:eastAsia="ja-JP"/>
              </w:rPr>
              <w:t>% of all relevant export applications were completed within the requisite consideration period. This sets the baseline.</w:t>
            </w:r>
          </w:p>
        </w:tc>
      </w:tr>
      <w:tr w:rsidR="00A62726" w:rsidRPr="006E3EA9" w14:paraId="493F5FD6" w14:textId="77777777" w:rsidTr="00F37768">
        <w:tc>
          <w:tcPr>
            <w:tcW w:w="1011" w:type="pct"/>
          </w:tcPr>
          <w:p w14:paraId="73AC73B7" w14:textId="77777777" w:rsidR="00A62726" w:rsidRPr="00711387" w:rsidRDefault="00A62726" w:rsidP="00711387">
            <w:pPr>
              <w:pStyle w:val="TableText"/>
              <w:rPr>
                <w:rStyle w:val="Strong"/>
              </w:rPr>
            </w:pPr>
            <w:r w:rsidRPr="00711387">
              <w:rPr>
                <w:rStyle w:val="Strong"/>
              </w:rPr>
              <w:t>Tolerances</w:t>
            </w:r>
          </w:p>
        </w:tc>
        <w:tc>
          <w:tcPr>
            <w:tcW w:w="3989" w:type="pct"/>
          </w:tcPr>
          <w:p w14:paraId="39E01C02" w14:textId="77777777" w:rsidR="00A62726" w:rsidRPr="006E3EA9" w:rsidRDefault="00A62726" w:rsidP="00740A3D">
            <w:pPr>
              <w:pStyle w:val="TableText"/>
            </w:pPr>
            <w:r w:rsidRPr="006E3EA9">
              <w:t xml:space="preserve">Achieved: </w:t>
            </w:r>
            <w:r w:rsidRPr="006E3EA9">
              <w:rPr>
                <w:lang w:eastAsia="ja-JP"/>
              </w:rPr>
              <w:t xml:space="preserve">Over 95% of all relevant export applications are completed within the requisite consideration period specified by the </w:t>
            </w:r>
            <w:r w:rsidRPr="00080A83">
              <w:rPr>
                <w:rStyle w:val="Emphasis"/>
              </w:rPr>
              <w:t>Export Control Act 2020.</w:t>
            </w:r>
          </w:p>
          <w:p w14:paraId="659F3B30" w14:textId="77777777" w:rsidR="00A62726" w:rsidRPr="006E3EA9" w:rsidRDefault="00A62726" w:rsidP="00740A3D">
            <w:pPr>
              <w:pStyle w:val="TableText"/>
            </w:pPr>
            <w:r w:rsidRPr="006E3EA9">
              <w:t xml:space="preserve">Partially achieved: </w:t>
            </w:r>
            <w:r w:rsidRPr="006E3EA9">
              <w:rPr>
                <w:lang w:eastAsia="ja-JP"/>
              </w:rPr>
              <w:t xml:space="preserve">Over 85% of all relevant export applications are completed within the requisite consideration period specified by the </w:t>
            </w:r>
            <w:r w:rsidRPr="00080A83">
              <w:rPr>
                <w:rStyle w:val="Emphasis"/>
              </w:rPr>
              <w:t>Export Control Act 2020.</w:t>
            </w:r>
          </w:p>
          <w:p w14:paraId="28AE7EB3" w14:textId="77777777" w:rsidR="00A62726" w:rsidRPr="006E3EA9" w:rsidRDefault="00A62726" w:rsidP="00740A3D">
            <w:pPr>
              <w:pStyle w:val="TableText"/>
            </w:pPr>
            <w:r w:rsidRPr="006E3EA9">
              <w:t xml:space="preserve">Not achieved: </w:t>
            </w:r>
            <w:r w:rsidRPr="006E3EA9">
              <w:rPr>
                <w:lang w:eastAsia="ja-JP"/>
              </w:rPr>
              <w:t xml:space="preserve">Under 85% of all relevant export applications are completed within the requisite consideration period specified by the </w:t>
            </w:r>
            <w:r w:rsidRPr="00080A83">
              <w:rPr>
                <w:rStyle w:val="Emphasis"/>
              </w:rPr>
              <w:t>Export Control Act 2020.</w:t>
            </w:r>
          </w:p>
        </w:tc>
      </w:tr>
    </w:tbl>
    <w:p w14:paraId="503892F3" w14:textId="1B52E5F7" w:rsidR="00A62726" w:rsidRPr="006E3EA9" w:rsidRDefault="00A62726" w:rsidP="006754D4">
      <w:pPr>
        <w:pStyle w:val="Heading5"/>
        <w:keepNext w:val="0"/>
        <w:pageBreakBefore/>
        <w:spacing w:before="120"/>
      </w:pPr>
      <w:bookmarkStart w:id="81" w:name="RowTitle_IG_07"/>
      <w:r w:rsidRPr="006E3EA9">
        <w:lastRenderedPageBreak/>
        <w:t>Measure SG</w:t>
      </w:r>
      <w:r w:rsidR="00876553">
        <w:t>-</w:t>
      </w:r>
      <w:r w:rsidRPr="006E3EA9">
        <w:t>07</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A62726" w:rsidRPr="006E3EA9" w14:paraId="60E1F24A" w14:textId="77777777" w:rsidTr="00DA4AE1">
        <w:tc>
          <w:tcPr>
            <w:tcW w:w="1011" w:type="pct"/>
          </w:tcPr>
          <w:p w14:paraId="256A566F" w14:textId="7A67D196" w:rsidR="00A62726" w:rsidRPr="003813B8" w:rsidRDefault="0010022E" w:rsidP="002C3F04">
            <w:pPr>
              <w:pStyle w:val="TableHeading"/>
              <w:keepNext w:val="0"/>
              <w:rPr>
                <w:rStyle w:val="Strong"/>
                <w:b/>
                <w:bCs w:val="0"/>
              </w:rPr>
            </w:pPr>
            <w:bookmarkStart w:id="82" w:name="RowTitle_SG_07"/>
            <w:bookmarkEnd w:id="81"/>
            <w:r w:rsidRPr="003813B8">
              <w:rPr>
                <w:rStyle w:val="Strong"/>
                <w:b/>
                <w:bCs w:val="0"/>
              </w:rPr>
              <w:t xml:space="preserve">Measure </w:t>
            </w:r>
            <w:r w:rsidR="00A62726" w:rsidRPr="003813B8">
              <w:rPr>
                <w:rStyle w:val="Strong"/>
                <w:b/>
                <w:bCs w:val="0"/>
              </w:rPr>
              <w:t>SG</w:t>
            </w:r>
            <w:r w:rsidR="00876553" w:rsidRPr="003813B8">
              <w:rPr>
                <w:rStyle w:val="Strong"/>
                <w:b/>
                <w:bCs w:val="0"/>
              </w:rPr>
              <w:t>-</w:t>
            </w:r>
            <w:r w:rsidR="00A62726" w:rsidRPr="003813B8">
              <w:rPr>
                <w:rStyle w:val="Strong"/>
                <w:b/>
                <w:bCs w:val="0"/>
              </w:rPr>
              <w:t>07</w:t>
            </w:r>
            <w:bookmarkEnd w:id="82"/>
          </w:p>
        </w:tc>
        <w:tc>
          <w:tcPr>
            <w:tcW w:w="3989" w:type="pct"/>
          </w:tcPr>
          <w:p w14:paraId="7B82B836" w14:textId="77777777" w:rsidR="00A62726" w:rsidRPr="006E3EA9" w:rsidRDefault="00A62726" w:rsidP="00740A3D">
            <w:pPr>
              <w:pStyle w:val="TableText"/>
            </w:pPr>
            <w:r w:rsidRPr="006E3EA9">
              <w:rPr>
                <w:lang w:eastAsia="ja-JP"/>
              </w:rPr>
              <w:t>Increase in the number of electronic certificates issued for export</w:t>
            </w:r>
            <w:r w:rsidRPr="006E3EA9">
              <w:t>.</w:t>
            </w:r>
          </w:p>
        </w:tc>
      </w:tr>
      <w:tr w:rsidR="00A62726" w:rsidRPr="006E3EA9" w14:paraId="2CDF5165" w14:textId="77777777" w:rsidTr="00F37768">
        <w:tc>
          <w:tcPr>
            <w:tcW w:w="1011" w:type="pct"/>
          </w:tcPr>
          <w:p w14:paraId="5718F8B1" w14:textId="77777777" w:rsidR="00A62726" w:rsidRPr="003813B8" w:rsidRDefault="00A62726" w:rsidP="003813B8">
            <w:pPr>
              <w:pStyle w:val="TableText"/>
              <w:rPr>
                <w:rStyle w:val="Strong"/>
              </w:rPr>
            </w:pPr>
            <w:r w:rsidRPr="003813B8">
              <w:rPr>
                <w:rStyle w:val="Strong"/>
              </w:rPr>
              <w:t>Measure type</w:t>
            </w:r>
          </w:p>
        </w:tc>
        <w:tc>
          <w:tcPr>
            <w:tcW w:w="3989" w:type="pct"/>
          </w:tcPr>
          <w:p w14:paraId="74098925" w14:textId="77777777" w:rsidR="00A62726" w:rsidRPr="006E3EA9" w:rsidRDefault="00A62726" w:rsidP="00740A3D">
            <w:pPr>
              <w:pStyle w:val="TableText"/>
            </w:pPr>
            <w:r w:rsidRPr="006E3EA9">
              <w:rPr>
                <w:lang w:eastAsia="ja-JP"/>
              </w:rPr>
              <w:t>Quantitative efficiency and regulatory.</w:t>
            </w:r>
          </w:p>
        </w:tc>
      </w:tr>
      <w:tr w:rsidR="00A62726" w:rsidRPr="006E3EA9" w14:paraId="70CB42BD" w14:textId="77777777" w:rsidTr="00F37768">
        <w:tc>
          <w:tcPr>
            <w:tcW w:w="1011" w:type="pct"/>
          </w:tcPr>
          <w:p w14:paraId="0E425A66" w14:textId="77777777" w:rsidR="00A62726" w:rsidRPr="003813B8" w:rsidRDefault="00A62726" w:rsidP="003813B8">
            <w:pPr>
              <w:pStyle w:val="TableText"/>
              <w:rPr>
                <w:rStyle w:val="Strong"/>
              </w:rPr>
            </w:pPr>
            <w:r w:rsidRPr="003813B8">
              <w:rPr>
                <w:rStyle w:val="Strong"/>
              </w:rPr>
              <w:t>Target</w:t>
            </w:r>
          </w:p>
        </w:tc>
        <w:tc>
          <w:tcPr>
            <w:tcW w:w="3989" w:type="pct"/>
          </w:tcPr>
          <w:p w14:paraId="2292B234" w14:textId="77777777" w:rsidR="00A62726" w:rsidRPr="006E3EA9" w:rsidRDefault="00A62726" w:rsidP="00740A3D">
            <w:pPr>
              <w:pStyle w:val="TableText"/>
            </w:pPr>
            <w:r w:rsidRPr="006E3EA9">
              <w:rPr>
                <w:lang w:eastAsia="ja-JP"/>
              </w:rPr>
              <w:t>Plus 2% of what the final 2023–24 eCert number is</w:t>
            </w:r>
            <w:r w:rsidRPr="006E3EA9">
              <w:t>.</w:t>
            </w:r>
          </w:p>
        </w:tc>
      </w:tr>
      <w:tr w:rsidR="00A62726" w:rsidRPr="006E3EA9" w14:paraId="781C7C8C" w14:textId="77777777" w:rsidTr="00DA4AE1">
        <w:tc>
          <w:tcPr>
            <w:tcW w:w="1011" w:type="pct"/>
            <w:vMerge w:val="restart"/>
          </w:tcPr>
          <w:p w14:paraId="40CC424C" w14:textId="77777777" w:rsidR="00A62726" w:rsidRPr="003813B8" w:rsidRDefault="00A62726" w:rsidP="003813B8">
            <w:pPr>
              <w:pStyle w:val="TableText"/>
              <w:rPr>
                <w:rStyle w:val="Strong"/>
              </w:rPr>
            </w:pPr>
            <w:r w:rsidRPr="003813B8">
              <w:rPr>
                <w:rStyle w:val="Strong"/>
              </w:rPr>
              <w:t>Sources</w:t>
            </w:r>
          </w:p>
        </w:tc>
        <w:tc>
          <w:tcPr>
            <w:tcW w:w="3989" w:type="pct"/>
          </w:tcPr>
          <w:p w14:paraId="77183E57" w14:textId="77777777" w:rsidR="00A62726" w:rsidRPr="00080A83" w:rsidRDefault="00A62726" w:rsidP="00740A3D">
            <w:pPr>
              <w:pStyle w:val="TableText"/>
              <w:rPr>
                <w:rStyle w:val="Emphasis"/>
              </w:rPr>
            </w:pPr>
            <w:r w:rsidRPr="00080A83">
              <w:rPr>
                <w:rStyle w:val="Emphasis"/>
              </w:rPr>
              <w:t>Corporate Plan 2024–25</w:t>
            </w:r>
          </w:p>
        </w:tc>
      </w:tr>
      <w:tr w:rsidR="00A62726" w:rsidRPr="006E3EA9" w14:paraId="444BB407" w14:textId="77777777" w:rsidTr="00DA4AE1">
        <w:tc>
          <w:tcPr>
            <w:tcW w:w="1011" w:type="pct"/>
            <w:vMerge/>
          </w:tcPr>
          <w:p w14:paraId="77E30B41" w14:textId="77777777" w:rsidR="00A62726" w:rsidRPr="003813B8" w:rsidRDefault="00A62726" w:rsidP="003813B8">
            <w:pPr>
              <w:pStyle w:val="TableText"/>
              <w:rPr>
                <w:rStyle w:val="Strong"/>
              </w:rPr>
            </w:pPr>
          </w:p>
        </w:tc>
        <w:tc>
          <w:tcPr>
            <w:tcW w:w="3989" w:type="pct"/>
          </w:tcPr>
          <w:p w14:paraId="5C33BB51" w14:textId="77777777" w:rsidR="00A62726" w:rsidRPr="00080A83" w:rsidRDefault="00A62726" w:rsidP="00740A3D">
            <w:pPr>
              <w:pStyle w:val="TableText"/>
              <w:rPr>
                <w:rStyle w:val="Emphasis"/>
              </w:rPr>
            </w:pPr>
            <w:r w:rsidRPr="00080A83">
              <w:rPr>
                <w:rStyle w:val="Emphasis"/>
              </w:rPr>
              <w:t>Portfolio Budget Statements 2024–25</w:t>
            </w:r>
          </w:p>
          <w:p w14:paraId="47A5F242" w14:textId="77777777" w:rsidR="00A62726" w:rsidRPr="006E3EA9" w:rsidRDefault="00A62726" w:rsidP="00740A3D">
            <w:pPr>
              <w:pStyle w:val="TableText"/>
            </w:pPr>
            <w:r w:rsidRPr="006E3EA9">
              <w:t>Programs: 1.13</w:t>
            </w:r>
          </w:p>
        </w:tc>
      </w:tr>
      <w:tr w:rsidR="00A62726" w:rsidRPr="006E3EA9" w14:paraId="7D9CDBBB" w14:textId="77777777" w:rsidTr="00F37768">
        <w:tc>
          <w:tcPr>
            <w:tcW w:w="1011" w:type="pct"/>
          </w:tcPr>
          <w:p w14:paraId="27465985" w14:textId="77777777" w:rsidR="00A62726" w:rsidRPr="003813B8" w:rsidRDefault="00A62726" w:rsidP="003813B8">
            <w:pPr>
              <w:pStyle w:val="TableText"/>
              <w:rPr>
                <w:rStyle w:val="Strong"/>
              </w:rPr>
            </w:pPr>
            <w:r w:rsidRPr="003813B8">
              <w:rPr>
                <w:rStyle w:val="Strong"/>
              </w:rPr>
              <w:t>2024–25 outcome</w:t>
            </w:r>
          </w:p>
        </w:tc>
        <w:tc>
          <w:tcPr>
            <w:tcW w:w="3989" w:type="pct"/>
          </w:tcPr>
          <w:p w14:paraId="50E50926" w14:textId="77777777" w:rsidR="00A62726" w:rsidRPr="0070610E" w:rsidRDefault="00A62726" w:rsidP="00740A3D">
            <w:pPr>
              <w:pStyle w:val="TableText"/>
            </w:pPr>
            <w:r w:rsidRPr="0070610E">
              <w:t>Achieved</w:t>
            </w:r>
          </w:p>
        </w:tc>
      </w:tr>
      <w:tr w:rsidR="00822E89" w:rsidRPr="006E3EA9" w14:paraId="4DF08EBB" w14:textId="77777777" w:rsidTr="00FF60C1">
        <w:trPr>
          <w:trHeight w:val="172"/>
        </w:trPr>
        <w:tc>
          <w:tcPr>
            <w:tcW w:w="1011" w:type="pct"/>
          </w:tcPr>
          <w:p w14:paraId="679F9851" w14:textId="3F3EEAEB" w:rsidR="00822E89" w:rsidRPr="003813B8" w:rsidRDefault="001E2BF7" w:rsidP="003813B8">
            <w:pPr>
              <w:pStyle w:val="TableText"/>
              <w:rPr>
                <w:rStyle w:val="Strong"/>
              </w:rPr>
            </w:pPr>
            <w:r w:rsidRPr="003813B8">
              <w:rPr>
                <w:rStyle w:val="Strong"/>
              </w:rPr>
              <w:t>Result</w:t>
            </w:r>
          </w:p>
        </w:tc>
        <w:tc>
          <w:tcPr>
            <w:tcW w:w="3989" w:type="pct"/>
          </w:tcPr>
          <w:p w14:paraId="418CB460" w14:textId="2B34CCDB" w:rsidR="00822E89" w:rsidRPr="006E3EA9" w:rsidRDefault="00822E89" w:rsidP="00740A3D">
            <w:pPr>
              <w:pStyle w:val="TableText"/>
              <w:rPr>
                <w:i/>
                <w:iCs/>
              </w:rPr>
            </w:pPr>
            <w:r w:rsidRPr="006E3EA9">
              <w:rPr>
                <w:lang w:eastAsia="ja-JP"/>
              </w:rPr>
              <w:t xml:space="preserve">84,180 electronic certificates issued for paperless trading across multiple commodities and importing countries. (12.5% increase from 2023–24 </w:t>
            </w:r>
            <w:r w:rsidR="00A10E9E">
              <w:rPr>
                <w:lang w:eastAsia="ja-JP"/>
              </w:rPr>
              <w:t xml:space="preserve">when </w:t>
            </w:r>
            <w:r w:rsidRPr="006E3EA9">
              <w:rPr>
                <w:lang w:eastAsia="ja-JP"/>
              </w:rPr>
              <w:t>74,661</w:t>
            </w:r>
            <w:r w:rsidR="004246AE">
              <w:rPr>
                <w:lang w:eastAsia="ja-JP"/>
              </w:rPr>
              <w:t xml:space="preserve"> were issued</w:t>
            </w:r>
            <w:r w:rsidRPr="006E3EA9">
              <w:rPr>
                <w:lang w:eastAsia="ja-JP"/>
              </w:rPr>
              <w:t>).</w:t>
            </w:r>
          </w:p>
        </w:tc>
      </w:tr>
      <w:tr w:rsidR="00A62726" w:rsidRPr="006E3EA9" w14:paraId="0EAA68E1" w14:textId="77777777" w:rsidTr="00F37768">
        <w:tc>
          <w:tcPr>
            <w:tcW w:w="1011" w:type="pct"/>
          </w:tcPr>
          <w:p w14:paraId="20A07D31" w14:textId="77777777" w:rsidR="00A62726" w:rsidRPr="003813B8" w:rsidRDefault="00A62726" w:rsidP="003813B8">
            <w:pPr>
              <w:pStyle w:val="TableText"/>
              <w:rPr>
                <w:rStyle w:val="Strong"/>
              </w:rPr>
            </w:pPr>
            <w:r w:rsidRPr="003813B8">
              <w:rPr>
                <w:rStyle w:val="Strong"/>
              </w:rPr>
              <w:t>Tolerances</w:t>
            </w:r>
          </w:p>
        </w:tc>
        <w:tc>
          <w:tcPr>
            <w:tcW w:w="3989" w:type="pct"/>
          </w:tcPr>
          <w:p w14:paraId="47EF91CC" w14:textId="77777777" w:rsidR="00A62726" w:rsidRPr="006E3EA9" w:rsidRDefault="00A62726" w:rsidP="00740A3D">
            <w:pPr>
              <w:pStyle w:val="TableText"/>
            </w:pPr>
            <w:r w:rsidRPr="006E3EA9">
              <w:t xml:space="preserve">Achieved: </w:t>
            </w:r>
            <w:r w:rsidRPr="006E3EA9">
              <w:rPr>
                <w:lang w:eastAsia="ja-JP"/>
              </w:rPr>
              <w:t>2% or more increase</w:t>
            </w:r>
            <w:r w:rsidRPr="006E3EA9">
              <w:t>.</w:t>
            </w:r>
          </w:p>
          <w:p w14:paraId="4CB92683" w14:textId="77777777" w:rsidR="00A62726" w:rsidRPr="006E3EA9" w:rsidRDefault="00A62726" w:rsidP="00740A3D">
            <w:pPr>
              <w:pStyle w:val="TableText"/>
            </w:pPr>
            <w:r w:rsidRPr="006E3EA9">
              <w:t xml:space="preserve">Partially achieved: </w:t>
            </w:r>
            <w:r w:rsidRPr="006E3EA9">
              <w:rPr>
                <w:lang w:eastAsia="ja-JP"/>
              </w:rPr>
              <w:t>1% – 1.99% increase</w:t>
            </w:r>
            <w:r w:rsidRPr="006E3EA9">
              <w:t>.</w:t>
            </w:r>
          </w:p>
          <w:p w14:paraId="76073C8A" w14:textId="77777777" w:rsidR="00A62726" w:rsidRPr="006E3EA9" w:rsidRDefault="00A62726" w:rsidP="00740A3D">
            <w:pPr>
              <w:pStyle w:val="TableText"/>
            </w:pPr>
            <w:r w:rsidRPr="006E3EA9">
              <w:t xml:space="preserve">Not achieved: </w:t>
            </w:r>
            <w:r w:rsidRPr="006E3EA9">
              <w:rPr>
                <w:lang w:eastAsia="ja-JP"/>
              </w:rPr>
              <w:t>Less than 1% increase</w:t>
            </w:r>
            <w:r w:rsidRPr="006E3EA9">
              <w:t>.</w:t>
            </w:r>
          </w:p>
        </w:tc>
      </w:tr>
    </w:tbl>
    <w:p w14:paraId="46F4BD7C" w14:textId="320060F5" w:rsidR="00F85393" w:rsidRDefault="00F85393" w:rsidP="00E30C68">
      <w:pPr>
        <w:pStyle w:val="Heading2"/>
        <w:numPr>
          <w:ilvl w:val="0"/>
          <w:numId w:val="0"/>
        </w:numPr>
        <w:ind w:left="720" w:hanging="720"/>
      </w:pPr>
      <w:bookmarkStart w:id="83" w:name="_Toc180573331"/>
      <w:bookmarkStart w:id="84" w:name="_Toc204936460"/>
      <w:bookmarkStart w:id="85" w:name="_Toc220395924"/>
      <w:bookmarkEnd w:id="74"/>
      <w:bookmarkEnd w:id="75"/>
      <w:r>
        <w:lastRenderedPageBreak/>
        <w:t xml:space="preserve">Appendix </w:t>
      </w:r>
      <w:bookmarkStart w:id="86" w:name="_Toc471375614"/>
      <w:r>
        <w:t xml:space="preserve">A: Divisional </w:t>
      </w:r>
      <w:bookmarkEnd w:id="83"/>
      <w:bookmarkEnd w:id="84"/>
      <w:bookmarkEnd w:id="86"/>
      <w:r w:rsidR="00E30C68">
        <w:t>activities</w:t>
      </w:r>
      <w:bookmarkEnd w:id="85"/>
    </w:p>
    <w:p w14:paraId="361610D8" w14:textId="7747C76A" w:rsidR="00F85393" w:rsidRPr="000B365D" w:rsidRDefault="00F85393" w:rsidP="00F85393">
      <w:pPr>
        <w:pStyle w:val="Caption"/>
      </w:pPr>
      <w:bookmarkStart w:id="87" w:name="_Toc180573276"/>
      <w:bookmarkStart w:id="88" w:name="_Toc220395931"/>
      <w:r w:rsidRPr="000B365D">
        <w:t>Table A</w:t>
      </w:r>
      <w:r w:rsidRPr="000B365D">
        <w:rPr>
          <w:noProof/>
        </w:rPr>
        <w:fldChar w:fldCharType="begin"/>
      </w:r>
      <w:r w:rsidRPr="000B365D">
        <w:rPr>
          <w:noProof/>
        </w:rPr>
        <w:instrText xml:space="preserve"> SEQ Table_B \* ARABIC </w:instrText>
      </w:r>
      <w:r w:rsidRPr="000B365D">
        <w:rPr>
          <w:noProof/>
        </w:rPr>
        <w:fldChar w:fldCharType="separate"/>
      </w:r>
      <w:r w:rsidR="007D61E3">
        <w:rPr>
          <w:noProof/>
        </w:rPr>
        <w:t>1</w:t>
      </w:r>
      <w:r w:rsidRPr="000B365D">
        <w:rPr>
          <w:noProof/>
        </w:rPr>
        <w:fldChar w:fldCharType="end"/>
      </w:r>
      <w:r w:rsidRPr="000B365D">
        <w:t xml:space="preserve"> </w:t>
      </w:r>
      <w:r w:rsidR="00E30C68">
        <w:t>Department activities, by d</w:t>
      </w:r>
      <w:r w:rsidRPr="000B365D">
        <w:t>ivision</w:t>
      </w:r>
      <w:bookmarkEnd w:id="87"/>
      <w:bookmarkEnd w:id="88"/>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01"/>
        <w:gridCol w:w="2193"/>
        <w:gridCol w:w="4676"/>
      </w:tblGrid>
      <w:tr w:rsidR="002A20A6" w:rsidRPr="000B365D" w14:paraId="7214EAB6" w14:textId="77777777" w:rsidTr="00DF5527">
        <w:trPr>
          <w:cantSplit/>
          <w:tblHeader/>
        </w:trPr>
        <w:tc>
          <w:tcPr>
            <w:tcW w:w="1213" w:type="pct"/>
            <w:tcMar>
              <w:left w:w="108" w:type="dxa"/>
              <w:right w:w="108" w:type="dxa"/>
            </w:tcMar>
          </w:tcPr>
          <w:p w14:paraId="0843B712" w14:textId="77777777" w:rsidR="002A20A6" w:rsidRPr="000B365D" w:rsidRDefault="002A20A6" w:rsidP="00AD5D18">
            <w:pPr>
              <w:pStyle w:val="TableHeading"/>
            </w:pPr>
            <w:bookmarkStart w:id="89" w:name="Title_A1"/>
            <w:bookmarkEnd w:id="89"/>
            <w:r w:rsidRPr="000B365D">
              <w:t>Group</w:t>
            </w:r>
          </w:p>
        </w:tc>
        <w:tc>
          <w:tcPr>
            <w:tcW w:w="1209" w:type="pct"/>
            <w:tcMar>
              <w:left w:w="108" w:type="dxa"/>
              <w:right w:w="108" w:type="dxa"/>
            </w:tcMar>
          </w:tcPr>
          <w:p w14:paraId="28D2D900" w14:textId="77777777" w:rsidR="002A20A6" w:rsidRPr="000B365D" w:rsidRDefault="002A20A6" w:rsidP="00AD5D18">
            <w:pPr>
              <w:pStyle w:val="TableHeading"/>
            </w:pPr>
            <w:r w:rsidRPr="000B365D">
              <w:t>Division</w:t>
            </w:r>
          </w:p>
        </w:tc>
        <w:tc>
          <w:tcPr>
            <w:tcW w:w="2578" w:type="pct"/>
            <w:tcMar>
              <w:left w:w="108" w:type="dxa"/>
              <w:right w:w="108" w:type="dxa"/>
            </w:tcMar>
          </w:tcPr>
          <w:p w14:paraId="3BDB95F7" w14:textId="77777777" w:rsidR="002A20A6" w:rsidRPr="000B365D" w:rsidRDefault="002A20A6" w:rsidP="00AD5D18">
            <w:pPr>
              <w:pStyle w:val="TableHeading"/>
            </w:pPr>
            <w:r w:rsidRPr="000B365D">
              <w:t>Description of activities</w:t>
            </w:r>
          </w:p>
        </w:tc>
      </w:tr>
      <w:tr w:rsidR="002A20A6" w:rsidRPr="000B365D" w14:paraId="12EC5B01" w14:textId="77777777" w:rsidTr="008B6A61">
        <w:tc>
          <w:tcPr>
            <w:tcW w:w="1213" w:type="pct"/>
            <w:vMerge w:val="restart"/>
            <w:tcMar>
              <w:left w:w="108" w:type="dxa"/>
              <w:right w:w="108" w:type="dxa"/>
            </w:tcMar>
          </w:tcPr>
          <w:p w14:paraId="277D3AFC" w14:textId="77777777" w:rsidR="002A20A6" w:rsidRPr="008B6A61" w:rsidRDefault="002A20A6" w:rsidP="00E30C68">
            <w:pPr>
              <w:pStyle w:val="TableText"/>
              <w:rPr>
                <w:rStyle w:val="Strong"/>
                <w:b w:val="0"/>
                <w:bCs w:val="0"/>
              </w:rPr>
            </w:pPr>
            <w:r w:rsidRPr="008B6A61">
              <w:rPr>
                <w:rStyle w:val="Strong"/>
                <w:b w:val="0"/>
                <w:bCs w:val="0"/>
              </w:rPr>
              <w:t>Agricultural Trade and Regulation Group</w:t>
            </w:r>
          </w:p>
        </w:tc>
        <w:tc>
          <w:tcPr>
            <w:tcW w:w="1209" w:type="pct"/>
            <w:tcMar>
              <w:left w:w="108" w:type="dxa"/>
              <w:right w:w="108" w:type="dxa"/>
            </w:tcMar>
          </w:tcPr>
          <w:p w14:paraId="0A4C9A8F" w14:textId="77777777" w:rsidR="002A20A6" w:rsidRPr="00F83E2F" w:rsidRDefault="002A20A6" w:rsidP="00AD5D18">
            <w:pPr>
              <w:pStyle w:val="TableText"/>
            </w:pPr>
            <w:r w:rsidRPr="000B365D">
              <w:t>Trade and International</w:t>
            </w:r>
          </w:p>
        </w:tc>
        <w:tc>
          <w:tcPr>
            <w:tcW w:w="2578" w:type="pct"/>
            <w:tcMar>
              <w:left w:w="108" w:type="dxa"/>
              <w:right w:w="108" w:type="dxa"/>
            </w:tcMar>
          </w:tcPr>
          <w:p w14:paraId="37D21E97" w14:textId="77777777" w:rsidR="002A20A6" w:rsidRPr="00F83E2F" w:rsidRDefault="002A20A6" w:rsidP="00AD5D18">
            <w:pPr>
              <w:pStyle w:val="TableText"/>
            </w:pPr>
            <w:r w:rsidRPr="00F83E2F">
              <w:t>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to deliver policies and initiatives reflecting international interest.</w:t>
            </w:r>
          </w:p>
        </w:tc>
      </w:tr>
      <w:tr w:rsidR="002A20A6" w:rsidRPr="000B365D" w14:paraId="55B6EDF9" w14:textId="77777777" w:rsidTr="008B6A61">
        <w:tc>
          <w:tcPr>
            <w:tcW w:w="1213" w:type="pct"/>
            <w:vMerge/>
            <w:tcMar>
              <w:left w:w="108" w:type="dxa"/>
              <w:right w:w="108" w:type="dxa"/>
            </w:tcMar>
          </w:tcPr>
          <w:p w14:paraId="106BE82B" w14:textId="77777777" w:rsidR="002A20A6" w:rsidRPr="00E30C68" w:rsidRDefault="002A20A6" w:rsidP="00E30C68">
            <w:pPr>
              <w:pStyle w:val="TableText"/>
            </w:pPr>
          </w:p>
        </w:tc>
        <w:tc>
          <w:tcPr>
            <w:tcW w:w="1209" w:type="pct"/>
            <w:tcMar>
              <w:left w:w="108" w:type="dxa"/>
              <w:right w:w="108" w:type="dxa"/>
            </w:tcMar>
          </w:tcPr>
          <w:p w14:paraId="16B672F2" w14:textId="77777777" w:rsidR="002A20A6" w:rsidRPr="004C0E15" w:rsidRDefault="002A20A6" w:rsidP="00AD5D18">
            <w:pPr>
              <w:pStyle w:val="TableText"/>
            </w:pPr>
            <w:r w:rsidRPr="004C0E15">
              <w:t>Exports and Veterinary Services</w:t>
            </w:r>
          </w:p>
        </w:tc>
        <w:tc>
          <w:tcPr>
            <w:tcW w:w="2578" w:type="pct"/>
            <w:tcMar>
              <w:left w:w="108" w:type="dxa"/>
              <w:right w:w="108" w:type="dxa"/>
            </w:tcMar>
          </w:tcPr>
          <w:p w14:paraId="70645FAA" w14:textId="77777777" w:rsidR="002A20A6" w:rsidRPr="004C0E15" w:rsidRDefault="002A20A6" w:rsidP="00AD5D18">
            <w:pPr>
              <w:pStyle w:val="TableText"/>
            </w:pPr>
            <w:r w:rsidRPr="004C0E15">
              <w:t>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w:t>
            </w:r>
          </w:p>
        </w:tc>
      </w:tr>
      <w:tr w:rsidR="002A20A6" w:rsidRPr="000B365D" w14:paraId="39E3DBF0" w14:textId="77777777" w:rsidTr="008B6A61">
        <w:tc>
          <w:tcPr>
            <w:tcW w:w="1213" w:type="pct"/>
            <w:vMerge/>
            <w:tcMar>
              <w:left w:w="108" w:type="dxa"/>
              <w:right w:w="108" w:type="dxa"/>
            </w:tcMar>
          </w:tcPr>
          <w:p w14:paraId="65D454FA" w14:textId="77777777" w:rsidR="002A20A6" w:rsidRPr="00E30C68" w:rsidRDefault="002A20A6" w:rsidP="00E30C68">
            <w:pPr>
              <w:pStyle w:val="TableText"/>
            </w:pPr>
          </w:p>
        </w:tc>
        <w:tc>
          <w:tcPr>
            <w:tcW w:w="1209" w:type="pct"/>
            <w:tcMar>
              <w:left w:w="108" w:type="dxa"/>
              <w:right w:w="108" w:type="dxa"/>
            </w:tcMar>
          </w:tcPr>
          <w:p w14:paraId="1DCCEDC3" w14:textId="77777777" w:rsidR="002A20A6" w:rsidRPr="004C0E15" w:rsidRDefault="002A20A6" w:rsidP="00AD5D18">
            <w:pPr>
              <w:pStyle w:val="TableText"/>
            </w:pPr>
            <w:r w:rsidRPr="004C0E15">
              <w:t>Digital Business</w:t>
            </w:r>
          </w:p>
        </w:tc>
        <w:tc>
          <w:tcPr>
            <w:tcW w:w="2578" w:type="pct"/>
            <w:tcMar>
              <w:left w:w="108" w:type="dxa"/>
              <w:right w:w="108" w:type="dxa"/>
            </w:tcMar>
          </w:tcPr>
          <w:p w14:paraId="59CA1DBE" w14:textId="77777777" w:rsidR="002A20A6" w:rsidRPr="004C0E15" w:rsidRDefault="002A20A6" w:rsidP="00AD5D18">
            <w:pPr>
              <w:pStyle w:val="TableText"/>
            </w:pPr>
            <w:r w:rsidRPr="004C0E15">
              <w:t>The Digital Business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2A20A6" w:rsidRPr="000B365D" w14:paraId="3997503C" w14:textId="77777777" w:rsidTr="008B6A61">
        <w:tc>
          <w:tcPr>
            <w:tcW w:w="1213" w:type="pct"/>
            <w:vMerge/>
            <w:tcMar>
              <w:left w:w="108" w:type="dxa"/>
              <w:right w:w="108" w:type="dxa"/>
            </w:tcMar>
          </w:tcPr>
          <w:p w14:paraId="75795ED3" w14:textId="77777777" w:rsidR="002A20A6" w:rsidRPr="00E30C68" w:rsidRDefault="002A20A6" w:rsidP="00E30C68">
            <w:pPr>
              <w:pStyle w:val="TableText"/>
            </w:pPr>
          </w:p>
        </w:tc>
        <w:tc>
          <w:tcPr>
            <w:tcW w:w="1209" w:type="pct"/>
            <w:tcMar>
              <w:left w:w="108" w:type="dxa"/>
              <w:right w:w="108" w:type="dxa"/>
            </w:tcMar>
          </w:tcPr>
          <w:p w14:paraId="4C37C049" w14:textId="0C48B171" w:rsidR="002A20A6" w:rsidRPr="004C0E15" w:rsidRDefault="004C514A" w:rsidP="00AD5D18">
            <w:pPr>
              <w:pStyle w:val="TableText"/>
            </w:pPr>
            <w:r w:rsidRPr="006D6085">
              <w:t xml:space="preserve">Plant </w:t>
            </w:r>
            <w:r>
              <w:t>and</w:t>
            </w:r>
            <w:r w:rsidRPr="006D6085">
              <w:t xml:space="preserve"> L</w:t>
            </w:r>
            <w:r>
              <w:t xml:space="preserve">ive </w:t>
            </w:r>
            <w:r w:rsidRPr="006D6085">
              <w:t>A</w:t>
            </w:r>
            <w:r>
              <w:t xml:space="preserve">nimal </w:t>
            </w:r>
            <w:r w:rsidRPr="006D6085">
              <w:t>E</w:t>
            </w:r>
            <w:r>
              <w:t>xports,</w:t>
            </w:r>
            <w:r w:rsidRPr="006D6085">
              <w:t xml:space="preserve"> Welfare &amp; Regulation</w:t>
            </w:r>
          </w:p>
        </w:tc>
        <w:tc>
          <w:tcPr>
            <w:tcW w:w="2578" w:type="pct"/>
            <w:tcMar>
              <w:left w:w="108" w:type="dxa"/>
              <w:right w:w="108" w:type="dxa"/>
            </w:tcMar>
          </w:tcPr>
          <w:p w14:paraId="11D87F46" w14:textId="1263AC6E" w:rsidR="002A20A6" w:rsidRPr="004C0E15" w:rsidRDefault="002A20A6" w:rsidP="00AD5D18">
            <w:pPr>
              <w:pStyle w:val="TableText"/>
            </w:pPr>
            <w:r w:rsidRPr="004C0E15">
              <w:t>Supports Australian agriculture industries and the government through export regulatory integrity assurance, export assessment services, food market access, certification management group, development of animal welfare policy for export and domestic issues; management of policy, operations and certification for the export of live animals, animal reproductive material, plants, and plant products and fostering regulatory stewardship across the export related functions.</w:t>
            </w:r>
          </w:p>
        </w:tc>
      </w:tr>
      <w:tr w:rsidR="002A20A6" w:rsidRPr="000B365D" w14:paraId="73D8EE05" w14:textId="77777777" w:rsidTr="008B6A61">
        <w:tc>
          <w:tcPr>
            <w:tcW w:w="1213" w:type="pct"/>
            <w:vMerge w:val="restart"/>
            <w:tcMar>
              <w:left w:w="108" w:type="dxa"/>
              <w:right w:w="108" w:type="dxa"/>
            </w:tcMar>
          </w:tcPr>
          <w:p w14:paraId="7CEDE349" w14:textId="77777777" w:rsidR="002A20A6" w:rsidRPr="008B6A61" w:rsidRDefault="002A20A6" w:rsidP="00E30C68">
            <w:pPr>
              <w:pStyle w:val="TableText"/>
              <w:rPr>
                <w:rStyle w:val="Strong"/>
                <w:b w:val="0"/>
                <w:bCs w:val="0"/>
              </w:rPr>
            </w:pPr>
            <w:r w:rsidRPr="008B6A61">
              <w:rPr>
                <w:rStyle w:val="Strong"/>
                <w:b w:val="0"/>
                <w:bCs w:val="0"/>
              </w:rPr>
              <w:t>Biosecurity, Operations and Compliance Group</w:t>
            </w:r>
          </w:p>
        </w:tc>
        <w:tc>
          <w:tcPr>
            <w:tcW w:w="1209" w:type="pct"/>
            <w:tcMar>
              <w:left w:w="108" w:type="dxa"/>
              <w:right w:w="108" w:type="dxa"/>
            </w:tcMar>
          </w:tcPr>
          <w:p w14:paraId="4D357163" w14:textId="77777777" w:rsidR="002A20A6" w:rsidRPr="00F83E2F" w:rsidRDefault="002A20A6" w:rsidP="00AD5D18">
            <w:pPr>
              <w:pStyle w:val="TableText"/>
            </w:pPr>
            <w:r w:rsidRPr="00F83E2F">
              <w:t>Biosecurity Plant and Science Services</w:t>
            </w:r>
          </w:p>
        </w:tc>
        <w:tc>
          <w:tcPr>
            <w:tcW w:w="2578" w:type="pct"/>
            <w:tcMar>
              <w:left w:w="108" w:type="dxa"/>
              <w:right w:w="108" w:type="dxa"/>
            </w:tcMar>
          </w:tcPr>
          <w:p w14:paraId="164BC533" w14:textId="4C93DB47" w:rsidR="002A20A6" w:rsidRPr="00F83E2F" w:rsidRDefault="002A20A6" w:rsidP="00AD5D18">
            <w:pPr>
              <w:pStyle w:val="TableText"/>
            </w:pPr>
            <w:r w:rsidRPr="00F83E2F">
              <w:t xml:space="preserve">Safeguarding Australia’s plant health stats to achieve, maintain and expand access to overseas markets, while protecting the economy and environment from biosecurity risks on imports. The </w:t>
            </w:r>
            <w:r w:rsidR="009E60A0">
              <w:t>d</w:t>
            </w:r>
            <w:r w:rsidRPr="00F83E2F">
              <w:t>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2A20A6" w:rsidRPr="000B365D" w14:paraId="5D28B720" w14:textId="77777777" w:rsidTr="008B6A61">
        <w:tc>
          <w:tcPr>
            <w:tcW w:w="1213" w:type="pct"/>
            <w:vMerge/>
            <w:tcMar>
              <w:left w:w="108" w:type="dxa"/>
              <w:right w:w="108" w:type="dxa"/>
            </w:tcMar>
          </w:tcPr>
          <w:p w14:paraId="6430345E" w14:textId="77777777" w:rsidR="002A20A6" w:rsidRPr="00E30C68" w:rsidRDefault="002A20A6" w:rsidP="00E30C68">
            <w:pPr>
              <w:pStyle w:val="TableText"/>
            </w:pPr>
          </w:p>
        </w:tc>
        <w:tc>
          <w:tcPr>
            <w:tcW w:w="1209" w:type="pct"/>
            <w:tcMar>
              <w:left w:w="108" w:type="dxa"/>
              <w:right w:w="108" w:type="dxa"/>
            </w:tcMar>
          </w:tcPr>
          <w:p w14:paraId="2855F269" w14:textId="77777777" w:rsidR="002A20A6" w:rsidRPr="004C0E15" w:rsidRDefault="002A20A6" w:rsidP="00AD5D18">
            <w:pPr>
              <w:pStyle w:val="TableText"/>
            </w:pPr>
            <w:r w:rsidRPr="004C0E15">
              <w:t>Compliance and Enforcement</w:t>
            </w:r>
          </w:p>
        </w:tc>
        <w:tc>
          <w:tcPr>
            <w:tcW w:w="2578" w:type="pct"/>
            <w:tcMar>
              <w:left w:w="108" w:type="dxa"/>
              <w:right w:w="108" w:type="dxa"/>
            </w:tcMar>
          </w:tcPr>
          <w:p w14:paraId="04416E14" w14:textId="77777777" w:rsidR="002A20A6" w:rsidRPr="004C0E15" w:rsidRDefault="002A20A6" w:rsidP="00AD5D18">
            <w:pPr>
              <w:pStyle w:val="TableText"/>
            </w:pPr>
            <w:r w:rsidRPr="004C0E15">
              <w:t xml:space="preserve">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w:t>
            </w:r>
            <w:r w:rsidRPr="004C0E15">
              <w:lastRenderedPageBreak/>
              <w:t>across the regulatory continuum responding to known and emerging risks to safeguard Australia’s agriculture, economy, trade and way of life.</w:t>
            </w:r>
          </w:p>
        </w:tc>
      </w:tr>
      <w:tr w:rsidR="002A20A6" w:rsidRPr="000B365D" w14:paraId="49CEEA88" w14:textId="77777777" w:rsidTr="008B6A61">
        <w:tc>
          <w:tcPr>
            <w:tcW w:w="1213" w:type="pct"/>
            <w:vMerge/>
            <w:tcMar>
              <w:left w:w="108" w:type="dxa"/>
              <w:right w:w="108" w:type="dxa"/>
            </w:tcMar>
          </w:tcPr>
          <w:p w14:paraId="7E0639DC" w14:textId="77777777" w:rsidR="002A20A6" w:rsidRPr="00E30C68" w:rsidRDefault="002A20A6" w:rsidP="00E30C68">
            <w:pPr>
              <w:pStyle w:val="TableText"/>
            </w:pPr>
          </w:p>
        </w:tc>
        <w:tc>
          <w:tcPr>
            <w:tcW w:w="1209" w:type="pct"/>
            <w:tcMar>
              <w:left w:w="108" w:type="dxa"/>
              <w:right w:w="108" w:type="dxa"/>
            </w:tcMar>
          </w:tcPr>
          <w:p w14:paraId="4FE6BB0F" w14:textId="77777777" w:rsidR="002A20A6" w:rsidRPr="004C0E15" w:rsidRDefault="002A20A6" w:rsidP="00AD5D18">
            <w:pPr>
              <w:pStyle w:val="TableText"/>
            </w:pPr>
            <w:r w:rsidRPr="004C0E15">
              <w:t>Biosecurity Operations</w:t>
            </w:r>
          </w:p>
        </w:tc>
        <w:tc>
          <w:tcPr>
            <w:tcW w:w="2578" w:type="pct"/>
            <w:tcMar>
              <w:left w:w="108" w:type="dxa"/>
              <w:right w:w="108" w:type="dxa"/>
            </w:tcMar>
          </w:tcPr>
          <w:p w14:paraId="61A31E51" w14:textId="77777777" w:rsidR="002A20A6" w:rsidRPr="004C0E15" w:rsidRDefault="002A20A6" w:rsidP="00AD5D18">
            <w:pPr>
              <w:pStyle w:val="TableText"/>
            </w:pPr>
            <w:r w:rsidRPr="004C0E15">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B435E4" w:rsidRPr="000B365D" w14:paraId="0D1DD002" w14:textId="77777777" w:rsidTr="008B6A61">
        <w:tc>
          <w:tcPr>
            <w:tcW w:w="1213" w:type="pct"/>
            <w:vMerge w:val="restart"/>
            <w:tcMar>
              <w:left w:w="108" w:type="dxa"/>
              <w:right w:w="108" w:type="dxa"/>
            </w:tcMar>
          </w:tcPr>
          <w:p w14:paraId="22084CD5" w14:textId="77777777" w:rsidR="00B435E4" w:rsidRPr="008B6A61" w:rsidRDefault="00B435E4" w:rsidP="00E30C68">
            <w:pPr>
              <w:pStyle w:val="TableText"/>
              <w:rPr>
                <w:rStyle w:val="Strong"/>
                <w:b w:val="0"/>
                <w:bCs w:val="0"/>
              </w:rPr>
            </w:pPr>
            <w:r w:rsidRPr="008B6A61">
              <w:rPr>
                <w:rStyle w:val="Strong"/>
                <w:b w:val="0"/>
                <w:bCs w:val="0"/>
              </w:rPr>
              <w:t>Strategy, Enterprise, and Engagement Group</w:t>
            </w:r>
          </w:p>
        </w:tc>
        <w:tc>
          <w:tcPr>
            <w:tcW w:w="1209" w:type="pct"/>
            <w:tcMar>
              <w:left w:w="108" w:type="dxa"/>
              <w:right w:w="108" w:type="dxa"/>
            </w:tcMar>
          </w:tcPr>
          <w:p w14:paraId="337850A9" w14:textId="77777777" w:rsidR="00B435E4" w:rsidRPr="00F83E2F" w:rsidRDefault="00B435E4" w:rsidP="00AD5D18">
            <w:pPr>
              <w:pStyle w:val="TableText"/>
            </w:pPr>
            <w:r w:rsidRPr="00F83E2F">
              <w:t>Legal</w:t>
            </w:r>
          </w:p>
        </w:tc>
        <w:tc>
          <w:tcPr>
            <w:tcW w:w="2578" w:type="pct"/>
            <w:tcMar>
              <w:left w:w="108" w:type="dxa"/>
              <w:right w:w="108" w:type="dxa"/>
            </w:tcMar>
          </w:tcPr>
          <w:p w14:paraId="29BB2F99" w14:textId="77777777" w:rsidR="00B435E4" w:rsidRPr="00F83E2F" w:rsidRDefault="00B435E4" w:rsidP="00AD5D18">
            <w:pPr>
              <w:pStyle w:val="TableText"/>
            </w:pPr>
            <w:r w:rsidRPr="00F83E2F">
              <w:t>Responsible for the provision of all legal services and advice required by the department to develop its legislation and deliver its functions.</w:t>
            </w:r>
          </w:p>
        </w:tc>
      </w:tr>
      <w:tr w:rsidR="00B435E4" w:rsidRPr="000B365D" w14:paraId="62C02494" w14:textId="77777777" w:rsidTr="008B6A61">
        <w:tc>
          <w:tcPr>
            <w:tcW w:w="1213" w:type="pct"/>
            <w:vMerge/>
            <w:tcMar>
              <w:left w:w="108" w:type="dxa"/>
              <w:right w:w="108" w:type="dxa"/>
            </w:tcMar>
          </w:tcPr>
          <w:p w14:paraId="4BC1A4E2" w14:textId="77777777" w:rsidR="00B435E4" w:rsidRPr="00FA4C7C" w:rsidRDefault="00B435E4" w:rsidP="00AD5D18">
            <w:pPr>
              <w:pStyle w:val="TableText"/>
            </w:pPr>
          </w:p>
        </w:tc>
        <w:tc>
          <w:tcPr>
            <w:tcW w:w="1209" w:type="pct"/>
            <w:tcMar>
              <w:left w:w="108" w:type="dxa"/>
              <w:right w:w="108" w:type="dxa"/>
            </w:tcMar>
          </w:tcPr>
          <w:p w14:paraId="5EDF48DE" w14:textId="77777777" w:rsidR="00B435E4" w:rsidRPr="00FA4C7C" w:rsidRDefault="00B435E4" w:rsidP="00AD5D18">
            <w:pPr>
              <w:pStyle w:val="TableText"/>
            </w:pPr>
            <w:r w:rsidRPr="00FA4C7C">
              <w:t>Digital Services</w:t>
            </w:r>
          </w:p>
        </w:tc>
        <w:tc>
          <w:tcPr>
            <w:tcW w:w="2578" w:type="pct"/>
            <w:tcMar>
              <w:left w:w="108" w:type="dxa"/>
              <w:right w:w="108" w:type="dxa"/>
            </w:tcMar>
          </w:tcPr>
          <w:p w14:paraId="36FB5387" w14:textId="77777777" w:rsidR="00B435E4" w:rsidRPr="00FA4C7C" w:rsidRDefault="00B435E4" w:rsidP="00AD5D18">
            <w:pPr>
              <w:pStyle w:val="TableText"/>
            </w:pPr>
            <w:r w:rsidRPr="00FA4C7C">
              <w:t>Deliver high values, sustainable digital services, reduce complexity and provide secure, reusable, innovative digital services, and solutions to meet business and customer needs.</w:t>
            </w:r>
          </w:p>
        </w:tc>
      </w:tr>
      <w:tr w:rsidR="00B435E4" w:rsidRPr="000B365D" w14:paraId="27378AE9" w14:textId="77777777" w:rsidTr="008B6A61">
        <w:tc>
          <w:tcPr>
            <w:tcW w:w="1213" w:type="pct"/>
            <w:vMerge/>
            <w:tcMar>
              <w:left w:w="108" w:type="dxa"/>
              <w:right w:w="108" w:type="dxa"/>
            </w:tcMar>
          </w:tcPr>
          <w:p w14:paraId="004826FF" w14:textId="77777777" w:rsidR="00B435E4" w:rsidRPr="00FA4C7C" w:rsidRDefault="00B435E4" w:rsidP="00AD5D18">
            <w:pPr>
              <w:pStyle w:val="TableText"/>
            </w:pPr>
          </w:p>
        </w:tc>
        <w:tc>
          <w:tcPr>
            <w:tcW w:w="1209" w:type="pct"/>
            <w:tcMar>
              <w:left w:w="108" w:type="dxa"/>
              <w:right w:w="108" w:type="dxa"/>
            </w:tcMar>
          </w:tcPr>
          <w:p w14:paraId="6B0CC752" w14:textId="77777777" w:rsidR="00B435E4" w:rsidRPr="00FA4C7C" w:rsidRDefault="00B435E4" w:rsidP="00AD5D18">
            <w:pPr>
              <w:pStyle w:val="TableText"/>
            </w:pPr>
            <w:r w:rsidRPr="00FA4C7C">
              <w:t>People, Property and Security</w:t>
            </w:r>
          </w:p>
        </w:tc>
        <w:tc>
          <w:tcPr>
            <w:tcW w:w="2578" w:type="pct"/>
            <w:tcMar>
              <w:left w:w="108" w:type="dxa"/>
              <w:right w:w="108" w:type="dxa"/>
            </w:tcMar>
          </w:tcPr>
          <w:p w14:paraId="644787F4" w14:textId="77777777" w:rsidR="00B435E4" w:rsidRPr="00FA4C7C" w:rsidRDefault="00B435E4" w:rsidP="00AD5D18">
            <w:pPr>
              <w:pStyle w:val="TableText"/>
            </w:pPr>
            <w:r w:rsidRPr="00FA4C7C">
              <w:t>Support our people and leaders across the employment life cycle by enabling the effective management of people-related risk and building future ready leaders, people, and culture.</w:t>
            </w:r>
          </w:p>
        </w:tc>
      </w:tr>
      <w:tr w:rsidR="00B435E4" w:rsidRPr="000B365D" w14:paraId="517050A6" w14:textId="77777777" w:rsidTr="008B6A61">
        <w:tc>
          <w:tcPr>
            <w:tcW w:w="1213" w:type="pct"/>
            <w:vMerge/>
            <w:tcMar>
              <w:left w:w="108" w:type="dxa"/>
              <w:right w:w="108" w:type="dxa"/>
            </w:tcMar>
          </w:tcPr>
          <w:p w14:paraId="18D8DC5F" w14:textId="77777777" w:rsidR="00B435E4" w:rsidRPr="00FA4C7C" w:rsidRDefault="00B435E4" w:rsidP="00AD5D18">
            <w:pPr>
              <w:pStyle w:val="TableText"/>
            </w:pPr>
          </w:p>
        </w:tc>
        <w:tc>
          <w:tcPr>
            <w:tcW w:w="1209" w:type="pct"/>
            <w:tcMar>
              <w:left w:w="108" w:type="dxa"/>
              <w:right w:w="108" w:type="dxa"/>
            </w:tcMar>
          </w:tcPr>
          <w:p w14:paraId="528AE62D" w14:textId="77777777" w:rsidR="00B435E4" w:rsidRPr="00FA4C7C" w:rsidRDefault="00B435E4" w:rsidP="00AD5D18">
            <w:pPr>
              <w:pStyle w:val="TableText"/>
            </w:pPr>
            <w:r w:rsidRPr="00FA4C7C">
              <w:t>Finance and Investment</w:t>
            </w:r>
          </w:p>
        </w:tc>
        <w:tc>
          <w:tcPr>
            <w:tcW w:w="2578" w:type="pct"/>
            <w:tcMar>
              <w:left w:w="108" w:type="dxa"/>
              <w:right w:w="108" w:type="dxa"/>
            </w:tcMar>
          </w:tcPr>
          <w:p w14:paraId="35AD38FF" w14:textId="77777777" w:rsidR="00B435E4" w:rsidRPr="00FA4C7C" w:rsidRDefault="00B435E4" w:rsidP="00AD5D18">
            <w:pPr>
              <w:pStyle w:val="TableText"/>
            </w:pPr>
            <w:r w:rsidRPr="00FA4C7C">
              <w:t>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the division provides financial systems administration and delivers training to uplift financial acumen across the department, and ensures our people receive strategic financial advice through finance business partners. We build value and relationships through trusted engagements and provide considered financial advice for successful management of our resourcing.</w:t>
            </w:r>
          </w:p>
        </w:tc>
      </w:tr>
      <w:tr w:rsidR="00B435E4" w:rsidRPr="000B365D" w14:paraId="579728F5" w14:textId="77777777" w:rsidTr="008B6A61">
        <w:tc>
          <w:tcPr>
            <w:tcW w:w="1213" w:type="pct"/>
            <w:vMerge/>
            <w:tcMar>
              <w:left w:w="108" w:type="dxa"/>
              <w:right w:w="108" w:type="dxa"/>
            </w:tcMar>
          </w:tcPr>
          <w:p w14:paraId="5CD2CB1E" w14:textId="77777777" w:rsidR="00B435E4" w:rsidRPr="00FA4C7C" w:rsidRDefault="00B435E4" w:rsidP="00AD5D18">
            <w:pPr>
              <w:pStyle w:val="TableText"/>
            </w:pPr>
          </w:p>
        </w:tc>
        <w:tc>
          <w:tcPr>
            <w:tcW w:w="1209" w:type="pct"/>
            <w:tcMar>
              <w:left w:w="108" w:type="dxa"/>
              <w:right w:w="108" w:type="dxa"/>
            </w:tcMar>
          </w:tcPr>
          <w:p w14:paraId="1DC71D6F" w14:textId="77777777" w:rsidR="00B435E4" w:rsidRPr="00FA4C7C" w:rsidRDefault="00B435E4" w:rsidP="00AD5D18">
            <w:pPr>
              <w:pStyle w:val="TableText"/>
            </w:pPr>
            <w:r w:rsidRPr="000B365D">
              <w:t>Strategy Performance and Engagement</w:t>
            </w:r>
          </w:p>
        </w:tc>
        <w:tc>
          <w:tcPr>
            <w:tcW w:w="2578" w:type="pct"/>
            <w:tcMar>
              <w:left w:w="108" w:type="dxa"/>
              <w:right w:w="108" w:type="dxa"/>
            </w:tcMar>
          </w:tcPr>
          <w:p w14:paraId="7AC0F580" w14:textId="77777777" w:rsidR="00B435E4" w:rsidRPr="00FA4C7C" w:rsidRDefault="00B435E4" w:rsidP="00AD5D18">
            <w:pPr>
              <w:pStyle w:val="TableText"/>
            </w:pPr>
            <w:r w:rsidRPr="00FA4C7C">
              <w:t>Responsible for enterprise and budget strategy, communication and media, and governance and corporate support including parliamentary and ministerial services.</w:t>
            </w:r>
          </w:p>
        </w:tc>
      </w:tr>
      <w:tr w:rsidR="00B435E4" w:rsidRPr="000B365D" w14:paraId="563445A5" w14:textId="77777777" w:rsidTr="008B6A61">
        <w:tc>
          <w:tcPr>
            <w:tcW w:w="1213" w:type="pct"/>
            <w:vMerge/>
            <w:tcMar>
              <w:left w:w="108" w:type="dxa"/>
              <w:right w:w="108" w:type="dxa"/>
            </w:tcMar>
          </w:tcPr>
          <w:p w14:paraId="5D0B29C6" w14:textId="77777777" w:rsidR="00B435E4" w:rsidRPr="00FA4C7C" w:rsidRDefault="00B435E4" w:rsidP="00AD5D18">
            <w:pPr>
              <w:pStyle w:val="TableText"/>
            </w:pPr>
          </w:p>
        </w:tc>
        <w:tc>
          <w:tcPr>
            <w:tcW w:w="1209" w:type="pct"/>
            <w:tcMar>
              <w:left w:w="108" w:type="dxa"/>
              <w:right w:w="108" w:type="dxa"/>
            </w:tcMar>
          </w:tcPr>
          <w:p w14:paraId="104E8AEB" w14:textId="77777777" w:rsidR="00B435E4" w:rsidRPr="00FA4C7C" w:rsidRDefault="00B435E4" w:rsidP="00AD5D18">
            <w:pPr>
              <w:pStyle w:val="TableText"/>
            </w:pPr>
            <w:r w:rsidRPr="00FA4C7C">
              <w:t>Transformation Taskforce</w:t>
            </w:r>
          </w:p>
        </w:tc>
        <w:tc>
          <w:tcPr>
            <w:tcW w:w="2578" w:type="pct"/>
            <w:tcMar>
              <w:left w:w="108" w:type="dxa"/>
              <w:right w:w="108" w:type="dxa"/>
            </w:tcMar>
          </w:tcPr>
          <w:p w14:paraId="303401C2" w14:textId="128D9CA4" w:rsidR="00B435E4" w:rsidRPr="000B365D" w:rsidRDefault="00B435E4" w:rsidP="00AD5D18">
            <w:pPr>
              <w:pStyle w:val="TableText"/>
            </w:pPr>
            <w:r w:rsidRPr="00FA4C7C">
              <w:t>Deliver the integrated transformation program and its 4</w:t>
            </w:r>
            <w:r w:rsidR="0016782E">
              <w:t> </w:t>
            </w:r>
            <w:r w:rsidRPr="00FA4C7C">
              <w:t>pillars, the Transformation Action Plan, Statement of Strategic Intent, Organisation Design and Culture as a response to the department’s capability review findings.</w:t>
            </w:r>
          </w:p>
        </w:tc>
      </w:tr>
      <w:tr w:rsidR="00B435E4" w:rsidRPr="003C3B86" w14:paraId="4F8262B8" w14:textId="77777777" w:rsidTr="008B6A61">
        <w:tc>
          <w:tcPr>
            <w:tcW w:w="1213" w:type="pct"/>
            <w:vMerge/>
            <w:tcMar>
              <w:left w:w="108" w:type="dxa"/>
              <w:right w:w="108" w:type="dxa"/>
            </w:tcMar>
          </w:tcPr>
          <w:p w14:paraId="6CA459BA" w14:textId="77777777" w:rsidR="00B435E4" w:rsidRPr="00FA4C7C" w:rsidRDefault="00B435E4" w:rsidP="00B435E4">
            <w:pPr>
              <w:pStyle w:val="TableText"/>
            </w:pPr>
          </w:p>
        </w:tc>
        <w:tc>
          <w:tcPr>
            <w:tcW w:w="1209" w:type="pct"/>
            <w:tcMar>
              <w:left w:w="108" w:type="dxa"/>
              <w:right w:w="108" w:type="dxa"/>
            </w:tcMar>
          </w:tcPr>
          <w:p w14:paraId="78133478" w14:textId="5C958608" w:rsidR="00B435E4" w:rsidRPr="00FA4C7C" w:rsidRDefault="00B435E4" w:rsidP="00B435E4">
            <w:pPr>
              <w:pStyle w:val="TableText"/>
            </w:pPr>
            <w:r w:rsidRPr="000B365D">
              <w:t>Central Funds</w:t>
            </w:r>
          </w:p>
        </w:tc>
        <w:tc>
          <w:tcPr>
            <w:tcW w:w="2578" w:type="pct"/>
            <w:tcMar>
              <w:left w:w="108" w:type="dxa"/>
              <w:right w:w="108" w:type="dxa"/>
            </w:tcMar>
          </w:tcPr>
          <w:p w14:paraId="13D0E232" w14:textId="6F43C48F" w:rsidR="00B435E4" w:rsidRPr="00FA4C7C" w:rsidRDefault="00B435E4" w:rsidP="00B435E4">
            <w:pPr>
              <w:pStyle w:val="TableText"/>
            </w:pPr>
            <w:r w:rsidRPr="000B365D">
              <w:t>Accountable for driving capability development across the department, including learning and development, talent management, and leadership growth initiatives.</w:t>
            </w:r>
          </w:p>
        </w:tc>
      </w:tr>
    </w:tbl>
    <w:p w14:paraId="55612EBC" w14:textId="467357FE" w:rsidR="00C503D3" w:rsidRDefault="00FC4EB6" w:rsidP="00FC4EB6">
      <w:pPr>
        <w:pStyle w:val="Heading2"/>
        <w:numPr>
          <w:ilvl w:val="0"/>
          <w:numId w:val="0"/>
        </w:numPr>
        <w:ind w:left="720" w:hanging="720"/>
      </w:pPr>
      <w:bookmarkStart w:id="90" w:name="_Toc220395925"/>
      <w:r>
        <w:lastRenderedPageBreak/>
        <w:t>References</w:t>
      </w:r>
      <w:bookmarkEnd w:id="90"/>
    </w:p>
    <w:p w14:paraId="7435318E" w14:textId="70721DBD" w:rsidR="00E36A0C" w:rsidRDefault="00E36A0C" w:rsidP="00E36A0C">
      <w:r>
        <w:t xml:space="preserve">DAFF </w:t>
      </w:r>
      <w:r w:rsidRPr="00490C79">
        <w:t xml:space="preserve">2023, </w:t>
      </w:r>
      <w:hyperlink r:id="rId25" w:history="1">
        <w:r>
          <w:rPr>
            <w:rStyle w:val="Hyperlink"/>
          </w:rPr>
          <w:t>Budget 2023–24, Securing the future of agricultural trade (PDF 208 KB)</w:t>
        </w:r>
      </w:hyperlink>
      <w:r w:rsidRPr="00490C79">
        <w:t>, Department</w:t>
      </w:r>
      <w:r>
        <w:t xml:space="preserve"> of Agriculture, Fisheries and Forestry, Canberra, accessed 24 December 2025.</w:t>
      </w:r>
    </w:p>
    <w:p w14:paraId="37BAF911" w14:textId="65D623A3" w:rsidR="00E36A0C" w:rsidRPr="00490C79" w:rsidRDefault="00E36A0C" w:rsidP="00E36A0C">
      <w:pPr>
        <w:rPr>
          <w:lang w:eastAsia="ja-JP"/>
        </w:rPr>
      </w:pPr>
      <w:r>
        <w:t>DAWE 2020</w:t>
      </w:r>
      <w:r w:rsidRPr="00490C79">
        <w:t xml:space="preserve">, </w:t>
      </w:r>
      <w:hyperlink r:id="rId26" w:history="1">
        <w:r>
          <w:rPr>
            <w:rStyle w:val="Hyperlink"/>
          </w:rPr>
          <w:t>Budget 2020–21: Busting Congestion for Agricultural Exporters (PDF 211 KB)</w:t>
        </w:r>
      </w:hyperlink>
      <w:r w:rsidRPr="00490C79">
        <w:t>,</w:t>
      </w:r>
      <w:r>
        <w:t xml:space="preserve"> Department of Agriculture, Water and the Environment, Canberra, accessed 24 December 2025.</w:t>
      </w:r>
    </w:p>
    <w:sectPr w:rsidR="00E36A0C" w:rsidRPr="00490C79" w:rsidSect="00E0084F">
      <w:footerReference w:type="default" r:id="rId27"/>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5860" w14:textId="77777777" w:rsidR="00F22935" w:rsidRDefault="00F22935">
      <w:r>
        <w:separator/>
      </w:r>
    </w:p>
    <w:p w14:paraId="51CA5229" w14:textId="77777777" w:rsidR="00F22935" w:rsidRDefault="00F22935"/>
    <w:p w14:paraId="59BECF53" w14:textId="77777777" w:rsidR="00F22935" w:rsidRDefault="00F22935"/>
  </w:endnote>
  <w:endnote w:type="continuationSeparator" w:id="0">
    <w:p w14:paraId="7F4B5ADC" w14:textId="77777777" w:rsidR="00F22935" w:rsidRDefault="00F22935">
      <w:r>
        <w:continuationSeparator/>
      </w:r>
    </w:p>
    <w:p w14:paraId="08E9991F" w14:textId="77777777" w:rsidR="00F22935" w:rsidRDefault="00F22935"/>
    <w:p w14:paraId="04A3DCA8" w14:textId="77777777" w:rsidR="00F22935" w:rsidRDefault="00F22935"/>
  </w:endnote>
  <w:endnote w:type="continuationNotice" w:id="1">
    <w:p w14:paraId="5B5B7032" w14:textId="77777777" w:rsidR="00F22935" w:rsidRDefault="00F22935" w:rsidP="00274B73">
      <w:pPr>
        <w:pStyle w:val="Footer"/>
      </w:pPr>
    </w:p>
    <w:p w14:paraId="5DEC1A0F" w14:textId="77777777" w:rsidR="00F22935" w:rsidRDefault="00F22935"/>
    <w:p w14:paraId="45B0A0DE" w14:textId="77777777" w:rsidR="00F22935" w:rsidRDefault="00F22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C93E" w14:textId="77777777" w:rsidR="00CA6C9D" w:rsidRDefault="009622CD" w:rsidP="00274B73">
    <w:pPr>
      <w:pStyle w:val="Footer"/>
    </w:pPr>
    <w:r>
      <w:rPr>
        <w:noProof/>
      </w:rPr>
      <mc:AlternateContent>
        <mc:Choice Requires="wps">
          <w:drawing>
            <wp:anchor distT="0" distB="0" distL="0" distR="0" simplePos="0" relativeHeight="251658245" behindDoc="0" locked="0" layoutInCell="1" allowOverlap="1" wp14:anchorId="355F5054" wp14:editId="249977F7">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07B8B1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5F5054"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07B8B1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8866" w14:textId="77777777" w:rsidR="00B861B4" w:rsidRDefault="009622CD" w:rsidP="00274B73">
    <w:pPr>
      <w:pStyle w:val="Footer"/>
    </w:pPr>
    <w:r>
      <w:rPr>
        <w:noProof/>
      </w:rPr>
      <mc:AlternateContent>
        <mc:Choice Requires="wps">
          <w:drawing>
            <wp:anchor distT="0" distB="0" distL="0" distR="0" simplePos="0" relativeHeight="251658246" behindDoc="0" locked="0" layoutInCell="1" allowOverlap="1" wp14:anchorId="2E9C0337" wp14:editId="32342F92">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EB1A5A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9C0337"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4EB1A5A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A082" w14:textId="77777777" w:rsidR="007A4DDB" w:rsidRDefault="009622CD" w:rsidP="00274B73">
    <w:pPr>
      <w:pStyle w:val="Footer"/>
    </w:pPr>
    <w:r>
      <w:rPr>
        <w:noProof/>
      </w:rPr>
      <mc:AlternateContent>
        <mc:Choice Requires="wps">
          <w:drawing>
            <wp:anchor distT="0" distB="0" distL="0" distR="0" simplePos="0" relativeHeight="251658244" behindDoc="0" locked="0" layoutInCell="1" allowOverlap="1" wp14:anchorId="72DFBC4C" wp14:editId="0C4793DE">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628500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DFBC4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628500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7C7A" w14:textId="77777777" w:rsidR="00E0084F" w:rsidRDefault="00E0084F" w:rsidP="00274B73">
    <w:pPr>
      <w:pStyle w:val="Footer"/>
    </w:pPr>
    <w:r>
      <w:rPr>
        <w:noProof/>
      </w:rPr>
      <mc:AlternateContent>
        <mc:Choice Requires="wps">
          <w:drawing>
            <wp:anchor distT="0" distB="0" distL="0" distR="0" simplePos="0" relativeHeight="251660294" behindDoc="0" locked="0" layoutInCell="1" allowOverlap="1" wp14:anchorId="203D51D4" wp14:editId="6B78EF01">
              <wp:simplePos x="901065" y="10053320"/>
              <wp:positionH relativeFrom="page">
                <wp:align>center</wp:align>
              </wp:positionH>
              <wp:positionV relativeFrom="page">
                <wp:align>bottom</wp:align>
              </wp:positionV>
              <wp:extent cx="551815" cy="404495"/>
              <wp:effectExtent l="0" t="0" r="635" b="0"/>
              <wp:wrapNone/>
              <wp:docPr id="18333792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60E639" w14:textId="77777777" w:rsidR="00E0084F" w:rsidRPr="009622CD" w:rsidRDefault="00E0084F"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3D51D4"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6029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zGDgIAABw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X9Hrsfgv1EYdyMOzbW75qsfSa+fDMHC4Y50DR&#10;hic8pIKuonCyKGnA/f7MH/ORd4xS0qFgKmpQ0ZSonwb3EbU1Gm40tskobvNZjnGz1/eAMizwRVie&#10;TPS6oEZTOtCvKOdlLIQhZjiWq+h2NO/DoFx8DlwslykJZWRZWJuN5RE60hW5fOlfmbMnwgNu6hFG&#10;NbHyHe9Dbrzp7XIfkP20lEjtQOSJcZRgWuvpuUSNv/1PWZdHvfgD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GWcxg4CAAAc&#10;BAAADgAAAAAAAAAAAAAAAAAuAgAAZHJzL2Uyb0RvYy54bWxQSwECLQAUAAYACAAAACEAH1WiDdsA&#10;AAADAQAADwAAAAAAAAAAAAAAAABoBAAAZHJzL2Rvd25yZXYueG1sUEsFBgAAAAAEAAQA8wAAAHAF&#10;AAAAAA==&#10;" filled="f" stroked="f">
              <v:textbox style="mso-fit-shape-to-text:t" inset="0,0,0,15pt">
                <w:txbxContent>
                  <w:p w14:paraId="3460E639" w14:textId="77777777" w:rsidR="00E0084F" w:rsidRPr="009622CD" w:rsidRDefault="00E0084F"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D8E6" w14:textId="77777777" w:rsidR="00F22935" w:rsidRDefault="00F22935">
      <w:r>
        <w:separator/>
      </w:r>
    </w:p>
    <w:p w14:paraId="1591ACD9" w14:textId="77777777" w:rsidR="00F22935" w:rsidRDefault="00F22935"/>
    <w:p w14:paraId="10A0CAA4" w14:textId="77777777" w:rsidR="00F22935" w:rsidRDefault="00F22935"/>
  </w:footnote>
  <w:footnote w:type="continuationSeparator" w:id="0">
    <w:p w14:paraId="7908B551" w14:textId="77777777" w:rsidR="00F22935" w:rsidRDefault="00F22935">
      <w:r>
        <w:continuationSeparator/>
      </w:r>
    </w:p>
    <w:p w14:paraId="5E20D591" w14:textId="77777777" w:rsidR="00F22935" w:rsidRDefault="00F22935"/>
    <w:p w14:paraId="2CAE004E" w14:textId="77777777" w:rsidR="00F22935" w:rsidRDefault="00F22935"/>
  </w:footnote>
  <w:footnote w:type="continuationNotice" w:id="1">
    <w:p w14:paraId="21C455C6" w14:textId="77777777" w:rsidR="00F22935" w:rsidRDefault="00F22935" w:rsidP="00274B73">
      <w:pPr>
        <w:pStyle w:val="Footer"/>
      </w:pPr>
    </w:p>
    <w:p w14:paraId="041B4461" w14:textId="77777777" w:rsidR="00F22935" w:rsidRDefault="00F22935"/>
    <w:p w14:paraId="251B009A" w14:textId="77777777" w:rsidR="00F22935" w:rsidRDefault="00F22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898F" w14:textId="490E18D3"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7A6FE5FF" wp14:editId="31D75363">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10060A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6FE5F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10060A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8D17" w14:textId="77AACC70" w:rsidR="00B861B4" w:rsidRDefault="009622CD">
    <w:pPr>
      <w:pStyle w:val="Header"/>
    </w:pPr>
    <w:r>
      <w:rPr>
        <w:noProof/>
        <w:lang w:val="en-US"/>
      </w:rPr>
      <mc:AlternateContent>
        <mc:Choice Requires="wps">
          <w:drawing>
            <wp:anchor distT="0" distB="0" distL="0" distR="0" simplePos="0" relativeHeight="251658243" behindDoc="0" locked="0" layoutInCell="1" allowOverlap="1" wp14:anchorId="12F6A347" wp14:editId="1AE2873A">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BA22D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6A34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4BBA22D0"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691EEB">
      <w:t>Horticulture export cost recovery arrangement: financial performance 2024</w:t>
    </w:r>
    <w:r w:rsidR="009124BE">
      <w:t>–</w:t>
    </w:r>
    <w:r w:rsidR="00691EEB">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FF61" w14:textId="30D3D138" w:rsidR="00B861B4" w:rsidRDefault="006B3546">
    <w:pPr>
      <w:pStyle w:val="Header"/>
      <w:jc w:val="left"/>
    </w:pPr>
    <w:r>
      <w:rPr>
        <w:noProof/>
      </w:rPr>
      <w:drawing>
        <wp:anchor distT="0" distB="0" distL="114300" distR="114300" simplePos="0" relativeHeight="251658240" behindDoc="1" locked="0" layoutInCell="1" allowOverlap="1" wp14:anchorId="1711BEAC" wp14:editId="1ECC7CAA">
          <wp:simplePos x="0" y="0"/>
          <wp:positionH relativeFrom="page">
            <wp:posOffset>0</wp:posOffset>
          </wp:positionH>
          <wp:positionV relativeFrom="paragraph">
            <wp:posOffset>-387341</wp:posOffset>
          </wp:positionV>
          <wp:extent cx="7565594" cy="10701655"/>
          <wp:effectExtent l="0" t="0" r="0" b="4445"/>
          <wp:wrapNone/>
          <wp:docPr id="227300097" name="Picture 2273000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1" behindDoc="0" locked="0" layoutInCell="1" allowOverlap="1" wp14:anchorId="25D757BB" wp14:editId="514D6FD5">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151CE6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D757BB"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151CE6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03B3"/>
    <w:multiLevelType w:val="hybridMultilevel"/>
    <w:tmpl w:val="630A0496"/>
    <w:lvl w:ilvl="0" w:tplc="0C090001">
      <w:start w:val="1"/>
      <w:numFmt w:val="bullet"/>
      <w:lvlText w:val=""/>
      <w:lvlJc w:val="left"/>
      <w:pPr>
        <w:ind w:left="405" w:hanging="360"/>
      </w:pPr>
      <w:rPr>
        <w:rFonts w:ascii="Symbol" w:hAnsi="Symbol"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455199E"/>
    <w:multiLevelType w:val="hybridMultilevel"/>
    <w:tmpl w:val="F860159E"/>
    <w:lvl w:ilvl="0" w:tplc="8D741586">
      <w:start w:val="1"/>
      <w:numFmt w:val="bullet"/>
      <w:lvlText w:val="•"/>
      <w:lvlJc w:val="left"/>
      <w:pPr>
        <w:tabs>
          <w:tab w:val="num" w:pos="720"/>
        </w:tabs>
        <w:ind w:left="720" w:hanging="360"/>
      </w:pPr>
      <w:rPr>
        <w:rFonts w:ascii="Arial" w:hAnsi="Arial" w:hint="default"/>
      </w:rPr>
    </w:lvl>
    <w:lvl w:ilvl="1" w:tplc="05921E80" w:tentative="1">
      <w:start w:val="1"/>
      <w:numFmt w:val="bullet"/>
      <w:lvlText w:val="•"/>
      <w:lvlJc w:val="left"/>
      <w:pPr>
        <w:tabs>
          <w:tab w:val="num" w:pos="1440"/>
        </w:tabs>
        <w:ind w:left="1440" w:hanging="360"/>
      </w:pPr>
      <w:rPr>
        <w:rFonts w:ascii="Arial" w:hAnsi="Arial" w:hint="default"/>
      </w:rPr>
    </w:lvl>
    <w:lvl w:ilvl="2" w:tplc="8E109168" w:tentative="1">
      <w:start w:val="1"/>
      <w:numFmt w:val="bullet"/>
      <w:lvlText w:val="•"/>
      <w:lvlJc w:val="left"/>
      <w:pPr>
        <w:tabs>
          <w:tab w:val="num" w:pos="2160"/>
        </w:tabs>
        <w:ind w:left="2160" w:hanging="360"/>
      </w:pPr>
      <w:rPr>
        <w:rFonts w:ascii="Arial" w:hAnsi="Arial" w:hint="default"/>
      </w:rPr>
    </w:lvl>
    <w:lvl w:ilvl="3" w:tplc="DF4AC0A0" w:tentative="1">
      <w:start w:val="1"/>
      <w:numFmt w:val="bullet"/>
      <w:lvlText w:val="•"/>
      <w:lvlJc w:val="left"/>
      <w:pPr>
        <w:tabs>
          <w:tab w:val="num" w:pos="2880"/>
        </w:tabs>
        <w:ind w:left="2880" w:hanging="360"/>
      </w:pPr>
      <w:rPr>
        <w:rFonts w:ascii="Arial" w:hAnsi="Arial" w:hint="default"/>
      </w:rPr>
    </w:lvl>
    <w:lvl w:ilvl="4" w:tplc="585ADA60" w:tentative="1">
      <w:start w:val="1"/>
      <w:numFmt w:val="bullet"/>
      <w:lvlText w:val="•"/>
      <w:lvlJc w:val="left"/>
      <w:pPr>
        <w:tabs>
          <w:tab w:val="num" w:pos="3600"/>
        </w:tabs>
        <w:ind w:left="3600" w:hanging="360"/>
      </w:pPr>
      <w:rPr>
        <w:rFonts w:ascii="Arial" w:hAnsi="Arial" w:hint="default"/>
      </w:rPr>
    </w:lvl>
    <w:lvl w:ilvl="5" w:tplc="4F74A702" w:tentative="1">
      <w:start w:val="1"/>
      <w:numFmt w:val="bullet"/>
      <w:lvlText w:val="•"/>
      <w:lvlJc w:val="left"/>
      <w:pPr>
        <w:tabs>
          <w:tab w:val="num" w:pos="4320"/>
        </w:tabs>
        <w:ind w:left="4320" w:hanging="360"/>
      </w:pPr>
      <w:rPr>
        <w:rFonts w:ascii="Arial" w:hAnsi="Arial" w:hint="default"/>
      </w:rPr>
    </w:lvl>
    <w:lvl w:ilvl="6" w:tplc="6EBEFA64" w:tentative="1">
      <w:start w:val="1"/>
      <w:numFmt w:val="bullet"/>
      <w:lvlText w:val="•"/>
      <w:lvlJc w:val="left"/>
      <w:pPr>
        <w:tabs>
          <w:tab w:val="num" w:pos="5040"/>
        </w:tabs>
        <w:ind w:left="5040" w:hanging="360"/>
      </w:pPr>
      <w:rPr>
        <w:rFonts w:ascii="Arial" w:hAnsi="Arial" w:hint="default"/>
      </w:rPr>
    </w:lvl>
    <w:lvl w:ilvl="7" w:tplc="79645E94" w:tentative="1">
      <w:start w:val="1"/>
      <w:numFmt w:val="bullet"/>
      <w:lvlText w:val="•"/>
      <w:lvlJc w:val="left"/>
      <w:pPr>
        <w:tabs>
          <w:tab w:val="num" w:pos="5760"/>
        </w:tabs>
        <w:ind w:left="5760" w:hanging="360"/>
      </w:pPr>
      <w:rPr>
        <w:rFonts w:ascii="Arial" w:hAnsi="Arial" w:hint="default"/>
      </w:rPr>
    </w:lvl>
    <w:lvl w:ilvl="8" w:tplc="A65A5A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9"/>
  </w:num>
  <w:num w:numId="2" w16cid:durableId="1639215797">
    <w:abstractNumId w:val="10"/>
  </w:num>
  <w:num w:numId="3" w16cid:durableId="1643265712">
    <w:abstractNumId w:val="2"/>
  </w:num>
  <w:num w:numId="4" w16cid:durableId="1568950393">
    <w:abstractNumId w:val="3"/>
    <w:lvlOverride w:ilvl="0">
      <w:startOverride w:val="1"/>
      <w:lvl w:ilvl="0">
        <w:start w:val="1"/>
        <w:numFmt w:val="bullet"/>
        <w:lvlText w:val=""/>
        <w:lvlJc w:val="left"/>
        <w:pPr>
          <w:ind w:left="425" w:hanging="425"/>
        </w:pPr>
        <w:rPr>
          <w:rFonts w:ascii="Symbol" w:hAnsi="Symbol" w:hint="default"/>
          <w:color w:val="00315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626202022">
    <w:abstractNumId w:val="6"/>
  </w:num>
  <w:num w:numId="6" w16cid:durableId="281765065">
    <w:abstractNumId w:val="8"/>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9"/>
  </w:num>
  <w:num w:numId="10" w16cid:durableId="1341661948">
    <w:abstractNumId w:val="10"/>
  </w:num>
  <w:num w:numId="11" w16cid:durableId="1983389004">
    <w:abstractNumId w:val="1"/>
  </w:num>
  <w:num w:numId="12" w16cid:durableId="435951209">
    <w:abstractNumId w:val="11"/>
  </w:num>
  <w:num w:numId="13" w16cid:durableId="1385720017">
    <w:abstractNumId w:val="13"/>
  </w:num>
  <w:num w:numId="14" w16cid:durableId="1361395064">
    <w:abstractNumId w:val="12"/>
  </w:num>
  <w:num w:numId="15" w16cid:durableId="2119637520">
    <w:abstractNumId w:val="0"/>
  </w:num>
  <w:num w:numId="16" w16cid:durableId="955408216">
    <w:abstractNumId w:val="2"/>
    <w:lvlOverride w:ilvl="0">
      <w:lvl w:ilvl="0">
        <w:start w:val="1"/>
        <w:numFmt w:val="decimal"/>
        <w:pStyle w:val="Heading2"/>
        <w:lvlText w:val="%1"/>
        <w:lvlJc w:val="left"/>
        <w:pPr>
          <w:ind w:left="720" w:hanging="720"/>
        </w:pPr>
        <w:rPr>
          <w:color w:val="auto"/>
        </w:rPr>
      </w:lvl>
    </w:lvlOverride>
  </w:num>
  <w:num w:numId="17" w16cid:durableId="1662657314">
    <w:abstractNumId w:val="5"/>
  </w:num>
  <w:num w:numId="18" w16cid:durableId="119053030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5D"/>
    <w:rsid w:val="000032AD"/>
    <w:rsid w:val="00003D13"/>
    <w:rsid w:val="00004802"/>
    <w:rsid w:val="00005583"/>
    <w:rsid w:val="00006D71"/>
    <w:rsid w:val="000103D5"/>
    <w:rsid w:val="0002078E"/>
    <w:rsid w:val="00021965"/>
    <w:rsid w:val="00022952"/>
    <w:rsid w:val="00025118"/>
    <w:rsid w:val="0002603E"/>
    <w:rsid w:val="000274A1"/>
    <w:rsid w:val="00031561"/>
    <w:rsid w:val="00032789"/>
    <w:rsid w:val="0003298C"/>
    <w:rsid w:val="00033E60"/>
    <w:rsid w:val="000373C5"/>
    <w:rsid w:val="00040994"/>
    <w:rsid w:val="00041484"/>
    <w:rsid w:val="00042838"/>
    <w:rsid w:val="00043D85"/>
    <w:rsid w:val="000473CD"/>
    <w:rsid w:val="000520CA"/>
    <w:rsid w:val="0005229D"/>
    <w:rsid w:val="000542FF"/>
    <w:rsid w:val="00056EB6"/>
    <w:rsid w:val="00057624"/>
    <w:rsid w:val="00064739"/>
    <w:rsid w:val="00071927"/>
    <w:rsid w:val="00073D5F"/>
    <w:rsid w:val="00074306"/>
    <w:rsid w:val="000753A5"/>
    <w:rsid w:val="00077641"/>
    <w:rsid w:val="00080944"/>
    <w:rsid w:val="00080A83"/>
    <w:rsid w:val="00082910"/>
    <w:rsid w:val="0008436E"/>
    <w:rsid w:val="00086979"/>
    <w:rsid w:val="000869AB"/>
    <w:rsid w:val="000906FE"/>
    <w:rsid w:val="00093341"/>
    <w:rsid w:val="000942EE"/>
    <w:rsid w:val="00094CC6"/>
    <w:rsid w:val="000950C3"/>
    <w:rsid w:val="00097FA8"/>
    <w:rsid w:val="000A1447"/>
    <w:rsid w:val="000A153E"/>
    <w:rsid w:val="000A5170"/>
    <w:rsid w:val="000A7AAF"/>
    <w:rsid w:val="000B0331"/>
    <w:rsid w:val="000B365D"/>
    <w:rsid w:val="000B5FA0"/>
    <w:rsid w:val="000C02ED"/>
    <w:rsid w:val="000C0F45"/>
    <w:rsid w:val="000C7E29"/>
    <w:rsid w:val="000D2ED4"/>
    <w:rsid w:val="000D76C8"/>
    <w:rsid w:val="000E3C0F"/>
    <w:rsid w:val="000E4472"/>
    <w:rsid w:val="000E7487"/>
    <w:rsid w:val="000F0073"/>
    <w:rsid w:val="000F0658"/>
    <w:rsid w:val="000F2EAF"/>
    <w:rsid w:val="000F313F"/>
    <w:rsid w:val="000F467D"/>
    <w:rsid w:val="000F4C2B"/>
    <w:rsid w:val="000F520F"/>
    <w:rsid w:val="000F714A"/>
    <w:rsid w:val="0010022E"/>
    <w:rsid w:val="001013AD"/>
    <w:rsid w:val="00101EF7"/>
    <w:rsid w:val="001054A4"/>
    <w:rsid w:val="001116C3"/>
    <w:rsid w:val="001133EC"/>
    <w:rsid w:val="00114DA4"/>
    <w:rsid w:val="001212A3"/>
    <w:rsid w:val="00123976"/>
    <w:rsid w:val="00126DB6"/>
    <w:rsid w:val="0013191B"/>
    <w:rsid w:val="00131D05"/>
    <w:rsid w:val="00135C36"/>
    <w:rsid w:val="00141937"/>
    <w:rsid w:val="001450A4"/>
    <w:rsid w:val="001463D2"/>
    <w:rsid w:val="0015123F"/>
    <w:rsid w:val="00155199"/>
    <w:rsid w:val="001558E9"/>
    <w:rsid w:val="0015609D"/>
    <w:rsid w:val="0016201B"/>
    <w:rsid w:val="001641A3"/>
    <w:rsid w:val="001643C0"/>
    <w:rsid w:val="00167057"/>
    <w:rsid w:val="0016782E"/>
    <w:rsid w:val="001708E4"/>
    <w:rsid w:val="001728AE"/>
    <w:rsid w:val="00176594"/>
    <w:rsid w:val="0017699C"/>
    <w:rsid w:val="001819B1"/>
    <w:rsid w:val="001827AF"/>
    <w:rsid w:val="001868A1"/>
    <w:rsid w:val="00186C1E"/>
    <w:rsid w:val="0018773D"/>
    <w:rsid w:val="00191AC7"/>
    <w:rsid w:val="0019257B"/>
    <w:rsid w:val="00192899"/>
    <w:rsid w:val="00192DB8"/>
    <w:rsid w:val="00194CD6"/>
    <w:rsid w:val="0019766E"/>
    <w:rsid w:val="001A1251"/>
    <w:rsid w:val="001A4207"/>
    <w:rsid w:val="001B11E3"/>
    <w:rsid w:val="001B4D81"/>
    <w:rsid w:val="001B62D1"/>
    <w:rsid w:val="001B69E5"/>
    <w:rsid w:val="001C0639"/>
    <w:rsid w:val="001C1865"/>
    <w:rsid w:val="001C2136"/>
    <w:rsid w:val="001C29D2"/>
    <w:rsid w:val="001C782B"/>
    <w:rsid w:val="001D2F3B"/>
    <w:rsid w:val="001D7E85"/>
    <w:rsid w:val="001E0F44"/>
    <w:rsid w:val="001E1AEC"/>
    <w:rsid w:val="001E2BF7"/>
    <w:rsid w:val="001E44E0"/>
    <w:rsid w:val="001E50A9"/>
    <w:rsid w:val="001E642B"/>
    <w:rsid w:val="001E68E2"/>
    <w:rsid w:val="001F091B"/>
    <w:rsid w:val="001F6795"/>
    <w:rsid w:val="001F73AF"/>
    <w:rsid w:val="00202222"/>
    <w:rsid w:val="0020282C"/>
    <w:rsid w:val="00212467"/>
    <w:rsid w:val="002142C0"/>
    <w:rsid w:val="00215CF0"/>
    <w:rsid w:val="0021649B"/>
    <w:rsid w:val="002164CD"/>
    <w:rsid w:val="002165FA"/>
    <w:rsid w:val="00216882"/>
    <w:rsid w:val="00216A47"/>
    <w:rsid w:val="00220E5C"/>
    <w:rsid w:val="00222137"/>
    <w:rsid w:val="002276E3"/>
    <w:rsid w:val="00231908"/>
    <w:rsid w:val="00231D47"/>
    <w:rsid w:val="0023230F"/>
    <w:rsid w:val="00232F52"/>
    <w:rsid w:val="00236A04"/>
    <w:rsid w:val="00237B3C"/>
    <w:rsid w:val="00237BF3"/>
    <w:rsid w:val="002416AE"/>
    <w:rsid w:val="00246A6A"/>
    <w:rsid w:val="0024766E"/>
    <w:rsid w:val="00252350"/>
    <w:rsid w:val="002563CF"/>
    <w:rsid w:val="00263CB6"/>
    <w:rsid w:val="00265A2D"/>
    <w:rsid w:val="00266B5E"/>
    <w:rsid w:val="00266C5A"/>
    <w:rsid w:val="00267544"/>
    <w:rsid w:val="00274B73"/>
    <w:rsid w:val="00274FFC"/>
    <w:rsid w:val="00275281"/>
    <w:rsid w:val="0027755E"/>
    <w:rsid w:val="00281014"/>
    <w:rsid w:val="00281210"/>
    <w:rsid w:val="00281BB6"/>
    <w:rsid w:val="002820AE"/>
    <w:rsid w:val="00284BF9"/>
    <w:rsid w:val="00284C5A"/>
    <w:rsid w:val="00284D14"/>
    <w:rsid w:val="00286307"/>
    <w:rsid w:val="0028659C"/>
    <w:rsid w:val="00290C37"/>
    <w:rsid w:val="00293D6D"/>
    <w:rsid w:val="002A016C"/>
    <w:rsid w:val="002A20A6"/>
    <w:rsid w:val="002A5219"/>
    <w:rsid w:val="002A7D29"/>
    <w:rsid w:val="002A7E53"/>
    <w:rsid w:val="002B27D2"/>
    <w:rsid w:val="002B382C"/>
    <w:rsid w:val="002B5426"/>
    <w:rsid w:val="002B5661"/>
    <w:rsid w:val="002B6648"/>
    <w:rsid w:val="002C0AC7"/>
    <w:rsid w:val="002C1B87"/>
    <w:rsid w:val="002C2571"/>
    <w:rsid w:val="002C2D5D"/>
    <w:rsid w:val="002C3212"/>
    <w:rsid w:val="002C3F04"/>
    <w:rsid w:val="002D279E"/>
    <w:rsid w:val="002D4BDA"/>
    <w:rsid w:val="002D5B0A"/>
    <w:rsid w:val="002D6154"/>
    <w:rsid w:val="002D67C2"/>
    <w:rsid w:val="002D72B9"/>
    <w:rsid w:val="002E3976"/>
    <w:rsid w:val="002E4AB8"/>
    <w:rsid w:val="002F1457"/>
    <w:rsid w:val="002F20AC"/>
    <w:rsid w:val="002F413B"/>
    <w:rsid w:val="002F4F51"/>
    <w:rsid w:val="002F6C05"/>
    <w:rsid w:val="002F6F3B"/>
    <w:rsid w:val="002F730D"/>
    <w:rsid w:val="0030140F"/>
    <w:rsid w:val="003015A8"/>
    <w:rsid w:val="003024BD"/>
    <w:rsid w:val="003031A2"/>
    <w:rsid w:val="00304752"/>
    <w:rsid w:val="00304AB4"/>
    <w:rsid w:val="003159BA"/>
    <w:rsid w:val="0031647D"/>
    <w:rsid w:val="00320D7C"/>
    <w:rsid w:val="003214B3"/>
    <w:rsid w:val="00324BD0"/>
    <w:rsid w:val="003256EF"/>
    <w:rsid w:val="00325927"/>
    <w:rsid w:val="00331CF9"/>
    <w:rsid w:val="00331DB3"/>
    <w:rsid w:val="003332AB"/>
    <w:rsid w:val="00333365"/>
    <w:rsid w:val="0033590D"/>
    <w:rsid w:val="00340FE5"/>
    <w:rsid w:val="00341099"/>
    <w:rsid w:val="00341111"/>
    <w:rsid w:val="003428E8"/>
    <w:rsid w:val="00343D58"/>
    <w:rsid w:val="00350D80"/>
    <w:rsid w:val="0035187F"/>
    <w:rsid w:val="00351A9C"/>
    <w:rsid w:val="003537AD"/>
    <w:rsid w:val="00354C6A"/>
    <w:rsid w:val="00360039"/>
    <w:rsid w:val="00360A56"/>
    <w:rsid w:val="00360C88"/>
    <w:rsid w:val="00362913"/>
    <w:rsid w:val="00362BAF"/>
    <w:rsid w:val="00362E13"/>
    <w:rsid w:val="00363074"/>
    <w:rsid w:val="00364A4A"/>
    <w:rsid w:val="003654AC"/>
    <w:rsid w:val="0037073B"/>
    <w:rsid w:val="0037174E"/>
    <w:rsid w:val="00375794"/>
    <w:rsid w:val="003774A7"/>
    <w:rsid w:val="00377D9F"/>
    <w:rsid w:val="00380151"/>
    <w:rsid w:val="003810BE"/>
    <w:rsid w:val="003813B8"/>
    <w:rsid w:val="003816CC"/>
    <w:rsid w:val="003817DE"/>
    <w:rsid w:val="00384E13"/>
    <w:rsid w:val="00386803"/>
    <w:rsid w:val="00394EE9"/>
    <w:rsid w:val="00395166"/>
    <w:rsid w:val="00395407"/>
    <w:rsid w:val="003A13E5"/>
    <w:rsid w:val="003A6F9D"/>
    <w:rsid w:val="003B1E29"/>
    <w:rsid w:val="003B565D"/>
    <w:rsid w:val="003B653B"/>
    <w:rsid w:val="003B7A95"/>
    <w:rsid w:val="003B7D5C"/>
    <w:rsid w:val="003C1FCE"/>
    <w:rsid w:val="003D240F"/>
    <w:rsid w:val="003D3EBB"/>
    <w:rsid w:val="003E11F7"/>
    <w:rsid w:val="003E5365"/>
    <w:rsid w:val="003F0145"/>
    <w:rsid w:val="003F1FF5"/>
    <w:rsid w:val="003F58F8"/>
    <w:rsid w:val="003F7CB2"/>
    <w:rsid w:val="0040109D"/>
    <w:rsid w:val="00402F5E"/>
    <w:rsid w:val="0040453C"/>
    <w:rsid w:val="00410251"/>
    <w:rsid w:val="00410B27"/>
    <w:rsid w:val="004119A5"/>
    <w:rsid w:val="0041260D"/>
    <w:rsid w:val="004148A9"/>
    <w:rsid w:val="004238FA"/>
    <w:rsid w:val="0042443D"/>
    <w:rsid w:val="004246AE"/>
    <w:rsid w:val="0042542C"/>
    <w:rsid w:val="004307AA"/>
    <w:rsid w:val="00432172"/>
    <w:rsid w:val="00437495"/>
    <w:rsid w:val="004408AD"/>
    <w:rsid w:val="00441BFD"/>
    <w:rsid w:val="0044563F"/>
    <w:rsid w:val="00446881"/>
    <w:rsid w:val="00451B82"/>
    <w:rsid w:val="00452555"/>
    <w:rsid w:val="00454E2E"/>
    <w:rsid w:val="00461957"/>
    <w:rsid w:val="004650F5"/>
    <w:rsid w:val="0046625C"/>
    <w:rsid w:val="00466FBB"/>
    <w:rsid w:val="00470C21"/>
    <w:rsid w:val="00473EB9"/>
    <w:rsid w:val="00476C9E"/>
    <w:rsid w:val="0048146E"/>
    <w:rsid w:val="00481A75"/>
    <w:rsid w:val="00485F77"/>
    <w:rsid w:val="00486714"/>
    <w:rsid w:val="00490073"/>
    <w:rsid w:val="00491E5F"/>
    <w:rsid w:val="00492078"/>
    <w:rsid w:val="004928A3"/>
    <w:rsid w:val="00493F3C"/>
    <w:rsid w:val="00495561"/>
    <w:rsid w:val="004967E4"/>
    <w:rsid w:val="00496D0B"/>
    <w:rsid w:val="004A2864"/>
    <w:rsid w:val="004A3EA7"/>
    <w:rsid w:val="004A4047"/>
    <w:rsid w:val="004A775D"/>
    <w:rsid w:val="004B1D54"/>
    <w:rsid w:val="004B3F30"/>
    <w:rsid w:val="004B51E6"/>
    <w:rsid w:val="004B6E01"/>
    <w:rsid w:val="004C0E15"/>
    <w:rsid w:val="004C0EA5"/>
    <w:rsid w:val="004C320D"/>
    <w:rsid w:val="004C39E0"/>
    <w:rsid w:val="004C514A"/>
    <w:rsid w:val="004D0676"/>
    <w:rsid w:val="004D10B6"/>
    <w:rsid w:val="004D18DD"/>
    <w:rsid w:val="004D3AD9"/>
    <w:rsid w:val="004D5315"/>
    <w:rsid w:val="004D66C3"/>
    <w:rsid w:val="004D6DD4"/>
    <w:rsid w:val="004D7FDC"/>
    <w:rsid w:val="004E0F77"/>
    <w:rsid w:val="004E2724"/>
    <w:rsid w:val="004F0665"/>
    <w:rsid w:val="004F3F2A"/>
    <w:rsid w:val="004F3FD6"/>
    <w:rsid w:val="004F41B1"/>
    <w:rsid w:val="004F48DF"/>
    <w:rsid w:val="004F58EA"/>
    <w:rsid w:val="00501617"/>
    <w:rsid w:val="00502288"/>
    <w:rsid w:val="00503DEF"/>
    <w:rsid w:val="005043EB"/>
    <w:rsid w:val="00507A84"/>
    <w:rsid w:val="00512B25"/>
    <w:rsid w:val="00514A31"/>
    <w:rsid w:val="0051574D"/>
    <w:rsid w:val="00517A68"/>
    <w:rsid w:val="00520330"/>
    <w:rsid w:val="00522D3B"/>
    <w:rsid w:val="00523CD5"/>
    <w:rsid w:val="005253E7"/>
    <w:rsid w:val="00535367"/>
    <w:rsid w:val="00541ECD"/>
    <w:rsid w:val="005421F1"/>
    <w:rsid w:val="00542765"/>
    <w:rsid w:val="00543AE2"/>
    <w:rsid w:val="00544064"/>
    <w:rsid w:val="005443B0"/>
    <w:rsid w:val="005448A2"/>
    <w:rsid w:val="00545F07"/>
    <w:rsid w:val="0054617D"/>
    <w:rsid w:val="0055555B"/>
    <w:rsid w:val="0056493A"/>
    <w:rsid w:val="00566500"/>
    <w:rsid w:val="00567257"/>
    <w:rsid w:val="00572C43"/>
    <w:rsid w:val="00574557"/>
    <w:rsid w:val="00575332"/>
    <w:rsid w:val="0057590A"/>
    <w:rsid w:val="00583369"/>
    <w:rsid w:val="005843FE"/>
    <w:rsid w:val="005857FB"/>
    <w:rsid w:val="00590FFC"/>
    <w:rsid w:val="0059380F"/>
    <w:rsid w:val="00593D91"/>
    <w:rsid w:val="005A08B1"/>
    <w:rsid w:val="005A1339"/>
    <w:rsid w:val="005A15E2"/>
    <w:rsid w:val="005A5008"/>
    <w:rsid w:val="005A64C7"/>
    <w:rsid w:val="005A7193"/>
    <w:rsid w:val="005B1D82"/>
    <w:rsid w:val="005B29CD"/>
    <w:rsid w:val="005B3633"/>
    <w:rsid w:val="005B4BD6"/>
    <w:rsid w:val="005B5971"/>
    <w:rsid w:val="005B5D3B"/>
    <w:rsid w:val="005C1E9A"/>
    <w:rsid w:val="005C36F6"/>
    <w:rsid w:val="005C37EF"/>
    <w:rsid w:val="005C5476"/>
    <w:rsid w:val="005D0999"/>
    <w:rsid w:val="005D3790"/>
    <w:rsid w:val="005D4F9C"/>
    <w:rsid w:val="005D53FB"/>
    <w:rsid w:val="005D5D9C"/>
    <w:rsid w:val="005D661F"/>
    <w:rsid w:val="005D6A8D"/>
    <w:rsid w:val="005D73D3"/>
    <w:rsid w:val="005D7BD5"/>
    <w:rsid w:val="005E25BD"/>
    <w:rsid w:val="005F1129"/>
    <w:rsid w:val="00600163"/>
    <w:rsid w:val="006138D1"/>
    <w:rsid w:val="00615FA5"/>
    <w:rsid w:val="00620D9E"/>
    <w:rsid w:val="00621CF6"/>
    <w:rsid w:val="0062340C"/>
    <w:rsid w:val="0062520D"/>
    <w:rsid w:val="0062542B"/>
    <w:rsid w:val="006301DF"/>
    <w:rsid w:val="00635C53"/>
    <w:rsid w:val="006371D3"/>
    <w:rsid w:val="00637A2B"/>
    <w:rsid w:val="006406FE"/>
    <w:rsid w:val="00640D13"/>
    <w:rsid w:val="00643C78"/>
    <w:rsid w:val="006440A9"/>
    <w:rsid w:val="00647C78"/>
    <w:rsid w:val="0065079A"/>
    <w:rsid w:val="00655DBB"/>
    <w:rsid w:val="0066030E"/>
    <w:rsid w:val="006615B1"/>
    <w:rsid w:val="0066188D"/>
    <w:rsid w:val="006713A7"/>
    <w:rsid w:val="006729BE"/>
    <w:rsid w:val="006754D4"/>
    <w:rsid w:val="00675A23"/>
    <w:rsid w:val="00676108"/>
    <w:rsid w:val="00680970"/>
    <w:rsid w:val="00680ADB"/>
    <w:rsid w:val="00686926"/>
    <w:rsid w:val="00691EEB"/>
    <w:rsid w:val="006973DA"/>
    <w:rsid w:val="006A38C8"/>
    <w:rsid w:val="006A5149"/>
    <w:rsid w:val="006B222A"/>
    <w:rsid w:val="006B3546"/>
    <w:rsid w:val="006C16FF"/>
    <w:rsid w:val="006C261F"/>
    <w:rsid w:val="006C350D"/>
    <w:rsid w:val="006C3C83"/>
    <w:rsid w:val="006C4CB8"/>
    <w:rsid w:val="006C5145"/>
    <w:rsid w:val="006D1999"/>
    <w:rsid w:val="006D4F4C"/>
    <w:rsid w:val="006E1313"/>
    <w:rsid w:val="006E1A6F"/>
    <w:rsid w:val="006E20A6"/>
    <w:rsid w:val="006E2EF7"/>
    <w:rsid w:val="006E3940"/>
    <w:rsid w:val="006E6712"/>
    <w:rsid w:val="006F3A70"/>
    <w:rsid w:val="006F47EA"/>
    <w:rsid w:val="006F51DD"/>
    <w:rsid w:val="006F595C"/>
    <w:rsid w:val="006F5D23"/>
    <w:rsid w:val="006F6656"/>
    <w:rsid w:val="00700859"/>
    <w:rsid w:val="007012D1"/>
    <w:rsid w:val="00704055"/>
    <w:rsid w:val="0070610E"/>
    <w:rsid w:val="00706AF9"/>
    <w:rsid w:val="00710CE3"/>
    <w:rsid w:val="00711387"/>
    <w:rsid w:val="0071381A"/>
    <w:rsid w:val="007169D6"/>
    <w:rsid w:val="00717A49"/>
    <w:rsid w:val="00723D50"/>
    <w:rsid w:val="007256B6"/>
    <w:rsid w:val="0073185A"/>
    <w:rsid w:val="007341D7"/>
    <w:rsid w:val="0073707A"/>
    <w:rsid w:val="00740A3D"/>
    <w:rsid w:val="007414F0"/>
    <w:rsid w:val="00744091"/>
    <w:rsid w:val="00753C6F"/>
    <w:rsid w:val="00761791"/>
    <w:rsid w:val="00761FCF"/>
    <w:rsid w:val="0076341C"/>
    <w:rsid w:val="00764D6A"/>
    <w:rsid w:val="00773056"/>
    <w:rsid w:val="00774865"/>
    <w:rsid w:val="00775EEF"/>
    <w:rsid w:val="0078134D"/>
    <w:rsid w:val="00782738"/>
    <w:rsid w:val="00784708"/>
    <w:rsid w:val="007904D6"/>
    <w:rsid w:val="0079159B"/>
    <w:rsid w:val="00792153"/>
    <w:rsid w:val="0079679C"/>
    <w:rsid w:val="00797460"/>
    <w:rsid w:val="007A2F9B"/>
    <w:rsid w:val="007A4DDB"/>
    <w:rsid w:val="007A52B9"/>
    <w:rsid w:val="007A5D10"/>
    <w:rsid w:val="007B0004"/>
    <w:rsid w:val="007B018C"/>
    <w:rsid w:val="007B13D0"/>
    <w:rsid w:val="007B1EF3"/>
    <w:rsid w:val="007B66C4"/>
    <w:rsid w:val="007B7E13"/>
    <w:rsid w:val="007C07D7"/>
    <w:rsid w:val="007C358A"/>
    <w:rsid w:val="007C37AA"/>
    <w:rsid w:val="007D0B90"/>
    <w:rsid w:val="007D1132"/>
    <w:rsid w:val="007D4136"/>
    <w:rsid w:val="007D61E3"/>
    <w:rsid w:val="007E2BC6"/>
    <w:rsid w:val="007E39EF"/>
    <w:rsid w:val="007E5EF5"/>
    <w:rsid w:val="007E74BE"/>
    <w:rsid w:val="007F0CA7"/>
    <w:rsid w:val="007F2728"/>
    <w:rsid w:val="007F410F"/>
    <w:rsid w:val="007F479A"/>
    <w:rsid w:val="007F6DDF"/>
    <w:rsid w:val="00800FE1"/>
    <w:rsid w:val="00804C6C"/>
    <w:rsid w:val="00805B68"/>
    <w:rsid w:val="00806BCA"/>
    <w:rsid w:val="0080734D"/>
    <w:rsid w:val="00807D54"/>
    <w:rsid w:val="008100F4"/>
    <w:rsid w:val="0081101B"/>
    <w:rsid w:val="008151B7"/>
    <w:rsid w:val="0081773A"/>
    <w:rsid w:val="00820F04"/>
    <w:rsid w:val="008228C6"/>
    <w:rsid w:val="00822E89"/>
    <w:rsid w:val="00824AAC"/>
    <w:rsid w:val="00825440"/>
    <w:rsid w:val="00831DED"/>
    <w:rsid w:val="00833BFC"/>
    <w:rsid w:val="0083731C"/>
    <w:rsid w:val="0084011B"/>
    <w:rsid w:val="00840C55"/>
    <w:rsid w:val="00842094"/>
    <w:rsid w:val="008423CF"/>
    <w:rsid w:val="00845882"/>
    <w:rsid w:val="008517FB"/>
    <w:rsid w:val="008607BE"/>
    <w:rsid w:val="008622D6"/>
    <w:rsid w:val="00862305"/>
    <w:rsid w:val="00863135"/>
    <w:rsid w:val="008652FE"/>
    <w:rsid w:val="008653D3"/>
    <w:rsid w:val="00866FB4"/>
    <w:rsid w:val="0087097B"/>
    <w:rsid w:val="00871E78"/>
    <w:rsid w:val="00873030"/>
    <w:rsid w:val="00876553"/>
    <w:rsid w:val="00877337"/>
    <w:rsid w:val="0087752B"/>
    <w:rsid w:val="00880725"/>
    <w:rsid w:val="00887CF5"/>
    <w:rsid w:val="00892CC1"/>
    <w:rsid w:val="0089320B"/>
    <w:rsid w:val="0089480C"/>
    <w:rsid w:val="00896DBB"/>
    <w:rsid w:val="00896EF3"/>
    <w:rsid w:val="00897B06"/>
    <w:rsid w:val="00897E03"/>
    <w:rsid w:val="008A0EE3"/>
    <w:rsid w:val="008B1456"/>
    <w:rsid w:val="008B14E1"/>
    <w:rsid w:val="008B1775"/>
    <w:rsid w:val="008B34EE"/>
    <w:rsid w:val="008B64E6"/>
    <w:rsid w:val="008B6A61"/>
    <w:rsid w:val="008C30D0"/>
    <w:rsid w:val="008C3EE9"/>
    <w:rsid w:val="008C56EB"/>
    <w:rsid w:val="008C584E"/>
    <w:rsid w:val="008D16E6"/>
    <w:rsid w:val="008D619B"/>
    <w:rsid w:val="008D6678"/>
    <w:rsid w:val="008D7527"/>
    <w:rsid w:val="008E2231"/>
    <w:rsid w:val="008E2D07"/>
    <w:rsid w:val="008E57A4"/>
    <w:rsid w:val="008E63C9"/>
    <w:rsid w:val="008E7A76"/>
    <w:rsid w:val="008F02AE"/>
    <w:rsid w:val="008F15FA"/>
    <w:rsid w:val="008F5066"/>
    <w:rsid w:val="008F7B16"/>
    <w:rsid w:val="009020C3"/>
    <w:rsid w:val="009062C4"/>
    <w:rsid w:val="00906C0D"/>
    <w:rsid w:val="0090761D"/>
    <w:rsid w:val="00912428"/>
    <w:rsid w:val="009124BE"/>
    <w:rsid w:val="009134B8"/>
    <w:rsid w:val="00920CE5"/>
    <w:rsid w:val="00923CC9"/>
    <w:rsid w:val="00924430"/>
    <w:rsid w:val="00930359"/>
    <w:rsid w:val="009328FC"/>
    <w:rsid w:val="00935F74"/>
    <w:rsid w:val="009407D8"/>
    <w:rsid w:val="00943CF5"/>
    <w:rsid w:val="009471A5"/>
    <w:rsid w:val="00947552"/>
    <w:rsid w:val="00952D4C"/>
    <w:rsid w:val="00956DC2"/>
    <w:rsid w:val="009601E2"/>
    <w:rsid w:val="009622CD"/>
    <w:rsid w:val="009648D5"/>
    <w:rsid w:val="00964D83"/>
    <w:rsid w:val="00966193"/>
    <w:rsid w:val="00967761"/>
    <w:rsid w:val="0097615E"/>
    <w:rsid w:val="00981FBC"/>
    <w:rsid w:val="00990332"/>
    <w:rsid w:val="00990896"/>
    <w:rsid w:val="009A27A1"/>
    <w:rsid w:val="009A347E"/>
    <w:rsid w:val="009A39EF"/>
    <w:rsid w:val="009A3C8F"/>
    <w:rsid w:val="009A501D"/>
    <w:rsid w:val="009A6FBA"/>
    <w:rsid w:val="009B1217"/>
    <w:rsid w:val="009B12BB"/>
    <w:rsid w:val="009B2268"/>
    <w:rsid w:val="009B2745"/>
    <w:rsid w:val="009B29AA"/>
    <w:rsid w:val="009B392B"/>
    <w:rsid w:val="009B774A"/>
    <w:rsid w:val="009B790D"/>
    <w:rsid w:val="009C0376"/>
    <w:rsid w:val="009C2D57"/>
    <w:rsid w:val="009C5D0E"/>
    <w:rsid w:val="009C63F3"/>
    <w:rsid w:val="009C6A9B"/>
    <w:rsid w:val="009C7AFD"/>
    <w:rsid w:val="009C7CE6"/>
    <w:rsid w:val="009D16E1"/>
    <w:rsid w:val="009D195B"/>
    <w:rsid w:val="009D23B1"/>
    <w:rsid w:val="009D263F"/>
    <w:rsid w:val="009D5007"/>
    <w:rsid w:val="009D643C"/>
    <w:rsid w:val="009D790F"/>
    <w:rsid w:val="009D7C35"/>
    <w:rsid w:val="009E0D84"/>
    <w:rsid w:val="009E1128"/>
    <w:rsid w:val="009E2823"/>
    <w:rsid w:val="009E60A0"/>
    <w:rsid w:val="009F4CFE"/>
    <w:rsid w:val="009F67A8"/>
    <w:rsid w:val="00A028AA"/>
    <w:rsid w:val="00A04934"/>
    <w:rsid w:val="00A10E9E"/>
    <w:rsid w:val="00A11B98"/>
    <w:rsid w:val="00A130BF"/>
    <w:rsid w:val="00A13BA9"/>
    <w:rsid w:val="00A17680"/>
    <w:rsid w:val="00A268FB"/>
    <w:rsid w:val="00A306C3"/>
    <w:rsid w:val="00A31290"/>
    <w:rsid w:val="00A32E25"/>
    <w:rsid w:val="00A33C81"/>
    <w:rsid w:val="00A3492C"/>
    <w:rsid w:val="00A408DE"/>
    <w:rsid w:val="00A411A8"/>
    <w:rsid w:val="00A42FAB"/>
    <w:rsid w:val="00A43E82"/>
    <w:rsid w:val="00A44585"/>
    <w:rsid w:val="00A45973"/>
    <w:rsid w:val="00A50C4F"/>
    <w:rsid w:val="00A50EBC"/>
    <w:rsid w:val="00A543CE"/>
    <w:rsid w:val="00A56884"/>
    <w:rsid w:val="00A60514"/>
    <w:rsid w:val="00A62350"/>
    <w:rsid w:val="00A62726"/>
    <w:rsid w:val="00A62D3F"/>
    <w:rsid w:val="00A650F3"/>
    <w:rsid w:val="00A723E4"/>
    <w:rsid w:val="00A73759"/>
    <w:rsid w:val="00A75CC7"/>
    <w:rsid w:val="00A80943"/>
    <w:rsid w:val="00A812AF"/>
    <w:rsid w:val="00A81C92"/>
    <w:rsid w:val="00A83237"/>
    <w:rsid w:val="00A8373A"/>
    <w:rsid w:val="00A83E96"/>
    <w:rsid w:val="00A91307"/>
    <w:rsid w:val="00A93F39"/>
    <w:rsid w:val="00A9489F"/>
    <w:rsid w:val="00A95159"/>
    <w:rsid w:val="00A962ED"/>
    <w:rsid w:val="00A96F04"/>
    <w:rsid w:val="00A97DEA"/>
    <w:rsid w:val="00AA12D8"/>
    <w:rsid w:val="00AA1D58"/>
    <w:rsid w:val="00AA3597"/>
    <w:rsid w:val="00AA571C"/>
    <w:rsid w:val="00AA6670"/>
    <w:rsid w:val="00AA76C3"/>
    <w:rsid w:val="00AB315A"/>
    <w:rsid w:val="00AB46B0"/>
    <w:rsid w:val="00AB665C"/>
    <w:rsid w:val="00AB7911"/>
    <w:rsid w:val="00AC16AD"/>
    <w:rsid w:val="00AC35F5"/>
    <w:rsid w:val="00AC694D"/>
    <w:rsid w:val="00AD0A18"/>
    <w:rsid w:val="00AD2538"/>
    <w:rsid w:val="00AD5D18"/>
    <w:rsid w:val="00AD7544"/>
    <w:rsid w:val="00AE29DA"/>
    <w:rsid w:val="00AE34C4"/>
    <w:rsid w:val="00AE4237"/>
    <w:rsid w:val="00AE4516"/>
    <w:rsid w:val="00AE51B1"/>
    <w:rsid w:val="00AF1241"/>
    <w:rsid w:val="00AF23F4"/>
    <w:rsid w:val="00AF2782"/>
    <w:rsid w:val="00AF7997"/>
    <w:rsid w:val="00B02B9B"/>
    <w:rsid w:val="00B04642"/>
    <w:rsid w:val="00B04AD2"/>
    <w:rsid w:val="00B10061"/>
    <w:rsid w:val="00B131C1"/>
    <w:rsid w:val="00B142E4"/>
    <w:rsid w:val="00B21E05"/>
    <w:rsid w:val="00B228AA"/>
    <w:rsid w:val="00B22D92"/>
    <w:rsid w:val="00B2557D"/>
    <w:rsid w:val="00B31F52"/>
    <w:rsid w:val="00B323E2"/>
    <w:rsid w:val="00B42B26"/>
    <w:rsid w:val="00B435E4"/>
    <w:rsid w:val="00B4776A"/>
    <w:rsid w:val="00B47DCA"/>
    <w:rsid w:val="00B532BD"/>
    <w:rsid w:val="00B544DF"/>
    <w:rsid w:val="00B54B30"/>
    <w:rsid w:val="00B5740E"/>
    <w:rsid w:val="00B61B77"/>
    <w:rsid w:val="00B6312B"/>
    <w:rsid w:val="00B63B5D"/>
    <w:rsid w:val="00B644D5"/>
    <w:rsid w:val="00B646C2"/>
    <w:rsid w:val="00B72560"/>
    <w:rsid w:val="00B747A3"/>
    <w:rsid w:val="00B74E20"/>
    <w:rsid w:val="00B778A0"/>
    <w:rsid w:val="00B825B4"/>
    <w:rsid w:val="00B83E08"/>
    <w:rsid w:val="00B84485"/>
    <w:rsid w:val="00B85A9C"/>
    <w:rsid w:val="00B861B4"/>
    <w:rsid w:val="00B87643"/>
    <w:rsid w:val="00B92332"/>
    <w:rsid w:val="00B93C7A"/>
    <w:rsid w:val="00B9799B"/>
    <w:rsid w:val="00B97E61"/>
    <w:rsid w:val="00BA37AB"/>
    <w:rsid w:val="00BA5B0F"/>
    <w:rsid w:val="00BA6963"/>
    <w:rsid w:val="00BB113B"/>
    <w:rsid w:val="00BB32EA"/>
    <w:rsid w:val="00BB645D"/>
    <w:rsid w:val="00BB6B6E"/>
    <w:rsid w:val="00BC105F"/>
    <w:rsid w:val="00BC1616"/>
    <w:rsid w:val="00BC2027"/>
    <w:rsid w:val="00BC5AEC"/>
    <w:rsid w:val="00BC7492"/>
    <w:rsid w:val="00BD671A"/>
    <w:rsid w:val="00BE1754"/>
    <w:rsid w:val="00BE2876"/>
    <w:rsid w:val="00BE3FCD"/>
    <w:rsid w:val="00BE4430"/>
    <w:rsid w:val="00BE469A"/>
    <w:rsid w:val="00BE4D5B"/>
    <w:rsid w:val="00BE561A"/>
    <w:rsid w:val="00BE6386"/>
    <w:rsid w:val="00BE6B5C"/>
    <w:rsid w:val="00BF4D87"/>
    <w:rsid w:val="00BF4E55"/>
    <w:rsid w:val="00BF5F2A"/>
    <w:rsid w:val="00BF6B40"/>
    <w:rsid w:val="00C003C5"/>
    <w:rsid w:val="00C022F9"/>
    <w:rsid w:val="00C02519"/>
    <w:rsid w:val="00C04B33"/>
    <w:rsid w:val="00C0651E"/>
    <w:rsid w:val="00C065F6"/>
    <w:rsid w:val="00C12ACE"/>
    <w:rsid w:val="00C13BB8"/>
    <w:rsid w:val="00C150ED"/>
    <w:rsid w:val="00C2453B"/>
    <w:rsid w:val="00C31B38"/>
    <w:rsid w:val="00C33358"/>
    <w:rsid w:val="00C343C0"/>
    <w:rsid w:val="00C37E0D"/>
    <w:rsid w:val="00C416EC"/>
    <w:rsid w:val="00C463CA"/>
    <w:rsid w:val="00C46CF0"/>
    <w:rsid w:val="00C472DC"/>
    <w:rsid w:val="00C503D3"/>
    <w:rsid w:val="00C51340"/>
    <w:rsid w:val="00C53DB4"/>
    <w:rsid w:val="00C62C5D"/>
    <w:rsid w:val="00C63BD3"/>
    <w:rsid w:val="00C63E3B"/>
    <w:rsid w:val="00C65793"/>
    <w:rsid w:val="00C66CB8"/>
    <w:rsid w:val="00C70B42"/>
    <w:rsid w:val="00C732E4"/>
    <w:rsid w:val="00C76A59"/>
    <w:rsid w:val="00C8008C"/>
    <w:rsid w:val="00C80921"/>
    <w:rsid w:val="00C83DBD"/>
    <w:rsid w:val="00C84903"/>
    <w:rsid w:val="00C859C9"/>
    <w:rsid w:val="00C85C62"/>
    <w:rsid w:val="00C87166"/>
    <w:rsid w:val="00C93C93"/>
    <w:rsid w:val="00C93E18"/>
    <w:rsid w:val="00C94B23"/>
    <w:rsid w:val="00C95D24"/>
    <w:rsid w:val="00CA6C9D"/>
    <w:rsid w:val="00CB06DF"/>
    <w:rsid w:val="00CB33DD"/>
    <w:rsid w:val="00CB6337"/>
    <w:rsid w:val="00CB73D2"/>
    <w:rsid w:val="00CC6BEB"/>
    <w:rsid w:val="00CD1631"/>
    <w:rsid w:val="00CD33D2"/>
    <w:rsid w:val="00CD3BC0"/>
    <w:rsid w:val="00CD4802"/>
    <w:rsid w:val="00CD49AE"/>
    <w:rsid w:val="00CD57CA"/>
    <w:rsid w:val="00CD6120"/>
    <w:rsid w:val="00CE35A3"/>
    <w:rsid w:val="00CE3BD9"/>
    <w:rsid w:val="00CE56E8"/>
    <w:rsid w:val="00CF31CB"/>
    <w:rsid w:val="00CF4F5E"/>
    <w:rsid w:val="00CF52C1"/>
    <w:rsid w:val="00CF5DE6"/>
    <w:rsid w:val="00CF6D67"/>
    <w:rsid w:val="00CF7A3C"/>
    <w:rsid w:val="00D01BA5"/>
    <w:rsid w:val="00D05D37"/>
    <w:rsid w:val="00D07F7D"/>
    <w:rsid w:val="00D1032B"/>
    <w:rsid w:val="00D1272E"/>
    <w:rsid w:val="00D17A8F"/>
    <w:rsid w:val="00D20DAF"/>
    <w:rsid w:val="00D2429B"/>
    <w:rsid w:val="00D24F29"/>
    <w:rsid w:val="00D312F8"/>
    <w:rsid w:val="00D3137B"/>
    <w:rsid w:val="00D41EF7"/>
    <w:rsid w:val="00D46CA3"/>
    <w:rsid w:val="00D47121"/>
    <w:rsid w:val="00D50FAD"/>
    <w:rsid w:val="00D52DF2"/>
    <w:rsid w:val="00D53820"/>
    <w:rsid w:val="00D54E88"/>
    <w:rsid w:val="00D62427"/>
    <w:rsid w:val="00D63ABD"/>
    <w:rsid w:val="00D63D9D"/>
    <w:rsid w:val="00D63DD2"/>
    <w:rsid w:val="00D64A97"/>
    <w:rsid w:val="00D6561B"/>
    <w:rsid w:val="00D65CD1"/>
    <w:rsid w:val="00D65CE6"/>
    <w:rsid w:val="00D6626A"/>
    <w:rsid w:val="00D72F62"/>
    <w:rsid w:val="00D7672D"/>
    <w:rsid w:val="00D8457B"/>
    <w:rsid w:val="00D85430"/>
    <w:rsid w:val="00D862B8"/>
    <w:rsid w:val="00D902E6"/>
    <w:rsid w:val="00D9163A"/>
    <w:rsid w:val="00D924A8"/>
    <w:rsid w:val="00D93A03"/>
    <w:rsid w:val="00D966EA"/>
    <w:rsid w:val="00D97936"/>
    <w:rsid w:val="00DA1480"/>
    <w:rsid w:val="00DA1F76"/>
    <w:rsid w:val="00DA4A00"/>
    <w:rsid w:val="00DA4AE1"/>
    <w:rsid w:val="00DA71B8"/>
    <w:rsid w:val="00DB16E8"/>
    <w:rsid w:val="00DB31EB"/>
    <w:rsid w:val="00DB6715"/>
    <w:rsid w:val="00DB71A3"/>
    <w:rsid w:val="00DC2E21"/>
    <w:rsid w:val="00DC41DE"/>
    <w:rsid w:val="00DC4EE6"/>
    <w:rsid w:val="00DC55BE"/>
    <w:rsid w:val="00DC6D1A"/>
    <w:rsid w:val="00DC7AA9"/>
    <w:rsid w:val="00DD2888"/>
    <w:rsid w:val="00DD38D4"/>
    <w:rsid w:val="00DD4264"/>
    <w:rsid w:val="00DD4729"/>
    <w:rsid w:val="00DD4EA2"/>
    <w:rsid w:val="00DE0AAE"/>
    <w:rsid w:val="00DE21ED"/>
    <w:rsid w:val="00DE32FC"/>
    <w:rsid w:val="00DE3D36"/>
    <w:rsid w:val="00DE725D"/>
    <w:rsid w:val="00DF1CC4"/>
    <w:rsid w:val="00DF297A"/>
    <w:rsid w:val="00DF5527"/>
    <w:rsid w:val="00E0084F"/>
    <w:rsid w:val="00E051EC"/>
    <w:rsid w:val="00E05E6B"/>
    <w:rsid w:val="00E11AC7"/>
    <w:rsid w:val="00E170D8"/>
    <w:rsid w:val="00E1774F"/>
    <w:rsid w:val="00E2071E"/>
    <w:rsid w:val="00E20810"/>
    <w:rsid w:val="00E223F4"/>
    <w:rsid w:val="00E2704C"/>
    <w:rsid w:val="00E30C68"/>
    <w:rsid w:val="00E32D57"/>
    <w:rsid w:val="00E368E2"/>
    <w:rsid w:val="00E36A0C"/>
    <w:rsid w:val="00E36A2D"/>
    <w:rsid w:val="00E37861"/>
    <w:rsid w:val="00E417E5"/>
    <w:rsid w:val="00E46253"/>
    <w:rsid w:val="00E54E0B"/>
    <w:rsid w:val="00E5777F"/>
    <w:rsid w:val="00E577FA"/>
    <w:rsid w:val="00E61540"/>
    <w:rsid w:val="00E64F11"/>
    <w:rsid w:val="00E67E18"/>
    <w:rsid w:val="00E67FBB"/>
    <w:rsid w:val="00E7283E"/>
    <w:rsid w:val="00E74F3D"/>
    <w:rsid w:val="00E801FD"/>
    <w:rsid w:val="00E83BAC"/>
    <w:rsid w:val="00E84F8D"/>
    <w:rsid w:val="00E84FF9"/>
    <w:rsid w:val="00E852D5"/>
    <w:rsid w:val="00E87CEC"/>
    <w:rsid w:val="00E910BB"/>
    <w:rsid w:val="00E91D72"/>
    <w:rsid w:val="00E95C25"/>
    <w:rsid w:val="00E97CE1"/>
    <w:rsid w:val="00E97F13"/>
    <w:rsid w:val="00EA0F17"/>
    <w:rsid w:val="00EA2403"/>
    <w:rsid w:val="00EA3E22"/>
    <w:rsid w:val="00EA5678"/>
    <w:rsid w:val="00EA7C97"/>
    <w:rsid w:val="00EB5B2A"/>
    <w:rsid w:val="00EC40D3"/>
    <w:rsid w:val="00EC64B8"/>
    <w:rsid w:val="00ED01BB"/>
    <w:rsid w:val="00ED0907"/>
    <w:rsid w:val="00ED5555"/>
    <w:rsid w:val="00ED5E4F"/>
    <w:rsid w:val="00ED741C"/>
    <w:rsid w:val="00ED78A6"/>
    <w:rsid w:val="00EE2B6E"/>
    <w:rsid w:val="00EE4833"/>
    <w:rsid w:val="00EE50AE"/>
    <w:rsid w:val="00EF110D"/>
    <w:rsid w:val="00EF2BE8"/>
    <w:rsid w:val="00EF3875"/>
    <w:rsid w:val="00EF3ED7"/>
    <w:rsid w:val="00EF4FBF"/>
    <w:rsid w:val="00EF55CC"/>
    <w:rsid w:val="00EF69DE"/>
    <w:rsid w:val="00F01D00"/>
    <w:rsid w:val="00F02EAA"/>
    <w:rsid w:val="00F03428"/>
    <w:rsid w:val="00F03A71"/>
    <w:rsid w:val="00F04729"/>
    <w:rsid w:val="00F04C54"/>
    <w:rsid w:val="00F1309D"/>
    <w:rsid w:val="00F130BB"/>
    <w:rsid w:val="00F15D96"/>
    <w:rsid w:val="00F22935"/>
    <w:rsid w:val="00F25AFD"/>
    <w:rsid w:val="00F333E9"/>
    <w:rsid w:val="00F3727B"/>
    <w:rsid w:val="00F37768"/>
    <w:rsid w:val="00F41A63"/>
    <w:rsid w:val="00F429E3"/>
    <w:rsid w:val="00F5304F"/>
    <w:rsid w:val="00F55306"/>
    <w:rsid w:val="00F55855"/>
    <w:rsid w:val="00F55F36"/>
    <w:rsid w:val="00F56553"/>
    <w:rsid w:val="00F5671D"/>
    <w:rsid w:val="00F6641D"/>
    <w:rsid w:val="00F672D4"/>
    <w:rsid w:val="00F673CB"/>
    <w:rsid w:val="00F6788F"/>
    <w:rsid w:val="00F67AFC"/>
    <w:rsid w:val="00F703BB"/>
    <w:rsid w:val="00F75179"/>
    <w:rsid w:val="00F76BA4"/>
    <w:rsid w:val="00F80870"/>
    <w:rsid w:val="00F82097"/>
    <w:rsid w:val="00F829D1"/>
    <w:rsid w:val="00F82F27"/>
    <w:rsid w:val="00F83E2F"/>
    <w:rsid w:val="00F85393"/>
    <w:rsid w:val="00F86D9F"/>
    <w:rsid w:val="00F935CC"/>
    <w:rsid w:val="00FA0B2E"/>
    <w:rsid w:val="00FA0C6F"/>
    <w:rsid w:val="00FA2743"/>
    <w:rsid w:val="00FA27AA"/>
    <w:rsid w:val="00FA47DE"/>
    <w:rsid w:val="00FA47E2"/>
    <w:rsid w:val="00FA4C7C"/>
    <w:rsid w:val="00FA6424"/>
    <w:rsid w:val="00FA6697"/>
    <w:rsid w:val="00FA676A"/>
    <w:rsid w:val="00FB5877"/>
    <w:rsid w:val="00FB653F"/>
    <w:rsid w:val="00FB6D99"/>
    <w:rsid w:val="00FC1759"/>
    <w:rsid w:val="00FC4EB6"/>
    <w:rsid w:val="00FC6EA9"/>
    <w:rsid w:val="00FC74A5"/>
    <w:rsid w:val="00FD146E"/>
    <w:rsid w:val="00FD1D57"/>
    <w:rsid w:val="00FD2DE5"/>
    <w:rsid w:val="00FD7468"/>
    <w:rsid w:val="00FE274C"/>
    <w:rsid w:val="00FE28D9"/>
    <w:rsid w:val="00FE47BE"/>
    <w:rsid w:val="00FE64BC"/>
    <w:rsid w:val="00FF1791"/>
    <w:rsid w:val="00FF1C33"/>
    <w:rsid w:val="00FF301B"/>
    <w:rsid w:val="00FF4FC8"/>
    <w:rsid w:val="00FF60C1"/>
    <w:rsid w:val="03722B54"/>
    <w:rsid w:val="09B1A599"/>
    <w:rsid w:val="0C556024"/>
    <w:rsid w:val="0F1735D5"/>
    <w:rsid w:val="0FFFC840"/>
    <w:rsid w:val="13D834D0"/>
    <w:rsid w:val="17E72B92"/>
    <w:rsid w:val="1881A57C"/>
    <w:rsid w:val="18C3E484"/>
    <w:rsid w:val="201E1435"/>
    <w:rsid w:val="23EEB918"/>
    <w:rsid w:val="250FC047"/>
    <w:rsid w:val="2647225F"/>
    <w:rsid w:val="274275C9"/>
    <w:rsid w:val="292F9EE4"/>
    <w:rsid w:val="29401826"/>
    <w:rsid w:val="2FCAF73B"/>
    <w:rsid w:val="33A84ED4"/>
    <w:rsid w:val="36140DDE"/>
    <w:rsid w:val="3696EFA6"/>
    <w:rsid w:val="3830F453"/>
    <w:rsid w:val="399FBB62"/>
    <w:rsid w:val="3E018A81"/>
    <w:rsid w:val="3F666492"/>
    <w:rsid w:val="411159F8"/>
    <w:rsid w:val="427B9B38"/>
    <w:rsid w:val="430441CE"/>
    <w:rsid w:val="43DCB183"/>
    <w:rsid w:val="4909D624"/>
    <w:rsid w:val="49608F5A"/>
    <w:rsid w:val="4AD72D66"/>
    <w:rsid w:val="4DD9B986"/>
    <w:rsid w:val="4E34609E"/>
    <w:rsid w:val="50506D0F"/>
    <w:rsid w:val="51A24D02"/>
    <w:rsid w:val="54CEF1E7"/>
    <w:rsid w:val="5992E115"/>
    <w:rsid w:val="5F78E43A"/>
    <w:rsid w:val="60051069"/>
    <w:rsid w:val="646EAFD7"/>
    <w:rsid w:val="677AB05D"/>
    <w:rsid w:val="6D9D084C"/>
    <w:rsid w:val="75FF4A11"/>
    <w:rsid w:val="78976982"/>
    <w:rsid w:val="7C99A0D5"/>
    <w:rsid w:val="7F46450D"/>
    <w:rsid w:val="7F49C1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62B1A"/>
  <w15:docId w15:val="{E4F50BD9-47FF-4AE7-824C-BB0AB24A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32"/>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6301DF"/>
    <w:pPr>
      <w:widowControl w:val="0"/>
      <w:spacing w:before="2880"/>
      <w:contextualSpacing/>
      <w:outlineLvl w:val="0"/>
    </w:pPr>
    <w:rPr>
      <w:rFonts w:ascii="Calibri" w:eastAsiaTheme="minorHAnsi" w:hAnsi="Calibri" w:cstheme="minorBidi"/>
      <w:b/>
      <w:bCs/>
      <w:spacing w:val="5"/>
      <w:kern w:val="28"/>
      <w:sz w:val="68"/>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6301DF"/>
    <w:rPr>
      <w:rFonts w:ascii="Calibri" w:eastAsiaTheme="minorHAnsi" w:hAnsi="Calibri" w:cstheme="minorBidi"/>
      <w:b/>
      <w:bCs/>
      <w:spacing w:val="5"/>
      <w:kern w:val="28"/>
      <w:sz w:val="68"/>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Pr>
    <w:tcPr>
      <w:tcBorders>
        <w:left w:val="nil"/>
        <w:right w:val="nil"/>
      </w:tcBorders>
      <w:shd w:val="clear" w:color="auto" w:fill="FDE4D0"/>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character" w:styleId="Mention">
    <w:name w:val="Mention"/>
    <w:basedOn w:val="DefaultParagraphFont"/>
    <w:uiPriority w:val="99"/>
    <w:unhideWhenUsed/>
    <w:rsid w:val="00F85393"/>
    <w:rPr>
      <w:color w:val="2B579A"/>
      <w:shd w:val="clear" w:color="auto" w:fill="E1DFDD"/>
    </w:rPr>
  </w:style>
  <w:style w:type="paragraph" w:styleId="Revision">
    <w:name w:val="Revision"/>
    <w:hidden/>
    <w:uiPriority w:val="99"/>
    <w:semiHidden/>
    <w:rsid w:val="00F5585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2024-25" TargetMode="External"/><Relationship Id="rId18" Type="http://schemas.openxmlformats.org/officeDocument/2006/relationships/footer" Target="footer2.xml"/><Relationship Id="rId26" Type="http://schemas.openxmlformats.org/officeDocument/2006/relationships/hyperlink" Target="https://www.agriculture.gov.au/sites/default/files/documents/budget_2020-21_busting-congestion-for-agricultural-exporters.pdf" TargetMode="External"/><Relationship Id="rId3" Type="http://schemas.openxmlformats.org/officeDocument/2006/relationships/customXml" Target="../customXml/item3.xml"/><Relationship Id="rId21" Type="http://schemas.openxmlformats.org/officeDocument/2006/relationships/hyperlink" Target="https://www.agriculture.gov.au/abares/research-topics/agricultural-outlook/december-202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sites/default/files/documents/FINAL-MYEFO-FACTSHEET-Ag%20Exports_CLEAN%20201223.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about/reporting/annual-repo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about/fees/cost-recover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finance.gov.au/government/managing-commonwealth-resources/implementing-charging-framework-rmg-302/what-australian-government-charging-framework" TargetMode="External"/><Relationship Id="rId27"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df769d-5b78-4b74-ba7e-b67d70b873cd">
      <Terms xmlns="http://schemas.microsoft.com/office/infopath/2007/PartnerControls"/>
    </lcf76f155ced4ddcb4097134ff3c332f>
    <Comments_x002f_updates xmlns="f3df769d-5b78-4b74-ba7e-b67d70b873cd">Accessibility checks complete - DP 4 DEC 2025</Comments_x002f_updates>
    <TaxCatchAll xmlns="81c01dc6-2c49-4730-b140-874c95cac377" xsi:nil="true"/>
    <Status xmlns="f3df769d-5b78-4b74-ba7e-b67d70b873cd" xsi:nil="true"/>
    <DueDate xmlns="f3df769d-5b78-4b74-ba7e-b67d70b873cd" xsi:nil="true"/>
    <DateSent xmlns="f3df769d-5b78-4b74-ba7e-b67d70b873cd" xsi:nil="true"/>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5EAA482D0E876B429E1975836BEF7054" ma:contentTypeVersion="16" ma:contentTypeDescription="Create a new document." ma:contentTypeScope="" ma:versionID="5c7a32f41b0e5e1e3eceb275a866818b">
  <xsd:schema xmlns:xsd="http://www.w3.org/2001/XMLSchema" xmlns:xs="http://www.w3.org/2001/XMLSchema" xmlns:p="http://schemas.microsoft.com/office/2006/metadata/properties" xmlns:ns2="f3df769d-5b78-4b74-ba7e-b67d70b873cd" xmlns:ns3="81c01dc6-2c49-4730-b140-874c95cac377" targetNamespace="http://schemas.microsoft.com/office/2006/metadata/properties" ma:root="true" ma:fieldsID="2be912d884e27ab26f1f056f1e13697a" ns2:_="" ns3:_="">
    <xsd:import namespace="f3df769d-5b78-4b74-ba7e-b67d70b873c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_x002f_updates" minOccurs="0"/>
                <xsd:element ref="ns2:DueDate" minOccurs="0"/>
                <xsd:element ref="ns2:Status" minOccurs="0"/>
                <xsd:element ref="ns2:Date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f769d-5b78-4b74-ba7e-b67d70b87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_x002f_updates" ma:index="20" nillable="true" ma:displayName="Comments/updates" ma:format="Dropdown" ma:internalName="Comments_x002f_updates">
      <xsd:simpleType>
        <xsd:restriction base="dms:Text">
          <xsd:maxLength value="255"/>
        </xsd:restriction>
      </xsd:simpleType>
    </xsd:element>
    <xsd:element name="DueDate" ma:index="21" nillable="true" ma:displayName="Due Date" ma:format="DateOnly" ma:internalName="DueDate">
      <xsd:simpleType>
        <xsd:restriction base="dms:DateTime"/>
      </xsd:simpleType>
    </xsd:element>
    <xsd:element name="Status" ma:index="22" nillable="true" ma:displayName="Status" ma:format="Dropdown" ma:internalName="Status">
      <xsd:simpleType>
        <xsd:restriction base="dms:Choice">
          <xsd:enumeration value="Sent"/>
          <xsd:enumeration value="Not Yet Sent"/>
        </xsd:restriction>
      </xsd:simpleType>
    </xsd:element>
    <xsd:element name="DateSent" ma:index="23" nillable="true" ma:displayName="Date Sent" ma:format="DateOnly" ma:internalName="DateS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493739-0860-4f17-89c6-185cf26ffdd5}" ma:internalName="TaxCatchAll" ma:showField="CatchAllData" ma:web="ecc73639-f59d-459f-b974-da85c21a2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purl.org/dc/terms/"/>
    <ds:schemaRef ds:uri="81c01dc6-2c49-4730-b140-874c95cac377"/>
    <ds:schemaRef ds:uri="http://schemas.openxmlformats.org/package/2006/metadata/core-properties"/>
    <ds:schemaRef ds:uri="f3df769d-5b78-4b74-ba7e-b67d70b873cd"/>
    <ds:schemaRef ds:uri="http://schemas.microsoft.com/office/2006/metadata/properties"/>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B95BBEA6-F381-4345-811F-8410E20F1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f769d-5b78-4b74-ba7e-b67d70b873c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471</TotalTime>
  <Pages>17</Pages>
  <Words>4543</Words>
  <Characters>25897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Horticulture export cost recovery arrangement: financial performance 2024-25</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Horticulture export cost recovery arrangement: financial performance 2024-25</dc:title>
  <dc:subject/>
  <dc:creator>Department of Agriculture, Fisheries and Forestry</dc:creator>
  <cp:keywords/>
  <cp:lastModifiedBy>Premkumar, Dharsh</cp:lastModifiedBy>
  <cp:revision>241</cp:revision>
  <cp:lastPrinted>2026-01-26T22:25:00Z</cp:lastPrinted>
  <dcterms:created xsi:type="dcterms:W3CDTF">2025-12-01T22:06:00Z</dcterms:created>
  <dcterms:modified xsi:type="dcterms:W3CDTF">2026-01-26T22:25:00Z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0x0101005EAA482D0E876B429E1975836BEF7054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_dlc_DocIdItemGuid">
    <vt:lpwstr>3cae5409-af28-4f03-a58b-b837918f387d</vt:lpwstr>
  </property>
</Properties>
</file>