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F1AD" w14:textId="41D91470" w:rsidR="00E73E1C" w:rsidRDefault="009E70DC">
      <w:pPr>
        <w:pStyle w:val="Heading1"/>
      </w:pPr>
      <w:r>
        <w:t>Imported Inorganic Fertiliser Policy Changes</w:t>
      </w:r>
      <w:r w:rsidR="001423FB">
        <w:t xml:space="preserve"> (from 30 April 2026)</w:t>
      </w:r>
    </w:p>
    <w:p w14:paraId="4D20F3AE" w14:textId="6C376FF3" w:rsidR="0075369F" w:rsidRDefault="0075369F">
      <w:r>
        <w:rPr>
          <w:b/>
          <w:bCs/>
        </w:rPr>
        <w:t>1</w:t>
      </w:r>
      <w:r w:rsidR="001423FB">
        <w:rPr>
          <w:b/>
          <w:bCs/>
        </w:rPr>
        <w:t>6</w:t>
      </w:r>
      <w:r>
        <w:rPr>
          <w:b/>
          <w:bCs/>
        </w:rPr>
        <w:t xml:space="preserve"> April 2026</w:t>
      </w:r>
    </w:p>
    <w:p w14:paraId="71C1F1AF" w14:textId="77777777" w:rsidR="00E73E1C" w:rsidRDefault="00E73E1C">
      <w:pPr>
        <w:pBdr>
          <w:top w:val="single" w:sz="12" w:space="0" w:color="auto"/>
        </w:pBdr>
        <w:spacing w:after="0"/>
      </w:pPr>
    </w:p>
    <w:p w14:paraId="71C1F1B0" w14:textId="77777777" w:rsidR="00E73E1C" w:rsidRDefault="009E70DC">
      <w:pPr>
        <w:pStyle w:val="Heading2"/>
      </w:pPr>
      <w:r>
        <w:t>Overview</w:t>
      </w:r>
    </w:p>
    <w:p w14:paraId="71C1F1B1" w14:textId="77777777" w:rsidR="00E73E1C" w:rsidRDefault="009E70DC">
      <w:r>
        <w:t xml:space="preserve">The department manages the importation of </w:t>
      </w:r>
      <w:r>
        <w:rPr>
          <w:b/>
          <w:bCs/>
        </w:rPr>
        <w:t>inorganic (chemical and mined) fertiliser</w:t>
      </w:r>
      <w:r>
        <w:t xml:space="preserve"> through BICON import conditions and assessment and management policies. These policies enable the registration of offshore entities that can demonstrate effective biosecurity compliance.</w:t>
      </w:r>
    </w:p>
    <w:p w14:paraId="71C1F1B2" w14:textId="77777777" w:rsidR="00E73E1C" w:rsidRDefault="009E70DC">
      <w:r>
        <w:t xml:space="preserve">The previous </w:t>
      </w:r>
      <w:r>
        <w:rPr>
          <w:b/>
          <w:bCs/>
        </w:rPr>
        <w:t>bulk cargo</w:t>
      </w:r>
      <w:r>
        <w:t xml:space="preserve"> and </w:t>
      </w:r>
      <w:r>
        <w:rPr>
          <w:b/>
          <w:bCs/>
        </w:rPr>
        <w:t>containerised fertiliser</w:t>
      </w:r>
      <w:r>
        <w:t xml:space="preserve"> policies (introduced in 2004 and revised in 2005, 2010 and 2017) have now been </w:t>
      </w:r>
      <w:r>
        <w:rPr>
          <w:b/>
          <w:bCs/>
        </w:rPr>
        <w:t>combined into a single policy</w:t>
      </w:r>
      <w:r>
        <w:t xml:space="preserve"> covering both in‑ship’s‑hold and containerised consignments.</w:t>
      </w:r>
    </w:p>
    <w:p w14:paraId="71C1F1B3" w14:textId="77777777" w:rsidR="00E73E1C" w:rsidRDefault="009E70DC">
      <w:r>
        <w:t>This change reflects:</w:t>
      </w:r>
    </w:p>
    <w:p w14:paraId="71C1F1B4" w14:textId="77777777" w:rsidR="00E73E1C" w:rsidRDefault="009E70DC">
      <w:pPr>
        <w:pStyle w:val="ListParagraph"/>
        <w:numPr>
          <w:ilvl w:val="0"/>
          <w:numId w:val="2"/>
        </w:numPr>
      </w:pPr>
      <w:r>
        <w:t xml:space="preserve">Historically </w:t>
      </w:r>
      <w:r>
        <w:rPr>
          <w:b/>
          <w:bCs/>
        </w:rPr>
        <w:t>high compliance rates</w:t>
      </w:r>
    </w:p>
    <w:p w14:paraId="71C1F1B5" w14:textId="77777777" w:rsidR="00E73E1C" w:rsidRDefault="009E70DC">
      <w:pPr>
        <w:pStyle w:val="ListParagraph"/>
        <w:numPr>
          <w:ilvl w:val="0"/>
          <w:numId w:val="2"/>
        </w:numPr>
      </w:pPr>
      <w:r>
        <w:t xml:space="preserve">Strong </w:t>
      </w:r>
      <w:r>
        <w:rPr>
          <w:b/>
          <w:bCs/>
        </w:rPr>
        <w:t>industry collaboration and support</w:t>
      </w:r>
    </w:p>
    <w:p w14:paraId="71C1F1B6" w14:textId="5FEB2C3E" w:rsidR="00E73E1C" w:rsidRDefault="009E70DC">
      <w:pPr>
        <w:pStyle w:val="ListParagraph"/>
        <w:numPr>
          <w:ilvl w:val="0"/>
          <w:numId w:val="2"/>
        </w:numPr>
      </w:pPr>
      <w:r>
        <w:t xml:space="preserve">A desire to </w:t>
      </w:r>
      <w:r>
        <w:rPr>
          <w:b/>
          <w:bCs/>
        </w:rPr>
        <w:t>reduce regulatory burden</w:t>
      </w:r>
      <w:r>
        <w:t xml:space="preserve"> while maintaining biosecurity </w:t>
      </w:r>
      <w:r w:rsidR="004100A8">
        <w:t>integrity.</w:t>
      </w:r>
    </w:p>
    <w:p w14:paraId="789CD25A" w14:textId="346B2FA9" w:rsidR="001423FB" w:rsidRDefault="001423FB" w:rsidP="00282373">
      <w:pPr>
        <w:ind w:left="360"/>
      </w:pPr>
    </w:p>
    <w:p w14:paraId="71C1F1B7" w14:textId="77777777" w:rsidR="00E73E1C" w:rsidRDefault="00E73E1C">
      <w:pPr>
        <w:pBdr>
          <w:top w:val="single" w:sz="12" w:space="0" w:color="auto"/>
        </w:pBdr>
        <w:spacing w:after="0"/>
      </w:pPr>
    </w:p>
    <w:p w14:paraId="71C1F1B8" w14:textId="77777777" w:rsidR="00E73E1C" w:rsidRDefault="009E70DC">
      <w:pPr>
        <w:pStyle w:val="Heading2"/>
      </w:pPr>
      <w:r>
        <w:t>Why the Policy Has Changed</w:t>
      </w:r>
    </w:p>
    <w:p w14:paraId="71C1F1B9" w14:textId="77777777" w:rsidR="00E73E1C" w:rsidRDefault="009E70DC">
      <w:r>
        <w:t xml:space="preserve">The previous system of offshore registrations and audits was effective but </w:t>
      </w:r>
      <w:r>
        <w:rPr>
          <w:b/>
          <w:bCs/>
        </w:rPr>
        <w:t>resource intensive</w:t>
      </w:r>
      <w:r>
        <w:t xml:space="preserve"> for both industry and the department.</w:t>
      </w:r>
    </w:p>
    <w:p w14:paraId="71C1F1BA" w14:textId="25CEBE02" w:rsidR="00E73E1C" w:rsidRDefault="009E70DC">
      <w:r>
        <w:t xml:space="preserve">The updated policy </w:t>
      </w:r>
      <w:r w:rsidR="00EC4C68">
        <w:t xml:space="preserve">is intended </w:t>
      </w:r>
      <w:r>
        <w:t>to:</w:t>
      </w:r>
    </w:p>
    <w:p w14:paraId="27C23A77" w14:textId="075C089B" w:rsidR="00CE2554" w:rsidRPr="00CE2554" w:rsidRDefault="00CE2554" w:rsidP="00CE2554">
      <w:pPr>
        <w:pStyle w:val="ListParagraph"/>
        <w:numPr>
          <w:ilvl w:val="0"/>
          <w:numId w:val="21"/>
        </w:numPr>
        <w:rPr>
          <w:lang w:val="en-AU" w:eastAsia="en-AU"/>
        </w:rPr>
      </w:pPr>
      <w:r w:rsidRPr="00CE2554">
        <w:rPr>
          <w:lang w:val="en-AU" w:eastAsia="en-AU"/>
        </w:rPr>
        <w:t xml:space="preserve">Reduce duplication in offshore </w:t>
      </w:r>
      <w:proofErr w:type="gramStart"/>
      <w:r w:rsidRPr="00CE2554">
        <w:rPr>
          <w:lang w:val="en-AU" w:eastAsia="en-AU"/>
        </w:rPr>
        <w:t>registrations</w:t>
      </w:r>
      <w:proofErr w:type="gramEnd"/>
      <w:r w:rsidRPr="00CE2554">
        <w:rPr>
          <w:lang w:val="en-AU" w:eastAsia="en-AU"/>
        </w:rPr>
        <w:t xml:space="preserve"> </w:t>
      </w:r>
    </w:p>
    <w:p w14:paraId="6149A857" w14:textId="7A9ACC54" w:rsidR="00CE2554" w:rsidRPr="00CE2554" w:rsidRDefault="00CE2554" w:rsidP="00CE2554">
      <w:pPr>
        <w:pStyle w:val="ListParagraph"/>
        <w:numPr>
          <w:ilvl w:val="0"/>
          <w:numId w:val="21"/>
        </w:numPr>
        <w:rPr>
          <w:lang w:val="en-AU" w:eastAsia="en-AU"/>
        </w:rPr>
      </w:pPr>
      <w:r w:rsidRPr="00CE2554">
        <w:rPr>
          <w:lang w:val="en-AU" w:eastAsia="en-AU"/>
        </w:rPr>
        <w:t xml:space="preserve">Lower audit burden and cost </w:t>
      </w:r>
    </w:p>
    <w:p w14:paraId="61CC0BE3" w14:textId="70C2C66C" w:rsidR="00CE2554" w:rsidRPr="00CE2554" w:rsidRDefault="009300A1" w:rsidP="00CE2554">
      <w:pPr>
        <w:pStyle w:val="ListParagraph"/>
        <w:numPr>
          <w:ilvl w:val="0"/>
          <w:numId w:val="21"/>
        </w:numPr>
        <w:rPr>
          <w:lang w:val="en-AU" w:eastAsia="en-AU"/>
        </w:rPr>
      </w:pPr>
      <w:r>
        <w:rPr>
          <w:lang w:val="en-AU" w:eastAsia="en-AU"/>
        </w:rPr>
        <w:t>Increase</w:t>
      </w:r>
      <w:r w:rsidR="00CE2554" w:rsidRPr="00CE2554">
        <w:rPr>
          <w:lang w:val="en-AU" w:eastAsia="en-AU"/>
        </w:rPr>
        <w:t xml:space="preserve"> reliance on upstream assurance and sampling at </w:t>
      </w:r>
      <w:proofErr w:type="gramStart"/>
      <w:r w:rsidR="00CE2554" w:rsidRPr="00CE2554">
        <w:rPr>
          <w:lang w:val="en-AU" w:eastAsia="en-AU"/>
        </w:rPr>
        <w:t>load</w:t>
      </w:r>
      <w:proofErr w:type="gramEnd"/>
      <w:r w:rsidR="00CE2554" w:rsidRPr="00CE2554">
        <w:rPr>
          <w:lang w:val="en-AU" w:eastAsia="en-AU"/>
        </w:rPr>
        <w:t xml:space="preserve"> </w:t>
      </w:r>
    </w:p>
    <w:p w14:paraId="6BF0EE16" w14:textId="7B430C33" w:rsidR="00CE2554" w:rsidRPr="00CE2554" w:rsidRDefault="00EC4C68" w:rsidP="00CE2554">
      <w:pPr>
        <w:pStyle w:val="ListParagraph"/>
        <w:numPr>
          <w:ilvl w:val="0"/>
          <w:numId w:val="21"/>
        </w:numPr>
        <w:rPr>
          <w:lang w:val="en-AU" w:eastAsia="en-AU"/>
        </w:rPr>
      </w:pPr>
      <w:r>
        <w:rPr>
          <w:lang w:val="en-AU" w:eastAsia="en-AU"/>
        </w:rPr>
        <w:t>Provide c</w:t>
      </w:r>
      <w:r w:rsidR="00CE2554" w:rsidRPr="00CE2554">
        <w:rPr>
          <w:lang w:val="en-AU" w:eastAsia="en-AU"/>
        </w:rPr>
        <w:t xml:space="preserve">learer accountability across the supply </w:t>
      </w:r>
      <w:proofErr w:type="gramStart"/>
      <w:r w:rsidR="00CE2554" w:rsidRPr="00CE2554">
        <w:rPr>
          <w:lang w:val="en-AU" w:eastAsia="en-AU"/>
        </w:rPr>
        <w:t>chain</w:t>
      </w:r>
      <w:proofErr w:type="gramEnd"/>
      <w:r w:rsidR="00CE2554" w:rsidRPr="00CE2554">
        <w:rPr>
          <w:lang w:val="en-AU" w:eastAsia="en-AU"/>
        </w:rPr>
        <w:t xml:space="preserve"> </w:t>
      </w:r>
    </w:p>
    <w:p w14:paraId="14EAAE0B" w14:textId="3D9216E8" w:rsidR="00CE2554" w:rsidRPr="00CE2554" w:rsidRDefault="00EC4C68" w:rsidP="00CE2554">
      <w:pPr>
        <w:pStyle w:val="ListParagraph"/>
        <w:numPr>
          <w:ilvl w:val="0"/>
          <w:numId w:val="21"/>
        </w:numPr>
        <w:rPr>
          <w:lang w:val="en-AU" w:eastAsia="en-AU"/>
        </w:rPr>
      </w:pPr>
      <w:r>
        <w:rPr>
          <w:lang w:val="en-AU" w:eastAsia="en-AU"/>
        </w:rPr>
        <w:t xml:space="preserve">Maintain </w:t>
      </w:r>
      <w:r w:rsidR="00CE2554" w:rsidRPr="00CE2554">
        <w:rPr>
          <w:lang w:val="en-AU" w:eastAsia="en-AU"/>
        </w:rPr>
        <w:t xml:space="preserve">biosecurity </w:t>
      </w:r>
      <w:proofErr w:type="gramStart"/>
      <w:r w:rsidR="00CE2554" w:rsidRPr="00CE2554">
        <w:rPr>
          <w:lang w:val="en-AU" w:eastAsia="en-AU"/>
        </w:rPr>
        <w:t>standards</w:t>
      </w:r>
      <w:proofErr w:type="gramEnd"/>
    </w:p>
    <w:p w14:paraId="71C1F1BF" w14:textId="77777777" w:rsidR="00E73E1C" w:rsidRDefault="00E73E1C">
      <w:pPr>
        <w:pBdr>
          <w:top w:val="single" w:sz="12" w:space="0" w:color="auto"/>
        </w:pBdr>
        <w:spacing w:after="0"/>
      </w:pPr>
    </w:p>
    <w:p w14:paraId="71C1F1C0" w14:textId="77777777" w:rsidR="00E73E1C" w:rsidRDefault="009E70DC">
      <w:pPr>
        <w:pStyle w:val="Heading2"/>
      </w:pPr>
      <w:r>
        <w:lastRenderedPageBreak/>
        <w:t xml:space="preserve">Key Changes </w:t>
      </w:r>
      <w:proofErr w:type="gramStart"/>
      <w:r>
        <w:t>at a Glance</w:t>
      </w:r>
      <w:proofErr w:type="gramEnd"/>
    </w:p>
    <w:p w14:paraId="71C1F1C1" w14:textId="77777777" w:rsidR="00E73E1C" w:rsidRDefault="009E70DC">
      <w:pPr>
        <w:pStyle w:val="Heading3"/>
      </w:pPr>
      <w:r>
        <w:t>Vessel Classifications</w:t>
      </w:r>
    </w:p>
    <w:p w14:paraId="6E3739C3" w14:textId="50EC3B26" w:rsidR="00207A66" w:rsidRPr="00207A66" w:rsidRDefault="00207A66" w:rsidP="00207A66">
      <w:pPr>
        <w:pStyle w:val="ListParagraph"/>
        <w:numPr>
          <w:ilvl w:val="0"/>
          <w:numId w:val="17"/>
        </w:numPr>
        <w:rPr>
          <w:lang w:val="en-AU" w:eastAsia="en-AU"/>
        </w:rPr>
      </w:pPr>
      <w:r w:rsidRPr="00207A66">
        <w:rPr>
          <w:b/>
          <w:bCs/>
          <w:lang w:val="en-AU" w:eastAsia="en-AU"/>
        </w:rPr>
        <w:t>Level 1 vessel status</w:t>
      </w:r>
      <w:r w:rsidRPr="00207A66">
        <w:rPr>
          <w:lang w:val="en-AU" w:eastAsia="en-AU"/>
        </w:rPr>
        <w:t xml:space="preserve"> now requires: </w:t>
      </w:r>
    </w:p>
    <w:p w14:paraId="57AFD0E5" w14:textId="77777777" w:rsidR="00207A66" w:rsidRPr="00207A66" w:rsidRDefault="00207A66" w:rsidP="00207A66">
      <w:pPr>
        <w:pStyle w:val="ListParagraph"/>
        <w:numPr>
          <w:ilvl w:val="1"/>
          <w:numId w:val="17"/>
        </w:numPr>
        <w:rPr>
          <w:lang w:val="en-AU" w:eastAsia="en-AU"/>
        </w:rPr>
      </w:pPr>
      <w:r w:rsidRPr="00207A66">
        <w:rPr>
          <w:b/>
          <w:bCs/>
          <w:lang w:val="en-AU" w:eastAsia="en-AU"/>
        </w:rPr>
        <w:t xml:space="preserve">No actionable cargo for the last </w:t>
      </w:r>
      <w:proofErr w:type="gramStart"/>
      <w:r w:rsidRPr="00207A66">
        <w:rPr>
          <w:b/>
          <w:bCs/>
          <w:lang w:val="en-AU" w:eastAsia="en-AU"/>
        </w:rPr>
        <w:t>6</w:t>
      </w:r>
      <w:proofErr w:type="gramEnd"/>
      <w:r w:rsidRPr="00207A66">
        <w:rPr>
          <w:b/>
          <w:bCs/>
          <w:lang w:val="en-AU" w:eastAsia="en-AU"/>
        </w:rPr>
        <w:t xml:space="preserve"> voyages</w:t>
      </w:r>
      <w:r w:rsidRPr="00207A66">
        <w:rPr>
          <w:lang w:val="en-AU" w:eastAsia="en-AU"/>
        </w:rPr>
        <w:t xml:space="preserve">, replacing the previous rolling </w:t>
      </w:r>
      <w:proofErr w:type="gramStart"/>
      <w:r w:rsidRPr="00207A66">
        <w:rPr>
          <w:lang w:val="en-AU" w:eastAsia="en-AU"/>
        </w:rPr>
        <w:t>2</w:t>
      </w:r>
      <w:proofErr w:type="gramEnd"/>
      <w:r w:rsidRPr="00207A66">
        <w:rPr>
          <w:lang w:val="en-AU" w:eastAsia="en-AU"/>
        </w:rPr>
        <w:noBreakHyphen/>
        <w:t>year requirement.</w:t>
      </w:r>
    </w:p>
    <w:p w14:paraId="0EEDC021" w14:textId="47BBF75A" w:rsidR="00207A66" w:rsidRPr="00207A66" w:rsidRDefault="00207A66" w:rsidP="00207A66">
      <w:pPr>
        <w:pStyle w:val="ListParagraph"/>
        <w:numPr>
          <w:ilvl w:val="0"/>
          <w:numId w:val="17"/>
        </w:numPr>
        <w:rPr>
          <w:rFonts w:ascii="Segoe UI" w:eastAsia="Times New Roman" w:hAnsi="Segoe UI" w:cs="Segoe UI"/>
          <w:sz w:val="21"/>
          <w:szCs w:val="21"/>
          <w:lang w:val="en-AU" w:eastAsia="en-AU"/>
        </w:rPr>
      </w:pPr>
      <w:r w:rsidRPr="00207A66">
        <w:rPr>
          <w:lang w:val="en-AU" w:eastAsia="en-AU"/>
        </w:rPr>
        <w:t>This simplifies qualification while maintaining risk control.</w:t>
      </w:r>
    </w:p>
    <w:p w14:paraId="71C1F1C6" w14:textId="77777777" w:rsidR="00E73E1C" w:rsidRDefault="009E70DC">
      <w:pPr>
        <w:pStyle w:val="Heading3"/>
      </w:pPr>
      <w:r>
        <w:t>Offshore Entity Registration</w:t>
      </w:r>
    </w:p>
    <w:p w14:paraId="29703CD1" w14:textId="525C1E7C" w:rsidR="00CA61BD" w:rsidRPr="00CA61BD" w:rsidRDefault="00CA61BD" w:rsidP="00CA61BD">
      <w:pPr>
        <w:pStyle w:val="ListParagraph"/>
        <w:numPr>
          <w:ilvl w:val="0"/>
          <w:numId w:val="15"/>
        </w:numPr>
        <w:rPr>
          <w:lang w:val="en-AU" w:eastAsia="en-AU"/>
        </w:rPr>
      </w:pPr>
      <w:r w:rsidRPr="00CA61BD">
        <w:rPr>
          <w:b/>
          <w:bCs/>
          <w:lang w:val="en-AU" w:eastAsia="en-AU"/>
        </w:rPr>
        <w:t xml:space="preserve">Level 1 registrations </w:t>
      </w:r>
      <w:proofErr w:type="gramStart"/>
      <w:r w:rsidRPr="00CA61BD">
        <w:rPr>
          <w:b/>
          <w:bCs/>
          <w:lang w:val="en-AU" w:eastAsia="en-AU"/>
        </w:rPr>
        <w:t>are streamlined</w:t>
      </w:r>
      <w:proofErr w:type="gramEnd"/>
      <w:r w:rsidRPr="00CA61BD">
        <w:rPr>
          <w:lang w:val="en-AU" w:eastAsia="en-AU"/>
        </w:rPr>
        <w:t xml:space="preserve">: </w:t>
      </w:r>
    </w:p>
    <w:p w14:paraId="51D9D692" w14:textId="77777777" w:rsidR="00CA61BD" w:rsidRDefault="00CA61BD" w:rsidP="00CA61BD">
      <w:pPr>
        <w:pStyle w:val="ListParagraph"/>
        <w:numPr>
          <w:ilvl w:val="1"/>
          <w:numId w:val="15"/>
        </w:numPr>
        <w:rPr>
          <w:lang w:val="en-AU" w:eastAsia="en-AU"/>
        </w:rPr>
      </w:pPr>
      <w:r w:rsidRPr="00CA61BD">
        <w:rPr>
          <w:lang w:val="en-AU" w:eastAsia="en-AU"/>
        </w:rPr>
        <w:t xml:space="preserve">Entities already registered as Level 1 for either bulk or containerised product can now </w:t>
      </w:r>
      <w:r w:rsidRPr="00CA61BD">
        <w:rPr>
          <w:b/>
          <w:bCs/>
          <w:lang w:val="en-AU" w:eastAsia="en-AU"/>
        </w:rPr>
        <w:t>add the missing pathway by request</w:t>
      </w:r>
      <w:r w:rsidRPr="00CA61BD">
        <w:rPr>
          <w:lang w:val="en-AU" w:eastAsia="en-AU"/>
        </w:rPr>
        <w:t>, without a full re</w:t>
      </w:r>
      <w:r w:rsidRPr="00CA61BD">
        <w:rPr>
          <w:lang w:val="en-AU" w:eastAsia="en-AU"/>
        </w:rPr>
        <w:noBreakHyphen/>
        <w:t>application.</w:t>
      </w:r>
    </w:p>
    <w:p w14:paraId="77B45798" w14:textId="0807E88E" w:rsidR="000B612B" w:rsidRPr="00CA61BD" w:rsidRDefault="000B612B" w:rsidP="00CA61BD">
      <w:pPr>
        <w:pStyle w:val="ListParagraph"/>
        <w:numPr>
          <w:ilvl w:val="1"/>
          <w:numId w:val="15"/>
        </w:numPr>
        <w:rPr>
          <w:lang w:val="en-AU" w:eastAsia="en-AU"/>
        </w:rPr>
      </w:pPr>
      <w:r>
        <w:rPr>
          <w:lang w:val="en-AU" w:eastAsia="en-AU"/>
        </w:rPr>
        <w:t xml:space="preserve">New </w:t>
      </w:r>
      <w:r w:rsidR="00840EBA">
        <w:rPr>
          <w:lang w:val="en-AU" w:eastAsia="en-AU"/>
        </w:rPr>
        <w:t xml:space="preserve">registrations can cover both </w:t>
      </w:r>
      <w:proofErr w:type="gramStart"/>
      <w:r w:rsidR="00840EBA">
        <w:rPr>
          <w:lang w:val="en-AU" w:eastAsia="en-AU"/>
        </w:rPr>
        <w:t>product</w:t>
      </w:r>
      <w:proofErr w:type="gramEnd"/>
    </w:p>
    <w:p w14:paraId="2D09852B" w14:textId="5F94431B" w:rsidR="00CA61BD" w:rsidRPr="00CA61BD" w:rsidRDefault="00CA61BD" w:rsidP="00CA61BD">
      <w:pPr>
        <w:pStyle w:val="ListParagraph"/>
        <w:numPr>
          <w:ilvl w:val="0"/>
          <w:numId w:val="15"/>
        </w:numPr>
        <w:rPr>
          <w:lang w:val="en-AU" w:eastAsia="en-AU"/>
        </w:rPr>
      </w:pPr>
      <w:r w:rsidRPr="00CA61BD">
        <w:rPr>
          <w:lang w:val="en-AU" w:eastAsia="en-AU"/>
        </w:rPr>
        <w:t xml:space="preserve">Registration </w:t>
      </w:r>
      <w:proofErr w:type="gramStart"/>
      <w:r w:rsidRPr="00CA61BD">
        <w:rPr>
          <w:lang w:val="en-AU" w:eastAsia="en-AU"/>
        </w:rPr>
        <w:t>focus</w:t>
      </w:r>
      <w:proofErr w:type="gramEnd"/>
      <w:r w:rsidRPr="00CA61BD">
        <w:rPr>
          <w:lang w:val="en-AU" w:eastAsia="en-AU"/>
        </w:rPr>
        <w:t xml:space="preserve"> shifts to: </w:t>
      </w:r>
    </w:p>
    <w:p w14:paraId="61468C33" w14:textId="77777777" w:rsidR="00CA61BD" w:rsidRPr="00CA61BD" w:rsidRDefault="00CA61BD" w:rsidP="00CA61BD">
      <w:pPr>
        <w:pStyle w:val="ListParagraph"/>
        <w:numPr>
          <w:ilvl w:val="1"/>
          <w:numId w:val="15"/>
        </w:numPr>
        <w:rPr>
          <w:lang w:val="en-AU" w:eastAsia="en-AU"/>
        </w:rPr>
      </w:pPr>
      <w:r w:rsidRPr="00CA61BD">
        <w:rPr>
          <w:lang w:val="en-AU" w:eastAsia="en-AU"/>
        </w:rPr>
        <w:t>Offshore fertiliser manufacturers and their full supply chains.</w:t>
      </w:r>
    </w:p>
    <w:p w14:paraId="6A7D689A" w14:textId="231DF92C" w:rsidR="00CA61BD" w:rsidRPr="00CA61BD" w:rsidRDefault="00CA61BD" w:rsidP="00CA61BD">
      <w:pPr>
        <w:pStyle w:val="ListParagraph"/>
        <w:numPr>
          <w:ilvl w:val="0"/>
          <w:numId w:val="15"/>
        </w:numPr>
        <w:rPr>
          <w:lang w:val="en-AU" w:eastAsia="en-AU"/>
        </w:rPr>
      </w:pPr>
      <w:r w:rsidRPr="00CA61BD">
        <w:rPr>
          <w:lang w:val="en-AU" w:eastAsia="en-AU"/>
        </w:rPr>
        <w:t xml:space="preserve">Facilities that only store, transport or load fertiliser (with no biosecurity control role) </w:t>
      </w:r>
      <w:proofErr w:type="gramStart"/>
      <w:r w:rsidRPr="00CA61BD">
        <w:rPr>
          <w:lang w:val="en-AU" w:eastAsia="en-AU"/>
        </w:rPr>
        <w:t>generally no longer</w:t>
      </w:r>
      <w:proofErr w:type="gramEnd"/>
      <w:r w:rsidRPr="00CA61BD">
        <w:rPr>
          <w:lang w:val="en-AU" w:eastAsia="en-AU"/>
        </w:rPr>
        <w:t xml:space="preserve"> need registration. </w:t>
      </w:r>
    </w:p>
    <w:p w14:paraId="6822C13F" w14:textId="77777777" w:rsidR="00CA61BD" w:rsidRPr="00CA61BD" w:rsidRDefault="00CA61BD" w:rsidP="00CA61BD">
      <w:pPr>
        <w:pStyle w:val="ListParagraph"/>
        <w:numPr>
          <w:ilvl w:val="1"/>
          <w:numId w:val="15"/>
        </w:numPr>
        <w:rPr>
          <w:lang w:val="en-AU" w:eastAsia="en-AU"/>
        </w:rPr>
      </w:pPr>
      <w:r w:rsidRPr="00CA61BD">
        <w:rPr>
          <w:lang w:val="en-AU" w:eastAsia="en-AU"/>
        </w:rPr>
        <w:t xml:space="preserve">Separate registration may still </w:t>
      </w:r>
      <w:proofErr w:type="gramStart"/>
      <w:r w:rsidRPr="00CA61BD">
        <w:rPr>
          <w:lang w:val="en-AU" w:eastAsia="en-AU"/>
        </w:rPr>
        <w:t>be approved</w:t>
      </w:r>
      <w:proofErr w:type="gramEnd"/>
      <w:r w:rsidRPr="00CA61BD">
        <w:rPr>
          <w:lang w:val="en-AU" w:eastAsia="en-AU"/>
        </w:rPr>
        <w:t xml:space="preserve"> if a strong business case </w:t>
      </w:r>
      <w:proofErr w:type="gramStart"/>
      <w:r w:rsidRPr="00CA61BD">
        <w:rPr>
          <w:lang w:val="en-AU" w:eastAsia="en-AU"/>
        </w:rPr>
        <w:t>is demonstrated</w:t>
      </w:r>
      <w:proofErr w:type="gramEnd"/>
      <w:r w:rsidRPr="00CA61BD">
        <w:rPr>
          <w:lang w:val="en-AU" w:eastAsia="en-AU"/>
        </w:rPr>
        <w:t>.</w:t>
      </w:r>
    </w:p>
    <w:p w14:paraId="71C1F1CD" w14:textId="77777777" w:rsidR="00E73E1C" w:rsidRDefault="009E70DC">
      <w:pPr>
        <w:pStyle w:val="Heading3"/>
      </w:pPr>
      <w:r>
        <w:t>Audits</w:t>
      </w:r>
    </w:p>
    <w:p w14:paraId="71C1F1CE" w14:textId="6F7430AD" w:rsidR="00E73E1C" w:rsidRDefault="003C624B">
      <w:pPr>
        <w:pStyle w:val="ListParagraph"/>
        <w:numPr>
          <w:ilvl w:val="0"/>
          <w:numId w:val="6"/>
        </w:numPr>
      </w:pPr>
      <w:r>
        <w:t>Annual o</w:t>
      </w:r>
      <w:r w:rsidR="00B22E60">
        <w:t xml:space="preserve">ffshore </w:t>
      </w:r>
      <w:r>
        <w:t xml:space="preserve">department </w:t>
      </w:r>
      <w:r w:rsidR="009E70DC">
        <w:t>audits replaced with</w:t>
      </w:r>
      <w:r>
        <w:t xml:space="preserve"> </w:t>
      </w:r>
      <w:r w:rsidR="009E70DC">
        <w:rPr>
          <w:b/>
          <w:bCs/>
        </w:rPr>
        <w:t>independent third‑party audits</w:t>
      </w:r>
    </w:p>
    <w:p w14:paraId="71C1F1CF" w14:textId="73EC20BF" w:rsidR="00E73E1C" w:rsidRDefault="009E70DC">
      <w:pPr>
        <w:pStyle w:val="ListParagraph"/>
        <w:numPr>
          <w:ilvl w:val="0"/>
          <w:numId w:val="6"/>
        </w:numPr>
      </w:pPr>
      <w:r>
        <w:t xml:space="preserve">Desk-top audits are maintained on an </w:t>
      </w:r>
      <w:r w:rsidRPr="009D5A82">
        <w:t>as‑needs basis</w:t>
      </w:r>
    </w:p>
    <w:p w14:paraId="71C1F1D1" w14:textId="77777777" w:rsidR="00E73E1C" w:rsidRDefault="009E70DC">
      <w:pPr>
        <w:pStyle w:val="Heading2"/>
      </w:pPr>
      <w:r>
        <w:t>Inspection and Sampling Changes</w:t>
      </w:r>
    </w:p>
    <w:p w14:paraId="71C1F1D2" w14:textId="77777777" w:rsidR="00E73E1C" w:rsidRDefault="009E70DC">
      <w:pPr>
        <w:pStyle w:val="Heading3"/>
      </w:pPr>
      <w:r>
        <w:t>Vessel Cleanliness (In‑Ship’s‑Hold)</w:t>
      </w:r>
    </w:p>
    <w:p w14:paraId="71C1F1D3" w14:textId="77777777" w:rsidR="00E73E1C" w:rsidRDefault="009E70DC">
      <w:pPr>
        <w:pStyle w:val="ListParagraph"/>
        <w:numPr>
          <w:ilvl w:val="0"/>
          <w:numId w:val="7"/>
        </w:numPr>
      </w:pPr>
      <w:r>
        <w:t>Simplified to one outcome:</w:t>
      </w:r>
    </w:p>
    <w:p w14:paraId="71C1F1D4" w14:textId="77777777" w:rsidR="00E73E1C" w:rsidRDefault="009E70DC">
      <w:pPr>
        <w:pStyle w:val="ListParagraph"/>
        <w:numPr>
          <w:ilvl w:val="1"/>
          <w:numId w:val="7"/>
        </w:numPr>
      </w:pPr>
      <w:r>
        <w:rPr>
          <w:b/>
          <w:bCs/>
        </w:rPr>
        <w:t>Acceptable</w:t>
      </w:r>
      <w:r>
        <w:t xml:space="preserve">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acceptable</w:t>
      </w:r>
    </w:p>
    <w:p w14:paraId="71C1F1D5" w14:textId="77777777" w:rsidR="00E73E1C" w:rsidRDefault="009E70DC">
      <w:pPr>
        <w:pStyle w:val="ListParagraph"/>
        <w:numPr>
          <w:ilvl w:val="0"/>
          <w:numId w:val="7"/>
        </w:numPr>
      </w:pPr>
      <w:r>
        <w:t>Outcome influences:</w:t>
      </w:r>
    </w:p>
    <w:p w14:paraId="71C1F1D6" w14:textId="77777777" w:rsidR="00E73E1C" w:rsidRDefault="009E70DC">
      <w:pPr>
        <w:pStyle w:val="ListParagraph"/>
        <w:numPr>
          <w:ilvl w:val="1"/>
          <w:numId w:val="7"/>
        </w:numPr>
      </w:pPr>
      <w:r>
        <w:t xml:space="preserve">Consignment risk </w:t>
      </w:r>
      <w:proofErr w:type="spellStart"/>
      <w:r>
        <w:t>categorisation</w:t>
      </w:r>
      <w:proofErr w:type="spellEnd"/>
    </w:p>
    <w:p w14:paraId="71C1F1D7" w14:textId="77777777" w:rsidR="00E73E1C" w:rsidRDefault="009E70DC">
      <w:pPr>
        <w:pStyle w:val="ListParagraph"/>
        <w:numPr>
          <w:ilvl w:val="1"/>
          <w:numId w:val="7"/>
        </w:numPr>
      </w:pPr>
      <w:r>
        <w:t>On‑arrival intervention requirements</w:t>
      </w:r>
    </w:p>
    <w:p w14:paraId="71C1F1D8" w14:textId="77777777" w:rsidR="00E73E1C" w:rsidRDefault="009E70DC">
      <w:pPr>
        <w:pStyle w:val="Heading3"/>
      </w:pPr>
      <w:r>
        <w:t>Sampling and Inspection</w:t>
      </w:r>
    </w:p>
    <w:p w14:paraId="71C1F1DD" w14:textId="77777777" w:rsidR="00E73E1C" w:rsidRDefault="009E70DC">
      <w:pPr>
        <w:pStyle w:val="ListParagraph"/>
        <w:numPr>
          <w:ilvl w:val="0"/>
          <w:numId w:val="8"/>
        </w:numPr>
      </w:pPr>
      <w:r>
        <w:rPr>
          <w:b/>
          <w:bCs/>
        </w:rPr>
        <w:t>On‑arrival in‑hold sampling replaced</w:t>
      </w:r>
      <w:r>
        <w:t xml:space="preserve"> with:</w:t>
      </w:r>
    </w:p>
    <w:p w14:paraId="71C1F1DE" w14:textId="77777777" w:rsidR="00E73E1C" w:rsidRDefault="009E70DC">
      <w:pPr>
        <w:pStyle w:val="ListParagraph"/>
        <w:numPr>
          <w:ilvl w:val="1"/>
          <w:numId w:val="8"/>
        </w:numPr>
      </w:pPr>
      <w:r>
        <w:t xml:space="preserve">Inspection of </w:t>
      </w:r>
      <w:r>
        <w:rPr>
          <w:b/>
          <w:bCs/>
        </w:rPr>
        <w:t>pre‑bagged 15‑litre samples</w:t>
      </w:r>
      <w:r>
        <w:t xml:space="preserve"> per hold</w:t>
      </w:r>
    </w:p>
    <w:p w14:paraId="71C1F1DF" w14:textId="77777777" w:rsidR="00E73E1C" w:rsidRDefault="009E70DC">
      <w:pPr>
        <w:pStyle w:val="ListParagraph"/>
        <w:numPr>
          <w:ilvl w:val="1"/>
          <w:numId w:val="8"/>
        </w:numPr>
      </w:pPr>
      <w:r>
        <w:t xml:space="preserve">Samples collected and secured at loading by a qualified marine surveyor or </w:t>
      </w:r>
      <w:proofErr w:type="spellStart"/>
      <w:r>
        <w:t>authorised</w:t>
      </w:r>
      <w:proofErr w:type="spellEnd"/>
      <w:r>
        <w:t xml:space="preserve"> inspector</w:t>
      </w:r>
    </w:p>
    <w:p w14:paraId="71C1F1E0" w14:textId="77777777" w:rsidR="00E73E1C" w:rsidRDefault="009E70DC">
      <w:pPr>
        <w:pStyle w:val="ListParagraph"/>
        <w:numPr>
          <w:ilvl w:val="1"/>
          <w:numId w:val="8"/>
        </w:numPr>
      </w:pPr>
      <w:r>
        <w:t>Declaration required confirming sample handling and placement</w:t>
      </w:r>
    </w:p>
    <w:p w14:paraId="4BD0A0C5" w14:textId="285799E4" w:rsidR="008F4168" w:rsidRPr="00C127E8" w:rsidRDefault="008F4168" w:rsidP="00C127E8">
      <w:pPr>
        <w:pStyle w:val="ListParagraph"/>
        <w:numPr>
          <w:ilvl w:val="1"/>
          <w:numId w:val="8"/>
        </w:numPr>
        <w:rPr>
          <w:b/>
          <w:bCs/>
        </w:rPr>
      </w:pPr>
      <w:r>
        <w:lastRenderedPageBreak/>
        <w:t xml:space="preserve">Samples to be taken in accordance with </w:t>
      </w:r>
      <w:r w:rsidR="00C127E8" w:rsidRPr="00C127E8">
        <w:rPr>
          <w:b/>
          <w:bCs/>
        </w:rPr>
        <w:t>Loading sample inspection guidelines</w:t>
      </w:r>
    </w:p>
    <w:p w14:paraId="71C1F1E1" w14:textId="6D37CA46" w:rsidR="00E73E1C" w:rsidRDefault="009E70DC">
      <w:pPr>
        <w:pStyle w:val="Heading3"/>
      </w:pPr>
      <w:r>
        <w:t>Load Sampl</w:t>
      </w:r>
      <w:r w:rsidR="00876B5F">
        <w:t>ing Certification</w:t>
      </w:r>
    </w:p>
    <w:p w14:paraId="71C1F1E2" w14:textId="192B2591" w:rsidR="00E73E1C" w:rsidRDefault="009E70DC">
      <w:pPr>
        <w:pStyle w:val="ListParagraph"/>
        <w:numPr>
          <w:ilvl w:val="0"/>
          <w:numId w:val="9"/>
        </w:numPr>
      </w:pPr>
      <w:r>
        <w:t xml:space="preserve">Load sample </w:t>
      </w:r>
      <w:r w:rsidR="00B94136">
        <w:t xml:space="preserve">analysis certificate </w:t>
      </w:r>
      <w:r>
        <w:t xml:space="preserve">requirements expanded from </w:t>
      </w:r>
      <w:r>
        <w:rPr>
          <w:b/>
          <w:bCs/>
        </w:rPr>
        <w:t>Level 1 to all fertiliser levels</w:t>
      </w:r>
    </w:p>
    <w:p w14:paraId="71C1F1E3" w14:textId="77777777" w:rsidR="00E73E1C" w:rsidRDefault="009E70DC">
      <w:pPr>
        <w:pStyle w:val="ListParagraph"/>
        <w:numPr>
          <w:ilvl w:val="0"/>
          <w:numId w:val="9"/>
        </w:numPr>
      </w:pPr>
      <w:r>
        <w:t>Importers must provide:</w:t>
      </w:r>
    </w:p>
    <w:p w14:paraId="71C1F1E5" w14:textId="03E7025B" w:rsidR="00E73E1C" w:rsidRDefault="009E70DC" w:rsidP="004100A8">
      <w:pPr>
        <w:pStyle w:val="ListParagraph"/>
        <w:numPr>
          <w:ilvl w:val="1"/>
          <w:numId w:val="9"/>
        </w:numPr>
      </w:pPr>
      <w:r>
        <w:t>Load sample analysis</w:t>
      </w:r>
      <w:r w:rsidR="004100A8">
        <w:t xml:space="preserve"> c</w:t>
      </w:r>
      <w:r>
        <w:t xml:space="preserve">ertification confirming material is </w:t>
      </w:r>
      <w:r w:rsidRPr="004100A8">
        <w:rPr>
          <w:b/>
          <w:bCs/>
        </w:rPr>
        <w:t>free from biosecurity risk material</w:t>
      </w:r>
    </w:p>
    <w:p w14:paraId="71C1F1E6" w14:textId="77777777" w:rsidR="00E73E1C" w:rsidRDefault="00E73E1C">
      <w:pPr>
        <w:pBdr>
          <w:top w:val="single" w:sz="12" w:space="0" w:color="auto"/>
        </w:pBdr>
        <w:spacing w:after="0"/>
      </w:pPr>
    </w:p>
    <w:p w14:paraId="71C1F1E7" w14:textId="77777777" w:rsidR="00E73E1C" w:rsidRDefault="009E70DC">
      <w:pPr>
        <w:pStyle w:val="Heading2"/>
      </w:pPr>
      <w:r>
        <w:t>Documentation Updates</w:t>
      </w:r>
    </w:p>
    <w:p w14:paraId="71C1F1E8" w14:textId="77777777" w:rsidR="00E73E1C" w:rsidRDefault="009E70DC">
      <w:pPr>
        <w:pStyle w:val="ListParagraph"/>
        <w:numPr>
          <w:ilvl w:val="0"/>
          <w:numId w:val="10"/>
        </w:numPr>
      </w:pPr>
      <w:r>
        <w:t xml:space="preserve">Introduction of a </w:t>
      </w:r>
      <w:r>
        <w:rPr>
          <w:b/>
          <w:bCs/>
        </w:rPr>
        <w:t>formal registration agreement/acknowledgement</w:t>
      </w:r>
    </w:p>
    <w:p w14:paraId="71C1F1E9" w14:textId="288589EA" w:rsidR="00E73E1C" w:rsidRDefault="00153F9D" w:rsidP="00282373">
      <w:pPr>
        <w:pStyle w:val="ListParagraph"/>
        <w:numPr>
          <w:ilvl w:val="1"/>
          <w:numId w:val="10"/>
        </w:numPr>
      </w:pPr>
      <w:r>
        <w:t>Ensur</w:t>
      </w:r>
      <w:r w:rsidR="00027A86">
        <w:t>ing</w:t>
      </w:r>
      <w:r w:rsidR="009E70DC">
        <w:t xml:space="preserve"> registered entities clearly understand and accept their responsibilities</w:t>
      </w:r>
    </w:p>
    <w:p w14:paraId="71C1F1EA" w14:textId="77777777" w:rsidR="00E73E1C" w:rsidRDefault="009E70DC">
      <w:pPr>
        <w:pStyle w:val="ListParagraph"/>
        <w:numPr>
          <w:ilvl w:val="0"/>
          <w:numId w:val="10"/>
        </w:numPr>
      </w:pPr>
      <w:r>
        <w:t xml:space="preserve">Inspection guides moved to </w:t>
      </w:r>
      <w:r>
        <w:rPr>
          <w:b/>
          <w:bCs/>
        </w:rPr>
        <w:t>policy attachments</w:t>
      </w:r>
      <w:r>
        <w:t>:</w:t>
      </w:r>
    </w:p>
    <w:p w14:paraId="71C1F1EB" w14:textId="77777777" w:rsidR="00E73E1C" w:rsidRDefault="009E70DC">
      <w:pPr>
        <w:pStyle w:val="ListParagraph"/>
        <w:numPr>
          <w:ilvl w:val="1"/>
          <w:numId w:val="10"/>
        </w:numPr>
      </w:pPr>
      <w:r>
        <w:t>Vessel cleanliness inspection guide</w:t>
      </w:r>
    </w:p>
    <w:p w14:paraId="71C1F1EC" w14:textId="77777777" w:rsidR="00E73E1C" w:rsidRDefault="009E70DC">
      <w:pPr>
        <w:pStyle w:val="ListParagraph"/>
        <w:numPr>
          <w:ilvl w:val="1"/>
          <w:numId w:val="10"/>
        </w:numPr>
      </w:pPr>
      <w:r>
        <w:t>Load sample inspection guideline</w:t>
      </w:r>
    </w:p>
    <w:p w14:paraId="71C1F1ED" w14:textId="344980C9" w:rsidR="00E73E1C" w:rsidRDefault="009260EE" w:rsidP="00153F9D">
      <w:pPr>
        <w:pStyle w:val="ListParagraph"/>
      </w:pPr>
      <w:r>
        <w:t xml:space="preserve">These are targeted </w:t>
      </w:r>
      <w:proofErr w:type="gramStart"/>
      <w:r>
        <w:t>to</w:t>
      </w:r>
      <w:proofErr w:type="gramEnd"/>
      <w:r w:rsidR="009E70DC">
        <w:t xml:space="preserve"> </w:t>
      </w:r>
      <w:r w:rsidR="009E70DC">
        <w:rPr>
          <w:b/>
          <w:bCs/>
        </w:rPr>
        <w:t xml:space="preserve">marine surveyors and </w:t>
      </w:r>
      <w:proofErr w:type="spellStart"/>
      <w:r w:rsidR="009E70DC">
        <w:rPr>
          <w:b/>
          <w:bCs/>
        </w:rPr>
        <w:t>authorised</w:t>
      </w:r>
      <w:proofErr w:type="spellEnd"/>
      <w:r w:rsidR="009E70DC">
        <w:rPr>
          <w:b/>
          <w:bCs/>
        </w:rPr>
        <w:t xml:space="preserve"> inspectors</w:t>
      </w:r>
      <w:r w:rsidR="009E70DC">
        <w:t>, not registered entities</w:t>
      </w:r>
    </w:p>
    <w:p w14:paraId="71C1F1EE" w14:textId="77777777" w:rsidR="00E73E1C" w:rsidRDefault="00E73E1C">
      <w:pPr>
        <w:pBdr>
          <w:top w:val="single" w:sz="12" w:space="0" w:color="auto"/>
        </w:pBdr>
        <w:spacing w:after="0"/>
      </w:pPr>
    </w:p>
    <w:p w14:paraId="71C1F1EF" w14:textId="77777777" w:rsidR="00E73E1C" w:rsidRDefault="009E70DC">
      <w:pPr>
        <w:pStyle w:val="Heading2"/>
      </w:pPr>
      <w:r>
        <w:t>Implementation</w:t>
      </w:r>
    </w:p>
    <w:p w14:paraId="7D22C405" w14:textId="6696D9A8" w:rsidR="00DC520B" w:rsidRPr="00DC520B" w:rsidRDefault="00DC520B" w:rsidP="00DC520B">
      <w:pPr>
        <w:pStyle w:val="ListParagraph"/>
        <w:numPr>
          <w:ilvl w:val="0"/>
          <w:numId w:val="20"/>
        </w:numPr>
        <w:rPr>
          <w:lang w:val="en-AU" w:eastAsia="en-AU"/>
        </w:rPr>
      </w:pPr>
      <w:r w:rsidRPr="00DC520B">
        <w:rPr>
          <w:b/>
          <w:bCs/>
          <w:lang w:val="en-AU" w:eastAsia="en-AU"/>
        </w:rPr>
        <w:t>Go</w:t>
      </w:r>
      <w:r w:rsidRPr="00DC520B">
        <w:rPr>
          <w:b/>
          <w:bCs/>
          <w:lang w:val="en-AU" w:eastAsia="en-AU"/>
        </w:rPr>
        <w:noBreakHyphen/>
        <w:t>live:</w:t>
      </w:r>
      <w:r w:rsidRPr="00DC520B">
        <w:rPr>
          <w:lang w:val="en-AU" w:eastAsia="en-AU"/>
        </w:rPr>
        <w:t xml:space="preserve"> 30 April 2026 </w:t>
      </w:r>
    </w:p>
    <w:p w14:paraId="39C6E662" w14:textId="132A18D8" w:rsidR="00DC520B" w:rsidRPr="00DC520B" w:rsidRDefault="00DC520B" w:rsidP="00DC520B">
      <w:pPr>
        <w:pStyle w:val="ListParagraph"/>
        <w:numPr>
          <w:ilvl w:val="0"/>
          <w:numId w:val="20"/>
        </w:numPr>
        <w:rPr>
          <w:lang w:val="en-AU" w:eastAsia="en-AU"/>
        </w:rPr>
      </w:pPr>
      <w:r w:rsidRPr="00DC520B">
        <w:rPr>
          <w:lang w:val="en-AU" w:eastAsia="en-AU"/>
        </w:rPr>
        <w:t xml:space="preserve">Applies to: </w:t>
      </w:r>
    </w:p>
    <w:p w14:paraId="1E810D1A" w14:textId="77777777" w:rsidR="00DC520B" w:rsidRPr="00DC520B" w:rsidRDefault="00DC520B" w:rsidP="00DC520B">
      <w:pPr>
        <w:pStyle w:val="ListParagraph"/>
        <w:numPr>
          <w:ilvl w:val="1"/>
          <w:numId w:val="20"/>
        </w:numPr>
        <w:rPr>
          <w:lang w:val="en-AU" w:eastAsia="en-AU"/>
        </w:rPr>
      </w:pPr>
      <w:r w:rsidRPr="00DC520B">
        <w:rPr>
          <w:lang w:val="en-AU" w:eastAsia="en-AU"/>
        </w:rPr>
        <w:t xml:space="preserve">All goods </w:t>
      </w:r>
      <w:r w:rsidRPr="00DC520B">
        <w:rPr>
          <w:b/>
          <w:bCs/>
          <w:lang w:val="en-AU" w:eastAsia="en-AU"/>
        </w:rPr>
        <w:t>loaded on or after 30 April 2026</w:t>
      </w:r>
    </w:p>
    <w:p w14:paraId="57E06D92" w14:textId="6D63EB21" w:rsidR="00DC520B" w:rsidRPr="00DC520B" w:rsidRDefault="00DC520B" w:rsidP="00DC520B">
      <w:pPr>
        <w:pStyle w:val="ListParagraph"/>
        <w:numPr>
          <w:ilvl w:val="0"/>
          <w:numId w:val="20"/>
        </w:numPr>
        <w:rPr>
          <w:lang w:val="en-AU" w:eastAsia="en-AU"/>
        </w:rPr>
      </w:pPr>
      <w:r w:rsidRPr="00DC520B">
        <w:rPr>
          <w:lang w:val="en-AU" w:eastAsia="en-AU"/>
        </w:rPr>
        <w:t xml:space="preserve">Transitional arrangements: </w:t>
      </w:r>
    </w:p>
    <w:p w14:paraId="57D84CAF" w14:textId="77777777" w:rsidR="00DC520B" w:rsidRPr="00DC520B" w:rsidRDefault="00DC520B" w:rsidP="00DC520B">
      <w:pPr>
        <w:pStyle w:val="ListParagraph"/>
        <w:numPr>
          <w:ilvl w:val="1"/>
          <w:numId w:val="20"/>
        </w:numPr>
        <w:rPr>
          <w:lang w:val="en-AU" w:eastAsia="en-AU"/>
        </w:rPr>
      </w:pPr>
      <w:r w:rsidRPr="00DC520B">
        <w:rPr>
          <w:lang w:val="en-AU" w:eastAsia="en-AU"/>
        </w:rPr>
        <w:t xml:space="preserve">Goods </w:t>
      </w:r>
      <w:r w:rsidRPr="00DC520B">
        <w:rPr>
          <w:b/>
          <w:bCs/>
          <w:lang w:val="en-AU" w:eastAsia="en-AU"/>
        </w:rPr>
        <w:t>loaded and already on water before 30 April</w:t>
      </w:r>
      <w:r w:rsidRPr="00DC520B">
        <w:rPr>
          <w:lang w:val="en-AU" w:eastAsia="en-AU"/>
        </w:rPr>
        <w:t xml:space="preserve"> remain subject to the existing import conditions.</w:t>
      </w:r>
    </w:p>
    <w:p w14:paraId="71C1F1F1" w14:textId="77777777" w:rsidR="00E73E1C" w:rsidRDefault="00E73E1C">
      <w:pPr>
        <w:pBdr>
          <w:top w:val="single" w:sz="12" w:space="0" w:color="auto"/>
        </w:pBdr>
        <w:spacing w:after="0"/>
      </w:pPr>
    </w:p>
    <w:p w14:paraId="71C1F1F2" w14:textId="77777777" w:rsidR="00E73E1C" w:rsidRDefault="009E70DC">
      <w:pPr>
        <w:pStyle w:val="Heading2"/>
      </w:pPr>
      <w:r>
        <w:t>Contact</w:t>
      </w:r>
    </w:p>
    <w:p w14:paraId="2AC2EE19" w14:textId="77777777" w:rsidR="00506439" w:rsidRDefault="00506439" w:rsidP="00506439">
      <w:r>
        <w:t xml:space="preserve">For further information please see </w:t>
      </w:r>
      <w:hyperlink r:id="rId5" w:history="1">
        <w:r w:rsidRPr="006364D5">
          <w:rPr>
            <w:rStyle w:val="Hyperlink"/>
          </w:rPr>
          <w:t>Chemical and mined fertiliser</w:t>
        </w:r>
      </w:hyperlink>
      <w:r>
        <w:t xml:space="preserve"> on the department’s website</w:t>
      </w:r>
    </w:p>
    <w:p w14:paraId="71C1F1F4" w14:textId="12882647" w:rsidR="00E73E1C" w:rsidRDefault="009E70DC" w:rsidP="00282373">
      <w:r>
        <w:t xml:space="preserve">For further information: </w:t>
      </w:r>
      <w:hyperlink r:id="rId6" w:history="1">
        <w:r>
          <w:rPr>
            <w:rStyle w:val="Hyperlink"/>
          </w:rPr>
          <w:t>seacargopolicy@aff.gov.au</w:t>
        </w:r>
      </w:hyperlink>
    </w:p>
    <w:p w14:paraId="71C1F1F5" w14:textId="6129E812" w:rsidR="00E73E1C" w:rsidRDefault="00E73E1C"/>
    <w:sectPr w:rsidR="00E73E1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5AE"/>
    <w:multiLevelType w:val="multilevel"/>
    <w:tmpl w:val="1AD6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B1064"/>
    <w:multiLevelType w:val="multilevel"/>
    <w:tmpl w:val="1B34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6174F"/>
    <w:multiLevelType w:val="hybridMultilevel"/>
    <w:tmpl w:val="E1F40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52BE7"/>
    <w:multiLevelType w:val="hybridMultilevel"/>
    <w:tmpl w:val="0316CB48"/>
    <w:lvl w:ilvl="0" w:tplc="0956AD2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6D6D5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252E10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7764A1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27607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6A4059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78ECED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FC029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014799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D6C646A"/>
    <w:multiLevelType w:val="multilevel"/>
    <w:tmpl w:val="E18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A5A59"/>
    <w:multiLevelType w:val="multilevel"/>
    <w:tmpl w:val="927E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00B1B"/>
    <w:multiLevelType w:val="hybridMultilevel"/>
    <w:tmpl w:val="B7CE00C8"/>
    <w:lvl w:ilvl="0" w:tplc="45763550">
      <w:start w:val="1"/>
      <w:numFmt w:val="bullet"/>
      <w:lvlText w:val="●"/>
      <w:lvlJc w:val="left"/>
      <w:pPr>
        <w:ind w:left="720" w:hanging="360"/>
      </w:pPr>
    </w:lvl>
    <w:lvl w:ilvl="1" w:tplc="C6484A72">
      <w:start w:val="1"/>
      <w:numFmt w:val="bullet"/>
      <w:lvlText w:val="○"/>
      <w:lvlJc w:val="left"/>
      <w:pPr>
        <w:ind w:left="1440" w:hanging="360"/>
      </w:pPr>
    </w:lvl>
    <w:lvl w:ilvl="2" w:tplc="787C9770">
      <w:start w:val="1"/>
      <w:numFmt w:val="bullet"/>
      <w:lvlText w:val="■"/>
      <w:lvlJc w:val="left"/>
      <w:pPr>
        <w:ind w:left="2160" w:hanging="360"/>
      </w:pPr>
    </w:lvl>
    <w:lvl w:ilvl="3" w:tplc="1FA41C64">
      <w:start w:val="1"/>
      <w:numFmt w:val="bullet"/>
      <w:lvlText w:val="●"/>
      <w:lvlJc w:val="left"/>
      <w:pPr>
        <w:ind w:left="2880" w:hanging="360"/>
      </w:pPr>
    </w:lvl>
    <w:lvl w:ilvl="4" w:tplc="ABEE440E">
      <w:start w:val="1"/>
      <w:numFmt w:val="bullet"/>
      <w:lvlText w:val="○"/>
      <w:lvlJc w:val="left"/>
      <w:pPr>
        <w:ind w:left="3600" w:hanging="360"/>
      </w:pPr>
    </w:lvl>
    <w:lvl w:ilvl="5" w:tplc="425C510A">
      <w:start w:val="1"/>
      <w:numFmt w:val="bullet"/>
      <w:lvlText w:val="■"/>
      <w:lvlJc w:val="left"/>
      <w:pPr>
        <w:ind w:left="4320" w:hanging="360"/>
      </w:pPr>
    </w:lvl>
    <w:lvl w:ilvl="6" w:tplc="526084DA">
      <w:start w:val="1"/>
      <w:numFmt w:val="bullet"/>
      <w:lvlText w:val="●"/>
      <w:lvlJc w:val="left"/>
      <w:pPr>
        <w:ind w:left="5040" w:hanging="360"/>
      </w:pPr>
    </w:lvl>
    <w:lvl w:ilvl="7" w:tplc="16FE6860">
      <w:start w:val="1"/>
      <w:numFmt w:val="bullet"/>
      <w:lvlText w:val="●"/>
      <w:lvlJc w:val="left"/>
      <w:pPr>
        <w:ind w:left="5760" w:hanging="360"/>
      </w:pPr>
    </w:lvl>
    <w:lvl w:ilvl="8" w:tplc="9D1234BC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3D75665B"/>
    <w:multiLevelType w:val="hybridMultilevel"/>
    <w:tmpl w:val="E0547C86"/>
    <w:lvl w:ilvl="0" w:tplc="9096407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136C7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ED27E1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360C79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FD29E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AFE86F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7929C6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F34CE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AA0FA3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7D20B43"/>
    <w:multiLevelType w:val="multilevel"/>
    <w:tmpl w:val="5422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B6C5A"/>
    <w:multiLevelType w:val="multilevel"/>
    <w:tmpl w:val="11D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96E58"/>
    <w:multiLevelType w:val="hybridMultilevel"/>
    <w:tmpl w:val="05FA8D34"/>
    <w:lvl w:ilvl="0" w:tplc="AFC221E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B2C42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3684D0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F36FD2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EDAD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EEEA10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7E508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5DA88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8324FB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587543AD"/>
    <w:multiLevelType w:val="hybridMultilevel"/>
    <w:tmpl w:val="0F98893E"/>
    <w:lvl w:ilvl="0" w:tplc="7FA20A0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1867D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A1C429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1FE663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058BF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64C026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7BEFE1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4D4A5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D90A53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5C516429"/>
    <w:multiLevelType w:val="hybridMultilevel"/>
    <w:tmpl w:val="A760B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04D5F"/>
    <w:multiLevelType w:val="hybridMultilevel"/>
    <w:tmpl w:val="12FA5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75077"/>
    <w:multiLevelType w:val="hybridMultilevel"/>
    <w:tmpl w:val="497A1D4E"/>
    <w:lvl w:ilvl="0" w:tplc="7E1C7F9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5A4B3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5AE56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C78C1C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FF414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9BAC59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15C48C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B8A53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1D8D86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69D733DA"/>
    <w:multiLevelType w:val="multilevel"/>
    <w:tmpl w:val="E7A6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921F1"/>
    <w:multiLevelType w:val="hybridMultilevel"/>
    <w:tmpl w:val="A8C4E1AC"/>
    <w:lvl w:ilvl="0" w:tplc="34D8D12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ED03E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5663A2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E5021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4EECC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836F47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40AE2C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38E73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4288C0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6D8439DE"/>
    <w:multiLevelType w:val="hybridMultilevel"/>
    <w:tmpl w:val="4CB2AD40"/>
    <w:lvl w:ilvl="0" w:tplc="F49EEB9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FBAA9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9BCC6A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210BAE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42A0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8D2518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7D851A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268B9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B10E6A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6EAE4A43"/>
    <w:multiLevelType w:val="hybridMultilevel"/>
    <w:tmpl w:val="7F9CF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700A1"/>
    <w:multiLevelType w:val="hybridMultilevel"/>
    <w:tmpl w:val="857ED1FC"/>
    <w:lvl w:ilvl="0" w:tplc="5C8E2A1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9682C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07CD7A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93E622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6509B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0A0C89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4AC91C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F66DA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3B45D0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7E6E0FBD"/>
    <w:multiLevelType w:val="hybridMultilevel"/>
    <w:tmpl w:val="0204BA42"/>
    <w:lvl w:ilvl="0" w:tplc="E4AEABF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140E0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A84A80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6B4B11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398CF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4521D1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C2EE5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84AC1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70680F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543175242">
    <w:abstractNumId w:val="6"/>
    <w:lvlOverride w:ilvl="0">
      <w:startOverride w:val="1"/>
    </w:lvlOverride>
  </w:num>
  <w:num w:numId="2" w16cid:durableId="1711951747">
    <w:abstractNumId w:val="20"/>
  </w:num>
  <w:num w:numId="3" w16cid:durableId="712584376">
    <w:abstractNumId w:val="3"/>
  </w:num>
  <w:num w:numId="4" w16cid:durableId="723019460">
    <w:abstractNumId w:val="17"/>
  </w:num>
  <w:num w:numId="5" w16cid:durableId="782500745">
    <w:abstractNumId w:val="11"/>
  </w:num>
  <w:num w:numId="6" w16cid:durableId="1576894446">
    <w:abstractNumId w:val="19"/>
  </w:num>
  <w:num w:numId="7" w16cid:durableId="557711928">
    <w:abstractNumId w:val="14"/>
  </w:num>
  <w:num w:numId="8" w16cid:durableId="6249023">
    <w:abstractNumId w:val="16"/>
  </w:num>
  <w:num w:numId="9" w16cid:durableId="549733121">
    <w:abstractNumId w:val="7"/>
  </w:num>
  <w:num w:numId="10" w16cid:durableId="514467198">
    <w:abstractNumId w:val="10"/>
  </w:num>
  <w:num w:numId="11" w16cid:durableId="1057893500">
    <w:abstractNumId w:val="8"/>
  </w:num>
  <w:num w:numId="12" w16cid:durableId="2135128035">
    <w:abstractNumId w:val="9"/>
  </w:num>
  <w:num w:numId="13" w16cid:durableId="1480878564">
    <w:abstractNumId w:val="1"/>
  </w:num>
  <w:num w:numId="14" w16cid:durableId="1240015389">
    <w:abstractNumId w:val="4"/>
  </w:num>
  <w:num w:numId="15" w16cid:durableId="931355009">
    <w:abstractNumId w:val="13"/>
  </w:num>
  <w:num w:numId="16" w16cid:durableId="1592741924">
    <w:abstractNumId w:val="0"/>
  </w:num>
  <w:num w:numId="17" w16cid:durableId="59182807">
    <w:abstractNumId w:val="18"/>
  </w:num>
  <w:num w:numId="18" w16cid:durableId="417989425">
    <w:abstractNumId w:val="15"/>
  </w:num>
  <w:num w:numId="19" w16cid:durableId="1685590476">
    <w:abstractNumId w:val="5"/>
  </w:num>
  <w:num w:numId="20" w16cid:durableId="730036452">
    <w:abstractNumId w:val="2"/>
  </w:num>
  <w:num w:numId="21" w16cid:durableId="1293247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hideGrammaticalError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1C"/>
    <w:rsid w:val="00027A86"/>
    <w:rsid w:val="0009183C"/>
    <w:rsid w:val="000A7CE4"/>
    <w:rsid w:val="000B612B"/>
    <w:rsid w:val="00100232"/>
    <w:rsid w:val="0012348E"/>
    <w:rsid w:val="001423FB"/>
    <w:rsid w:val="0014541A"/>
    <w:rsid w:val="00153F9D"/>
    <w:rsid w:val="001A0A0F"/>
    <w:rsid w:val="001A5698"/>
    <w:rsid w:val="001A5938"/>
    <w:rsid w:val="00207A66"/>
    <w:rsid w:val="002207A6"/>
    <w:rsid w:val="00282373"/>
    <w:rsid w:val="003370D9"/>
    <w:rsid w:val="003C096A"/>
    <w:rsid w:val="003C624B"/>
    <w:rsid w:val="0040094B"/>
    <w:rsid w:val="004100A8"/>
    <w:rsid w:val="00424818"/>
    <w:rsid w:val="004366D4"/>
    <w:rsid w:val="004E5A06"/>
    <w:rsid w:val="00504DA8"/>
    <w:rsid w:val="00506439"/>
    <w:rsid w:val="00534962"/>
    <w:rsid w:val="005C7579"/>
    <w:rsid w:val="00633C7C"/>
    <w:rsid w:val="006370E5"/>
    <w:rsid w:val="0067045D"/>
    <w:rsid w:val="00683D7D"/>
    <w:rsid w:val="006E5DE0"/>
    <w:rsid w:val="0075369F"/>
    <w:rsid w:val="007A2BFD"/>
    <w:rsid w:val="00840EBA"/>
    <w:rsid w:val="00876B5F"/>
    <w:rsid w:val="00882A57"/>
    <w:rsid w:val="00895B87"/>
    <w:rsid w:val="008F4168"/>
    <w:rsid w:val="009260EE"/>
    <w:rsid w:val="009300A1"/>
    <w:rsid w:val="009C2EE6"/>
    <w:rsid w:val="009D5A82"/>
    <w:rsid w:val="009E70DC"/>
    <w:rsid w:val="00A54AFD"/>
    <w:rsid w:val="00A7352C"/>
    <w:rsid w:val="00B22E60"/>
    <w:rsid w:val="00B92F55"/>
    <w:rsid w:val="00B94136"/>
    <w:rsid w:val="00BC1FB0"/>
    <w:rsid w:val="00BE3394"/>
    <w:rsid w:val="00C127E8"/>
    <w:rsid w:val="00C47E4A"/>
    <w:rsid w:val="00CA4838"/>
    <w:rsid w:val="00CA61BD"/>
    <w:rsid w:val="00CC1F16"/>
    <w:rsid w:val="00CE2554"/>
    <w:rsid w:val="00D205D5"/>
    <w:rsid w:val="00DC520B"/>
    <w:rsid w:val="00E23899"/>
    <w:rsid w:val="00E579FF"/>
    <w:rsid w:val="00E73E1C"/>
    <w:rsid w:val="00E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F1AD"/>
  <w15:docId w15:val="{3966C350-DE3A-44B1-A532-FAC4E98C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character" w:styleId="Strong">
    <w:name w:val="Strong"/>
    <w:basedOn w:val="DefaultParagraphFont"/>
    <w:uiPriority w:val="22"/>
    <w:qFormat/>
    <w:rsid w:val="0012348E"/>
    <w:rPr>
      <w:b/>
      <w:bCs/>
    </w:rPr>
  </w:style>
  <w:style w:type="paragraph" w:styleId="Revision">
    <w:name w:val="Revision"/>
    <w:hidden/>
    <w:uiPriority w:val="99"/>
    <w:semiHidden/>
    <w:rsid w:val="00CA4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acargopolicy@aff.gov.au" TargetMode="External"/><Relationship Id="rId5" Type="http://schemas.openxmlformats.org/officeDocument/2006/relationships/hyperlink" Target="https://www.agriculture.gov.au/biosecurity-trade/import/goods/fertiliser/chem-mi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33d8be6-3c40-4052-87a2-9c2adcba8759}" enabled="1" method="Standar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3320</Characters>
  <Application>Microsoft Office Word</Application>
  <DocSecurity>0</DocSecurity>
  <Lines>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Aplin, Matt</cp:lastModifiedBy>
  <cp:revision>3</cp:revision>
  <dcterms:created xsi:type="dcterms:W3CDTF">2026-04-15T22:25:00Z</dcterms:created>
  <dcterms:modified xsi:type="dcterms:W3CDTF">2026-04-15T22:33:00Z</dcterms:modified>
</cp:coreProperties>
</file>