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02168" w14:textId="0C211BD1" w:rsidR="00764D6A" w:rsidRDefault="00815F81">
      <w:pPr>
        <w:pStyle w:val="Heading1"/>
      </w:pPr>
      <w:r w:rsidRPr="00815F81">
        <w:t xml:space="preserve">Sunsetting Review of the Illegal Logging Prohibition </w:t>
      </w:r>
      <w:r w:rsidR="00111058">
        <w:t xml:space="preserve">Regulation </w:t>
      </w:r>
      <w:r w:rsidRPr="00815F81">
        <w:t>2012</w:t>
      </w:r>
      <w:r w:rsidR="00E244E2">
        <w:t>:</w:t>
      </w:r>
      <w:r w:rsidRPr="00815F81">
        <w:t xml:space="preserve"> </w:t>
      </w:r>
      <w:r w:rsidR="00BE1812">
        <w:t>c</w:t>
      </w:r>
      <w:r w:rsidRPr="00815F81">
        <w:t>onsultation</w:t>
      </w:r>
      <w:r w:rsidR="00E244E2">
        <w:t xml:space="preserve"> </w:t>
      </w:r>
      <w:r w:rsidR="00CA79B3">
        <w:t>p</w:t>
      </w:r>
      <w:r w:rsidRPr="00815F81">
        <w:t>aper</w:t>
      </w:r>
    </w:p>
    <w:p w14:paraId="7304BC1F" w14:textId="4914F523" w:rsidR="00764D6A" w:rsidRDefault="00815F81">
      <w:pPr>
        <w:pStyle w:val="Picture"/>
      </w:pPr>
      <w:r>
        <w:drawing>
          <wp:inline distT="0" distB="0" distL="0" distR="0" wp14:anchorId="5BE7B745" wp14:editId="67FC45DD">
            <wp:extent cx="5323438" cy="5245251"/>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rcRect t="9204"/>
                    <a:stretch>
                      <a:fillRect/>
                    </a:stretch>
                  </pic:blipFill>
                  <pic:spPr>
                    <a:xfrm>
                      <a:off x="0" y="0"/>
                      <a:ext cx="5328349" cy="5250090"/>
                    </a:xfrm>
                    <a:prstGeom prst="rect">
                      <a:avLst/>
                    </a:prstGeom>
                  </pic:spPr>
                </pic:pic>
              </a:graphicData>
            </a:graphic>
          </wp:inline>
        </w:drawing>
      </w:r>
    </w:p>
    <w:p w14:paraId="17B1F73C" w14:textId="4A86060C" w:rsidR="00764D6A" w:rsidRDefault="00E91D72">
      <w:pPr>
        <w:pStyle w:val="Normalsmall"/>
      </w:pPr>
      <w:r>
        <w:br w:type="page"/>
      </w:r>
      <w:r>
        <w:lastRenderedPageBreak/>
        <w:t xml:space="preserve">© Commonwealth of Australia </w:t>
      </w:r>
      <w:r w:rsidR="00B97E61">
        <w:t>202</w:t>
      </w:r>
      <w:r w:rsidR="00D6626A">
        <w:t>1</w:t>
      </w:r>
    </w:p>
    <w:p w14:paraId="216689F2" w14:textId="77777777" w:rsidR="00764D6A" w:rsidRDefault="00E91D72">
      <w:pPr>
        <w:pStyle w:val="Normalsmall"/>
        <w:rPr>
          <w:rStyle w:val="Strong"/>
        </w:rPr>
      </w:pPr>
      <w:r>
        <w:rPr>
          <w:rStyle w:val="Strong"/>
        </w:rPr>
        <w:t>Ownership of intellectual property rights</w:t>
      </w:r>
    </w:p>
    <w:p w14:paraId="75C6D7E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8550A89" w14:textId="77777777" w:rsidR="00764D6A" w:rsidRDefault="00E91D72">
      <w:pPr>
        <w:pStyle w:val="Normalsmall"/>
        <w:rPr>
          <w:rStyle w:val="Strong"/>
        </w:rPr>
      </w:pPr>
      <w:r>
        <w:rPr>
          <w:rStyle w:val="Strong"/>
        </w:rPr>
        <w:t>Creative Commons licence</w:t>
      </w:r>
    </w:p>
    <w:p w14:paraId="21821957"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1712E3D8"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ABB82A6" w14:textId="77777777" w:rsidR="00764D6A" w:rsidRDefault="00E91D72">
      <w:pPr>
        <w:pStyle w:val="Normalsmall"/>
      </w:pPr>
      <w:r>
        <w:rPr>
          <w:noProof/>
          <w:lang w:eastAsia="en-AU"/>
        </w:rPr>
        <w:drawing>
          <wp:inline distT="0" distB="0" distL="0" distR="0" wp14:anchorId="372FD5A8" wp14:editId="44AC5C07">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6900874" w14:textId="77777777" w:rsidR="00764D6A" w:rsidRDefault="00E91D72">
      <w:pPr>
        <w:pStyle w:val="Normalsmall"/>
        <w:rPr>
          <w:rStyle w:val="Strong"/>
        </w:rPr>
      </w:pPr>
      <w:r>
        <w:rPr>
          <w:rStyle w:val="Strong"/>
        </w:rPr>
        <w:t>Cataloguing data</w:t>
      </w:r>
    </w:p>
    <w:p w14:paraId="2EA0FE11" w14:textId="64924F49" w:rsidR="00764D6A" w:rsidRDefault="00E91D72">
      <w:pPr>
        <w:pStyle w:val="Normalsmall"/>
      </w:pPr>
      <w:r>
        <w:t xml:space="preserve">This publication (and any material sourced from it) should be attributed as: </w:t>
      </w:r>
      <w:r w:rsidR="009D5007" w:rsidRPr="00044635">
        <w:t>DAWE</w:t>
      </w:r>
      <w:r w:rsidR="00B97E61" w:rsidRPr="00044635">
        <w:t xml:space="preserve"> 202</w:t>
      </w:r>
      <w:r w:rsidR="00D6626A" w:rsidRPr="00044635">
        <w:t>1</w:t>
      </w:r>
      <w:r w:rsidRPr="00044635">
        <w:t xml:space="preserve">, </w:t>
      </w:r>
      <w:r w:rsidR="00044635" w:rsidRPr="00044635">
        <w:rPr>
          <w:rStyle w:val="Emphasis"/>
        </w:rPr>
        <w:t>Sunsetting Review of the Illegal Logging Prohibition 2012: consultation paper</w:t>
      </w:r>
      <w:r>
        <w:t xml:space="preserve">, </w:t>
      </w:r>
      <w:r w:rsidR="00B5740E">
        <w:t>Department of Agriculture, Water and the Environment</w:t>
      </w:r>
      <w:r>
        <w:t xml:space="preserve">, Canberra, </w:t>
      </w:r>
      <w:r w:rsidR="00044635">
        <w:t>May</w:t>
      </w:r>
      <w:r>
        <w:t>. CC BY 4.0.</w:t>
      </w:r>
    </w:p>
    <w:p w14:paraId="713FA74B" w14:textId="7A0BB2C2" w:rsidR="00764D6A" w:rsidRDefault="00E91D72">
      <w:pPr>
        <w:pStyle w:val="Normalsmall"/>
        <w:rPr>
          <w:highlight w:val="yellow"/>
        </w:rPr>
      </w:pPr>
      <w:r w:rsidRPr="00E624BC">
        <w:t xml:space="preserve">ISBN </w:t>
      </w:r>
      <w:r w:rsidR="00E624BC" w:rsidRPr="00E624BC">
        <w:t>978-1-76003-416-0</w:t>
      </w:r>
    </w:p>
    <w:p w14:paraId="3201CF46" w14:textId="77777777"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p>
    <w:p w14:paraId="0A7980FB" w14:textId="77777777" w:rsidR="00764D6A" w:rsidRDefault="00B5740E">
      <w:pPr>
        <w:pStyle w:val="Normalsmall"/>
        <w:spacing w:after="0"/>
      </w:pPr>
      <w:r>
        <w:t>Department of Agriculture, Water and the Environment</w:t>
      </w:r>
    </w:p>
    <w:p w14:paraId="7255DAC6" w14:textId="77777777" w:rsidR="00764D6A" w:rsidRDefault="00E91D72">
      <w:pPr>
        <w:pStyle w:val="Normalsmall"/>
        <w:spacing w:after="0"/>
      </w:pPr>
      <w:r>
        <w:t>GPO Box 858 Canberra ACT 2601</w:t>
      </w:r>
    </w:p>
    <w:p w14:paraId="62B6C39B" w14:textId="77777777" w:rsidR="00764D6A" w:rsidRDefault="00E91D72">
      <w:pPr>
        <w:pStyle w:val="Normalsmall"/>
        <w:spacing w:after="0"/>
      </w:pPr>
      <w:r>
        <w:t xml:space="preserve">Telephone </w:t>
      </w:r>
      <w:r w:rsidRPr="00773056">
        <w:t>1800 900 090</w:t>
      </w:r>
    </w:p>
    <w:p w14:paraId="187AFDE2" w14:textId="77777777" w:rsidR="00764D6A" w:rsidRDefault="00E91D72">
      <w:pPr>
        <w:pStyle w:val="Normalsmall"/>
      </w:pPr>
      <w:r w:rsidRPr="00E20810">
        <w:t xml:space="preserve">Web </w:t>
      </w:r>
      <w:hyperlink r:id="rId16" w:history="1">
        <w:r w:rsidR="00E20810" w:rsidRPr="00E20810">
          <w:rPr>
            <w:rStyle w:val="Hyperlink"/>
          </w:rPr>
          <w:t>awe.gov.au</w:t>
        </w:r>
      </w:hyperlink>
    </w:p>
    <w:p w14:paraId="416A8225" w14:textId="77777777" w:rsidR="007C358A" w:rsidRDefault="007C358A">
      <w:pPr>
        <w:pStyle w:val="Normalsmall"/>
      </w:pPr>
      <w:r>
        <w:rPr>
          <w:rStyle w:val="Strong"/>
        </w:rPr>
        <w:t>Disclaimer</w:t>
      </w:r>
    </w:p>
    <w:p w14:paraId="2E0FA461"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8F1A623"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97F795C" w14:textId="0C75CCC7" w:rsidR="00764D6A" w:rsidRDefault="00E91D72">
          <w:pPr>
            <w:pStyle w:val="TOCHeading"/>
          </w:pPr>
          <w:r>
            <w:t>Contents</w:t>
          </w:r>
        </w:p>
        <w:p w14:paraId="65191DFF" w14:textId="3902FD7A" w:rsidR="006040C6"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4753425" w:history="1">
            <w:r w:rsidR="006040C6" w:rsidRPr="00A34F91">
              <w:rPr>
                <w:rStyle w:val="Hyperlink"/>
              </w:rPr>
              <w:t>1</w:t>
            </w:r>
            <w:r w:rsidR="006040C6">
              <w:rPr>
                <w:rFonts w:asciiTheme="minorHAnsi" w:eastAsiaTheme="minorEastAsia" w:hAnsiTheme="minorHAnsi"/>
                <w:b w:val="0"/>
                <w:lang w:eastAsia="en-AU"/>
              </w:rPr>
              <w:tab/>
            </w:r>
            <w:r w:rsidR="006040C6" w:rsidRPr="00A34F91">
              <w:rPr>
                <w:rStyle w:val="Hyperlink"/>
              </w:rPr>
              <w:t>Submissions</w:t>
            </w:r>
            <w:r w:rsidR="006040C6">
              <w:rPr>
                <w:webHidden/>
              </w:rPr>
              <w:tab/>
            </w:r>
            <w:r w:rsidR="006040C6">
              <w:rPr>
                <w:webHidden/>
              </w:rPr>
              <w:fldChar w:fldCharType="begin"/>
            </w:r>
            <w:r w:rsidR="006040C6">
              <w:rPr>
                <w:webHidden/>
              </w:rPr>
              <w:instrText xml:space="preserve"> PAGEREF _Toc74753425 \h </w:instrText>
            </w:r>
            <w:r w:rsidR="006040C6">
              <w:rPr>
                <w:webHidden/>
              </w:rPr>
            </w:r>
            <w:r w:rsidR="006040C6">
              <w:rPr>
                <w:webHidden/>
              </w:rPr>
              <w:fldChar w:fldCharType="separate"/>
            </w:r>
            <w:r w:rsidR="00793F6B">
              <w:rPr>
                <w:webHidden/>
              </w:rPr>
              <w:t>1</w:t>
            </w:r>
            <w:r w:rsidR="006040C6">
              <w:rPr>
                <w:webHidden/>
              </w:rPr>
              <w:fldChar w:fldCharType="end"/>
            </w:r>
          </w:hyperlink>
        </w:p>
        <w:p w14:paraId="0FA0A6BE" w14:textId="13BAAB7C" w:rsidR="006040C6" w:rsidRDefault="009872C8">
          <w:pPr>
            <w:pStyle w:val="TOC2"/>
            <w:tabs>
              <w:tab w:val="left" w:pos="1100"/>
            </w:tabs>
            <w:rPr>
              <w:rFonts w:asciiTheme="minorHAnsi" w:eastAsiaTheme="minorEastAsia" w:hAnsiTheme="minorHAnsi"/>
              <w:lang w:eastAsia="en-AU"/>
            </w:rPr>
          </w:pPr>
          <w:hyperlink w:anchor="_Toc74753426" w:history="1">
            <w:r w:rsidR="006040C6" w:rsidRPr="00A34F91">
              <w:rPr>
                <w:rStyle w:val="Hyperlink"/>
              </w:rPr>
              <w:t>1.1</w:t>
            </w:r>
            <w:r w:rsidR="006040C6">
              <w:rPr>
                <w:rFonts w:asciiTheme="minorHAnsi" w:eastAsiaTheme="minorEastAsia" w:hAnsiTheme="minorHAnsi"/>
                <w:lang w:eastAsia="en-AU"/>
              </w:rPr>
              <w:tab/>
            </w:r>
            <w:r w:rsidR="006040C6" w:rsidRPr="00A34F91">
              <w:rPr>
                <w:rStyle w:val="Hyperlink"/>
              </w:rPr>
              <w:t>How to have your say</w:t>
            </w:r>
            <w:r w:rsidR="006040C6">
              <w:rPr>
                <w:webHidden/>
              </w:rPr>
              <w:tab/>
            </w:r>
            <w:r w:rsidR="006040C6">
              <w:rPr>
                <w:webHidden/>
              </w:rPr>
              <w:fldChar w:fldCharType="begin"/>
            </w:r>
            <w:r w:rsidR="006040C6">
              <w:rPr>
                <w:webHidden/>
              </w:rPr>
              <w:instrText xml:space="preserve"> PAGEREF _Toc74753426 \h </w:instrText>
            </w:r>
            <w:r w:rsidR="006040C6">
              <w:rPr>
                <w:webHidden/>
              </w:rPr>
            </w:r>
            <w:r w:rsidR="006040C6">
              <w:rPr>
                <w:webHidden/>
              </w:rPr>
              <w:fldChar w:fldCharType="separate"/>
            </w:r>
            <w:r w:rsidR="00793F6B">
              <w:rPr>
                <w:webHidden/>
              </w:rPr>
              <w:t>1</w:t>
            </w:r>
            <w:r w:rsidR="006040C6">
              <w:rPr>
                <w:webHidden/>
              </w:rPr>
              <w:fldChar w:fldCharType="end"/>
            </w:r>
          </w:hyperlink>
        </w:p>
        <w:p w14:paraId="2129781B" w14:textId="00BD6629" w:rsidR="006040C6" w:rsidRDefault="009872C8">
          <w:pPr>
            <w:pStyle w:val="TOC2"/>
            <w:tabs>
              <w:tab w:val="left" w:pos="1100"/>
            </w:tabs>
            <w:rPr>
              <w:rFonts w:asciiTheme="minorHAnsi" w:eastAsiaTheme="minorEastAsia" w:hAnsiTheme="minorHAnsi"/>
              <w:lang w:eastAsia="en-AU"/>
            </w:rPr>
          </w:pPr>
          <w:hyperlink w:anchor="_Toc74753427" w:history="1">
            <w:r w:rsidR="006040C6" w:rsidRPr="00A34F91">
              <w:rPr>
                <w:rStyle w:val="Hyperlink"/>
              </w:rPr>
              <w:t>1.2</w:t>
            </w:r>
            <w:r w:rsidR="006040C6">
              <w:rPr>
                <w:rFonts w:asciiTheme="minorHAnsi" w:eastAsiaTheme="minorEastAsia" w:hAnsiTheme="minorHAnsi"/>
                <w:lang w:eastAsia="en-AU"/>
              </w:rPr>
              <w:tab/>
            </w:r>
            <w:r w:rsidR="006040C6" w:rsidRPr="00A34F91">
              <w:rPr>
                <w:rStyle w:val="Hyperlink"/>
              </w:rPr>
              <w:t>Publishing of submissions</w:t>
            </w:r>
            <w:r w:rsidR="006040C6">
              <w:rPr>
                <w:webHidden/>
              </w:rPr>
              <w:tab/>
            </w:r>
            <w:r w:rsidR="006040C6">
              <w:rPr>
                <w:webHidden/>
              </w:rPr>
              <w:fldChar w:fldCharType="begin"/>
            </w:r>
            <w:r w:rsidR="006040C6">
              <w:rPr>
                <w:webHidden/>
              </w:rPr>
              <w:instrText xml:space="preserve"> PAGEREF _Toc74753427 \h </w:instrText>
            </w:r>
            <w:r w:rsidR="006040C6">
              <w:rPr>
                <w:webHidden/>
              </w:rPr>
            </w:r>
            <w:r w:rsidR="006040C6">
              <w:rPr>
                <w:webHidden/>
              </w:rPr>
              <w:fldChar w:fldCharType="separate"/>
            </w:r>
            <w:r w:rsidR="00793F6B">
              <w:rPr>
                <w:webHidden/>
              </w:rPr>
              <w:t>1</w:t>
            </w:r>
            <w:r w:rsidR="006040C6">
              <w:rPr>
                <w:webHidden/>
              </w:rPr>
              <w:fldChar w:fldCharType="end"/>
            </w:r>
          </w:hyperlink>
        </w:p>
        <w:p w14:paraId="4EF1564F" w14:textId="40A794F1" w:rsidR="006040C6" w:rsidRDefault="009872C8">
          <w:pPr>
            <w:pStyle w:val="TOC2"/>
            <w:tabs>
              <w:tab w:val="left" w:pos="1100"/>
            </w:tabs>
            <w:rPr>
              <w:rFonts w:asciiTheme="minorHAnsi" w:eastAsiaTheme="minorEastAsia" w:hAnsiTheme="minorHAnsi"/>
              <w:lang w:eastAsia="en-AU"/>
            </w:rPr>
          </w:pPr>
          <w:hyperlink w:anchor="_Toc74753428" w:history="1">
            <w:r w:rsidR="006040C6" w:rsidRPr="00A34F91">
              <w:rPr>
                <w:rStyle w:val="Hyperlink"/>
              </w:rPr>
              <w:t>1.3</w:t>
            </w:r>
            <w:r w:rsidR="006040C6">
              <w:rPr>
                <w:rFonts w:asciiTheme="minorHAnsi" w:eastAsiaTheme="minorEastAsia" w:hAnsiTheme="minorHAnsi"/>
                <w:lang w:eastAsia="en-AU"/>
              </w:rPr>
              <w:tab/>
            </w:r>
            <w:r w:rsidR="006040C6" w:rsidRPr="00A34F91">
              <w:rPr>
                <w:rStyle w:val="Hyperlink"/>
              </w:rPr>
              <w:t>Privacy</w:t>
            </w:r>
            <w:r w:rsidR="006040C6">
              <w:rPr>
                <w:webHidden/>
              </w:rPr>
              <w:tab/>
            </w:r>
            <w:r w:rsidR="006040C6">
              <w:rPr>
                <w:webHidden/>
              </w:rPr>
              <w:fldChar w:fldCharType="begin"/>
            </w:r>
            <w:r w:rsidR="006040C6">
              <w:rPr>
                <w:webHidden/>
              </w:rPr>
              <w:instrText xml:space="preserve"> PAGEREF _Toc74753428 \h </w:instrText>
            </w:r>
            <w:r w:rsidR="006040C6">
              <w:rPr>
                <w:webHidden/>
              </w:rPr>
            </w:r>
            <w:r w:rsidR="006040C6">
              <w:rPr>
                <w:webHidden/>
              </w:rPr>
              <w:fldChar w:fldCharType="separate"/>
            </w:r>
            <w:r w:rsidR="00793F6B">
              <w:rPr>
                <w:webHidden/>
              </w:rPr>
              <w:t>1</w:t>
            </w:r>
            <w:r w:rsidR="006040C6">
              <w:rPr>
                <w:webHidden/>
              </w:rPr>
              <w:fldChar w:fldCharType="end"/>
            </w:r>
          </w:hyperlink>
        </w:p>
        <w:p w14:paraId="1B88FEE0" w14:textId="29F92AE5" w:rsidR="006040C6" w:rsidRDefault="009872C8">
          <w:pPr>
            <w:pStyle w:val="TOC2"/>
            <w:tabs>
              <w:tab w:val="left" w:pos="1100"/>
            </w:tabs>
            <w:rPr>
              <w:rFonts w:asciiTheme="minorHAnsi" w:eastAsiaTheme="minorEastAsia" w:hAnsiTheme="minorHAnsi"/>
              <w:lang w:eastAsia="en-AU"/>
            </w:rPr>
          </w:pPr>
          <w:hyperlink w:anchor="_Toc74753429" w:history="1">
            <w:r w:rsidR="006040C6" w:rsidRPr="00A34F91">
              <w:rPr>
                <w:rStyle w:val="Hyperlink"/>
              </w:rPr>
              <w:t>1.4</w:t>
            </w:r>
            <w:r w:rsidR="006040C6">
              <w:rPr>
                <w:rFonts w:asciiTheme="minorHAnsi" w:eastAsiaTheme="minorEastAsia" w:hAnsiTheme="minorHAnsi"/>
                <w:lang w:eastAsia="en-AU"/>
              </w:rPr>
              <w:tab/>
            </w:r>
            <w:r w:rsidR="006040C6" w:rsidRPr="00A34F91">
              <w:rPr>
                <w:rStyle w:val="Hyperlink"/>
              </w:rPr>
              <w:t>Next steps</w:t>
            </w:r>
            <w:r w:rsidR="006040C6">
              <w:rPr>
                <w:webHidden/>
              </w:rPr>
              <w:tab/>
            </w:r>
            <w:r w:rsidR="006040C6">
              <w:rPr>
                <w:webHidden/>
              </w:rPr>
              <w:fldChar w:fldCharType="begin"/>
            </w:r>
            <w:r w:rsidR="006040C6">
              <w:rPr>
                <w:webHidden/>
              </w:rPr>
              <w:instrText xml:space="preserve"> PAGEREF _Toc74753429 \h </w:instrText>
            </w:r>
            <w:r w:rsidR="006040C6">
              <w:rPr>
                <w:webHidden/>
              </w:rPr>
            </w:r>
            <w:r w:rsidR="006040C6">
              <w:rPr>
                <w:webHidden/>
              </w:rPr>
              <w:fldChar w:fldCharType="separate"/>
            </w:r>
            <w:r w:rsidR="00793F6B">
              <w:rPr>
                <w:webHidden/>
              </w:rPr>
              <w:t>2</w:t>
            </w:r>
            <w:r w:rsidR="006040C6">
              <w:rPr>
                <w:webHidden/>
              </w:rPr>
              <w:fldChar w:fldCharType="end"/>
            </w:r>
          </w:hyperlink>
        </w:p>
        <w:p w14:paraId="71A6999C" w14:textId="39F1A0AF" w:rsidR="006040C6" w:rsidRDefault="009872C8">
          <w:pPr>
            <w:pStyle w:val="TOC1"/>
            <w:rPr>
              <w:rFonts w:asciiTheme="minorHAnsi" w:eastAsiaTheme="minorEastAsia" w:hAnsiTheme="minorHAnsi"/>
              <w:b w:val="0"/>
              <w:lang w:eastAsia="en-AU"/>
            </w:rPr>
          </w:pPr>
          <w:hyperlink w:anchor="_Toc74753430" w:history="1">
            <w:r w:rsidR="006040C6" w:rsidRPr="00A34F91">
              <w:rPr>
                <w:rStyle w:val="Hyperlink"/>
              </w:rPr>
              <w:t>2</w:t>
            </w:r>
            <w:r w:rsidR="006040C6">
              <w:rPr>
                <w:rFonts w:asciiTheme="minorHAnsi" w:eastAsiaTheme="minorEastAsia" w:hAnsiTheme="minorHAnsi"/>
                <w:b w:val="0"/>
                <w:lang w:eastAsia="en-AU"/>
              </w:rPr>
              <w:tab/>
            </w:r>
            <w:r w:rsidR="006040C6" w:rsidRPr="00A34F91">
              <w:rPr>
                <w:rStyle w:val="Hyperlink"/>
              </w:rPr>
              <w:t>Consultation questions</w:t>
            </w:r>
            <w:r w:rsidR="006040C6">
              <w:rPr>
                <w:webHidden/>
              </w:rPr>
              <w:tab/>
            </w:r>
            <w:r w:rsidR="006040C6">
              <w:rPr>
                <w:webHidden/>
              </w:rPr>
              <w:fldChar w:fldCharType="begin"/>
            </w:r>
            <w:r w:rsidR="006040C6">
              <w:rPr>
                <w:webHidden/>
              </w:rPr>
              <w:instrText xml:space="preserve"> PAGEREF _Toc74753430 \h </w:instrText>
            </w:r>
            <w:r w:rsidR="006040C6">
              <w:rPr>
                <w:webHidden/>
              </w:rPr>
            </w:r>
            <w:r w:rsidR="006040C6">
              <w:rPr>
                <w:webHidden/>
              </w:rPr>
              <w:fldChar w:fldCharType="separate"/>
            </w:r>
            <w:r w:rsidR="00793F6B">
              <w:rPr>
                <w:webHidden/>
              </w:rPr>
              <w:t>3</w:t>
            </w:r>
            <w:r w:rsidR="006040C6">
              <w:rPr>
                <w:webHidden/>
              </w:rPr>
              <w:fldChar w:fldCharType="end"/>
            </w:r>
          </w:hyperlink>
        </w:p>
        <w:p w14:paraId="1F5FE564" w14:textId="047917E5" w:rsidR="006040C6" w:rsidRDefault="009872C8">
          <w:pPr>
            <w:pStyle w:val="TOC2"/>
            <w:tabs>
              <w:tab w:val="left" w:pos="1100"/>
            </w:tabs>
            <w:rPr>
              <w:rFonts w:asciiTheme="minorHAnsi" w:eastAsiaTheme="minorEastAsia" w:hAnsiTheme="minorHAnsi"/>
              <w:lang w:eastAsia="en-AU"/>
            </w:rPr>
          </w:pPr>
          <w:hyperlink w:anchor="_Toc74753431" w:history="1">
            <w:r w:rsidR="006040C6" w:rsidRPr="00A34F91">
              <w:rPr>
                <w:rStyle w:val="Hyperlink"/>
              </w:rPr>
              <w:t>2.1</w:t>
            </w:r>
            <w:r w:rsidR="006040C6">
              <w:rPr>
                <w:rFonts w:asciiTheme="minorHAnsi" w:eastAsiaTheme="minorEastAsia" w:hAnsiTheme="minorHAnsi"/>
                <w:lang w:eastAsia="en-AU"/>
              </w:rPr>
              <w:tab/>
            </w:r>
            <w:r w:rsidR="006040C6" w:rsidRPr="00A34F91">
              <w:rPr>
                <w:rStyle w:val="Hyperlink"/>
              </w:rPr>
              <w:t>Current Regulations</w:t>
            </w:r>
            <w:r w:rsidR="006040C6">
              <w:rPr>
                <w:webHidden/>
              </w:rPr>
              <w:tab/>
            </w:r>
            <w:r w:rsidR="006040C6">
              <w:rPr>
                <w:webHidden/>
              </w:rPr>
              <w:fldChar w:fldCharType="begin"/>
            </w:r>
            <w:r w:rsidR="006040C6">
              <w:rPr>
                <w:webHidden/>
              </w:rPr>
              <w:instrText xml:space="preserve"> PAGEREF _Toc74753431 \h </w:instrText>
            </w:r>
            <w:r w:rsidR="006040C6">
              <w:rPr>
                <w:webHidden/>
              </w:rPr>
            </w:r>
            <w:r w:rsidR="006040C6">
              <w:rPr>
                <w:webHidden/>
              </w:rPr>
              <w:fldChar w:fldCharType="separate"/>
            </w:r>
            <w:r w:rsidR="00793F6B">
              <w:rPr>
                <w:webHidden/>
              </w:rPr>
              <w:t>3</w:t>
            </w:r>
            <w:r w:rsidR="006040C6">
              <w:rPr>
                <w:webHidden/>
              </w:rPr>
              <w:fldChar w:fldCharType="end"/>
            </w:r>
          </w:hyperlink>
        </w:p>
        <w:p w14:paraId="3CF00093" w14:textId="06EF7FA9" w:rsidR="006040C6" w:rsidRDefault="009872C8">
          <w:pPr>
            <w:pStyle w:val="TOC2"/>
            <w:tabs>
              <w:tab w:val="left" w:pos="1100"/>
            </w:tabs>
            <w:rPr>
              <w:rFonts w:asciiTheme="minorHAnsi" w:eastAsiaTheme="minorEastAsia" w:hAnsiTheme="minorHAnsi"/>
              <w:lang w:eastAsia="en-AU"/>
            </w:rPr>
          </w:pPr>
          <w:hyperlink w:anchor="_Toc74753432" w:history="1">
            <w:r w:rsidR="006040C6" w:rsidRPr="00A34F91">
              <w:rPr>
                <w:rStyle w:val="Hyperlink"/>
              </w:rPr>
              <w:t>2.2</w:t>
            </w:r>
            <w:r w:rsidR="006040C6">
              <w:rPr>
                <w:rFonts w:asciiTheme="minorHAnsi" w:eastAsiaTheme="minorEastAsia" w:hAnsiTheme="minorHAnsi"/>
                <w:lang w:eastAsia="en-AU"/>
              </w:rPr>
              <w:tab/>
            </w:r>
            <w:r w:rsidR="006040C6" w:rsidRPr="00A34F91">
              <w:rPr>
                <w:rStyle w:val="Hyperlink"/>
              </w:rPr>
              <w:t>Due-diligence information and processes</w:t>
            </w:r>
            <w:r w:rsidR="006040C6">
              <w:rPr>
                <w:webHidden/>
              </w:rPr>
              <w:tab/>
            </w:r>
            <w:r w:rsidR="006040C6">
              <w:rPr>
                <w:webHidden/>
              </w:rPr>
              <w:fldChar w:fldCharType="begin"/>
            </w:r>
            <w:r w:rsidR="006040C6">
              <w:rPr>
                <w:webHidden/>
              </w:rPr>
              <w:instrText xml:space="preserve"> PAGEREF _Toc74753432 \h </w:instrText>
            </w:r>
            <w:r w:rsidR="006040C6">
              <w:rPr>
                <w:webHidden/>
              </w:rPr>
            </w:r>
            <w:r w:rsidR="006040C6">
              <w:rPr>
                <w:webHidden/>
              </w:rPr>
              <w:fldChar w:fldCharType="separate"/>
            </w:r>
            <w:r w:rsidR="00793F6B">
              <w:rPr>
                <w:webHidden/>
              </w:rPr>
              <w:t>3</w:t>
            </w:r>
            <w:r w:rsidR="006040C6">
              <w:rPr>
                <w:webHidden/>
              </w:rPr>
              <w:fldChar w:fldCharType="end"/>
            </w:r>
          </w:hyperlink>
        </w:p>
        <w:p w14:paraId="5E52D9AC" w14:textId="20C160E9" w:rsidR="006040C6" w:rsidRDefault="009872C8">
          <w:pPr>
            <w:pStyle w:val="TOC2"/>
            <w:tabs>
              <w:tab w:val="left" w:pos="1100"/>
            </w:tabs>
            <w:rPr>
              <w:rFonts w:asciiTheme="minorHAnsi" w:eastAsiaTheme="minorEastAsia" w:hAnsiTheme="minorHAnsi"/>
              <w:lang w:eastAsia="en-AU"/>
            </w:rPr>
          </w:pPr>
          <w:hyperlink w:anchor="_Toc74753433" w:history="1">
            <w:r w:rsidR="006040C6" w:rsidRPr="00A34F91">
              <w:rPr>
                <w:rStyle w:val="Hyperlink"/>
              </w:rPr>
              <w:t>2.3</w:t>
            </w:r>
            <w:r w:rsidR="006040C6">
              <w:rPr>
                <w:rFonts w:asciiTheme="minorHAnsi" w:eastAsiaTheme="minorEastAsia" w:hAnsiTheme="minorHAnsi"/>
                <w:lang w:eastAsia="en-AU"/>
              </w:rPr>
              <w:tab/>
            </w:r>
            <w:r w:rsidR="006040C6" w:rsidRPr="00A34F91">
              <w:rPr>
                <w:rStyle w:val="Hyperlink"/>
              </w:rPr>
              <w:t>At-border powers and sampling technology</w:t>
            </w:r>
            <w:r w:rsidR="006040C6">
              <w:rPr>
                <w:webHidden/>
              </w:rPr>
              <w:tab/>
            </w:r>
            <w:r w:rsidR="006040C6">
              <w:rPr>
                <w:webHidden/>
              </w:rPr>
              <w:fldChar w:fldCharType="begin"/>
            </w:r>
            <w:r w:rsidR="006040C6">
              <w:rPr>
                <w:webHidden/>
              </w:rPr>
              <w:instrText xml:space="preserve"> PAGEREF _Toc74753433 \h </w:instrText>
            </w:r>
            <w:r w:rsidR="006040C6">
              <w:rPr>
                <w:webHidden/>
              </w:rPr>
            </w:r>
            <w:r w:rsidR="006040C6">
              <w:rPr>
                <w:webHidden/>
              </w:rPr>
              <w:fldChar w:fldCharType="separate"/>
            </w:r>
            <w:r w:rsidR="00793F6B">
              <w:rPr>
                <w:webHidden/>
              </w:rPr>
              <w:t>3</w:t>
            </w:r>
            <w:r w:rsidR="006040C6">
              <w:rPr>
                <w:webHidden/>
              </w:rPr>
              <w:fldChar w:fldCharType="end"/>
            </w:r>
          </w:hyperlink>
        </w:p>
        <w:p w14:paraId="2B758642" w14:textId="2A80262D" w:rsidR="006040C6" w:rsidRDefault="009872C8">
          <w:pPr>
            <w:pStyle w:val="TOC2"/>
            <w:tabs>
              <w:tab w:val="left" w:pos="1100"/>
            </w:tabs>
            <w:rPr>
              <w:rFonts w:asciiTheme="minorHAnsi" w:eastAsiaTheme="minorEastAsia" w:hAnsiTheme="minorHAnsi"/>
              <w:lang w:eastAsia="en-AU"/>
            </w:rPr>
          </w:pPr>
          <w:hyperlink w:anchor="_Toc74753434" w:history="1">
            <w:r w:rsidR="006040C6" w:rsidRPr="00A34F91">
              <w:rPr>
                <w:rStyle w:val="Hyperlink"/>
              </w:rPr>
              <w:t>2.4</w:t>
            </w:r>
            <w:r w:rsidR="006040C6">
              <w:rPr>
                <w:rFonts w:asciiTheme="minorHAnsi" w:eastAsiaTheme="minorEastAsia" w:hAnsiTheme="minorHAnsi"/>
                <w:lang w:eastAsia="en-AU"/>
              </w:rPr>
              <w:tab/>
            </w:r>
            <w:r w:rsidR="006040C6" w:rsidRPr="00A34F91">
              <w:rPr>
                <w:rStyle w:val="Hyperlink"/>
              </w:rPr>
              <w:t>Regulatory provisions</w:t>
            </w:r>
            <w:r w:rsidR="006040C6">
              <w:rPr>
                <w:webHidden/>
              </w:rPr>
              <w:tab/>
            </w:r>
            <w:r w:rsidR="006040C6">
              <w:rPr>
                <w:webHidden/>
              </w:rPr>
              <w:fldChar w:fldCharType="begin"/>
            </w:r>
            <w:r w:rsidR="006040C6">
              <w:rPr>
                <w:webHidden/>
              </w:rPr>
              <w:instrText xml:space="preserve"> PAGEREF _Toc74753434 \h </w:instrText>
            </w:r>
            <w:r w:rsidR="006040C6">
              <w:rPr>
                <w:webHidden/>
              </w:rPr>
            </w:r>
            <w:r w:rsidR="006040C6">
              <w:rPr>
                <w:webHidden/>
              </w:rPr>
              <w:fldChar w:fldCharType="separate"/>
            </w:r>
            <w:r w:rsidR="00793F6B">
              <w:rPr>
                <w:webHidden/>
              </w:rPr>
              <w:t>3</w:t>
            </w:r>
            <w:r w:rsidR="006040C6">
              <w:rPr>
                <w:webHidden/>
              </w:rPr>
              <w:fldChar w:fldCharType="end"/>
            </w:r>
          </w:hyperlink>
        </w:p>
        <w:p w14:paraId="56AC6598" w14:textId="29270DE5" w:rsidR="006040C6" w:rsidRDefault="009872C8">
          <w:pPr>
            <w:pStyle w:val="TOC2"/>
            <w:tabs>
              <w:tab w:val="left" w:pos="1100"/>
            </w:tabs>
            <w:rPr>
              <w:rFonts w:asciiTheme="minorHAnsi" w:eastAsiaTheme="minorEastAsia" w:hAnsiTheme="minorHAnsi"/>
              <w:lang w:eastAsia="en-AU"/>
            </w:rPr>
          </w:pPr>
          <w:hyperlink w:anchor="_Toc74753435" w:history="1">
            <w:r w:rsidR="006040C6" w:rsidRPr="00A34F91">
              <w:rPr>
                <w:rStyle w:val="Hyperlink"/>
              </w:rPr>
              <w:t>2.5</w:t>
            </w:r>
            <w:r w:rsidR="006040C6">
              <w:rPr>
                <w:rFonts w:asciiTheme="minorHAnsi" w:eastAsiaTheme="minorEastAsia" w:hAnsiTheme="minorHAnsi"/>
                <w:lang w:eastAsia="en-AU"/>
              </w:rPr>
              <w:tab/>
            </w:r>
            <w:r w:rsidR="006040C6" w:rsidRPr="00A34F91">
              <w:rPr>
                <w:rStyle w:val="Hyperlink"/>
              </w:rPr>
              <w:t>Operational improvements</w:t>
            </w:r>
            <w:r w:rsidR="006040C6">
              <w:rPr>
                <w:webHidden/>
              </w:rPr>
              <w:tab/>
            </w:r>
            <w:r w:rsidR="006040C6">
              <w:rPr>
                <w:webHidden/>
              </w:rPr>
              <w:fldChar w:fldCharType="begin"/>
            </w:r>
            <w:r w:rsidR="006040C6">
              <w:rPr>
                <w:webHidden/>
              </w:rPr>
              <w:instrText xml:space="preserve"> PAGEREF _Toc74753435 \h </w:instrText>
            </w:r>
            <w:r w:rsidR="006040C6">
              <w:rPr>
                <w:webHidden/>
              </w:rPr>
            </w:r>
            <w:r w:rsidR="006040C6">
              <w:rPr>
                <w:webHidden/>
              </w:rPr>
              <w:fldChar w:fldCharType="separate"/>
            </w:r>
            <w:r w:rsidR="00793F6B">
              <w:rPr>
                <w:webHidden/>
              </w:rPr>
              <w:t>4</w:t>
            </w:r>
            <w:r w:rsidR="006040C6">
              <w:rPr>
                <w:webHidden/>
              </w:rPr>
              <w:fldChar w:fldCharType="end"/>
            </w:r>
          </w:hyperlink>
        </w:p>
        <w:p w14:paraId="2EC26D55" w14:textId="4FD27B3D" w:rsidR="006040C6" w:rsidRDefault="009872C8">
          <w:pPr>
            <w:pStyle w:val="TOC1"/>
            <w:rPr>
              <w:rFonts w:asciiTheme="minorHAnsi" w:eastAsiaTheme="minorEastAsia" w:hAnsiTheme="minorHAnsi"/>
              <w:b w:val="0"/>
              <w:lang w:eastAsia="en-AU"/>
            </w:rPr>
          </w:pPr>
          <w:hyperlink w:anchor="_Toc74753436" w:history="1">
            <w:r w:rsidR="006040C6" w:rsidRPr="00A34F91">
              <w:rPr>
                <w:rStyle w:val="Hyperlink"/>
              </w:rPr>
              <w:t>3</w:t>
            </w:r>
            <w:r w:rsidR="006040C6">
              <w:rPr>
                <w:rFonts w:asciiTheme="minorHAnsi" w:eastAsiaTheme="minorEastAsia" w:hAnsiTheme="minorHAnsi"/>
                <w:b w:val="0"/>
                <w:lang w:eastAsia="en-AU"/>
              </w:rPr>
              <w:tab/>
            </w:r>
            <w:r w:rsidR="006040C6" w:rsidRPr="00A34F91">
              <w:rPr>
                <w:rStyle w:val="Hyperlink"/>
              </w:rPr>
              <w:t>Introduction</w:t>
            </w:r>
            <w:r w:rsidR="006040C6">
              <w:rPr>
                <w:webHidden/>
              </w:rPr>
              <w:tab/>
            </w:r>
            <w:r w:rsidR="006040C6">
              <w:rPr>
                <w:webHidden/>
              </w:rPr>
              <w:fldChar w:fldCharType="begin"/>
            </w:r>
            <w:r w:rsidR="006040C6">
              <w:rPr>
                <w:webHidden/>
              </w:rPr>
              <w:instrText xml:space="preserve"> PAGEREF _Toc74753436 \h </w:instrText>
            </w:r>
            <w:r w:rsidR="006040C6">
              <w:rPr>
                <w:webHidden/>
              </w:rPr>
            </w:r>
            <w:r w:rsidR="006040C6">
              <w:rPr>
                <w:webHidden/>
              </w:rPr>
              <w:fldChar w:fldCharType="separate"/>
            </w:r>
            <w:r w:rsidR="00793F6B">
              <w:rPr>
                <w:webHidden/>
              </w:rPr>
              <w:t>5</w:t>
            </w:r>
            <w:r w:rsidR="006040C6">
              <w:rPr>
                <w:webHidden/>
              </w:rPr>
              <w:fldChar w:fldCharType="end"/>
            </w:r>
          </w:hyperlink>
        </w:p>
        <w:p w14:paraId="73E92C0B" w14:textId="0A87F96B" w:rsidR="006040C6" w:rsidRDefault="009872C8">
          <w:pPr>
            <w:pStyle w:val="TOC1"/>
            <w:rPr>
              <w:rFonts w:asciiTheme="minorHAnsi" w:eastAsiaTheme="minorEastAsia" w:hAnsiTheme="minorHAnsi"/>
              <w:b w:val="0"/>
              <w:lang w:eastAsia="en-AU"/>
            </w:rPr>
          </w:pPr>
          <w:hyperlink w:anchor="_Toc74753437" w:history="1">
            <w:r w:rsidR="006040C6" w:rsidRPr="00A34F91">
              <w:rPr>
                <w:rStyle w:val="Hyperlink"/>
              </w:rPr>
              <w:t>4</w:t>
            </w:r>
            <w:r w:rsidR="006040C6">
              <w:rPr>
                <w:rFonts w:asciiTheme="minorHAnsi" w:eastAsiaTheme="minorEastAsia" w:hAnsiTheme="minorHAnsi"/>
                <w:b w:val="0"/>
                <w:lang w:eastAsia="en-AU"/>
              </w:rPr>
              <w:tab/>
            </w:r>
            <w:r w:rsidR="006040C6" w:rsidRPr="00A34F91">
              <w:rPr>
                <w:rStyle w:val="Hyperlink"/>
              </w:rPr>
              <w:t>Sunsetting of the Illegal Logging Prohibition Regulation 2012</w:t>
            </w:r>
            <w:r w:rsidR="006040C6">
              <w:rPr>
                <w:webHidden/>
              </w:rPr>
              <w:tab/>
            </w:r>
            <w:r w:rsidR="006040C6">
              <w:rPr>
                <w:webHidden/>
              </w:rPr>
              <w:fldChar w:fldCharType="begin"/>
            </w:r>
            <w:r w:rsidR="006040C6">
              <w:rPr>
                <w:webHidden/>
              </w:rPr>
              <w:instrText xml:space="preserve"> PAGEREF _Toc74753437 \h </w:instrText>
            </w:r>
            <w:r w:rsidR="006040C6">
              <w:rPr>
                <w:webHidden/>
              </w:rPr>
            </w:r>
            <w:r w:rsidR="006040C6">
              <w:rPr>
                <w:webHidden/>
              </w:rPr>
              <w:fldChar w:fldCharType="separate"/>
            </w:r>
            <w:r w:rsidR="00793F6B">
              <w:rPr>
                <w:webHidden/>
              </w:rPr>
              <w:t>6</w:t>
            </w:r>
            <w:r w:rsidR="006040C6">
              <w:rPr>
                <w:webHidden/>
              </w:rPr>
              <w:fldChar w:fldCharType="end"/>
            </w:r>
          </w:hyperlink>
        </w:p>
        <w:p w14:paraId="534B9DDA" w14:textId="2862E57D" w:rsidR="006040C6" w:rsidRDefault="009872C8">
          <w:pPr>
            <w:pStyle w:val="TOC2"/>
            <w:tabs>
              <w:tab w:val="left" w:pos="1100"/>
            </w:tabs>
            <w:rPr>
              <w:rFonts w:asciiTheme="minorHAnsi" w:eastAsiaTheme="minorEastAsia" w:hAnsiTheme="minorHAnsi"/>
              <w:lang w:eastAsia="en-AU"/>
            </w:rPr>
          </w:pPr>
          <w:hyperlink w:anchor="_Toc74753438" w:history="1">
            <w:r w:rsidR="006040C6" w:rsidRPr="00A34F91">
              <w:rPr>
                <w:rStyle w:val="Hyperlink"/>
              </w:rPr>
              <w:t>4.1</w:t>
            </w:r>
            <w:r w:rsidR="006040C6">
              <w:rPr>
                <w:rFonts w:asciiTheme="minorHAnsi" w:eastAsiaTheme="minorEastAsia" w:hAnsiTheme="minorHAnsi"/>
                <w:lang w:eastAsia="en-AU"/>
              </w:rPr>
              <w:tab/>
            </w:r>
            <w:r w:rsidR="006040C6" w:rsidRPr="00A34F91">
              <w:rPr>
                <w:rStyle w:val="Hyperlink"/>
              </w:rPr>
              <w:t>Sunsetting of legislative instruments</w:t>
            </w:r>
            <w:r w:rsidR="006040C6">
              <w:rPr>
                <w:webHidden/>
              </w:rPr>
              <w:tab/>
            </w:r>
            <w:r w:rsidR="006040C6">
              <w:rPr>
                <w:webHidden/>
              </w:rPr>
              <w:fldChar w:fldCharType="begin"/>
            </w:r>
            <w:r w:rsidR="006040C6">
              <w:rPr>
                <w:webHidden/>
              </w:rPr>
              <w:instrText xml:space="preserve"> PAGEREF _Toc74753438 \h </w:instrText>
            </w:r>
            <w:r w:rsidR="006040C6">
              <w:rPr>
                <w:webHidden/>
              </w:rPr>
            </w:r>
            <w:r w:rsidR="006040C6">
              <w:rPr>
                <w:webHidden/>
              </w:rPr>
              <w:fldChar w:fldCharType="separate"/>
            </w:r>
            <w:r w:rsidR="00793F6B">
              <w:rPr>
                <w:webHidden/>
              </w:rPr>
              <w:t>6</w:t>
            </w:r>
            <w:r w:rsidR="006040C6">
              <w:rPr>
                <w:webHidden/>
              </w:rPr>
              <w:fldChar w:fldCharType="end"/>
            </w:r>
          </w:hyperlink>
        </w:p>
        <w:p w14:paraId="16F397C7" w14:textId="343452AC" w:rsidR="006040C6" w:rsidRDefault="009872C8">
          <w:pPr>
            <w:pStyle w:val="TOC2"/>
            <w:tabs>
              <w:tab w:val="left" w:pos="1100"/>
            </w:tabs>
            <w:rPr>
              <w:rFonts w:asciiTheme="minorHAnsi" w:eastAsiaTheme="minorEastAsia" w:hAnsiTheme="minorHAnsi"/>
              <w:lang w:eastAsia="en-AU"/>
            </w:rPr>
          </w:pPr>
          <w:hyperlink w:anchor="_Toc74753439" w:history="1">
            <w:r w:rsidR="006040C6" w:rsidRPr="00A34F91">
              <w:rPr>
                <w:rStyle w:val="Hyperlink"/>
              </w:rPr>
              <w:t>4.2</w:t>
            </w:r>
            <w:r w:rsidR="006040C6">
              <w:rPr>
                <w:rFonts w:asciiTheme="minorHAnsi" w:eastAsiaTheme="minorEastAsia" w:hAnsiTheme="minorHAnsi"/>
                <w:lang w:eastAsia="en-AU"/>
              </w:rPr>
              <w:tab/>
            </w:r>
            <w:r w:rsidR="006040C6" w:rsidRPr="00A34F91">
              <w:rPr>
                <w:rStyle w:val="Hyperlink"/>
              </w:rPr>
              <w:t>The sunsetting review process</w:t>
            </w:r>
            <w:r w:rsidR="006040C6">
              <w:rPr>
                <w:webHidden/>
              </w:rPr>
              <w:tab/>
            </w:r>
            <w:r w:rsidR="006040C6">
              <w:rPr>
                <w:webHidden/>
              </w:rPr>
              <w:fldChar w:fldCharType="begin"/>
            </w:r>
            <w:r w:rsidR="006040C6">
              <w:rPr>
                <w:webHidden/>
              </w:rPr>
              <w:instrText xml:space="preserve"> PAGEREF _Toc74753439 \h </w:instrText>
            </w:r>
            <w:r w:rsidR="006040C6">
              <w:rPr>
                <w:webHidden/>
              </w:rPr>
            </w:r>
            <w:r w:rsidR="006040C6">
              <w:rPr>
                <w:webHidden/>
              </w:rPr>
              <w:fldChar w:fldCharType="separate"/>
            </w:r>
            <w:r w:rsidR="00793F6B">
              <w:rPr>
                <w:webHidden/>
              </w:rPr>
              <w:t>6</w:t>
            </w:r>
            <w:r w:rsidR="006040C6">
              <w:rPr>
                <w:webHidden/>
              </w:rPr>
              <w:fldChar w:fldCharType="end"/>
            </w:r>
          </w:hyperlink>
        </w:p>
        <w:p w14:paraId="1A127022" w14:textId="7D4C5D2B" w:rsidR="006040C6" w:rsidRDefault="009872C8">
          <w:pPr>
            <w:pStyle w:val="TOC2"/>
            <w:tabs>
              <w:tab w:val="left" w:pos="1100"/>
            </w:tabs>
            <w:rPr>
              <w:rFonts w:asciiTheme="minorHAnsi" w:eastAsiaTheme="minorEastAsia" w:hAnsiTheme="minorHAnsi"/>
              <w:lang w:eastAsia="en-AU"/>
            </w:rPr>
          </w:pPr>
          <w:hyperlink w:anchor="_Toc74753440" w:history="1">
            <w:r w:rsidR="006040C6" w:rsidRPr="00A34F91">
              <w:rPr>
                <w:rStyle w:val="Hyperlink"/>
                <w:lang w:eastAsia="ja-JP"/>
              </w:rPr>
              <w:t>4.3</w:t>
            </w:r>
            <w:r w:rsidR="006040C6">
              <w:rPr>
                <w:rFonts w:asciiTheme="minorHAnsi" w:eastAsiaTheme="minorEastAsia" w:hAnsiTheme="minorHAnsi"/>
                <w:lang w:eastAsia="en-AU"/>
              </w:rPr>
              <w:tab/>
            </w:r>
            <w:r w:rsidR="006040C6" w:rsidRPr="00A34F91">
              <w:rPr>
                <w:rStyle w:val="Hyperlink"/>
                <w:lang w:eastAsia="ja-JP"/>
              </w:rPr>
              <w:t>Scope of this sunsetting review</w:t>
            </w:r>
            <w:r w:rsidR="006040C6">
              <w:rPr>
                <w:webHidden/>
              </w:rPr>
              <w:tab/>
            </w:r>
            <w:r w:rsidR="006040C6">
              <w:rPr>
                <w:webHidden/>
              </w:rPr>
              <w:fldChar w:fldCharType="begin"/>
            </w:r>
            <w:r w:rsidR="006040C6">
              <w:rPr>
                <w:webHidden/>
              </w:rPr>
              <w:instrText xml:space="preserve"> PAGEREF _Toc74753440 \h </w:instrText>
            </w:r>
            <w:r w:rsidR="006040C6">
              <w:rPr>
                <w:webHidden/>
              </w:rPr>
            </w:r>
            <w:r w:rsidR="006040C6">
              <w:rPr>
                <w:webHidden/>
              </w:rPr>
              <w:fldChar w:fldCharType="separate"/>
            </w:r>
            <w:r w:rsidR="00793F6B">
              <w:rPr>
                <w:webHidden/>
              </w:rPr>
              <w:t>6</w:t>
            </w:r>
            <w:r w:rsidR="006040C6">
              <w:rPr>
                <w:webHidden/>
              </w:rPr>
              <w:fldChar w:fldCharType="end"/>
            </w:r>
          </w:hyperlink>
        </w:p>
        <w:p w14:paraId="50647CBA" w14:textId="78DFBF8D" w:rsidR="006040C6" w:rsidRDefault="009872C8">
          <w:pPr>
            <w:pStyle w:val="TOC2"/>
            <w:tabs>
              <w:tab w:val="left" w:pos="1100"/>
            </w:tabs>
            <w:rPr>
              <w:rFonts w:asciiTheme="minorHAnsi" w:eastAsiaTheme="minorEastAsia" w:hAnsiTheme="minorHAnsi"/>
              <w:lang w:eastAsia="en-AU"/>
            </w:rPr>
          </w:pPr>
          <w:hyperlink w:anchor="_Toc74753441" w:history="1">
            <w:r w:rsidR="006040C6" w:rsidRPr="00A34F91">
              <w:rPr>
                <w:rStyle w:val="Hyperlink"/>
              </w:rPr>
              <w:t>4.4</w:t>
            </w:r>
            <w:r w:rsidR="006040C6">
              <w:rPr>
                <w:rFonts w:asciiTheme="minorHAnsi" w:eastAsiaTheme="minorEastAsia" w:hAnsiTheme="minorHAnsi"/>
                <w:lang w:eastAsia="en-AU"/>
              </w:rPr>
              <w:tab/>
            </w:r>
            <w:r w:rsidR="006040C6" w:rsidRPr="00A34F91">
              <w:rPr>
                <w:rStyle w:val="Hyperlink"/>
              </w:rPr>
              <w:t>Overview of the Illegal Logging Prohibition Regulation 2012</w:t>
            </w:r>
            <w:r w:rsidR="006040C6">
              <w:rPr>
                <w:webHidden/>
              </w:rPr>
              <w:tab/>
            </w:r>
            <w:r w:rsidR="006040C6">
              <w:rPr>
                <w:webHidden/>
              </w:rPr>
              <w:fldChar w:fldCharType="begin"/>
            </w:r>
            <w:r w:rsidR="006040C6">
              <w:rPr>
                <w:webHidden/>
              </w:rPr>
              <w:instrText xml:space="preserve"> PAGEREF _Toc74753441 \h </w:instrText>
            </w:r>
            <w:r w:rsidR="006040C6">
              <w:rPr>
                <w:webHidden/>
              </w:rPr>
            </w:r>
            <w:r w:rsidR="006040C6">
              <w:rPr>
                <w:webHidden/>
              </w:rPr>
              <w:fldChar w:fldCharType="separate"/>
            </w:r>
            <w:r w:rsidR="00793F6B">
              <w:rPr>
                <w:webHidden/>
              </w:rPr>
              <w:t>7</w:t>
            </w:r>
            <w:r w:rsidR="006040C6">
              <w:rPr>
                <w:webHidden/>
              </w:rPr>
              <w:fldChar w:fldCharType="end"/>
            </w:r>
          </w:hyperlink>
        </w:p>
        <w:p w14:paraId="3A11C423" w14:textId="1EFF6805" w:rsidR="006040C6" w:rsidRDefault="009872C8">
          <w:pPr>
            <w:pStyle w:val="TOC2"/>
            <w:tabs>
              <w:tab w:val="left" w:pos="1100"/>
            </w:tabs>
            <w:rPr>
              <w:rFonts w:asciiTheme="minorHAnsi" w:eastAsiaTheme="minorEastAsia" w:hAnsiTheme="minorHAnsi"/>
              <w:lang w:eastAsia="en-AU"/>
            </w:rPr>
          </w:pPr>
          <w:hyperlink w:anchor="_Toc74753442" w:history="1">
            <w:r w:rsidR="006040C6" w:rsidRPr="00A34F91">
              <w:rPr>
                <w:rStyle w:val="Hyperlink"/>
              </w:rPr>
              <w:t>4.5</w:t>
            </w:r>
            <w:r w:rsidR="006040C6">
              <w:rPr>
                <w:rFonts w:asciiTheme="minorHAnsi" w:eastAsiaTheme="minorEastAsia" w:hAnsiTheme="minorHAnsi"/>
                <w:lang w:eastAsia="en-AU"/>
              </w:rPr>
              <w:tab/>
            </w:r>
            <w:r w:rsidR="006040C6" w:rsidRPr="00A34F91">
              <w:rPr>
                <w:rStyle w:val="Hyperlink"/>
              </w:rPr>
              <w:t>Objectives of the Regulation</w:t>
            </w:r>
            <w:r w:rsidR="006040C6">
              <w:rPr>
                <w:webHidden/>
              </w:rPr>
              <w:tab/>
            </w:r>
            <w:r w:rsidR="006040C6">
              <w:rPr>
                <w:webHidden/>
              </w:rPr>
              <w:fldChar w:fldCharType="begin"/>
            </w:r>
            <w:r w:rsidR="006040C6">
              <w:rPr>
                <w:webHidden/>
              </w:rPr>
              <w:instrText xml:space="preserve"> PAGEREF _Toc74753442 \h </w:instrText>
            </w:r>
            <w:r w:rsidR="006040C6">
              <w:rPr>
                <w:webHidden/>
              </w:rPr>
            </w:r>
            <w:r w:rsidR="006040C6">
              <w:rPr>
                <w:webHidden/>
              </w:rPr>
              <w:fldChar w:fldCharType="separate"/>
            </w:r>
            <w:r w:rsidR="00793F6B">
              <w:rPr>
                <w:webHidden/>
              </w:rPr>
              <w:t>7</w:t>
            </w:r>
            <w:r w:rsidR="006040C6">
              <w:rPr>
                <w:webHidden/>
              </w:rPr>
              <w:fldChar w:fldCharType="end"/>
            </w:r>
          </w:hyperlink>
        </w:p>
        <w:p w14:paraId="569E4104" w14:textId="705FAFBF" w:rsidR="006040C6" w:rsidRDefault="009872C8">
          <w:pPr>
            <w:pStyle w:val="TOC2"/>
            <w:tabs>
              <w:tab w:val="left" w:pos="1100"/>
            </w:tabs>
            <w:rPr>
              <w:rFonts w:asciiTheme="minorHAnsi" w:eastAsiaTheme="minorEastAsia" w:hAnsiTheme="minorHAnsi"/>
              <w:lang w:eastAsia="en-AU"/>
            </w:rPr>
          </w:pPr>
          <w:hyperlink w:anchor="_Toc74753443" w:history="1">
            <w:r w:rsidR="006040C6" w:rsidRPr="00A34F91">
              <w:rPr>
                <w:rStyle w:val="Hyperlink"/>
              </w:rPr>
              <w:t>4.6</w:t>
            </w:r>
            <w:r w:rsidR="006040C6">
              <w:rPr>
                <w:rFonts w:asciiTheme="minorHAnsi" w:eastAsiaTheme="minorEastAsia" w:hAnsiTheme="minorHAnsi"/>
                <w:lang w:eastAsia="en-AU"/>
              </w:rPr>
              <w:tab/>
            </w:r>
            <w:r w:rsidR="006040C6" w:rsidRPr="00A34F91">
              <w:rPr>
                <w:rStyle w:val="Hyperlink"/>
              </w:rPr>
              <w:t>Operation of the Regulation</w:t>
            </w:r>
            <w:r w:rsidR="006040C6">
              <w:rPr>
                <w:webHidden/>
              </w:rPr>
              <w:tab/>
            </w:r>
            <w:r w:rsidR="006040C6">
              <w:rPr>
                <w:webHidden/>
              </w:rPr>
              <w:fldChar w:fldCharType="begin"/>
            </w:r>
            <w:r w:rsidR="006040C6">
              <w:rPr>
                <w:webHidden/>
              </w:rPr>
              <w:instrText xml:space="preserve"> PAGEREF _Toc74753443 \h </w:instrText>
            </w:r>
            <w:r w:rsidR="006040C6">
              <w:rPr>
                <w:webHidden/>
              </w:rPr>
            </w:r>
            <w:r w:rsidR="006040C6">
              <w:rPr>
                <w:webHidden/>
              </w:rPr>
              <w:fldChar w:fldCharType="separate"/>
            </w:r>
            <w:r w:rsidR="00793F6B">
              <w:rPr>
                <w:webHidden/>
              </w:rPr>
              <w:t>8</w:t>
            </w:r>
            <w:r w:rsidR="006040C6">
              <w:rPr>
                <w:webHidden/>
              </w:rPr>
              <w:fldChar w:fldCharType="end"/>
            </w:r>
          </w:hyperlink>
        </w:p>
        <w:p w14:paraId="1031092D" w14:textId="151BD49B" w:rsidR="006040C6" w:rsidRDefault="009872C8">
          <w:pPr>
            <w:pStyle w:val="TOC2"/>
            <w:tabs>
              <w:tab w:val="left" w:pos="1100"/>
            </w:tabs>
            <w:rPr>
              <w:rFonts w:asciiTheme="minorHAnsi" w:eastAsiaTheme="minorEastAsia" w:hAnsiTheme="minorHAnsi"/>
              <w:lang w:eastAsia="en-AU"/>
            </w:rPr>
          </w:pPr>
          <w:hyperlink w:anchor="_Toc74753444" w:history="1">
            <w:r w:rsidR="006040C6" w:rsidRPr="00A34F91">
              <w:rPr>
                <w:rStyle w:val="Hyperlink"/>
              </w:rPr>
              <w:t>4.7</w:t>
            </w:r>
            <w:r w:rsidR="006040C6">
              <w:rPr>
                <w:rFonts w:asciiTheme="minorHAnsi" w:eastAsiaTheme="minorEastAsia" w:hAnsiTheme="minorHAnsi"/>
                <w:lang w:eastAsia="en-AU"/>
              </w:rPr>
              <w:tab/>
            </w:r>
            <w:r w:rsidR="006040C6" w:rsidRPr="00A34F91">
              <w:rPr>
                <w:rStyle w:val="Hyperlink"/>
              </w:rPr>
              <w:t>Broader context</w:t>
            </w:r>
            <w:r w:rsidR="006040C6">
              <w:rPr>
                <w:webHidden/>
              </w:rPr>
              <w:tab/>
            </w:r>
            <w:r w:rsidR="006040C6">
              <w:rPr>
                <w:webHidden/>
              </w:rPr>
              <w:fldChar w:fldCharType="begin"/>
            </w:r>
            <w:r w:rsidR="006040C6">
              <w:rPr>
                <w:webHidden/>
              </w:rPr>
              <w:instrText xml:space="preserve"> PAGEREF _Toc74753444 \h </w:instrText>
            </w:r>
            <w:r w:rsidR="006040C6">
              <w:rPr>
                <w:webHidden/>
              </w:rPr>
            </w:r>
            <w:r w:rsidR="006040C6">
              <w:rPr>
                <w:webHidden/>
              </w:rPr>
              <w:fldChar w:fldCharType="separate"/>
            </w:r>
            <w:r w:rsidR="00793F6B">
              <w:rPr>
                <w:webHidden/>
              </w:rPr>
              <w:t>12</w:t>
            </w:r>
            <w:r w:rsidR="006040C6">
              <w:rPr>
                <w:webHidden/>
              </w:rPr>
              <w:fldChar w:fldCharType="end"/>
            </w:r>
          </w:hyperlink>
        </w:p>
        <w:p w14:paraId="4439CB34" w14:textId="180E0ED2" w:rsidR="006040C6" w:rsidRDefault="009872C8">
          <w:pPr>
            <w:pStyle w:val="TOC2"/>
            <w:tabs>
              <w:tab w:val="left" w:pos="1100"/>
            </w:tabs>
            <w:rPr>
              <w:rFonts w:asciiTheme="minorHAnsi" w:eastAsiaTheme="minorEastAsia" w:hAnsiTheme="minorHAnsi"/>
              <w:lang w:eastAsia="en-AU"/>
            </w:rPr>
          </w:pPr>
          <w:hyperlink w:anchor="_Toc74753445" w:history="1">
            <w:r w:rsidR="006040C6" w:rsidRPr="00A34F91">
              <w:rPr>
                <w:rStyle w:val="Hyperlink"/>
              </w:rPr>
              <w:t>4.8</w:t>
            </w:r>
            <w:r w:rsidR="006040C6">
              <w:rPr>
                <w:rFonts w:asciiTheme="minorHAnsi" w:eastAsiaTheme="minorEastAsia" w:hAnsiTheme="minorHAnsi"/>
                <w:lang w:eastAsia="en-AU"/>
              </w:rPr>
              <w:tab/>
            </w:r>
            <w:r w:rsidR="006040C6" w:rsidRPr="00A34F91">
              <w:rPr>
                <w:rStyle w:val="Hyperlink"/>
              </w:rPr>
              <w:t>Broader legislative changes</w:t>
            </w:r>
            <w:r w:rsidR="006040C6">
              <w:rPr>
                <w:webHidden/>
              </w:rPr>
              <w:tab/>
            </w:r>
            <w:r w:rsidR="006040C6">
              <w:rPr>
                <w:webHidden/>
              </w:rPr>
              <w:fldChar w:fldCharType="begin"/>
            </w:r>
            <w:r w:rsidR="006040C6">
              <w:rPr>
                <w:webHidden/>
              </w:rPr>
              <w:instrText xml:space="preserve"> PAGEREF _Toc74753445 \h </w:instrText>
            </w:r>
            <w:r w:rsidR="006040C6">
              <w:rPr>
                <w:webHidden/>
              </w:rPr>
            </w:r>
            <w:r w:rsidR="006040C6">
              <w:rPr>
                <w:webHidden/>
              </w:rPr>
              <w:fldChar w:fldCharType="separate"/>
            </w:r>
            <w:r w:rsidR="00793F6B">
              <w:rPr>
                <w:webHidden/>
              </w:rPr>
              <w:t>13</w:t>
            </w:r>
            <w:r w:rsidR="006040C6">
              <w:rPr>
                <w:webHidden/>
              </w:rPr>
              <w:fldChar w:fldCharType="end"/>
            </w:r>
          </w:hyperlink>
        </w:p>
        <w:p w14:paraId="78356B25" w14:textId="419D03D8" w:rsidR="006040C6" w:rsidRDefault="009872C8">
          <w:pPr>
            <w:pStyle w:val="TOC1"/>
            <w:rPr>
              <w:rFonts w:asciiTheme="minorHAnsi" w:eastAsiaTheme="minorEastAsia" w:hAnsiTheme="minorHAnsi"/>
              <w:b w:val="0"/>
              <w:lang w:eastAsia="en-AU"/>
            </w:rPr>
          </w:pPr>
          <w:hyperlink w:anchor="_Toc74753446" w:history="1">
            <w:r w:rsidR="006040C6" w:rsidRPr="00A34F91">
              <w:rPr>
                <w:rStyle w:val="Hyperlink"/>
              </w:rPr>
              <w:t>5</w:t>
            </w:r>
            <w:r w:rsidR="006040C6">
              <w:rPr>
                <w:rFonts w:asciiTheme="minorHAnsi" w:eastAsiaTheme="minorEastAsia" w:hAnsiTheme="minorHAnsi"/>
                <w:b w:val="0"/>
                <w:lang w:eastAsia="en-AU"/>
              </w:rPr>
              <w:tab/>
            </w:r>
            <w:r w:rsidR="006040C6" w:rsidRPr="00A34F91">
              <w:rPr>
                <w:rStyle w:val="Hyperlink"/>
              </w:rPr>
              <w:t>Potential reforms</w:t>
            </w:r>
            <w:r w:rsidR="006040C6">
              <w:rPr>
                <w:webHidden/>
              </w:rPr>
              <w:tab/>
            </w:r>
            <w:r w:rsidR="006040C6">
              <w:rPr>
                <w:webHidden/>
              </w:rPr>
              <w:fldChar w:fldCharType="begin"/>
            </w:r>
            <w:r w:rsidR="006040C6">
              <w:rPr>
                <w:webHidden/>
              </w:rPr>
              <w:instrText xml:space="preserve"> PAGEREF _Toc74753446 \h </w:instrText>
            </w:r>
            <w:r w:rsidR="006040C6">
              <w:rPr>
                <w:webHidden/>
              </w:rPr>
            </w:r>
            <w:r w:rsidR="006040C6">
              <w:rPr>
                <w:webHidden/>
              </w:rPr>
              <w:fldChar w:fldCharType="separate"/>
            </w:r>
            <w:r w:rsidR="00793F6B">
              <w:rPr>
                <w:webHidden/>
              </w:rPr>
              <w:t>14</w:t>
            </w:r>
            <w:r w:rsidR="006040C6">
              <w:rPr>
                <w:webHidden/>
              </w:rPr>
              <w:fldChar w:fldCharType="end"/>
            </w:r>
          </w:hyperlink>
        </w:p>
        <w:p w14:paraId="345C61CE" w14:textId="5DC75632" w:rsidR="006040C6" w:rsidRDefault="009872C8">
          <w:pPr>
            <w:pStyle w:val="TOC2"/>
            <w:tabs>
              <w:tab w:val="left" w:pos="1100"/>
            </w:tabs>
            <w:rPr>
              <w:rFonts w:asciiTheme="minorHAnsi" w:eastAsiaTheme="minorEastAsia" w:hAnsiTheme="minorHAnsi"/>
              <w:lang w:eastAsia="en-AU"/>
            </w:rPr>
          </w:pPr>
          <w:hyperlink w:anchor="_Toc74753447" w:history="1">
            <w:r w:rsidR="006040C6" w:rsidRPr="00A34F91">
              <w:rPr>
                <w:rStyle w:val="Hyperlink"/>
              </w:rPr>
              <w:t>5.1</w:t>
            </w:r>
            <w:r w:rsidR="006040C6">
              <w:rPr>
                <w:rFonts w:asciiTheme="minorHAnsi" w:eastAsiaTheme="minorEastAsia" w:hAnsiTheme="minorHAnsi"/>
                <w:lang w:eastAsia="en-AU"/>
              </w:rPr>
              <w:tab/>
            </w:r>
            <w:r w:rsidR="006040C6" w:rsidRPr="00A34F91">
              <w:rPr>
                <w:rStyle w:val="Hyperlink"/>
              </w:rPr>
              <w:t>Overall fitness-for-purpose</w:t>
            </w:r>
            <w:r w:rsidR="006040C6">
              <w:rPr>
                <w:webHidden/>
              </w:rPr>
              <w:tab/>
            </w:r>
            <w:r w:rsidR="006040C6">
              <w:rPr>
                <w:webHidden/>
              </w:rPr>
              <w:fldChar w:fldCharType="begin"/>
            </w:r>
            <w:r w:rsidR="006040C6">
              <w:rPr>
                <w:webHidden/>
              </w:rPr>
              <w:instrText xml:space="preserve"> PAGEREF _Toc74753447 \h </w:instrText>
            </w:r>
            <w:r w:rsidR="006040C6">
              <w:rPr>
                <w:webHidden/>
              </w:rPr>
            </w:r>
            <w:r w:rsidR="006040C6">
              <w:rPr>
                <w:webHidden/>
              </w:rPr>
              <w:fldChar w:fldCharType="separate"/>
            </w:r>
            <w:r w:rsidR="00793F6B">
              <w:rPr>
                <w:webHidden/>
              </w:rPr>
              <w:t>14</w:t>
            </w:r>
            <w:r w:rsidR="006040C6">
              <w:rPr>
                <w:webHidden/>
              </w:rPr>
              <w:fldChar w:fldCharType="end"/>
            </w:r>
          </w:hyperlink>
        </w:p>
        <w:p w14:paraId="5720DCF3" w14:textId="707B0840" w:rsidR="006040C6" w:rsidRDefault="009872C8">
          <w:pPr>
            <w:pStyle w:val="TOC2"/>
            <w:tabs>
              <w:tab w:val="left" w:pos="1100"/>
            </w:tabs>
            <w:rPr>
              <w:rFonts w:asciiTheme="minorHAnsi" w:eastAsiaTheme="minorEastAsia" w:hAnsiTheme="minorHAnsi"/>
              <w:lang w:eastAsia="en-AU"/>
            </w:rPr>
          </w:pPr>
          <w:hyperlink w:anchor="_Toc74753448" w:history="1">
            <w:r w:rsidR="006040C6" w:rsidRPr="00A34F91">
              <w:rPr>
                <w:rStyle w:val="Hyperlink"/>
              </w:rPr>
              <w:t>5.2</w:t>
            </w:r>
            <w:r w:rsidR="006040C6">
              <w:rPr>
                <w:rFonts w:asciiTheme="minorHAnsi" w:eastAsiaTheme="minorEastAsia" w:hAnsiTheme="minorHAnsi"/>
                <w:lang w:eastAsia="en-AU"/>
              </w:rPr>
              <w:tab/>
            </w:r>
            <w:r w:rsidR="006040C6" w:rsidRPr="00A34F91">
              <w:rPr>
                <w:rStyle w:val="Hyperlink"/>
              </w:rPr>
              <w:t>Provision of due-diligence information to government</w:t>
            </w:r>
            <w:r w:rsidR="006040C6">
              <w:rPr>
                <w:webHidden/>
              </w:rPr>
              <w:tab/>
            </w:r>
            <w:r w:rsidR="006040C6">
              <w:rPr>
                <w:webHidden/>
              </w:rPr>
              <w:fldChar w:fldCharType="begin"/>
            </w:r>
            <w:r w:rsidR="006040C6">
              <w:rPr>
                <w:webHidden/>
              </w:rPr>
              <w:instrText xml:space="preserve"> PAGEREF _Toc74753448 \h </w:instrText>
            </w:r>
            <w:r w:rsidR="006040C6">
              <w:rPr>
                <w:webHidden/>
              </w:rPr>
            </w:r>
            <w:r w:rsidR="006040C6">
              <w:rPr>
                <w:webHidden/>
              </w:rPr>
              <w:fldChar w:fldCharType="separate"/>
            </w:r>
            <w:r w:rsidR="00793F6B">
              <w:rPr>
                <w:webHidden/>
              </w:rPr>
              <w:t>15</w:t>
            </w:r>
            <w:r w:rsidR="006040C6">
              <w:rPr>
                <w:webHidden/>
              </w:rPr>
              <w:fldChar w:fldCharType="end"/>
            </w:r>
          </w:hyperlink>
        </w:p>
        <w:p w14:paraId="22C92A33" w14:textId="6A04D979" w:rsidR="006040C6" w:rsidRDefault="009872C8">
          <w:pPr>
            <w:pStyle w:val="TOC2"/>
            <w:tabs>
              <w:tab w:val="left" w:pos="1100"/>
            </w:tabs>
            <w:rPr>
              <w:rFonts w:asciiTheme="minorHAnsi" w:eastAsiaTheme="minorEastAsia" w:hAnsiTheme="minorHAnsi"/>
              <w:lang w:eastAsia="en-AU"/>
            </w:rPr>
          </w:pPr>
          <w:hyperlink w:anchor="_Toc74753449" w:history="1">
            <w:r w:rsidR="006040C6" w:rsidRPr="00A34F91">
              <w:rPr>
                <w:rStyle w:val="Hyperlink"/>
              </w:rPr>
              <w:t>5.3</w:t>
            </w:r>
            <w:r w:rsidR="006040C6">
              <w:rPr>
                <w:rFonts w:asciiTheme="minorHAnsi" w:eastAsiaTheme="minorEastAsia" w:hAnsiTheme="minorHAnsi"/>
                <w:lang w:eastAsia="en-AU"/>
              </w:rPr>
              <w:tab/>
            </w:r>
            <w:r w:rsidR="006040C6" w:rsidRPr="00A34F91">
              <w:rPr>
                <w:rStyle w:val="Hyperlink"/>
              </w:rPr>
              <w:t>Strengthening at-border powers</w:t>
            </w:r>
            <w:r w:rsidR="006040C6">
              <w:rPr>
                <w:webHidden/>
              </w:rPr>
              <w:tab/>
            </w:r>
            <w:r w:rsidR="006040C6">
              <w:rPr>
                <w:webHidden/>
              </w:rPr>
              <w:fldChar w:fldCharType="begin"/>
            </w:r>
            <w:r w:rsidR="006040C6">
              <w:rPr>
                <w:webHidden/>
              </w:rPr>
              <w:instrText xml:space="preserve"> PAGEREF _Toc74753449 \h </w:instrText>
            </w:r>
            <w:r w:rsidR="006040C6">
              <w:rPr>
                <w:webHidden/>
              </w:rPr>
            </w:r>
            <w:r w:rsidR="006040C6">
              <w:rPr>
                <w:webHidden/>
              </w:rPr>
              <w:fldChar w:fldCharType="separate"/>
            </w:r>
            <w:r w:rsidR="00793F6B">
              <w:rPr>
                <w:webHidden/>
              </w:rPr>
              <w:t>15</w:t>
            </w:r>
            <w:r w:rsidR="006040C6">
              <w:rPr>
                <w:webHidden/>
              </w:rPr>
              <w:fldChar w:fldCharType="end"/>
            </w:r>
          </w:hyperlink>
        </w:p>
        <w:p w14:paraId="1A64AACA" w14:textId="49867EB3" w:rsidR="006040C6" w:rsidRDefault="009872C8">
          <w:pPr>
            <w:pStyle w:val="TOC2"/>
            <w:tabs>
              <w:tab w:val="left" w:pos="1100"/>
            </w:tabs>
            <w:rPr>
              <w:rFonts w:asciiTheme="minorHAnsi" w:eastAsiaTheme="minorEastAsia" w:hAnsiTheme="minorHAnsi"/>
              <w:lang w:eastAsia="en-AU"/>
            </w:rPr>
          </w:pPr>
          <w:hyperlink w:anchor="_Toc74753450" w:history="1">
            <w:r w:rsidR="006040C6" w:rsidRPr="00A34F91">
              <w:rPr>
                <w:rStyle w:val="Hyperlink"/>
              </w:rPr>
              <w:t>5.4</w:t>
            </w:r>
            <w:r w:rsidR="006040C6">
              <w:rPr>
                <w:rFonts w:asciiTheme="minorHAnsi" w:eastAsiaTheme="minorEastAsia" w:hAnsiTheme="minorHAnsi"/>
                <w:lang w:eastAsia="en-AU"/>
              </w:rPr>
              <w:tab/>
            </w:r>
            <w:r w:rsidR="006040C6" w:rsidRPr="00A34F91">
              <w:rPr>
                <w:rStyle w:val="Hyperlink"/>
              </w:rPr>
              <w:t>Optimising the regulatory burden</w:t>
            </w:r>
            <w:r w:rsidR="006040C6">
              <w:rPr>
                <w:webHidden/>
              </w:rPr>
              <w:tab/>
            </w:r>
            <w:r w:rsidR="006040C6">
              <w:rPr>
                <w:webHidden/>
              </w:rPr>
              <w:fldChar w:fldCharType="begin"/>
            </w:r>
            <w:r w:rsidR="006040C6">
              <w:rPr>
                <w:webHidden/>
              </w:rPr>
              <w:instrText xml:space="preserve"> PAGEREF _Toc74753450 \h </w:instrText>
            </w:r>
            <w:r w:rsidR="006040C6">
              <w:rPr>
                <w:webHidden/>
              </w:rPr>
            </w:r>
            <w:r w:rsidR="006040C6">
              <w:rPr>
                <w:webHidden/>
              </w:rPr>
              <w:fldChar w:fldCharType="separate"/>
            </w:r>
            <w:r w:rsidR="00793F6B">
              <w:rPr>
                <w:webHidden/>
              </w:rPr>
              <w:t>18</w:t>
            </w:r>
            <w:r w:rsidR="006040C6">
              <w:rPr>
                <w:webHidden/>
              </w:rPr>
              <w:fldChar w:fldCharType="end"/>
            </w:r>
          </w:hyperlink>
        </w:p>
        <w:p w14:paraId="22F8CD11" w14:textId="667EC0A2" w:rsidR="006040C6" w:rsidRDefault="009872C8">
          <w:pPr>
            <w:pStyle w:val="TOC2"/>
            <w:tabs>
              <w:tab w:val="left" w:pos="1100"/>
            </w:tabs>
            <w:rPr>
              <w:rFonts w:asciiTheme="minorHAnsi" w:eastAsiaTheme="minorEastAsia" w:hAnsiTheme="minorHAnsi"/>
              <w:lang w:eastAsia="en-AU"/>
            </w:rPr>
          </w:pPr>
          <w:hyperlink w:anchor="_Toc74753451" w:history="1">
            <w:r w:rsidR="006040C6" w:rsidRPr="00A34F91">
              <w:rPr>
                <w:rStyle w:val="Hyperlink"/>
              </w:rPr>
              <w:t>5.5</w:t>
            </w:r>
            <w:r w:rsidR="006040C6">
              <w:rPr>
                <w:rFonts w:asciiTheme="minorHAnsi" w:eastAsiaTheme="minorEastAsia" w:hAnsiTheme="minorHAnsi"/>
                <w:lang w:eastAsia="en-AU"/>
              </w:rPr>
              <w:tab/>
            </w:r>
            <w:r w:rsidR="006040C6" w:rsidRPr="00A34F91">
              <w:rPr>
                <w:rStyle w:val="Hyperlink"/>
              </w:rPr>
              <w:t>Optimising the products regulated</w:t>
            </w:r>
            <w:r w:rsidR="006040C6">
              <w:rPr>
                <w:webHidden/>
              </w:rPr>
              <w:tab/>
            </w:r>
            <w:r w:rsidR="006040C6">
              <w:rPr>
                <w:webHidden/>
              </w:rPr>
              <w:fldChar w:fldCharType="begin"/>
            </w:r>
            <w:r w:rsidR="006040C6">
              <w:rPr>
                <w:webHidden/>
              </w:rPr>
              <w:instrText xml:space="preserve"> PAGEREF _Toc74753451 \h </w:instrText>
            </w:r>
            <w:r w:rsidR="006040C6">
              <w:rPr>
                <w:webHidden/>
              </w:rPr>
            </w:r>
            <w:r w:rsidR="006040C6">
              <w:rPr>
                <w:webHidden/>
              </w:rPr>
              <w:fldChar w:fldCharType="separate"/>
            </w:r>
            <w:r w:rsidR="00793F6B">
              <w:rPr>
                <w:webHidden/>
              </w:rPr>
              <w:t>20</w:t>
            </w:r>
            <w:r w:rsidR="006040C6">
              <w:rPr>
                <w:webHidden/>
              </w:rPr>
              <w:fldChar w:fldCharType="end"/>
            </w:r>
          </w:hyperlink>
        </w:p>
        <w:p w14:paraId="3DDFDC2B" w14:textId="4B82AB9D" w:rsidR="006040C6" w:rsidRDefault="009872C8">
          <w:pPr>
            <w:pStyle w:val="TOC2"/>
            <w:tabs>
              <w:tab w:val="left" w:pos="1100"/>
            </w:tabs>
            <w:rPr>
              <w:rFonts w:asciiTheme="minorHAnsi" w:eastAsiaTheme="minorEastAsia" w:hAnsiTheme="minorHAnsi"/>
              <w:lang w:eastAsia="en-AU"/>
            </w:rPr>
          </w:pPr>
          <w:hyperlink w:anchor="_Toc74753452" w:history="1">
            <w:r w:rsidR="006040C6" w:rsidRPr="00A34F91">
              <w:rPr>
                <w:rStyle w:val="Hyperlink"/>
              </w:rPr>
              <w:t>5.6</w:t>
            </w:r>
            <w:r w:rsidR="006040C6">
              <w:rPr>
                <w:rFonts w:asciiTheme="minorHAnsi" w:eastAsiaTheme="minorEastAsia" w:hAnsiTheme="minorHAnsi"/>
                <w:lang w:eastAsia="en-AU"/>
              </w:rPr>
              <w:tab/>
            </w:r>
            <w:r w:rsidR="006040C6" w:rsidRPr="00A34F91">
              <w:rPr>
                <w:rStyle w:val="Hyperlink"/>
              </w:rPr>
              <w:t>Additional operational improvements</w:t>
            </w:r>
            <w:r w:rsidR="006040C6">
              <w:rPr>
                <w:webHidden/>
              </w:rPr>
              <w:tab/>
            </w:r>
            <w:r w:rsidR="006040C6">
              <w:rPr>
                <w:webHidden/>
              </w:rPr>
              <w:fldChar w:fldCharType="begin"/>
            </w:r>
            <w:r w:rsidR="006040C6">
              <w:rPr>
                <w:webHidden/>
              </w:rPr>
              <w:instrText xml:space="preserve"> PAGEREF _Toc74753452 \h </w:instrText>
            </w:r>
            <w:r w:rsidR="006040C6">
              <w:rPr>
                <w:webHidden/>
              </w:rPr>
            </w:r>
            <w:r w:rsidR="006040C6">
              <w:rPr>
                <w:webHidden/>
              </w:rPr>
              <w:fldChar w:fldCharType="separate"/>
            </w:r>
            <w:r w:rsidR="00793F6B">
              <w:rPr>
                <w:webHidden/>
              </w:rPr>
              <w:t>22</w:t>
            </w:r>
            <w:r w:rsidR="006040C6">
              <w:rPr>
                <w:webHidden/>
              </w:rPr>
              <w:fldChar w:fldCharType="end"/>
            </w:r>
          </w:hyperlink>
        </w:p>
        <w:p w14:paraId="500E330A" w14:textId="354E5C9B" w:rsidR="006040C6" w:rsidRDefault="009872C8">
          <w:pPr>
            <w:pStyle w:val="TOC1"/>
            <w:rPr>
              <w:rFonts w:asciiTheme="minorHAnsi" w:eastAsiaTheme="minorEastAsia" w:hAnsiTheme="minorHAnsi"/>
              <w:b w:val="0"/>
              <w:lang w:eastAsia="en-AU"/>
            </w:rPr>
          </w:pPr>
          <w:hyperlink w:anchor="_Toc74753453" w:history="1">
            <w:r w:rsidR="006040C6" w:rsidRPr="00A34F91">
              <w:rPr>
                <w:rStyle w:val="Hyperlink"/>
              </w:rPr>
              <w:t>Glossary</w:t>
            </w:r>
            <w:r w:rsidR="006040C6">
              <w:rPr>
                <w:webHidden/>
              </w:rPr>
              <w:tab/>
            </w:r>
            <w:r w:rsidR="006040C6">
              <w:rPr>
                <w:webHidden/>
              </w:rPr>
              <w:fldChar w:fldCharType="begin"/>
            </w:r>
            <w:r w:rsidR="006040C6">
              <w:rPr>
                <w:webHidden/>
              </w:rPr>
              <w:instrText xml:space="preserve"> PAGEREF _Toc74753453 \h </w:instrText>
            </w:r>
            <w:r w:rsidR="006040C6">
              <w:rPr>
                <w:webHidden/>
              </w:rPr>
            </w:r>
            <w:r w:rsidR="006040C6">
              <w:rPr>
                <w:webHidden/>
              </w:rPr>
              <w:fldChar w:fldCharType="separate"/>
            </w:r>
            <w:r w:rsidR="00793F6B">
              <w:rPr>
                <w:webHidden/>
              </w:rPr>
              <w:t>24</w:t>
            </w:r>
            <w:r w:rsidR="006040C6">
              <w:rPr>
                <w:webHidden/>
              </w:rPr>
              <w:fldChar w:fldCharType="end"/>
            </w:r>
          </w:hyperlink>
        </w:p>
        <w:p w14:paraId="4BC8E32B" w14:textId="2B7279A6" w:rsidR="006040C6" w:rsidRDefault="009872C8">
          <w:pPr>
            <w:pStyle w:val="TOC1"/>
            <w:rPr>
              <w:rFonts w:asciiTheme="minorHAnsi" w:eastAsiaTheme="minorEastAsia" w:hAnsiTheme="minorHAnsi"/>
              <w:b w:val="0"/>
              <w:lang w:eastAsia="en-AU"/>
            </w:rPr>
          </w:pPr>
          <w:hyperlink w:anchor="_Toc74753454" w:history="1">
            <w:r w:rsidR="006040C6" w:rsidRPr="00A34F91">
              <w:rPr>
                <w:rStyle w:val="Hyperlink"/>
              </w:rPr>
              <w:t>Abbreviations</w:t>
            </w:r>
            <w:r w:rsidR="006040C6">
              <w:rPr>
                <w:webHidden/>
              </w:rPr>
              <w:tab/>
            </w:r>
            <w:r w:rsidR="006040C6">
              <w:rPr>
                <w:webHidden/>
              </w:rPr>
              <w:fldChar w:fldCharType="begin"/>
            </w:r>
            <w:r w:rsidR="006040C6">
              <w:rPr>
                <w:webHidden/>
              </w:rPr>
              <w:instrText xml:space="preserve"> PAGEREF _Toc74753454 \h </w:instrText>
            </w:r>
            <w:r w:rsidR="006040C6">
              <w:rPr>
                <w:webHidden/>
              </w:rPr>
            </w:r>
            <w:r w:rsidR="006040C6">
              <w:rPr>
                <w:webHidden/>
              </w:rPr>
              <w:fldChar w:fldCharType="separate"/>
            </w:r>
            <w:r w:rsidR="00793F6B">
              <w:rPr>
                <w:webHidden/>
              </w:rPr>
              <w:t>25</w:t>
            </w:r>
            <w:r w:rsidR="006040C6">
              <w:rPr>
                <w:webHidden/>
              </w:rPr>
              <w:fldChar w:fldCharType="end"/>
            </w:r>
          </w:hyperlink>
        </w:p>
        <w:p w14:paraId="74BFCEF8" w14:textId="77963BC0" w:rsidR="006040C6" w:rsidRDefault="009872C8">
          <w:pPr>
            <w:pStyle w:val="TOC1"/>
            <w:rPr>
              <w:rFonts w:asciiTheme="minorHAnsi" w:eastAsiaTheme="minorEastAsia" w:hAnsiTheme="minorHAnsi"/>
              <w:b w:val="0"/>
              <w:lang w:eastAsia="en-AU"/>
            </w:rPr>
          </w:pPr>
          <w:hyperlink w:anchor="_Toc74753455" w:history="1">
            <w:r w:rsidR="006040C6" w:rsidRPr="00A34F91">
              <w:rPr>
                <w:rStyle w:val="Hyperlink"/>
              </w:rPr>
              <w:t>Annex 1: Timber ID Technologies</w:t>
            </w:r>
            <w:r w:rsidR="006040C6">
              <w:rPr>
                <w:webHidden/>
              </w:rPr>
              <w:tab/>
            </w:r>
            <w:r w:rsidR="006040C6">
              <w:rPr>
                <w:webHidden/>
              </w:rPr>
              <w:fldChar w:fldCharType="begin"/>
            </w:r>
            <w:r w:rsidR="006040C6">
              <w:rPr>
                <w:webHidden/>
              </w:rPr>
              <w:instrText xml:space="preserve"> PAGEREF _Toc74753455 \h </w:instrText>
            </w:r>
            <w:r w:rsidR="006040C6">
              <w:rPr>
                <w:webHidden/>
              </w:rPr>
            </w:r>
            <w:r w:rsidR="006040C6">
              <w:rPr>
                <w:webHidden/>
              </w:rPr>
              <w:fldChar w:fldCharType="separate"/>
            </w:r>
            <w:r w:rsidR="00793F6B">
              <w:rPr>
                <w:webHidden/>
              </w:rPr>
              <w:t>26</w:t>
            </w:r>
            <w:r w:rsidR="006040C6">
              <w:rPr>
                <w:webHidden/>
              </w:rPr>
              <w:fldChar w:fldCharType="end"/>
            </w:r>
          </w:hyperlink>
        </w:p>
        <w:p w14:paraId="7D7404F0" w14:textId="7E255D25" w:rsidR="006040C6" w:rsidRDefault="009872C8">
          <w:pPr>
            <w:pStyle w:val="TOC2"/>
            <w:rPr>
              <w:rFonts w:asciiTheme="minorHAnsi" w:eastAsiaTheme="minorEastAsia" w:hAnsiTheme="minorHAnsi"/>
              <w:lang w:eastAsia="en-AU"/>
            </w:rPr>
          </w:pPr>
          <w:hyperlink w:anchor="_Toc74753456" w:history="1">
            <w:r w:rsidR="006040C6" w:rsidRPr="00A34F91">
              <w:rPr>
                <w:rStyle w:val="Hyperlink"/>
              </w:rPr>
              <w:t>Wood anatomy analysis</w:t>
            </w:r>
            <w:r w:rsidR="006040C6">
              <w:rPr>
                <w:webHidden/>
              </w:rPr>
              <w:tab/>
            </w:r>
            <w:r w:rsidR="006040C6">
              <w:rPr>
                <w:webHidden/>
              </w:rPr>
              <w:fldChar w:fldCharType="begin"/>
            </w:r>
            <w:r w:rsidR="006040C6">
              <w:rPr>
                <w:webHidden/>
              </w:rPr>
              <w:instrText xml:space="preserve"> PAGEREF _Toc74753456 \h </w:instrText>
            </w:r>
            <w:r w:rsidR="006040C6">
              <w:rPr>
                <w:webHidden/>
              </w:rPr>
            </w:r>
            <w:r w:rsidR="006040C6">
              <w:rPr>
                <w:webHidden/>
              </w:rPr>
              <w:fldChar w:fldCharType="separate"/>
            </w:r>
            <w:r w:rsidR="00793F6B">
              <w:rPr>
                <w:webHidden/>
              </w:rPr>
              <w:t>26</w:t>
            </w:r>
            <w:r w:rsidR="006040C6">
              <w:rPr>
                <w:webHidden/>
              </w:rPr>
              <w:fldChar w:fldCharType="end"/>
            </w:r>
          </w:hyperlink>
        </w:p>
        <w:p w14:paraId="66EE6D56" w14:textId="35F32AB8" w:rsidR="006040C6" w:rsidRDefault="009872C8">
          <w:pPr>
            <w:pStyle w:val="TOC2"/>
            <w:rPr>
              <w:rFonts w:asciiTheme="minorHAnsi" w:eastAsiaTheme="minorEastAsia" w:hAnsiTheme="minorHAnsi"/>
              <w:lang w:eastAsia="en-AU"/>
            </w:rPr>
          </w:pPr>
          <w:hyperlink w:anchor="_Toc74753457" w:history="1">
            <w:r w:rsidR="006040C6" w:rsidRPr="00A34F91">
              <w:rPr>
                <w:rStyle w:val="Hyperlink"/>
              </w:rPr>
              <w:t>DNA analysis</w:t>
            </w:r>
            <w:r w:rsidR="006040C6">
              <w:rPr>
                <w:webHidden/>
              </w:rPr>
              <w:tab/>
            </w:r>
            <w:r w:rsidR="006040C6">
              <w:rPr>
                <w:webHidden/>
              </w:rPr>
              <w:fldChar w:fldCharType="begin"/>
            </w:r>
            <w:r w:rsidR="006040C6">
              <w:rPr>
                <w:webHidden/>
              </w:rPr>
              <w:instrText xml:space="preserve"> PAGEREF _Toc74753457 \h </w:instrText>
            </w:r>
            <w:r w:rsidR="006040C6">
              <w:rPr>
                <w:webHidden/>
              </w:rPr>
            </w:r>
            <w:r w:rsidR="006040C6">
              <w:rPr>
                <w:webHidden/>
              </w:rPr>
              <w:fldChar w:fldCharType="separate"/>
            </w:r>
            <w:r w:rsidR="00793F6B">
              <w:rPr>
                <w:webHidden/>
              </w:rPr>
              <w:t>26</w:t>
            </w:r>
            <w:r w:rsidR="006040C6">
              <w:rPr>
                <w:webHidden/>
              </w:rPr>
              <w:fldChar w:fldCharType="end"/>
            </w:r>
          </w:hyperlink>
        </w:p>
        <w:p w14:paraId="63E569B6" w14:textId="31BDB662" w:rsidR="006040C6" w:rsidRDefault="009872C8">
          <w:pPr>
            <w:pStyle w:val="TOC2"/>
            <w:rPr>
              <w:rFonts w:asciiTheme="minorHAnsi" w:eastAsiaTheme="minorEastAsia" w:hAnsiTheme="minorHAnsi"/>
              <w:lang w:eastAsia="en-AU"/>
            </w:rPr>
          </w:pPr>
          <w:hyperlink w:anchor="_Toc74753458" w:history="1">
            <w:r w:rsidR="006040C6" w:rsidRPr="00A34F91">
              <w:rPr>
                <w:rStyle w:val="Hyperlink"/>
              </w:rPr>
              <w:t>Stable isotope testing</w:t>
            </w:r>
            <w:r w:rsidR="006040C6">
              <w:rPr>
                <w:webHidden/>
              </w:rPr>
              <w:tab/>
            </w:r>
            <w:r w:rsidR="006040C6">
              <w:rPr>
                <w:webHidden/>
              </w:rPr>
              <w:fldChar w:fldCharType="begin"/>
            </w:r>
            <w:r w:rsidR="006040C6">
              <w:rPr>
                <w:webHidden/>
              </w:rPr>
              <w:instrText xml:space="preserve"> PAGEREF _Toc74753458 \h </w:instrText>
            </w:r>
            <w:r w:rsidR="006040C6">
              <w:rPr>
                <w:webHidden/>
              </w:rPr>
            </w:r>
            <w:r w:rsidR="006040C6">
              <w:rPr>
                <w:webHidden/>
              </w:rPr>
              <w:fldChar w:fldCharType="separate"/>
            </w:r>
            <w:r w:rsidR="00793F6B">
              <w:rPr>
                <w:webHidden/>
              </w:rPr>
              <w:t>27</w:t>
            </w:r>
            <w:r w:rsidR="006040C6">
              <w:rPr>
                <w:webHidden/>
              </w:rPr>
              <w:fldChar w:fldCharType="end"/>
            </w:r>
          </w:hyperlink>
        </w:p>
        <w:p w14:paraId="7315536A" w14:textId="7192AE0C" w:rsidR="006040C6" w:rsidRDefault="009872C8">
          <w:pPr>
            <w:pStyle w:val="TOC2"/>
            <w:rPr>
              <w:rFonts w:asciiTheme="minorHAnsi" w:eastAsiaTheme="minorEastAsia" w:hAnsiTheme="minorHAnsi"/>
              <w:lang w:eastAsia="en-AU"/>
            </w:rPr>
          </w:pPr>
          <w:hyperlink w:anchor="_Toc74753459" w:history="1">
            <w:r w:rsidR="006040C6" w:rsidRPr="00A34F91">
              <w:rPr>
                <w:rStyle w:val="Hyperlink"/>
              </w:rPr>
              <w:t>Fibre analysis</w:t>
            </w:r>
            <w:r w:rsidR="006040C6">
              <w:rPr>
                <w:webHidden/>
              </w:rPr>
              <w:tab/>
            </w:r>
            <w:r w:rsidR="006040C6">
              <w:rPr>
                <w:webHidden/>
              </w:rPr>
              <w:fldChar w:fldCharType="begin"/>
            </w:r>
            <w:r w:rsidR="006040C6">
              <w:rPr>
                <w:webHidden/>
              </w:rPr>
              <w:instrText xml:space="preserve"> PAGEREF _Toc74753459 \h </w:instrText>
            </w:r>
            <w:r w:rsidR="006040C6">
              <w:rPr>
                <w:webHidden/>
              </w:rPr>
            </w:r>
            <w:r w:rsidR="006040C6">
              <w:rPr>
                <w:webHidden/>
              </w:rPr>
              <w:fldChar w:fldCharType="separate"/>
            </w:r>
            <w:r w:rsidR="00793F6B">
              <w:rPr>
                <w:webHidden/>
              </w:rPr>
              <w:t>27</w:t>
            </w:r>
            <w:r w:rsidR="006040C6">
              <w:rPr>
                <w:webHidden/>
              </w:rPr>
              <w:fldChar w:fldCharType="end"/>
            </w:r>
          </w:hyperlink>
        </w:p>
        <w:p w14:paraId="142E03B8" w14:textId="69F8253B" w:rsidR="006040C6" w:rsidRDefault="009872C8">
          <w:pPr>
            <w:pStyle w:val="TOC2"/>
            <w:rPr>
              <w:rFonts w:asciiTheme="minorHAnsi" w:eastAsiaTheme="minorEastAsia" w:hAnsiTheme="minorHAnsi"/>
              <w:lang w:eastAsia="en-AU"/>
            </w:rPr>
          </w:pPr>
          <w:hyperlink w:anchor="_Toc74753460" w:history="1">
            <w:r w:rsidR="006040C6" w:rsidRPr="00A34F91">
              <w:rPr>
                <w:rStyle w:val="Hyperlink"/>
              </w:rPr>
              <w:t>TSW Trace Technology</w:t>
            </w:r>
            <w:r w:rsidR="006040C6">
              <w:rPr>
                <w:webHidden/>
              </w:rPr>
              <w:tab/>
            </w:r>
            <w:r w:rsidR="006040C6">
              <w:rPr>
                <w:webHidden/>
              </w:rPr>
              <w:fldChar w:fldCharType="begin"/>
            </w:r>
            <w:r w:rsidR="006040C6">
              <w:rPr>
                <w:webHidden/>
              </w:rPr>
              <w:instrText xml:space="preserve"> PAGEREF _Toc74753460 \h </w:instrText>
            </w:r>
            <w:r w:rsidR="006040C6">
              <w:rPr>
                <w:webHidden/>
              </w:rPr>
            </w:r>
            <w:r w:rsidR="006040C6">
              <w:rPr>
                <w:webHidden/>
              </w:rPr>
              <w:fldChar w:fldCharType="separate"/>
            </w:r>
            <w:r w:rsidR="00793F6B">
              <w:rPr>
                <w:webHidden/>
              </w:rPr>
              <w:t>27</w:t>
            </w:r>
            <w:r w:rsidR="006040C6">
              <w:rPr>
                <w:webHidden/>
              </w:rPr>
              <w:fldChar w:fldCharType="end"/>
            </w:r>
          </w:hyperlink>
        </w:p>
        <w:p w14:paraId="44516736" w14:textId="2F13AA32" w:rsidR="006040C6" w:rsidRDefault="009872C8">
          <w:pPr>
            <w:pStyle w:val="TOC2"/>
            <w:rPr>
              <w:rFonts w:asciiTheme="minorHAnsi" w:eastAsiaTheme="minorEastAsia" w:hAnsiTheme="minorHAnsi"/>
              <w:lang w:eastAsia="en-AU"/>
            </w:rPr>
          </w:pPr>
          <w:hyperlink w:anchor="_Toc74753461" w:history="1">
            <w:r w:rsidR="006040C6" w:rsidRPr="00A34F91">
              <w:rPr>
                <w:rStyle w:val="Hyperlink"/>
              </w:rPr>
              <w:t>Direct Analysis in Real Time (Time of Flight) Mass Spectrometry (DART-TOFMS)</w:t>
            </w:r>
            <w:r w:rsidR="006040C6">
              <w:rPr>
                <w:webHidden/>
              </w:rPr>
              <w:tab/>
            </w:r>
            <w:r w:rsidR="006040C6">
              <w:rPr>
                <w:webHidden/>
              </w:rPr>
              <w:fldChar w:fldCharType="begin"/>
            </w:r>
            <w:r w:rsidR="006040C6">
              <w:rPr>
                <w:webHidden/>
              </w:rPr>
              <w:instrText xml:space="preserve"> PAGEREF _Toc74753461 \h </w:instrText>
            </w:r>
            <w:r w:rsidR="006040C6">
              <w:rPr>
                <w:webHidden/>
              </w:rPr>
            </w:r>
            <w:r w:rsidR="006040C6">
              <w:rPr>
                <w:webHidden/>
              </w:rPr>
              <w:fldChar w:fldCharType="separate"/>
            </w:r>
            <w:r w:rsidR="00793F6B">
              <w:rPr>
                <w:webHidden/>
              </w:rPr>
              <w:t>27</w:t>
            </w:r>
            <w:r w:rsidR="006040C6">
              <w:rPr>
                <w:webHidden/>
              </w:rPr>
              <w:fldChar w:fldCharType="end"/>
            </w:r>
          </w:hyperlink>
        </w:p>
        <w:p w14:paraId="01F15365" w14:textId="4385574D" w:rsidR="006040C6" w:rsidRDefault="009872C8">
          <w:pPr>
            <w:pStyle w:val="TOC2"/>
            <w:rPr>
              <w:rFonts w:asciiTheme="minorHAnsi" w:eastAsiaTheme="minorEastAsia" w:hAnsiTheme="minorHAnsi"/>
              <w:lang w:eastAsia="en-AU"/>
            </w:rPr>
          </w:pPr>
          <w:hyperlink w:anchor="_Toc74753462" w:history="1">
            <w:r w:rsidR="006040C6" w:rsidRPr="00A34F91">
              <w:rPr>
                <w:rStyle w:val="Hyperlink"/>
              </w:rPr>
              <w:t>Xylotron platform</w:t>
            </w:r>
            <w:r w:rsidR="006040C6">
              <w:rPr>
                <w:webHidden/>
              </w:rPr>
              <w:tab/>
            </w:r>
            <w:r w:rsidR="006040C6">
              <w:rPr>
                <w:webHidden/>
              </w:rPr>
              <w:fldChar w:fldCharType="begin"/>
            </w:r>
            <w:r w:rsidR="006040C6">
              <w:rPr>
                <w:webHidden/>
              </w:rPr>
              <w:instrText xml:space="preserve"> PAGEREF _Toc74753462 \h </w:instrText>
            </w:r>
            <w:r w:rsidR="006040C6">
              <w:rPr>
                <w:webHidden/>
              </w:rPr>
            </w:r>
            <w:r w:rsidR="006040C6">
              <w:rPr>
                <w:webHidden/>
              </w:rPr>
              <w:fldChar w:fldCharType="separate"/>
            </w:r>
            <w:r w:rsidR="00793F6B">
              <w:rPr>
                <w:webHidden/>
              </w:rPr>
              <w:t>28</w:t>
            </w:r>
            <w:r w:rsidR="006040C6">
              <w:rPr>
                <w:webHidden/>
              </w:rPr>
              <w:fldChar w:fldCharType="end"/>
            </w:r>
          </w:hyperlink>
        </w:p>
        <w:p w14:paraId="2218F5D4" w14:textId="6D44DEA6" w:rsidR="006040C6" w:rsidRDefault="009872C8">
          <w:pPr>
            <w:pStyle w:val="TOC1"/>
            <w:rPr>
              <w:rFonts w:asciiTheme="minorHAnsi" w:eastAsiaTheme="minorEastAsia" w:hAnsiTheme="minorHAnsi"/>
              <w:b w:val="0"/>
              <w:lang w:eastAsia="en-AU"/>
            </w:rPr>
          </w:pPr>
          <w:hyperlink w:anchor="_Toc74753463" w:history="1">
            <w:r w:rsidR="006040C6" w:rsidRPr="00A34F91">
              <w:rPr>
                <w:rStyle w:val="Hyperlink"/>
              </w:rPr>
              <w:t>References</w:t>
            </w:r>
            <w:r w:rsidR="006040C6">
              <w:rPr>
                <w:webHidden/>
              </w:rPr>
              <w:tab/>
            </w:r>
            <w:r w:rsidR="006040C6">
              <w:rPr>
                <w:webHidden/>
              </w:rPr>
              <w:fldChar w:fldCharType="begin"/>
            </w:r>
            <w:r w:rsidR="006040C6">
              <w:rPr>
                <w:webHidden/>
              </w:rPr>
              <w:instrText xml:space="preserve"> PAGEREF _Toc74753463 \h </w:instrText>
            </w:r>
            <w:r w:rsidR="006040C6">
              <w:rPr>
                <w:webHidden/>
              </w:rPr>
            </w:r>
            <w:r w:rsidR="006040C6">
              <w:rPr>
                <w:webHidden/>
              </w:rPr>
              <w:fldChar w:fldCharType="separate"/>
            </w:r>
            <w:r w:rsidR="00793F6B">
              <w:rPr>
                <w:webHidden/>
              </w:rPr>
              <w:t>29</w:t>
            </w:r>
            <w:r w:rsidR="006040C6">
              <w:rPr>
                <w:webHidden/>
              </w:rPr>
              <w:fldChar w:fldCharType="end"/>
            </w:r>
          </w:hyperlink>
        </w:p>
        <w:p w14:paraId="689949A5" w14:textId="329B78F8" w:rsidR="00764D6A" w:rsidRDefault="00E91D72">
          <w:r>
            <w:rPr>
              <w:b/>
              <w:noProof/>
            </w:rPr>
            <w:fldChar w:fldCharType="end"/>
          </w:r>
        </w:p>
      </w:sdtContent>
    </w:sdt>
    <w:p w14:paraId="58543BF3" w14:textId="77777777" w:rsidR="00764D6A" w:rsidRDefault="00E91D72">
      <w:pPr>
        <w:pStyle w:val="TOCHeading2"/>
        <w:rPr>
          <w:rStyle w:val="Strong"/>
        </w:rPr>
      </w:pPr>
      <w:r>
        <w:rPr>
          <w:rStyle w:val="Strong"/>
        </w:rPr>
        <w:t>Figures</w:t>
      </w:r>
    </w:p>
    <w:p w14:paraId="421BBAC5" w14:textId="77736DF3" w:rsidR="006040C6"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74753464" w:history="1">
        <w:r w:rsidR="006040C6" w:rsidRPr="00524D9C">
          <w:rPr>
            <w:rStyle w:val="Hyperlink"/>
            <w:noProof/>
          </w:rPr>
          <w:t>Figure 1 Department’s differentiated response to non-compliance</w:t>
        </w:r>
        <w:r w:rsidR="006040C6">
          <w:rPr>
            <w:noProof/>
            <w:webHidden/>
          </w:rPr>
          <w:tab/>
        </w:r>
        <w:r w:rsidR="006040C6">
          <w:rPr>
            <w:noProof/>
            <w:webHidden/>
          </w:rPr>
          <w:fldChar w:fldCharType="begin"/>
        </w:r>
        <w:r w:rsidR="006040C6">
          <w:rPr>
            <w:noProof/>
            <w:webHidden/>
          </w:rPr>
          <w:instrText xml:space="preserve"> PAGEREF _Toc74753464 \h </w:instrText>
        </w:r>
        <w:r w:rsidR="006040C6">
          <w:rPr>
            <w:noProof/>
            <w:webHidden/>
          </w:rPr>
        </w:r>
        <w:r w:rsidR="006040C6">
          <w:rPr>
            <w:noProof/>
            <w:webHidden/>
          </w:rPr>
          <w:fldChar w:fldCharType="separate"/>
        </w:r>
        <w:r w:rsidR="00793F6B">
          <w:rPr>
            <w:noProof/>
            <w:webHidden/>
          </w:rPr>
          <w:t>9</w:t>
        </w:r>
        <w:r w:rsidR="006040C6">
          <w:rPr>
            <w:noProof/>
            <w:webHidden/>
          </w:rPr>
          <w:fldChar w:fldCharType="end"/>
        </w:r>
      </w:hyperlink>
    </w:p>
    <w:p w14:paraId="3CD8EC63" w14:textId="24AF059B" w:rsidR="006040C6" w:rsidRDefault="009872C8">
      <w:pPr>
        <w:pStyle w:val="TableofFigures"/>
        <w:tabs>
          <w:tab w:val="right" w:leader="dot" w:pos="9060"/>
        </w:tabs>
        <w:rPr>
          <w:rFonts w:asciiTheme="minorHAnsi" w:eastAsiaTheme="minorEastAsia" w:hAnsiTheme="minorHAnsi"/>
          <w:noProof/>
          <w:lang w:eastAsia="en-AU"/>
        </w:rPr>
      </w:pPr>
      <w:hyperlink w:anchor="_Toc74753465" w:history="1">
        <w:r w:rsidR="006040C6" w:rsidRPr="00524D9C">
          <w:rPr>
            <w:rStyle w:val="Hyperlink"/>
            <w:noProof/>
          </w:rPr>
          <w:t>Figure 2 Timeline of implementation of Australia’s illegal logging legislation</w:t>
        </w:r>
        <w:r w:rsidR="006040C6">
          <w:rPr>
            <w:noProof/>
            <w:webHidden/>
          </w:rPr>
          <w:tab/>
        </w:r>
        <w:r w:rsidR="006040C6">
          <w:rPr>
            <w:noProof/>
            <w:webHidden/>
          </w:rPr>
          <w:fldChar w:fldCharType="begin"/>
        </w:r>
        <w:r w:rsidR="006040C6">
          <w:rPr>
            <w:noProof/>
            <w:webHidden/>
          </w:rPr>
          <w:instrText xml:space="preserve"> PAGEREF _Toc74753465 \h </w:instrText>
        </w:r>
        <w:r w:rsidR="006040C6">
          <w:rPr>
            <w:noProof/>
            <w:webHidden/>
          </w:rPr>
        </w:r>
        <w:r w:rsidR="006040C6">
          <w:rPr>
            <w:noProof/>
            <w:webHidden/>
          </w:rPr>
          <w:fldChar w:fldCharType="separate"/>
        </w:r>
        <w:r w:rsidR="00793F6B">
          <w:rPr>
            <w:noProof/>
            <w:webHidden/>
          </w:rPr>
          <w:t>12</w:t>
        </w:r>
        <w:r w:rsidR="006040C6">
          <w:rPr>
            <w:noProof/>
            <w:webHidden/>
          </w:rPr>
          <w:fldChar w:fldCharType="end"/>
        </w:r>
      </w:hyperlink>
    </w:p>
    <w:p w14:paraId="2BFC9084" w14:textId="68F15D1E" w:rsidR="00764D6A" w:rsidRDefault="00E91D72">
      <w:r>
        <w:fldChar w:fldCharType="end"/>
      </w:r>
    </w:p>
    <w:p w14:paraId="3062AD70" w14:textId="0528ED97" w:rsidR="00044635" w:rsidRDefault="00044635" w:rsidP="00044635">
      <w:pPr>
        <w:sectPr w:rsidR="00044635">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bookmarkStart w:id="0" w:name="_Toc430782149"/>
    </w:p>
    <w:p w14:paraId="74C4AB5B" w14:textId="66B7053B" w:rsidR="00764D6A" w:rsidRDefault="00E91D72" w:rsidP="00A278DE">
      <w:pPr>
        <w:pStyle w:val="Heading2"/>
      </w:pPr>
      <w:bookmarkStart w:id="1" w:name="_Toc72397559"/>
      <w:bookmarkStart w:id="2" w:name="_Toc72328669"/>
      <w:bookmarkStart w:id="3" w:name="_Toc74753425"/>
      <w:r>
        <w:lastRenderedPageBreak/>
        <w:t>Su</w:t>
      </w:r>
      <w:r w:rsidR="00BE1812">
        <w:t>bmissions</w:t>
      </w:r>
      <w:bookmarkEnd w:id="0"/>
      <w:bookmarkEnd w:id="1"/>
      <w:bookmarkEnd w:id="2"/>
      <w:bookmarkEnd w:id="3"/>
    </w:p>
    <w:p w14:paraId="457BCDE0" w14:textId="77777777" w:rsidR="00BE1812" w:rsidRDefault="00BE1812" w:rsidP="00A278DE">
      <w:pPr>
        <w:pStyle w:val="Heading3"/>
      </w:pPr>
      <w:bookmarkStart w:id="4" w:name="_Toc72397560"/>
      <w:bookmarkStart w:id="5" w:name="_Toc72328670"/>
      <w:bookmarkStart w:id="6" w:name="_Toc74753426"/>
      <w:r>
        <w:t>How to have your say</w:t>
      </w:r>
      <w:bookmarkEnd w:id="4"/>
      <w:bookmarkEnd w:id="5"/>
      <w:bookmarkEnd w:id="6"/>
    </w:p>
    <w:p w14:paraId="3995D41B" w14:textId="268A1BE2" w:rsidR="00BE1812" w:rsidRDefault="00BE1812" w:rsidP="00BE1812">
      <w:r>
        <w:t xml:space="preserve">The Department of Agriculture, Water and the Environment is seeking feedback from stakeholders on the Illegal Logging Prohibition Regulation 2012 </w:t>
      </w:r>
      <w:r w:rsidR="0076582D">
        <w:t xml:space="preserve">(the Regulation) </w:t>
      </w:r>
      <w:r>
        <w:t xml:space="preserve">and wider illegal logging </w:t>
      </w:r>
      <w:r w:rsidR="008474C1">
        <w:t>laws</w:t>
      </w:r>
      <w:r>
        <w:t xml:space="preserve">. Your views will help inform the final recommendations provided to the Minister for Agriculture, Drought and Emergency Management and </w:t>
      </w:r>
      <w:r w:rsidR="000528AE">
        <w:t xml:space="preserve">the </w:t>
      </w:r>
      <w:r>
        <w:t>Assistant Minister for Forestry and Fisheries.</w:t>
      </w:r>
    </w:p>
    <w:p w14:paraId="43F6DF75" w14:textId="4A1566FA" w:rsidR="00BE1812" w:rsidRDefault="00BE1812" w:rsidP="00BE1812">
      <w:r>
        <w:t>We encourage you to read this paper before you submit. It details key issues to consider. You can provide feedback on some or all of these issues</w:t>
      </w:r>
      <w:r w:rsidR="00543BB2">
        <w:t xml:space="preserve"> using the questions given as cues</w:t>
      </w:r>
      <w:r>
        <w:t>. We also encourage you to suggest any other areas that should be explored.</w:t>
      </w:r>
    </w:p>
    <w:p w14:paraId="180C8D6F" w14:textId="321C554B" w:rsidR="003C5F1B" w:rsidRDefault="00BE1812" w:rsidP="00BE1812">
      <w:r>
        <w:t xml:space="preserve">You can </w:t>
      </w:r>
      <w:r w:rsidR="00605BCB">
        <w:t>make a submission or complete a short online survey</w:t>
      </w:r>
      <w:r>
        <w:t xml:space="preserve"> via </w:t>
      </w:r>
      <w:r w:rsidR="00605BCB">
        <w:t>the</w:t>
      </w:r>
      <w:r>
        <w:t xml:space="preserve"> </w:t>
      </w:r>
      <w:hyperlink r:id="rId20" w:history="1">
        <w:r w:rsidRPr="004F6FB7">
          <w:rPr>
            <w:rStyle w:val="Hyperlink"/>
          </w:rPr>
          <w:t>online form</w:t>
        </w:r>
      </w:hyperlink>
      <w:r w:rsidR="00605BCB">
        <w:t xml:space="preserve"> on the </w:t>
      </w:r>
      <w:r w:rsidR="00215B49">
        <w:t>d</w:t>
      </w:r>
      <w:r w:rsidR="00605BCB">
        <w:t>epartment’s Have Your Say website</w:t>
      </w:r>
      <w:r w:rsidR="00C8557E">
        <w:t>.</w:t>
      </w:r>
      <w:r w:rsidR="00605BCB">
        <w:t xml:space="preserve"> For those </w:t>
      </w:r>
      <w:r w:rsidR="00D67251">
        <w:t>having</w:t>
      </w:r>
      <w:r w:rsidR="003E7684">
        <w:t xml:space="preserve"> problems accessing the form, submissions can also </w:t>
      </w:r>
      <w:r w:rsidR="00BC3907">
        <w:t>be sent</w:t>
      </w:r>
      <w:r w:rsidR="003E7684">
        <w:t xml:space="preserve"> by email to </w:t>
      </w:r>
      <w:hyperlink r:id="rId21" w:history="1">
        <w:r w:rsidR="00BE6BCB" w:rsidRPr="00E922BD">
          <w:rPr>
            <w:rStyle w:val="Hyperlink"/>
          </w:rPr>
          <w:t>IllegalLogging@awe.gov.au</w:t>
        </w:r>
      </w:hyperlink>
      <w:r w:rsidR="003E7684">
        <w:rPr>
          <w:rStyle w:val="Hyperlink"/>
        </w:rPr>
        <w:t>.</w:t>
      </w:r>
    </w:p>
    <w:p w14:paraId="2BD0E058" w14:textId="62DD3350" w:rsidR="00BE1812" w:rsidRDefault="00BE1812" w:rsidP="00BE1812">
      <w:r>
        <w:t xml:space="preserve">The deadline for receipt of all submissions is 5:00 pm (AEST) on </w:t>
      </w:r>
      <w:r w:rsidR="00C33E32">
        <w:t>Tue</w:t>
      </w:r>
      <w:r w:rsidR="003E7684">
        <w:t>sday</w:t>
      </w:r>
      <w:r>
        <w:t xml:space="preserve"> </w:t>
      </w:r>
      <w:r w:rsidR="003E7684">
        <w:t>31</w:t>
      </w:r>
      <w:r>
        <w:t xml:space="preserve"> August 2021.</w:t>
      </w:r>
    </w:p>
    <w:p w14:paraId="073B4EFD" w14:textId="5B0677AD" w:rsidR="00BE1812" w:rsidRDefault="00BE1812" w:rsidP="00BE1812">
      <w:r>
        <w:t xml:space="preserve">Questions about the review or the submission process can be directed to the review secretariat at </w:t>
      </w:r>
      <w:hyperlink r:id="rId22" w:history="1">
        <w:r w:rsidR="00BE6BCB" w:rsidRPr="00E922BD">
          <w:rPr>
            <w:rStyle w:val="Hyperlink"/>
          </w:rPr>
          <w:t>IllegalLogging@awe.gov.au</w:t>
        </w:r>
      </w:hyperlink>
      <w:r>
        <w:t>.</w:t>
      </w:r>
    </w:p>
    <w:p w14:paraId="0951EA2C" w14:textId="77777777" w:rsidR="00BE1812" w:rsidRDefault="00BE1812" w:rsidP="00A278DE">
      <w:pPr>
        <w:pStyle w:val="Heading3"/>
      </w:pPr>
      <w:bookmarkStart w:id="7" w:name="_Toc72397561"/>
      <w:bookmarkStart w:id="8" w:name="_Toc72328671"/>
      <w:bookmarkStart w:id="9" w:name="_Toc74753427"/>
      <w:r w:rsidRPr="00A278DE">
        <w:t>Publishing</w:t>
      </w:r>
      <w:r>
        <w:t xml:space="preserve"> of submissions</w:t>
      </w:r>
      <w:bookmarkEnd w:id="7"/>
      <w:bookmarkEnd w:id="8"/>
      <w:bookmarkEnd w:id="9"/>
    </w:p>
    <w:p w14:paraId="280EE407" w14:textId="77777777" w:rsidR="003C5F1B" w:rsidRDefault="00BE1812" w:rsidP="00BE1812">
      <w:r>
        <w:t xml:space="preserve">All submissions will be published on the Department of Agriculture, Water and the Environment's website unless clearly marked as confidential, although the secretariat may redact parts of submissions. We will not publish confidential material but will record that such information is held. Confidential submissions may be subject to release under the provisions of the </w:t>
      </w:r>
      <w:r w:rsidRPr="0083546E">
        <w:rPr>
          <w:rStyle w:val="Emphasis"/>
        </w:rPr>
        <w:t>Freedom of Information Act 1982</w:t>
      </w:r>
      <w:r>
        <w:t xml:space="preserve"> (FOI Act). Submissions will be published as soon as possible after the end of the public comment period.</w:t>
      </w:r>
    </w:p>
    <w:p w14:paraId="08C7C786" w14:textId="77777777" w:rsidR="003C5F1B" w:rsidRDefault="00BE1812" w:rsidP="00BE1812">
      <w:r>
        <w:t>If you are making a confidential submission, you may wish to indicate any grounds for withholding the information it contains. Reasons could include that the information is commercially sensitive or that you wish personal information, such as names and contact details, be withheld. An automatic confidentiality disclaimer from your IT system will not be considered as grounds for withholding information if the department receives an FOI request.</w:t>
      </w:r>
    </w:p>
    <w:p w14:paraId="31AADD99" w14:textId="4B605D8F" w:rsidR="003C5F1B" w:rsidRDefault="00165906" w:rsidP="00BE1812">
      <w:r>
        <w:t xml:space="preserve">The department will likely consult you in relation to </w:t>
      </w:r>
      <w:r w:rsidR="00BE1812">
        <w:t xml:space="preserve">determining whether to release information under an FOI request. Any decisions to withhold information requested under the FOI Act may be reviewed by the </w:t>
      </w:r>
      <w:r>
        <w:t>Office of the Australian Information Commissioner or other external review bodies</w:t>
      </w:r>
      <w:r w:rsidR="00BE1812">
        <w:t>.</w:t>
      </w:r>
    </w:p>
    <w:p w14:paraId="6BC15D22" w14:textId="222A0C1B" w:rsidR="00BE1812" w:rsidRDefault="00BE1812" w:rsidP="00BE1812">
      <w:r>
        <w:t xml:space="preserve">The </w:t>
      </w:r>
      <w:r w:rsidR="005C5216">
        <w:t>department</w:t>
      </w:r>
      <w:r>
        <w:t xml:space="preserve"> reserves the right not to publish submissions.</w:t>
      </w:r>
    </w:p>
    <w:p w14:paraId="741ED629" w14:textId="77777777" w:rsidR="00BE1812" w:rsidRDefault="00BE1812" w:rsidP="00A278DE">
      <w:pPr>
        <w:pStyle w:val="Heading3"/>
      </w:pPr>
      <w:bookmarkStart w:id="10" w:name="_Toc72397562"/>
      <w:bookmarkStart w:id="11" w:name="_Toc72328672"/>
      <w:bookmarkStart w:id="12" w:name="_Toc74753428"/>
      <w:r w:rsidRPr="00A278DE">
        <w:t>Privacy</w:t>
      </w:r>
      <w:bookmarkEnd w:id="10"/>
      <w:bookmarkEnd w:id="11"/>
      <w:bookmarkEnd w:id="12"/>
    </w:p>
    <w:p w14:paraId="35FDB43F" w14:textId="77777777" w:rsidR="00A3308B" w:rsidRDefault="00A278DE" w:rsidP="00A278DE">
      <w:r>
        <w:t>Personal information means information or an opinion about an identified individual, or an individual who is reasonably identifiable.</w:t>
      </w:r>
    </w:p>
    <w:p w14:paraId="7FA104E7" w14:textId="7373A13E" w:rsidR="00A278DE" w:rsidRDefault="00A278DE" w:rsidP="00A278DE">
      <w:r w:rsidRPr="0099762E">
        <w:lastRenderedPageBreak/>
        <w:t>Sensitive information is a subset of personal information and includes any information or opinion about an individual's racial or ethnic origin, political opinion or association, religious beliefs or affiliations, philosophical beliefs, sexual preferences or practices, trade or professional associations and memberships, union membership, criminal record, health or genetic information and biometric information or templates.</w:t>
      </w:r>
    </w:p>
    <w:p w14:paraId="1483CC89" w14:textId="41C6B881" w:rsidR="00A278DE" w:rsidRDefault="00A278DE" w:rsidP="00A278DE">
      <w:r w:rsidRPr="0099762E">
        <w:t xml:space="preserve">By completing and submitting </w:t>
      </w:r>
      <w:r>
        <w:t>your</w:t>
      </w:r>
      <w:r w:rsidRPr="0099762E">
        <w:t xml:space="preserve"> </w:t>
      </w:r>
      <w:r>
        <w:t>submission</w:t>
      </w:r>
      <w:r w:rsidRPr="0099762E">
        <w:t xml:space="preserve"> you consent to the collection of all personal information, including sensitive information, contained in this form.</w:t>
      </w:r>
    </w:p>
    <w:p w14:paraId="1F4A5227" w14:textId="2E7CD101" w:rsidR="00A278DE" w:rsidRDefault="00A278DE" w:rsidP="00A278DE">
      <w:r>
        <w:t xml:space="preserve">The department collects your personal information (as defined by the </w:t>
      </w:r>
      <w:r w:rsidRPr="00C16E24">
        <w:rPr>
          <w:i/>
          <w:iCs/>
        </w:rPr>
        <w:t>Privacy Act 1988</w:t>
      </w:r>
      <w:r>
        <w:t xml:space="preserve">) in this form </w:t>
      </w:r>
      <w:r w:rsidRPr="00540D73">
        <w:t xml:space="preserve">for the purposes </w:t>
      </w:r>
      <w:r w:rsidR="00BC7790" w:rsidRPr="00540D73">
        <w:t>of completing</w:t>
      </w:r>
      <w:r w:rsidRPr="00540D73">
        <w:t xml:space="preserve"> the </w:t>
      </w:r>
      <w:r w:rsidR="00BC7790" w:rsidRPr="00540D73">
        <w:t xml:space="preserve">Illegal Logging </w:t>
      </w:r>
      <w:r w:rsidR="000E19B0">
        <w:t xml:space="preserve">Prohibition Regulation 2012 </w:t>
      </w:r>
      <w:r w:rsidR="00BC7790" w:rsidRPr="00540D73">
        <w:t>Sunsetting Review and for related purposes</w:t>
      </w:r>
      <w:r w:rsidRPr="00540D73">
        <w:t xml:space="preserve">. If you fail to provide some or all of the personal information requested in this form, the department will be unable to contact </w:t>
      </w:r>
      <w:r w:rsidR="007D1B47" w:rsidRPr="00540D73">
        <w:t>you</w:t>
      </w:r>
      <w:r w:rsidRPr="00540D73">
        <w:t xml:space="preserve"> to discuss </w:t>
      </w:r>
      <w:r w:rsidR="007D1B47" w:rsidRPr="00540D73">
        <w:t>your survey responses, or respond to your</w:t>
      </w:r>
      <w:r w:rsidRPr="00540D73">
        <w:t xml:space="preserve"> submission</w:t>
      </w:r>
      <w:r w:rsidR="007D1B47" w:rsidRPr="00540D73">
        <w:t>.</w:t>
      </w:r>
    </w:p>
    <w:p w14:paraId="4C58E387" w14:textId="6F4F7E01" w:rsidR="003C5F1B" w:rsidRDefault="00BE1812" w:rsidP="00BE1812">
      <w:r>
        <w:t xml:space="preserve">The department will only use the personal information collected about you to enable us to contact you about your submission and may (where the disclosure is consistent with relevant laws, in particular the </w:t>
      </w:r>
      <w:r w:rsidRPr="0083546E">
        <w:rPr>
          <w:rStyle w:val="Emphasis"/>
        </w:rPr>
        <w:t>Privacy Act 1988</w:t>
      </w:r>
      <w:r>
        <w:t>) disclose it to specialists; other Commonwealth government agencies; state and territory government agencies or foreign government departments.</w:t>
      </w:r>
    </w:p>
    <w:p w14:paraId="502CE783" w14:textId="77777777" w:rsidR="003C5F1B" w:rsidRDefault="00BE1812" w:rsidP="00BE1812">
      <w:r>
        <w:t>The department requests that, at a minimum, you provide your name and contact details with your submission. Please indicate if you do not wish to have identifying information published with your submission or disclosed to third parties.</w:t>
      </w:r>
    </w:p>
    <w:p w14:paraId="44023E51" w14:textId="4AF21A4E" w:rsidR="00BE1812" w:rsidRDefault="00BE1812" w:rsidP="00BE1812">
      <w:r>
        <w:t xml:space="preserve">The department will use and store all personal information it collects </w:t>
      </w:r>
      <w:r w:rsidR="007925BA">
        <w:t>for</w:t>
      </w:r>
      <w:r>
        <w:t xml:space="preserve"> the </w:t>
      </w:r>
      <w:r w:rsidR="007925BA">
        <w:t>review</w:t>
      </w:r>
      <w:r>
        <w:t xml:space="preserve"> in accordance with the Australian Privacy Principles as outlined in the </w:t>
      </w:r>
      <w:r w:rsidR="00165906">
        <w:rPr>
          <w:i/>
          <w:iCs/>
        </w:rPr>
        <w:t>Privacy Act 1988</w:t>
      </w:r>
    </w:p>
    <w:p w14:paraId="6373D706" w14:textId="7EF1E7E0" w:rsidR="00A278DE" w:rsidRDefault="00A278DE" w:rsidP="00BE1812">
      <w:r w:rsidRPr="00D67146">
        <w:t xml:space="preserve">See the department's </w:t>
      </w:r>
      <w:hyperlink r:id="rId23" w:history="1">
        <w:r w:rsidRPr="00D67146">
          <w:rPr>
            <w:rStyle w:val="Hyperlink"/>
          </w:rPr>
          <w:t>Privacy Policy</w:t>
        </w:r>
      </w:hyperlink>
      <w:r w:rsidRPr="00D67146">
        <w:t> to learn more about accessing or correcting personal information or making a complaint. Alternatively, email the department</w:t>
      </w:r>
      <w:r>
        <w:t xml:space="preserve"> at </w:t>
      </w:r>
      <w:hyperlink r:id="rId24" w:history="1">
        <w:r w:rsidRPr="00D67146">
          <w:rPr>
            <w:rStyle w:val="Hyperlink"/>
          </w:rPr>
          <w:t>privacy@awe.gov.au</w:t>
        </w:r>
      </w:hyperlink>
      <w:r>
        <w:t>.</w:t>
      </w:r>
    </w:p>
    <w:p w14:paraId="251D6FA3" w14:textId="77777777" w:rsidR="00BE1812" w:rsidRDefault="00BE1812" w:rsidP="00A278DE">
      <w:pPr>
        <w:pStyle w:val="Heading3"/>
      </w:pPr>
      <w:bookmarkStart w:id="13" w:name="_Toc72397563"/>
      <w:bookmarkStart w:id="14" w:name="_Toc72328673"/>
      <w:bookmarkStart w:id="15" w:name="_Toc74753429"/>
      <w:r w:rsidRPr="00A278DE">
        <w:t>Next</w:t>
      </w:r>
      <w:r>
        <w:t xml:space="preserve"> steps</w:t>
      </w:r>
      <w:bookmarkEnd w:id="13"/>
      <w:bookmarkEnd w:id="14"/>
      <w:bookmarkEnd w:id="15"/>
    </w:p>
    <w:p w14:paraId="05A196CB" w14:textId="352C583F" w:rsidR="00764D6A" w:rsidRDefault="00BE1812" w:rsidP="00BE1812">
      <w:r>
        <w:t xml:space="preserve">The department will consider all submissions and use them to assist in developing recommendations for the Minister for Agriculture, Drought and Emergency Management and </w:t>
      </w:r>
      <w:r w:rsidR="000528AE">
        <w:t xml:space="preserve">the </w:t>
      </w:r>
      <w:r>
        <w:t>Assistant Minister for Forestry and Fisheries.</w:t>
      </w:r>
    </w:p>
    <w:p w14:paraId="5A665B20" w14:textId="79B26048" w:rsidR="00764D6A" w:rsidRDefault="0083546E" w:rsidP="00A278DE">
      <w:pPr>
        <w:pStyle w:val="Heading2"/>
      </w:pPr>
      <w:bookmarkStart w:id="16" w:name="_Toc72397564"/>
      <w:bookmarkStart w:id="17" w:name="_Toc72328674"/>
      <w:bookmarkStart w:id="18" w:name="_Toc74753430"/>
      <w:r w:rsidRPr="00A278DE">
        <w:lastRenderedPageBreak/>
        <w:t>Consultation</w:t>
      </w:r>
      <w:r>
        <w:t xml:space="preserve"> questions</w:t>
      </w:r>
      <w:bookmarkEnd w:id="16"/>
      <w:bookmarkEnd w:id="17"/>
      <w:bookmarkEnd w:id="18"/>
    </w:p>
    <w:p w14:paraId="56DD0F23" w14:textId="57AB5C4C" w:rsidR="00764D6A" w:rsidRDefault="0083546E" w:rsidP="00A278DE">
      <w:pPr>
        <w:pStyle w:val="Heading3"/>
      </w:pPr>
      <w:bookmarkStart w:id="19" w:name="_Toc72397565"/>
      <w:bookmarkStart w:id="20" w:name="_Toc72328675"/>
      <w:bookmarkStart w:id="21" w:name="_Toc74753431"/>
      <w:r>
        <w:t xml:space="preserve">Current </w:t>
      </w:r>
      <w:r w:rsidRPr="00A278DE">
        <w:t>Regulations</w:t>
      </w:r>
      <w:bookmarkEnd w:id="19"/>
      <w:bookmarkEnd w:id="20"/>
      <w:bookmarkEnd w:id="21"/>
    </w:p>
    <w:p w14:paraId="6400BA4E" w14:textId="2642E8C3" w:rsidR="0083546E" w:rsidRDefault="0083546E" w:rsidP="0083546E">
      <w:pPr>
        <w:pStyle w:val="ListNumber"/>
      </w:pPr>
      <w:r>
        <w:t>Is the Regulation</w:t>
      </w:r>
      <w:r w:rsidRPr="0083546E">
        <w:t xml:space="preserve"> delivering what was intended in an efficient and effective manner, and is it fit-for-purpose? If not, what </w:t>
      </w:r>
      <w:r w:rsidR="00F8577A">
        <w:t>could be improved</w:t>
      </w:r>
      <w:r w:rsidRPr="0083546E">
        <w:t>?</w:t>
      </w:r>
    </w:p>
    <w:p w14:paraId="5A8C6DF3" w14:textId="3C25C256" w:rsidR="0083546E" w:rsidRDefault="0077537D" w:rsidP="0083546E">
      <w:pPr>
        <w:pStyle w:val="ListNumber"/>
      </w:pPr>
      <w:r>
        <w:t>Do you support</w:t>
      </w:r>
      <w:r w:rsidR="0083546E" w:rsidRPr="0083546E">
        <w:t xml:space="preserve"> the due diligence requirements in the Regulations continu</w:t>
      </w:r>
      <w:r w:rsidR="00CF3572">
        <w:t>ing</w:t>
      </w:r>
      <w:r w:rsidR="0083546E" w:rsidRPr="0083546E">
        <w:t xml:space="preserve"> as the centrepiece obligations placed on timber importers and processors?</w:t>
      </w:r>
    </w:p>
    <w:p w14:paraId="13BA3A07" w14:textId="2E23244E" w:rsidR="0083546E" w:rsidRPr="0083546E" w:rsidRDefault="0083546E" w:rsidP="00A278DE">
      <w:pPr>
        <w:pStyle w:val="Heading3"/>
      </w:pPr>
      <w:bookmarkStart w:id="22" w:name="_Toc72397566"/>
      <w:bookmarkStart w:id="23" w:name="_Toc72328676"/>
      <w:bookmarkStart w:id="24" w:name="_Toc74753432"/>
      <w:r>
        <w:t>Due-diligence information and processes</w:t>
      </w:r>
      <w:bookmarkEnd w:id="22"/>
      <w:bookmarkEnd w:id="23"/>
      <w:bookmarkEnd w:id="24"/>
    </w:p>
    <w:p w14:paraId="499083F4" w14:textId="70688017" w:rsidR="0083546E" w:rsidRPr="0083546E" w:rsidRDefault="00FF2F65" w:rsidP="0083546E">
      <w:pPr>
        <w:pStyle w:val="ListNumber"/>
      </w:pPr>
      <w:bookmarkStart w:id="25" w:name="_Hlk72412060"/>
      <w:r>
        <w:t>What are your views o</w:t>
      </w:r>
      <w:r w:rsidR="00015FA7">
        <w:t>n</w:t>
      </w:r>
      <w:r w:rsidR="0083546E" w:rsidRPr="0083546E">
        <w:t xml:space="preserve"> importers </w:t>
      </w:r>
      <w:r w:rsidR="002D3FCB">
        <w:t>having</w:t>
      </w:r>
      <w:r w:rsidR="0083546E" w:rsidRPr="0083546E">
        <w:t xml:space="preserve"> to </w:t>
      </w:r>
      <w:r w:rsidR="00B30330">
        <w:t>declare</w:t>
      </w:r>
      <w:r w:rsidR="0083546E" w:rsidRPr="0083546E">
        <w:t xml:space="preserve"> the </w:t>
      </w:r>
      <w:r w:rsidR="007C5C21">
        <w:t>timber</w:t>
      </w:r>
      <w:r w:rsidR="0083546E" w:rsidRPr="0083546E">
        <w:t xml:space="preserve"> species </w:t>
      </w:r>
      <w:r w:rsidR="00D95FF2">
        <w:t>of</w:t>
      </w:r>
      <w:r w:rsidR="00997CF0">
        <w:t xml:space="preserve"> a</w:t>
      </w:r>
      <w:r w:rsidR="007C5C21">
        <w:t xml:space="preserve"> product, where the timber was harvested,</w:t>
      </w:r>
      <w:r w:rsidR="0083546E" w:rsidRPr="0083546E">
        <w:t xml:space="preserve"> and </w:t>
      </w:r>
      <w:r w:rsidR="00D95FF2">
        <w:t xml:space="preserve">the </w:t>
      </w:r>
      <w:r w:rsidR="0083546E" w:rsidRPr="0083546E">
        <w:t xml:space="preserve">risk of illegal harvest </w:t>
      </w:r>
      <w:r w:rsidR="00B30330">
        <w:t>before</w:t>
      </w:r>
      <w:r w:rsidR="00EA321E">
        <w:t xml:space="preserve"> </w:t>
      </w:r>
      <w:r w:rsidR="00997CF0">
        <w:t xml:space="preserve">it </w:t>
      </w:r>
      <w:r w:rsidR="007A69F2">
        <w:t>arrives in Australia</w:t>
      </w:r>
      <w:r w:rsidR="0083546E" w:rsidRPr="0083546E">
        <w:t>?</w:t>
      </w:r>
    </w:p>
    <w:p w14:paraId="15389933" w14:textId="47AB7FAE" w:rsidR="0083546E" w:rsidRPr="0083546E" w:rsidRDefault="004559D1" w:rsidP="0083546E">
      <w:pPr>
        <w:pStyle w:val="ListNumber"/>
      </w:pPr>
      <w:r>
        <w:t xml:space="preserve">Do you have any preferences </w:t>
      </w:r>
      <w:r w:rsidR="0039487E">
        <w:t>for</w:t>
      </w:r>
      <w:r>
        <w:t xml:space="preserve"> how </w:t>
      </w:r>
      <w:r w:rsidR="0083546E" w:rsidRPr="0083546E">
        <w:t xml:space="preserve">due diligence information </w:t>
      </w:r>
      <w:r>
        <w:t xml:space="preserve">is provided </w:t>
      </w:r>
      <w:r w:rsidR="0083546E" w:rsidRPr="0083546E">
        <w:t>to the department?</w:t>
      </w:r>
    </w:p>
    <w:p w14:paraId="7C63C885" w14:textId="2D47BE20" w:rsidR="0083546E" w:rsidRDefault="0083546E" w:rsidP="00A278DE">
      <w:pPr>
        <w:pStyle w:val="Heading3"/>
      </w:pPr>
      <w:bookmarkStart w:id="26" w:name="_Toc72397567"/>
      <w:bookmarkStart w:id="27" w:name="_Toc72328677"/>
      <w:bookmarkStart w:id="28" w:name="_Toc74753433"/>
      <w:bookmarkEnd w:id="25"/>
      <w:r w:rsidRPr="0083546E">
        <w:t xml:space="preserve">At-border </w:t>
      </w:r>
      <w:r w:rsidRPr="00A278DE">
        <w:t>powers</w:t>
      </w:r>
      <w:r w:rsidRPr="0083546E">
        <w:t xml:space="preserve"> and sampling technology</w:t>
      </w:r>
      <w:bookmarkEnd w:id="26"/>
      <w:bookmarkEnd w:id="27"/>
      <w:bookmarkEnd w:id="28"/>
    </w:p>
    <w:p w14:paraId="536938C8" w14:textId="77777777" w:rsidR="00755C08" w:rsidRDefault="001B5911" w:rsidP="00755C08">
      <w:pPr>
        <w:pStyle w:val="ListNumber"/>
      </w:pPr>
      <w:r>
        <w:t>Do you support</w:t>
      </w:r>
      <w:r w:rsidR="0083546E">
        <w:t xml:space="preserve"> </w:t>
      </w:r>
      <w:r>
        <w:t>adding</w:t>
      </w:r>
      <w:r w:rsidR="0083546E">
        <w:t xml:space="preserve"> ‘at-border’ powers such as sampling, seizure and goods control </w:t>
      </w:r>
      <w:r>
        <w:t>to</w:t>
      </w:r>
      <w:r w:rsidR="0083546E">
        <w:t xml:space="preserve"> the Act?</w:t>
      </w:r>
      <w:r w:rsidR="00755C08" w:rsidRPr="00755C08">
        <w:t xml:space="preserve"> </w:t>
      </w:r>
    </w:p>
    <w:p w14:paraId="3E81D2E5" w14:textId="333AA575" w:rsidR="003C5F1B" w:rsidRDefault="00755C08" w:rsidP="00755C08">
      <w:pPr>
        <w:pStyle w:val="ListNumber"/>
      </w:pPr>
      <w:r>
        <w:t xml:space="preserve">Are there any significant costs associated with </w:t>
      </w:r>
      <w:r w:rsidRPr="003B7468">
        <w:t>sampling, seizure and goods control</w:t>
      </w:r>
      <w:r>
        <w:t xml:space="preserve"> that industry is likely to face in addition to those outlined?</w:t>
      </w:r>
    </w:p>
    <w:p w14:paraId="6B549C17" w14:textId="1AAE42F4" w:rsidR="0083546E" w:rsidRDefault="0083546E" w:rsidP="0083546E">
      <w:pPr>
        <w:pStyle w:val="ListNumber"/>
      </w:pPr>
      <w:r>
        <w:t xml:space="preserve">What other measures </w:t>
      </w:r>
      <w:r w:rsidR="00291FD9">
        <w:t>c</w:t>
      </w:r>
      <w:r w:rsidR="00082E77">
        <w:t>ould</w:t>
      </w:r>
      <w:r>
        <w:t xml:space="preserve"> ensure that goods entering the country or intended for processing can be verified for due diligence claims?</w:t>
      </w:r>
    </w:p>
    <w:p w14:paraId="7AE39DC7" w14:textId="77777777" w:rsidR="006040C6" w:rsidRDefault="0083546E" w:rsidP="006040C6">
      <w:pPr>
        <w:pStyle w:val="ListNumber"/>
      </w:pPr>
      <w:r>
        <w:t xml:space="preserve">Are there any particular </w:t>
      </w:r>
      <w:r w:rsidR="00022747">
        <w:t>timber</w:t>
      </w:r>
      <w:r>
        <w:t xml:space="preserve">-identification technologies that you support for integrating into the illegal logging </w:t>
      </w:r>
      <w:r w:rsidR="00032DF6">
        <w:t>legislation</w:t>
      </w:r>
      <w:r>
        <w:t>?</w:t>
      </w:r>
      <w:bookmarkStart w:id="29" w:name="_Toc72397568"/>
      <w:bookmarkStart w:id="30" w:name="_Toc72328678"/>
    </w:p>
    <w:p w14:paraId="420D8EFD" w14:textId="483D8351" w:rsidR="0083546E" w:rsidRDefault="0083546E" w:rsidP="00A278DE">
      <w:pPr>
        <w:pStyle w:val="Heading3"/>
      </w:pPr>
      <w:bookmarkStart w:id="31" w:name="_Toc74753434"/>
      <w:r>
        <w:t xml:space="preserve">Regulatory </w:t>
      </w:r>
      <w:r w:rsidRPr="00A278DE">
        <w:t>provisions</w:t>
      </w:r>
      <w:bookmarkEnd w:id="29"/>
      <w:bookmarkEnd w:id="30"/>
      <w:bookmarkEnd w:id="31"/>
    </w:p>
    <w:p w14:paraId="3E9D2520" w14:textId="2E6496DD" w:rsidR="0083546E" w:rsidRDefault="00D26CFB" w:rsidP="0083546E">
      <w:pPr>
        <w:pStyle w:val="ListNumber"/>
      </w:pPr>
      <w:r>
        <w:t>Do you support removing</w:t>
      </w:r>
      <w:r w:rsidR="0083546E">
        <w:t xml:space="preserve"> the due-diligence system requirement for low-frequency importers</w:t>
      </w:r>
      <w:r w:rsidR="00D10D34">
        <w:t xml:space="preserve"> and processors</w:t>
      </w:r>
      <w:r w:rsidR="0083546E">
        <w:t>?</w:t>
      </w:r>
    </w:p>
    <w:p w14:paraId="73468468" w14:textId="463507D0" w:rsidR="006C4592" w:rsidRDefault="006C4592" w:rsidP="00EC16DD">
      <w:pPr>
        <w:pStyle w:val="ListNumber"/>
      </w:pPr>
      <w:r w:rsidRPr="006C4592">
        <w:t>What other opportunities can you suggest for reducing the regulatory burden for low-frequency importers?</w:t>
      </w:r>
    </w:p>
    <w:p w14:paraId="2DA6133F" w14:textId="2210A2E9" w:rsidR="0083546E" w:rsidRDefault="0083546E" w:rsidP="0083546E">
      <w:pPr>
        <w:pStyle w:val="ListNumber"/>
      </w:pPr>
      <w:r>
        <w:t>What additional measures can be introduced to ensure high-frequency importers and processors have adequate due diligence systems in place?</w:t>
      </w:r>
    </w:p>
    <w:p w14:paraId="58F48138" w14:textId="77777777" w:rsidR="0083546E" w:rsidRDefault="0083546E" w:rsidP="0083546E">
      <w:pPr>
        <w:pStyle w:val="ListNumber"/>
      </w:pPr>
      <w:r>
        <w:t>How can due diligence requirements for repeated imports be streamlined?</w:t>
      </w:r>
    </w:p>
    <w:p w14:paraId="370E1603" w14:textId="77777777" w:rsidR="0083546E" w:rsidRDefault="0083546E" w:rsidP="0083546E">
      <w:pPr>
        <w:pStyle w:val="ListNumber"/>
      </w:pPr>
      <w:r>
        <w:t>Should the potential ‘deemed to comply’ arrangements be introduced and how should they operate?</w:t>
      </w:r>
    </w:p>
    <w:p w14:paraId="326F54AC" w14:textId="7BC68B75" w:rsidR="0083546E" w:rsidRDefault="005D5515" w:rsidP="0083546E">
      <w:pPr>
        <w:pStyle w:val="ListNumber"/>
      </w:pPr>
      <w:r>
        <w:t>Do you support</w:t>
      </w:r>
      <w:r w:rsidR="0083546E">
        <w:t xml:space="preserve"> </w:t>
      </w:r>
      <w:r w:rsidR="009647B4">
        <w:t>changing</w:t>
      </w:r>
      <w:r w:rsidR="0083546E">
        <w:t xml:space="preserve"> the</w:t>
      </w:r>
      <w:r w:rsidR="00C10544">
        <w:t xml:space="preserve"> scope of</w:t>
      </w:r>
      <w:r w:rsidR="0083546E">
        <w:t xml:space="preserve"> regulated </w:t>
      </w:r>
      <w:r w:rsidR="009647B4">
        <w:t>products</w:t>
      </w:r>
      <w:r w:rsidR="0083546E">
        <w:t xml:space="preserve"> to </w:t>
      </w:r>
      <w:r w:rsidR="009647B4">
        <w:t xml:space="preserve">add </w:t>
      </w:r>
      <w:r w:rsidR="00CF2F9C">
        <w:t xml:space="preserve">or remove </w:t>
      </w:r>
      <w:r w:rsidR="0083546E">
        <w:t xml:space="preserve">any of the discussed </w:t>
      </w:r>
      <w:r w:rsidR="009647B4">
        <w:t>product</w:t>
      </w:r>
      <w:r w:rsidR="0069638C">
        <w:t>s</w:t>
      </w:r>
      <w:r w:rsidR="0083546E">
        <w:t xml:space="preserve"> or other products?</w:t>
      </w:r>
    </w:p>
    <w:p w14:paraId="0DB90DB5" w14:textId="52F3D00E" w:rsidR="0069638C" w:rsidRDefault="0069638C" w:rsidP="0083546E">
      <w:pPr>
        <w:pStyle w:val="ListNumber"/>
      </w:pPr>
      <w:r>
        <w:t xml:space="preserve">Do you support </w:t>
      </w:r>
      <w:r w:rsidR="00CF2F9C">
        <w:t xml:space="preserve">adding any of the </w:t>
      </w:r>
      <w:r w:rsidR="004178E8">
        <w:t xml:space="preserve">product </w:t>
      </w:r>
      <w:r w:rsidR="00CF2F9C">
        <w:t>exemptions discussed</w:t>
      </w:r>
      <w:r w:rsidR="0090521E">
        <w:t>?</w:t>
      </w:r>
    </w:p>
    <w:p w14:paraId="26DBDD87" w14:textId="78E9D16E" w:rsidR="0083546E" w:rsidRDefault="00AD135F" w:rsidP="0083546E">
      <w:pPr>
        <w:pStyle w:val="ListNumber"/>
      </w:pPr>
      <w:r>
        <w:t>Do you have any suggestions</w:t>
      </w:r>
      <w:r w:rsidR="0083546E">
        <w:t xml:space="preserve"> for </w:t>
      </w:r>
      <w:r>
        <w:t xml:space="preserve">reducing requirements around </w:t>
      </w:r>
      <w:r w:rsidR="0083546E">
        <w:t xml:space="preserve">lower-risk products </w:t>
      </w:r>
      <w:r>
        <w:t>without comprising</w:t>
      </w:r>
      <w:r w:rsidR="0083546E">
        <w:t xml:space="preserve"> the </w:t>
      </w:r>
      <w:r w:rsidR="00A74CC1">
        <w:t>effectiveness</w:t>
      </w:r>
      <w:r w:rsidR="0083546E">
        <w:t xml:space="preserve"> of the </w:t>
      </w:r>
      <w:r w:rsidR="00A74CC1">
        <w:t>laws</w:t>
      </w:r>
      <w:r w:rsidR="0083546E">
        <w:t>?</w:t>
      </w:r>
    </w:p>
    <w:p w14:paraId="40122743" w14:textId="66476906" w:rsidR="0083546E" w:rsidRDefault="0083546E" w:rsidP="00A278DE">
      <w:pPr>
        <w:pStyle w:val="Heading3"/>
      </w:pPr>
      <w:bookmarkStart w:id="32" w:name="_Toc72397569"/>
      <w:bookmarkStart w:id="33" w:name="_Toc72328679"/>
      <w:bookmarkStart w:id="34" w:name="_Toc74753435"/>
      <w:r>
        <w:lastRenderedPageBreak/>
        <w:t xml:space="preserve">Operational </w:t>
      </w:r>
      <w:r w:rsidR="00044635" w:rsidRPr="00A278DE">
        <w:t>i</w:t>
      </w:r>
      <w:r w:rsidRPr="00A278DE">
        <w:t>mprovements</w:t>
      </w:r>
      <w:bookmarkEnd w:id="32"/>
      <w:bookmarkEnd w:id="33"/>
      <w:bookmarkEnd w:id="34"/>
    </w:p>
    <w:p w14:paraId="3AE86767" w14:textId="21959D31" w:rsidR="0083546E" w:rsidRDefault="0083546E" w:rsidP="0083546E">
      <w:pPr>
        <w:pStyle w:val="ListNumber"/>
      </w:pPr>
      <w:r>
        <w:t xml:space="preserve">What </w:t>
      </w:r>
      <w:r w:rsidR="006F2AFB">
        <w:t xml:space="preserve">further </w:t>
      </w:r>
      <w:r w:rsidR="00086862">
        <w:t>terms need to</w:t>
      </w:r>
      <w:r>
        <w:t xml:space="preserve"> be </w:t>
      </w:r>
      <w:r w:rsidR="00086862">
        <w:t>defined</w:t>
      </w:r>
      <w:r>
        <w:t xml:space="preserve"> under the </w:t>
      </w:r>
      <w:r w:rsidR="00086862">
        <w:t>laws</w:t>
      </w:r>
      <w:r>
        <w:t>? Should the term ‘processing’ be defined?</w:t>
      </w:r>
    </w:p>
    <w:p w14:paraId="00D3AA98" w14:textId="383E9337" w:rsidR="0083546E" w:rsidRDefault="0083546E" w:rsidP="0083546E">
      <w:pPr>
        <w:pStyle w:val="ListNumber"/>
      </w:pPr>
      <w:r>
        <w:t xml:space="preserve">Should the </w:t>
      </w:r>
      <w:r w:rsidR="000B59F3">
        <w:t xml:space="preserve">laws prevent </w:t>
      </w:r>
      <w:r w:rsidR="00557AF7">
        <w:t>logs</w:t>
      </w:r>
      <w:r w:rsidR="000B59F3">
        <w:t xml:space="preserve"> entering the country</w:t>
      </w:r>
      <w:r>
        <w:t xml:space="preserve"> </w:t>
      </w:r>
      <w:r w:rsidR="00557AF7">
        <w:t>from</w:t>
      </w:r>
      <w:r>
        <w:t xml:space="preserve"> nations with </w:t>
      </w:r>
      <w:r w:rsidR="00557AF7">
        <w:t>a</w:t>
      </w:r>
      <w:r>
        <w:t xml:space="preserve"> log export ban</w:t>
      </w:r>
      <w:r w:rsidR="009E31AC">
        <w:t xml:space="preserve"> in place</w:t>
      </w:r>
      <w:r>
        <w:t>?</w:t>
      </w:r>
    </w:p>
    <w:p w14:paraId="0BCD0641" w14:textId="75D4FFBD" w:rsidR="00CA79B3" w:rsidRDefault="0083546E" w:rsidP="00CA79B3">
      <w:pPr>
        <w:pStyle w:val="ListNumber"/>
      </w:pPr>
      <w:r>
        <w:t>How can the department add flexibility to the legislation, including improving the use of guidance materials?</w:t>
      </w:r>
    </w:p>
    <w:p w14:paraId="0C89D8D6" w14:textId="1C158E1A" w:rsidR="005745FB" w:rsidRDefault="00896171" w:rsidP="00A278DE">
      <w:pPr>
        <w:pStyle w:val="Heading2"/>
      </w:pPr>
      <w:bookmarkStart w:id="35" w:name="_Toc74753436"/>
      <w:r>
        <w:lastRenderedPageBreak/>
        <w:t>Introduction</w:t>
      </w:r>
      <w:bookmarkEnd w:id="35"/>
    </w:p>
    <w:p w14:paraId="523DF51F" w14:textId="0A664823" w:rsidR="00534C0C" w:rsidRDefault="00534C0C" w:rsidP="005745FB">
      <w:r>
        <w:rPr>
          <w:rFonts w:eastAsia="Cambria" w:cs="Calibri"/>
          <w:color w:val="000000" w:themeColor="text1"/>
        </w:rPr>
        <w:t xml:space="preserve">Australia’s </w:t>
      </w:r>
      <w:r w:rsidRPr="00F024DA">
        <w:rPr>
          <w:rFonts w:eastAsia="Cambria" w:cs="Calibri"/>
          <w:i/>
          <w:iCs/>
          <w:color w:val="000000" w:themeColor="text1"/>
        </w:rPr>
        <w:t>Illegal Logging Prohibition Act (2012)</w:t>
      </w:r>
      <w:r>
        <w:rPr>
          <w:rFonts w:eastAsia="Cambria" w:cs="Calibri"/>
          <w:color w:val="000000" w:themeColor="text1"/>
        </w:rPr>
        <w:t xml:space="preserve"> (the Act) and Illegal Logging Prohibition Regulation 2012 (the Regulation) were among the first of their kind internationally. </w:t>
      </w:r>
      <w:r w:rsidR="00181A92">
        <w:rPr>
          <w:rFonts w:eastAsia="Cambria" w:cs="Calibri"/>
          <w:color w:val="000000" w:themeColor="text1"/>
        </w:rPr>
        <w:t>T</w:t>
      </w:r>
      <w:r>
        <w:rPr>
          <w:rFonts w:eastAsia="Cambria" w:cs="Calibri"/>
          <w:color w:val="000000" w:themeColor="text1"/>
        </w:rPr>
        <w:t>he Australian Government’s policy objective</w:t>
      </w:r>
      <w:r w:rsidR="00181A92">
        <w:rPr>
          <w:rFonts w:eastAsia="Cambria" w:cs="Calibri"/>
          <w:color w:val="000000" w:themeColor="text1"/>
        </w:rPr>
        <w:t xml:space="preserve"> for the legislation is </w:t>
      </w:r>
      <w:r>
        <w:rPr>
          <w:rFonts w:eastAsia="Cambria" w:cs="Calibri"/>
          <w:color w:val="000000" w:themeColor="text1"/>
        </w:rPr>
        <w:t xml:space="preserve">to combat illegal logging and associated trade by establishing systems that will promote trade in legally </w:t>
      </w:r>
      <w:r w:rsidR="00440C54">
        <w:rPr>
          <w:rFonts w:eastAsia="Cambria" w:cs="Calibri"/>
          <w:color w:val="000000" w:themeColor="text1"/>
        </w:rPr>
        <w:t>logged timber and, in the long term, trade in timber and wood products from sustainably managed forests</w:t>
      </w:r>
      <w:r w:rsidR="00181A92">
        <w:rPr>
          <w:rFonts w:eastAsia="Cambria" w:cs="Calibri"/>
          <w:color w:val="000000" w:themeColor="text1"/>
        </w:rPr>
        <w:t>.</w:t>
      </w:r>
    </w:p>
    <w:p w14:paraId="00D8F185" w14:textId="739FBCD1" w:rsidR="00181A92" w:rsidRDefault="00181A92" w:rsidP="005745FB">
      <w:r w:rsidRPr="002672ED">
        <w:rPr>
          <w:rFonts w:eastAsia="Cambria" w:cs="Calibri"/>
          <w:color w:val="000000" w:themeColor="text1"/>
        </w:rPr>
        <w:t xml:space="preserve">Australia has an important role to play as a major market for timber </w:t>
      </w:r>
      <w:r w:rsidRPr="002672ED">
        <w:rPr>
          <w:rFonts w:eastAsia="Cambria" w:cs="Calibri"/>
        </w:rPr>
        <w:t xml:space="preserve">products by supporting international efforts to combat illegal logging and its associated trade. By cooperating with other international efforts, Australia’s laws seek to promote a strong, </w:t>
      </w:r>
      <w:r w:rsidRPr="002672ED" w:rsidDel="00266D11">
        <w:rPr>
          <w:rFonts w:eastAsia="Cambria" w:cs="Calibri"/>
        </w:rPr>
        <w:t>competitive</w:t>
      </w:r>
      <w:r w:rsidRPr="002672ED">
        <w:rPr>
          <w:rFonts w:eastAsia="Cambria" w:cs="Calibri"/>
        </w:rPr>
        <w:t>, and sustainable international trade in legal timber products. The laws also seek to reduce the significant environmental, economic and social costs of illegal logging.</w:t>
      </w:r>
    </w:p>
    <w:p w14:paraId="159BCE61" w14:textId="521BA266" w:rsidR="002019DE" w:rsidRDefault="00440C54" w:rsidP="005745FB">
      <w:r>
        <w:t>The Act requires a structured risk assessment and mitigation process before a business or individual imports a ‘regulated timber product’ (as defined by their customs tariff codes) into Australia or processes domestically grown raw logs. This is known as undertaking ‘due diligence’, the specifics of which are set out in the Regulation.</w:t>
      </w:r>
    </w:p>
    <w:p w14:paraId="1667DB9F" w14:textId="2BEFA2AC" w:rsidR="003C5F1B" w:rsidRDefault="005745FB" w:rsidP="005745FB">
      <w:r>
        <w:t xml:space="preserve">The Department of Agriculture, Water and the Environment is consulting on the </w:t>
      </w:r>
      <w:r w:rsidR="00440C54">
        <w:t>Regulation</w:t>
      </w:r>
      <w:r w:rsidR="00BE2F61">
        <w:t>, which</w:t>
      </w:r>
      <w:r>
        <w:t xml:space="preserve"> </w:t>
      </w:r>
      <w:r w:rsidR="00C542A8">
        <w:t>will cease to have effect</w:t>
      </w:r>
      <w:r>
        <w:t xml:space="preserve"> (aka ‘sunset’) on 1 April 2023.</w:t>
      </w:r>
      <w:r w:rsidR="0029391A">
        <w:t xml:space="preserve"> The </w:t>
      </w:r>
      <w:r w:rsidR="00133328">
        <w:t>g</w:t>
      </w:r>
      <w:r w:rsidR="000255ED">
        <w:t xml:space="preserve">overnment </w:t>
      </w:r>
      <w:r w:rsidR="0029391A">
        <w:t>will consider whether</w:t>
      </w:r>
      <w:r>
        <w:t xml:space="preserve"> to </w:t>
      </w:r>
      <w:r w:rsidR="0029391A">
        <w:t>remake the instrument</w:t>
      </w:r>
      <w:r w:rsidR="000255ED">
        <w:t xml:space="preserve">, and </w:t>
      </w:r>
      <w:r w:rsidR="00F434FC">
        <w:t xml:space="preserve">if it is remade whether any </w:t>
      </w:r>
      <w:r w:rsidR="000255ED">
        <w:t xml:space="preserve">changes </w:t>
      </w:r>
      <w:r w:rsidR="00754014">
        <w:t>should be made</w:t>
      </w:r>
      <w:r>
        <w:t>.</w:t>
      </w:r>
    </w:p>
    <w:p w14:paraId="64BC59D7" w14:textId="394BE064" w:rsidR="005745FB" w:rsidRDefault="005745FB" w:rsidP="005745FB">
      <w:r>
        <w:t xml:space="preserve">Sunsetting compels rule-makers to consider whether the instrument continues to </w:t>
      </w:r>
      <w:r w:rsidR="003117F1">
        <w:t>be</w:t>
      </w:r>
      <w:r>
        <w:t xml:space="preserve"> ‘fit-for-purpose’</w:t>
      </w:r>
      <w:r w:rsidR="00CF7F3D">
        <w:t xml:space="preserve">. It </w:t>
      </w:r>
      <w:r>
        <w:t>presents the opportunity to keep instruments in line with international best practice and reflect outcomes of appropriate consultation.</w:t>
      </w:r>
      <w:r w:rsidR="00B73677">
        <w:t xml:space="preserve"> </w:t>
      </w:r>
    </w:p>
    <w:p w14:paraId="2E84926E" w14:textId="7961BDF3" w:rsidR="00383173" w:rsidRDefault="00896171" w:rsidP="005745FB">
      <w:r>
        <w:t>Part 4 of this paper</w:t>
      </w:r>
      <w:r w:rsidR="00B73677">
        <w:t xml:space="preserve"> </w:t>
      </w:r>
      <w:r w:rsidR="00930150">
        <w:t>outline</w:t>
      </w:r>
      <w:r>
        <w:t>s</w:t>
      </w:r>
      <w:r w:rsidR="00930150">
        <w:t xml:space="preserve"> the</w:t>
      </w:r>
      <w:r w:rsidR="00B73677">
        <w:t xml:space="preserve"> </w:t>
      </w:r>
      <w:r>
        <w:t>purpose</w:t>
      </w:r>
      <w:r w:rsidR="00B73677">
        <w:t xml:space="preserve"> and scope of the</w:t>
      </w:r>
      <w:r w:rsidR="00B73677" w:rsidRPr="000E04FF">
        <w:t xml:space="preserve"> Sunsetting </w:t>
      </w:r>
      <w:r w:rsidR="00651498" w:rsidRPr="000E04FF">
        <w:t xml:space="preserve">Review </w:t>
      </w:r>
      <w:r w:rsidR="00B73677" w:rsidRPr="000E04FF">
        <w:t>of the Illegal Logging Prohibition Regulation 2021</w:t>
      </w:r>
      <w:r w:rsidR="00930150">
        <w:t xml:space="preserve"> </w:t>
      </w:r>
      <w:r w:rsidR="00651498">
        <w:t>(the review)</w:t>
      </w:r>
      <w:r w:rsidR="00930150">
        <w:t xml:space="preserve">. </w:t>
      </w:r>
      <w:r>
        <w:t>Part</w:t>
      </w:r>
      <w:r w:rsidR="00FA66DF">
        <w:t xml:space="preserve"> </w:t>
      </w:r>
      <w:r w:rsidR="00383173">
        <w:t>4</w:t>
      </w:r>
      <w:r w:rsidR="00FA66DF">
        <w:t xml:space="preserve"> also provide</w:t>
      </w:r>
      <w:r>
        <w:t>s</w:t>
      </w:r>
      <w:r w:rsidR="00FA66DF">
        <w:t xml:space="preserve"> detail</w:t>
      </w:r>
      <w:r>
        <w:t>s</w:t>
      </w:r>
      <w:r w:rsidR="00FA66DF">
        <w:t xml:space="preserve"> on the regulation</w:t>
      </w:r>
      <w:r>
        <w:t>, including its objectives</w:t>
      </w:r>
      <w:r w:rsidR="00FA66DF">
        <w:t xml:space="preserve"> and </w:t>
      </w:r>
      <w:r>
        <w:t>current operation</w:t>
      </w:r>
      <w:r w:rsidR="00FA66DF">
        <w:t xml:space="preserve">. </w:t>
      </w:r>
    </w:p>
    <w:p w14:paraId="6BA4361B" w14:textId="79E6BC67" w:rsidR="005745FB" w:rsidRDefault="00896171" w:rsidP="005745FB">
      <w:r>
        <w:t>Part 5 of this paper discusses potential reforms to the regulation, which may also require changes to the Act.</w:t>
      </w:r>
      <w:r w:rsidR="00383173">
        <w:t xml:space="preserve"> </w:t>
      </w:r>
      <w:r w:rsidR="00504833">
        <w:t xml:space="preserve">The key </w:t>
      </w:r>
      <w:r w:rsidR="005745FB">
        <w:t xml:space="preserve">reforms to the </w:t>
      </w:r>
      <w:r w:rsidR="00383173">
        <w:t xml:space="preserve">illegal logging laws </w:t>
      </w:r>
      <w:r w:rsidR="00504833">
        <w:t xml:space="preserve">that are </w:t>
      </w:r>
      <w:r w:rsidR="00383173">
        <w:t xml:space="preserve">presented for stakeholder consideration </w:t>
      </w:r>
      <w:r w:rsidR="005745FB">
        <w:t>include:</w:t>
      </w:r>
    </w:p>
    <w:p w14:paraId="15BC88E5" w14:textId="25C4F261" w:rsidR="005745FB" w:rsidRDefault="005745FB" w:rsidP="005745FB">
      <w:pPr>
        <w:pStyle w:val="ListBullet"/>
      </w:pPr>
      <w:r>
        <w:t>streamlining due-diligence information received from importers</w:t>
      </w:r>
    </w:p>
    <w:p w14:paraId="7CDC7FFF" w14:textId="20E6EB1B" w:rsidR="005745FB" w:rsidRDefault="005745FB" w:rsidP="005745FB">
      <w:pPr>
        <w:pStyle w:val="ListBullet"/>
      </w:pPr>
      <w:r>
        <w:t>strengthening at-border powers</w:t>
      </w:r>
    </w:p>
    <w:p w14:paraId="32274C6E" w14:textId="12128B2B" w:rsidR="005745FB" w:rsidRDefault="005745FB" w:rsidP="005745FB">
      <w:pPr>
        <w:pStyle w:val="ListBullet"/>
      </w:pPr>
      <w:r>
        <w:t>incorporating emerging timber identification technologies</w:t>
      </w:r>
    </w:p>
    <w:p w14:paraId="28ABD5EE" w14:textId="6154A65C" w:rsidR="005745FB" w:rsidRDefault="005745FB" w:rsidP="005745FB">
      <w:pPr>
        <w:pStyle w:val="ListBullet"/>
      </w:pPr>
      <w:r>
        <w:t>additional statutory powers</w:t>
      </w:r>
    </w:p>
    <w:p w14:paraId="633AC740" w14:textId="3044779C" w:rsidR="005745FB" w:rsidRDefault="005745FB" w:rsidP="005745FB">
      <w:pPr>
        <w:pStyle w:val="ListBullet"/>
      </w:pPr>
      <w:r>
        <w:t>optimising the regulatory burden</w:t>
      </w:r>
    </w:p>
    <w:p w14:paraId="60FAE081" w14:textId="123CF75E" w:rsidR="005745FB" w:rsidRDefault="005745FB" w:rsidP="005745FB">
      <w:pPr>
        <w:pStyle w:val="ListBullet"/>
      </w:pPr>
      <w:r>
        <w:t>optimising the products regulated</w:t>
      </w:r>
    </w:p>
    <w:p w14:paraId="1383912E" w14:textId="0E305A4C" w:rsidR="005745FB" w:rsidRDefault="005745FB" w:rsidP="005745FB">
      <w:pPr>
        <w:pStyle w:val="ListBullet"/>
      </w:pPr>
      <w:r>
        <w:t>additional operational improvements.</w:t>
      </w:r>
    </w:p>
    <w:p w14:paraId="69204D34" w14:textId="51718CEF" w:rsidR="003C5F1B" w:rsidRDefault="005745FB" w:rsidP="005745FB">
      <w:r>
        <w:t>We encourage you to make a submission to inform the final recommendations.</w:t>
      </w:r>
      <w:r w:rsidR="002B351D">
        <w:t xml:space="preserve"> </w:t>
      </w:r>
      <w:r w:rsidR="00F434FC">
        <w:t xml:space="preserve">Submissions will inform </w:t>
      </w:r>
      <w:r w:rsidR="00E55502">
        <w:t>government consideration on next steps.</w:t>
      </w:r>
    </w:p>
    <w:p w14:paraId="0E9896ED" w14:textId="0763EA7A" w:rsidR="00A278DE" w:rsidRDefault="00A278DE" w:rsidP="00A278DE">
      <w:pPr>
        <w:pStyle w:val="Heading2"/>
      </w:pPr>
      <w:bookmarkStart w:id="36" w:name="_Toc72149455"/>
      <w:bookmarkStart w:id="37" w:name="_Toc72397573"/>
      <w:bookmarkStart w:id="38" w:name="_Toc72328683"/>
      <w:bookmarkStart w:id="39" w:name="_Toc74753437"/>
      <w:r w:rsidRPr="00A278DE">
        <w:lastRenderedPageBreak/>
        <w:t>Sunsetting of the Illegal Logging Prohibition Regulation 2012</w:t>
      </w:r>
      <w:bookmarkEnd w:id="36"/>
      <w:bookmarkEnd w:id="37"/>
      <w:bookmarkEnd w:id="38"/>
      <w:bookmarkEnd w:id="39"/>
    </w:p>
    <w:p w14:paraId="51BAECBF" w14:textId="77777777" w:rsidR="00A278DE" w:rsidRPr="005B7189" w:rsidRDefault="00A278DE" w:rsidP="00A278DE">
      <w:pPr>
        <w:pStyle w:val="Heading3"/>
      </w:pPr>
      <w:bookmarkStart w:id="40" w:name="_Toc72149456"/>
      <w:bookmarkStart w:id="41" w:name="_Toc72397574"/>
      <w:bookmarkStart w:id="42" w:name="_Toc72328684"/>
      <w:bookmarkStart w:id="43" w:name="_Toc74753438"/>
      <w:r w:rsidRPr="00DB5F91">
        <w:t>Sunsetting of legislative instruments</w:t>
      </w:r>
      <w:bookmarkEnd w:id="40"/>
      <w:bookmarkEnd w:id="41"/>
      <w:bookmarkEnd w:id="42"/>
      <w:bookmarkEnd w:id="43"/>
    </w:p>
    <w:p w14:paraId="6C2DD274" w14:textId="77777777" w:rsidR="0038067B" w:rsidRPr="00A24060" w:rsidRDefault="0038067B" w:rsidP="0038067B">
      <w:r w:rsidRPr="00A24060">
        <w:t>Sunsetting provisions in legislation provide that the law ceases to have effect (aka ‘sunset’) after a specific timeframe unless further legislative action is taken to extend the law.</w:t>
      </w:r>
    </w:p>
    <w:p w14:paraId="34EF9FD5" w14:textId="7CD0641C" w:rsidR="0038067B" w:rsidRPr="00A24060" w:rsidRDefault="0038067B" w:rsidP="0038067B">
      <w:r w:rsidRPr="00A24060">
        <w:t>The Australian Government</w:t>
      </w:r>
      <w:r>
        <w:t>’s</w:t>
      </w:r>
      <w:r w:rsidRPr="00A24060">
        <w:t xml:space="preserve"> sunsetting regime is set out in the </w:t>
      </w:r>
      <w:r w:rsidRPr="00DE1E32">
        <w:rPr>
          <w:i/>
        </w:rPr>
        <w:t>Legislation Act 2003</w:t>
      </w:r>
      <w:r w:rsidRPr="00A24060">
        <w:t xml:space="preserve">. </w:t>
      </w:r>
      <w:r w:rsidR="00504833" w:rsidRPr="00A24060">
        <w:t>Section</w:t>
      </w:r>
      <w:r w:rsidR="00504833">
        <w:t> </w:t>
      </w:r>
      <w:r w:rsidRPr="00A24060">
        <w:t xml:space="preserve">50(1) repeals a legislative instrument on either 1 April or 1 October—whichever date occurs first on or after the tenth anniversary of the instrument’s registration on the Federal Register of Legislation (FRL). </w:t>
      </w:r>
      <w:r>
        <w:t>T</w:t>
      </w:r>
      <w:r w:rsidRPr="00A24060">
        <w:t>he Illegal Logging Prohibition Regulation 2012 is due to sunset on 1 April 202</w:t>
      </w:r>
      <w:r>
        <w:t>3 in line with these provisions</w:t>
      </w:r>
      <w:r w:rsidRPr="00A24060">
        <w:t>.</w:t>
      </w:r>
    </w:p>
    <w:p w14:paraId="67D3733C" w14:textId="77777777" w:rsidR="0038067B" w:rsidRPr="00A24060" w:rsidRDefault="0038067B" w:rsidP="0038067B">
      <w:r w:rsidRPr="00A24060">
        <w:t xml:space="preserve">Sunsetting </w:t>
      </w:r>
      <w:r>
        <w:t xml:space="preserve">provisions help </w:t>
      </w:r>
      <w:r w:rsidRPr="00A24060">
        <w:t>the Australian Government implement policies t</w:t>
      </w:r>
      <w:r>
        <w:t xml:space="preserve">hat </w:t>
      </w:r>
      <w:r w:rsidRPr="00A24060">
        <w:t>reduce red tape, deliver clearer laws, and align existing legislation with current government policy.</w:t>
      </w:r>
    </w:p>
    <w:p w14:paraId="2DFCD06D" w14:textId="4241ECE3" w:rsidR="0038067B" w:rsidRDefault="0038067B" w:rsidP="0038067B">
      <w:pPr>
        <w:pStyle w:val="Heading3"/>
      </w:pPr>
      <w:bookmarkStart w:id="44" w:name="_Toc72149457"/>
      <w:bookmarkStart w:id="45" w:name="_Toc72397575"/>
      <w:bookmarkStart w:id="46" w:name="_Toc72328685"/>
      <w:bookmarkStart w:id="47" w:name="_Toc74753439"/>
      <w:r>
        <w:t>The sunsetting review process</w:t>
      </w:r>
      <w:bookmarkEnd w:id="44"/>
      <w:bookmarkEnd w:id="45"/>
      <w:bookmarkEnd w:id="46"/>
      <w:bookmarkEnd w:id="47"/>
    </w:p>
    <w:p w14:paraId="02DBDC60" w14:textId="77777777" w:rsidR="003533D5" w:rsidRDefault="003533D5" w:rsidP="003533D5">
      <w:r>
        <w:t>Sunsetting compels rule-makers to consider whether the instrument is still necessary. This is referred to under Australian Government policy as the ‘fitness-for-purpose’ test and is central to the sunsetting review process. Rule-makers consider ways to make instruments more efficient using this test and if the instrument is still needed. This could be through different policy approaches, clearer drafting or means to reduce the regulatory burden for example.</w:t>
      </w:r>
    </w:p>
    <w:p w14:paraId="47A1FDA1" w14:textId="77777777" w:rsidR="003533D5" w:rsidRDefault="003533D5" w:rsidP="003533D5">
      <w:r>
        <w:t>Australian Government policy also requires rule makers to consider the operating context of the sunsetting legislation, and broader legislative and policy context. This includes broader domestic and international law developments and deregulation agendas.</w:t>
      </w:r>
    </w:p>
    <w:p w14:paraId="76298B17" w14:textId="2C8BF085" w:rsidR="0038067B" w:rsidRPr="0038067B" w:rsidRDefault="003533D5" w:rsidP="003533D5">
      <w:r>
        <w:t>A sunsetting review aims to produce a clear finding as to whether the sunsetting instrument continues to have a purpose and justify the finding to the public and Parliament. It also aims to identify changes required to ensure the replacement instrument is current, legally effective, drafted to a high standard and reflects the outcomes of appropriate consultation.</w:t>
      </w:r>
    </w:p>
    <w:p w14:paraId="1F2704B1" w14:textId="0C3882C6" w:rsidR="00A278DE" w:rsidRDefault="003533D5" w:rsidP="0038067B">
      <w:pPr>
        <w:pStyle w:val="Heading3"/>
        <w:rPr>
          <w:lang w:eastAsia="ja-JP"/>
        </w:rPr>
      </w:pPr>
      <w:bookmarkStart w:id="48" w:name="_Toc72397576"/>
      <w:bookmarkStart w:id="49" w:name="_Toc72328686"/>
      <w:bookmarkStart w:id="50" w:name="_Toc74753440"/>
      <w:r w:rsidRPr="003533D5">
        <w:rPr>
          <w:lang w:eastAsia="ja-JP"/>
        </w:rPr>
        <w:t>Scope of th</w:t>
      </w:r>
      <w:r w:rsidR="00F434FC">
        <w:rPr>
          <w:lang w:eastAsia="ja-JP"/>
        </w:rPr>
        <w:t>is</w:t>
      </w:r>
      <w:r w:rsidRPr="003533D5">
        <w:rPr>
          <w:lang w:eastAsia="ja-JP"/>
        </w:rPr>
        <w:t xml:space="preserve"> sunsetting review</w:t>
      </w:r>
      <w:bookmarkEnd w:id="48"/>
      <w:bookmarkEnd w:id="49"/>
      <w:bookmarkEnd w:id="50"/>
    </w:p>
    <w:p w14:paraId="2AAD66BA" w14:textId="6EFD8B9E" w:rsidR="00910945" w:rsidRDefault="00910945" w:rsidP="00910945">
      <w:r>
        <w:t>Th</w:t>
      </w:r>
      <w:r w:rsidR="00F434FC">
        <w:t>is</w:t>
      </w:r>
      <w:r>
        <w:t xml:space="preserve"> sunsetting review aims to ensure the entire legislative framework</w:t>
      </w:r>
      <w:r w:rsidR="007D2745">
        <w:t xml:space="preserve"> (the Act and the Regulation)</w:t>
      </w:r>
      <w:r>
        <w:t xml:space="preserve"> is strong and delivers on Australia’s commitment to reduce the harmful impacts of illegal logging. The review will focus on meeting the Regulation’s sunsetting requirements as outlined in the </w:t>
      </w:r>
      <w:r w:rsidRPr="0076582D">
        <w:rPr>
          <w:i/>
          <w:iCs/>
        </w:rPr>
        <w:t>Legislative Instruments Act 2003</w:t>
      </w:r>
      <w:r>
        <w:rPr>
          <w:i/>
          <w:iCs/>
        </w:rPr>
        <w:t xml:space="preserve">. </w:t>
      </w:r>
      <w:r>
        <w:t>These requirements include</w:t>
      </w:r>
      <w:r w:rsidRPr="00631AAF">
        <w:t xml:space="preserve"> </w:t>
      </w:r>
      <w:r>
        <w:t>considering the Regulation’s fitness-for-purpose and any potential reforms.</w:t>
      </w:r>
    </w:p>
    <w:p w14:paraId="461780ED" w14:textId="500F271E" w:rsidR="00910945" w:rsidRDefault="00910945" w:rsidP="00910945">
      <w:r>
        <w:t xml:space="preserve">Some </w:t>
      </w:r>
      <w:r w:rsidR="00F434FC">
        <w:t xml:space="preserve">proposed </w:t>
      </w:r>
      <w:r>
        <w:t xml:space="preserve">reforms to the Regulation may require changes to </w:t>
      </w:r>
      <w:r w:rsidR="008F250E">
        <w:t xml:space="preserve">the </w:t>
      </w:r>
      <w:r w:rsidR="008F250E" w:rsidRPr="0076582D">
        <w:rPr>
          <w:rStyle w:val="Emphasis"/>
          <w:i w:val="0"/>
          <w:iCs w:val="0"/>
        </w:rPr>
        <w:t>Act</w:t>
      </w:r>
      <w:r>
        <w:rPr>
          <w:rStyle w:val="Emphasis"/>
        </w:rPr>
        <w:t xml:space="preserve"> </w:t>
      </w:r>
      <w:r>
        <w:rPr>
          <w:rStyle w:val="Emphasis"/>
          <w:i w:val="0"/>
          <w:iCs w:val="0"/>
        </w:rPr>
        <w:t>due to their close interaction</w:t>
      </w:r>
      <w:r>
        <w:t xml:space="preserve">. </w:t>
      </w:r>
      <w:bookmarkStart w:id="51" w:name="_Hlk74149846"/>
      <w:r>
        <w:t xml:space="preserve">The Act’s fitness-for-purpose will not be considered as it was previously reviewed as part of the </w:t>
      </w:r>
      <w:r w:rsidRPr="00C3667D">
        <w:t xml:space="preserve">Statutory review of the </w:t>
      </w:r>
      <w:r w:rsidRPr="000E4C50">
        <w:rPr>
          <w:i/>
          <w:iCs/>
        </w:rPr>
        <w:t>Illegal Logging Prohibition Act 2012</w:t>
      </w:r>
      <w:r>
        <w:t xml:space="preserve"> published in January 2019. </w:t>
      </w:r>
      <w:bookmarkEnd w:id="51"/>
      <w:r>
        <w:t xml:space="preserve">The Statutory review determined that the </w:t>
      </w:r>
      <w:r w:rsidRPr="000E04FF">
        <w:t>Act</w:t>
      </w:r>
      <w:r>
        <w:t xml:space="preserve"> is required and therefore its existence is not in question.</w:t>
      </w:r>
    </w:p>
    <w:p w14:paraId="62ED70FE" w14:textId="6A674D38" w:rsidR="003533D5" w:rsidRDefault="003533D5" w:rsidP="00910945">
      <w:pPr>
        <w:rPr>
          <w:lang w:eastAsia="ja-JP"/>
        </w:rPr>
      </w:pPr>
      <w:r>
        <w:rPr>
          <w:lang w:eastAsia="ja-JP"/>
        </w:rPr>
        <w:lastRenderedPageBreak/>
        <w:t>In October 2019, following the Statutory Review of the Act, the government announced that it would defer considering legislative amendments until the Sunsetting Review. This Review process has utilised the recommendations from the Statutory Review</w:t>
      </w:r>
      <w:r w:rsidR="00F434FC">
        <w:rPr>
          <w:lang w:eastAsia="ja-JP"/>
        </w:rPr>
        <w:t xml:space="preserve"> of the Act</w:t>
      </w:r>
      <w:r>
        <w:rPr>
          <w:lang w:eastAsia="ja-JP"/>
        </w:rPr>
        <w:t xml:space="preserve"> as the starting basis for </w:t>
      </w:r>
      <w:r w:rsidR="00834738">
        <w:rPr>
          <w:lang w:eastAsia="ja-JP"/>
        </w:rPr>
        <w:t xml:space="preserve">the </w:t>
      </w:r>
      <w:r>
        <w:rPr>
          <w:lang w:eastAsia="ja-JP"/>
        </w:rPr>
        <w:t>potential reforms presented here.</w:t>
      </w:r>
    </w:p>
    <w:p w14:paraId="4A149BD6" w14:textId="7ECB4594" w:rsidR="003533D5" w:rsidRDefault="003533D5" w:rsidP="003533D5">
      <w:pPr>
        <w:rPr>
          <w:lang w:eastAsia="ja-JP"/>
        </w:rPr>
      </w:pPr>
      <w:r>
        <w:rPr>
          <w:lang w:eastAsia="ja-JP"/>
        </w:rPr>
        <w:t xml:space="preserve">The potential review reforms discussed in this paper indicate the breadth of the reforms being considered by </w:t>
      </w:r>
      <w:r w:rsidR="00133328">
        <w:rPr>
          <w:lang w:eastAsia="ja-JP"/>
        </w:rPr>
        <w:t>g</w:t>
      </w:r>
      <w:r>
        <w:rPr>
          <w:lang w:eastAsia="ja-JP"/>
        </w:rPr>
        <w:t>overnment. These cover due diligence requirements, compliance powers, the scope of regulated products and entities, and the regulated community’s interface with the regulatory framework, among other matters.</w:t>
      </w:r>
    </w:p>
    <w:p w14:paraId="230F632F" w14:textId="57393CCB" w:rsidR="003533D5" w:rsidRDefault="003533D5" w:rsidP="003533D5">
      <w:pPr>
        <w:rPr>
          <w:lang w:eastAsia="ja-JP"/>
        </w:rPr>
      </w:pPr>
      <w:r>
        <w:rPr>
          <w:lang w:eastAsia="ja-JP"/>
        </w:rPr>
        <w:t xml:space="preserve">Together with feedback from the regulated community, the </w:t>
      </w:r>
      <w:r w:rsidR="00133328">
        <w:rPr>
          <w:lang w:eastAsia="ja-JP"/>
        </w:rPr>
        <w:t>g</w:t>
      </w:r>
      <w:r>
        <w:rPr>
          <w:lang w:eastAsia="ja-JP"/>
        </w:rPr>
        <w:t>overnment will consider international developments in combatting illegal logging, including other legislative frameworks, to inform the review process.</w:t>
      </w:r>
    </w:p>
    <w:p w14:paraId="599F53EE" w14:textId="489491B7" w:rsidR="003533D5" w:rsidRDefault="003533D5" w:rsidP="001B2994">
      <w:pPr>
        <w:pStyle w:val="Heading3"/>
      </w:pPr>
      <w:bookmarkStart w:id="52" w:name="_Toc72149459"/>
      <w:bookmarkStart w:id="53" w:name="_Toc72397577"/>
      <w:bookmarkStart w:id="54" w:name="_Toc72328687"/>
      <w:bookmarkStart w:id="55" w:name="_Toc74753441"/>
      <w:r w:rsidRPr="00610C3B">
        <w:t xml:space="preserve">Overview of the </w:t>
      </w:r>
      <w:r w:rsidRPr="00722437">
        <w:t>Illegal Logging Prohibition Regulation 2012</w:t>
      </w:r>
      <w:bookmarkEnd w:id="52"/>
      <w:bookmarkEnd w:id="53"/>
      <w:bookmarkEnd w:id="54"/>
      <w:bookmarkEnd w:id="55"/>
    </w:p>
    <w:p w14:paraId="5F289C6A" w14:textId="34E52B3E" w:rsidR="001B2994" w:rsidRDefault="001B2994" w:rsidP="001B2994">
      <w:r>
        <w:t xml:space="preserve">The Illegal Logging Prohibition Regulation 2012 was made under the </w:t>
      </w:r>
      <w:r w:rsidRPr="00AD1D14">
        <w:rPr>
          <w:i/>
        </w:rPr>
        <w:t>Illegal Logging Prohibition Act 2012</w:t>
      </w:r>
      <w:r>
        <w:t xml:space="preserve">. As the only Regulation made under the Act, it contains essential provisions for the operation of </w:t>
      </w:r>
      <w:r w:rsidR="00C64D80">
        <w:t xml:space="preserve">Australia’s </w:t>
      </w:r>
      <w:r>
        <w:t xml:space="preserve">illegal logging </w:t>
      </w:r>
      <w:r w:rsidR="005F784E">
        <w:t>l</w:t>
      </w:r>
      <w:r w:rsidR="00AB38DC">
        <w:t>aws</w:t>
      </w:r>
      <w:r w:rsidR="001D2B30">
        <w:t>,</w:t>
      </w:r>
      <w:r>
        <w:t xml:space="preserve"> including the due diligence obligations.</w:t>
      </w:r>
    </w:p>
    <w:p w14:paraId="340570AA" w14:textId="56B8CADB" w:rsidR="001B2994" w:rsidRDefault="001B2994" w:rsidP="001B2994">
      <w:r>
        <w:t xml:space="preserve">The Regulation prescribes the ‘regulated timber products’ under the </w:t>
      </w:r>
      <w:r w:rsidR="00E703C1">
        <w:t>illegal logging laws</w:t>
      </w:r>
      <w:r>
        <w:t xml:space="preserve">. This includes select products under chapters 44 (wood and articles of wood), 47 (pulp), 48 (paper and paperboard, articles of paper pulp) and 94 (wooden furniture) </w:t>
      </w:r>
      <w:r w:rsidR="00114E4B">
        <w:t xml:space="preserve">in Schedule 3 </w:t>
      </w:r>
      <w:r>
        <w:t xml:space="preserve">of the Customs </w:t>
      </w:r>
      <w:r w:rsidR="00114E4B">
        <w:t>Tariff Classification</w:t>
      </w:r>
      <w:r>
        <w:t xml:space="preserve">. Exemptions are specified for consignments worth under $1000 or products made entirely from recycled material. These products are not regulated under the </w:t>
      </w:r>
      <w:r w:rsidR="00383173">
        <w:t>regulation</w:t>
      </w:r>
      <w:r>
        <w:t>.</w:t>
      </w:r>
    </w:p>
    <w:p w14:paraId="4FC001A6" w14:textId="44D7EF10" w:rsidR="001B2994" w:rsidRDefault="001B2994" w:rsidP="001B2994">
      <w:r>
        <w:t>The Regulation requires importers and processors of regulated timber products to establish a due diligence system</w:t>
      </w:r>
      <w:r w:rsidR="00372A48">
        <w:t>. It</w:t>
      </w:r>
      <w:r>
        <w:t xml:space="preserve"> sets out the due diligence requirements that they must follow ahead of importing or processing a regulated timber product. These requirements ensure that importers and processors assess the risk that a regulated timber product has been illegally harvested. They require the importer or processor to apply ‘reasonable and proportionate’ measures to mitigate risks deemed greater than ‘low’ ahead of importing or processing the product.</w:t>
      </w:r>
    </w:p>
    <w:p w14:paraId="06A6F62C" w14:textId="6F2FABCC" w:rsidR="001B2994" w:rsidRPr="001B2994" w:rsidRDefault="001B2994" w:rsidP="001B2994">
      <w:r>
        <w:t>The Regulation also sets out the timber legality frameworks that importers and processors can use as part of the due diligence process. These are the third-party certification schemes of the Forest Stewardship Council and the Programme for the Endorsement of Forest Certification. Additionally, the Regulation lists the country specific guidelines (currently available for ten countries) that importers may use to undertake risk identification and assessment for regulated timber products. Similarly, there are also state specific guidelines that domestic processors can use to conduct due diligence. Finally, the Regulation covers some administrative matters. This includes the provision of information and recordkeeping in relation to due diligence.</w:t>
      </w:r>
    </w:p>
    <w:p w14:paraId="0729E1A2" w14:textId="7B503F78" w:rsidR="001B2994" w:rsidRDefault="001B2994" w:rsidP="001B2994">
      <w:pPr>
        <w:pStyle w:val="Heading3"/>
      </w:pPr>
      <w:bookmarkStart w:id="56" w:name="_Toc72149460"/>
      <w:bookmarkStart w:id="57" w:name="_Toc72397578"/>
      <w:bookmarkStart w:id="58" w:name="_Toc72328688"/>
      <w:bookmarkStart w:id="59" w:name="_Toc74753442"/>
      <w:r>
        <w:t xml:space="preserve">Objectives of the </w:t>
      </w:r>
      <w:r w:rsidRPr="00AE3715">
        <w:t>Regulation</w:t>
      </w:r>
      <w:bookmarkEnd w:id="56"/>
      <w:bookmarkEnd w:id="57"/>
      <w:bookmarkEnd w:id="58"/>
      <w:bookmarkEnd w:id="59"/>
    </w:p>
    <w:p w14:paraId="19EBFE4C" w14:textId="2AFB16A0" w:rsidR="001B2994" w:rsidRPr="002672ED" w:rsidRDefault="001B2994" w:rsidP="001B2994">
      <w:r w:rsidRPr="002672ED">
        <w:t>The Regulation, along with the Act, aims to promote trade in legal timber products while reducing the significant environmental, economic and social costs of illegal logging. It does this through prescribing requirements for processors and importers that help them identify and avoid importing or processing illegally logged timber, which is prohibited by the Act.</w:t>
      </w:r>
    </w:p>
    <w:p w14:paraId="0D876D46" w14:textId="77777777" w:rsidR="001B2994" w:rsidRPr="002672ED" w:rsidRDefault="001B2994" w:rsidP="001B2994">
      <w:pPr>
        <w:rPr>
          <w:rFonts w:cs="Calibri"/>
        </w:rPr>
      </w:pPr>
      <w:r w:rsidRPr="002672ED">
        <w:rPr>
          <w:rFonts w:eastAsia="Cambria" w:cs="Calibri"/>
        </w:rPr>
        <w:lastRenderedPageBreak/>
        <w:t>Illegal logging is a global problem. The theft, laundering and trade of illegal timber occurs throughout the world and in all types of forest ecosystems, including natural forests, plantations, the tropics, and temperate and boreal forests.</w:t>
      </w:r>
    </w:p>
    <w:p w14:paraId="1F77CABB" w14:textId="7D9FBB7B" w:rsidR="001B2994" w:rsidRPr="002672ED" w:rsidRDefault="001B2994" w:rsidP="001B2994">
      <w:pPr>
        <w:rPr>
          <w:rFonts w:eastAsia="Cambria" w:cs="Calibri"/>
        </w:rPr>
      </w:pPr>
      <w:r w:rsidRPr="002672ED">
        <w:rPr>
          <w:rFonts w:eastAsia="Cambria" w:cs="Calibri"/>
        </w:rPr>
        <w:t xml:space="preserve">The principal motivation behind these illegal activities is profit. Illegal operators avoid many costs associated with sustainable forest management. Examples include payment of royalties to governments and traditional owners, compliance with harvest controls, labour costs and other transaction costs. This has a negative impact on domestic market prices, which can affect business decisions, industry investment, businesses profitability and jobs in the Australian economy. It also impacts on the environmental objectives for sustainable forest </w:t>
      </w:r>
      <w:r w:rsidRPr="002672ED" w:rsidDel="006848F3">
        <w:rPr>
          <w:rFonts w:eastAsia="Cambria" w:cs="Calibri"/>
        </w:rPr>
        <w:t>industries</w:t>
      </w:r>
      <w:r w:rsidRPr="002672ED">
        <w:rPr>
          <w:rFonts w:eastAsia="Cambria" w:cs="Calibri"/>
        </w:rPr>
        <w:t xml:space="preserve"> and impedes governments in the use of taxes and royalties from those legal activities that support environmental objectives such as afforestation, reforestation and remediation.</w:t>
      </w:r>
    </w:p>
    <w:p w14:paraId="6410E8D3" w14:textId="3618ABC2" w:rsidR="001B2994" w:rsidRPr="002672ED" w:rsidRDefault="001B2994" w:rsidP="001B2994">
      <w:r w:rsidRPr="002672ED">
        <w:t>The Regulation aims to support the government’s strategy for a sustainable Australian domestic forest industry. The government is ensuring that sustainable and legal forest industries are not undercut by illegally logged timber products. This is</w:t>
      </w:r>
      <w:r w:rsidR="00484522">
        <w:t xml:space="preserve"> done</w:t>
      </w:r>
      <w:r w:rsidRPr="002672ED">
        <w:t xml:space="preserve"> by </w:t>
      </w:r>
      <w:r w:rsidR="002835BD">
        <w:t>deterring</w:t>
      </w:r>
      <w:r w:rsidRPr="002672ED">
        <w:t xml:space="preserve"> importers and domestic processors </w:t>
      </w:r>
      <w:r w:rsidR="002835BD">
        <w:t>from</w:t>
      </w:r>
      <w:r w:rsidRPr="002672ED">
        <w:t xml:space="preserve"> introduc</w:t>
      </w:r>
      <w:r w:rsidR="004E532B">
        <w:t>ing</w:t>
      </w:r>
      <w:r w:rsidRPr="002672ED">
        <w:t xml:space="preserve"> illegally sourced timber into the Australian market.</w:t>
      </w:r>
    </w:p>
    <w:p w14:paraId="77C0DF5C" w14:textId="77777777" w:rsidR="001B2994" w:rsidRPr="002672ED" w:rsidRDefault="001B2994" w:rsidP="001B2994">
      <w:r w:rsidRPr="002672ED">
        <w:t>Australian consumers expect that the timber products they purchase have been harvested legally, and that claims about their origins are true. The due diligence requirements are designed to ensure that importers and processors can meet these consumer expectations through applying appropriate checks.</w:t>
      </w:r>
    </w:p>
    <w:p w14:paraId="3D45BE2A" w14:textId="126D5D31" w:rsidR="001B2994" w:rsidRPr="002672ED" w:rsidRDefault="001B2994" w:rsidP="001B2994">
      <w:r w:rsidRPr="002672ED">
        <w:t>The Regulation is also intended to strengthen the credentials of Australia’s timber sector as a supplier of legal and sustainable timber products. Overseas purchasers can have confidence that Australian timber products have been harvested legally</w:t>
      </w:r>
      <w:r w:rsidR="00342F25">
        <w:t>. This is because</w:t>
      </w:r>
      <w:r w:rsidRPr="002672ED">
        <w:t xml:space="preserve"> Australian timber processors must </w:t>
      </w:r>
      <w:r w:rsidR="00AB2C5F">
        <w:t>have</w:t>
      </w:r>
      <w:r w:rsidRPr="002672ED">
        <w:t xml:space="preserve"> assure</w:t>
      </w:r>
      <w:r w:rsidR="003334F8">
        <w:t>d</w:t>
      </w:r>
      <w:r w:rsidRPr="002672ED">
        <w:t xml:space="preserve"> themselves that they are sourcing legally harvested timber</w:t>
      </w:r>
      <w:r w:rsidR="003334F8">
        <w:t xml:space="preserve"> under the laws</w:t>
      </w:r>
      <w:r w:rsidRPr="002672ED">
        <w:t>. This facilitates ‘market access’ for Australian exporters to jurisdictions that recognise Australia’s timber legality laws.</w:t>
      </w:r>
    </w:p>
    <w:p w14:paraId="509FCCAA" w14:textId="732DABDF" w:rsidR="001B2994" w:rsidRPr="002672ED" w:rsidRDefault="001B2994" w:rsidP="001B2994">
      <w:pPr>
        <w:rPr>
          <w:rFonts w:asciiTheme="majorHAnsi" w:hAnsiTheme="majorHAnsi"/>
        </w:rPr>
      </w:pPr>
      <w:r w:rsidRPr="002672ED">
        <w:t>The illegal logging laws also aim to complement other key government priorities. This includes supporting action to mitigate climate change, combatting organised crime activities, supporting economic and social development across the region, and alleviating the costs of corruption in developing countries.</w:t>
      </w:r>
    </w:p>
    <w:p w14:paraId="601B37C9" w14:textId="54EB5F0D" w:rsidR="001B2994" w:rsidRDefault="001B2994" w:rsidP="001B2994">
      <w:pPr>
        <w:pStyle w:val="Heading3"/>
      </w:pPr>
      <w:bookmarkStart w:id="60" w:name="_Toc72149461"/>
      <w:bookmarkStart w:id="61" w:name="_Toc72397579"/>
      <w:bookmarkStart w:id="62" w:name="_Toc72328689"/>
      <w:bookmarkStart w:id="63" w:name="_Toc74753443"/>
      <w:r>
        <w:t xml:space="preserve">Operation of the </w:t>
      </w:r>
      <w:r w:rsidRPr="00AE3715">
        <w:t>Regulation</w:t>
      </w:r>
      <w:bookmarkEnd w:id="60"/>
      <w:bookmarkEnd w:id="61"/>
      <w:bookmarkEnd w:id="62"/>
      <w:bookmarkEnd w:id="63"/>
    </w:p>
    <w:p w14:paraId="6C368608" w14:textId="77777777" w:rsidR="001B2994" w:rsidRPr="00BF4D87" w:rsidRDefault="001B2994" w:rsidP="001B2994">
      <w:pPr>
        <w:pStyle w:val="Heading4"/>
      </w:pPr>
      <w:bookmarkStart w:id="64" w:name="_Toc72149462"/>
      <w:r w:rsidRPr="00BF4D87">
        <w:t>Implementation history and compliance context</w:t>
      </w:r>
      <w:bookmarkEnd w:id="64"/>
    </w:p>
    <w:p w14:paraId="72610762" w14:textId="11EF36E0" w:rsidR="001B2994" w:rsidRPr="00403CCD" w:rsidRDefault="001B2994" w:rsidP="001B2994">
      <w:r w:rsidRPr="00A24060">
        <w:t xml:space="preserve">While parts of the Act and Regulation came into effect in late 2012, many of the provisions, including those in the Regulation concerning due diligence, did not commence until </w:t>
      </w:r>
      <w:r w:rsidR="00504833" w:rsidRPr="00A24060">
        <w:t>30</w:t>
      </w:r>
      <w:r w:rsidR="00504833">
        <w:t> </w:t>
      </w:r>
      <w:r w:rsidRPr="00A24060">
        <w:t>November 2014. The Regulation was then subject to an initial ‘soft-start’ implementation period that continued until 1 January 2018</w:t>
      </w:r>
      <w:r w:rsidRPr="00403CCD">
        <w:t>. B</w:t>
      </w:r>
      <w:r w:rsidRPr="006B4D70">
        <w:t>usinesses and individuals were subject to prosecution for offences established in the Act during this period</w:t>
      </w:r>
      <w:r w:rsidR="002E5271">
        <w:t>,</w:t>
      </w:r>
      <w:r w:rsidRPr="006B4D70">
        <w:t xml:space="preserve"> but not to civil penalties prescribed in the Regulation for undertaking due diligence.</w:t>
      </w:r>
    </w:p>
    <w:p w14:paraId="0F65332A" w14:textId="7C13A240" w:rsidR="001B2994" w:rsidRPr="00A24060" w:rsidRDefault="001B2994" w:rsidP="001B2994">
      <w:r w:rsidRPr="00A24060">
        <w:t xml:space="preserve">The </w:t>
      </w:r>
      <w:r>
        <w:t>Department of Agriculture, Water and the Environment</w:t>
      </w:r>
      <w:r w:rsidRPr="00A24060">
        <w:t xml:space="preserve"> administers the Regulation </w:t>
      </w:r>
      <w:r w:rsidR="002019DE">
        <w:t xml:space="preserve">and </w:t>
      </w:r>
      <w:r w:rsidRPr="00A24060">
        <w:t>carries out compliance and enforcement functions for all of the department’s key regulatory responsibilities, including its biosecurity functions.</w:t>
      </w:r>
    </w:p>
    <w:p w14:paraId="4EE1C130" w14:textId="1D03B9BA" w:rsidR="001B2994" w:rsidRPr="00151C4E" w:rsidRDefault="001B2994" w:rsidP="001B2994">
      <w:pPr>
        <w:pStyle w:val="Heading4"/>
      </w:pPr>
      <w:r>
        <w:rPr>
          <w:rFonts w:eastAsiaTheme="majorEastAsia"/>
        </w:rPr>
        <w:lastRenderedPageBreak/>
        <w:t>The department’s c</w:t>
      </w:r>
      <w:r w:rsidRPr="00151C4E">
        <w:rPr>
          <w:rFonts w:eastAsiaTheme="majorEastAsia"/>
        </w:rPr>
        <w:t>ompliance approach</w:t>
      </w:r>
    </w:p>
    <w:p w14:paraId="237E569A" w14:textId="69870728" w:rsidR="001B2994" w:rsidRPr="00DE1E32" w:rsidRDefault="001B2994" w:rsidP="001B2994">
      <w:pPr>
        <w:rPr>
          <w:rFonts w:eastAsia="Calibri" w:cstheme="minorHAnsi"/>
        </w:rPr>
      </w:pPr>
      <w:r w:rsidRPr="005B7189">
        <w:rPr>
          <w:rFonts w:cstheme="minorHAnsi"/>
        </w:rPr>
        <w:t xml:space="preserve">In administering the Act, the department uses principles to manage illegal logging compliance that are similar to </w:t>
      </w:r>
      <w:r w:rsidRPr="003744B3">
        <w:rPr>
          <w:rFonts w:cstheme="minorHAnsi"/>
        </w:rPr>
        <w:t>those it uses for its broader biosecurity compliance responsibilities. The approach focuses on encouraging and prompting voluntary compliance while responding to noncompliance in a way that is commensurate with the behaviours involved</w:t>
      </w:r>
      <w:r w:rsidRPr="00DE1E32">
        <w:rPr>
          <w:rFonts w:eastAsia="Calibri" w:cstheme="minorHAnsi"/>
        </w:rPr>
        <w:t xml:space="preserve"> (</w:t>
      </w:r>
      <w:r w:rsidR="00133328">
        <w:rPr>
          <w:rFonts w:eastAsia="Calibri" w:cstheme="minorHAnsi"/>
        </w:rPr>
        <w:fldChar w:fldCharType="begin"/>
      </w:r>
      <w:r w:rsidR="00133328">
        <w:rPr>
          <w:rFonts w:eastAsia="Calibri" w:cstheme="minorHAnsi"/>
        </w:rPr>
        <w:instrText xml:space="preserve"> REF _Ref72850841 \h </w:instrText>
      </w:r>
      <w:r w:rsidR="00133328">
        <w:rPr>
          <w:rFonts w:eastAsia="Calibri" w:cstheme="minorHAnsi"/>
        </w:rPr>
      </w:r>
      <w:r w:rsidR="00133328">
        <w:rPr>
          <w:rFonts w:eastAsia="Calibri" w:cstheme="minorHAnsi"/>
        </w:rPr>
        <w:fldChar w:fldCharType="separate"/>
      </w:r>
      <w:r w:rsidR="00793F6B">
        <w:t xml:space="preserve">Figure </w:t>
      </w:r>
      <w:r w:rsidR="00793F6B">
        <w:rPr>
          <w:noProof/>
        </w:rPr>
        <w:t>1</w:t>
      </w:r>
      <w:r w:rsidR="00133328">
        <w:rPr>
          <w:rFonts w:eastAsia="Calibri" w:cstheme="minorHAnsi"/>
        </w:rPr>
        <w:fldChar w:fldCharType="end"/>
      </w:r>
      <w:r w:rsidRPr="00DE1E32">
        <w:rPr>
          <w:rFonts w:eastAsia="Calibri" w:cstheme="minorHAnsi"/>
        </w:rPr>
        <w:t>).</w:t>
      </w:r>
    </w:p>
    <w:p w14:paraId="2463D14E" w14:textId="6423044F" w:rsidR="00692CF1" w:rsidRDefault="009D60E9" w:rsidP="00692CF1">
      <w:pPr>
        <w:pStyle w:val="Caption"/>
      </w:pPr>
      <w:bookmarkStart w:id="65" w:name="_Ref72850841"/>
      <w:bookmarkStart w:id="66" w:name="_Toc74753464"/>
      <w:r>
        <w:t xml:space="preserve">Figure </w:t>
      </w:r>
      <w:r w:rsidRPr="089CC456">
        <w:fldChar w:fldCharType="begin"/>
      </w:r>
      <w:r>
        <w:instrText xml:space="preserve"> SEQ Figure \* ARABIC </w:instrText>
      </w:r>
      <w:r w:rsidRPr="089CC456">
        <w:fldChar w:fldCharType="separate"/>
      </w:r>
      <w:r w:rsidR="00793F6B">
        <w:rPr>
          <w:noProof/>
        </w:rPr>
        <w:t>1</w:t>
      </w:r>
      <w:r w:rsidRPr="089CC456">
        <w:rPr>
          <w:noProof/>
        </w:rPr>
        <w:fldChar w:fldCharType="end"/>
      </w:r>
      <w:bookmarkEnd w:id="65"/>
      <w:r w:rsidR="001B2994">
        <w:t xml:space="preserve"> </w:t>
      </w:r>
      <w:r w:rsidR="000528AE">
        <w:t>D</w:t>
      </w:r>
      <w:r w:rsidR="001B2994">
        <w:t>epartment’s differentiated response to non-compliance</w:t>
      </w:r>
      <w:bookmarkEnd w:id="66"/>
    </w:p>
    <w:p w14:paraId="021681B2" w14:textId="65D480F3" w:rsidR="001B2994" w:rsidRDefault="001B2994" w:rsidP="00CE1584">
      <w:pPr>
        <w:pStyle w:val="Picture"/>
        <w:rPr>
          <w:rFonts w:eastAsia="Calibri"/>
        </w:rPr>
      </w:pPr>
      <w:r>
        <w:drawing>
          <wp:inline distT="0" distB="0" distL="0" distR="0" wp14:anchorId="5D3F8F83" wp14:editId="05E33A0A">
            <wp:extent cx="5724524" cy="4388803"/>
            <wp:effectExtent l="0" t="0" r="0" b="0"/>
            <wp:docPr id="334906076" name="Picture 334906076" descr="Cascading chart outlining the compliance risk associated with parts of the regulated community. &#10;Each section is accompanied by corresponding compliance tools to be used by the department and the associated compliance response.&#10;The vast majority of the regulated community has a low compliance risk and is expected to voluntarily comply with the laws. A minority of the community will inadvertently not comply. A small number will opportunistically not comply. A few will deliberately not comply. The department has a cascading response and set of compliance tools to manage the complianc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06076"/>
                    <pic:cNvPicPr/>
                  </pic:nvPicPr>
                  <pic:blipFill>
                    <a:blip r:embed="rId25">
                      <a:extLst>
                        <a:ext uri="{28A0092B-C50C-407E-A947-70E740481C1C}">
                          <a14:useLocalDpi xmlns:a14="http://schemas.microsoft.com/office/drawing/2010/main" val="0"/>
                        </a:ext>
                      </a:extLst>
                    </a:blip>
                    <a:stretch>
                      <a:fillRect/>
                    </a:stretch>
                  </pic:blipFill>
                  <pic:spPr>
                    <a:xfrm>
                      <a:off x="0" y="0"/>
                      <a:ext cx="5724524" cy="4388803"/>
                    </a:xfrm>
                    <a:prstGeom prst="rect">
                      <a:avLst/>
                    </a:prstGeom>
                  </pic:spPr>
                </pic:pic>
              </a:graphicData>
            </a:graphic>
          </wp:inline>
        </w:drawing>
      </w:r>
    </w:p>
    <w:p w14:paraId="6BA679FB" w14:textId="0838499B" w:rsidR="000F7443" w:rsidRPr="000F7443" w:rsidRDefault="000F7443" w:rsidP="00CE1584">
      <w:pPr>
        <w:pStyle w:val="FigureTableNoteSource"/>
      </w:pPr>
      <w:r>
        <w:t xml:space="preserve">Source: </w:t>
      </w:r>
      <w:r w:rsidRPr="7AC990F5">
        <w:t>Department of Agriculture, Water and the Environment, 2018</w:t>
      </w:r>
    </w:p>
    <w:p w14:paraId="347A2FBB" w14:textId="77777777" w:rsidR="001B2994" w:rsidRPr="00DE1E32" w:rsidRDefault="001B2994" w:rsidP="001B2994">
      <w:pPr>
        <w:rPr>
          <w:rFonts w:eastAsia="Calibri" w:cstheme="minorHAnsi"/>
        </w:rPr>
      </w:pPr>
      <w:r w:rsidRPr="00DE1E32">
        <w:rPr>
          <w:rFonts w:eastAsia="Calibri" w:cstheme="minorHAnsi"/>
        </w:rPr>
        <w:t>The department’s illegal logging compliance model focuses on provid</w:t>
      </w:r>
      <w:r>
        <w:rPr>
          <w:rFonts w:eastAsia="Calibri" w:cstheme="minorHAnsi"/>
        </w:rPr>
        <w:t>ing</w:t>
      </w:r>
      <w:r w:rsidRPr="00DE1E32">
        <w:rPr>
          <w:rFonts w:eastAsia="Calibri" w:cstheme="minorHAnsi"/>
        </w:rPr>
        <w:t xml:space="preserve"> clear guidance and advice to all clients to facilitate compliance. In the instances where clients inadvertently fail to comply due </w:t>
      </w:r>
      <w:r>
        <w:rPr>
          <w:rFonts w:eastAsia="Calibri" w:cstheme="minorHAnsi"/>
        </w:rPr>
        <w:t xml:space="preserve">to </w:t>
      </w:r>
      <w:r w:rsidRPr="00DE1E32">
        <w:rPr>
          <w:rFonts w:eastAsia="Calibri" w:cstheme="minorHAnsi"/>
        </w:rPr>
        <w:t>misunderstanding their due diligence requirements and responsibilities, the department may increase auditing of these entities until clear compliance is established. In the instances where an entity deliberately contravenes Australia’s illegal logging laws, the department will respond with</w:t>
      </w:r>
      <w:r>
        <w:rPr>
          <w:rFonts w:eastAsia="Calibri" w:cstheme="minorHAnsi"/>
        </w:rPr>
        <w:t xml:space="preserve"> stronger measures.</w:t>
      </w:r>
    </w:p>
    <w:p w14:paraId="4E85D6E7" w14:textId="77777777" w:rsidR="001B2994" w:rsidRPr="00DE1E32" w:rsidRDefault="001B2994" w:rsidP="001B2994">
      <w:pPr>
        <w:rPr>
          <w:rFonts w:eastAsia="Calibri" w:cstheme="minorHAnsi"/>
        </w:rPr>
      </w:pPr>
      <w:r w:rsidRPr="00DE1E32">
        <w:rPr>
          <w:rFonts w:eastAsia="Calibri" w:cstheme="minorHAnsi"/>
        </w:rPr>
        <w:t>The department prioritises education and guidance to secure long-term voluntary compliance. We</w:t>
      </w:r>
      <w:r w:rsidRPr="00DE1E32" w:rsidDel="00AB2993">
        <w:rPr>
          <w:rFonts w:eastAsia="Calibri" w:cstheme="minorHAnsi"/>
        </w:rPr>
        <w:t xml:space="preserve"> </w:t>
      </w:r>
      <w:r w:rsidRPr="00DE1E32">
        <w:rPr>
          <w:rFonts w:eastAsia="Calibri" w:cstheme="minorHAnsi"/>
        </w:rPr>
        <w:t>continue to enhance communication to the broader regulated community about the legislation and regulations, including any changes that eventuate. This</w:t>
      </w:r>
      <w:r w:rsidRPr="00DE1E32" w:rsidDel="00AB2993">
        <w:rPr>
          <w:rFonts w:eastAsia="Calibri" w:cstheme="minorHAnsi"/>
        </w:rPr>
        <w:t xml:space="preserve"> </w:t>
      </w:r>
      <w:r w:rsidRPr="00DE1E32">
        <w:rPr>
          <w:rFonts w:eastAsia="Calibri" w:cstheme="minorHAnsi"/>
        </w:rPr>
        <w:t>involve</w:t>
      </w:r>
      <w:r>
        <w:rPr>
          <w:rFonts w:eastAsia="Calibri" w:cstheme="minorHAnsi"/>
        </w:rPr>
        <w:t>s</w:t>
      </w:r>
      <w:r w:rsidRPr="00DE1E32">
        <w:rPr>
          <w:rFonts w:eastAsia="Calibri" w:cstheme="minorHAnsi"/>
        </w:rPr>
        <w:t xml:space="preserve"> adapting and improving our guidance material to assist importers in becoming aware and complying with the legislation. In addition, we continue to publish information to support importers in undertaking effective risk assessments.</w:t>
      </w:r>
    </w:p>
    <w:p w14:paraId="7EB4209C" w14:textId="77777777" w:rsidR="009D60E9" w:rsidRPr="00DE1E32" w:rsidRDefault="009D60E9" w:rsidP="009D60E9">
      <w:pPr>
        <w:pStyle w:val="Heading4"/>
      </w:pPr>
      <w:r w:rsidRPr="00DE1E32">
        <w:rPr>
          <w:rFonts w:eastAsiaTheme="majorEastAsia"/>
        </w:rPr>
        <w:lastRenderedPageBreak/>
        <w:t>Administrative measures</w:t>
      </w:r>
    </w:p>
    <w:p w14:paraId="3B2F989C" w14:textId="19A6D649" w:rsidR="009D60E9" w:rsidRPr="002672ED" w:rsidRDefault="009D60E9" w:rsidP="009D60E9">
      <w:pPr>
        <w:rPr>
          <w:rFonts w:eastAsia="Calibri" w:cs="Calibri"/>
        </w:rPr>
      </w:pPr>
      <w:r w:rsidRPr="002672ED">
        <w:rPr>
          <w:rFonts w:eastAsia="Calibri" w:cs="Calibri"/>
        </w:rPr>
        <w:t>The department continues to use administrative measures to respond in a manner which is flexible, in proportion, and appropriate for</w:t>
      </w:r>
      <w:r w:rsidRPr="002672ED" w:rsidDel="00AB2993">
        <w:rPr>
          <w:rFonts w:eastAsia="Calibri" w:cs="Calibri"/>
        </w:rPr>
        <w:t xml:space="preserve"> </w:t>
      </w:r>
      <w:r w:rsidRPr="002672ED">
        <w:rPr>
          <w:rFonts w:eastAsia="Calibri" w:cs="Calibri"/>
        </w:rPr>
        <w:t xml:space="preserve">contraventions. These measures are typically less expensive to apply than court-based measures, and often enable earlier resolution of the matter in question. Administrative measures lend themselves to achieving sound and timely outcomes in the public interest. </w:t>
      </w:r>
      <w:r w:rsidR="000F6ECF">
        <w:rPr>
          <w:rFonts w:eastAsia="Calibri" w:cs="Calibri"/>
        </w:rPr>
        <w:t>Ad</w:t>
      </w:r>
      <w:r w:rsidRPr="002672ED">
        <w:rPr>
          <w:rFonts w:eastAsia="Calibri" w:cs="Calibri"/>
        </w:rPr>
        <w:t xml:space="preserve">ministrative measures do not </w:t>
      </w:r>
      <w:r w:rsidR="00A112DF">
        <w:rPr>
          <w:rFonts w:eastAsia="Calibri" w:cs="Calibri"/>
        </w:rPr>
        <w:t>need</w:t>
      </w:r>
      <w:r w:rsidRPr="002672ED">
        <w:rPr>
          <w:rFonts w:eastAsia="Calibri" w:cs="Calibri"/>
        </w:rPr>
        <w:t xml:space="preserve"> court action to initiate</w:t>
      </w:r>
      <w:r w:rsidR="000F6ECF">
        <w:rPr>
          <w:rFonts w:eastAsia="Calibri" w:cs="Calibri"/>
        </w:rPr>
        <w:t xml:space="preserve"> but</w:t>
      </w:r>
      <w:r w:rsidRPr="002672ED">
        <w:rPr>
          <w:rFonts w:eastAsia="Calibri" w:cs="Calibri"/>
        </w:rPr>
        <w:t xml:space="preserve"> failure to comply with the conditions of some administrative measures may result in court action.</w:t>
      </w:r>
    </w:p>
    <w:p w14:paraId="2BFE597D" w14:textId="77777777" w:rsidR="009D60E9" w:rsidRPr="00DE1E32" w:rsidRDefault="009D60E9" w:rsidP="009D60E9">
      <w:pPr>
        <w:pStyle w:val="Heading4"/>
        <w:rPr>
          <w:rFonts w:eastAsiaTheme="majorEastAsia"/>
        </w:rPr>
      </w:pPr>
      <w:r w:rsidRPr="00DE1E32">
        <w:rPr>
          <w:rFonts w:eastAsiaTheme="majorEastAsia"/>
        </w:rPr>
        <w:t>C</w:t>
      </w:r>
      <w:r>
        <w:rPr>
          <w:rFonts w:eastAsiaTheme="majorEastAsia"/>
        </w:rPr>
        <w:t>riminal and c</w:t>
      </w:r>
      <w:r w:rsidRPr="00DE1E32">
        <w:rPr>
          <w:rFonts w:eastAsiaTheme="majorEastAsia"/>
        </w:rPr>
        <w:t>ivil</w:t>
      </w:r>
      <w:r w:rsidRPr="00DE1E32" w:rsidDel="000D4038">
        <w:rPr>
          <w:rFonts w:eastAsiaTheme="majorEastAsia"/>
        </w:rPr>
        <w:t xml:space="preserve"> </w:t>
      </w:r>
      <w:r w:rsidRPr="00DE1E32">
        <w:rPr>
          <w:rFonts w:eastAsiaTheme="majorEastAsia"/>
        </w:rPr>
        <w:t>penalties</w:t>
      </w:r>
    </w:p>
    <w:p w14:paraId="57BBC875" w14:textId="77777777" w:rsidR="009D60E9" w:rsidRPr="002672ED" w:rsidRDefault="009D60E9" w:rsidP="009D60E9">
      <w:pPr>
        <w:rPr>
          <w:rFonts w:eastAsia="Calibri" w:cs="Calibri"/>
        </w:rPr>
      </w:pPr>
      <w:r w:rsidRPr="002672ED">
        <w:rPr>
          <w:rFonts w:eastAsia="Calibri" w:cs="Calibri"/>
        </w:rPr>
        <w:t xml:space="preserve">Criminal penalties are the most severe compliance measure available to the department. They will generally be used where an importer or processor has deliberately done something, or omitted to do something, that they know is in breach of legislation. The Act contains criminal penalties for importing illegally logged timber products or processing illegally logged raw logs of </w:t>
      </w:r>
      <w:r w:rsidRPr="002672ED">
        <w:rPr>
          <w:rFonts w:cs="Calibri"/>
        </w:rPr>
        <w:t xml:space="preserve">up to five years imprisonment and/or a fine up to 500 penalty units ($111,000). The Act also contains criminal penalties, in the form of fines, for failing to comply with the due diligence requirements for regulated timber products or raw logs. </w:t>
      </w:r>
      <w:r w:rsidRPr="002672ED">
        <w:rPr>
          <w:rFonts w:cs="Calibri"/>
          <w:color w:val="000000" w:themeColor="text1"/>
        </w:rPr>
        <w:t xml:space="preserve">Criminal penalties also apply </w:t>
      </w:r>
      <w:r w:rsidRPr="002672ED">
        <w:rPr>
          <w:rFonts w:cs="Calibri"/>
        </w:rPr>
        <w:t>for failing make a Customs Declaration stating compliance with due diligence requirements.</w:t>
      </w:r>
    </w:p>
    <w:p w14:paraId="5A06053F" w14:textId="77777777" w:rsidR="009D60E9" w:rsidRPr="002672ED" w:rsidRDefault="009D60E9" w:rsidP="009D60E9">
      <w:pPr>
        <w:rPr>
          <w:rFonts w:cs="Calibri"/>
        </w:rPr>
      </w:pPr>
      <w:r w:rsidRPr="002672ED">
        <w:rPr>
          <w:rFonts w:cs="Calibri"/>
        </w:rPr>
        <w:t>Civil penalties typically take the form of a monetary fine, although they may take the form of injunctions, banning orders, licence revocations and orders for reparation and compensation. They do not include penalties of imprisonment. The Regulation contains several civil penalties for failing to comply with specific due diligence requirements, typically as fines of up to 100 penalty units ($22,200).</w:t>
      </w:r>
    </w:p>
    <w:p w14:paraId="34042C70" w14:textId="77777777" w:rsidR="009D60E9" w:rsidRPr="005F7DC3" w:rsidRDefault="009D60E9" w:rsidP="009D60E9">
      <w:pPr>
        <w:pStyle w:val="Heading4"/>
      </w:pPr>
      <w:bookmarkStart w:id="67" w:name="_Toc72149463"/>
      <w:r>
        <w:t>Regulated community</w:t>
      </w:r>
      <w:bookmarkEnd w:id="67"/>
    </w:p>
    <w:p w14:paraId="1F298368" w14:textId="18447055" w:rsidR="009D60E9" w:rsidRPr="00A24060" w:rsidRDefault="009D60E9" w:rsidP="009D60E9">
      <w:r w:rsidRPr="00A24060">
        <w:t>The Regulation’s regulated community is diverse, covering a range of timber and non-timber industry sectors and a wide range of business sizes</w:t>
      </w:r>
      <w:r>
        <w:t xml:space="preserve">. This includes a </w:t>
      </w:r>
      <w:r w:rsidRPr="00A24060">
        <w:t xml:space="preserve">significant number of small businesses. </w:t>
      </w:r>
      <w:r>
        <w:t>In 2019</w:t>
      </w:r>
      <w:r w:rsidR="00133328">
        <w:t>–</w:t>
      </w:r>
      <w:r>
        <w:t xml:space="preserve">20, the </w:t>
      </w:r>
      <w:r w:rsidR="002019DE">
        <w:t>r</w:t>
      </w:r>
      <w:r>
        <w:t xml:space="preserve">egulated </w:t>
      </w:r>
      <w:r w:rsidR="00133328">
        <w:t>c</w:t>
      </w:r>
      <w:r>
        <w:t xml:space="preserve">ommunity </w:t>
      </w:r>
      <w:r w:rsidR="00E43734">
        <w:t xml:space="preserve">was estimated to include </w:t>
      </w:r>
      <w:r>
        <w:t>about 20,000 importers and about 300</w:t>
      </w:r>
      <w:r w:rsidR="00133328">
        <w:rPr>
          <w:rFonts w:ascii="Calibri" w:eastAsia="Calibri" w:hAnsi="Calibri" w:cs="Calibri"/>
        </w:rPr>
        <w:t xml:space="preserve"> to </w:t>
      </w:r>
      <w:r>
        <w:t>400 domestic processors.</w:t>
      </w:r>
    </w:p>
    <w:p w14:paraId="16A2E189" w14:textId="6FCCFA7F" w:rsidR="009D60E9" w:rsidRDefault="009D60E9" w:rsidP="009D60E9">
      <w:r w:rsidRPr="0065637E">
        <w:t>The regulated import community has grown steadily since the laws’ introduction (up from 17,000 importers in 2012). The community also sources its products from a wide range of sources (over 128 countries and territories in 2019</w:t>
      </w:r>
      <w:r w:rsidRPr="0065637E">
        <w:rPr>
          <w:rFonts w:ascii="Calibri" w:eastAsia="Calibri" w:hAnsi="Calibri" w:cs="Calibri"/>
        </w:rPr>
        <w:t>–</w:t>
      </w:r>
      <w:r w:rsidRPr="0065637E">
        <w:t xml:space="preserve">2020). </w:t>
      </w:r>
      <w:r w:rsidRPr="00A24060">
        <w:t xml:space="preserve">It is also a relatively ‘top heavy’ community, with the top 500 to 600 companies importing and processing the majority of regulated timber products. </w:t>
      </w:r>
      <w:r w:rsidR="00DF7432">
        <w:t>About</w:t>
      </w:r>
      <w:r w:rsidRPr="00A24060">
        <w:t xml:space="preserve"> 40</w:t>
      </w:r>
      <w:r w:rsidR="00133328">
        <w:rPr>
          <w:rFonts w:ascii="Calibri" w:eastAsia="Calibri" w:hAnsi="Calibri" w:cs="Calibri"/>
        </w:rPr>
        <w:t xml:space="preserve">% to </w:t>
      </w:r>
      <w:r w:rsidRPr="00A24060">
        <w:t>45% of the community imports infrequently or on a non-commercial basis.</w:t>
      </w:r>
    </w:p>
    <w:p w14:paraId="01B2F374" w14:textId="25B2CDE7" w:rsidR="009D60E9" w:rsidRDefault="003C3CB2" w:rsidP="009D60E9">
      <w:r>
        <w:t>Under the regulatory framework, t</w:t>
      </w:r>
      <w:r w:rsidR="009D60E9">
        <w:t xml:space="preserve">he most common direct interaction of importers (or their brokers) with </w:t>
      </w:r>
      <w:r w:rsidR="00133328">
        <w:t>g</w:t>
      </w:r>
      <w:r w:rsidR="009D60E9">
        <w:t>overnment</w:t>
      </w:r>
      <w:r>
        <w:t xml:space="preserve"> </w:t>
      </w:r>
      <w:r w:rsidR="00652AF4">
        <w:t>is</w:t>
      </w:r>
      <w:r w:rsidR="009D60E9">
        <w:t xml:space="preserve"> answering whether they have undertaken their due diligence requirements. This is done through their Customs Declaration each time they import a regulated timber product. Importers and processors of regulated timber products may also be asked to provide information to the department about their due diligence systems and</w:t>
      </w:r>
      <w:r w:rsidR="002B7FAA">
        <w:t xml:space="preserve"> </w:t>
      </w:r>
      <w:r w:rsidR="00D90C7A">
        <w:t>undertakings</w:t>
      </w:r>
      <w:r w:rsidR="009D60E9">
        <w:t>. This information, collected through targeted desktop audits, is used by the department to assess their compliance with the requirements of the Regulation.</w:t>
      </w:r>
    </w:p>
    <w:p w14:paraId="493262D6" w14:textId="77777777" w:rsidR="009D60E9" w:rsidRDefault="009D60E9" w:rsidP="009D60E9">
      <w:pPr>
        <w:pStyle w:val="Heading4"/>
      </w:pPr>
      <w:bookmarkStart w:id="68" w:name="_Toc72149464"/>
      <w:r>
        <w:t>Regulatory impacts and behavioural changes</w:t>
      </w:r>
      <w:bookmarkEnd w:id="68"/>
    </w:p>
    <w:p w14:paraId="2D068057" w14:textId="1A237799" w:rsidR="009D60E9" w:rsidRPr="00A24060" w:rsidRDefault="009D60E9" w:rsidP="009D60E9">
      <w:r w:rsidRPr="00A24060">
        <w:t>The 2017 Regulatory Impact Statement</w:t>
      </w:r>
      <w:r w:rsidR="00C64D80" w:rsidRPr="00C64D80">
        <w:t xml:space="preserve"> </w:t>
      </w:r>
      <w:r w:rsidR="00C64D80">
        <w:t>on reforming Australia’s illegal logging regulation</w:t>
      </w:r>
      <w:r w:rsidRPr="00A24060">
        <w:t xml:space="preserve"> estimated the </w:t>
      </w:r>
      <w:r w:rsidR="00302E9B">
        <w:t xml:space="preserve">entire </w:t>
      </w:r>
      <w:r w:rsidRPr="00A24060">
        <w:t xml:space="preserve">regulatory burden of the illegal logging </w:t>
      </w:r>
      <w:r w:rsidR="00302E9B">
        <w:t>laws</w:t>
      </w:r>
      <w:r w:rsidRPr="00A24060">
        <w:t xml:space="preserve"> </w:t>
      </w:r>
      <w:r>
        <w:t>was</w:t>
      </w:r>
      <w:r w:rsidRPr="00A24060">
        <w:t xml:space="preserve"> 2.25 hours or $139 per </w:t>
      </w:r>
      <w:r w:rsidRPr="00A24060">
        <w:lastRenderedPageBreak/>
        <w:t xml:space="preserve">product line imported, totalling $28 million per year. </w:t>
      </w:r>
      <w:r>
        <w:t>It</w:t>
      </w:r>
      <w:r w:rsidRPr="00A24060">
        <w:t xml:space="preserve"> is believed </w:t>
      </w:r>
      <w:r>
        <w:t xml:space="preserve">that, since 2017, </w:t>
      </w:r>
      <w:r w:rsidRPr="00A24060">
        <w:t>the regulatory costs have remained similar as the</w:t>
      </w:r>
      <w:r w:rsidR="00122C1A">
        <w:t xml:space="preserve"> compliance</w:t>
      </w:r>
      <w:r w:rsidRPr="00A24060">
        <w:t xml:space="preserve"> requirements have not changed.</w:t>
      </w:r>
      <w:r>
        <w:t xml:space="preserve"> The regulatory burden extends to</w:t>
      </w:r>
      <w:r w:rsidRPr="00A24060">
        <w:t xml:space="preserve"> </w:t>
      </w:r>
      <w:r>
        <w:t xml:space="preserve">about </w:t>
      </w:r>
      <w:r w:rsidRPr="00A24060">
        <w:t>20</w:t>
      </w:r>
      <w:r>
        <w:t>,</w:t>
      </w:r>
      <w:r w:rsidRPr="00A24060">
        <w:t>000 importers, and 300</w:t>
      </w:r>
      <w:r w:rsidR="00133328">
        <w:t xml:space="preserve"> to</w:t>
      </w:r>
      <w:r w:rsidR="00133328">
        <w:rPr>
          <w:rFonts w:ascii="Calibri" w:eastAsia="Calibri" w:hAnsi="Calibri" w:cs="Calibri"/>
        </w:rPr>
        <w:t xml:space="preserve"> </w:t>
      </w:r>
      <w:r w:rsidRPr="00A24060">
        <w:t>400 processors</w:t>
      </w:r>
      <w:r w:rsidR="00C64D80">
        <w:t>.</w:t>
      </w:r>
    </w:p>
    <w:p w14:paraId="6D7656DB" w14:textId="77777777" w:rsidR="009D60E9" w:rsidRPr="00A24060" w:rsidRDefault="009D60E9" w:rsidP="009D60E9">
      <w:r w:rsidRPr="00A24060">
        <w:t>The bulk of the regulatory burden comprises undertaking due diligence assessments on each product line imported or processed. A relatively small component comprises completing the Customs Declaration for each import</w:t>
      </w:r>
      <w:r>
        <w:t>, establishing a due diligence system</w:t>
      </w:r>
      <w:r w:rsidRPr="00A24060">
        <w:t xml:space="preserve"> and providing information to the department where requested.</w:t>
      </w:r>
    </w:p>
    <w:p w14:paraId="6FEEF3CF" w14:textId="7BC8A912" w:rsidR="009D60E9" w:rsidRDefault="009D60E9" w:rsidP="009D60E9">
      <w:r>
        <w:t>Compliance assessments completed by the department have revealed varied levels of compliance with the laws. Non-compliance can be attributed to several factors including ignorance of the laws, subjectivity of the due diligence process,</w:t>
      </w:r>
      <w:r w:rsidR="00A839AE">
        <w:t xml:space="preserve"> perceived</w:t>
      </w:r>
      <w:r>
        <w:t xml:space="preserve"> lack of consequences, and complexity of overseas forestry arrangements. Due diligence requirements are also relatively new globally, meaning stakeholders and their supply chains are still adjusting to the new regulatory requirements.</w:t>
      </w:r>
    </w:p>
    <w:p w14:paraId="058A99E4" w14:textId="77777777" w:rsidR="00A3308B" w:rsidRDefault="009D60E9" w:rsidP="009D60E9">
      <w:r>
        <w:t xml:space="preserve">The regulated community has taken proactive steps to comply with the illegal logging framework. Some industry groups have prepared and distributed information on how to comply with the laws to their members and employees. Industry groups, such as the </w:t>
      </w:r>
      <w:r w:rsidRPr="008616FA">
        <w:t>Australian Timber Importers Federation (ATIF)</w:t>
      </w:r>
      <w:r>
        <w:t>, previously organised and ran seminars on the laws with interested stakeholders.</w:t>
      </w:r>
    </w:p>
    <w:p w14:paraId="44ED1B2A" w14:textId="12B76C35" w:rsidR="00A3308B" w:rsidRDefault="009D60E9" w:rsidP="009D60E9">
      <w:r>
        <w:t xml:space="preserve">Since 2014, the department has run extensive outreach and engagement on implementing the laws, including hosting in-country workshops with relevant foreign governments, exporters and timber manufacturers overseas. The department also </w:t>
      </w:r>
      <w:r w:rsidRPr="00F2550D">
        <w:t xml:space="preserve">hosted a series of webinars </w:t>
      </w:r>
      <w:r>
        <w:t xml:space="preserve">in 2018 when the soft-start arrangements had ended to help stakeholders </w:t>
      </w:r>
      <w:r w:rsidRPr="00B55CDD">
        <w:t xml:space="preserve">better understand their </w:t>
      </w:r>
      <w:r>
        <w:t xml:space="preserve">legal </w:t>
      </w:r>
      <w:r w:rsidRPr="00B55CDD">
        <w:t>obligations.</w:t>
      </w:r>
      <w:r>
        <w:t xml:space="preserve"> Continued education and outreach activities, combined with an effective and targeted ongoing compliance program, are essential to ensuring ongoing compliance.</w:t>
      </w:r>
    </w:p>
    <w:p w14:paraId="7A40BA6D" w14:textId="2099C46D" w:rsidR="009D60E9" w:rsidRDefault="009D60E9" w:rsidP="009D60E9">
      <w:r>
        <w:t>Some illegal logging frameworks from overseas also feature</w:t>
      </w:r>
      <w:r w:rsidDel="00987686">
        <w:t xml:space="preserve"> </w:t>
      </w:r>
      <w:r>
        <w:t xml:space="preserve">due diligence requirements aimed at reducing the risk of sourcing illegally logged timber products. The </w:t>
      </w:r>
      <w:bookmarkStart w:id="69" w:name="_Hlk74655568"/>
      <w:bookmarkStart w:id="70" w:name="_Hlk74655655"/>
      <w:r w:rsidR="00015C58">
        <w:t xml:space="preserve">European Union </w:t>
      </w:r>
      <w:r w:rsidR="009271AB">
        <w:t>Timber Regulation</w:t>
      </w:r>
      <w:bookmarkEnd w:id="69"/>
      <w:r w:rsidR="009271AB">
        <w:t xml:space="preserve"> </w:t>
      </w:r>
      <w:bookmarkEnd w:id="70"/>
      <w:r>
        <w:t xml:space="preserve">places due diligence requirements </w:t>
      </w:r>
      <w:r w:rsidR="006040C6">
        <w:t xml:space="preserve">on operators </w:t>
      </w:r>
      <w:r w:rsidR="00540D73">
        <w:t xml:space="preserve">that are similar </w:t>
      </w:r>
      <w:r>
        <w:t>to</w:t>
      </w:r>
      <w:r w:rsidR="00540D73">
        <w:t xml:space="preserve"> those under</w:t>
      </w:r>
      <w:r>
        <w:t xml:space="preserve"> Australia’s laws. A recent report published by the </w:t>
      </w:r>
      <w:r w:rsidR="00B6351E">
        <w:t>n</w:t>
      </w:r>
      <w:r w:rsidRPr="002B180A">
        <w:t>on</w:t>
      </w:r>
      <w:r>
        <w:t>-</w:t>
      </w:r>
      <w:r w:rsidRPr="002B180A">
        <w:t xml:space="preserve">government </w:t>
      </w:r>
      <w:r w:rsidR="00B6351E">
        <w:t>o</w:t>
      </w:r>
      <w:r w:rsidRPr="002B180A">
        <w:t xml:space="preserve">rganisation </w:t>
      </w:r>
      <w:r>
        <w:t xml:space="preserve">Forest Trends, titled </w:t>
      </w:r>
      <w:r w:rsidRPr="00AE5C74">
        <w:rPr>
          <w:i/>
          <w:iCs/>
        </w:rPr>
        <w:t>‘How is</w:t>
      </w:r>
      <w:r w:rsidRPr="00AE5C74">
        <w:rPr>
          <w:i/>
        </w:rPr>
        <w:t xml:space="preserve"> the </w:t>
      </w:r>
      <w:r w:rsidR="00015C58" w:rsidRPr="00015C58">
        <w:rPr>
          <w:i/>
        </w:rPr>
        <w:t>European Union Timber Regulation</w:t>
      </w:r>
      <w:r w:rsidR="00015C58" w:rsidRPr="00015C58" w:rsidDel="00015C58">
        <w:rPr>
          <w:i/>
        </w:rPr>
        <w:t xml:space="preserve"> </w:t>
      </w:r>
      <w:r w:rsidRPr="00AE5C74">
        <w:rPr>
          <w:i/>
        </w:rPr>
        <w:t>impacting industry due diligence and timber sourcing practices</w:t>
      </w:r>
      <w:r w:rsidRPr="00AE5C74">
        <w:rPr>
          <w:i/>
          <w:iCs/>
        </w:rPr>
        <w:t>?’</w:t>
      </w:r>
      <w:r w:rsidR="00B257E1">
        <w:t xml:space="preserve">, examined the </w:t>
      </w:r>
      <w:r w:rsidR="00015C58">
        <w:t>European system</w:t>
      </w:r>
      <w:r>
        <w:t xml:space="preserve">. Key findings include that 97% of operators surveyed had hired dedicated staff to ensure </w:t>
      </w:r>
      <w:r w:rsidR="00015C58" w:rsidRPr="00015C58">
        <w:t xml:space="preserve">European Union Timber Regulation </w:t>
      </w:r>
      <w:r>
        <w:t>compliance and 92% collect more information on their timber products than they did before implementation of the laws. This highlights the importance of due diligence and the positive impacts it has on raising awareness and reducing the risks of sourcing illegally logged timber products.</w:t>
      </w:r>
    </w:p>
    <w:p w14:paraId="203CDF8F" w14:textId="76307D01" w:rsidR="009D60E9" w:rsidRDefault="009D60E9" w:rsidP="009D60E9">
      <w:pPr>
        <w:pStyle w:val="Heading4"/>
      </w:pPr>
      <w:bookmarkStart w:id="71" w:name="_Toc72149465"/>
      <w:r>
        <w:t xml:space="preserve">Previous reviews and </w:t>
      </w:r>
      <w:r w:rsidRPr="00A24060">
        <w:t xml:space="preserve">Regulatory Impact Statement </w:t>
      </w:r>
      <w:r>
        <w:t>process</w:t>
      </w:r>
      <w:bookmarkEnd w:id="71"/>
    </w:p>
    <w:p w14:paraId="5A594372" w14:textId="77777777" w:rsidR="009D60E9" w:rsidRPr="00A24060" w:rsidRDefault="009D60E9" w:rsidP="009D60E9">
      <w:r w:rsidRPr="00A24060">
        <w:t xml:space="preserve">Australia’s illegal logging legislative framework has been subject to two reviews since its commencement, in 2014 for its impacts on small business and in 2019 as required by section 84 of the Act. In 2017, a Regulatory Impact Statement was developed and released, supporting amendments to the Regulation concerning due diligence that were partially disallowed in 2018. A timeline of the key developments in the implementation </w:t>
      </w:r>
      <w:r>
        <w:t xml:space="preserve">of </w:t>
      </w:r>
      <w:r w:rsidRPr="00A24060">
        <w:t>the Act and the Regulation is presented below.</w:t>
      </w:r>
    </w:p>
    <w:p w14:paraId="2D7D45BB" w14:textId="2FFB8DF2" w:rsidR="009D60E9" w:rsidRPr="00C71211" w:rsidRDefault="009D60E9" w:rsidP="009D60E9">
      <w:pPr>
        <w:pStyle w:val="Caption"/>
      </w:pPr>
      <w:bookmarkStart w:id="72" w:name="_Toc74753465"/>
      <w:r>
        <w:lastRenderedPageBreak/>
        <w:t xml:space="preserve">Figure </w:t>
      </w:r>
      <w:r>
        <w:fldChar w:fldCharType="begin"/>
      </w:r>
      <w:r>
        <w:instrText>SEQ Figure \* ARABIC</w:instrText>
      </w:r>
      <w:r>
        <w:fldChar w:fldCharType="separate"/>
      </w:r>
      <w:r w:rsidR="00793F6B">
        <w:rPr>
          <w:noProof/>
        </w:rPr>
        <w:t>2</w:t>
      </w:r>
      <w:r>
        <w:fldChar w:fldCharType="end"/>
      </w:r>
      <w:r>
        <w:t xml:space="preserve"> </w:t>
      </w:r>
      <w:r w:rsidRPr="00056BA9">
        <w:t>Timeline of implementation of Australia’s illegal logging legislation</w:t>
      </w:r>
      <w:bookmarkEnd w:id="72"/>
    </w:p>
    <w:p w14:paraId="39E8DE31" w14:textId="310DA099" w:rsidR="009D60E9" w:rsidRDefault="000D18BE" w:rsidP="009D60E9">
      <w:r>
        <w:rPr>
          <w:noProof/>
        </w:rPr>
        <w:drawing>
          <wp:inline distT="0" distB="0" distL="0" distR="0" wp14:anchorId="611A7C8A" wp14:editId="06358C02">
            <wp:extent cx="6021238" cy="3261559"/>
            <wp:effectExtent l="0" t="0" r="0" b="0"/>
            <wp:docPr id="4" name="Picture 4" descr="Timeline from 2012 to 2023 showing historical and future milestones of the Australia’s illegal logging legislation implementation.&#10;August 2012 - ILP Bill 2012 passed by House of Representatives.&#10;November 2012 - ILP Bill 2012 passed by Senate and received royal assent.&#10;December 2012 - ILP Regulation 2012 made.&#10;May 2013 - ILP Regulation 2012 amended to add additional powers including due diligence requirements.&#10;November 2014 - ILP Regulation 2012 amended and soft-start period of due diligence requirements commenced.&#10;December 2014 - KPMG Small Business Review announced.&#10;February 2016 - KPMG Small Business Review final report released&#10;October 2017 - Reforming Australia's Illegal Logging regulations - Regulation Impact Statement (RIS) Published and ILP Regulation 2012 amended in relation to due diligence.&#10;January 2018 - ILP Regulation 2012 amendments relating to due diligence partially disallowed and soft-start period of due diligence requirements ended.&#10;January 2019 - Tabling of Statutory Review of the Illegal Logging Prohibition Act 2012.&#10;October 2019 - Government defers additional regulatory amendments until the sunsetting review.&#10;July 2021 - Assistant Minister Duniam announced the start of the Sunsetting Review of the ILP Regulation 2012.&#10;Apr 2023 - Scheduled ILP Regulation 2012 sunsetting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 from 2012 to 2023 showing historical and future milestones of the Australia’s illegal logging legislation implementation.&#10;August 2012 - ILP Bill 2012 passed by House of Representatives.&#10;November 2012 - ILP Bill 2012 passed by Senate and received royal assent.&#10;December 2012 - ILP Regulation 2012 made.&#10;May 2013 - ILP Regulation 2012 amended to add additional powers including due diligence requirements.&#10;November 2014 - ILP Regulation 2012 amended and soft-start period of due diligence requirements commenced.&#10;December 2014 - KPMG Small Business Review announced.&#10;February 2016 - KPMG Small Business Review final report released&#10;October 2017 - Reforming Australia's Illegal Logging regulations - Regulation Impact Statement (RIS) Published and ILP Regulation 2012 amended in relation to due diligence.&#10;January 2018 - ILP Regulation 2012 amendments relating to due diligence partially disallowed and soft-start period of due diligence requirements ended.&#10;January 2019 - Tabling of Statutory Review of the Illegal Logging Prohibition Act 2012.&#10;October 2019 - Government defers additional regulatory amendments until the sunsetting review.&#10;July 2021 - Assistant Minister Duniam announced the start of the Sunsetting Review of the ILP Regulation 2012.&#10;Apr 2023 - Scheduled ILP Regulation 2012 sunsetting date.&#10;"/>
                    <pic:cNvPicPr/>
                  </pic:nvPicPr>
                  <pic:blipFill>
                    <a:blip r:embed="rId26"/>
                    <a:stretch>
                      <a:fillRect/>
                    </a:stretch>
                  </pic:blipFill>
                  <pic:spPr>
                    <a:xfrm>
                      <a:off x="0" y="0"/>
                      <a:ext cx="6030981" cy="3266836"/>
                    </a:xfrm>
                    <a:prstGeom prst="rect">
                      <a:avLst/>
                    </a:prstGeom>
                  </pic:spPr>
                </pic:pic>
              </a:graphicData>
            </a:graphic>
          </wp:inline>
        </w:drawing>
      </w:r>
    </w:p>
    <w:p w14:paraId="38A158AE" w14:textId="77777777" w:rsidR="009D60E9" w:rsidRDefault="009D60E9" w:rsidP="009D60E9">
      <w:pPr>
        <w:pStyle w:val="Heading3"/>
      </w:pPr>
      <w:bookmarkStart w:id="73" w:name="_Toc72149466"/>
      <w:bookmarkStart w:id="74" w:name="_Toc72397580"/>
      <w:bookmarkStart w:id="75" w:name="_Toc72328690"/>
      <w:bookmarkStart w:id="76" w:name="_Toc74753444"/>
      <w:r w:rsidRPr="00965A06">
        <w:t>Broader context</w:t>
      </w:r>
      <w:bookmarkEnd w:id="73"/>
      <w:bookmarkEnd w:id="74"/>
      <w:bookmarkEnd w:id="75"/>
      <w:bookmarkEnd w:id="76"/>
    </w:p>
    <w:p w14:paraId="2F9C3948" w14:textId="77777777" w:rsidR="009D60E9" w:rsidRDefault="009D60E9" w:rsidP="009D60E9">
      <w:pPr>
        <w:pStyle w:val="Heading4"/>
      </w:pPr>
      <w:bookmarkStart w:id="77" w:name="_Toc72149467"/>
      <w:r>
        <w:t>Advances in timber legality frameworks overseas</w:t>
      </w:r>
      <w:bookmarkEnd w:id="77"/>
    </w:p>
    <w:p w14:paraId="205ABBCA" w14:textId="441D858F" w:rsidR="009D60E9" w:rsidRPr="00261957" w:rsidRDefault="009D60E9" w:rsidP="009D60E9">
      <w:r w:rsidRPr="00261957">
        <w:t>Australia’s illegal logging prohibition laws were among the first of their kind internationally when they commenced in 2012. They were preceded only by the United States’ Lacey Act, which from 2008 has prohibited the import of illegally harvested or traded plant material.</w:t>
      </w:r>
      <w:r w:rsidRPr="0046537B">
        <w:rPr>
          <w:color w:val="FF0000"/>
        </w:rPr>
        <w:t xml:space="preserve"> </w:t>
      </w:r>
      <w:r w:rsidRPr="0055646D">
        <w:t xml:space="preserve">The </w:t>
      </w:r>
      <w:r w:rsidR="00763060">
        <w:t>European Union Timber Regulation</w:t>
      </w:r>
      <w:r w:rsidR="00763060" w:rsidRPr="0055646D">
        <w:t xml:space="preserve"> </w:t>
      </w:r>
      <w:r w:rsidRPr="0055646D">
        <w:t>w</w:t>
      </w:r>
      <w:r w:rsidR="00763060">
        <w:t>ere</w:t>
      </w:r>
      <w:r w:rsidRPr="0055646D">
        <w:t xml:space="preserve"> introduced in 2013, which is similar to Australia’s laws</w:t>
      </w:r>
      <w:r>
        <w:t xml:space="preserve"> in its approach</w:t>
      </w:r>
      <w:r w:rsidRPr="0055646D">
        <w:t xml:space="preserve">. The </w:t>
      </w:r>
      <w:r w:rsidR="00763060">
        <w:t>European System</w:t>
      </w:r>
      <w:r w:rsidR="00763060" w:rsidRPr="0055646D">
        <w:t xml:space="preserve"> </w:t>
      </w:r>
      <w:r w:rsidRPr="0055646D">
        <w:t xml:space="preserve">focuses on requiring </w:t>
      </w:r>
      <w:r w:rsidR="00CD3A6F">
        <w:t>operator</w:t>
      </w:r>
      <w:r w:rsidRPr="0055646D">
        <w:t>s to undertake due diligence to assess and mitigate the risk of illegal harvest ahead of importing timber products.</w:t>
      </w:r>
    </w:p>
    <w:p w14:paraId="53E2EFE0" w14:textId="77777777" w:rsidR="009D60E9" w:rsidRPr="00A24060" w:rsidRDefault="009D60E9" w:rsidP="009D60E9">
      <w:r w:rsidRPr="00A24060">
        <w:t>Japan introduced their largely voluntary Clean Wood Act</w:t>
      </w:r>
      <w:r>
        <w:t xml:space="preserve"> in 2017</w:t>
      </w:r>
      <w:r w:rsidRPr="00A24060">
        <w:t xml:space="preserve">. Under this law, businesses can voluntarily establish their own </w:t>
      </w:r>
      <w:r>
        <w:t>processes</w:t>
      </w:r>
      <w:r w:rsidRPr="00A24060">
        <w:t xml:space="preserve"> for determining the legality of imported or domestically produced timber products, and where registered, may advertise their products as legally sourced. </w:t>
      </w:r>
      <w:r>
        <w:t xml:space="preserve">The Republic of </w:t>
      </w:r>
      <w:r w:rsidRPr="00A24060">
        <w:t>Korea also introduced laws in 2017 that feature prohibitions effectively requiring that operators do not import, distribute, produce</w:t>
      </w:r>
      <w:r>
        <w:t>,</w:t>
      </w:r>
      <w:r w:rsidRPr="00A24060">
        <w:t xml:space="preserve"> or sell illegal timber. This framework is based on pre-import controls, with importers required to submit declarations and supporting evidence to regulatory authorities prior to import, and at border checks conducted to ensure imports match the documentation.</w:t>
      </w:r>
    </w:p>
    <w:p w14:paraId="441946C2" w14:textId="7DB4110B" w:rsidR="009D60E9" w:rsidRPr="00A24060" w:rsidRDefault="009D60E9" w:rsidP="009D60E9">
      <w:r w:rsidRPr="00A24060">
        <w:t>Malaysia</w:t>
      </w:r>
      <w:r w:rsidRPr="00A24060" w:rsidDel="004426E7">
        <w:t xml:space="preserve"> </w:t>
      </w:r>
      <w:r w:rsidRPr="00A24060">
        <w:t>introduced a timber import legality framework in 2017, which is based on providing certificates or other legality</w:t>
      </w:r>
      <w:r>
        <w:t>-related</w:t>
      </w:r>
      <w:r w:rsidRPr="00A24060">
        <w:t xml:space="preserve"> documents for each import. Indonesia similarly introduced a system based on demonstrating legality through certification or other legality documents, which, in addition, features due diligence requirements. </w:t>
      </w:r>
      <w:r>
        <w:t>Since November 2017, Indonesia’s system</w:t>
      </w:r>
      <w:r w:rsidRPr="00A24060">
        <w:t xml:space="preserve"> has </w:t>
      </w:r>
      <w:r>
        <w:t>allowed them to issue</w:t>
      </w:r>
      <w:r w:rsidR="001721B8" w:rsidRPr="001721B8">
        <w:t xml:space="preserve"> Forest Law Enforcement, Governance and Trade</w:t>
      </w:r>
      <w:r>
        <w:t xml:space="preserve"> licenses in accordance with the EU’s Voluntary Partnership Agreement arrangements.</w:t>
      </w:r>
      <w:r w:rsidRPr="00675A64">
        <w:t xml:space="preserve"> Vietnam has recently introduced similar laws based on demonstrating legality through </w:t>
      </w:r>
      <w:r w:rsidR="002019DE" w:rsidRPr="001721B8">
        <w:t>Forest Law Enforcement, Governance and Trade</w:t>
      </w:r>
      <w:r w:rsidR="002019DE" w:rsidRPr="00675A64" w:rsidDel="002019DE">
        <w:t xml:space="preserve"> </w:t>
      </w:r>
      <w:r w:rsidRPr="00675A64">
        <w:t xml:space="preserve"> licenses, Convention on International Trade in Endangered Species of Wild Fauna and Flora (CITES) permits, or through self-declaration following due diligence undertakings. </w:t>
      </w:r>
      <w:r w:rsidRPr="00A24060">
        <w:t xml:space="preserve">China, </w:t>
      </w:r>
      <w:r w:rsidRPr="00A24060">
        <w:lastRenderedPageBreak/>
        <w:t>New Zealand, Chinese Taipei and Thailand are all understood to have timber import legality frameworks in development.</w:t>
      </w:r>
    </w:p>
    <w:p w14:paraId="18BC46E9" w14:textId="4AA75D39" w:rsidR="009D60E9" w:rsidRPr="009D60E9" w:rsidRDefault="009D60E9" w:rsidP="009D60E9">
      <w:r w:rsidRPr="00A24060">
        <w:t xml:space="preserve">Each of these frameworks, most of which have only been established in the last five years, have brought their own nuances to regulating timber legality. </w:t>
      </w:r>
      <w:r w:rsidRPr="00DD3DF0">
        <w:t xml:space="preserve">Australia engages regularly with these nations and economies through forums such as the </w:t>
      </w:r>
      <w:r w:rsidRPr="00DD3DF0">
        <w:rPr>
          <w:i/>
        </w:rPr>
        <w:t>APEC Experts Group on Illegal Logging and Associated Trade</w:t>
      </w:r>
      <w:r w:rsidRPr="00DD3DF0">
        <w:t xml:space="preserve"> and the </w:t>
      </w:r>
      <w:r w:rsidRPr="00DD3DF0">
        <w:rPr>
          <w:i/>
        </w:rPr>
        <w:t>Timber Regulation Enforcement Exchange</w:t>
      </w:r>
      <w:r w:rsidRPr="00DD3DF0">
        <w:t xml:space="preserve"> to share information. </w:t>
      </w:r>
      <w:r w:rsidRPr="00E907ED">
        <w:t>This includes on technological and regulatory developments, and lessons learnt.</w:t>
      </w:r>
    </w:p>
    <w:p w14:paraId="09F92899" w14:textId="77777777" w:rsidR="009D60E9" w:rsidRDefault="009D60E9" w:rsidP="009D60E9">
      <w:r w:rsidRPr="00A24060">
        <w:t xml:space="preserve">The </w:t>
      </w:r>
      <w:r>
        <w:t>s</w:t>
      </w:r>
      <w:r w:rsidRPr="00A24060">
        <w:t xml:space="preserve">unsetting </w:t>
      </w:r>
      <w:r>
        <w:t>r</w:t>
      </w:r>
      <w:r w:rsidRPr="00A24060">
        <w:t>eview provides an opportunity to consider the learnings from international experiences and inform the remaking of the Regulation. Several of the potential reforms presented in this paper are informed by broader international developments, and the Australian Government will continue to engage its international colleagues over the course of the review to further inform recommendations.</w:t>
      </w:r>
    </w:p>
    <w:p w14:paraId="369721CA" w14:textId="02D5C33A" w:rsidR="009D60E9" w:rsidRPr="00A24060" w:rsidRDefault="009D60E9" w:rsidP="009D60E9">
      <w:r>
        <w:t xml:space="preserve">The EU is also undertaking ‘fitness checks’ of </w:t>
      </w:r>
      <w:r w:rsidR="002019DE">
        <w:t xml:space="preserve">its </w:t>
      </w:r>
      <w:r w:rsidR="00C54183">
        <w:t>timber</w:t>
      </w:r>
      <w:r w:rsidR="00A135B2">
        <w:t xml:space="preserve"> and licensing</w:t>
      </w:r>
      <w:r w:rsidRPr="00087F69">
        <w:t xml:space="preserve"> Regulation</w:t>
      </w:r>
      <w:r>
        <w:t>. This is to evaluate if the legislation has been effective, efficient, remains relevant and has added value to the EU. This approach is similar to Australia’s sunsetting requirements and reiterates the importance of periodically reviewing our illegal logging framework. It also highlights the importance of aligning with international best practice to promote international cohesion, improve awareness and understanding of our laws, and limit burden where possible.</w:t>
      </w:r>
    </w:p>
    <w:p w14:paraId="0CDA9BA2" w14:textId="77777777" w:rsidR="009D60E9" w:rsidRDefault="009D60E9" w:rsidP="009D60E9">
      <w:pPr>
        <w:pStyle w:val="Heading3"/>
      </w:pPr>
      <w:bookmarkStart w:id="78" w:name="_Toc72149468"/>
      <w:bookmarkStart w:id="79" w:name="_Toc72397581"/>
      <w:bookmarkStart w:id="80" w:name="_Toc72328691"/>
      <w:bookmarkStart w:id="81" w:name="_Toc74753445"/>
      <w:r>
        <w:t>Broader legislative changes</w:t>
      </w:r>
      <w:bookmarkEnd w:id="78"/>
      <w:bookmarkEnd w:id="79"/>
      <w:bookmarkEnd w:id="80"/>
      <w:bookmarkEnd w:id="81"/>
    </w:p>
    <w:p w14:paraId="64AA5687" w14:textId="31A47918" w:rsidR="001B2994" w:rsidRPr="001B2994" w:rsidRDefault="009D60E9" w:rsidP="001B2994">
      <w:r w:rsidRPr="009D60E9">
        <w:t>The Regulation and the overarching Act have been amended multiple times since they were first made in 2012, to reflect changes to the broader legislative context.</w:t>
      </w:r>
    </w:p>
    <w:p w14:paraId="33638F83" w14:textId="77777777" w:rsidR="009D60E9" w:rsidRPr="003F4E72" w:rsidRDefault="009D60E9" w:rsidP="009D60E9">
      <w:pPr>
        <w:pStyle w:val="ListBullet"/>
      </w:pPr>
      <w:r>
        <w:t xml:space="preserve">In 2017, Schedules 1 and 2 of the Regulation were amended </w:t>
      </w:r>
      <w:r w:rsidRPr="003F742B">
        <w:rPr>
          <w:shd w:val="clear" w:color="auto" w:fill="FFFFFF"/>
        </w:rPr>
        <w:t xml:space="preserve">to reflect international amendments to </w:t>
      </w:r>
      <w:r w:rsidRPr="002B180A">
        <w:rPr>
          <w:shd w:val="clear" w:color="auto" w:fill="FFFFFF"/>
        </w:rPr>
        <w:t>Harmonised</w:t>
      </w:r>
      <w:r w:rsidRPr="003F742B">
        <w:rPr>
          <w:shd w:val="clear" w:color="auto" w:fill="FFFFFF"/>
        </w:rPr>
        <w:t xml:space="preserve"> System</w:t>
      </w:r>
      <w:r w:rsidRPr="003F742B" w:rsidDel="008121C2">
        <w:rPr>
          <w:shd w:val="clear" w:color="auto" w:fill="FFFFFF"/>
        </w:rPr>
        <w:t xml:space="preserve"> </w:t>
      </w:r>
      <w:r w:rsidRPr="003F742B">
        <w:rPr>
          <w:shd w:val="clear" w:color="auto" w:fill="FFFFFF"/>
        </w:rPr>
        <w:t>tariff codes.</w:t>
      </w:r>
    </w:p>
    <w:p w14:paraId="0D8571F4" w14:textId="77777777" w:rsidR="009D60E9" w:rsidRPr="003F4E72" w:rsidRDefault="009D60E9" w:rsidP="009D60E9">
      <w:pPr>
        <w:pStyle w:val="ListBullet"/>
      </w:pPr>
      <w:r w:rsidRPr="003F742B">
        <w:rPr>
          <w:shd w:val="clear" w:color="auto" w:fill="FFFFFF"/>
        </w:rPr>
        <w:t>In 2018</w:t>
      </w:r>
      <w:r w:rsidRPr="0000098B">
        <w:rPr>
          <w:color w:val="000000" w:themeColor="text1"/>
        </w:rPr>
        <w:t>,</w:t>
      </w:r>
      <w:r w:rsidRPr="003F742B">
        <w:rPr>
          <w:shd w:val="clear" w:color="auto" w:fill="FFFFFF"/>
        </w:rPr>
        <w:t xml:space="preserve"> the Regulation was amended to repeal existing provisions providing for </w:t>
      </w:r>
      <w:r w:rsidRPr="005D1C28">
        <w:rPr>
          <w:shd w:val="clear" w:color="auto" w:fill="FFFFFF"/>
        </w:rPr>
        <w:t xml:space="preserve">a </w:t>
      </w:r>
      <w:r w:rsidRPr="0000098B">
        <w:rPr>
          <w:shd w:val="clear" w:color="auto" w:fill="FFFFFF"/>
        </w:rPr>
        <w:t xml:space="preserve">regulatory regime and to instead apply the standard provisions of the </w:t>
      </w:r>
      <w:r w:rsidRPr="00DC2F04">
        <w:rPr>
          <w:i/>
          <w:shd w:val="clear" w:color="auto" w:fill="FFFFFF"/>
        </w:rPr>
        <w:t>Regulatory Powers (Standard Provisions) Act 2014</w:t>
      </w:r>
      <w:r w:rsidRPr="0000098B">
        <w:rPr>
          <w:shd w:val="clear" w:color="auto" w:fill="FFFFFF"/>
        </w:rPr>
        <w:t>.</w:t>
      </w:r>
    </w:p>
    <w:p w14:paraId="53715D8E" w14:textId="77777777" w:rsidR="009D60E9" w:rsidRDefault="009D60E9" w:rsidP="009D60E9">
      <w:pPr>
        <w:pStyle w:val="ListBullet"/>
      </w:pPr>
      <w:r w:rsidRPr="003F742B">
        <w:rPr>
          <w:shd w:val="clear" w:color="auto" w:fill="FFFFFF"/>
        </w:rPr>
        <w:t xml:space="preserve">The </w:t>
      </w:r>
      <w:r w:rsidRPr="003F742B">
        <w:rPr>
          <w:i/>
          <w:shd w:val="clear" w:color="auto" w:fill="FFFFFF"/>
        </w:rPr>
        <w:t>Regulatory Powers (Standard Provisions) Act 2014</w:t>
      </w:r>
      <w:r w:rsidRPr="005D1C28">
        <w:rPr>
          <w:shd w:val="clear" w:color="auto" w:fill="FFFFFF"/>
        </w:rPr>
        <w:t xml:space="preserve"> p</w:t>
      </w:r>
      <w:r w:rsidRPr="00BE554E">
        <w:rPr>
          <w:shd w:val="clear" w:color="auto" w:fill="FFFFFF"/>
        </w:rPr>
        <w:t>rovides for a standard suite of provisions in relation to monitoring and investigation powers, as well as civil penalties</w:t>
      </w:r>
      <w:r w:rsidRPr="0000098B">
        <w:rPr>
          <w:shd w:val="clear" w:color="auto" w:fill="FFFFFF"/>
        </w:rPr>
        <w:t xml:space="preserve"> and infringement notices.</w:t>
      </w:r>
    </w:p>
    <w:p w14:paraId="3F1EE81A" w14:textId="77777777" w:rsidR="009D60E9" w:rsidRPr="003F4E72" w:rsidRDefault="009D60E9" w:rsidP="009D60E9">
      <w:pPr>
        <w:pStyle w:val="ListBullet"/>
      </w:pPr>
      <w:r>
        <w:t xml:space="preserve">The Act was also amended in 2018 to </w:t>
      </w:r>
      <w:r w:rsidRPr="003F742B">
        <w:rPr>
          <w:shd w:val="clear" w:color="auto" w:fill="FFFFFF"/>
        </w:rPr>
        <w:t xml:space="preserve">apply the standard provisions of the </w:t>
      </w:r>
      <w:r w:rsidRPr="003F742B">
        <w:rPr>
          <w:i/>
          <w:shd w:val="clear" w:color="auto" w:fill="FFFFFF"/>
        </w:rPr>
        <w:t>Regulatory Powers (Standard Provisions) Act 2014</w:t>
      </w:r>
      <w:r w:rsidRPr="005D1C28">
        <w:rPr>
          <w:shd w:val="clear" w:color="auto" w:fill="FFFFFF"/>
        </w:rPr>
        <w:t>.</w:t>
      </w:r>
    </w:p>
    <w:p w14:paraId="1FBB0D48" w14:textId="77777777" w:rsidR="009D60E9" w:rsidRDefault="009D60E9" w:rsidP="009D60E9">
      <w:pPr>
        <w:pStyle w:val="ListBullet"/>
      </w:pPr>
      <w:r w:rsidRPr="003F742B">
        <w:rPr>
          <w:shd w:val="clear" w:color="auto" w:fill="FFFFFF"/>
        </w:rPr>
        <w:t xml:space="preserve">Earlier consequential </w:t>
      </w:r>
      <w:r w:rsidRPr="005D1C28">
        <w:rPr>
          <w:shd w:val="clear" w:color="auto" w:fill="FFFFFF"/>
        </w:rPr>
        <w:t xml:space="preserve">amendments were made </w:t>
      </w:r>
      <w:r>
        <w:rPr>
          <w:shd w:val="clear" w:color="auto" w:fill="FFFFFF"/>
        </w:rPr>
        <w:t xml:space="preserve">to </w:t>
      </w:r>
      <w:r w:rsidRPr="005D1C28">
        <w:rPr>
          <w:shd w:val="clear" w:color="auto" w:fill="FFFFFF"/>
        </w:rPr>
        <w:t xml:space="preserve">the Act to reflect changes to the </w:t>
      </w:r>
      <w:r w:rsidRPr="00DC2F04">
        <w:rPr>
          <w:i/>
          <w:shd w:val="clear" w:color="auto" w:fill="FFFFFF"/>
        </w:rPr>
        <w:t>Customs</w:t>
      </w:r>
      <w:r w:rsidRPr="00DE1E32">
        <w:rPr>
          <w:i/>
        </w:rPr>
        <w:t xml:space="preserve"> Act 1901</w:t>
      </w:r>
      <w:r>
        <w:t xml:space="preserve"> and changes stemming from the </w:t>
      </w:r>
      <w:r w:rsidRPr="00DE1E32">
        <w:rPr>
          <w:i/>
        </w:rPr>
        <w:t>Federal Circuit Court of Australia Legislation Amendment Act 2012</w:t>
      </w:r>
      <w:r>
        <w:t>.</w:t>
      </w:r>
    </w:p>
    <w:p w14:paraId="65F942D8" w14:textId="77777777" w:rsidR="009D60E9" w:rsidRDefault="009D60E9" w:rsidP="009D60E9">
      <w:pPr>
        <w:pStyle w:val="ListBullet"/>
      </w:pPr>
      <w:r>
        <w:t>Country specific guidelines, which outline the l</w:t>
      </w:r>
      <w:r w:rsidRPr="00180A49">
        <w:t>egal frameworks used in other countries to regulate timber harvesting</w:t>
      </w:r>
      <w:r>
        <w:t>, along with state specific guidelines are also periodically updated</w:t>
      </w:r>
      <w:r w:rsidRPr="00180A49">
        <w:t>.</w:t>
      </w:r>
      <w:r>
        <w:t xml:space="preserve"> The Regulation is updated periodically to reflect these changes.</w:t>
      </w:r>
    </w:p>
    <w:p w14:paraId="3CADEE9C" w14:textId="4ACDD783" w:rsidR="009D60E9" w:rsidRPr="00323E8F" w:rsidRDefault="009D60E9" w:rsidP="007C6F26">
      <w:pPr>
        <w:pStyle w:val="Heading2"/>
      </w:pPr>
      <w:bookmarkStart w:id="82" w:name="_Toc72328692"/>
      <w:bookmarkStart w:id="83" w:name="_Toc72149469"/>
      <w:bookmarkStart w:id="84" w:name="_Toc72397582"/>
      <w:bookmarkStart w:id="85" w:name="_Toc74753446"/>
      <w:r w:rsidRPr="00BA7402">
        <w:lastRenderedPageBreak/>
        <w:t xml:space="preserve">Potential </w:t>
      </w:r>
      <w:bookmarkEnd w:id="82"/>
      <w:r w:rsidR="000528AE">
        <w:t>r</w:t>
      </w:r>
      <w:r w:rsidRPr="00BA7402">
        <w:t>eforms</w:t>
      </w:r>
      <w:bookmarkEnd w:id="83"/>
      <w:bookmarkEnd w:id="84"/>
      <w:bookmarkEnd w:id="85"/>
    </w:p>
    <w:p w14:paraId="605E54F0" w14:textId="40C4C429" w:rsidR="009D60E9" w:rsidRPr="002B180A" w:rsidRDefault="009D60E9" w:rsidP="009D60E9">
      <w:r w:rsidRPr="002B180A">
        <w:t xml:space="preserve">The department seeks input on both the overall ‘fitness-for-purpose’ of the Regulation, and the following potential reforms to strengthen the </w:t>
      </w:r>
      <w:r w:rsidR="00C419CD">
        <w:t>laws</w:t>
      </w:r>
      <w:r w:rsidRPr="002B180A">
        <w:t xml:space="preserve"> and improve </w:t>
      </w:r>
      <w:r w:rsidR="00C419CD">
        <w:t>their</w:t>
      </w:r>
      <w:r w:rsidR="00C419CD" w:rsidRPr="002B180A">
        <w:t xml:space="preserve"> </w:t>
      </w:r>
      <w:r w:rsidRPr="004547E4">
        <w:t>efficiency. Estimates throughout this section of regulatory burden or savings of the potential reforms have been developed based on the hourly cost to business estimate of $73.05. This is as per the government’s Regulatory Burden Measurement Framework in accordance with ABARES trade data from 2016 to 2020.</w:t>
      </w:r>
      <w:r w:rsidRPr="0046537B">
        <w:rPr>
          <w:color w:val="FF0000"/>
        </w:rPr>
        <w:t xml:space="preserve"> </w:t>
      </w:r>
      <w:r>
        <w:t>Current regulatory effort has been calculated using the costing model developed for the 2017 Regulatory Impact Statement supporting changes to due diligence requirements. This reflects the effort involved with complying with the current legislative requirements, which ha</w:t>
      </w:r>
      <w:r w:rsidR="00C64D80">
        <w:t>s</w:t>
      </w:r>
      <w:r>
        <w:t xml:space="preserve"> not changed substantially since those calculations were developed.</w:t>
      </w:r>
    </w:p>
    <w:p w14:paraId="6853A70A" w14:textId="77777777" w:rsidR="009D60E9" w:rsidRPr="003F4E72" w:rsidRDefault="009D60E9" w:rsidP="009D60E9">
      <w:pPr>
        <w:pStyle w:val="Heading3"/>
      </w:pPr>
      <w:bookmarkStart w:id="86" w:name="_Toc72149470"/>
      <w:bookmarkStart w:id="87" w:name="_Toc72397583"/>
      <w:bookmarkStart w:id="88" w:name="_Toc72328693"/>
      <w:bookmarkStart w:id="89" w:name="_Toc74753447"/>
      <w:r w:rsidRPr="00BA7402">
        <w:t>Overall f</w:t>
      </w:r>
      <w:r w:rsidRPr="003F4E72">
        <w:t>itness-for-purpose</w:t>
      </w:r>
      <w:bookmarkEnd w:id="86"/>
      <w:bookmarkEnd w:id="87"/>
      <w:bookmarkEnd w:id="88"/>
      <w:bookmarkEnd w:id="89"/>
    </w:p>
    <w:p w14:paraId="655E915E" w14:textId="1505676A" w:rsidR="009D60E9" w:rsidRDefault="009D60E9" w:rsidP="009D60E9">
      <w:r>
        <w:t xml:space="preserve">A fitness-for-purpose test must consider the objectives of the legislative instrument being reviewed. </w:t>
      </w:r>
      <w:r w:rsidRPr="00AD16B2">
        <w:t>The Regulation’s objective is to reduce illegal logging activities by establishing the requirement for a structured risk assessment and mitigation steps (for risks classified above a low rating), before importing a ‘regulated timber product’ into Australia or processing raw logs</w:t>
      </w:r>
      <w:r w:rsidR="003323F9">
        <w:t xml:space="preserve"> </w:t>
      </w:r>
      <w:r w:rsidR="004B4607">
        <w:t xml:space="preserve">grown </w:t>
      </w:r>
      <w:r w:rsidR="003323F9">
        <w:t>in Australia</w:t>
      </w:r>
      <w:r w:rsidRPr="00AD16B2">
        <w:t xml:space="preserve">. </w:t>
      </w:r>
      <w:r>
        <w:t>This process is known as due diligence.</w:t>
      </w:r>
    </w:p>
    <w:p w14:paraId="77FBAA06" w14:textId="77777777" w:rsidR="009D60E9" w:rsidRDefault="009D60E9" w:rsidP="009D60E9">
      <w:r>
        <w:t>The Regulation establishes:</w:t>
      </w:r>
    </w:p>
    <w:p w14:paraId="0CB69115" w14:textId="77777777" w:rsidR="009D60E9" w:rsidRDefault="009D60E9" w:rsidP="009D60E9">
      <w:pPr>
        <w:pStyle w:val="ListBullet"/>
      </w:pPr>
      <w:r>
        <w:t>the due diligence requirements</w:t>
      </w:r>
    </w:p>
    <w:p w14:paraId="52E8917E" w14:textId="77777777" w:rsidR="009D60E9" w:rsidRDefault="009D60E9" w:rsidP="009D60E9">
      <w:pPr>
        <w:pStyle w:val="ListBullet"/>
      </w:pPr>
      <w:r>
        <w:t>the types of products subject to the due diligence requirements</w:t>
      </w:r>
    </w:p>
    <w:p w14:paraId="3F2277D3" w14:textId="77777777" w:rsidR="009D60E9" w:rsidRDefault="009D60E9" w:rsidP="009D60E9">
      <w:pPr>
        <w:pStyle w:val="ListBullet"/>
      </w:pPr>
      <w:r>
        <w:t>exemptions to the due diligence requirements</w:t>
      </w:r>
    </w:p>
    <w:p w14:paraId="285BA675" w14:textId="77777777" w:rsidR="009D60E9" w:rsidRDefault="009D60E9" w:rsidP="009D60E9">
      <w:pPr>
        <w:pStyle w:val="ListBullet"/>
      </w:pPr>
      <w:r>
        <w:t>systems or processes that satisfy elements of the due diligence requirements.</w:t>
      </w:r>
    </w:p>
    <w:p w14:paraId="267E87D4" w14:textId="66857B27" w:rsidR="009D60E9" w:rsidRDefault="009D60E9" w:rsidP="009D60E9">
      <w:r>
        <w:t xml:space="preserve">While alternative methods to achieve similar compliance outcomes are possible, the current process of setting due diligence requirements is </w:t>
      </w:r>
      <w:r w:rsidR="00A135B2">
        <w:t>the preferred</w:t>
      </w:r>
      <w:r>
        <w:t xml:space="preserve"> approach. The framework provides flexibility for importers and processors to conduct their risk assessments, including </w:t>
      </w:r>
      <w:r w:rsidR="00A839AE">
        <w:t xml:space="preserve">through </w:t>
      </w:r>
      <w:r>
        <w:t>the</w:t>
      </w:r>
      <w:r w:rsidR="00A839AE">
        <w:t xml:space="preserve"> use of</w:t>
      </w:r>
      <w:r>
        <w:t xml:space="preserve"> </w:t>
      </w:r>
      <w:r w:rsidR="00F275C5">
        <w:t>timber legality frameworks</w:t>
      </w:r>
      <w:r>
        <w:t xml:space="preserve">, </w:t>
      </w:r>
      <w:r w:rsidR="00F275C5">
        <w:t>regulated risk factors</w:t>
      </w:r>
      <w:r>
        <w:t>, country specific guidelines or state specific guidelines</w:t>
      </w:r>
      <w:r w:rsidRPr="002B180A">
        <w:t>.</w:t>
      </w:r>
      <w:r>
        <w:t xml:space="preserve"> Other international frameworks are more rigid with only specific documents accepted for proving legal harvest. This has the potential to create a larger regulatory burden.</w:t>
      </w:r>
    </w:p>
    <w:p w14:paraId="5F2DA9C7" w14:textId="46115414" w:rsidR="009D60E9" w:rsidRDefault="009D60E9" w:rsidP="009D60E9">
      <w:r>
        <w:t xml:space="preserve">Establishing due diligence requirements for illegal logging is also aligned with the EU and UK’s frameworks. These frameworks are considered among international best practice for reducing illegal logging activities. While the EU is currently reviewing </w:t>
      </w:r>
      <w:r w:rsidR="00A135B2">
        <w:t xml:space="preserve">its </w:t>
      </w:r>
      <w:r w:rsidR="00652A25">
        <w:t>Timber Regulations</w:t>
      </w:r>
      <w:r w:rsidRPr="002B180A">
        <w:t>,</w:t>
      </w:r>
      <w:r>
        <w:t xml:space="preserve"> due diligence requirements are not likely to be removed or reduced.</w:t>
      </w:r>
    </w:p>
    <w:p w14:paraId="75D7285B" w14:textId="40AD4210" w:rsidR="009D60E9" w:rsidRDefault="00A839AE" w:rsidP="009D60E9">
      <w:r>
        <w:t>T</w:t>
      </w:r>
      <w:r w:rsidR="009D60E9" w:rsidRPr="002B180A">
        <w:t>he</w:t>
      </w:r>
      <w:r w:rsidR="009D60E9">
        <w:t xml:space="preserve"> department considers that the Regulation is required for imposing due diligence obligations on importers and processors. The</w:t>
      </w:r>
      <w:r w:rsidR="009D60E9" w:rsidRPr="00C02DCE">
        <w:t xml:space="preserve"> </w:t>
      </w:r>
      <w:r w:rsidR="009D60E9">
        <w:t xml:space="preserve">status quo due diligence compliance costs are estimated to be 0.48% of the total value of regulated </w:t>
      </w:r>
      <w:r w:rsidR="00C64D80">
        <w:t xml:space="preserve">timber </w:t>
      </w:r>
      <w:r w:rsidR="009D60E9">
        <w:t>imports annually. This review will assist the department in determining whether the due diligence process set out in the Regulation is fit-for-purpose, and if not, what reforms need to be made. Potential options for reform are explored in the sections below.</w:t>
      </w:r>
    </w:p>
    <w:p w14:paraId="4BA7D162" w14:textId="1506F7F2" w:rsidR="000528AE" w:rsidRDefault="000528AE" w:rsidP="000528AE">
      <w:pPr>
        <w:pStyle w:val="BoxHeading"/>
      </w:pPr>
      <w:r>
        <w:lastRenderedPageBreak/>
        <w:t>Question 1</w:t>
      </w:r>
    </w:p>
    <w:p w14:paraId="4C2E890F" w14:textId="6B2FA1D5" w:rsidR="00366F79" w:rsidRDefault="00366F79" w:rsidP="000528AE">
      <w:pPr>
        <w:pStyle w:val="BoxText"/>
      </w:pPr>
      <w:r>
        <w:t>Is the Regulation</w:t>
      </w:r>
      <w:r w:rsidRPr="0083546E">
        <w:t xml:space="preserve"> delivering what was intended in an efficient and effective manner, and is it fit-for-purpose? If not, what </w:t>
      </w:r>
      <w:r>
        <w:t>could be improved</w:t>
      </w:r>
      <w:r w:rsidRPr="0083546E">
        <w:t>?</w:t>
      </w:r>
    </w:p>
    <w:p w14:paraId="1D60655D" w14:textId="480C2F8A" w:rsidR="000528AE" w:rsidRDefault="000528AE" w:rsidP="00CE1584">
      <w:pPr>
        <w:pStyle w:val="BoxHeading"/>
      </w:pPr>
      <w:r>
        <w:t>Question 2</w:t>
      </w:r>
    </w:p>
    <w:p w14:paraId="304CDDB1" w14:textId="77777777" w:rsidR="00366F79" w:rsidRDefault="00366F79" w:rsidP="00CE1584">
      <w:pPr>
        <w:pStyle w:val="BoxText"/>
      </w:pPr>
      <w:r>
        <w:t>Do you support</w:t>
      </w:r>
      <w:r w:rsidRPr="0083546E">
        <w:t xml:space="preserve"> the due diligence requirements in the Regulations continu</w:t>
      </w:r>
      <w:r>
        <w:t>ing</w:t>
      </w:r>
      <w:r w:rsidRPr="0083546E">
        <w:t xml:space="preserve"> as the centrepiece obligations placed on timber importers and processors?</w:t>
      </w:r>
    </w:p>
    <w:p w14:paraId="5C03022D" w14:textId="473B9385" w:rsidR="009D60E9" w:rsidRDefault="0040668E" w:rsidP="00366F79">
      <w:pPr>
        <w:pStyle w:val="Heading3"/>
      </w:pPr>
      <w:bookmarkStart w:id="90" w:name="_Toc74753448"/>
      <w:r>
        <w:t>Provision of</w:t>
      </w:r>
      <w:bookmarkStart w:id="91" w:name="_Toc72149471"/>
      <w:bookmarkStart w:id="92" w:name="_Toc72397584"/>
      <w:bookmarkStart w:id="93" w:name="_Toc72328694"/>
      <w:r w:rsidR="0012027D">
        <w:t xml:space="preserve"> </w:t>
      </w:r>
      <w:r w:rsidR="009D60E9">
        <w:t xml:space="preserve">due-diligence information </w:t>
      </w:r>
      <w:bookmarkEnd w:id="91"/>
      <w:bookmarkEnd w:id="92"/>
      <w:bookmarkEnd w:id="93"/>
      <w:r>
        <w:t>to government</w:t>
      </w:r>
      <w:bookmarkEnd w:id="90"/>
    </w:p>
    <w:p w14:paraId="79193545" w14:textId="07078B59" w:rsidR="009D60E9" w:rsidRDefault="009D60E9" w:rsidP="009D60E9">
      <w:r>
        <w:t xml:space="preserve">There are opportunities to </w:t>
      </w:r>
      <w:r w:rsidR="001720AE">
        <w:t xml:space="preserve">improve </w:t>
      </w:r>
      <w:r>
        <w:t xml:space="preserve">the due diligence information collected and provided to the department. Importers are currently required </w:t>
      </w:r>
      <w:r w:rsidRPr="005445AE">
        <w:t>under section 10 of the Regulation</w:t>
      </w:r>
      <w:r>
        <w:t xml:space="preserve"> to collect a range of </w:t>
      </w:r>
      <w:r w:rsidRPr="005445AE">
        <w:t xml:space="preserve">information </w:t>
      </w:r>
      <w:r>
        <w:t>about</w:t>
      </w:r>
      <w:r w:rsidRPr="005445AE">
        <w:t xml:space="preserve"> t</w:t>
      </w:r>
      <w:r>
        <w:t>he</w:t>
      </w:r>
      <w:r w:rsidRPr="005445AE">
        <w:t xml:space="preserve"> regulated timber products </w:t>
      </w:r>
      <w:r>
        <w:t xml:space="preserve">they are importing. This information </w:t>
      </w:r>
      <w:r w:rsidR="0066505A">
        <w:t>informs</w:t>
      </w:r>
      <w:r w:rsidRPr="00184B09">
        <w:t xml:space="preserve"> a risk assessment concerning the legality of the timber harvest. This information must be provided to the department within 28 days whe</w:t>
      </w:r>
      <w:r>
        <w:t>n</w:t>
      </w:r>
      <w:r w:rsidRPr="00184B09">
        <w:t xml:space="preserve"> requested.</w:t>
      </w:r>
    </w:p>
    <w:p w14:paraId="085FF604" w14:textId="6A22FB3C" w:rsidR="00FF05F7" w:rsidRDefault="009D60E9" w:rsidP="009D60E9">
      <w:r>
        <w:t xml:space="preserve">Some of this information could be provided to the department ahead of importation, such as at the time of making the Declaration to Customs that due diligence has been undertaken as per section 7 of the Regulation. The United States’ illegal logging legislation, the Lacey Act, requires importers to submit a declaration that includes the harvest origin, species, and risk of illegal logging rating ahead of importation. </w:t>
      </w:r>
      <w:r w:rsidRPr="00C05A41">
        <w:t>Requiring this information ahead of importing regulated timber products, at the time of the Customs Declaration, would help compliance target efforts around products that pose higher risk of illegal harvesting</w:t>
      </w:r>
      <w:r>
        <w:t xml:space="preserve">. </w:t>
      </w:r>
    </w:p>
    <w:p w14:paraId="23A6F4FD" w14:textId="38CEEB44" w:rsidR="009D60E9" w:rsidRDefault="009D60E9" w:rsidP="009D60E9">
      <w:r>
        <w:t xml:space="preserve">As this information is currently required to be gathered by importers prior to importation, requiring that it is also submitted ahead of importation would be expected to add minimal </w:t>
      </w:r>
      <w:r w:rsidRPr="00373966">
        <w:t>burden. We estimate that this would require 5</w:t>
      </w:r>
      <w:r w:rsidR="00133328">
        <w:t xml:space="preserve"> to </w:t>
      </w:r>
      <w:r w:rsidRPr="00373966">
        <w:t>10 minutes of effort from an administrative officer undertaking data entry for most imported products. Most complex products in terms of species composition taking up to 15</w:t>
      </w:r>
      <w:r w:rsidR="00133328">
        <w:t xml:space="preserve"> to </w:t>
      </w:r>
      <w:r w:rsidRPr="00373966">
        <w:t xml:space="preserve">20 minutes, due to a larger number of species and origins to provide information on. </w:t>
      </w:r>
      <w:r w:rsidRPr="008917D3">
        <w:t xml:space="preserve">For example, assuming an average time cost of 7.5 minutes per consignment to provide due diligence information upfront, the regulatory burden cost is expected to increase by 4.9% for the entire regulatory community annually. </w:t>
      </w:r>
      <w:r>
        <w:t>That’s an increase from $1</w:t>
      </w:r>
      <w:r w:rsidR="00133328">
        <w:t>,</w:t>
      </w:r>
      <w:r>
        <w:t>935 to $2</w:t>
      </w:r>
      <w:r w:rsidR="00133328">
        <w:t>,</w:t>
      </w:r>
      <w:r>
        <w:t>029 per entity and an increase from $188 to $197 per consignment.</w:t>
      </w:r>
    </w:p>
    <w:p w14:paraId="676BE4E7" w14:textId="5634CF96" w:rsidR="007B79F2" w:rsidRDefault="007B79F2" w:rsidP="009D60E9">
      <w:r>
        <w:t xml:space="preserve">Importers and processors could also be required to notify the department </w:t>
      </w:r>
      <w:r w:rsidR="00810F2A">
        <w:t xml:space="preserve">when </w:t>
      </w:r>
      <w:r>
        <w:t xml:space="preserve">they become aware of harvest legality issues from due diligence </w:t>
      </w:r>
      <w:r w:rsidR="003F673D">
        <w:t>check</w:t>
      </w:r>
      <w:r>
        <w:t>s. This would encourage a cooperative approach to compliance between the department and regulated entities.</w:t>
      </w:r>
    </w:p>
    <w:p w14:paraId="13BEFC56" w14:textId="22391C9B" w:rsidR="000528AE" w:rsidRDefault="000528AE" w:rsidP="00CE1584">
      <w:pPr>
        <w:pStyle w:val="BoxHeading"/>
      </w:pPr>
      <w:r>
        <w:t>Question 3</w:t>
      </w:r>
    </w:p>
    <w:p w14:paraId="3ABF1DED" w14:textId="1688A8C3" w:rsidR="00707EEB" w:rsidRPr="0083546E" w:rsidRDefault="00707EEB" w:rsidP="007C6F26">
      <w:pPr>
        <w:pStyle w:val="BoxText"/>
      </w:pPr>
      <w:r>
        <w:t>What are your views on</w:t>
      </w:r>
      <w:r w:rsidRPr="0083546E">
        <w:t xml:space="preserve"> importers </w:t>
      </w:r>
      <w:r>
        <w:t>having</w:t>
      </w:r>
      <w:r w:rsidRPr="0083546E">
        <w:t xml:space="preserve"> to </w:t>
      </w:r>
      <w:r>
        <w:t>declare</w:t>
      </w:r>
      <w:r w:rsidRPr="0083546E">
        <w:t xml:space="preserve"> the </w:t>
      </w:r>
      <w:r>
        <w:t>timber</w:t>
      </w:r>
      <w:r w:rsidRPr="0083546E">
        <w:t xml:space="preserve"> species </w:t>
      </w:r>
      <w:r>
        <w:t>of a product, where the timber was harvested,</w:t>
      </w:r>
      <w:r w:rsidRPr="0083546E">
        <w:t xml:space="preserve"> and </w:t>
      </w:r>
      <w:r>
        <w:t xml:space="preserve">the </w:t>
      </w:r>
      <w:r w:rsidRPr="0083546E">
        <w:t xml:space="preserve">risk of illegal harvest </w:t>
      </w:r>
      <w:r>
        <w:t>before it arrives in Australia</w:t>
      </w:r>
      <w:r w:rsidRPr="0083546E">
        <w:t>?</w:t>
      </w:r>
    </w:p>
    <w:p w14:paraId="3CB790DA" w14:textId="3CBE73FD" w:rsidR="000528AE" w:rsidRDefault="000528AE" w:rsidP="00CE1584">
      <w:pPr>
        <w:pStyle w:val="BoxHeading"/>
        <w:keepNext/>
      </w:pPr>
      <w:r>
        <w:t>Question 4</w:t>
      </w:r>
    </w:p>
    <w:p w14:paraId="132F1197" w14:textId="040B3331" w:rsidR="009D60E9" w:rsidRPr="00610F9D" w:rsidRDefault="00707EEB" w:rsidP="007C6F26">
      <w:pPr>
        <w:pStyle w:val="BoxText"/>
      </w:pPr>
      <w:r>
        <w:t xml:space="preserve">Do you have any preferences for how </w:t>
      </w:r>
      <w:r w:rsidRPr="0083546E">
        <w:t xml:space="preserve">due diligence information </w:t>
      </w:r>
      <w:r>
        <w:t xml:space="preserve">is provided </w:t>
      </w:r>
      <w:r w:rsidRPr="0083546E">
        <w:t>to the department?</w:t>
      </w:r>
    </w:p>
    <w:p w14:paraId="06C43AC4" w14:textId="77777777" w:rsidR="009D60E9" w:rsidRDefault="009D60E9" w:rsidP="009D60E9">
      <w:pPr>
        <w:pStyle w:val="Heading3"/>
      </w:pPr>
      <w:bookmarkStart w:id="94" w:name="_Toc72149472"/>
      <w:bookmarkStart w:id="95" w:name="_Toc72397585"/>
      <w:bookmarkStart w:id="96" w:name="_Toc72328695"/>
      <w:bookmarkStart w:id="97" w:name="_Toc74753449"/>
      <w:bookmarkStart w:id="98" w:name="_Hlk73961756"/>
      <w:r>
        <w:t>Strengthening at-border powers</w:t>
      </w:r>
      <w:bookmarkEnd w:id="94"/>
      <w:bookmarkEnd w:id="95"/>
      <w:bookmarkEnd w:id="96"/>
      <w:bookmarkEnd w:id="97"/>
    </w:p>
    <w:bookmarkEnd w:id="98"/>
    <w:p w14:paraId="541CE3F0" w14:textId="5B0D2907" w:rsidR="009D60E9" w:rsidRDefault="009D60E9" w:rsidP="009D60E9">
      <w:r>
        <w:t>Adding powers to deal with goods at the border</w:t>
      </w:r>
      <w:r w:rsidDel="00DF284C">
        <w:t xml:space="preserve"> </w:t>
      </w:r>
      <w:r>
        <w:t xml:space="preserve">could enable the department to better target its compliance efforts and minimise burden for low-risk importers. For example, sampling powers </w:t>
      </w:r>
      <w:r>
        <w:lastRenderedPageBreak/>
        <w:t xml:space="preserve">can help verify claims about the harvest origin and species of imported products. Other at-border powers that could be incorporated into the illegal logging </w:t>
      </w:r>
      <w:r w:rsidR="00B67812">
        <w:t xml:space="preserve">laws </w:t>
      </w:r>
      <w:r>
        <w:t>include seizure and detainment powers.</w:t>
      </w:r>
    </w:p>
    <w:p w14:paraId="73615669" w14:textId="0E6DE824" w:rsidR="009D60E9" w:rsidRDefault="009D60E9" w:rsidP="009D60E9">
      <w:r w:rsidRPr="00B12E22">
        <w:t>Illegal logging frameworks overseas, including in the U</w:t>
      </w:r>
      <w:r w:rsidR="00133328">
        <w:t xml:space="preserve">nited </w:t>
      </w:r>
      <w:r w:rsidRPr="00B12E22">
        <w:t>S</w:t>
      </w:r>
      <w:r w:rsidR="00133328">
        <w:t>tates</w:t>
      </w:r>
      <w:r w:rsidRPr="00B12E22">
        <w:t>, E</w:t>
      </w:r>
      <w:r w:rsidR="00133328">
        <w:t xml:space="preserve">uropean </w:t>
      </w:r>
      <w:r w:rsidRPr="00B12E22">
        <w:t>U</w:t>
      </w:r>
      <w:r w:rsidR="00133328">
        <w:t>nion</w:t>
      </w:r>
      <w:r w:rsidRPr="00B12E22">
        <w:t xml:space="preserve">, United Kingdom and Republic of Korea, and several frameworks regulating Australian imports, feature ‘at-border’ powers. These </w:t>
      </w:r>
      <w:r>
        <w:t>po</w:t>
      </w:r>
      <w:r w:rsidRPr="00B12E22">
        <w:t>w</w:t>
      </w:r>
      <w:r>
        <w:t>er</w:t>
      </w:r>
      <w:r w:rsidRPr="00B12E22">
        <w:t xml:space="preserve">s </w:t>
      </w:r>
      <w:r>
        <w:t>mean</w:t>
      </w:r>
      <w:r w:rsidRPr="00B12E22">
        <w:t xml:space="preserve"> regulators can intervene to inspect goods on a systematic or targeted basis, and where necessary hold them for further action. </w:t>
      </w:r>
      <w:r>
        <w:t xml:space="preserve">These powers encourage compliance efforts ahead of goods arriving at the border. They would allow </w:t>
      </w:r>
      <w:r w:rsidR="007276AD">
        <w:t>regulators</w:t>
      </w:r>
      <w:r>
        <w:t xml:space="preserve"> to protect the Australian market from the arrival of potentially problematic or high-risk goods where claims about the products are yet to be verified. Adding these powers would ensure consistency between Australia’s laws and approaches overseas.</w:t>
      </w:r>
    </w:p>
    <w:p w14:paraId="00E3D791" w14:textId="51CC26D8" w:rsidR="0050062C" w:rsidRDefault="009D60E9" w:rsidP="009D60E9">
      <w:r>
        <w:t>The department’s intention is that these powers would generally be used on a targeted basis, where there are clear indications of risk.</w:t>
      </w:r>
      <w:r w:rsidR="00B2302D">
        <w:t xml:space="preserve"> It is estimated that holding goods</w:t>
      </w:r>
      <w:r w:rsidR="00D91462">
        <w:t xml:space="preserve"> worth $</w:t>
      </w:r>
      <w:r w:rsidR="00777F15">
        <w:t>65</w:t>
      </w:r>
      <w:r w:rsidR="00D91462">
        <w:t>00</w:t>
      </w:r>
      <w:r w:rsidR="00995E8A">
        <w:t>, t</w:t>
      </w:r>
      <w:r w:rsidR="00773156">
        <w:t>he average value of a product line imported,</w:t>
      </w:r>
      <w:r w:rsidR="00B2302D">
        <w:t xml:space="preserve"> for </w:t>
      </w:r>
      <w:r w:rsidR="008F3550">
        <w:t>two</w:t>
      </w:r>
      <w:r w:rsidR="00BF508C">
        <w:t xml:space="preserve"> week</w:t>
      </w:r>
      <w:r w:rsidR="008F3550">
        <w:t>s</w:t>
      </w:r>
      <w:r w:rsidR="00FB7A2C">
        <w:t xml:space="preserve"> whilst awaiting sampling results</w:t>
      </w:r>
      <w:r w:rsidR="00154FAD">
        <w:t xml:space="preserve"> </w:t>
      </w:r>
      <w:r w:rsidR="00BF508C">
        <w:t xml:space="preserve">would </w:t>
      </w:r>
      <w:r w:rsidR="00750624">
        <w:t>result in</w:t>
      </w:r>
      <w:r w:rsidR="00711079">
        <w:t xml:space="preserve"> $</w:t>
      </w:r>
      <w:r w:rsidR="00FC3906">
        <w:t>20</w:t>
      </w:r>
      <w:r w:rsidR="00E01345">
        <w:t xml:space="preserve"> of</w:t>
      </w:r>
      <w:r w:rsidR="000446F8">
        <w:t xml:space="preserve"> delay costs</w:t>
      </w:r>
      <w:r w:rsidR="00750624">
        <w:t xml:space="preserve"> to the affected business</w:t>
      </w:r>
      <w:r w:rsidR="00711079">
        <w:t>.</w:t>
      </w:r>
      <w:r w:rsidR="00A07EE2">
        <w:t xml:space="preserve"> </w:t>
      </w:r>
      <w:r w:rsidR="00E43734">
        <w:t>The department is currently considering any other</w:t>
      </w:r>
      <w:r w:rsidR="00A07EE2">
        <w:t xml:space="preserve"> associated costs, such as storage and transport</w:t>
      </w:r>
      <w:r w:rsidR="00E43734">
        <w:t xml:space="preserve"> of goods</w:t>
      </w:r>
      <w:r w:rsidR="00A07EE2">
        <w:t>.</w:t>
      </w:r>
      <w:r w:rsidR="001621C4">
        <w:t xml:space="preserve"> </w:t>
      </w:r>
      <w:r w:rsidR="00CD05AD">
        <w:t xml:space="preserve">This estimate </w:t>
      </w:r>
      <w:r w:rsidR="000B2487">
        <w:t xml:space="preserve">considers that </w:t>
      </w:r>
      <w:r w:rsidR="00061081">
        <w:t>the</w:t>
      </w:r>
      <w:r w:rsidR="000B2487">
        <w:t xml:space="preserve"> importer would </w:t>
      </w:r>
      <w:r w:rsidR="00B72E60">
        <w:t>not be able to fulfil supply contracts whilst awaiting release of the</w:t>
      </w:r>
      <w:r w:rsidR="00061081">
        <w:t>ir</w:t>
      </w:r>
      <w:r w:rsidR="000148F8">
        <w:t xml:space="preserve"> held</w:t>
      </w:r>
      <w:r w:rsidR="00B72E60">
        <w:t xml:space="preserve"> goods</w:t>
      </w:r>
      <w:r w:rsidR="00C079A0">
        <w:t>.</w:t>
      </w:r>
      <w:r w:rsidR="0050062C">
        <w:t xml:space="preserve"> </w:t>
      </w:r>
      <w:r w:rsidR="001A7BEB">
        <w:t xml:space="preserve">The lost income associated with clearance of the goods is calculated as interest paid on the value of the goods during the time </w:t>
      </w:r>
      <w:r w:rsidR="00961656">
        <w:t>the goods are held</w:t>
      </w:r>
      <w:r w:rsidR="001A7BEB">
        <w:t xml:space="preserve">. </w:t>
      </w:r>
      <w:r w:rsidR="00B57EB9">
        <w:t>An interest rate of 8</w:t>
      </w:r>
      <w:r w:rsidR="001720AE">
        <w:t>%</w:t>
      </w:r>
      <w:r w:rsidR="00B57EB9">
        <w:t xml:space="preserve"> is used in the calculations based on the average of</w:t>
      </w:r>
      <w:r w:rsidR="00626DDC">
        <w:t xml:space="preserve"> recent</w:t>
      </w:r>
      <w:r w:rsidR="00B57EB9">
        <w:t xml:space="preserve"> business overdraft interest rates for the four major banks.</w:t>
      </w:r>
      <w:r w:rsidR="000343E3">
        <w:t xml:space="preserve"> Its estimated holding goods at the border would </w:t>
      </w:r>
      <w:r w:rsidR="00184A0F">
        <w:t xml:space="preserve">also </w:t>
      </w:r>
      <w:r w:rsidR="005F7515">
        <w:t xml:space="preserve">cost the affected entity an hour of business time or $73.05 </w:t>
      </w:r>
      <w:r w:rsidR="00A14562">
        <w:t xml:space="preserve">in </w:t>
      </w:r>
      <w:r w:rsidR="005F7515">
        <w:t>dealing with</w:t>
      </w:r>
      <w:r w:rsidR="00184A0F">
        <w:t xml:space="preserve"> the</w:t>
      </w:r>
      <w:r w:rsidR="005F7515">
        <w:t xml:space="preserve"> logistical implications. </w:t>
      </w:r>
      <w:r w:rsidR="00D5020E">
        <w:t xml:space="preserve">That’s a total of $93.05 of regulatory burden per product line held per </w:t>
      </w:r>
      <w:r w:rsidR="00A07EE2">
        <w:t>two</w:t>
      </w:r>
      <w:r w:rsidR="00133328">
        <w:t xml:space="preserve"> </w:t>
      </w:r>
      <w:r w:rsidR="00D5020E">
        <w:t>weeks.</w:t>
      </w:r>
    </w:p>
    <w:p w14:paraId="646D9B91" w14:textId="3268155B" w:rsidR="00FF05F7" w:rsidRDefault="00766EC7" w:rsidP="009D60E9">
      <w:r>
        <w:t xml:space="preserve">Where goods are sampled, but not held by authorities, it is estimated that it would </w:t>
      </w:r>
      <w:r w:rsidR="00EB069D">
        <w:t>cost</w:t>
      </w:r>
      <w:r>
        <w:t xml:space="preserve"> half an hour of </w:t>
      </w:r>
      <w:r w:rsidR="0097529A">
        <w:t xml:space="preserve">business time </w:t>
      </w:r>
      <w:r w:rsidR="00EB069D">
        <w:t>to</w:t>
      </w:r>
      <w:r w:rsidR="0097529A">
        <w:t xml:space="preserve"> the entity involved. This equates to </w:t>
      </w:r>
      <w:r w:rsidR="00637E75">
        <w:t>$</w:t>
      </w:r>
      <w:r w:rsidR="000F1744">
        <w:t>36.53</w:t>
      </w:r>
      <w:r w:rsidR="00637E75">
        <w:t xml:space="preserve"> per sample taken</w:t>
      </w:r>
      <w:r w:rsidR="00EE1CA5">
        <w:t>. This</w:t>
      </w:r>
      <w:r w:rsidR="00637E75">
        <w:t xml:space="preserve"> would </w:t>
      </w:r>
      <w:r w:rsidR="00480EBB">
        <w:t xml:space="preserve">amount to </w:t>
      </w:r>
      <w:r w:rsidR="001511E9">
        <w:t>$</w:t>
      </w:r>
      <w:r w:rsidR="00781FB3">
        <w:t>7306</w:t>
      </w:r>
      <w:r w:rsidR="00480EBB">
        <w:t xml:space="preserve"> of </w:t>
      </w:r>
      <w:r w:rsidR="00EE1CA5">
        <w:t xml:space="preserve">total regulatory burden per annum </w:t>
      </w:r>
      <w:r w:rsidR="00B06CF7">
        <w:t xml:space="preserve">across the entire community </w:t>
      </w:r>
      <w:r w:rsidR="00637E75">
        <w:t xml:space="preserve">if 200 samples </w:t>
      </w:r>
      <w:r w:rsidR="00B06CF7">
        <w:t xml:space="preserve">were </w:t>
      </w:r>
      <w:r w:rsidR="00637E75">
        <w:t xml:space="preserve">taken </w:t>
      </w:r>
      <w:r w:rsidR="00EB069D">
        <w:t>per</w:t>
      </w:r>
      <w:r w:rsidR="00637E75">
        <w:t xml:space="preserve"> year.</w:t>
      </w:r>
      <w:r w:rsidR="00093A39">
        <w:t xml:space="preserve"> </w:t>
      </w:r>
    </w:p>
    <w:p w14:paraId="783CED62" w14:textId="1EDF16FA" w:rsidR="009D60E9" w:rsidRDefault="009D60E9" w:rsidP="009D60E9">
      <w:r>
        <w:t>The emphasis will remain on desktop assessments as well as educational and collaborative efforts with industry</w:t>
      </w:r>
      <w:r w:rsidR="004B14FB">
        <w:t>.</w:t>
      </w:r>
      <w:r>
        <w:t xml:space="preserve"> </w:t>
      </w:r>
      <w:r w:rsidR="003B4811">
        <w:t>This helps</w:t>
      </w:r>
      <w:r w:rsidR="000D1A4C">
        <w:t xml:space="preserve"> to</w:t>
      </w:r>
      <w:r w:rsidR="003B4811">
        <w:t xml:space="preserve"> </w:t>
      </w:r>
      <w:r>
        <w:t>ensure broad compliance within the regulated community and reduce</w:t>
      </w:r>
      <w:r w:rsidR="000D1A4C">
        <w:t>s</w:t>
      </w:r>
      <w:r>
        <w:t xml:space="preserve"> the need for at-border compliance interventions. Information collected under the potential reforms to due diligence ahead of importation, would allow the department to best target ‘at-border’ powers. For example, basic information about the product type, species and claimed area of harvest can identify imports that pose relatively higher risks</w:t>
      </w:r>
      <w:r w:rsidRPr="002B180A">
        <w:t xml:space="preserve"> or appear misrepresented.</w:t>
      </w:r>
    </w:p>
    <w:p w14:paraId="546BB087" w14:textId="7C250121" w:rsidR="009D60E9" w:rsidRDefault="009D60E9" w:rsidP="009D60E9">
      <w:r w:rsidRPr="4A2F2933">
        <w:t xml:space="preserve">Combining sampling powers with seizure and control powers to detain goods would help prevent goods being sold while claims are verified. It is anticipated that seizure and control-order powers would </w:t>
      </w:r>
      <w:r w:rsidR="00A839AE">
        <w:t xml:space="preserve">also </w:t>
      </w:r>
      <w:r>
        <w:t xml:space="preserve">only </w:t>
      </w:r>
      <w:r w:rsidRPr="4A2F2933">
        <w:t>be used on a very targeted basis</w:t>
      </w:r>
      <w:r>
        <w:t xml:space="preserve">, typically to address higher-risk imports. </w:t>
      </w:r>
      <w:r w:rsidRPr="002B180A">
        <w:t>Most sampling</w:t>
      </w:r>
      <w:r w:rsidR="002C6896">
        <w:t xml:space="preserve"> techniques</w:t>
      </w:r>
      <w:r w:rsidRPr="002B180A">
        <w:t xml:space="preserve"> would not require goods to be detained but may require the destruction of a minimal amount of material. </w:t>
      </w:r>
      <w:r>
        <w:t xml:space="preserve">The </w:t>
      </w:r>
      <w:r w:rsidRPr="4A2F2933">
        <w:t xml:space="preserve">possibility of having goods seized or detained for a period provides a strong incentive to importers to </w:t>
      </w:r>
      <w:r>
        <w:t xml:space="preserve">adequately </w:t>
      </w:r>
      <w:r w:rsidRPr="4A2F2933">
        <w:t>undertake due diligence</w:t>
      </w:r>
      <w:r>
        <w:t xml:space="preserve"> and ensure they are importing from low-risk pathways</w:t>
      </w:r>
      <w:r w:rsidRPr="4A2F2933">
        <w:t>.</w:t>
      </w:r>
    </w:p>
    <w:p w14:paraId="1E498171" w14:textId="70356272" w:rsidR="000528AE" w:rsidRDefault="000528AE" w:rsidP="00CE1584">
      <w:pPr>
        <w:pStyle w:val="BoxHeading"/>
      </w:pPr>
      <w:r>
        <w:t>Question 5</w:t>
      </w:r>
    </w:p>
    <w:p w14:paraId="0A92F78D" w14:textId="1395764C" w:rsidR="00B37703" w:rsidRDefault="00B37703" w:rsidP="00CE1584">
      <w:pPr>
        <w:pStyle w:val="BoxText"/>
      </w:pPr>
      <w:r>
        <w:lastRenderedPageBreak/>
        <w:t>Do you support adding ‘at-border’ powers such as sampling, seizure and goods control to the Act?</w:t>
      </w:r>
    </w:p>
    <w:p w14:paraId="232FA55B" w14:textId="77777777" w:rsidR="00755C08" w:rsidRPr="00AC7FC1" w:rsidRDefault="00755C08" w:rsidP="00CE1584">
      <w:pPr>
        <w:pStyle w:val="BoxText"/>
        <w:rPr>
          <w:b/>
          <w:bCs/>
        </w:rPr>
      </w:pPr>
      <w:r w:rsidRPr="00AC7FC1">
        <w:rPr>
          <w:b/>
          <w:bCs/>
        </w:rPr>
        <w:t>Question 6</w:t>
      </w:r>
    </w:p>
    <w:p w14:paraId="289BF65D" w14:textId="1C1D1808" w:rsidR="00755C08" w:rsidRDefault="00755C08" w:rsidP="00CE1584">
      <w:pPr>
        <w:pStyle w:val="BoxText"/>
      </w:pPr>
      <w:r w:rsidRPr="00755C08">
        <w:t>Are there any significant costs associated with sampling, seizure and goods control that industry is likely to face in addition to those outlined?</w:t>
      </w:r>
    </w:p>
    <w:p w14:paraId="43135C51" w14:textId="22EBD187" w:rsidR="000528AE" w:rsidRDefault="000528AE" w:rsidP="00CE1584">
      <w:pPr>
        <w:pStyle w:val="BoxHeading"/>
      </w:pPr>
      <w:r>
        <w:t xml:space="preserve">Question </w:t>
      </w:r>
      <w:r w:rsidR="00755C08">
        <w:t>7</w:t>
      </w:r>
    </w:p>
    <w:p w14:paraId="784C27E9" w14:textId="4989B5E1" w:rsidR="009D60E9" w:rsidRPr="00AA6FC5" w:rsidRDefault="00B37703" w:rsidP="00CE1584">
      <w:pPr>
        <w:pStyle w:val="BoxText"/>
      </w:pPr>
      <w:r>
        <w:t>What other measures could ensure that goods entering the country or intended for processing can be verified for due diligence claims?</w:t>
      </w:r>
    </w:p>
    <w:p w14:paraId="3A2778AE" w14:textId="66A22DF2" w:rsidR="001B2994" w:rsidRPr="000E4C50" w:rsidRDefault="009D60E9" w:rsidP="000E4C50">
      <w:pPr>
        <w:pStyle w:val="Heading4"/>
      </w:pPr>
      <w:bookmarkStart w:id="99" w:name="_Toc72149473"/>
      <w:bookmarkStart w:id="100" w:name="_Toc72397586"/>
      <w:bookmarkStart w:id="101" w:name="_Toc72328696"/>
      <w:bookmarkStart w:id="102" w:name="_Toc73708118"/>
      <w:r w:rsidRPr="000E4C50">
        <w:t>Emerging timber identification (sampling) technologies</w:t>
      </w:r>
      <w:bookmarkEnd w:id="99"/>
      <w:bookmarkEnd w:id="100"/>
      <w:bookmarkEnd w:id="101"/>
      <w:bookmarkEnd w:id="102"/>
    </w:p>
    <w:p w14:paraId="2A81746A" w14:textId="6BE7CA34" w:rsidR="009D60E9" w:rsidRDefault="009D60E9" w:rsidP="009D60E9">
      <w:r>
        <w:t xml:space="preserve">Timber identification technologies can support the verification of timber claims, assisting governments and industry to manage compliance with the illegal logging </w:t>
      </w:r>
      <w:r w:rsidR="00342479">
        <w:t>laws</w:t>
      </w:r>
      <w:r>
        <w:t xml:space="preserve">. </w:t>
      </w:r>
      <w:r w:rsidR="008B316A">
        <w:t xml:space="preserve">Their use can </w:t>
      </w:r>
      <w:r>
        <w:t xml:space="preserve">also support education and outreach with the regulated community and </w:t>
      </w:r>
      <w:r w:rsidR="002A2E98">
        <w:t xml:space="preserve">promote </w:t>
      </w:r>
      <w:r w:rsidR="00540D73">
        <w:t>legal</w:t>
      </w:r>
      <w:r>
        <w:t xml:space="preserve"> trade</w:t>
      </w:r>
      <w:r w:rsidR="002A2E98">
        <w:t>.</w:t>
      </w:r>
    </w:p>
    <w:p w14:paraId="5848F48A" w14:textId="2672D2F6" w:rsidR="002672ED" w:rsidRPr="00DE1E32" w:rsidRDefault="009D60E9" w:rsidP="00CE1584">
      <w:r>
        <w:t>A list of</w:t>
      </w:r>
      <w:r w:rsidRPr="00DE1E32">
        <w:t xml:space="preserve"> commercially available sampling techniques </w:t>
      </w:r>
      <w:r w:rsidR="00427D43">
        <w:t xml:space="preserve">is provided at </w:t>
      </w:r>
      <w:hyperlink w:anchor="_Annex_1_:" w:history="1">
        <w:r w:rsidR="00427D43" w:rsidRPr="00FF05F7">
          <w:rPr>
            <w:rStyle w:val="Hyperlink"/>
          </w:rPr>
          <w:t>Annex 1</w:t>
        </w:r>
      </w:hyperlink>
      <w:r w:rsidR="00427D43">
        <w:t>. These techniques</w:t>
      </w:r>
      <w:r w:rsidR="00427D43" w:rsidRPr="00DE1E32">
        <w:t xml:space="preserve"> </w:t>
      </w:r>
      <w:r>
        <w:t>could be integrated into the regulatory framework if the legislation was amended to broadly provide for the</w:t>
      </w:r>
      <w:r w:rsidR="00704CC9">
        <w:t>ir</w:t>
      </w:r>
      <w:r>
        <w:t xml:space="preserve"> use. </w:t>
      </w:r>
      <w:r w:rsidRPr="00DA49A8">
        <w:t xml:space="preserve">Sampling costs are likely to be borne by the department. Alternatively, importers may wish to undertake their own sampling efforts to ensure the legitimacy of the products they are importing and improve the effectiveness of their due diligence systems. </w:t>
      </w:r>
      <w:r>
        <w:t>Some importers under overseas timber legality frameworks are already using sampling technologies within their due diligence systems.</w:t>
      </w:r>
    </w:p>
    <w:p w14:paraId="3FEED893" w14:textId="4BD1F5AB" w:rsidR="000528AE" w:rsidRDefault="000528AE" w:rsidP="00CE1584">
      <w:pPr>
        <w:pStyle w:val="BoxHeading"/>
      </w:pPr>
      <w:r>
        <w:t xml:space="preserve">Question </w:t>
      </w:r>
      <w:r w:rsidR="00755C08">
        <w:t>8</w:t>
      </w:r>
    </w:p>
    <w:p w14:paraId="757B1194" w14:textId="4BB37DD3" w:rsidR="009D60E9" w:rsidRDefault="00B37703" w:rsidP="00CE1584">
      <w:pPr>
        <w:pStyle w:val="BoxText"/>
      </w:pPr>
      <w:r>
        <w:t>Are there any particular timber-identification technologies that you support for integrating into the illegal logging legislation?</w:t>
      </w:r>
    </w:p>
    <w:p w14:paraId="4ED92289" w14:textId="77777777" w:rsidR="009D60E9" w:rsidRDefault="009D60E9" w:rsidP="009D60E9">
      <w:pPr>
        <w:pStyle w:val="Heading4"/>
      </w:pPr>
      <w:r>
        <w:t>Publication powers</w:t>
      </w:r>
    </w:p>
    <w:p w14:paraId="38720504" w14:textId="75E90F52" w:rsidR="009D60E9" w:rsidRDefault="009D60E9" w:rsidP="009D60E9">
      <w:r>
        <w:t>The power to publicise findings around</w:t>
      </w:r>
      <w:r w:rsidR="005E156F">
        <w:t xml:space="preserve"> the</w:t>
      </w:r>
      <w:r>
        <w:t xml:space="preserve"> verification of claim</w:t>
      </w:r>
      <w:r w:rsidR="00DD0C87">
        <w:t>s</w:t>
      </w:r>
      <w:r>
        <w:t xml:space="preserve"> of species and harvest origin, as well as </w:t>
      </w:r>
      <w:r w:rsidR="00616874">
        <w:t xml:space="preserve">around </w:t>
      </w:r>
      <w:r w:rsidR="00DD0C87">
        <w:t xml:space="preserve">compliance </w:t>
      </w:r>
      <w:r w:rsidR="00540D73">
        <w:t>with</w:t>
      </w:r>
      <w:r w:rsidR="00616874">
        <w:t xml:space="preserve"> </w:t>
      </w:r>
      <w:r>
        <w:t xml:space="preserve">due diligence </w:t>
      </w:r>
      <w:r w:rsidR="00616874">
        <w:t>obligations</w:t>
      </w:r>
      <w:r>
        <w:t xml:space="preserve">, could be added to strengthen the </w:t>
      </w:r>
      <w:r w:rsidR="00DD0C87">
        <w:t>laws</w:t>
      </w:r>
      <w:r>
        <w:t xml:space="preserve">. These powers would help compel compliance from the regulated community. Such powers would only be used where there are repeated or serious instances of non-compliance, from which publicising the issues would compel a constructive response. Such instances would be where an entity repeatedly refuses to undertake due diligence or continues to import a species that </w:t>
      </w:r>
      <w:r w:rsidR="00950987">
        <w:t xml:space="preserve">sampling </w:t>
      </w:r>
      <w:r>
        <w:t>has found to be misrepresented, without undertaking further checks or adjusting practices. This provides a compliance response alternative to pursuing criminal or civil sanctions, while also bringing renewed attention to the importance of the law</w:t>
      </w:r>
      <w:r w:rsidR="005B76CF">
        <w:t>s</w:t>
      </w:r>
      <w:r>
        <w:t xml:space="preserve">. These powers have no anticipated regulatory </w:t>
      </w:r>
      <w:r w:rsidDel="00A1627E">
        <w:t>burden</w:t>
      </w:r>
      <w:r>
        <w:t xml:space="preserve">, as publication would only reflect the outcome of </w:t>
      </w:r>
      <w:r w:rsidR="00A07EE2">
        <w:t xml:space="preserve">previously </w:t>
      </w:r>
      <w:r>
        <w:t>completed compliance activities.</w:t>
      </w:r>
    </w:p>
    <w:p w14:paraId="093734DC" w14:textId="7E31DA6F" w:rsidR="009D60E9" w:rsidRPr="00D37962" w:rsidRDefault="009D60E9" w:rsidP="009D60E9">
      <w:pPr>
        <w:rPr>
          <w:iCs/>
        </w:rPr>
      </w:pPr>
      <w:r w:rsidRPr="006549EB">
        <w:t xml:space="preserve">Similar powers already exist in the Commonwealth. For example, the </w:t>
      </w:r>
      <w:r w:rsidRPr="006549EB">
        <w:rPr>
          <w:i/>
        </w:rPr>
        <w:t xml:space="preserve">Renewable Energy (Electricity) Act 2000 </w:t>
      </w:r>
      <w:r w:rsidRPr="006549EB">
        <w:rPr>
          <w:iCs/>
        </w:rPr>
        <w:t xml:space="preserve">gives </w:t>
      </w:r>
      <w:r w:rsidRPr="006549EB">
        <w:t>the Clean Energy Regulator the power to publicise where businesses report shortfalls in renewable energy certificates.</w:t>
      </w:r>
      <w:r>
        <w:rPr>
          <w:color w:val="FF0000"/>
        </w:rPr>
        <w:t xml:space="preserve"> </w:t>
      </w:r>
      <w:r w:rsidRPr="003059C1">
        <w:t xml:space="preserve">Additionally, provisions in the department’s </w:t>
      </w:r>
      <w:r w:rsidRPr="003059C1">
        <w:rPr>
          <w:i/>
        </w:rPr>
        <w:t xml:space="preserve">Recycling and Waste Reduction Act 2020 </w:t>
      </w:r>
      <w:r w:rsidRPr="003059C1">
        <w:rPr>
          <w:iCs/>
        </w:rPr>
        <w:t xml:space="preserve">mean the Minister </w:t>
      </w:r>
      <w:r w:rsidRPr="003059C1">
        <w:t xml:space="preserve">must table </w:t>
      </w:r>
      <w:r w:rsidR="0009399F" w:rsidRPr="003059C1">
        <w:t xml:space="preserve">in Parliament </w:t>
      </w:r>
      <w:r w:rsidRPr="003059C1">
        <w:t xml:space="preserve">a list </w:t>
      </w:r>
      <w:r w:rsidR="001855F9">
        <w:t xml:space="preserve">of </w:t>
      </w:r>
      <w:r w:rsidR="0009399F" w:rsidRPr="003059C1">
        <w:t xml:space="preserve">business </w:t>
      </w:r>
      <w:r w:rsidRPr="003059C1">
        <w:t>they consider should be members of product stewardship arrangements but are yet to join. Such powers are exercised consistently with privacy law protections to ensure identifying information remains protected</w:t>
      </w:r>
      <w:r>
        <w:t>. I</w:t>
      </w:r>
      <w:r w:rsidRPr="003059C1">
        <w:t xml:space="preserve">nformation law protections </w:t>
      </w:r>
      <w:r>
        <w:t>also</w:t>
      </w:r>
      <w:r w:rsidRPr="003059C1">
        <w:t xml:space="preserve"> ensure </w:t>
      </w:r>
      <w:r>
        <w:t xml:space="preserve">that </w:t>
      </w:r>
      <w:r w:rsidRPr="003059C1">
        <w:t>commercial-in-confidence information is protected.</w:t>
      </w:r>
    </w:p>
    <w:p w14:paraId="1D772D2C" w14:textId="77777777" w:rsidR="009D60E9" w:rsidRDefault="009D60E9" w:rsidP="009D60E9">
      <w:pPr>
        <w:pStyle w:val="Heading4"/>
      </w:pPr>
      <w:r>
        <w:lastRenderedPageBreak/>
        <w:t>Injunction and enforceable undertaking powers</w:t>
      </w:r>
    </w:p>
    <w:p w14:paraId="27CD083A" w14:textId="6E6EC3F6" w:rsidR="009D60E9" w:rsidRDefault="009D60E9" w:rsidP="009D60E9">
      <w:r>
        <w:t xml:space="preserve">The Act triggers most of the powers available under the </w:t>
      </w:r>
      <w:r w:rsidRPr="0009564E">
        <w:rPr>
          <w:i/>
        </w:rPr>
        <w:t>Regulatory Powers (Standard Provisions) Act 2014</w:t>
      </w:r>
      <w:r>
        <w:t xml:space="preserve"> with the exception of injunctions and enforceable undertakings. Enforceable undertakings and injunctions are compliance tools utilised under several analogous regulatory regimes by the department. Although it is anticipated that the powers would only be used in very specific circumstances, they provide regulatory flexibility to both the department and the regulated community. An example would be where an importer has failed to undertake due diligence as required for a regulated timber product. The importer may agree </w:t>
      </w:r>
      <w:r w:rsidR="00C64D80">
        <w:t xml:space="preserve">to </w:t>
      </w:r>
      <w:r>
        <w:t xml:space="preserve">an enforceable undertaking with the department to complete due diligence in future rather than face other immediate compliance measures. The agreement </w:t>
      </w:r>
      <w:r w:rsidR="00763060">
        <w:t xml:space="preserve">would </w:t>
      </w:r>
      <w:r>
        <w:t>set out specific consequences for failing to adhere to the undertaking that are enforceable in a court of law.</w:t>
      </w:r>
    </w:p>
    <w:p w14:paraId="733BEEEE" w14:textId="77777777" w:rsidR="009D60E9" w:rsidRPr="002B7A1B" w:rsidRDefault="009D60E9" w:rsidP="00BA07B4">
      <w:pPr>
        <w:pStyle w:val="Heading3"/>
      </w:pPr>
      <w:bookmarkStart w:id="103" w:name="_Toc72149475"/>
      <w:bookmarkStart w:id="104" w:name="_Toc72397588"/>
      <w:bookmarkStart w:id="105" w:name="_Toc72328698"/>
      <w:bookmarkStart w:id="106" w:name="_Toc74753450"/>
      <w:r w:rsidRPr="002B7A1B">
        <w:t>Optimising the regulatory burden</w:t>
      </w:r>
      <w:bookmarkEnd w:id="103"/>
      <w:bookmarkEnd w:id="104"/>
      <w:bookmarkEnd w:id="105"/>
      <w:bookmarkEnd w:id="106"/>
    </w:p>
    <w:p w14:paraId="7CD2CF4A" w14:textId="0A310379" w:rsidR="00BA07B4" w:rsidRDefault="00BA07B4" w:rsidP="00BA07B4">
      <w:r>
        <w:t xml:space="preserve">There may be opportunities to </w:t>
      </w:r>
      <w:r w:rsidR="00B06CF7">
        <w:t xml:space="preserve">further balance </w:t>
      </w:r>
      <w:r>
        <w:t>the due diligence requirements for</w:t>
      </w:r>
      <w:r w:rsidRPr="006D52B9">
        <w:t xml:space="preserve"> </w:t>
      </w:r>
      <w:r>
        <w:t>low-frequency importers, repeated imports, and low-risk pathways.</w:t>
      </w:r>
    </w:p>
    <w:p w14:paraId="37AC39B4" w14:textId="77777777" w:rsidR="00BA07B4" w:rsidRPr="00DE1E32" w:rsidRDefault="00BA07B4" w:rsidP="00BA07B4">
      <w:pPr>
        <w:pStyle w:val="Heading4"/>
      </w:pPr>
      <w:r w:rsidRPr="00D4704F">
        <w:t>Low-frequency importers</w:t>
      </w:r>
    </w:p>
    <w:p w14:paraId="2B1D17F5" w14:textId="77777777" w:rsidR="00BA07B4" w:rsidRDefault="00BA07B4" w:rsidP="00BA07B4">
      <w:r>
        <w:t>The Regulation currently requires importers and processors to establish a due diligence system, then to implement that plan for each product by following one of the risk assessment and mitigation pathways established by the Regulation.</w:t>
      </w:r>
    </w:p>
    <w:p w14:paraId="162CCD93" w14:textId="2135C817" w:rsidR="00BA07B4" w:rsidRPr="007F4F9C" w:rsidRDefault="00BA07B4" w:rsidP="00BA07B4">
      <w:r>
        <w:t xml:space="preserve">For importers and processors that rarely import or process regulated products, it may be unnecessarily burdensome to establish a due diligence system. The regulation could set out that only businesses with more than a specified number of annual imported or processed product lines must establish a due diligence system. Low frequency importers would </w:t>
      </w:r>
      <w:r w:rsidR="00990C2A">
        <w:t xml:space="preserve">still </w:t>
      </w:r>
      <w:r>
        <w:t xml:space="preserve">be required to undertake a risk assessment when importing or processing, but not to establish a due diligence system. </w:t>
      </w:r>
      <w:r w:rsidRPr="007F4F9C">
        <w:t xml:space="preserve">For example, removing the requirement for one-off importers to establish a due diligence system is expected to reduce the regulatory burden for affected importers by up to $449 or 23% per annum. This equates to an annual cost saving of roughly 8% across the </w:t>
      </w:r>
      <w:r w:rsidR="00FE1B58">
        <w:t xml:space="preserve">entire </w:t>
      </w:r>
      <w:r w:rsidRPr="007F4F9C">
        <w:t>regulated community.</w:t>
      </w:r>
    </w:p>
    <w:p w14:paraId="4FD74363" w14:textId="77777777" w:rsidR="00BA07B4" w:rsidRDefault="00BA07B4" w:rsidP="00BA07B4">
      <w:r>
        <w:t xml:space="preserve">Conversely, stronger requirements could be put in place for more frequent exporters and processors. Strengthened requirements would be aimed at ensuring higher frequency importers have adequate systems in place to undertake due diligence on a regular basis. </w:t>
      </w:r>
      <w:r w:rsidRPr="00870E81">
        <w:t>A third-party auditing approach for due diligence systems, or a licensing system could be instituted for importers or processors dealing in regulated timber products or processing above a certain volume threshold. This</w:t>
      </w:r>
      <w:r>
        <w:t xml:space="preserve"> would move away from the current reliance on departmental audits and requests for information to identify and resolve issues.</w:t>
      </w:r>
    </w:p>
    <w:p w14:paraId="104115A5" w14:textId="69107E23" w:rsidR="00BA07B4" w:rsidRDefault="00BA07B4" w:rsidP="00BA07B4">
      <w:r>
        <w:t xml:space="preserve">Under the </w:t>
      </w:r>
      <w:r w:rsidR="00763060">
        <w:t xml:space="preserve">European Union </w:t>
      </w:r>
      <w:r w:rsidR="00C54183">
        <w:t>Timber Regulations</w:t>
      </w:r>
      <w:r>
        <w:t>, third-party ‘monitoring organisations’ can be accredited by the European Commission and offer off-the-shelf due diligence systems for industry to implement. The monitoring organisations audit industry groups using their due diligence system to verify proper use. Monitoring organisations can act if the due diligence system is not being used correctly, including referring the industry group to the EU Member State’s regulatory authority. The regulatory authorities conduct audits of both the monitoring organisations and industry groups, whether they use an off-the-shelf</w:t>
      </w:r>
      <w:r w:rsidR="009B1FB4">
        <w:t xml:space="preserve"> system</w:t>
      </w:r>
      <w:r>
        <w:t xml:space="preserve"> or their own due diligence system. There is the possibility to implement a similar approach in Australia or to </w:t>
      </w:r>
      <w:r>
        <w:lastRenderedPageBreak/>
        <w:t>simply have accredited third-party organisations audit importers</w:t>
      </w:r>
      <w:r w:rsidR="00540D73">
        <w:t>’</w:t>
      </w:r>
      <w:r>
        <w:t xml:space="preserve"> or domestic processors</w:t>
      </w:r>
      <w:r w:rsidR="00540D73">
        <w:t>’</w:t>
      </w:r>
      <w:r>
        <w:t xml:space="preserve"> own due diligence systems.</w:t>
      </w:r>
    </w:p>
    <w:p w14:paraId="76C97B05" w14:textId="7EB7640E" w:rsidR="009D60E9" w:rsidRDefault="00BA07B4" w:rsidP="00BA07B4">
      <w:pPr>
        <w:rPr>
          <w:i/>
        </w:rPr>
      </w:pPr>
      <w:r w:rsidRPr="00967EEE">
        <w:t xml:space="preserve">Licensing is not yet used for illegal logging due diligence systems internationally. The department does implement a licensing system for importing certain ozone depleting substances and synthetic greenhouse gases under the </w:t>
      </w:r>
      <w:r w:rsidRPr="00967EEE">
        <w:rPr>
          <w:i/>
        </w:rPr>
        <w:t>Ozone Protection and Synthetic</w:t>
      </w:r>
      <w:r w:rsidRPr="00BA07B4">
        <w:rPr>
          <w:i/>
        </w:rPr>
        <w:t xml:space="preserve"> </w:t>
      </w:r>
      <w:r w:rsidRPr="00967EEE">
        <w:rPr>
          <w:i/>
        </w:rPr>
        <w:t>Greenhouse Gas Management Act 1989</w:t>
      </w:r>
      <w:r w:rsidRPr="00967EEE">
        <w:t>.</w:t>
      </w:r>
    </w:p>
    <w:p w14:paraId="4EAE6197" w14:textId="12576730" w:rsidR="00BA07B4" w:rsidRDefault="00BA07B4" w:rsidP="00BA07B4">
      <w:r>
        <w:t xml:space="preserve">Given the large size of the regulated community, and need to minimise regulatory burden and cost, any strengthened measures will need to be administrable on a wide scale, whilst imposing minimal burden on the regulated community. Careful optimisation allows for streamlining of requirements for regulated entities that may provide for reduced regulatory burden in certain circumstances without fundamentally reducing the outcomes delivered by the </w:t>
      </w:r>
      <w:r w:rsidR="00163C49">
        <w:t>laws</w:t>
      </w:r>
      <w:r>
        <w:t>.</w:t>
      </w:r>
    </w:p>
    <w:p w14:paraId="190FFBA8" w14:textId="38C3F87B" w:rsidR="000528AE" w:rsidRDefault="000528AE" w:rsidP="00CE1584">
      <w:pPr>
        <w:pStyle w:val="BoxHeading"/>
      </w:pPr>
      <w:r>
        <w:t xml:space="preserve">Question </w:t>
      </w:r>
      <w:r w:rsidR="00755C08">
        <w:t>9</w:t>
      </w:r>
    </w:p>
    <w:p w14:paraId="72264547" w14:textId="227174C6" w:rsidR="001D6BAB" w:rsidRDefault="001D6BAB" w:rsidP="000528AE">
      <w:pPr>
        <w:pStyle w:val="BoxText"/>
      </w:pPr>
      <w:r>
        <w:t>Do you support removing the due-diligence system requirement for low-frequency importers and processors?</w:t>
      </w:r>
    </w:p>
    <w:p w14:paraId="75999FBA" w14:textId="51205283" w:rsidR="000528AE" w:rsidRDefault="000528AE" w:rsidP="00CE1584">
      <w:pPr>
        <w:pStyle w:val="BoxHeading"/>
      </w:pPr>
      <w:r>
        <w:t xml:space="preserve">Question </w:t>
      </w:r>
      <w:r w:rsidR="00755C08">
        <w:t>10</w:t>
      </w:r>
    </w:p>
    <w:p w14:paraId="407ACCAC" w14:textId="64157011" w:rsidR="00EC16DD" w:rsidRDefault="001D6BAB" w:rsidP="000528AE">
      <w:pPr>
        <w:pStyle w:val="BoxText"/>
      </w:pPr>
      <w:r w:rsidRPr="006C4592">
        <w:t>What other opportunities can you suggest for reducing the regulatory burden for low-frequency importers?</w:t>
      </w:r>
    </w:p>
    <w:p w14:paraId="772C072E" w14:textId="600A3E89" w:rsidR="000528AE" w:rsidRDefault="000528AE" w:rsidP="00CE1584">
      <w:pPr>
        <w:pStyle w:val="BoxHeading"/>
      </w:pPr>
      <w:r>
        <w:t xml:space="preserve">Question </w:t>
      </w:r>
      <w:r w:rsidR="00755C08">
        <w:t>11</w:t>
      </w:r>
    </w:p>
    <w:p w14:paraId="413CAE5D" w14:textId="214A7518" w:rsidR="001D6BAB" w:rsidRDefault="00EC16DD" w:rsidP="00CE1584">
      <w:pPr>
        <w:pStyle w:val="BoxText"/>
      </w:pPr>
      <w:r>
        <w:t>What additional measures can be introduced to ensure high-frequency importers and processors have adequate due diligence systems in place?</w:t>
      </w:r>
    </w:p>
    <w:p w14:paraId="1465768D" w14:textId="440CC060" w:rsidR="00BA07B4" w:rsidRPr="00DE1E32" w:rsidRDefault="00BA07B4" w:rsidP="00EC16DD">
      <w:pPr>
        <w:pStyle w:val="Heading4"/>
      </w:pPr>
      <w:r w:rsidRPr="00DE1E32">
        <w:t>Repeated imports</w:t>
      </w:r>
    </w:p>
    <w:p w14:paraId="4AE44623" w14:textId="7BA0EF07" w:rsidR="00BA07B4" w:rsidRPr="00BE35AE" w:rsidRDefault="00BA07B4" w:rsidP="00BA07B4">
      <w:r w:rsidRPr="00BE35AE">
        <w:t>The Regulation currently requires importers to establish a due diligence system, gather information, and undertake a risk identification and assessment process before each import. Requiring an importer to repeat the due diligence process may be unnecessarily burdensome where an importer intends to import the same product from the same supplier, made from the same timber species that was harvested from the same area.</w:t>
      </w:r>
      <w:r w:rsidR="00C64D80">
        <w:t xml:space="preserve"> This is known as an import pathway.</w:t>
      </w:r>
    </w:p>
    <w:p w14:paraId="32637BC4" w14:textId="77777777" w:rsidR="00BA07B4" w:rsidRPr="006A75A8" w:rsidRDefault="00BA07B4" w:rsidP="00BA07B4">
      <w:r>
        <w:t xml:space="preserve">There is an opportunity to reform the due diligence requirements, and only require one due diligence assessment for an identical import pathway within a set period (e.g. 12 months). </w:t>
      </w:r>
      <w:r w:rsidRPr="00762DAB">
        <w:t>Minimal obligations could be imposed to ensure that the importer checks no pertinent elements of the supply chain have changed ahead of each repeat import. A repeated due diligence process would still be required where the importer cannot provide such assurance.</w:t>
      </w:r>
    </w:p>
    <w:p w14:paraId="61B58266" w14:textId="3DE774B4" w:rsidR="00652A25" w:rsidRPr="00457F19" w:rsidRDefault="00BA07B4" w:rsidP="00CE1584">
      <w:r w:rsidRPr="00457F19">
        <w:t xml:space="preserve">By removing the requirement for due diligence on repeated imports other than a brief check to ensure nothing has changed, </w:t>
      </w:r>
      <w:r w:rsidR="002E3F86">
        <w:t>there will be a regulatory saving</w:t>
      </w:r>
      <w:r w:rsidRPr="00457F19">
        <w:t>. This</w:t>
      </w:r>
      <w:r w:rsidR="00C64D80">
        <w:t xml:space="preserve"> reduction</w:t>
      </w:r>
      <w:r w:rsidRPr="00457F19">
        <w:t xml:space="preserve"> is from $188 to $92</w:t>
      </w:r>
      <w:r w:rsidR="002E3F86">
        <w:t xml:space="preserve"> per consignment</w:t>
      </w:r>
      <w:r w:rsidRPr="00457F19">
        <w:t xml:space="preserve"> and </w:t>
      </w:r>
      <w:r w:rsidR="002E3F86" w:rsidRPr="00457F19">
        <w:t>$1,935 to $944</w:t>
      </w:r>
      <w:r w:rsidRPr="00457F19">
        <w:t xml:space="preserve"> per </w:t>
      </w:r>
      <w:r w:rsidR="006C4A75" w:rsidRPr="00457F19">
        <w:t>entity.</w:t>
      </w:r>
      <w:r w:rsidRPr="00457F19">
        <w:t xml:space="preserve"> This is a 48% regulatory saving annually.</w:t>
      </w:r>
    </w:p>
    <w:p w14:paraId="2B7C299A" w14:textId="040DEA89" w:rsidR="000528AE" w:rsidRDefault="000528AE" w:rsidP="00CE1584">
      <w:pPr>
        <w:pStyle w:val="BoxHeading"/>
      </w:pPr>
      <w:r>
        <w:t xml:space="preserve">Question </w:t>
      </w:r>
      <w:r w:rsidR="00755C08">
        <w:t>12</w:t>
      </w:r>
    </w:p>
    <w:p w14:paraId="02A6781D" w14:textId="4CEC5D96" w:rsidR="00BA07B4" w:rsidRPr="008651F1" w:rsidRDefault="00BA07B4" w:rsidP="00CE1584">
      <w:pPr>
        <w:pStyle w:val="BoxText"/>
      </w:pPr>
      <w:r w:rsidRPr="008651F1">
        <w:t>How can due diligence requirements for repeated imports be streamlined?</w:t>
      </w:r>
    </w:p>
    <w:p w14:paraId="26F5FFAD" w14:textId="77777777" w:rsidR="00BA07B4" w:rsidRPr="00206F4A" w:rsidRDefault="00BA07B4" w:rsidP="00BA07B4">
      <w:pPr>
        <w:pStyle w:val="Heading4"/>
      </w:pPr>
      <w:r w:rsidRPr="00D4704F">
        <w:lastRenderedPageBreak/>
        <w:t>Deemed to comply arrangements</w:t>
      </w:r>
    </w:p>
    <w:p w14:paraId="40703978" w14:textId="1B97EFB4" w:rsidR="00BA07B4" w:rsidRDefault="00BA07B4" w:rsidP="00BA07B4">
      <w:r>
        <w:t xml:space="preserve">Adding ‘deemed to comply’ arrangements to the </w:t>
      </w:r>
      <w:r w:rsidR="009F0482">
        <w:t xml:space="preserve">Regulation </w:t>
      </w:r>
      <w:r>
        <w:t>could reduce regulatory burden.</w:t>
      </w:r>
      <w:r w:rsidRPr="00170CC5">
        <w:t xml:space="preserve"> </w:t>
      </w:r>
      <w:r>
        <w:t>A particular import pathway, or certification system could be ‘deemed to comply’ with the due diligence requirements, meaning the importer has no further due diligence obligations from any product imported or processed under the pathway. Entities could rely on these frameworks to entirely satisfy due diligence requirements.</w:t>
      </w:r>
    </w:p>
    <w:p w14:paraId="2C598EDB" w14:textId="6EDBB417" w:rsidR="00BA07B4" w:rsidRDefault="00BA07B4" w:rsidP="00BA07B4">
      <w:r>
        <w:t xml:space="preserve">The Regulation currently allows importers and domestic processors to use certain third-party timber legality frameworks to assess risks associated with a regulated timber product. Two frameworks are recognised under the Regulation, the </w:t>
      </w:r>
      <w:r w:rsidDel="002F0E90">
        <w:t>F</w:t>
      </w:r>
      <w:r w:rsidR="0066505A">
        <w:t xml:space="preserve">orest </w:t>
      </w:r>
      <w:r w:rsidDel="002F0E90">
        <w:t>S</w:t>
      </w:r>
      <w:r w:rsidR="0066505A">
        <w:t xml:space="preserve">tewardship </w:t>
      </w:r>
      <w:r w:rsidDel="002F0E90">
        <w:t>C</w:t>
      </w:r>
      <w:r w:rsidR="0066505A">
        <w:t xml:space="preserve">ouncil </w:t>
      </w:r>
      <w:r>
        <w:t xml:space="preserve">and </w:t>
      </w:r>
      <w:r w:rsidR="0066505A" w:rsidDel="002F0E90">
        <w:t>P</w:t>
      </w:r>
      <w:r w:rsidR="0066505A">
        <w:t xml:space="preserve">rogramme for the Endorsement of Forest Certification </w:t>
      </w:r>
      <w:r>
        <w:t>systems. A deemed to comply arrangement would mean importers or processors do not need to undertake the additional due diligence steps. A similar proposal was previously disallowed by the Australian Senate in 2018.</w:t>
      </w:r>
    </w:p>
    <w:p w14:paraId="02CA2E5F" w14:textId="6BDEF885" w:rsidR="00BA07B4" w:rsidRPr="00966F46" w:rsidRDefault="00BA07B4" w:rsidP="00BA07B4">
      <w:r>
        <w:t xml:space="preserve">A further option is to add a ‘deemed to comply’ arrangement for products </w:t>
      </w:r>
      <w:bookmarkStart w:id="107" w:name="_Hlk63942524"/>
      <w:r>
        <w:t>with CITES certification for the applicable species</w:t>
      </w:r>
      <w:bookmarkEnd w:id="107"/>
      <w:r>
        <w:t xml:space="preserve">. CITES certification could alternatively be added to the regulations as a third timber legality framework (alongside </w:t>
      </w:r>
      <w:r w:rsidR="00652A25" w:rsidDel="002F0E90">
        <w:t>F</w:t>
      </w:r>
      <w:r w:rsidR="00652A25">
        <w:t xml:space="preserve">orest </w:t>
      </w:r>
      <w:r w:rsidR="00652A25" w:rsidDel="002F0E90">
        <w:t>S</w:t>
      </w:r>
      <w:r w:rsidR="00652A25">
        <w:t xml:space="preserve">tewardship </w:t>
      </w:r>
      <w:r w:rsidR="00652A25" w:rsidDel="002F0E90">
        <w:t>C</w:t>
      </w:r>
      <w:r w:rsidR="00652A25">
        <w:t>ouncil</w:t>
      </w:r>
      <w:r w:rsidR="00652A25" w:rsidDel="00652A25">
        <w:t xml:space="preserve"> </w:t>
      </w:r>
      <w:r>
        <w:t xml:space="preserve">and </w:t>
      </w:r>
      <w:r w:rsidR="00652A25" w:rsidDel="002F0E90">
        <w:t>P</w:t>
      </w:r>
      <w:r w:rsidR="00652A25">
        <w:t>rogramme for the Endorsement of Forest Certification</w:t>
      </w:r>
      <w:r>
        <w:t>).</w:t>
      </w:r>
    </w:p>
    <w:p w14:paraId="21619894" w14:textId="5108C703" w:rsidR="00BA07B4" w:rsidRPr="004E149C" w:rsidRDefault="00BA07B4" w:rsidP="00BA07B4">
      <w:r>
        <w:t xml:space="preserve">All these approaches carry inherent risks that need to be carefully managed. This is particularly important for ensuring claims relating to timber species and harvest origins are underpinned by authentic and verifiable documentation, including any applicable certifications. </w:t>
      </w:r>
      <w:r w:rsidRPr="00D46B9C">
        <w:t>Care is required to ensure that the pathways are not used as an absolute mandate to ignore clear and obvious signals of illegal logging risk. For example, where conflict has broken out in a ‘deemed to comply’ area</w:t>
      </w:r>
      <w:r w:rsidR="00E43734">
        <w:t>, p</w:t>
      </w:r>
      <w:r>
        <w:t>aragraph 12(2)(c) of the existing Regulation is aimed at moderating this risk.</w:t>
      </w:r>
    </w:p>
    <w:p w14:paraId="6DE2949A" w14:textId="32065D04" w:rsidR="002672ED" w:rsidRDefault="00BA07B4" w:rsidP="00CE1584">
      <w:r>
        <w:t>The 2017 Regulatory Impact Statement predicted that establishing deemed to comply arrangements for timber legality frameworks would amount to an annual cost savings of 14% across all imports. The predicted annual cost savings from establishing deemed to comply arrangements for country specific guidelines and state specific guidelines was estimated at 8%. The predicted annual cost savings from establishing deemed to comply arrangements for low-risk countries was estimated to be between 6% to 11%.</w:t>
      </w:r>
    </w:p>
    <w:p w14:paraId="5A92D9AE" w14:textId="63F101B9" w:rsidR="000528AE" w:rsidRDefault="000528AE" w:rsidP="00CE1584">
      <w:pPr>
        <w:pStyle w:val="BoxHeading"/>
      </w:pPr>
      <w:r>
        <w:t xml:space="preserve">Question </w:t>
      </w:r>
      <w:r w:rsidR="00755C08">
        <w:t>13</w:t>
      </w:r>
    </w:p>
    <w:p w14:paraId="5092B618" w14:textId="2A56AF61" w:rsidR="00BA07B4" w:rsidRPr="003F59E1" w:rsidRDefault="00BA07B4" w:rsidP="00CE1584">
      <w:pPr>
        <w:pStyle w:val="BoxText"/>
      </w:pPr>
      <w:r w:rsidRPr="003F59E1">
        <w:t>Should the potential ‘deemed to comply’ arrangements be introduced and how should they operate?</w:t>
      </w:r>
    </w:p>
    <w:p w14:paraId="65C94388" w14:textId="77777777" w:rsidR="00BA07B4" w:rsidRPr="002B7A1B" w:rsidRDefault="00BA07B4" w:rsidP="00BA07B4">
      <w:pPr>
        <w:pStyle w:val="Heading3"/>
      </w:pPr>
      <w:bookmarkStart w:id="108" w:name="_Toc72149476"/>
      <w:bookmarkStart w:id="109" w:name="_Toc72397589"/>
      <w:bookmarkStart w:id="110" w:name="_Toc72328699"/>
      <w:bookmarkStart w:id="111" w:name="_Toc74753451"/>
      <w:r w:rsidRPr="002B7A1B">
        <w:t>Optimising the products regulated</w:t>
      </w:r>
      <w:bookmarkEnd w:id="108"/>
      <w:bookmarkEnd w:id="109"/>
      <w:bookmarkEnd w:id="110"/>
      <w:bookmarkEnd w:id="111"/>
    </w:p>
    <w:p w14:paraId="38183B1D" w14:textId="79E62884" w:rsidR="00BA07B4" w:rsidRPr="002672ED" w:rsidRDefault="00BA07B4" w:rsidP="00BA07B4">
      <w:pPr>
        <w:rPr>
          <w:rFonts w:eastAsia="Calibri" w:cs="Calibri"/>
        </w:rPr>
      </w:pPr>
      <w:r w:rsidRPr="002672ED">
        <w:rPr>
          <w:rFonts w:eastAsia="Calibri" w:cs="Calibri"/>
        </w:rPr>
        <w:t xml:space="preserve">There may be opportunities to optimise the regulated product’s scope. There are currently </w:t>
      </w:r>
      <w:r w:rsidR="00133328">
        <w:rPr>
          <w:rFonts w:eastAsia="Calibri" w:cs="Calibri"/>
        </w:rPr>
        <w:t xml:space="preserve">between </w:t>
      </w:r>
      <w:r w:rsidRPr="002672ED">
        <w:rPr>
          <w:rFonts w:eastAsia="Calibri" w:cs="Calibri"/>
        </w:rPr>
        <w:t>1</w:t>
      </w:r>
      <w:r w:rsidR="00133328">
        <w:rPr>
          <w:rFonts w:eastAsia="Calibri" w:cs="Calibri"/>
        </w:rPr>
        <w:t xml:space="preserve"> million and </w:t>
      </w:r>
      <w:r w:rsidRPr="002672ED">
        <w:rPr>
          <w:rFonts w:eastAsia="Calibri" w:cs="Calibri"/>
        </w:rPr>
        <w:t>2</w:t>
      </w:r>
      <w:r w:rsidR="00133328">
        <w:rPr>
          <w:rFonts w:eastAsia="Calibri" w:cs="Calibri"/>
        </w:rPr>
        <w:t> </w:t>
      </w:r>
      <w:r w:rsidRPr="002672ED">
        <w:rPr>
          <w:rFonts w:eastAsia="Calibri" w:cs="Calibri"/>
        </w:rPr>
        <w:t>million annual imports across 20,000 importers captured, as well as Australian-grown raw logs processed by the domestic industry.</w:t>
      </w:r>
    </w:p>
    <w:p w14:paraId="14A0928B" w14:textId="77777777" w:rsidR="00BA07B4" w:rsidRPr="002672ED" w:rsidRDefault="00BA07B4" w:rsidP="00BA07B4">
      <w:pPr>
        <w:rPr>
          <w:rFonts w:eastAsia="Calibri" w:cs="Calibri"/>
        </w:rPr>
      </w:pPr>
      <w:r w:rsidRPr="002672ED">
        <w:rPr>
          <w:rFonts w:eastAsia="Calibri" w:cs="Calibri"/>
        </w:rPr>
        <w:t>As an international leader</w:t>
      </w:r>
      <w:r w:rsidRPr="002672ED" w:rsidDel="00244BB7">
        <w:rPr>
          <w:rFonts w:eastAsia="Calibri" w:cs="Calibri"/>
        </w:rPr>
        <w:t xml:space="preserve"> </w:t>
      </w:r>
      <w:r w:rsidRPr="002672ED">
        <w:rPr>
          <w:rFonts w:eastAsia="Calibri" w:cs="Calibri"/>
        </w:rPr>
        <w:t>in implementing illegal logging laws, Australia will look to learn from the types of products</w:t>
      </w:r>
      <w:r w:rsidRPr="002672ED" w:rsidDel="00DC5B41">
        <w:rPr>
          <w:rFonts w:eastAsia="Calibri" w:cs="Calibri"/>
        </w:rPr>
        <w:t xml:space="preserve"> </w:t>
      </w:r>
      <w:r w:rsidRPr="002672ED">
        <w:rPr>
          <w:rFonts w:eastAsia="Calibri" w:cs="Calibri"/>
        </w:rPr>
        <w:t>other nations have moved to regulate since Australia’s laws were first introduced. Concurrently, the ability to deliver</w:t>
      </w:r>
      <w:r w:rsidRPr="002672ED" w:rsidDel="00DB444C">
        <w:rPr>
          <w:rFonts w:eastAsia="Calibri" w:cs="Calibri"/>
        </w:rPr>
        <w:t xml:space="preserve"> </w:t>
      </w:r>
      <w:r w:rsidRPr="002672ED">
        <w:rPr>
          <w:rFonts w:eastAsia="Calibri" w:cs="Calibri"/>
        </w:rPr>
        <w:t>effective monitoring and compliance activities across any expanded coverage of products will be carefully considered. There may be opportunities to offset increased product coverage with reduced regulation around lower risk products alongside other earlier discussed potential regulatory savings.</w:t>
      </w:r>
    </w:p>
    <w:p w14:paraId="334D75AB" w14:textId="2ED399DE" w:rsidR="00BA07B4" w:rsidRDefault="00C10544" w:rsidP="00BA07B4">
      <w:pPr>
        <w:pStyle w:val="Heading4"/>
        <w:rPr>
          <w:rFonts w:eastAsia="Calibri"/>
        </w:rPr>
      </w:pPr>
      <w:r>
        <w:rPr>
          <w:rFonts w:eastAsia="Calibri"/>
        </w:rPr>
        <w:lastRenderedPageBreak/>
        <w:t xml:space="preserve">Updating </w:t>
      </w:r>
      <w:r w:rsidR="00BA07B4">
        <w:rPr>
          <w:rFonts w:eastAsia="Calibri"/>
        </w:rPr>
        <w:t>the products regulated</w:t>
      </w:r>
    </w:p>
    <w:p w14:paraId="5DD5A7B7" w14:textId="66018959" w:rsidR="00BA07B4" w:rsidRPr="002672ED" w:rsidRDefault="00BA07B4" w:rsidP="00BA07B4">
      <w:pPr>
        <w:rPr>
          <w:rFonts w:eastAsia="Calibri" w:cs="Calibri"/>
        </w:rPr>
      </w:pPr>
      <w:r w:rsidRPr="002672ED">
        <w:rPr>
          <w:rFonts w:eastAsia="Calibri" w:cs="Calibri"/>
        </w:rPr>
        <w:t>Several</w:t>
      </w:r>
      <w:r w:rsidRPr="002672ED" w:rsidDel="000D72C9">
        <w:rPr>
          <w:rFonts w:eastAsia="Calibri" w:cs="Calibri"/>
        </w:rPr>
        <w:t xml:space="preserve"> </w:t>
      </w:r>
      <w:r w:rsidRPr="002672ED">
        <w:rPr>
          <w:rFonts w:eastAsia="Calibri" w:cs="Calibri"/>
        </w:rPr>
        <w:t xml:space="preserve">product types are not currently captured by </w:t>
      </w:r>
      <w:r w:rsidR="00BA02AB">
        <w:rPr>
          <w:rFonts w:eastAsia="Calibri" w:cs="Calibri"/>
        </w:rPr>
        <w:t>Australia’s</w:t>
      </w:r>
      <w:r w:rsidR="00BA02AB" w:rsidRPr="002672ED">
        <w:rPr>
          <w:rFonts w:eastAsia="Calibri" w:cs="Calibri"/>
        </w:rPr>
        <w:t xml:space="preserve"> </w:t>
      </w:r>
      <w:r w:rsidR="00BA02AB">
        <w:rPr>
          <w:rFonts w:eastAsia="Calibri" w:cs="Calibri"/>
        </w:rPr>
        <w:t>illegal logging laws</w:t>
      </w:r>
      <w:r w:rsidRPr="002672ED">
        <w:rPr>
          <w:rFonts w:eastAsia="Calibri" w:cs="Calibri"/>
        </w:rPr>
        <w:t>. One example is musical instruments, which are</w:t>
      </w:r>
      <w:r w:rsidRPr="002672ED" w:rsidDel="000D72C9">
        <w:rPr>
          <w:rFonts w:eastAsia="Calibri" w:cs="Calibri"/>
        </w:rPr>
        <w:t xml:space="preserve"> </w:t>
      </w:r>
      <w:r w:rsidRPr="002672ED">
        <w:rPr>
          <w:rFonts w:eastAsia="Calibri" w:cs="Calibri"/>
        </w:rPr>
        <w:t xml:space="preserve">sometimes manufactured from species at a high risk of illegal logging, including species listed under </w:t>
      </w:r>
      <w:r w:rsidR="006C4A75" w:rsidRPr="002672ED">
        <w:rPr>
          <w:rFonts w:eastAsia="Calibri" w:cs="Calibri"/>
        </w:rPr>
        <w:t>CITES.</w:t>
      </w:r>
      <w:r w:rsidR="00BA02AB">
        <w:rPr>
          <w:rFonts w:eastAsia="Calibri" w:cs="Calibri"/>
        </w:rPr>
        <w:t xml:space="preserve"> CITES listed products are already managed under existing at-border arrangements but their incl</w:t>
      </w:r>
      <w:r w:rsidR="00BD530E">
        <w:rPr>
          <w:rFonts w:eastAsia="Calibri" w:cs="Calibri"/>
        </w:rPr>
        <w:t>usion under the illegal logging laws would aid compliance and monitoring efforts.</w:t>
      </w:r>
      <w:r w:rsidRPr="002672ED">
        <w:rPr>
          <w:rFonts w:eastAsia="Calibri" w:cs="Calibri"/>
        </w:rPr>
        <w:t xml:space="preserve"> Another example of a high-risk product not currently regulated is charcoal. While these products’ inclusion will increase regulatory burden, the associated risks may warrant their inclusion.</w:t>
      </w:r>
    </w:p>
    <w:p w14:paraId="4952CAE8" w14:textId="17F09CDF" w:rsidR="00BE5AFE" w:rsidRDefault="00BA07B4" w:rsidP="00BA07B4">
      <w:pPr>
        <w:rPr>
          <w:rFonts w:eastAsia="Calibri" w:cs="Calibri"/>
        </w:rPr>
      </w:pPr>
      <w:r w:rsidRPr="002672ED">
        <w:rPr>
          <w:rFonts w:eastAsia="Calibri" w:cs="Calibri"/>
        </w:rPr>
        <w:t xml:space="preserve">Other nations are considering adding print media to their regulated imports. Under Australia’s laws, due diligence does not need to be performed on imports of print media goods but must be performed on logs intended to be processed and manufactured into print media products within Australia. This may create an uneven playing field for the domestic industry. The </w:t>
      </w:r>
      <w:r w:rsidRPr="002672ED" w:rsidDel="007B6ECA">
        <w:rPr>
          <w:rFonts w:eastAsia="Calibri" w:cs="Calibri"/>
        </w:rPr>
        <w:t xml:space="preserve">inclusion </w:t>
      </w:r>
      <w:r w:rsidRPr="002672ED">
        <w:rPr>
          <w:rFonts w:eastAsia="Calibri" w:cs="Calibri"/>
        </w:rPr>
        <w:t>of print media products would significantly increase the regulated community’s size and throughput</w:t>
      </w:r>
      <w:r w:rsidR="00DA074E">
        <w:rPr>
          <w:rFonts w:eastAsia="Calibri" w:cs="Calibri"/>
        </w:rPr>
        <w:t>.</w:t>
      </w:r>
      <w:r w:rsidR="0057133D">
        <w:rPr>
          <w:rFonts w:eastAsia="Calibri" w:cs="Calibri"/>
        </w:rPr>
        <w:t xml:space="preserve"> In </w:t>
      </w:r>
      <w:r w:rsidR="0057133D" w:rsidRPr="0065637E">
        <w:t>2019</w:t>
      </w:r>
      <w:r w:rsidR="0057133D" w:rsidRPr="0065637E">
        <w:rPr>
          <w:rFonts w:ascii="Calibri" w:eastAsia="Calibri" w:hAnsi="Calibri" w:cs="Calibri"/>
        </w:rPr>
        <w:t>–</w:t>
      </w:r>
      <w:r w:rsidR="0057133D" w:rsidRPr="0065637E">
        <w:t>2020</w:t>
      </w:r>
      <w:r w:rsidR="0000031E">
        <w:t>,</w:t>
      </w:r>
      <w:r w:rsidR="003A2FE4">
        <w:t xml:space="preserve"> </w:t>
      </w:r>
      <w:r w:rsidR="00C128CD">
        <w:t xml:space="preserve">by value </w:t>
      </w:r>
      <w:r w:rsidR="00931431">
        <w:t>about 10%</w:t>
      </w:r>
      <w:r w:rsidR="00A81CAB">
        <w:t xml:space="preserve"> of all </w:t>
      </w:r>
      <w:r w:rsidR="00F45CEF">
        <w:t>timber products imported to Australia were printed articles</w:t>
      </w:r>
      <w:r w:rsidR="007C70C6">
        <w:t xml:space="preserve"> </w:t>
      </w:r>
      <w:r w:rsidR="00CD4834">
        <w:t>(</w:t>
      </w:r>
      <w:r w:rsidR="006570AB">
        <w:t>$899 million).</w:t>
      </w:r>
      <w:r w:rsidR="00DA074E">
        <w:rPr>
          <w:rFonts w:eastAsia="Calibri" w:cs="Calibri"/>
        </w:rPr>
        <w:t xml:space="preserve"> </w:t>
      </w:r>
      <w:r w:rsidR="002407CA">
        <w:rPr>
          <w:rFonts w:eastAsia="Calibri" w:cs="Calibri"/>
        </w:rPr>
        <w:t xml:space="preserve">This </w:t>
      </w:r>
      <w:r w:rsidR="00E43734">
        <w:rPr>
          <w:rFonts w:eastAsia="Calibri" w:cs="Calibri"/>
        </w:rPr>
        <w:t>would</w:t>
      </w:r>
      <w:r w:rsidR="002407CA">
        <w:rPr>
          <w:rFonts w:eastAsia="Calibri" w:cs="Calibri"/>
        </w:rPr>
        <w:t xml:space="preserve"> increase the regulatory </w:t>
      </w:r>
      <w:proofErr w:type="gramStart"/>
      <w:r w:rsidR="002407CA">
        <w:rPr>
          <w:rFonts w:eastAsia="Calibri" w:cs="Calibri"/>
        </w:rPr>
        <w:t>burden,</w:t>
      </w:r>
      <w:proofErr w:type="gramEnd"/>
      <w:r w:rsidR="002407CA">
        <w:rPr>
          <w:rFonts w:eastAsia="Calibri" w:cs="Calibri"/>
        </w:rPr>
        <w:t xml:space="preserve"> however, it </w:t>
      </w:r>
      <w:r w:rsidR="0066505A">
        <w:rPr>
          <w:rFonts w:eastAsia="Calibri" w:cs="Calibri"/>
        </w:rPr>
        <w:t>could</w:t>
      </w:r>
      <w:r w:rsidR="002407CA">
        <w:rPr>
          <w:rFonts w:eastAsia="Calibri" w:cs="Calibri"/>
        </w:rPr>
        <w:t xml:space="preserve"> assist in achieving compliance and benefit the domestic print media industry. </w:t>
      </w:r>
    </w:p>
    <w:p w14:paraId="477880F9" w14:textId="67924A75" w:rsidR="002672ED" w:rsidRPr="00973A1C" w:rsidRDefault="00BA07B4" w:rsidP="00CE1584">
      <w:r w:rsidRPr="002672ED">
        <w:rPr>
          <w:rFonts w:eastAsia="Calibri" w:cs="Calibri"/>
        </w:rPr>
        <w:t>Due consideration will need to be given to these arrangements to ensure the illegal logging framework remains fit-for-purpose in its product scope. This is important to meet both domestic and international expectations, while ensuring a balance is struck with respect to regulatory burden and delivering a fair market environment.</w:t>
      </w:r>
    </w:p>
    <w:p w14:paraId="2D91C204" w14:textId="04BEC77F" w:rsidR="000528AE" w:rsidRDefault="000528AE" w:rsidP="00CE1584">
      <w:pPr>
        <w:pStyle w:val="BoxHeading"/>
      </w:pPr>
      <w:r>
        <w:t xml:space="preserve">Question </w:t>
      </w:r>
      <w:r w:rsidR="00755C08">
        <w:t>14</w:t>
      </w:r>
    </w:p>
    <w:p w14:paraId="00F5102E" w14:textId="4EB5BFF4" w:rsidR="00BA07B4" w:rsidRPr="00A365C5" w:rsidRDefault="00C10544" w:rsidP="00CE1584">
      <w:pPr>
        <w:pStyle w:val="BoxText"/>
      </w:pPr>
      <w:r>
        <w:t>Do you support changing the scope of regulated products to add or remove any of the discussed products or other products?</w:t>
      </w:r>
    </w:p>
    <w:p w14:paraId="1ECE266E" w14:textId="77777777" w:rsidR="00BA07B4" w:rsidRDefault="00BA07B4" w:rsidP="00BA07B4">
      <w:pPr>
        <w:pStyle w:val="Heading4"/>
        <w:rPr>
          <w:rFonts w:eastAsia="Calibri"/>
        </w:rPr>
      </w:pPr>
      <w:bookmarkStart w:id="112" w:name="_Hlk73961465"/>
      <w:r>
        <w:rPr>
          <w:rFonts w:eastAsia="Calibri"/>
        </w:rPr>
        <w:t>Broadening exemptions and reducing burden for low-risk products</w:t>
      </w:r>
    </w:p>
    <w:bookmarkEnd w:id="112"/>
    <w:p w14:paraId="2694B25B" w14:textId="4254053D" w:rsidR="00BA07B4" w:rsidRPr="002672ED" w:rsidRDefault="00BA07B4" w:rsidP="00BA07B4">
      <w:pPr>
        <w:rPr>
          <w:rFonts w:eastAsia="Calibri" w:cs="Calibri"/>
        </w:rPr>
      </w:pPr>
      <w:r w:rsidRPr="002672ED">
        <w:rPr>
          <w:rFonts w:eastAsia="Calibri" w:cs="Calibri"/>
        </w:rPr>
        <w:t xml:space="preserve">Under the United States’ Lacey Act, any product with less than 5% wood content is exempt from their illegal logging regulatory framework. This is referred to as the </w:t>
      </w:r>
      <w:r w:rsidRPr="002672ED">
        <w:rPr>
          <w:rFonts w:eastAsia="Calibri" w:cs="Calibri"/>
          <w:i/>
        </w:rPr>
        <w:t>de minimis</w:t>
      </w:r>
      <w:r w:rsidRPr="002672ED">
        <w:rPr>
          <w:rFonts w:eastAsia="Calibri" w:cs="Calibri"/>
        </w:rPr>
        <w:t xml:space="preserve"> exe</w:t>
      </w:r>
      <w:r w:rsidR="002E3F86">
        <w:rPr>
          <w:rFonts w:eastAsia="Calibri" w:cs="Calibri"/>
        </w:rPr>
        <w:t>m</w:t>
      </w:r>
      <w:r w:rsidRPr="002672ED">
        <w:rPr>
          <w:rFonts w:eastAsia="Calibri" w:cs="Calibri"/>
        </w:rPr>
        <w:t>ption and is estimated to have reduced the products captured by 10</w:t>
      </w:r>
      <w:r w:rsidR="00133328">
        <w:rPr>
          <w:rFonts w:eastAsia="Calibri" w:cs="Calibri"/>
        </w:rPr>
        <w:t xml:space="preserve">% to </w:t>
      </w:r>
      <w:r w:rsidRPr="002672ED">
        <w:rPr>
          <w:rFonts w:eastAsia="Calibri" w:cs="Calibri"/>
        </w:rPr>
        <w:t>20%. A similar exemption could be introduced to Australia’s framework. It is anticipated the number of products exempted would be far lower in Australia though, due to Australia’s smaller scope of regulated product.</w:t>
      </w:r>
    </w:p>
    <w:p w14:paraId="318B1C7C" w14:textId="6841E0A5" w:rsidR="00BA07B4" w:rsidRPr="002672ED" w:rsidRDefault="00BA07B4" w:rsidP="00BA07B4">
      <w:pPr>
        <w:rPr>
          <w:rFonts w:eastAsia="Calibri" w:cs="Calibri"/>
        </w:rPr>
      </w:pPr>
      <w:r w:rsidRPr="002672ED">
        <w:rPr>
          <w:rFonts w:eastAsia="Calibri" w:cs="Calibri"/>
        </w:rPr>
        <w:t>The Regulation currently provides a value-based due diligence exemption for consignments under $1</w:t>
      </w:r>
      <w:r w:rsidR="00FF05F7">
        <w:rPr>
          <w:rFonts w:eastAsia="Calibri" w:cs="Calibri"/>
        </w:rPr>
        <w:t>,</w:t>
      </w:r>
      <w:r w:rsidRPr="002672ED">
        <w:rPr>
          <w:rFonts w:eastAsia="Calibri" w:cs="Calibri"/>
        </w:rPr>
        <w:t>000. Raising this exemption from $1</w:t>
      </w:r>
      <w:r w:rsidR="00FF05F7">
        <w:rPr>
          <w:rFonts w:eastAsia="Calibri" w:cs="Calibri"/>
        </w:rPr>
        <w:t>,</w:t>
      </w:r>
      <w:r w:rsidRPr="002672ED">
        <w:rPr>
          <w:rFonts w:eastAsia="Calibri" w:cs="Calibri"/>
        </w:rPr>
        <w:t>000 to $5</w:t>
      </w:r>
      <w:r w:rsidR="00FF05F7">
        <w:rPr>
          <w:rFonts w:eastAsia="Calibri" w:cs="Calibri"/>
        </w:rPr>
        <w:t>,</w:t>
      </w:r>
      <w:r w:rsidRPr="002672ED">
        <w:rPr>
          <w:rFonts w:eastAsia="Calibri" w:cs="Calibri"/>
        </w:rPr>
        <w:t>000 for example, would reduce the imports subject to due diligence requirements by around 85,000 product lines (6%) annually and the regulatory burden by $4.2 million (11%) annually.</w:t>
      </w:r>
      <w:r w:rsidR="002E3F86">
        <w:rPr>
          <w:rFonts w:eastAsia="Calibri" w:cs="Calibri"/>
        </w:rPr>
        <w:t xml:space="preserve"> I</w:t>
      </w:r>
      <w:r w:rsidRPr="002672ED">
        <w:rPr>
          <w:rFonts w:eastAsia="Calibri" w:cs="Calibri"/>
        </w:rPr>
        <w:t>f the exemption was raised to $10,000, the imports subject to due diligence requirements would reduce by around 163,000 product lines (12%) annually. The regulatory burden would also reduce by $6.7</w:t>
      </w:r>
      <w:r w:rsidR="00FF05F7">
        <w:rPr>
          <w:rFonts w:eastAsia="Calibri" w:cs="Calibri"/>
        </w:rPr>
        <w:t> </w:t>
      </w:r>
      <w:r w:rsidRPr="002672ED">
        <w:rPr>
          <w:rFonts w:eastAsia="Calibri" w:cs="Calibri"/>
        </w:rPr>
        <w:t>million (18%) annually.</w:t>
      </w:r>
    </w:p>
    <w:p w14:paraId="7F2E1DDB" w14:textId="2C59D332" w:rsidR="00BE5AFE" w:rsidRDefault="00BA07B4" w:rsidP="00BA07B4">
      <w:pPr>
        <w:rPr>
          <w:rFonts w:eastAsia="Calibri" w:cs="Calibri"/>
        </w:rPr>
      </w:pPr>
      <w:r w:rsidRPr="002672ED">
        <w:rPr>
          <w:rFonts w:eastAsia="Calibri" w:cs="Calibri"/>
        </w:rPr>
        <w:t>Raising the exemption threshold would create a disconnect between the import</w:t>
      </w:r>
      <w:r w:rsidRPr="002672ED" w:rsidDel="00887507">
        <w:rPr>
          <w:rFonts w:eastAsia="Calibri" w:cs="Calibri"/>
        </w:rPr>
        <w:t xml:space="preserve"> </w:t>
      </w:r>
      <w:r w:rsidRPr="002672ED">
        <w:rPr>
          <w:rFonts w:eastAsia="Calibri" w:cs="Calibri"/>
        </w:rPr>
        <w:t xml:space="preserve">declarations, set at $1000, that would need to be addressed. While low-value imports do not necessarily correlate to low-risk, </w:t>
      </w:r>
      <w:bookmarkStart w:id="113" w:name="_Hlk74150711"/>
      <w:r w:rsidRPr="002672ED">
        <w:rPr>
          <w:rFonts w:eastAsia="Calibri" w:cs="Calibri"/>
        </w:rPr>
        <w:t xml:space="preserve">this exemption has the benefit of reducing </w:t>
      </w:r>
      <w:r w:rsidR="00BE5AFE">
        <w:rPr>
          <w:rFonts w:eastAsia="Calibri" w:cs="Calibri"/>
        </w:rPr>
        <w:t xml:space="preserve">the </w:t>
      </w:r>
      <w:r w:rsidRPr="002672ED">
        <w:rPr>
          <w:rFonts w:eastAsia="Calibri" w:cs="Calibri"/>
        </w:rPr>
        <w:t xml:space="preserve">regulatory </w:t>
      </w:r>
      <w:r w:rsidR="00BE5AFE">
        <w:rPr>
          <w:rFonts w:eastAsia="Calibri" w:cs="Calibri"/>
        </w:rPr>
        <w:t xml:space="preserve">community’s size, which </w:t>
      </w:r>
      <w:r w:rsidR="002A001B">
        <w:rPr>
          <w:rFonts w:eastAsia="Calibri" w:cs="Calibri"/>
        </w:rPr>
        <w:t>assist in</w:t>
      </w:r>
      <w:r w:rsidR="00BE5AFE">
        <w:rPr>
          <w:rFonts w:eastAsia="Calibri" w:cs="Calibri"/>
        </w:rPr>
        <w:t xml:space="preserve"> </w:t>
      </w:r>
      <w:r w:rsidRPr="002672ED">
        <w:rPr>
          <w:rFonts w:eastAsia="Calibri" w:cs="Calibri"/>
        </w:rPr>
        <w:t>compliance and monitoring efforts</w:t>
      </w:r>
      <w:bookmarkEnd w:id="113"/>
      <w:r w:rsidRPr="002672ED">
        <w:rPr>
          <w:rFonts w:eastAsia="Calibri" w:cs="Calibri"/>
        </w:rPr>
        <w:t xml:space="preserve">. </w:t>
      </w:r>
    </w:p>
    <w:p w14:paraId="40D08934" w14:textId="320B865B" w:rsidR="00BA07B4" w:rsidRPr="002672ED" w:rsidRDefault="00BA07B4" w:rsidP="00BA07B4">
      <w:pPr>
        <w:rPr>
          <w:rFonts w:eastAsia="Calibri" w:cs="Calibri"/>
        </w:rPr>
      </w:pPr>
      <w:r w:rsidRPr="002672ED">
        <w:rPr>
          <w:rFonts w:eastAsia="Calibri" w:cs="Calibri"/>
        </w:rPr>
        <w:lastRenderedPageBreak/>
        <w:t xml:space="preserve">Improved focus on compliance and monitoring efforts has the potential to improve integrity of the illegal logging </w:t>
      </w:r>
      <w:r w:rsidR="00C17727">
        <w:rPr>
          <w:rFonts w:eastAsia="Calibri" w:cs="Calibri"/>
        </w:rPr>
        <w:t>l</w:t>
      </w:r>
      <w:r w:rsidR="00116DC4">
        <w:rPr>
          <w:rFonts w:eastAsia="Calibri" w:cs="Calibri"/>
        </w:rPr>
        <w:t xml:space="preserve">aws </w:t>
      </w:r>
      <w:r w:rsidRPr="002672ED">
        <w:rPr>
          <w:rFonts w:eastAsia="Calibri" w:cs="Calibri"/>
        </w:rPr>
        <w:t>and deliver improved outcomes in support of its overarching objectives.</w:t>
      </w:r>
    </w:p>
    <w:p w14:paraId="1B2C66A9" w14:textId="1F9CFC1A" w:rsidR="00BA07B4" w:rsidRDefault="00BA07B4" w:rsidP="00BA07B4">
      <w:pPr>
        <w:rPr>
          <w:rFonts w:eastAsia="Calibri" w:cs="Calibri"/>
        </w:rPr>
      </w:pPr>
      <w:r w:rsidRPr="002672ED">
        <w:rPr>
          <w:rFonts w:eastAsia="Calibri" w:cs="Calibri"/>
        </w:rPr>
        <w:t>There are currently no exemptions for importation of goods for personal use, usually classified by private use (food import</w:t>
      </w:r>
      <w:r w:rsidR="00B36B2E">
        <w:rPr>
          <w:rFonts w:eastAsia="Calibri" w:cs="Calibri"/>
        </w:rPr>
        <w:t>s</w:t>
      </w:r>
      <w:r w:rsidRPr="002672ED">
        <w:rPr>
          <w:rFonts w:eastAsia="Calibri" w:cs="Calibri"/>
        </w:rPr>
        <w:t>) and the requirement to not sell or supply goods to any other person (therapeutic goods import</w:t>
      </w:r>
      <w:r w:rsidR="00B36B2E">
        <w:rPr>
          <w:rFonts w:eastAsia="Calibri" w:cs="Calibri"/>
        </w:rPr>
        <w:t>s</w:t>
      </w:r>
      <w:r w:rsidRPr="002672ED">
        <w:rPr>
          <w:rFonts w:eastAsia="Calibri" w:cs="Calibri"/>
        </w:rPr>
        <w:t>). Personal use is accompanied by an import limit. These are most likely to be low volume and low frequency importers</w:t>
      </w:r>
      <w:r w:rsidR="002E3F86">
        <w:rPr>
          <w:rFonts w:eastAsia="Calibri" w:cs="Calibri"/>
        </w:rPr>
        <w:t xml:space="preserve"> that are</w:t>
      </w:r>
      <w:r w:rsidRPr="002672ED">
        <w:rPr>
          <w:rFonts w:eastAsia="Calibri" w:cs="Calibri"/>
        </w:rPr>
        <w:t xml:space="preserve"> less capable of undertaking due diligence processes. For example, there is an opportunity to raise the value </w:t>
      </w:r>
      <w:r w:rsidR="002E3F86">
        <w:rPr>
          <w:rFonts w:eastAsia="Calibri" w:cs="Calibri"/>
        </w:rPr>
        <w:t>exemption</w:t>
      </w:r>
      <w:r w:rsidR="002E3F86" w:rsidRPr="002672ED">
        <w:rPr>
          <w:rFonts w:eastAsia="Calibri" w:cs="Calibri"/>
        </w:rPr>
        <w:t xml:space="preserve"> </w:t>
      </w:r>
      <w:r w:rsidRPr="002672ED">
        <w:rPr>
          <w:rFonts w:eastAsia="Calibri" w:cs="Calibri"/>
        </w:rPr>
        <w:t xml:space="preserve">from $1000 to $5000 for personal use imports. Additionally, there is the option to raise the </w:t>
      </w:r>
      <w:r w:rsidR="002E3F86">
        <w:rPr>
          <w:rFonts w:eastAsia="Calibri" w:cs="Calibri"/>
        </w:rPr>
        <w:t>exemption</w:t>
      </w:r>
      <w:r w:rsidR="002E3F86" w:rsidRPr="002672ED">
        <w:rPr>
          <w:rFonts w:eastAsia="Calibri" w:cs="Calibri"/>
        </w:rPr>
        <w:t xml:space="preserve"> </w:t>
      </w:r>
      <w:r w:rsidRPr="002672ED">
        <w:rPr>
          <w:rFonts w:eastAsia="Calibri" w:cs="Calibri"/>
        </w:rPr>
        <w:t>to $5000 for commercial entities and $10,000 for personal use.</w:t>
      </w:r>
    </w:p>
    <w:p w14:paraId="23C1521A" w14:textId="3BD3CF3A" w:rsidR="00BE5AFE" w:rsidRPr="002672ED" w:rsidRDefault="00BE5AFE" w:rsidP="00BA07B4">
      <w:pPr>
        <w:rPr>
          <w:rFonts w:eastAsia="Calibri" w:cs="Calibri"/>
        </w:rPr>
      </w:pPr>
      <w:r>
        <w:rPr>
          <w:rFonts w:eastAsia="Calibri" w:cs="Calibri"/>
        </w:rPr>
        <w:t>Increasing exemption thresholds will require changes to the customs declaration</w:t>
      </w:r>
      <w:r w:rsidR="00F04F4D">
        <w:rPr>
          <w:rFonts w:eastAsia="Calibri" w:cs="Calibri"/>
        </w:rPr>
        <w:t xml:space="preserve">. </w:t>
      </w:r>
      <w:r w:rsidR="004E5691">
        <w:rPr>
          <w:rFonts w:eastAsia="Calibri" w:cs="Calibri"/>
        </w:rPr>
        <w:t>All legal g</w:t>
      </w:r>
      <w:r w:rsidR="00F04F4D" w:rsidRPr="00F04F4D">
        <w:rPr>
          <w:rFonts w:eastAsia="Calibri" w:cs="Calibri"/>
        </w:rPr>
        <w:t>oods other than alcohol and tobacco</w:t>
      </w:r>
      <w:r w:rsidR="00F04F4D">
        <w:rPr>
          <w:rFonts w:eastAsia="Calibri" w:cs="Calibri"/>
        </w:rPr>
        <w:t xml:space="preserve"> p</w:t>
      </w:r>
      <w:r w:rsidR="00F04F4D" w:rsidRPr="00F04F4D">
        <w:rPr>
          <w:rFonts w:eastAsia="Calibri" w:cs="Calibri"/>
        </w:rPr>
        <w:t xml:space="preserve">roducts, valued at or below $1000 </w:t>
      </w:r>
      <w:r w:rsidR="00F04F4D">
        <w:rPr>
          <w:rFonts w:eastAsia="Calibri" w:cs="Calibri"/>
        </w:rPr>
        <w:t>can be</w:t>
      </w:r>
      <w:r w:rsidR="00F04F4D" w:rsidRPr="00F04F4D">
        <w:rPr>
          <w:rFonts w:eastAsia="Calibri" w:cs="Calibri"/>
        </w:rPr>
        <w:t xml:space="preserve"> imported </w:t>
      </w:r>
      <w:r w:rsidR="00F04F4D">
        <w:rPr>
          <w:rFonts w:eastAsia="Calibri" w:cs="Calibri"/>
        </w:rPr>
        <w:t xml:space="preserve">without submitting a </w:t>
      </w:r>
      <w:r w:rsidR="00F04F4D" w:rsidRPr="00F04F4D">
        <w:rPr>
          <w:rFonts w:eastAsia="Calibri" w:cs="Calibri"/>
        </w:rPr>
        <w:t>customs d</w:t>
      </w:r>
      <w:r w:rsidR="00F04F4D">
        <w:rPr>
          <w:rFonts w:eastAsia="Calibri" w:cs="Calibri"/>
        </w:rPr>
        <w:t>eclaration</w:t>
      </w:r>
      <w:r w:rsidR="00F04F4D" w:rsidRPr="00F04F4D">
        <w:rPr>
          <w:rFonts w:eastAsia="Calibri" w:cs="Calibri"/>
        </w:rPr>
        <w:t>.</w:t>
      </w:r>
      <w:r w:rsidR="00A227BE">
        <w:rPr>
          <w:rFonts w:eastAsia="Calibri" w:cs="Calibri"/>
        </w:rPr>
        <w:t xml:space="preserve"> Having a different threshold for goods regulated under the illegal logging laws</w:t>
      </w:r>
      <w:r w:rsidR="00A227BE" w:rsidRPr="00A227BE">
        <w:rPr>
          <w:rFonts w:eastAsia="Calibri" w:cs="Calibri"/>
        </w:rPr>
        <w:t xml:space="preserve"> </w:t>
      </w:r>
      <w:r w:rsidR="00A227BE">
        <w:rPr>
          <w:rFonts w:eastAsia="Calibri" w:cs="Calibri"/>
        </w:rPr>
        <w:t>will therefore add regulatory burden for brokers and other individuals submitting information through the customs system.</w:t>
      </w:r>
    </w:p>
    <w:p w14:paraId="32C50B6E" w14:textId="1EA8041B" w:rsidR="000364DA" w:rsidRPr="007C6F26" w:rsidRDefault="00BA07B4" w:rsidP="00CE1584">
      <w:r w:rsidRPr="002672ED">
        <w:rPr>
          <w:rFonts w:eastAsia="Calibri" w:cs="Calibri"/>
        </w:rPr>
        <w:t xml:space="preserve">Any regulated product type under 100 years old is currently captured by the framework and importers must meet due diligence requirements for them. There may be scope to reduce this to a more reasonable historical limit for which due diligence is possible to complete. It is not known how much this would reduce the regulatory scope as information about product age within trade flows is not available. </w:t>
      </w:r>
      <w:r w:rsidR="00B03BAD">
        <w:rPr>
          <w:rFonts w:eastAsia="Calibri" w:cs="Calibri"/>
        </w:rPr>
        <w:t>T</w:t>
      </w:r>
      <w:r w:rsidRPr="002672ED">
        <w:rPr>
          <w:rFonts w:eastAsia="Calibri" w:cs="Calibri"/>
        </w:rPr>
        <w:t>he bulk of imports</w:t>
      </w:r>
      <w:r w:rsidR="004E604D">
        <w:rPr>
          <w:rFonts w:eastAsia="Calibri" w:cs="Calibri"/>
        </w:rPr>
        <w:t xml:space="preserve"> are</w:t>
      </w:r>
      <w:r w:rsidRPr="002672ED">
        <w:rPr>
          <w:rFonts w:eastAsia="Calibri" w:cs="Calibri"/>
        </w:rPr>
        <w:t xml:space="preserve"> </w:t>
      </w:r>
      <w:r w:rsidR="00B51160">
        <w:rPr>
          <w:rFonts w:eastAsia="Calibri" w:cs="Calibri"/>
        </w:rPr>
        <w:t>presumed</w:t>
      </w:r>
      <w:r w:rsidR="00B51160" w:rsidRPr="002672ED">
        <w:rPr>
          <w:rFonts w:eastAsia="Calibri" w:cs="Calibri"/>
        </w:rPr>
        <w:t xml:space="preserve"> </w:t>
      </w:r>
      <w:r w:rsidRPr="002672ED">
        <w:rPr>
          <w:rFonts w:eastAsia="Calibri" w:cs="Calibri"/>
        </w:rPr>
        <w:t>to be recently harvested and manufactured goods</w:t>
      </w:r>
      <w:r w:rsidR="00B03BAD">
        <w:rPr>
          <w:rFonts w:eastAsia="Calibri" w:cs="Calibri"/>
        </w:rPr>
        <w:t>, so the reduction is scope would</w:t>
      </w:r>
      <w:r w:rsidR="00A7605C">
        <w:rPr>
          <w:rFonts w:eastAsia="Calibri" w:cs="Calibri"/>
        </w:rPr>
        <w:t xml:space="preserve"> likely</w:t>
      </w:r>
      <w:r w:rsidR="00B03BAD">
        <w:rPr>
          <w:rFonts w:eastAsia="Calibri" w:cs="Calibri"/>
        </w:rPr>
        <w:t xml:space="preserve"> be small</w:t>
      </w:r>
      <w:r w:rsidRPr="002672ED">
        <w:rPr>
          <w:rFonts w:eastAsia="Calibri" w:cs="Calibri"/>
        </w:rPr>
        <w:t>.</w:t>
      </w:r>
    </w:p>
    <w:p w14:paraId="218F242A" w14:textId="25F7F442" w:rsidR="000528AE" w:rsidRDefault="000528AE" w:rsidP="00CE1584">
      <w:pPr>
        <w:pStyle w:val="BoxHeading"/>
      </w:pPr>
      <w:r>
        <w:t xml:space="preserve">Question </w:t>
      </w:r>
      <w:r w:rsidR="00755C08">
        <w:t>15</w:t>
      </w:r>
    </w:p>
    <w:p w14:paraId="2D8B469C" w14:textId="7C609DB5" w:rsidR="005E2A38" w:rsidRDefault="005E2A38" w:rsidP="00CE1584">
      <w:pPr>
        <w:pStyle w:val="BoxText"/>
      </w:pPr>
      <w:r>
        <w:t>Do you support adding any of the product exemptions discussed?</w:t>
      </w:r>
    </w:p>
    <w:p w14:paraId="4BA0AD04" w14:textId="34624665" w:rsidR="000528AE" w:rsidRDefault="000528AE" w:rsidP="00CE1584">
      <w:pPr>
        <w:pStyle w:val="BoxHeading"/>
      </w:pPr>
      <w:r>
        <w:t xml:space="preserve">Question </w:t>
      </w:r>
      <w:r w:rsidR="00755C08">
        <w:t>16</w:t>
      </w:r>
    </w:p>
    <w:p w14:paraId="728D8BF0" w14:textId="3CDED510" w:rsidR="00BA07B4" w:rsidRPr="002672ED" w:rsidRDefault="005E2A38" w:rsidP="00CE1584">
      <w:pPr>
        <w:pStyle w:val="BoxText"/>
      </w:pPr>
      <w:r>
        <w:t>Do you have any suggestions for reducing requirements around lower-risk products without comprising the effectiveness of the laws?</w:t>
      </w:r>
    </w:p>
    <w:p w14:paraId="15E571F4" w14:textId="77777777" w:rsidR="00BA07B4" w:rsidRDefault="00BA07B4" w:rsidP="00BA07B4">
      <w:pPr>
        <w:pStyle w:val="Heading3"/>
      </w:pPr>
      <w:bookmarkStart w:id="114" w:name="_Toc72149477"/>
      <w:bookmarkStart w:id="115" w:name="_Toc72397590"/>
      <w:bookmarkStart w:id="116" w:name="_Toc72328700"/>
      <w:bookmarkStart w:id="117" w:name="_Toc74753452"/>
      <w:r>
        <w:t>Additional operational improvements</w:t>
      </w:r>
      <w:bookmarkEnd w:id="114"/>
      <w:bookmarkEnd w:id="115"/>
      <w:bookmarkEnd w:id="116"/>
      <w:bookmarkEnd w:id="117"/>
    </w:p>
    <w:p w14:paraId="63CD0365" w14:textId="77777777" w:rsidR="00BA07B4" w:rsidRDefault="00BA07B4" w:rsidP="00BA07B4">
      <w:pPr>
        <w:pStyle w:val="Heading4"/>
      </w:pPr>
      <w:r>
        <w:t>Clarifying when processing occurs</w:t>
      </w:r>
    </w:p>
    <w:p w14:paraId="496AE145" w14:textId="77777777" w:rsidR="00BA07B4" w:rsidRDefault="00BA07B4" w:rsidP="00BA07B4">
      <w:r>
        <w:t>Under section 15 of the Act, it is an offence to ‘process’ a ‘raw log’ that has been illegally harvested. There are no definitions of ‘processing’, ‘raw log’ and ‘timber’ within the Act. Timber processors are also required to undertake the due diligence requirements ahead of processing raw logs.</w:t>
      </w:r>
    </w:p>
    <w:p w14:paraId="2450FA32" w14:textId="77777777" w:rsidR="00BA07B4" w:rsidRPr="006A75A8" w:rsidRDefault="00BA07B4" w:rsidP="00BA07B4">
      <w:r w:rsidRPr="005A2B15">
        <w:t xml:space="preserve">Further clarity within the legislation of when processing occurs would benefit the regulated community and administrators. This is due to the breadth of activities that could be considered as processing. Examples include from immediately stripping the branches of a harvested tree onsite to processing at a sawmill. </w:t>
      </w:r>
      <w:r>
        <w:t>Adding a definition of ‘raw log’ may also help clarify when processing is taken to occur.</w:t>
      </w:r>
    </w:p>
    <w:p w14:paraId="77EF9B69" w14:textId="345A881E" w:rsidR="002672ED" w:rsidRDefault="002A001B" w:rsidP="00CE1584">
      <w:r>
        <w:t>W</w:t>
      </w:r>
      <w:r w:rsidR="00BA07B4" w:rsidRPr="008206A7">
        <w:t xml:space="preserve">here processing occurs onsite, the harvester and processer may be the same entity.  The current framework effectively requires processors to perform a risk assessment process on their own legal compliance. </w:t>
      </w:r>
      <w:r w:rsidR="007D087E">
        <w:t>While this reinforces the importance of good records management, p</w:t>
      </w:r>
      <w:r w:rsidR="00BA07B4">
        <w:t>rovisions could be added to the framework to clarify obligations in such circumstances.</w:t>
      </w:r>
    </w:p>
    <w:p w14:paraId="5F3F9E9A" w14:textId="39334FEE" w:rsidR="000528AE" w:rsidRDefault="000528AE" w:rsidP="00CE1584">
      <w:pPr>
        <w:pStyle w:val="BoxHeading"/>
      </w:pPr>
      <w:r>
        <w:lastRenderedPageBreak/>
        <w:t xml:space="preserve">Question </w:t>
      </w:r>
      <w:r w:rsidR="00755C08">
        <w:t>17</w:t>
      </w:r>
    </w:p>
    <w:p w14:paraId="46377619" w14:textId="78C957F1" w:rsidR="00BA07B4" w:rsidRPr="00F5567C" w:rsidRDefault="00E04A6E" w:rsidP="00CE1584">
      <w:pPr>
        <w:pStyle w:val="BoxText"/>
      </w:pPr>
      <w:r>
        <w:t>What further terms need to be defined under the laws? Should the term ‘processing’ be defined?</w:t>
      </w:r>
    </w:p>
    <w:p w14:paraId="0D4386CB" w14:textId="77777777" w:rsidR="00BA07B4" w:rsidRPr="00802072" w:rsidRDefault="00BA07B4" w:rsidP="00BA07B4">
      <w:pPr>
        <w:pStyle w:val="Heading4"/>
      </w:pPr>
      <w:bookmarkStart w:id="118" w:name="_Hlk73962614"/>
      <w:r>
        <w:t>Addressing further issues of illegality in the supply chain</w:t>
      </w:r>
    </w:p>
    <w:bookmarkEnd w:id="118"/>
    <w:p w14:paraId="7D1E87E4" w14:textId="59CAC392" w:rsidR="00BA07B4" w:rsidRDefault="00BA07B4" w:rsidP="00BA07B4">
      <w:r>
        <w:t>At present, both the import and processing prohibitions, and due diligence requirements focus on whether a timber product or log was legally harvested. Along the timber supply chain there are other points where laws of another nation may be breached that also have environmental, social and economic consequences.</w:t>
      </w:r>
    </w:p>
    <w:p w14:paraId="01AF05C6" w14:textId="7584F527" w:rsidR="000B2DE8" w:rsidRDefault="000B2DE8" w:rsidP="000B2DE8">
      <w:r>
        <w:t>Several nations have implemented log exports bans. Export bans many be implemented for various reasons, including to help protect certain tree species against illegal harvesting or overharvesting. Illegally exported logs also often indicate other legality risks associated with the greater supply chain.</w:t>
      </w:r>
    </w:p>
    <w:p w14:paraId="72063C34" w14:textId="1DE0B398" w:rsidR="00462852" w:rsidRDefault="00BA07B4" w:rsidP="00BA07B4">
      <w:r>
        <w:t>Due to the focus o</w:t>
      </w:r>
      <w:r w:rsidR="00A227BE">
        <w:t>n</w:t>
      </w:r>
      <w:r>
        <w:t xml:space="preserve"> illegal harvesting, the current Act and Regulation are not positioned to ensure products exported from other countries in contravention of such bans are prohibited from </w:t>
      </w:r>
      <w:r w:rsidR="00AC7BAA">
        <w:t>importation to Australia</w:t>
      </w:r>
      <w:r>
        <w:t>.</w:t>
      </w:r>
    </w:p>
    <w:p w14:paraId="59146FE4" w14:textId="732A0C49" w:rsidR="00BE141F" w:rsidRDefault="0081267F" w:rsidP="00CE1584">
      <w:r>
        <w:t>While there are associated complexities, t</w:t>
      </w:r>
      <w:r w:rsidR="00BA07B4">
        <w:t xml:space="preserve">he </w:t>
      </w:r>
      <w:r w:rsidR="00BE141F">
        <w:t xml:space="preserve">regulation </w:t>
      </w:r>
      <w:r w:rsidR="00BA07B4">
        <w:t>could be reworked to ensure that importers are required to check compliance with log export bans through the due diligence process</w:t>
      </w:r>
      <w:r w:rsidR="00BE141F">
        <w:t xml:space="preserve">. The Act could also be reworked </w:t>
      </w:r>
      <w:r w:rsidR="00BA07B4">
        <w:t xml:space="preserve">to prohibit the importation of </w:t>
      </w:r>
      <w:r w:rsidR="00462852">
        <w:t>log</w:t>
      </w:r>
      <w:r w:rsidR="00BA07B4">
        <w:t>s</w:t>
      </w:r>
      <w:r w:rsidR="00462852">
        <w:t xml:space="preserve"> exported in contravention of export bans. A similar prohibition exists under the US Lacey Act.</w:t>
      </w:r>
    </w:p>
    <w:p w14:paraId="0A912FCE" w14:textId="2F2636EB" w:rsidR="002672ED" w:rsidRDefault="00BA07B4" w:rsidP="00CE1584">
      <w:r w:rsidRPr="003306E6">
        <w:t xml:space="preserve">It is estimated it would take approximately two minutes of effort to check if a country has a log export ban in place for each product line. </w:t>
      </w:r>
      <w:r>
        <w:t>This</w:t>
      </w:r>
      <w:r w:rsidRPr="003306E6">
        <w:t xml:space="preserve"> information</w:t>
      </w:r>
      <w:r w:rsidRPr="00EA27C9">
        <w:t xml:space="preserve"> </w:t>
      </w:r>
      <w:r>
        <w:t xml:space="preserve">would be made readily </w:t>
      </w:r>
      <w:r w:rsidRPr="003306E6">
        <w:t>available</w:t>
      </w:r>
      <w:r>
        <w:t xml:space="preserve"> to </w:t>
      </w:r>
      <w:r w:rsidRPr="003306E6">
        <w:t xml:space="preserve">the regulated community. </w:t>
      </w:r>
      <w:r>
        <w:t>This would increase the regulatory burden across all imports by $2.9 million annually or $14 per consignment subject to due diligence requirements based on 2020 trade data.</w:t>
      </w:r>
    </w:p>
    <w:p w14:paraId="7CD7C525" w14:textId="008E42FE" w:rsidR="000528AE" w:rsidRDefault="000528AE" w:rsidP="00CE1584">
      <w:pPr>
        <w:pStyle w:val="BoxHeading"/>
      </w:pPr>
      <w:r>
        <w:t xml:space="preserve">Question </w:t>
      </w:r>
      <w:r w:rsidR="00755C08">
        <w:t>18</w:t>
      </w:r>
    </w:p>
    <w:p w14:paraId="0737E356" w14:textId="2534FCED" w:rsidR="00BA07B4" w:rsidRPr="00F5567C" w:rsidRDefault="00E04A6E" w:rsidP="00CE1584">
      <w:pPr>
        <w:pStyle w:val="BoxText"/>
      </w:pPr>
      <w:r>
        <w:t>Should the laws prevent logs entering the country from nations with a log export ban in place?</w:t>
      </w:r>
    </w:p>
    <w:p w14:paraId="4B3925BD" w14:textId="77777777" w:rsidR="00BA07B4" w:rsidRDefault="00BA07B4" w:rsidP="00BA07B4">
      <w:pPr>
        <w:pStyle w:val="Heading4"/>
      </w:pPr>
      <w:r w:rsidRPr="00DE1E32">
        <w:t>Adding administrative flexibility</w:t>
      </w:r>
    </w:p>
    <w:p w14:paraId="114251AA" w14:textId="404E4E05" w:rsidR="002672ED" w:rsidRDefault="00BA07B4" w:rsidP="00CE1584">
      <w:r>
        <w:t>The Regulation currently incorporate a particular publication version of the country specific guidelines and state specific guidelines in a schedule. Each time these documents are updated in cooperation with the relevant country or state, the Regulation must be updated to incorporate them. This process delays the provision of up</w:t>
      </w:r>
      <w:r w:rsidRPr="002B180A">
        <w:t>-to-date</w:t>
      </w:r>
      <w:r>
        <w:t xml:space="preserve"> information to the regulated community. The Regulation could be reworked so that updated guidelines are automatically incorporated under the framework, without needing to amend the Regulations on each occasion.</w:t>
      </w:r>
    </w:p>
    <w:p w14:paraId="0011BBBE" w14:textId="6CACC278" w:rsidR="000528AE" w:rsidRDefault="000528AE" w:rsidP="00CE1584">
      <w:pPr>
        <w:pStyle w:val="BoxHeading"/>
      </w:pPr>
      <w:r>
        <w:t xml:space="preserve">Question </w:t>
      </w:r>
      <w:r w:rsidR="00755C08">
        <w:t>19</w:t>
      </w:r>
    </w:p>
    <w:p w14:paraId="575384BA" w14:textId="1713E05F" w:rsidR="00BA07B4" w:rsidRDefault="00E04A6E" w:rsidP="00CE1584">
      <w:pPr>
        <w:pStyle w:val="BoxText"/>
      </w:pPr>
      <w:r>
        <w:t>How can the department add flexibility to the legislation, including improving the use of guidance materials?</w:t>
      </w:r>
    </w:p>
    <w:p w14:paraId="7521FE91" w14:textId="77777777" w:rsidR="002672ED" w:rsidRDefault="002672ED" w:rsidP="00CE1584">
      <w:pPr>
        <w:pStyle w:val="Heading2"/>
        <w:numPr>
          <w:ilvl w:val="0"/>
          <w:numId w:val="0"/>
        </w:numPr>
        <w:ind w:left="720" w:hanging="720"/>
      </w:pPr>
      <w:bookmarkStart w:id="119" w:name="_Toc430782161"/>
      <w:bookmarkStart w:id="120" w:name="_Toc72397591"/>
      <w:bookmarkStart w:id="121" w:name="_Toc72328701"/>
      <w:bookmarkStart w:id="122" w:name="_Toc74753453"/>
      <w:r w:rsidRPr="002672ED">
        <w:lastRenderedPageBreak/>
        <w:t>Glossary</w:t>
      </w:r>
      <w:bookmarkEnd w:id="119"/>
      <w:bookmarkEnd w:id="120"/>
      <w:bookmarkEnd w:id="121"/>
      <w:bookmarkEnd w:id="12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2672ED" w14:paraId="00EEAA35" w14:textId="77777777" w:rsidTr="00163A77">
        <w:trPr>
          <w:cantSplit/>
          <w:tblHeader/>
        </w:trPr>
        <w:tc>
          <w:tcPr>
            <w:tcW w:w="1249" w:type="pct"/>
          </w:tcPr>
          <w:p w14:paraId="342FE59B" w14:textId="77777777" w:rsidR="002672ED" w:rsidRPr="00610419" w:rsidRDefault="002672ED" w:rsidP="00163A77">
            <w:pPr>
              <w:pStyle w:val="TableHeading"/>
              <w:rPr>
                <w:sz w:val="20"/>
                <w:szCs w:val="24"/>
              </w:rPr>
            </w:pPr>
            <w:r w:rsidRPr="00610419">
              <w:rPr>
                <w:sz w:val="20"/>
                <w:szCs w:val="24"/>
              </w:rPr>
              <w:t>Term</w:t>
            </w:r>
          </w:p>
        </w:tc>
        <w:tc>
          <w:tcPr>
            <w:tcW w:w="3751" w:type="pct"/>
          </w:tcPr>
          <w:p w14:paraId="2C883890" w14:textId="77777777" w:rsidR="002672ED" w:rsidRPr="00610419" w:rsidRDefault="002672ED" w:rsidP="00163A77">
            <w:pPr>
              <w:pStyle w:val="TableHeading"/>
              <w:rPr>
                <w:sz w:val="20"/>
                <w:szCs w:val="24"/>
              </w:rPr>
            </w:pPr>
            <w:r w:rsidRPr="00610419">
              <w:rPr>
                <w:sz w:val="20"/>
                <w:szCs w:val="24"/>
              </w:rPr>
              <w:t>Definition</w:t>
            </w:r>
          </w:p>
        </w:tc>
      </w:tr>
      <w:tr w:rsidR="002672ED" w14:paraId="3D99C232" w14:textId="77777777" w:rsidTr="00163A77">
        <w:tc>
          <w:tcPr>
            <w:tcW w:w="1249" w:type="pct"/>
          </w:tcPr>
          <w:p w14:paraId="5F046814" w14:textId="77777777" w:rsidR="002672ED" w:rsidRPr="00610419" w:rsidRDefault="002672ED" w:rsidP="00163A77">
            <w:pPr>
              <w:pStyle w:val="TableText"/>
              <w:rPr>
                <w:sz w:val="20"/>
                <w:szCs w:val="24"/>
              </w:rPr>
            </w:pPr>
            <w:r w:rsidRPr="00610419">
              <w:rPr>
                <w:sz w:val="20"/>
                <w:szCs w:val="24"/>
              </w:rPr>
              <w:t>Country specific guidelines (CSG)</w:t>
            </w:r>
          </w:p>
        </w:tc>
        <w:tc>
          <w:tcPr>
            <w:tcW w:w="3751" w:type="pct"/>
          </w:tcPr>
          <w:p w14:paraId="4719A347" w14:textId="77777777" w:rsidR="002672ED" w:rsidRPr="00610419" w:rsidRDefault="002672ED" w:rsidP="00163A77">
            <w:pPr>
              <w:pStyle w:val="TableText"/>
              <w:rPr>
                <w:sz w:val="20"/>
                <w:szCs w:val="24"/>
              </w:rPr>
            </w:pPr>
            <w:r w:rsidRPr="00610419">
              <w:rPr>
                <w:sz w:val="20"/>
                <w:szCs w:val="24"/>
              </w:rPr>
              <w:t>A document developed by the department in partnership with key trading partners that assists importers to understand the legal frameworks governing timber harvesting in the country of supply.</w:t>
            </w:r>
          </w:p>
        </w:tc>
      </w:tr>
      <w:tr w:rsidR="002672ED" w14:paraId="6DC70776" w14:textId="77777777" w:rsidTr="00163A77">
        <w:tc>
          <w:tcPr>
            <w:tcW w:w="1249" w:type="pct"/>
          </w:tcPr>
          <w:p w14:paraId="4EBBC51D" w14:textId="77777777" w:rsidR="002672ED" w:rsidRPr="00610419" w:rsidRDefault="002672ED" w:rsidP="00163A77">
            <w:pPr>
              <w:pStyle w:val="TableText"/>
              <w:rPr>
                <w:sz w:val="20"/>
                <w:szCs w:val="24"/>
              </w:rPr>
            </w:pPr>
            <w:r w:rsidRPr="00610419">
              <w:rPr>
                <w:sz w:val="20"/>
                <w:szCs w:val="24"/>
              </w:rPr>
              <w:t>Domestic processor</w:t>
            </w:r>
          </w:p>
        </w:tc>
        <w:tc>
          <w:tcPr>
            <w:tcW w:w="3751" w:type="pct"/>
          </w:tcPr>
          <w:p w14:paraId="1485D848" w14:textId="77777777" w:rsidR="002672ED" w:rsidRPr="00610419" w:rsidRDefault="002672ED" w:rsidP="00163A77">
            <w:pPr>
              <w:pStyle w:val="TableText"/>
              <w:rPr>
                <w:sz w:val="20"/>
                <w:szCs w:val="24"/>
              </w:rPr>
            </w:pPr>
            <w:r w:rsidRPr="00610419">
              <w:rPr>
                <w:sz w:val="20"/>
                <w:szCs w:val="24"/>
              </w:rPr>
              <w:t xml:space="preserve">An entity that processes domestically grown raw logs into another form. </w:t>
            </w:r>
          </w:p>
        </w:tc>
      </w:tr>
      <w:tr w:rsidR="002672ED" w14:paraId="086F2807" w14:textId="77777777" w:rsidTr="00163A77">
        <w:tc>
          <w:tcPr>
            <w:tcW w:w="1249" w:type="pct"/>
          </w:tcPr>
          <w:p w14:paraId="07763ABF" w14:textId="77777777" w:rsidR="002672ED" w:rsidRPr="00610419" w:rsidRDefault="002672ED" w:rsidP="00163A77">
            <w:pPr>
              <w:pStyle w:val="TableText"/>
              <w:rPr>
                <w:sz w:val="20"/>
                <w:szCs w:val="24"/>
              </w:rPr>
            </w:pPr>
            <w:r w:rsidRPr="00610419">
              <w:rPr>
                <w:sz w:val="20"/>
                <w:szCs w:val="24"/>
              </w:rPr>
              <w:t>Due diligence</w:t>
            </w:r>
          </w:p>
        </w:tc>
        <w:tc>
          <w:tcPr>
            <w:tcW w:w="3751" w:type="pct"/>
          </w:tcPr>
          <w:p w14:paraId="5DB8750C" w14:textId="77777777" w:rsidR="002672ED" w:rsidRPr="00610419" w:rsidRDefault="002672ED" w:rsidP="00163A77">
            <w:pPr>
              <w:pStyle w:val="TableText"/>
              <w:rPr>
                <w:sz w:val="20"/>
                <w:szCs w:val="24"/>
              </w:rPr>
            </w:pPr>
            <w:r w:rsidRPr="00610419">
              <w:rPr>
                <w:sz w:val="20"/>
                <w:szCs w:val="24"/>
              </w:rPr>
              <w:t>In the context of Australia’s illegal logging laws, the process of assessing and managing the risk that a timber product includes, or is derived from, illegally logged timber.</w:t>
            </w:r>
          </w:p>
        </w:tc>
      </w:tr>
      <w:tr w:rsidR="002672ED" w14:paraId="2E4949D4" w14:textId="77777777" w:rsidTr="00163A77">
        <w:tc>
          <w:tcPr>
            <w:tcW w:w="1249" w:type="pct"/>
          </w:tcPr>
          <w:p w14:paraId="2B5F3FC7" w14:textId="77777777" w:rsidR="002672ED" w:rsidRPr="00610419" w:rsidRDefault="002672ED" w:rsidP="00163A77">
            <w:pPr>
              <w:pStyle w:val="TableText"/>
              <w:rPr>
                <w:sz w:val="20"/>
                <w:szCs w:val="24"/>
              </w:rPr>
            </w:pPr>
            <w:r w:rsidRPr="00610419">
              <w:rPr>
                <w:sz w:val="20"/>
                <w:szCs w:val="24"/>
              </w:rPr>
              <w:t>Illegally logged</w:t>
            </w:r>
          </w:p>
        </w:tc>
        <w:tc>
          <w:tcPr>
            <w:tcW w:w="3751" w:type="pct"/>
          </w:tcPr>
          <w:p w14:paraId="001E87B8" w14:textId="77777777" w:rsidR="002672ED" w:rsidRPr="00610419" w:rsidRDefault="002672ED" w:rsidP="00163A77">
            <w:pPr>
              <w:pStyle w:val="TableText"/>
              <w:rPr>
                <w:sz w:val="20"/>
                <w:szCs w:val="24"/>
              </w:rPr>
            </w:pPr>
            <w:r w:rsidRPr="00610419">
              <w:rPr>
                <w:sz w:val="20"/>
                <w:szCs w:val="24"/>
              </w:rPr>
              <w:t xml:space="preserve">Defined in the </w:t>
            </w:r>
            <w:r w:rsidRPr="00610419">
              <w:rPr>
                <w:rStyle w:val="Emphasis"/>
                <w:sz w:val="20"/>
                <w:szCs w:val="24"/>
              </w:rPr>
              <w:t>Illegal Logging Prohibition Act 2012</w:t>
            </w:r>
            <w:r w:rsidRPr="00610419">
              <w:rPr>
                <w:sz w:val="20"/>
                <w:szCs w:val="24"/>
              </w:rPr>
              <w:t xml:space="preserve"> as timber that has been ‘harvested in contravention of laws in force in the place (whether or not in Australia) where the timber was harvested’.</w:t>
            </w:r>
          </w:p>
        </w:tc>
      </w:tr>
      <w:tr w:rsidR="002672ED" w14:paraId="1C127519" w14:textId="77777777" w:rsidTr="00163A77">
        <w:tc>
          <w:tcPr>
            <w:tcW w:w="1249" w:type="pct"/>
          </w:tcPr>
          <w:p w14:paraId="4CA21565" w14:textId="77777777" w:rsidR="002672ED" w:rsidRPr="00610419" w:rsidRDefault="002672ED" w:rsidP="00163A77">
            <w:pPr>
              <w:pStyle w:val="TableText"/>
              <w:rPr>
                <w:sz w:val="20"/>
                <w:szCs w:val="24"/>
              </w:rPr>
            </w:pPr>
            <w:r w:rsidRPr="00610419">
              <w:rPr>
                <w:sz w:val="20"/>
                <w:szCs w:val="24"/>
              </w:rPr>
              <w:t>Importer</w:t>
            </w:r>
          </w:p>
        </w:tc>
        <w:tc>
          <w:tcPr>
            <w:tcW w:w="3751" w:type="pct"/>
          </w:tcPr>
          <w:p w14:paraId="011BA195" w14:textId="77777777" w:rsidR="002672ED" w:rsidRPr="00610419" w:rsidRDefault="002672ED" w:rsidP="00163A77">
            <w:pPr>
              <w:pStyle w:val="TableText"/>
              <w:rPr>
                <w:sz w:val="20"/>
                <w:szCs w:val="24"/>
              </w:rPr>
            </w:pPr>
            <w:r w:rsidRPr="00610419">
              <w:rPr>
                <w:sz w:val="20"/>
                <w:szCs w:val="24"/>
              </w:rPr>
              <w:t>A business or individual who imports regulated timber products into Australia.</w:t>
            </w:r>
          </w:p>
        </w:tc>
      </w:tr>
      <w:tr w:rsidR="002672ED" w14:paraId="40E84CCE" w14:textId="77777777" w:rsidTr="00163A77">
        <w:tc>
          <w:tcPr>
            <w:tcW w:w="1249" w:type="pct"/>
          </w:tcPr>
          <w:p w14:paraId="0B22FAC1" w14:textId="77777777" w:rsidR="002672ED" w:rsidRPr="00610419" w:rsidRDefault="002672ED" w:rsidP="00163A77">
            <w:pPr>
              <w:pStyle w:val="TableText"/>
              <w:rPr>
                <w:sz w:val="20"/>
                <w:szCs w:val="24"/>
              </w:rPr>
            </w:pPr>
            <w:r w:rsidRPr="00610419">
              <w:rPr>
                <w:sz w:val="20"/>
                <w:szCs w:val="24"/>
              </w:rPr>
              <w:t>Regulated community</w:t>
            </w:r>
          </w:p>
        </w:tc>
        <w:tc>
          <w:tcPr>
            <w:tcW w:w="3751" w:type="pct"/>
          </w:tcPr>
          <w:p w14:paraId="57FA85B5" w14:textId="77777777" w:rsidR="002672ED" w:rsidRPr="00610419" w:rsidRDefault="002672ED" w:rsidP="00163A77">
            <w:pPr>
              <w:pStyle w:val="TableText"/>
              <w:rPr>
                <w:sz w:val="20"/>
                <w:szCs w:val="24"/>
              </w:rPr>
            </w:pPr>
            <w:r w:rsidRPr="00610419">
              <w:rPr>
                <w:sz w:val="20"/>
                <w:szCs w:val="24"/>
              </w:rPr>
              <w:t xml:space="preserve">Businesses and individuals affected by the </w:t>
            </w:r>
            <w:r w:rsidRPr="00610419">
              <w:rPr>
                <w:rStyle w:val="Emphasis"/>
                <w:sz w:val="20"/>
                <w:szCs w:val="24"/>
              </w:rPr>
              <w:t>Illegal Logging Prohibition Act 2012</w:t>
            </w:r>
            <w:r w:rsidRPr="00610419">
              <w:rPr>
                <w:sz w:val="20"/>
                <w:szCs w:val="24"/>
              </w:rPr>
              <w:t xml:space="preserve"> and its associated regulation. It is generally made up of importers of wood, pulp and paper products into Australia and processors of domestically grown raw logs.</w:t>
            </w:r>
          </w:p>
        </w:tc>
      </w:tr>
      <w:tr w:rsidR="002672ED" w14:paraId="08B3E380" w14:textId="77777777" w:rsidTr="00163A77">
        <w:tc>
          <w:tcPr>
            <w:tcW w:w="1249" w:type="pct"/>
          </w:tcPr>
          <w:p w14:paraId="2AD7471D" w14:textId="77777777" w:rsidR="002672ED" w:rsidRPr="00610419" w:rsidRDefault="002672ED" w:rsidP="00163A77">
            <w:pPr>
              <w:pStyle w:val="TableText"/>
              <w:rPr>
                <w:sz w:val="20"/>
                <w:szCs w:val="24"/>
              </w:rPr>
            </w:pPr>
            <w:r w:rsidRPr="00610419">
              <w:rPr>
                <w:sz w:val="20"/>
                <w:szCs w:val="24"/>
              </w:rPr>
              <w:t>Regulated timber product</w:t>
            </w:r>
          </w:p>
        </w:tc>
        <w:tc>
          <w:tcPr>
            <w:tcW w:w="3751" w:type="pct"/>
          </w:tcPr>
          <w:p w14:paraId="1FCFF9EE" w14:textId="77777777" w:rsidR="002672ED" w:rsidRPr="00610419" w:rsidRDefault="002672ED" w:rsidP="00163A77">
            <w:pPr>
              <w:pStyle w:val="TableText"/>
              <w:rPr>
                <w:sz w:val="20"/>
                <w:szCs w:val="24"/>
              </w:rPr>
            </w:pPr>
            <w:r w:rsidRPr="00610419">
              <w:rPr>
                <w:sz w:val="20"/>
                <w:szCs w:val="24"/>
              </w:rPr>
              <w:t>A timber product that is regulated under Australia’s illegal logging laws. For timber imports, this is defined by their customs tariff code. This includes most timber and wood-based products, such as sawn timber, pulp, paper, veneer, mouldings, wood panels, flooring, medium-density fibreboard, particle board, plywood and furniture.</w:t>
            </w:r>
          </w:p>
        </w:tc>
      </w:tr>
      <w:tr w:rsidR="002672ED" w14:paraId="732D173F" w14:textId="77777777" w:rsidTr="00163A77">
        <w:tc>
          <w:tcPr>
            <w:tcW w:w="1249" w:type="pct"/>
          </w:tcPr>
          <w:p w14:paraId="782B5646" w14:textId="77777777" w:rsidR="002672ED" w:rsidRPr="00610419" w:rsidRDefault="002672ED" w:rsidP="00163A77">
            <w:pPr>
              <w:pStyle w:val="TableText"/>
              <w:rPr>
                <w:sz w:val="20"/>
                <w:szCs w:val="24"/>
              </w:rPr>
            </w:pPr>
            <w:r w:rsidRPr="00610419">
              <w:rPr>
                <w:sz w:val="20"/>
                <w:szCs w:val="24"/>
              </w:rPr>
              <w:t xml:space="preserve">Regulated risk factors </w:t>
            </w:r>
          </w:p>
        </w:tc>
        <w:tc>
          <w:tcPr>
            <w:tcW w:w="3751" w:type="pct"/>
          </w:tcPr>
          <w:p w14:paraId="3199C526" w14:textId="77777777" w:rsidR="002672ED" w:rsidRPr="00610419" w:rsidRDefault="002672ED" w:rsidP="00163A77">
            <w:pPr>
              <w:pStyle w:val="TableText"/>
              <w:rPr>
                <w:sz w:val="20"/>
                <w:szCs w:val="24"/>
              </w:rPr>
            </w:pPr>
            <w:r w:rsidRPr="00610419">
              <w:rPr>
                <w:sz w:val="20"/>
                <w:szCs w:val="24"/>
              </w:rPr>
              <w:t>An evaluation method, as set out in the Illegal Logging Prohibition Regulation 2012, that allows an importer to assess the likelihood of a product containing illegally logged timber.</w:t>
            </w:r>
          </w:p>
        </w:tc>
      </w:tr>
      <w:tr w:rsidR="002672ED" w14:paraId="3EFDE3F7" w14:textId="77777777" w:rsidTr="00163A77">
        <w:tc>
          <w:tcPr>
            <w:tcW w:w="1249" w:type="pct"/>
          </w:tcPr>
          <w:p w14:paraId="23E1C0ED" w14:textId="77777777" w:rsidR="002672ED" w:rsidRPr="00610419" w:rsidRDefault="002672ED" w:rsidP="00163A77">
            <w:pPr>
              <w:pStyle w:val="TableText"/>
              <w:rPr>
                <w:sz w:val="20"/>
                <w:szCs w:val="24"/>
              </w:rPr>
            </w:pPr>
            <w:r w:rsidRPr="00610419">
              <w:rPr>
                <w:sz w:val="20"/>
                <w:szCs w:val="24"/>
              </w:rPr>
              <w:t>State Specific Guideline (SSG)</w:t>
            </w:r>
          </w:p>
        </w:tc>
        <w:tc>
          <w:tcPr>
            <w:tcW w:w="3751" w:type="pct"/>
          </w:tcPr>
          <w:p w14:paraId="26B31373" w14:textId="77777777" w:rsidR="002672ED" w:rsidRPr="00610419" w:rsidRDefault="002672ED" w:rsidP="00163A77">
            <w:pPr>
              <w:pStyle w:val="TableText"/>
              <w:rPr>
                <w:sz w:val="20"/>
                <w:szCs w:val="24"/>
              </w:rPr>
            </w:pPr>
            <w:r w:rsidRPr="00610419">
              <w:rPr>
                <w:sz w:val="20"/>
                <w:szCs w:val="24"/>
              </w:rPr>
              <w:t>A document negotiated by the department with Australian state counterparts that assists domestic processors to understand the legal frameworks governing timber harvesting in that state.</w:t>
            </w:r>
          </w:p>
        </w:tc>
      </w:tr>
      <w:tr w:rsidR="002672ED" w14:paraId="5FA587F9" w14:textId="77777777" w:rsidTr="00163A77">
        <w:tc>
          <w:tcPr>
            <w:tcW w:w="1249" w:type="pct"/>
          </w:tcPr>
          <w:p w14:paraId="2D1F559F" w14:textId="77777777" w:rsidR="002672ED" w:rsidRPr="00610419" w:rsidRDefault="002672ED" w:rsidP="00163A77">
            <w:pPr>
              <w:pStyle w:val="TableText"/>
              <w:rPr>
                <w:sz w:val="20"/>
                <w:szCs w:val="24"/>
              </w:rPr>
            </w:pPr>
            <w:r w:rsidRPr="00610419">
              <w:rPr>
                <w:sz w:val="20"/>
                <w:szCs w:val="24"/>
              </w:rPr>
              <w:t xml:space="preserve">Statutory Review of the </w:t>
            </w:r>
            <w:r w:rsidRPr="00610419">
              <w:rPr>
                <w:rStyle w:val="Emphasis"/>
                <w:sz w:val="20"/>
                <w:szCs w:val="24"/>
              </w:rPr>
              <w:t>Illegal Logging Prohibition Act 2012</w:t>
            </w:r>
          </w:p>
        </w:tc>
        <w:tc>
          <w:tcPr>
            <w:tcW w:w="3751" w:type="pct"/>
          </w:tcPr>
          <w:p w14:paraId="262474E7" w14:textId="37265F2E" w:rsidR="002672ED" w:rsidRPr="00610419" w:rsidRDefault="002672ED" w:rsidP="00163A77">
            <w:pPr>
              <w:pStyle w:val="TableText"/>
              <w:rPr>
                <w:sz w:val="20"/>
                <w:szCs w:val="24"/>
              </w:rPr>
            </w:pPr>
            <w:r w:rsidRPr="00610419">
              <w:rPr>
                <w:sz w:val="20"/>
                <w:szCs w:val="24"/>
              </w:rPr>
              <w:t xml:space="preserve">A review of the first five years of operation of the </w:t>
            </w:r>
            <w:r w:rsidRPr="00610419">
              <w:rPr>
                <w:rStyle w:val="Emphasis"/>
                <w:sz w:val="20"/>
                <w:szCs w:val="24"/>
              </w:rPr>
              <w:t>Illegal Logging Prohibition Act 2012</w:t>
            </w:r>
            <w:r w:rsidRPr="00610419">
              <w:rPr>
                <w:sz w:val="20"/>
                <w:szCs w:val="24"/>
              </w:rPr>
              <w:t xml:space="preserve"> was required to be provided to the responsible Minister by 29 November 2019.</w:t>
            </w:r>
          </w:p>
        </w:tc>
      </w:tr>
      <w:tr w:rsidR="002672ED" w14:paraId="284C20F0" w14:textId="77777777" w:rsidTr="00163A77">
        <w:tc>
          <w:tcPr>
            <w:tcW w:w="1249" w:type="pct"/>
          </w:tcPr>
          <w:p w14:paraId="6C5E554A" w14:textId="77777777" w:rsidR="002672ED" w:rsidRPr="00610419" w:rsidRDefault="002672ED" w:rsidP="00163A77">
            <w:pPr>
              <w:pStyle w:val="TableText"/>
              <w:rPr>
                <w:sz w:val="20"/>
                <w:szCs w:val="24"/>
              </w:rPr>
            </w:pPr>
            <w:r w:rsidRPr="00610419">
              <w:rPr>
                <w:sz w:val="20"/>
                <w:szCs w:val="24"/>
              </w:rPr>
              <w:t>Timber legality framework</w:t>
            </w:r>
          </w:p>
        </w:tc>
        <w:tc>
          <w:tcPr>
            <w:tcW w:w="3751" w:type="pct"/>
          </w:tcPr>
          <w:p w14:paraId="79FADF0E" w14:textId="77777777" w:rsidR="002672ED" w:rsidRPr="00610419" w:rsidRDefault="002672ED" w:rsidP="00163A77">
            <w:pPr>
              <w:pStyle w:val="TableText"/>
              <w:rPr>
                <w:sz w:val="20"/>
                <w:szCs w:val="24"/>
              </w:rPr>
            </w:pPr>
            <w:r w:rsidRPr="00610419">
              <w:rPr>
                <w:sz w:val="20"/>
                <w:szCs w:val="24"/>
              </w:rPr>
              <w:t>An independent third-party certification scheme, or licence, that is listed in Schedule 2 to the Illegal Logging Prohibition Regulation 2012.</w:t>
            </w:r>
          </w:p>
        </w:tc>
      </w:tr>
      <w:tr w:rsidR="002672ED" w14:paraId="19836F83" w14:textId="77777777" w:rsidTr="00163A77">
        <w:tc>
          <w:tcPr>
            <w:tcW w:w="1249" w:type="pct"/>
          </w:tcPr>
          <w:p w14:paraId="0B984C9D" w14:textId="77777777" w:rsidR="002672ED" w:rsidRPr="00610419" w:rsidRDefault="002672ED" w:rsidP="00163A77">
            <w:pPr>
              <w:pStyle w:val="TableText"/>
              <w:rPr>
                <w:sz w:val="20"/>
                <w:szCs w:val="24"/>
              </w:rPr>
            </w:pPr>
            <w:r w:rsidRPr="00610419">
              <w:rPr>
                <w:sz w:val="20"/>
                <w:szCs w:val="24"/>
              </w:rPr>
              <w:t>Timber products</w:t>
            </w:r>
          </w:p>
        </w:tc>
        <w:tc>
          <w:tcPr>
            <w:tcW w:w="3751" w:type="pct"/>
          </w:tcPr>
          <w:p w14:paraId="6CBFEA11" w14:textId="77777777" w:rsidR="002672ED" w:rsidRPr="00610419" w:rsidRDefault="002672ED" w:rsidP="00163A77">
            <w:pPr>
              <w:pStyle w:val="TableText"/>
              <w:rPr>
                <w:sz w:val="20"/>
                <w:szCs w:val="24"/>
              </w:rPr>
            </w:pPr>
            <w:r w:rsidRPr="00610419">
              <w:rPr>
                <w:sz w:val="20"/>
                <w:szCs w:val="24"/>
              </w:rPr>
              <w:t>For the purposes of this document, includes all timber and wood-based products.</w:t>
            </w:r>
          </w:p>
        </w:tc>
      </w:tr>
    </w:tbl>
    <w:p w14:paraId="6259A644" w14:textId="77777777" w:rsidR="002672ED" w:rsidRDefault="002672ED" w:rsidP="00CE1584">
      <w:pPr>
        <w:pStyle w:val="Heading2"/>
        <w:numPr>
          <w:ilvl w:val="0"/>
          <w:numId w:val="0"/>
        </w:numPr>
        <w:ind w:left="720" w:hanging="720"/>
      </w:pPr>
      <w:bookmarkStart w:id="123" w:name="_Toc72397592"/>
      <w:bookmarkStart w:id="124" w:name="_Toc72328702"/>
      <w:bookmarkStart w:id="125" w:name="_Toc74753454"/>
      <w:r w:rsidRPr="002672ED">
        <w:lastRenderedPageBreak/>
        <w:t>Abbreviations</w:t>
      </w:r>
      <w:bookmarkEnd w:id="123"/>
      <w:bookmarkEnd w:id="124"/>
      <w:bookmarkEnd w:id="12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2672ED" w14:paraId="50164711" w14:textId="77777777" w:rsidTr="0058109E">
        <w:trPr>
          <w:cantSplit/>
          <w:tblHeader/>
        </w:trPr>
        <w:tc>
          <w:tcPr>
            <w:tcW w:w="1249" w:type="pct"/>
          </w:tcPr>
          <w:p w14:paraId="244C68F4" w14:textId="77777777" w:rsidR="002672ED" w:rsidRPr="00610419" w:rsidRDefault="002672ED" w:rsidP="00163A77">
            <w:pPr>
              <w:pStyle w:val="TableHeading"/>
              <w:rPr>
                <w:sz w:val="20"/>
                <w:szCs w:val="24"/>
              </w:rPr>
            </w:pPr>
            <w:r w:rsidRPr="00610419">
              <w:rPr>
                <w:sz w:val="20"/>
                <w:szCs w:val="24"/>
              </w:rPr>
              <w:t>Term</w:t>
            </w:r>
          </w:p>
        </w:tc>
        <w:tc>
          <w:tcPr>
            <w:tcW w:w="3751" w:type="pct"/>
          </w:tcPr>
          <w:p w14:paraId="226321D9" w14:textId="77777777" w:rsidR="002672ED" w:rsidRPr="00610419" w:rsidRDefault="002672ED" w:rsidP="00163A77">
            <w:pPr>
              <w:pStyle w:val="TableHeading"/>
              <w:rPr>
                <w:sz w:val="20"/>
                <w:szCs w:val="24"/>
              </w:rPr>
            </w:pPr>
            <w:r w:rsidRPr="00610419">
              <w:rPr>
                <w:sz w:val="20"/>
                <w:szCs w:val="24"/>
              </w:rPr>
              <w:t>Full name</w:t>
            </w:r>
          </w:p>
        </w:tc>
      </w:tr>
      <w:tr w:rsidR="002672ED" w14:paraId="72053E33" w14:textId="77777777" w:rsidTr="0058109E">
        <w:tc>
          <w:tcPr>
            <w:tcW w:w="1249" w:type="pct"/>
          </w:tcPr>
          <w:p w14:paraId="01B12ABA" w14:textId="77777777" w:rsidR="002672ED" w:rsidRPr="00610419" w:rsidRDefault="002672ED" w:rsidP="00163A77">
            <w:pPr>
              <w:pStyle w:val="TableText"/>
              <w:rPr>
                <w:sz w:val="20"/>
                <w:szCs w:val="24"/>
              </w:rPr>
            </w:pPr>
            <w:r w:rsidRPr="00610419">
              <w:rPr>
                <w:color w:val="000000"/>
                <w:sz w:val="20"/>
                <w:szCs w:val="24"/>
              </w:rPr>
              <w:t>the Act</w:t>
            </w:r>
          </w:p>
        </w:tc>
        <w:tc>
          <w:tcPr>
            <w:tcW w:w="3751" w:type="pct"/>
          </w:tcPr>
          <w:p w14:paraId="04C0C2FE" w14:textId="77777777" w:rsidR="002672ED" w:rsidRPr="00610419" w:rsidRDefault="002672ED" w:rsidP="00163A77">
            <w:pPr>
              <w:pStyle w:val="TableText"/>
              <w:rPr>
                <w:sz w:val="20"/>
                <w:szCs w:val="24"/>
              </w:rPr>
            </w:pPr>
            <w:r w:rsidRPr="00610419">
              <w:rPr>
                <w:i/>
                <w:color w:val="000000"/>
                <w:sz w:val="20"/>
                <w:szCs w:val="24"/>
              </w:rPr>
              <w:t>Illegal Logging Prohibition Act 2012</w:t>
            </w:r>
          </w:p>
        </w:tc>
      </w:tr>
      <w:tr w:rsidR="002672ED" w14:paraId="52394CAF" w14:textId="77777777" w:rsidTr="0058109E">
        <w:tc>
          <w:tcPr>
            <w:tcW w:w="1249" w:type="pct"/>
          </w:tcPr>
          <w:p w14:paraId="4E3016A4" w14:textId="77777777" w:rsidR="002672ED" w:rsidRPr="00610419" w:rsidRDefault="002672ED" w:rsidP="00163A77">
            <w:pPr>
              <w:pStyle w:val="TableText"/>
              <w:rPr>
                <w:sz w:val="20"/>
                <w:szCs w:val="24"/>
              </w:rPr>
            </w:pPr>
            <w:r w:rsidRPr="00610419">
              <w:rPr>
                <w:color w:val="000000"/>
                <w:sz w:val="20"/>
                <w:szCs w:val="24"/>
              </w:rPr>
              <w:t>ATIF</w:t>
            </w:r>
          </w:p>
        </w:tc>
        <w:tc>
          <w:tcPr>
            <w:tcW w:w="3751" w:type="pct"/>
          </w:tcPr>
          <w:p w14:paraId="25E16054" w14:textId="77777777" w:rsidR="002672ED" w:rsidRPr="00610419" w:rsidRDefault="002672ED" w:rsidP="00163A77">
            <w:pPr>
              <w:pStyle w:val="TableText"/>
              <w:rPr>
                <w:sz w:val="20"/>
                <w:szCs w:val="24"/>
              </w:rPr>
            </w:pPr>
            <w:r w:rsidRPr="00610419">
              <w:rPr>
                <w:sz w:val="20"/>
                <w:szCs w:val="24"/>
              </w:rPr>
              <w:t>Australian Timber Importers Federation</w:t>
            </w:r>
          </w:p>
        </w:tc>
      </w:tr>
      <w:tr w:rsidR="00D91C4F" w:rsidDel="00527880" w14:paraId="42A31D1C" w14:textId="77777777" w:rsidTr="00B46459">
        <w:tc>
          <w:tcPr>
            <w:tcW w:w="1249" w:type="pct"/>
          </w:tcPr>
          <w:p w14:paraId="4906E881" w14:textId="450687E2" w:rsidR="00D91C4F" w:rsidRPr="00610419" w:rsidRDefault="00D91C4F" w:rsidP="00163A77">
            <w:pPr>
              <w:pStyle w:val="TableText"/>
              <w:rPr>
                <w:color w:val="000000"/>
                <w:sz w:val="20"/>
                <w:szCs w:val="24"/>
              </w:rPr>
            </w:pPr>
            <w:r>
              <w:rPr>
                <w:color w:val="000000"/>
                <w:sz w:val="20"/>
                <w:szCs w:val="24"/>
              </w:rPr>
              <w:t>CITES</w:t>
            </w:r>
          </w:p>
        </w:tc>
        <w:tc>
          <w:tcPr>
            <w:tcW w:w="3751" w:type="pct"/>
          </w:tcPr>
          <w:p w14:paraId="29126B17" w14:textId="2C944014" w:rsidR="00D91C4F" w:rsidRPr="00610419" w:rsidRDefault="00D91C4F" w:rsidP="00163A77">
            <w:pPr>
              <w:pStyle w:val="TableText"/>
              <w:rPr>
                <w:color w:val="000000"/>
                <w:sz w:val="20"/>
                <w:szCs w:val="24"/>
              </w:rPr>
            </w:pPr>
            <w:r w:rsidRPr="00D91C4F">
              <w:rPr>
                <w:color w:val="000000"/>
                <w:sz w:val="20"/>
                <w:szCs w:val="24"/>
              </w:rPr>
              <w:t>Convention on International Trade in Endangered Species of Wild Fauna and Flora</w:t>
            </w:r>
          </w:p>
        </w:tc>
      </w:tr>
      <w:tr w:rsidR="00B46459" w14:paraId="79040990" w14:textId="77777777" w:rsidTr="0058109E">
        <w:tc>
          <w:tcPr>
            <w:tcW w:w="1249" w:type="pct"/>
          </w:tcPr>
          <w:p w14:paraId="4C8A4CE9" w14:textId="3AAD5847" w:rsidR="00B46459" w:rsidRPr="00610419" w:rsidRDefault="00B46459" w:rsidP="00163A77">
            <w:pPr>
              <w:pStyle w:val="TableText"/>
              <w:rPr>
                <w:sz w:val="20"/>
                <w:szCs w:val="24"/>
              </w:rPr>
            </w:pPr>
            <w:r w:rsidRPr="00610419">
              <w:rPr>
                <w:color w:val="000000"/>
                <w:sz w:val="20"/>
                <w:szCs w:val="24"/>
              </w:rPr>
              <w:t>DART-TOFMS</w:t>
            </w:r>
          </w:p>
        </w:tc>
        <w:tc>
          <w:tcPr>
            <w:tcW w:w="3751" w:type="pct"/>
          </w:tcPr>
          <w:p w14:paraId="70B55ED5" w14:textId="20903915" w:rsidR="00B46459" w:rsidRPr="00610419" w:rsidRDefault="00B46459" w:rsidP="00163A77">
            <w:pPr>
              <w:pStyle w:val="TableText"/>
              <w:rPr>
                <w:sz w:val="20"/>
                <w:szCs w:val="24"/>
              </w:rPr>
            </w:pPr>
            <w:r w:rsidRPr="00610419">
              <w:rPr>
                <w:color w:val="000000"/>
                <w:sz w:val="20"/>
                <w:szCs w:val="24"/>
              </w:rPr>
              <w:t>Direct Analysis in Real Time (Time of Flight) Mass Spectrometry</w:t>
            </w:r>
          </w:p>
        </w:tc>
      </w:tr>
      <w:tr w:rsidR="00B46459" w14:paraId="79EA55AF" w14:textId="77777777" w:rsidTr="0058109E">
        <w:tc>
          <w:tcPr>
            <w:tcW w:w="1249" w:type="pct"/>
          </w:tcPr>
          <w:p w14:paraId="2AEFC0A4" w14:textId="57EA95BF" w:rsidR="00B46459" w:rsidRPr="00610419" w:rsidRDefault="00B46459" w:rsidP="00163A77">
            <w:pPr>
              <w:pStyle w:val="TableText"/>
              <w:rPr>
                <w:sz w:val="20"/>
                <w:szCs w:val="24"/>
              </w:rPr>
            </w:pPr>
            <w:r w:rsidRPr="00610419">
              <w:rPr>
                <w:sz w:val="20"/>
                <w:szCs w:val="24"/>
              </w:rPr>
              <w:t>FLEGT</w:t>
            </w:r>
          </w:p>
        </w:tc>
        <w:tc>
          <w:tcPr>
            <w:tcW w:w="3751" w:type="pct"/>
          </w:tcPr>
          <w:p w14:paraId="4ABE19A3" w14:textId="5D7FA64A" w:rsidR="00B46459" w:rsidRPr="00610419" w:rsidRDefault="00B46459" w:rsidP="00163A77">
            <w:pPr>
              <w:pStyle w:val="TableText"/>
              <w:rPr>
                <w:sz w:val="20"/>
                <w:szCs w:val="24"/>
              </w:rPr>
            </w:pPr>
            <w:r w:rsidRPr="00610419">
              <w:rPr>
                <w:sz w:val="20"/>
                <w:szCs w:val="24"/>
              </w:rPr>
              <w:t>Forest Law Enforcement, Governance and Trade</w:t>
            </w:r>
          </w:p>
        </w:tc>
      </w:tr>
      <w:tr w:rsidR="00B46459" w14:paraId="713774F2" w14:textId="77777777" w:rsidTr="0058109E">
        <w:tc>
          <w:tcPr>
            <w:tcW w:w="1249" w:type="pct"/>
          </w:tcPr>
          <w:p w14:paraId="1510FF23" w14:textId="051B3FED" w:rsidR="00B46459" w:rsidRPr="00610419" w:rsidRDefault="00B46459" w:rsidP="00163A77">
            <w:pPr>
              <w:pStyle w:val="TableText"/>
              <w:rPr>
                <w:sz w:val="20"/>
                <w:szCs w:val="24"/>
              </w:rPr>
            </w:pPr>
            <w:r w:rsidRPr="00610419">
              <w:rPr>
                <w:color w:val="000000"/>
                <w:sz w:val="20"/>
                <w:szCs w:val="24"/>
              </w:rPr>
              <w:t>FPL</w:t>
            </w:r>
          </w:p>
        </w:tc>
        <w:tc>
          <w:tcPr>
            <w:tcW w:w="3751" w:type="pct"/>
          </w:tcPr>
          <w:p w14:paraId="48188F1F" w14:textId="01700ED0" w:rsidR="00B46459" w:rsidRPr="00610419" w:rsidRDefault="00B46459" w:rsidP="00163A77">
            <w:pPr>
              <w:pStyle w:val="TableText"/>
              <w:rPr>
                <w:sz w:val="20"/>
                <w:szCs w:val="24"/>
              </w:rPr>
            </w:pPr>
            <w:r w:rsidRPr="00610419">
              <w:rPr>
                <w:sz w:val="20"/>
                <w:szCs w:val="24"/>
              </w:rPr>
              <w:t>Forest Product Laboratory</w:t>
            </w:r>
          </w:p>
        </w:tc>
      </w:tr>
      <w:tr w:rsidR="00B46459" w14:paraId="1E28ADE4" w14:textId="77777777" w:rsidTr="0058109E">
        <w:tc>
          <w:tcPr>
            <w:tcW w:w="1249" w:type="pct"/>
          </w:tcPr>
          <w:p w14:paraId="778E5C33" w14:textId="42F4FF61" w:rsidR="00B46459" w:rsidRPr="00610419" w:rsidRDefault="00B46459" w:rsidP="00163A77">
            <w:pPr>
              <w:pStyle w:val="TableText"/>
              <w:rPr>
                <w:sz w:val="20"/>
                <w:szCs w:val="24"/>
              </w:rPr>
            </w:pPr>
            <w:r w:rsidRPr="00610419" w:rsidDel="00527880">
              <w:rPr>
                <w:color w:val="000000"/>
                <w:sz w:val="20"/>
                <w:szCs w:val="24"/>
              </w:rPr>
              <w:t>FSC</w:t>
            </w:r>
          </w:p>
        </w:tc>
        <w:tc>
          <w:tcPr>
            <w:tcW w:w="3751" w:type="pct"/>
          </w:tcPr>
          <w:p w14:paraId="2B740D22" w14:textId="4BF60075" w:rsidR="00B46459" w:rsidRPr="00610419" w:rsidRDefault="00B46459" w:rsidP="00163A77">
            <w:pPr>
              <w:pStyle w:val="TableText"/>
              <w:rPr>
                <w:sz w:val="20"/>
                <w:szCs w:val="24"/>
              </w:rPr>
            </w:pPr>
            <w:r w:rsidRPr="00610419" w:rsidDel="00527880">
              <w:rPr>
                <w:color w:val="000000"/>
                <w:sz w:val="20"/>
                <w:szCs w:val="24"/>
              </w:rPr>
              <w:t>Forest Stewardship Council</w:t>
            </w:r>
          </w:p>
        </w:tc>
      </w:tr>
      <w:tr w:rsidR="00B46459" w14:paraId="74439597" w14:textId="77777777" w:rsidTr="0058109E">
        <w:tc>
          <w:tcPr>
            <w:tcW w:w="1249" w:type="pct"/>
          </w:tcPr>
          <w:p w14:paraId="21A711FD" w14:textId="377C741A" w:rsidR="00B46459" w:rsidRPr="00610419" w:rsidRDefault="00B46459" w:rsidP="00163A77">
            <w:pPr>
              <w:pStyle w:val="TableText"/>
              <w:rPr>
                <w:sz w:val="20"/>
                <w:szCs w:val="24"/>
              </w:rPr>
            </w:pPr>
            <w:r>
              <w:rPr>
                <w:color w:val="000000"/>
                <w:sz w:val="20"/>
                <w:szCs w:val="24"/>
              </w:rPr>
              <w:t>GTTN</w:t>
            </w:r>
          </w:p>
        </w:tc>
        <w:tc>
          <w:tcPr>
            <w:tcW w:w="3751" w:type="pct"/>
          </w:tcPr>
          <w:p w14:paraId="2169D601" w14:textId="3C7EDCFE" w:rsidR="00B46459" w:rsidRPr="00610419" w:rsidRDefault="00B46459" w:rsidP="00163A77">
            <w:pPr>
              <w:pStyle w:val="TableText"/>
              <w:rPr>
                <w:sz w:val="20"/>
                <w:szCs w:val="24"/>
              </w:rPr>
            </w:pPr>
            <w:r w:rsidRPr="00D215A3">
              <w:rPr>
                <w:color w:val="000000" w:themeColor="text1"/>
                <w:sz w:val="20"/>
                <w:szCs w:val="24"/>
              </w:rPr>
              <w:t>Global Timber Tracking Network</w:t>
            </w:r>
          </w:p>
        </w:tc>
      </w:tr>
      <w:tr w:rsidR="00B46459" w14:paraId="6C00ADCB" w14:textId="77777777" w:rsidTr="0058109E">
        <w:tc>
          <w:tcPr>
            <w:tcW w:w="1249" w:type="pct"/>
          </w:tcPr>
          <w:p w14:paraId="5ACA51B2" w14:textId="69F0C40D" w:rsidR="00B46459" w:rsidRPr="00610419" w:rsidRDefault="00B46459" w:rsidP="00163A77">
            <w:pPr>
              <w:pStyle w:val="TableText"/>
              <w:rPr>
                <w:color w:val="000000"/>
                <w:sz w:val="20"/>
                <w:szCs w:val="24"/>
              </w:rPr>
            </w:pPr>
            <w:r w:rsidDel="00527880">
              <w:rPr>
                <w:color w:val="000000"/>
                <w:sz w:val="20"/>
                <w:szCs w:val="24"/>
              </w:rPr>
              <w:t>PEFC</w:t>
            </w:r>
          </w:p>
        </w:tc>
        <w:tc>
          <w:tcPr>
            <w:tcW w:w="3751" w:type="pct"/>
          </w:tcPr>
          <w:p w14:paraId="1EACF35B" w14:textId="525962FE" w:rsidR="00B46459" w:rsidRPr="00D215A3" w:rsidRDefault="00B46459" w:rsidP="00163A77">
            <w:pPr>
              <w:pStyle w:val="TableText"/>
              <w:rPr>
                <w:sz w:val="20"/>
                <w:szCs w:val="24"/>
              </w:rPr>
            </w:pPr>
            <w:r w:rsidDel="00527880">
              <w:rPr>
                <w:color w:val="000000" w:themeColor="text1"/>
                <w:sz w:val="20"/>
                <w:szCs w:val="24"/>
              </w:rPr>
              <w:t>Programme for the Endorsement of Forest Certification</w:t>
            </w:r>
          </w:p>
        </w:tc>
      </w:tr>
      <w:tr w:rsidR="00B46459" w14:paraId="5D1D1246" w14:textId="77777777" w:rsidTr="0058109E">
        <w:tc>
          <w:tcPr>
            <w:tcW w:w="1249" w:type="pct"/>
          </w:tcPr>
          <w:p w14:paraId="68389164" w14:textId="4A37914D" w:rsidR="00B46459" w:rsidRDefault="00B46459" w:rsidP="00163A77">
            <w:pPr>
              <w:pStyle w:val="TableText"/>
              <w:rPr>
                <w:color w:val="000000"/>
                <w:sz w:val="20"/>
                <w:szCs w:val="24"/>
              </w:rPr>
            </w:pPr>
            <w:r>
              <w:rPr>
                <w:color w:val="000000"/>
                <w:sz w:val="20"/>
                <w:szCs w:val="24"/>
              </w:rPr>
              <w:t>SSG</w:t>
            </w:r>
          </w:p>
        </w:tc>
        <w:tc>
          <w:tcPr>
            <w:tcW w:w="3751" w:type="pct"/>
          </w:tcPr>
          <w:p w14:paraId="5D2E87D0" w14:textId="50CE0772" w:rsidR="00B46459" w:rsidRDefault="00B46459" w:rsidP="00163A77">
            <w:pPr>
              <w:pStyle w:val="TableText"/>
              <w:rPr>
                <w:color w:val="000000" w:themeColor="text1"/>
                <w:sz w:val="20"/>
                <w:szCs w:val="24"/>
              </w:rPr>
            </w:pPr>
            <w:r>
              <w:rPr>
                <w:color w:val="000000" w:themeColor="text1"/>
                <w:sz w:val="20"/>
                <w:szCs w:val="24"/>
              </w:rPr>
              <w:t>State Specific Guideline</w:t>
            </w:r>
          </w:p>
        </w:tc>
      </w:tr>
      <w:tr w:rsidR="00B46459" w14:paraId="77EAC81A" w14:textId="77777777" w:rsidTr="0058109E">
        <w:tc>
          <w:tcPr>
            <w:tcW w:w="1249" w:type="pct"/>
          </w:tcPr>
          <w:p w14:paraId="0EC4E90F" w14:textId="0B007D67" w:rsidR="00B46459" w:rsidRDefault="00B46459" w:rsidP="00163A77">
            <w:pPr>
              <w:pStyle w:val="TableText"/>
              <w:rPr>
                <w:color w:val="000000"/>
                <w:sz w:val="20"/>
                <w:szCs w:val="24"/>
              </w:rPr>
            </w:pPr>
            <w:r>
              <w:rPr>
                <w:color w:val="000000"/>
                <w:sz w:val="20"/>
                <w:szCs w:val="24"/>
              </w:rPr>
              <w:t>WWF</w:t>
            </w:r>
          </w:p>
        </w:tc>
        <w:tc>
          <w:tcPr>
            <w:tcW w:w="3751" w:type="pct"/>
          </w:tcPr>
          <w:p w14:paraId="332D9CF2" w14:textId="2CD79BDB" w:rsidR="00B46459" w:rsidRDefault="00B46459" w:rsidP="00163A77">
            <w:pPr>
              <w:pStyle w:val="TableText"/>
              <w:rPr>
                <w:color w:val="000000" w:themeColor="text1"/>
                <w:sz w:val="20"/>
                <w:szCs w:val="24"/>
              </w:rPr>
            </w:pPr>
            <w:r>
              <w:rPr>
                <w:color w:val="000000" w:themeColor="text1"/>
                <w:sz w:val="20"/>
                <w:szCs w:val="24"/>
              </w:rPr>
              <w:t>World Wildlife Fund</w:t>
            </w:r>
          </w:p>
        </w:tc>
      </w:tr>
      <w:tr w:rsidR="00B46459" w14:paraId="0DD1890B" w14:textId="77777777" w:rsidTr="0058109E">
        <w:tc>
          <w:tcPr>
            <w:tcW w:w="1249" w:type="pct"/>
          </w:tcPr>
          <w:p w14:paraId="466A6EEB" w14:textId="6682E651" w:rsidR="00B46459" w:rsidRDefault="00B46459" w:rsidP="00163A77">
            <w:pPr>
              <w:pStyle w:val="TableText"/>
              <w:rPr>
                <w:color w:val="000000"/>
                <w:sz w:val="20"/>
                <w:szCs w:val="24"/>
              </w:rPr>
            </w:pPr>
          </w:p>
        </w:tc>
        <w:tc>
          <w:tcPr>
            <w:tcW w:w="3751" w:type="pct"/>
          </w:tcPr>
          <w:p w14:paraId="7C2E0DBA" w14:textId="46CA8F63" w:rsidR="00B46459" w:rsidRDefault="00B46459" w:rsidP="00163A77">
            <w:pPr>
              <w:pStyle w:val="TableText"/>
              <w:rPr>
                <w:color w:val="000000" w:themeColor="text1"/>
                <w:sz w:val="20"/>
                <w:szCs w:val="24"/>
              </w:rPr>
            </w:pPr>
          </w:p>
        </w:tc>
      </w:tr>
    </w:tbl>
    <w:p w14:paraId="0C789797" w14:textId="095C340E" w:rsidR="00A90A25" w:rsidRDefault="00A90A25" w:rsidP="00A90A25"/>
    <w:p w14:paraId="237E4CD4" w14:textId="62AB49FE" w:rsidR="00A3308B" w:rsidRDefault="00BA07B4" w:rsidP="00BA07B4">
      <w:pPr>
        <w:pStyle w:val="Heading2"/>
        <w:numPr>
          <w:ilvl w:val="0"/>
          <w:numId w:val="0"/>
        </w:numPr>
        <w:ind w:left="720" w:hanging="720"/>
      </w:pPr>
      <w:bookmarkStart w:id="126" w:name="_Annex_1_:"/>
      <w:bookmarkStart w:id="127" w:name="_Toc72149478"/>
      <w:bookmarkStart w:id="128" w:name="_Toc72397594"/>
      <w:bookmarkStart w:id="129" w:name="_Toc72328704"/>
      <w:bookmarkStart w:id="130" w:name="_Toc74753455"/>
      <w:bookmarkEnd w:id="126"/>
      <w:r>
        <w:lastRenderedPageBreak/>
        <w:t>Annex 1</w:t>
      </w:r>
      <w:r w:rsidR="00AC16F5">
        <w:t>:</w:t>
      </w:r>
      <w:r>
        <w:t xml:space="preserve"> Timber ID Technologies</w:t>
      </w:r>
      <w:bookmarkEnd w:id="127"/>
      <w:bookmarkEnd w:id="128"/>
      <w:bookmarkEnd w:id="129"/>
      <w:bookmarkEnd w:id="130"/>
    </w:p>
    <w:p w14:paraId="092F5893" w14:textId="77777777" w:rsidR="00A3308B" w:rsidRDefault="00BA07B4" w:rsidP="00BA07B4">
      <w:pPr>
        <w:pStyle w:val="Heading3"/>
        <w:numPr>
          <w:ilvl w:val="0"/>
          <w:numId w:val="0"/>
        </w:numPr>
        <w:ind w:left="964" w:hanging="964"/>
      </w:pPr>
      <w:bookmarkStart w:id="131" w:name="_Toc72397595"/>
      <w:bookmarkStart w:id="132" w:name="_Toc72328705"/>
      <w:bookmarkStart w:id="133" w:name="_Toc74753456"/>
      <w:r w:rsidRPr="00C31406">
        <w:t>Wood anatomy analysis</w:t>
      </w:r>
      <w:bookmarkEnd w:id="131"/>
      <w:bookmarkEnd w:id="132"/>
      <w:bookmarkEnd w:id="133"/>
    </w:p>
    <w:p w14:paraId="4DFE9816" w14:textId="64E2A157" w:rsidR="00BA07B4" w:rsidRPr="003A7C7E" w:rsidRDefault="00BA07B4" w:rsidP="00BA07B4">
      <w:pPr>
        <w:rPr>
          <w:color w:val="000000" w:themeColor="text1"/>
        </w:rPr>
      </w:pPr>
      <w:r w:rsidRPr="003A7C7E">
        <w:rPr>
          <w:color w:val="000000" w:themeColor="text1"/>
        </w:rPr>
        <w:t>A form of analysis that can be conducted macroscopically or microscopically. Macroscopic wood anatomy analysis is a relatively quick process that assesses the wood grain and larger anatomical features using a hand lens or the naked eye. Microscopic analysis relies on using a microscope to assess small anatomical structures, such as tracheids and vessels, of timber and some composite products (NEPCon 2017).</w:t>
      </w:r>
    </w:p>
    <w:p w14:paraId="3B1D5AFC" w14:textId="7AEFA94A" w:rsidR="00BA07B4" w:rsidRDefault="00BA07B4" w:rsidP="00BA07B4">
      <w:r w:rsidRPr="003A7C7E">
        <w:rPr>
          <w:color w:val="000000" w:themeColor="text1"/>
        </w:rPr>
        <w:t xml:space="preserve">Various studies on possible improvements to these methodologies and their utility have occurred internationally (Pillet &amp; Sawyer 2015; WWF 2011). The Thünen Centre of Competence on the Origin of Timber in Germany, part of the Thünen Institute, in Germany uses both types of wood anatomy analysis extensively. It acts as a central contact facility for government agencies, timber trade, consumers and associations to verify the wood species and its origin. </w:t>
      </w:r>
      <w:r>
        <w:t>The Centre hosts the world’s third largest wood sample reference library, known as a Xylotheque.</w:t>
      </w:r>
    </w:p>
    <w:p w14:paraId="70384AF6" w14:textId="228800F2" w:rsidR="00BA07B4" w:rsidRPr="007E0CD2" w:rsidRDefault="00BA07B4" w:rsidP="00BA07B4">
      <w:pPr>
        <w:rPr>
          <w:rFonts w:eastAsiaTheme="minorEastAsia"/>
        </w:rPr>
      </w:pPr>
      <w:r>
        <w:t xml:space="preserve">The </w:t>
      </w:r>
      <w:r w:rsidR="00FF05F7">
        <w:t xml:space="preserve">US </w:t>
      </w:r>
      <w:r>
        <w:t>Forest Products Laboratory ha</w:t>
      </w:r>
      <w:r w:rsidR="002E3F86">
        <w:t>s</w:t>
      </w:r>
      <w:r>
        <w:t xml:space="preserve"> the world’s largest</w:t>
      </w:r>
      <w:r w:rsidR="002E3F86">
        <w:t xml:space="preserve"> Xylotheque</w:t>
      </w:r>
      <w:r>
        <w:t xml:space="preserve">, followed by </w:t>
      </w:r>
      <w:r w:rsidR="002E3F86">
        <w:t xml:space="preserve">the </w:t>
      </w:r>
      <w:r>
        <w:t xml:space="preserve">Royal Museum of Central Africa in Tervuren, Belgium and </w:t>
      </w:r>
      <w:r w:rsidR="002E3F86">
        <w:t>t</w:t>
      </w:r>
      <w:r>
        <w:t xml:space="preserve">he </w:t>
      </w:r>
      <w:r w:rsidRPr="001753C5">
        <w:t>Thünen</w:t>
      </w:r>
      <w:r>
        <w:t xml:space="preserve"> Institute. The Naturalis Biodiversity Centre in the Netherlands in collaboration with Leidan University are currently setting up a wood anatomy reference collection of ebony woods to build a timber identification tool for customs officers and other stakeholders.</w:t>
      </w:r>
    </w:p>
    <w:p w14:paraId="0FCFB8FE" w14:textId="77777777" w:rsidR="00BA07B4" w:rsidRPr="00C31406" w:rsidRDefault="00BA07B4" w:rsidP="00BA07B4">
      <w:pPr>
        <w:pStyle w:val="Heading3"/>
        <w:numPr>
          <w:ilvl w:val="0"/>
          <w:numId w:val="0"/>
        </w:numPr>
        <w:ind w:left="964" w:hanging="964"/>
      </w:pPr>
      <w:bookmarkStart w:id="134" w:name="_Toc72397596"/>
      <w:bookmarkStart w:id="135" w:name="_Toc72328706"/>
      <w:bookmarkStart w:id="136" w:name="_Toc74753457"/>
      <w:r w:rsidRPr="001753C5">
        <w:t>DNA analysis</w:t>
      </w:r>
      <w:bookmarkEnd w:id="134"/>
      <w:bookmarkEnd w:id="135"/>
      <w:bookmarkEnd w:id="136"/>
    </w:p>
    <w:p w14:paraId="46151A78" w14:textId="56991835" w:rsidR="00BA07B4" w:rsidRDefault="00BA07B4" w:rsidP="00BA07B4">
      <w:r>
        <w:t>Involves comparing the genetic sequences of timber samples and can be used for species identification, population identification and individual log identification (NEPCon</w:t>
      </w:r>
      <w:r w:rsidR="0036542F">
        <w:t xml:space="preserve"> </w:t>
      </w:r>
      <w:r>
        <w:t>2017). The genetic material in timber can be analysed in several ways to reveal both the species and origin of a sample. DNA barcoding involves isolating a specific DNA strand that is unique to a species and comparing that sequence to a known sample in a reference database (</w:t>
      </w:r>
      <w:hyperlink r:id="rId27" w:history="1">
        <w:r w:rsidR="006539A8" w:rsidRPr="000A6D25">
          <w:t>Kaldjian</w:t>
        </w:r>
      </w:hyperlink>
      <w:r w:rsidR="00122857">
        <w:t xml:space="preserve">, </w:t>
      </w:r>
      <w:r w:rsidR="00122857" w:rsidRPr="000A6D25">
        <w:t>Cheung</w:t>
      </w:r>
      <w:r w:rsidR="00122857">
        <w:t xml:space="preserve"> </w:t>
      </w:r>
      <w:r w:rsidR="004D0D3C">
        <w:t xml:space="preserve">&amp; </w:t>
      </w:r>
      <w:r w:rsidR="004D0D3C" w:rsidRPr="004D0D3C">
        <w:t xml:space="preserve">Parker-Forney </w:t>
      </w:r>
      <w:r>
        <w:t>2015). The genetic material of timber can also be used to find similarities between closely related samples and sample</w:t>
      </w:r>
      <w:r w:rsidR="002E3F86">
        <w:t>s</w:t>
      </w:r>
      <w:r>
        <w:t xml:space="preserve"> of similar origin (</w:t>
      </w:r>
      <w:hyperlink r:id="rId28" w:history="1">
        <w:r w:rsidR="004D0D3C" w:rsidRPr="000A6D25">
          <w:t>Kaldjian</w:t>
        </w:r>
      </w:hyperlink>
      <w:r w:rsidR="004D0D3C">
        <w:t xml:space="preserve">, </w:t>
      </w:r>
      <w:r w:rsidR="004D0D3C" w:rsidRPr="000A6D25">
        <w:t>Cheung</w:t>
      </w:r>
      <w:r w:rsidR="004D0D3C">
        <w:t xml:space="preserve"> &amp; </w:t>
      </w:r>
      <w:r w:rsidR="004D0D3C" w:rsidRPr="004D0D3C">
        <w:t xml:space="preserve">Parker-Forney </w:t>
      </w:r>
      <w:r w:rsidR="004D0D3C">
        <w:t>2015</w:t>
      </w:r>
      <w:r>
        <w:t>). DNA analysis relies on the extraction of enough quality genetic material, typically from untreated and sawn wood products, and the availability of appropriate reference databases.</w:t>
      </w:r>
    </w:p>
    <w:p w14:paraId="32A54CE7" w14:textId="069BD358" w:rsidR="00BA07B4" w:rsidRDefault="00BA07B4" w:rsidP="00BA07B4">
      <w:r w:rsidRPr="008749D3">
        <w:rPr>
          <w:color w:val="000000" w:themeColor="text1"/>
        </w:rPr>
        <w:t xml:space="preserve">The International Barcode of Life </w:t>
      </w:r>
      <w:r w:rsidR="002E3F86">
        <w:rPr>
          <w:color w:val="000000" w:themeColor="text1"/>
        </w:rPr>
        <w:t xml:space="preserve">Consortium </w:t>
      </w:r>
      <w:r w:rsidRPr="008749D3">
        <w:rPr>
          <w:color w:val="000000" w:themeColor="text1"/>
        </w:rPr>
        <w:t>and Global Timber Tracking Network (GTTN) are prioritising the development and expansion of timber genetic sequence databases (NEPCon 2017). The University of Adelaide is among a select few institutions internationally that offer timber DNA testing and ha</w:t>
      </w:r>
      <w:r>
        <w:rPr>
          <w:color w:val="000000" w:themeColor="text1"/>
        </w:rPr>
        <w:t>s</w:t>
      </w:r>
      <w:r w:rsidRPr="008749D3">
        <w:rPr>
          <w:color w:val="000000" w:themeColor="text1"/>
        </w:rPr>
        <w:t xml:space="preserve"> piloted the technology for the department. Currently</w:t>
      </w:r>
      <w:r w:rsidRPr="00C4387F">
        <w:t>, the tree genera that can be identified using DNA analysis</w:t>
      </w:r>
      <w:r>
        <w:t xml:space="preserve"> include several </w:t>
      </w:r>
      <w:r w:rsidRPr="00C4387F">
        <w:t>highly</w:t>
      </w:r>
      <w:r>
        <w:rPr>
          <w:rFonts w:eastAsiaTheme="minorEastAsia"/>
        </w:rPr>
        <w:t xml:space="preserve"> </w:t>
      </w:r>
      <w:r w:rsidRPr="002413E1">
        <w:rPr>
          <w:rFonts w:eastAsiaTheme="minorEastAsia"/>
        </w:rPr>
        <w:t>traded species</w:t>
      </w:r>
      <w:r w:rsidRPr="002413E1">
        <w:rPr>
          <w:i/>
        </w:rPr>
        <w:t xml:space="preserve"> </w:t>
      </w:r>
      <w:r w:rsidRPr="00C4387F">
        <w:t>(NEPCon 2017).</w:t>
      </w:r>
    </w:p>
    <w:p w14:paraId="0A84158F" w14:textId="77777777" w:rsidR="00BA07B4" w:rsidRPr="00C31406" w:rsidRDefault="00BA07B4" w:rsidP="00BA07B4">
      <w:pPr>
        <w:rPr>
          <w:color w:val="4D4D4D"/>
        </w:rPr>
      </w:pPr>
      <w:r w:rsidRPr="00D71A8D">
        <w:t xml:space="preserve">The </w:t>
      </w:r>
      <w:r w:rsidRPr="00C31406">
        <w:t>Thünen Institute of Forest Genetics currently develops methods and reference data for genetic testing of timber as regulatory effort in Germany. The TRACE Wildlife Forensics Network (UK) currently employs DNA analysis as a tool in wildlife law enforcement to find out the species, origin of illegally traded wildlife.</w:t>
      </w:r>
    </w:p>
    <w:p w14:paraId="1A881219" w14:textId="77777777" w:rsidR="00BA07B4" w:rsidRPr="00C31406" w:rsidRDefault="00BA07B4" w:rsidP="00BA07B4">
      <w:pPr>
        <w:pStyle w:val="Heading3"/>
        <w:numPr>
          <w:ilvl w:val="0"/>
          <w:numId w:val="0"/>
        </w:numPr>
        <w:ind w:left="964" w:hanging="964"/>
      </w:pPr>
      <w:bookmarkStart w:id="137" w:name="_Toc72397597"/>
      <w:bookmarkStart w:id="138" w:name="_Toc72328707"/>
      <w:bookmarkStart w:id="139" w:name="_Toc74753458"/>
      <w:r w:rsidRPr="00C31406">
        <w:lastRenderedPageBreak/>
        <w:t>Stable isotope testing</w:t>
      </w:r>
      <w:bookmarkEnd w:id="137"/>
      <w:bookmarkEnd w:id="138"/>
      <w:bookmarkEnd w:id="139"/>
    </w:p>
    <w:p w14:paraId="14081C00" w14:textId="1A7DA635" w:rsidR="00BA07B4" w:rsidRPr="006A75A8" w:rsidRDefault="00BA07B4" w:rsidP="00BA07B4">
      <w:r>
        <w:t>This methodology can be used to identify the origin of a timber sample, rather than the species. Isotopes are differing forms of the same element (</w:t>
      </w:r>
      <w:r w:rsidR="006C4A75" w:rsidRPr="002B180A">
        <w:t>e</w:t>
      </w:r>
      <w:r w:rsidR="006C4A75">
        <w:t>.</w:t>
      </w:r>
      <w:r w:rsidR="006C4A75" w:rsidRPr="002B180A">
        <w:t>g</w:t>
      </w:r>
      <w:r w:rsidR="006C4A75">
        <w:t>.,</w:t>
      </w:r>
      <w:r>
        <w:t xml:space="preserve"> carbon, hydrogen, oxygen and nitrogen) that are absorbed by trees as they grow. The distribution and pattern of stable isotopes in the environment differ between geographical locations and the scientific analysis of them within a timber product can reveal the origin of the sample (</w:t>
      </w:r>
      <w:hyperlink r:id="rId29" w:history="1">
        <w:r w:rsidR="004D0D3C" w:rsidRPr="000A6D25">
          <w:t>Kaldjian</w:t>
        </w:r>
      </w:hyperlink>
      <w:r w:rsidR="004D0D3C">
        <w:t xml:space="preserve">, </w:t>
      </w:r>
      <w:r w:rsidR="004D0D3C" w:rsidRPr="000A6D25">
        <w:t>Cheung</w:t>
      </w:r>
      <w:r w:rsidR="004D0D3C">
        <w:t xml:space="preserve"> &amp; </w:t>
      </w:r>
      <w:r w:rsidR="004D0D3C" w:rsidRPr="004D0D3C">
        <w:t xml:space="preserve">Parker-Forney </w:t>
      </w:r>
      <w:r w:rsidR="004D0D3C">
        <w:t>2015</w:t>
      </w:r>
      <w:r>
        <w:t xml:space="preserve">). </w:t>
      </w:r>
      <w:r>
        <w:br/>
        <w:t>This technique was used by the Environmental Investigation Agency to produce evidence that illegally logged products were being sold in the U</w:t>
      </w:r>
      <w:r w:rsidR="00FF05F7">
        <w:t xml:space="preserve">nited </w:t>
      </w:r>
      <w:r>
        <w:t>S</w:t>
      </w:r>
      <w:r w:rsidR="00FF05F7">
        <w:t>tates</w:t>
      </w:r>
      <w:r>
        <w:t xml:space="preserve"> and the E</w:t>
      </w:r>
      <w:r w:rsidR="00FF05F7">
        <w:t xml:space="preserve">uropean </w:t>
      </w:r>
      <w:r>
        <w:t>U</w:t>
      </w:r>
      <w:r w:rsidR="00FF05F7">
        <w:t>nion</w:t>
      </w:r>
      <w:r>
        <w:t xml:space="preserve"> (EIA 2013</w:t>
      </w:r>
      <w:r w:rsidRPr="00C46EF9">
        <w:t>). It was also employed as part of World Wildlife Fund</w:t>
      </w:r>
      <w:r w:rsidR="003F044B">
        <w:t>’</w:t>
      </w:r>
      <w:r w:rsidRPr="00C46EF9">
        <w:t>s (WWF) ‘Forests Campaign’ to identify products with misrepresented origins traded in the UK (WWF 2015).</w:t>
      </w:r>
    </w:p>
    <w:p w14:paraId="1626F61B" w14:textId="34BA1779" w:rsidR="00BA07B4" w:rsidRDefault="00BA07B4" w:rsidP="00BA07B4">
      <w:r>
        <w:t>The Agroisolab in the UK have been applying their expertise in stable isotope testing to timber for origin identification for the last decade. They continue to apply this methodology to verify the origin of a range of products including furniture, flooring and musical instruments (Agroisolab</w:t>
      </w:r>
      <w:r w:rsidR="00242EFE">
        <w:t xml:space="preserve"> </w:t>
      </w:r>
      <w:r>
        <w:t>2018).</w:t>
      </w:r>
    </w:p>
    <w:p w14:paraId="24B26188" w14:textId="68BAF22F" w:rsidR="00BA07B4" w:rsidRPr="00C31406" w:rsidRDefault="00BA07B4" w:rsidP="00BA07B4">
      <w:pPr>
        <w:pStyle w:val="Heading3"/>
        <w:numPr>
          <w:ilvl w:val="0"/>
          <w:numId w:val="0"/>
        </w:numPr>
        <w:ind w:left="964" w:hanging="964"/>
      </w:pPr>
      <w:bookmarkStart w:id="140" w:name="_Toc72328708"/>
      <w:bookmarkStart w:id="141" w:name="_Toc72397598"/>
      <w:bookmarkStart w:id="142" w:name="_Toc74753459"/>
      <w:r w:rsidRPr="00C31406">
        <w:t xml:space="preserve">Fibre </w:t>
      </w:r>
      <w:bookmarkEnd w:id="140"/>
      <w:r w:rsidR="00AC16F5">
        <w:t>a</w:t>
      </w:r>
      <w:r w:rsidRPr="00C31406">
        <w:t>nalysis</w:t>
      </w:r>
      <w:bookmarkEnd w:id="141"/>
      <w:bookmarkEnd w:id="142"/>
    </w:p>
    <w:p w14:paraId="10639CF0" w14:textId="4A42905B" w:rsidR="00BA07B4" w:rsidRDefault="00BA07B4" w:rsidP="00BA07B4">
      <w:r>
        <w:t xml:space="preserve">DNA and Isotope analysis cannot be used on composite products (such as paper products or pulp) due to the heavy processing necessary for productions. In lieu of such analyses, fibre analysis can determine whether fibres within a composite product are softwood or hardwood, the genus (species in some cases) and the pulping process used. Analysis can involve treating the fibre with a particular chemical to observe and compare reactions, or comparing the samples using a high-powered microscope (WRI 2015). The World Resource Institute </w:t>
      </w:r>
      <w:r w:rsidR="002E3F86">
        <w:t xml:space="preserve">is </w:t>
      </w:r>
      <w:r>
        <w:t>known to use fibre analysis to ensure the paper they buy is legally sourced.</w:t>
      </w:r>
    </w:p>
    <w:p w14:paraId="73FCC30F" w14:textId="3E6B808F" w:rsidR="00BA07B4" w:rsidRDefault="00BA07B4" w:rsidP="00BA07B4">
      <w:pPr>
        <w:pStyle w:val="Heading3"/>
        <w:numPr>
          <w:ilvl w:val="0"/>
          <w:numId w:val="0"/>
        </w:numPr>
        <w:ind w:left="964" w:hanging="964"/>
      </w:pPr>
      <w:bookmarkStart w:id="143" w:name="_Toc72397599"/>
      <w:bookmarkStart w:id="144" w:name="_Toc72328709"/>
      <w:bookmarkStart w:id="145" w:name="_Toc74753460"/>
      <w:r w:rsidRPr="00C31406">
        <w:t>T</w:t>
      </w:r>
      <w:r>
        <w:t>S</w:t>
      </w:r>
      <w:r w:rsidRPr="00C31406">
        <w:t>W Trace Technology</w:t>
      </w:r>
      <w:bookmarkEnd w:id="143"/>
      <w:bookmarkEnd w:id="144"/>
      <w:bookmarkEnd w:id="145"/>
    </w:p>
    <w:p w14:paraId="558EB57A" w14:textId="48A406A2" w:rsidR="00BA07B4" w:rsidRDefault="00BA07B4" w:rsidP="00BA07B4">
      <w:r>
        <w:t xml:space="preserve">Source Certain International </w:t>
      </w:r>
      <w:r w:rsidR="002E3F86">
        <w:t xml:space="preserve">(SCI) </w:t>
      </w:r>
      <w:r>
        <w:t>in Western Australia have developed a scientific method for establishing the origin of a product, known as TSW Trace Technology. This technology was originally used to identify the origin of gold in the 1970s. It is now used routinely as a forensic tool and to verify the integrity of supply chains for clients and can be applied to timber and wood product samples. This technology is used to determine the chemical profile of a product, which reflects the geographical location a product was grown as well as the system it was produced in (SCI 2020).</w:t>
      </w:r>
    </w:p>
    <w:p w14:paraId="3D2FB522" w14:textId="2B20AAC8" w:rsidR="00BA07B4" w:rsidRDefault="00BA07B4" w:rsidP="00BA07B4">
      <w:r>
        <w:t>The following are emerging identifying technologies that could be considered for incorporating to the framework at a future point in time.</w:t>
      </w:r>
    </w:p>
    <w:p w14:paraId="684C3C63" w14:textId="77777777" w:rsidR="00BA07B4" w:rsidRPr="00C31406" w:rsidRDefault="00BA07B4" w:rsidP="00BA07B4">
      <w:pPr>
        <w:pStyle w:val="Heading3"/>
        <w:numPr>
          <w:ilvl w:val="0"/>
          <w:numId w:val="0"/>
        </w:numPr>
      </w:pPr>
      <w:bookmarkStart w:id="146" w:name="_Toc72397600"/>
      <w:bookmarkStart w:id="147" w:name="_Toc72328710"/>
      <w:bookmarkStart w:id="148" w:name="_Toc74753461"/>
      <w:r w:rsidRPr="00C31406">
        <w:t>Direct Analysis in Real Time (Time of Flight) Mass Spectrometry (DART-TOFMS)</w:t>
      </w:r>
      <w:bookmarkEnd w:id="146"/>
      <w:bookmarkEnd w:id="147"/>
      <w:bookmarkEnd w:id="148"/>
    </w:p>
    <w:p w14:paraId="7F4E7DF8" w14:textId="7E1DF93F" w:rsidR="00AC16F5" w:rsidRDefault="00BA07B4" w:rsidP="00BA07B4">
      <w:r>
        <w:t>This type of analysis requires minimal sample preparation if any, analysing a wide variety of samples in situ. Using a DART-TOFMS machine on site, a timber sample is exposed to heated helium ions that volatize chemicals on and near the surface. The process provides the chemical composition of the sample, known as a mass spectrum and from this, chemicals can be identified by comparing it to a reference database (Robb-McCord 2016).</w:t>
      </w:r>
    </w:p>
    <w:p w14:paraId="156D15D8" w14:textId="39761B49" w:rsidR="00BA07B4" w:rsidRPr="002B180A" w:rsidDel="00C972E1" w:rsidRDefault="00BA07B4" w:rsidP="00BA07B4">
      <w:pPr>
        <w:rPr>
          <w:rFonts w:eastAsiaTheme="minorEastAsia"/>
        </w:rPr>
      </w:pPr>
      <w:r>
        <w:lastRenderedPageBreak/>
        <w:t>The National Fish and Wildlife Forensic Laboratory in the U</w:t>
      </w:r>
      <w:r w:rsidR="00FF05F7">
        <w:t xml:space="preserve">nited </w:t>
      </w:r>
      <w:r>
        <w:t>S</w:t>
      </w:r>
      <w:r w:rsidR="00FF05F7">
        <w:t>tates</w:t>
      </w:r>
      <w:r>
        <w:t xml:space="preserve"> curates the largest DART-TOFMS database currently available. This database focuses on the species identification of CITES-listed species and commercially significant timber species, with a softwood specific database currently being refined for genus-level identification (</w:t>
      </w:r>
      <w:r w:rsidR="00D02A19">
        <w:t xml:space="preserve">ed. </w:t>
      </w:r>
      <w:r w:rsidR="00D33233">
        <w:t>Schmitz, N</w:t>
      </w:r>
      <w:r>
        <w:t xml:space="preserve"> 2020). Research is continuing to understand the full capability of DART-TOFMS for geographical source identification of wood and wood products.</w:t>
      </w:r>
    </w:p>
    <w:p w14:paraId="4814DFD6" w14:textId="34A2AECC" w:rsidR="00BA07B4" w:rsidRPr="002B180A" w:rsidDel="00C972E1" w:rsidRDefault="00BA07B4" w:rsidP="00BA07B4">
      <w:pPr>
        <w:pStyle w:val="Heading3"/>
        <w:numPr>
          <w:ilvl w:val="0"/>
          <w:numId w:val="0"/>
        </w:numPr>
        <w:ind w:left="964" w:hanging="964"/>
      </w:pPr>
      <w:bookmarkStart w:id="149" w:name="_Toc72328711"/>
      <w:bookmarkStart w:id="150" w:name="_Toc72397601"/>
      <w:bookmarkStart w:id="151" w:name="_Toc74753462"/>
      <w:r w:rsidRPr="00C31406">
        <w:t xml:space="preserve">Xylotron </w:t>
      </w:r>
      <w:bookmarkEnd w:id="149"/>
      <w:r w:rsidR="00AC16F5">
        <w:t>p</w:t>
      </w:r>
      <w:r w:rsidRPr="00C31406">
        <w:t>latform</w:t>
      </w:r>
      <w:bookmarkEnd w:id="150"/>
      <w:bookmarkEnd w:id="151"/>
    </w:p>
    <w:p w14:paraId="08D30267" w14:textId="0D934DCC" w:rsidR="00BA07B4" w:rsidRPr="002B180A" w:rsidDel="00C972E1" w:rsidRDefault="00BA07B4" w:rsidP="00BA07B4">
      <w:pPr>
        <w:rPr>
          <w:i/>
        </w:rPr>
      </w:pPr>
      <w:r w:rsidRPr="002B180A">
        <w:t>The Forest Product Laboratory (FPL) in the United States Department of Agriculture has developed a machine-vision system to analyse the biological structure of timber. The system uses specific processing algorithms to form a reference database of woods. Human subjectivity is removed from the data acquisition process but is still required for system oversight (FPL 2014). The system known as the Xylotron uses a custom hand-held device, known as a Xyloscope, image analysis and statistical processing software to identify the species of wood samples.</w:t>
      </w:r>
    </w:p>
    <w:p w14:paraId="220FDCF9" w14:textId="77777777" w:rsidR="00BA07B4" w:rsidRDefault="00BA07B4" w:rsidP="00BA07B4">
      <w:r>
        <w:t>Each of the above-mentioned testing technologies are reliant on comprehensive reference databases and/or wood sample collections to compare unknown samples with known reference samples. There are a multitude of different reference databases and collections held around the world, some more comprehensive than others and most of which are continually growing. It is important to use the right tool for the job, as each technology has a specific use case and there is no one size fits all solution.</w:t>
      </w:r>
    </w:p>
    <w:p w14:paraId="50DDCC07" w14:textId="5647D308" w:rsidR="00AC16F5" w:rsidRDefault="00BA07B4" w:rsidP="00AC16F5">
      <w:r>
        <w:t xml:space="preserve">Some organisations are working towards a collaborative approach to building global reference databases. The GTTN has created a global network of wood identification experts to find and share information on wood samples and reference data for any wood identification method. </w:t>
      </w:r>
      <w:r w:rsidRPr="00C46EF9">
        <w:t xml:space="preserve">A consortium consisting of Agroisolab (UK), Royal Botanical Gardens, Kew (UK), Forest Stewardship Council (Germany), US Forest Service International Programs and the World Resources Institute are currently developing a geo-referenced, open source, global forest sample collection known as WorldForestID. </w:t>
      </w:r>
      <w:r>
        <w:t>This collection is to be used to investigate claims of timber species and origin to tackle fraud, illegal logging and deforestation.</w:t>
      </w:r>
    </w:p>
    <w:p w14:paraId="171E1694" w14:textId="77777777" w:rsidR="00AC16F5" w:rsidRDefault="00AC16F5" w:rsidP="00CE1584">
      <w:pPr>
        <w:pStyle w:val="Heading2"/>
        <w:numPr>
          <w:ilvl w:val="0"/>
          <w:numId w:val="0"/>
        </w:numPr>
        <w:ind w:left="720" w:hanging="720"/>
      </w:pPr>
      <w:bookmarkStart w:id="152" w:name="_Toc72397593"/>
      <w:bookmarkStart w:id="153" w:name="_Toc74753463"/>
      <w:r>
        <w:lastRenderedPageBreak/>
        <w:t>References</w:t>
      </w:r>
      <w:bookmarkEnd w:id="152"/>
      <w:bookmarkEnd w:id="153"/>
    </w:p>
    <w:p w14:paraId="29894CD4" w14:textId="37A2C4B3" w:rsidR="00AC16F5" w:rsidRDefault="00AC16F5" w:rsidP="00AC16F5">
      <w:r>
        <w:t xml:space="preserve">Agroisolab 2020, </w:t>
      </w:r>
      <w:hyperlink r:id="rId30" w:history="1">
        <w:r w:rsidRPr="00E734E5">
          <w:rPr>
            <w:rStyle w:val="Hyperlink"/>
          </w:rPr>
          <w:t>The science of stable isotope ratio analysis</w:t>
        </w:r>
      </w:hyperlink>
      <w:r>
        <w:t>, Agroisolab, England, accessed 22 April 2021.</w:t>
      </w:r>
    </w:p>
    <w:p w14:paraId="7854E622" w14:textId="02494BAE" w:rsidR="00AC16F5" w:rsidRDefault="00AC16F5" w:rsidP="00AC16F5">
      <w:r>
        <w:t xml:space="preserve">EIA 2013, </w:t>
      </w:r>
      <w:hyperlink r:id="rId31" w:history="1">
        <w:r w:rsidR="00FF05F7">
          <w:rPr>
            <w:rStyle w:val="Hyperlink"/>
          </w:rPr>
          <w:t>Liquidating the Forests. Hardwood Flooring, Organized Crime and World’s Last Siberian Tigers</w:t>
        </w:r>
      </w:hyperlink>
      <w:r w:rsidR="00FF05F7">
        <w:rPr>
          <w:rStyle w:val="Hyperlink"/>
        </w:rPr>
        <w:t>,</w:t>
      </w:r>
      <w:r>
        <w:t xml:space="preserve"> Environmental Investigation Agency, Washington DC, accessed 21 April 2021.</w:t>
      </w:r>
    </w:p>
    <w:p w14:paraId="7921D8DE" w14:textId="03896A3C" w:rsidR="00AC16F5" w:rsidRDefault="00AC16F5" w:rsidP="00AC16F5">
      <w:r>
        <w:t xml:space="preserve">FPL 2014, </w:t>
      </w:r>
      <w:hyperlink r:id="rId32" w:anchor=":~:text=The%20Xylotron%3A%20A%20Field%2DDeployable%20Machine%2DVision%20Wood%20Identification%20System&amp;text=Snapshot%3A%20The%20Xylotron%20is%20a,run%20from%20a%20laptop%2Fnetbook." w:history="1">
        <w:r w:rsidRPr="00D228FC">
          <w:rPr>
            <w:rStyle w:val="Hyperlink"/>
          </w:rPr>
          <w:t>The Xylotron: A Field-Deployable Machine-Vision Wood Identification System</w:t>
        </w:r>
      </w:hyperlink>
      <w:r>
        <w:t>, Forest Products Laboratory, United States Department of Agriculture, Washington DC, accessed 22 April 2021.</w:t>
      </w:r>
    </w:p>
    <w:p w14:paraId="6C0D934C" w14:textId="790625E0" w:rsidR="00AC16F5" w:rsidRDefault="009872C8" w:rsidP="00AC16F5">
      <w:hyperlink r:id="rId33" w:history="1">
        <w:r w:rsidR="00AC16F5" w:rsidRPr="000A6D25">
          <w:t>Kaldjian</w:t>
        </w:r>
      </w:hyperlink>
      <w:r w:rsidR="00AC16F5">
        <w:t>, E,</w:t>
      </w:r>
      <w:r w:rsidR="00AC16F5" w:rsidRPr="000A6D25">
        <w:t> Cheung</w:t>
      </w:r>
      <w:r w:rsidR="00AC16F5">
        <w:t>, L</w:t>
      </w:r>
      <w:r w:rsidR="00AC16F5" w:rsidRPr="000A6D25">
        <w:t> and </w:t>
      </w:r>
      <w:hyperlink r:id="rId34" w:history="1">
        <w:r w:rsidR="00AC16F5" w:rsidRPr="000A6D25">
          <w:t>Parker-Forney</w:t>
        </w:r>
        <w:r w:rsidR="00AC16F5">
          <w:t>, M</w:t>
        </w:r>
        <w:r w:rsidR="00AC16F5" w:rsidRPr="000A6D25">
          <w:t> </w:t>
        </w:r>
      </w:hyperlink>
      <w:r w:rsidR="00AC16F5">
        <w:t xml:space="preserve">2015, </w:t>
      </w:r>
      <w:hyperlink r:id="rId35" w:history="1">
        <w:r w:rsidR="00AC16F5" w:rsidRPr="00280A70">
          <w:rPr>
            <w:rStyle w:val="Hyperlink"/>
          </w:rPr>
          <w:t>4 Cutting-Edge Technologies to Catch Illegal Loggers</w:t>
        </w:r>
      </w:hyperlink>
      <w:r w:rsidR="00AC16F5">
        <w:t xml:space="preserve">, World Resources Institute, </w:t>
      </w:r>
      <w:r w:rsidR="00AC16F5" w:rsidRPr="0037441E">
        <w:t>Washington DC,</w:t>
      </w:r>
      <w:r w:rsidR="00AC16F5">
        <w:t xml:space="preserve"> accessed 22 March 2021.</w:t>
      </w:r>
    </w:p>
    <w:p w14:paraId="5FD8A8A5" w14:textId="7BE8062C" w:rsidR="00AC16F5" w:rsidRDefault="00AC16F5" w:rsidP="00AC16F5">
      <w:r>
        <w:t xml:space="preserve">NEPCon 2017, </w:t>
      </w:r>
      <w:hyperlink r:id="rId36" w:history="1">
        <w:r w:rsidRPr="00C732B6">
          <w:rPr>
            <w:rStyle w:val="Hyperlink"/>
          </w:rPr>
          <w:t>Timber Testing Techniques</w:t>
        </w:r>
      </w:hyperlink>
      <w:r>
        <w:t>, Nature Economy and People Connected and The Global Timber Forum, UK, accessed 23 March 2021.</w:t>
      </w:r>
    </w:p>
    <w:p w14:paraId="15CA9A49" w14:textId="77777777" w:rsidR="00AC16F5" w:rsidRDefault="00AC16F5" w:rsidP="00AC16F5">
      <w:r>
        <w:t xml:space="preserve">Pillet &amp; Sawyer 2015, </w:t>
      </w:r>
      <w:hyperlink r:id="rId37" w:history="1">
        <w:r w:rsidRPr="003E799F">
          <w:rPr>
            <w:rStyle w:val="Hyperlink"/>
          </w:rPr>
          <w:t>EUTR: Plywood imported from China</w:t>
        </w:r>
      </w:hyperlink>
      <w:r>
        <w:t xml:space="preserve">, </w:t>
      </w:r>
      <w:r w:rsidRPr="00A541AF">
        <w:t>Department for Environment, Food and Rural Affairs</w:t>
      </w:r>
      <w:r>
        <w:t>, London, accessed 21 April 2021.</w:t>
      </w:r>
    </w:p>
    <w:p w14:paraId="188D9BEB" w14:textId="0F41B34F" w:rsidR="00AC16F5" w:rsidRDefault="00AC16F5" w:rsidP="00AC16F5">
      <w:r>
        <w:t xml:space="preserve">Robb-McCord, T 2016. </w:t>
      </w:r>
      <w:hyperlink r:id="rId38" w:anchor=":~:text=DART%2DTOFMS%20can%20determine%20the,can%20help%20combat%20illegal%20logging." w:history="1">
        <w:r w:rsidRPr="00405AE9">
          <w:rPr>
            <w:rStyle w:val="Hyperlink"/>
          </w:rPr>
          <w:t>DART-TOFMS: Finding the chemistry in wood.</w:t>
        </w:r>
      </w:hyperlink>
      <w:r>
        <w:t xml:space="preserve"> Mongabay Wildtech: Technology for Conservation, U</w:t>
      </w:r>
      <w:r w:rsidR="00FF05F7">
        <w:t xml:space="preserve">nited </w:t>
      </w:r>
      <w:r>
        <w:t>S</w:t>
      </w:r>
      <w:r w:rsidR="00FF05F7">
        <w:t>tates</w:t>
      </w:r>
      <w:r>
        <w:t>, accessed 23 March 2021.</w:t>
      </w:r>
    </w:p>
    <w:p w14:paraId="2BB8D9C3" w14:textId="668891C6" w:rsidR="00AC16F5" w:rsidRDefault="00AC16F5" w:rsidP="00AC16F5">
      <w:r>
        <w:t>Schmitz, N. (ed.), Beeckman, H, Blanc-Jolivet, C, Boeschoten, L, Braga,</w:t>
      </w:r>
      <w:r w:rsidRPr="00CC452D">
        <w:t xml:space="preserve"> </w:t>
      </w:r>
      <w:r>
        <w:t>J.W.B., Cabezas,</w:t>
      </w:r>
      <w:r w:rsidRPr="00CC452D">
        <w:t xml:space="preserve"> </w:t>
      </w:r>
      <w:r>
        <w:t>J.A., Chaix, G, Crameri, S, Degen, B, Deklerck, V, Dormontt, E, Espinoza, E, Gasson, P, Haag, V, Helmling, S, Horacek, M, Koch, G, Lancaster, C, Lens, F, Lowe, A, Martínez-Jarquín, S, Nowakowska, J.A., Olbrich,</w:t>
      </w:r>
      <w:r w:rsidRPr="007F3804">
        <w:t xml:space="preserve"> </w:t>
      </w:r>
      <w:r>
        <w:t>A, Paredes-Villanueva, K, Pastore,</w:t>
      </w:r>
      <w:r w:rsidRPr="007F3804">
        <w:t xml:space="preserve"> </w:t>
      </w:r>
      <w:r>
        <w:t>T.C.M., Ramananantoandro,</w:t>
      </w:r>
      <w:r w:rsidRPr="007F3804">
        <w:t xml:space="preserve"> </w:t>
      </w:r>
      <w:r>
        <w:t>T, Razafimahatratra,</w:t>
      </w:r>
      <w:r w:rsidRPr="007F3804">
        <w:t xml:space="preserve"> </w:t>
      </w:r>
      <w:r>
        <w:t>A.R., Ravindran, P, Rees,</w:t>
      </w:r>
      <w:r w:rsidRPr="007F3804">
        <w:t xml:space="preserve"> </w:t>
      </w:r>
      <w:r>
        <w:t>G, Soares,</w:t>
      </w:r>
      <w:r w:rsidRPr="007F3804">
        <w:t xml:space="preserve"> </w:t>
      </w:r>
      <w:r>
        <w:t>L.F., Tysklind,</w:t>
      </w:r>
      <w:r w:rsidRPr="007F3804">
        <w:t xml:space="preserve"> </w:t>
      </w:r>
      <w:r>
        <w:t>N, Vlam,</w:t>
      </w:r>
      <w:r w:rsidRPr="007F3804">
        <w:t xml:space="preserve"> </w:t>
      </w:r>
      <w:r>
        <w:t>M, Watkinson,</w:t>
      </w:r>
      <w:r w:rsidRPr="007F3804">
        <w:t xml:space="preserve"> </w:t>
      </w:r>
      <w:r>
        <w:t>C, Wheeler,</w:t>
      </w:r>
      <w:r w:rsidRPr="007F3804">
        <w:t xml:space="preserve"> </w:t>
      </w:r>
      <w:r>
        <w:t>E, Winkler,</w:t>
      </w:r>
      <w:r w:rsidRPr="007F3804">
        <w:t xml:space="preserve"> </w:t>
      </w:r>
      <w:r>
        <w:t>R, Wiedenhoeft,</w:t>
      </w:r>
      <w:r w:rsidRPr="007F3804">
        <w:t xml:space="preserve"> </w:t>
      </w:r>
      <w:r>
        <w:t>A.C., Zemke,</w:t>
      </w:r>
      <w:r w:rsidRPr="007F3804">
        <w:t xml:space="preserve"> </w:t>
      </w:r>
      <w:r>
        <w:t>V.Th., Zuidema,</w:t>
      </w:r>
      <w:r w:rsidRPr="007F3804">
        <w:t xml:space="preserve"> </w:t>
      </w:r>
      <w:r>
        <w:t>P 2020</w:t>
      </w:r>
      <w:r w:rsidR="00FF05F7">
        <w:t>,</w:t>
      </w:r>
      <w:r>
        <w:t xml:space="preserve"> </w:t>
      </w:r>
      <w:hyperlink r:id="rId39" w:history="1">
        <w:r w:rsidRPr="00CF6236">
          <w:rPr>
            <w:rStyle w:val="Hyperlink"/>
          </w:rPr>
          <w:t>Overview of current practices in data analysis for wood identification. A guide for the different timber tracking methods.</w:t>
        </w:r>
      </w:hyperlink>
      <w:r>
        <w:t xml:space="preserve"> Global Timber Tracking Network, European Forest Institute and Thünen Institute, accessed 29 March 2021.</w:t>
      </w:r>
    </w:p>
    <w:p w14:paraId="0BA33F18" w14:textId="4E031155" w:rsidR="00AC16F5" w:rsidRDefault="00AC16F5" w:rsidP="00AC16F5">
      <w:r>
        <w:t xml:space="preserve">SCI 2020, </w:t>
      </w:r>
      <w:hyperlink r:id="rId40" w:history="1">
        <w:r w:rsidRPr="00E25186">
          <w:rPr>
            <w:rStyle w:val="Hyperlink"/>
          </w:rPr>
          <w:t>TSW Trace® Technology</w:t>
        </w:r>
      </w:hyperlink>
      <w:r>
        <w:t>, Source Certain International, Western Australia, accessed 22 April 2021.</w:t>
      </w:r>
    </w:p>
    <w:p w14:paraId="10B84274" w14:textId="0CB7AFE0" w:rsidR="00AC16F5" w:rsidRDefault="00AC16F5" w:rsidP="00AC16F5">
      <w:r>
        <w:t xml:space="preserve">WWF 2011, </w:t>
      </w:r>
      <w:hyperlink r:id="rId41" w:history="1">
        <w:r w:rsidRPr="00FF3DC2">
          <w:rPr>
            <w:rStyle w:val="Hyperlink"/>
          </w:rPr>
          <w:t>Fighting illegal logging through the introduction of a combination of the isotope method for identifying the origins of timber and DNA analysis for differentiation of tree species</w:t>
        </w:r>
        <w:r>
          <w:rPr>
            <w:rStyle w:val="Hyperlink"/>
          </w:rPr>
          <w:t>,</w:t>
        </w:r>
      </w:hyperlink>
      <w:r>
        <w:t xml:space="preserve"> World Wi</w:t>
      </w:r>
      <w:r w:rsidR="006040C6">
        <w:t>l</w:t>
      </w:r>
      <w:r>
        <w:t>dlife Fund Germany, Berlin, accessed 25 March 2021.</w:t>
      </w:r>
    </w:p>
    <w:p w14:paraId="4EDFB69B" w14:textId="712F7EEA" w:rsidR="00A278DE" w:rsidRPr="00A278DE" w:rsidRDefault="00AC16F5" w:rsidP="00CE1584">
      <w:pPr>
        <w:rPr>
          <w:lang w:eastAsia="ja-JP"/>
        </w:rPr>
      </w:pPr>
      <w:r>
        <w:t xml:space="preserve">WWF 2015, </w:t>
      </w:r>
      <w:hyperlink r:id="rId42" w:history="1">
        <w:r w:rsidRPr="0060093E">
          <w:rPr>
            <w:rStyle w:val="Hyperlink"/>
          </w:rPr>
          <w:t>Do Timber Products in the UK Stack Up? A report on the results of testing selected retail products that aren't covered by the EU Timber Regulation</w:t>
        </w:r>
      </w:hyperlink>
      <w:r>
        <w:t>, World Wildlife Fund UK, London, accessed 26 March 2021.</w:t>
      </w:r>
    </w:p>
    <w:sectPr w:rsidR="00A278DE" w:rsidRPr="00A278DE" w:rsidSect="0004463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B3770" w14:textId="77777777" w:rsidR="006040C6" w:rsidRDefault="006040C6">
      <w:r>
        <w:separator/>
      </w:r>
    </w:p>
    <w:p w14:paraId="077A7AB0" w14:textId="77777777" w:rsidR="006040C6" w:rsidRDefault="006040C6"/>
    <w:p w14:paraId="00C171DB" w14:textId="77777777" w:rsidR="006040C6" w:rsidRDefault="006040C6"/>
  </w:endnote>
  <w:endnote w:type="continuationSeparator" w:id="0">
    <w:p w14:paraId="734B18F3" w14:textId="77777777" w:rsidR="006040C6" w:rsidRDefault="006040C6">
      <w:r>
        <w:continuationSeparator/>
      </w:r>
    </w:p>
    <w:p w14:paraId="230913D5" w14:textId="77777777" w:rsidR="006040C6" w:rsidRDefault="006040C6"/>
    <w:p w14:paraId="2E4AA3AD" w14:textId="77777777" w:rsidR="006040C6" w:rsidRDefault="006040C6"/>
  </w:endnote>
  <w:endnote w:type="continuationNotice" w:id="1">
    <w:p w14:paraId="4A07F54F" w14:textId="77777777" w:rsidR="006040C6" w:rsidRDefault="006040C6">
      <w:pPr>
        <w:pStyle w:val="Footer"/>
      </w:pPr>
    </w:p>
    <w:p w14:paraId="2E5AA195" w14:textId="77777777" w:rsidR="006040C6" w:rsidRDefault="006040C6"/>
    <w:p w14:paraId="65F593D0" w14:textId="77777777" w:rsidR="006040C6" w:rsidRDefault="00604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38AA" w14:textId="77777777" w:rsidR="006040C6" w:rsidRDefault="006040C6">
    <w:pPr>
      <w:pStyle w:val="Footer"/>
    </w:pPr>
    <w:r>
      <w:t>Department of Agriculture, Water and the Environment</w:t>
    </w:r>
  </w:p>
  <w:p w14:paraId="34F9835D" w14:textId="77777777" w:rsidR="006040C6" w:rsidRDefault="006040C6">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DE958" w14:textId="77777777" w:rsidR="006040C6" w:rsidRDefault="006040C6">
      <w:r>
        <w:separator/>
      </w:r>
    </w:p>
    <w:p w14:paraId="6B3DDB3D" w14:textId="77777777" w:rsidR="006040C6" w:rsidRDefault="006040C6"/>
    <w:p w14:paraId="3F10A02E" w14:textId="77777777" w:rsidR="006040C6" w:rsidRDefault="006040C6"/>
  </w:footnote>
  <w:footnote w:type="continuationSeparator" w:id="0">
    <w:p w14:paraId="0B5905C2" w14:textId="77777777" w:rsidR="006040C6" w:rsidRDefault="006040C6">
      <w:r>
        <w:continuationSeparator/>
      </w:r>
    </w:p>
    <w:p w14:paraId="713E9A8C" w14:textId="77777777" w:rsidR="006040C6" w:rsidRDefault="006040C6"/>
    <w:p w14:paraId="09BBDA1C" w14:textId="77777777" w:rsidR="006040C6" w:rsidRDefault="006040C6"/>
  </w:footnote>
  <w:footnote w:type="continuationNotice" w:id="1">
    <w:p w14:paraId="6BC597D6" w14:textId="77777777" w:rsidR="006040C6" w:rsidRDefault="006040C6">
      <w:pPr>
        <w:pStyle w:val="Footer"/>
      </w:pPr>
    </w:p>
    <w:p w14:paraId="165EED66" w14:textId="77777777" w:rsidR="006040C6" w:rsidRDefault="006040C6"/>
    <w:p w14:paraId="52C610E2" w14:textId="77777777" w:rsidR="006040C6" w:rsidRDefault="006040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722D" w14:textId="4DCFDA1A" w:rsidR="006040C6" w:rsidRDefault="006040C6">
    <w:pPr>
      <w:pStyle w:val="Header"/>
    </w:pPr>
    <w:r w:rsidRPr="0083546E">
      <w:t xml:space="preserve">Sunsetting Review of the Illegal Logging Prohibition </w:t>
    </w:r>
    <w:r>
      <w:t xml:space="preserve">Regulation </w:t>
    </w:r>
    <w:r w:rsidRPr="0083546E">
      <w:t>2012: consultation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34B7" w14:textId="2BFDDABD" w:rsidR="006040C6" w:rsidRDefault="006040C6">
    <w:pPr>
      <w:pStyle w:val="Header"/>
      <w:jc w:val="left"/>
    </w:pPr>
    <w:r>
      <w:rPr>
        <w:noProof/>
      </w:rPr>
      <w:drawing>
        <wp:inline distT="0" distB="0" distL="0" distR="0" wp14:anchorId="713898EE" wp14:editId="792CBC18">
          <wp:extent cx="2123264" cy="63724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048EF72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95111C"/>
    <w:multiLevelType w:val="hybridMultilevel"/>
    <w:tmpl w:val="36385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7AE3325"/>
    <w:multiLevelType w:val="hybridMultilevel"/>
    <w:tmpl w:val="108066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027CCC2A"/>
    <w:lvl w:ilvl="0" w:tplc="50623E58">
      <w:start w:val="1"/>
      <w:numFmt w:val="bullet"/>
      <w:pStyle w:val="BoxTextBullet"/>
      <w:lvlText w:val=""/>
      <w:lvlJc w:val="left"/>
      <w:pPr>
        <w:ind w:left="720" w:hanging="360"/>
      </w:pPr>
      <w:rPr>
        <w:rFonts w:ascii="Symbol" w:hAnsi="Symbol" w:hint="default"/>
      </w:rPr>
    </w:lvl>
    <w:lvl w:ilvl="1" w:tplc="E7AC3F52">
      <w:numFmt w:val="bullet"/>
      <w:lvlText w:val="•"/>
      <w:lvlJc w:val="left"/>
      <w:pPr>
        <w:ind w:left="1800" w:hanging="720"/>
      </w:pPr>
      <w:rPr>
        <w:rFonts w:ascii="Cambria" w:eastAsiaTheme="minorHAnsi" w:hAnsi="Cambria" w:cstheme="minorBidi"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AC37CD8"/>
    <w:multiLevelType w:val="hybridMultilevel"/>
    <w:tmpl w:val="54F83D44"/>
    <w:lvl w:ilvl="0" w:tplc="90BE3388">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25922"/>
    <w:multiLevelType w:val="hybridMultilevel"/>
    <w:tmpl w:val="90F8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6E3C40E8"/>
    <w:multiLevelType w:val="hybridMultilevel"/>
    <w:tmpl w:val="ACBE951C"/>
    <w:lvl w:ilvl="0" w:tplc="DA8E252E">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33934B7"/>
    <w:multiLevelType w:val="multilevel"/>
    <w:tmpl w:val="A0241B28"/>
    <w:numStyleLink w:val="List1"/>
  </w:abstractNum>
  <w:abstractNum w:abstractNumId="32" w15:restartNumberingAfterBreak="0">
    <w:nsid w:val="79964AF1"/>
    <w:multiLevelType w:val="hybridMultilevel"/>
    <w:tmpl w:val="7E1EEB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9"/>
  </w:num>
  <w:num w:numId="4">
    <w:abstractNumId w:val="9"/>
  </w:num>
  <w:num w:numId="5">
    <w:abstractNumId w:val="24"/>
  </w:num>
  <w:num w:numId="6">
    <w:abstractNumId w:val="25"/>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4"/>
  </w:num>
  <w:num w:numId="22">
    <w:abstractNumId w:val="20"/>
  </w:num>
  <w:num w:numId="23">
    <w:abstractNumId w:val="29"/>
  </w:num>
  <w:num w:numId="24">
    <w:abstractNumId w:val="12"/>
  </w:num>
  <w:num w:numId="25">
    <w:abstractNumId w:val="1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1"/>
  </w:num>
  <w:num w:numId="29">
    <w:abstractNumId w:val="23"/>
  </w:num>
  <w:num w:numId="30">
    <w:abstractNumId w:val="8"/>
  </w:num>
  <w:num w:numId="31">
    <w:abstractNumId w:val="17"/>
  </w:num>
  <w:num w:numId="32">
    <w:abstractNumId w:val="32"/>
  </w:num>
  <w:num w:numId="33">
    <w:abstractNumId w:val="11"/>
  </w:num>
  <w:num w:numId="34">
    <w:abstractNumId w:val="28"/>
  </w:num>
  <w:num w:numId="35">
    <w:abstractNumId w:val="30"/>
  </w:num>
  <w:num w:numId="36">
    <w:abstractNumId w:val="15"/>
  </w:num>
  <w:num w:numId="37">
    <w:abstractNumId w:val="27"/>
  </w:num>
  <w:num w:numId="38">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F81"/>
    <w:rsid w:val="0000031E"/>
    <w:rsid w:val="00000EB9"/>
    <w:rsid w:val="00003987"/>
    <w:rsid w:val="0000420C"/>
    <w:rsid w:val="00004CDF"/>
    <w:rsid w:val="000148F8"/>
    <w:rsid w:val="00015C58"/>
    <w:rsid w:val="00015FA7"/>
    <w:rsid w:val="00022747"/>
    <w:rsid w:val="0002287B"/>
    <w:rsid w:val="0002524B"/>
    <w:rsid w:val="000255ED"/>
    <w:rsid w:val="0002784E"/>
    <w:rsid w:val="00031EF2"/>
    <w:rsid w:val="00032819"/>
    <w:rsid w:val="00032DF6"/>
    <w:rsid w:val="00033407"/>
    <w:rsid w:val="000343E3"/>
    <w:rsid w:val="000364DA"/>
    <w:rsid w:val="00044635"/>
    <w:rsid w:val="000446F8"/>
    <w:rsid w:val="000528AE"/>
    <w:rsid w:val="00052AAE"/>
    <w:rsid w:val="00055E2E"/>
    <w:rsid w:val="00061081"/>
    <w:rsid w:val="00070600"/>
    <w:rsid w:val="00081BF9"/>
    <w:rsid w:val="000823EC"/>
    <w:rsid w:val="00082E77"/>
    <w:rsid w:val="00083A52"/>
    <w:rsid w:val="00086862"/>
    <w:rsid w:val="00091088"/>
    <w:rsid w:val="0009399F"/>
    <w:rsid w:val="00093A39"/>
    <w:rsid w:val="00094F35"/>
    <w:rsid w:val="00097FA8"/>
    <w:rsid w:val="000A6D25"/>
    <w:rsid w:val="000A7AAF"/>
    <w:rsid w:val="000B0AC7"/>
    <w:rsid w:val="000B2487"/>
    <w:rsid w:val="000B25EC"/>
    <w:rsid w:val="000B2DE8"/>
    <w:rsid w:val="000B3801"/>
    <w:rsid w:val="000B59F3"/>
    <w:rsid w:val="000C397B"/>
    <w:rsid w:val="000C7808"/>
    <w:rsid w:val="000D0795"/>
    <w:rsid w:val="000D0A8F"/>
    <w:rsid w:val="000D18BE"/>
    <w:rsid w:val="000D1988"/>
    <w:rsid w:val="000D1A4C"/>
    <w:rsid w:val="000D3303"/>
    <w:rsid w:val="000D355F"/>
    <w:rsid w:val="000D40FC"/>
    <w:rsid w:val="000E04FF"/>
    <w:rsid w:val="000E19B0"/>
    <w:rsid w:val="000E4C50"/>
    <w:rsid w:val="000E5C27"/>
    <w:rsid w:val="000F1744"/>
    <w:rsid w:val="000F618F"/>
    <w:rsid w:val="000F6ECF"/>
    <w:rsid w:val="000F7443"/>
    <w:rsid w:val="001026ED"/>
    <w:rsid w:val="00111058"/>
    <w:rsid w:val="00112992"/>
    <w:rsid w:val="00114E4B"/>
    <w:rsid w:val="00115137"/>
    <w:rsid w:val="00116DC4"/>
    <w:rsid w:val="0012027D"/>
    <w:rsid w:val="00122857"/>
    <w:rsid w:val="00122C1A"/>
    <w:rsid w:val="00123653"/>
    <w:rsid w:val="00133328"/>
    <w:rsid w:val="00133355"/>
    <w:rsid w:val="0013378D"/>
    <w:rsid w:val="00143339"/>
    <w:rsid w:val="001511E9"/>
    <w:rsid w:val="00151574"/>
    <w:rsid w:val="00154FAD"/>
    <w:rsid w:val="001621C4"/>
    <w:rsid w:val="00163A77"/>
    <w:rsid w:val="00163C49"/>
    <w:rsid w:val="00165906"/>
    <w:rsid w:val="001720AE"/>
    <w:rsid w:val="001721B8"/>
    <w:rsid w:val="00175D9D"/>
    <w:rsid w:val="0017699C"/>
    <w:rsid w:val="00177469"/>
    <w:rsid w:val="00181A92"/>
    <w:rsid w:val="00184A0F"/>
    <w:rsid w:val="001855F9"/>
    <w:rsid w:val="00195DF9"/>
    <w:rsid w:val="001A2FCD"/>
    <w:rsid w:val="001A5A65"/>
    <w:rsid w:val="001A7B5B"/>
    <w:rsid w:val="001A7BEB"/>
    <w:rsid w:val="001B091F"/>
    <w:rsid w:val="001B2994"/>
    <w:rsid w:val="001B2EF9"/>
    <w:rsid w:val="001B5911"/>
    <w:rsid w:val="001C5448"/>
    <w:rsid w:val="001D2B30"/>
    <w:rsid w:val="001D5789"/>
    <w:rsid w:val="001D6290"/>
    <w:rsid w:val="001D6BAB"/>
    <w:rsid w:val="001E0F65"/>
    <w:rsid w:val="001F35A4"/>
    <w:rsid w:val="001F5293"/>
    <w:rsid w:val="001F6421"/>
    <w:rsid w:val="00200DE7"/>
    <w:rsid w:val="002019DE"/>
    <w:rsid w:val="0021101C"/>
    <w:rsid w:val="00211FF7"/>
    <w:rsid w:val="002125FA"/>
    <w:rsid w:val="002137C0"/>
    <w:rsid w:val="002154E8"/>
    <w:rsid w:val="00215B49"/>
    <w:rsid w:val="00222137"/>
    <w:rsid w:val="002231F9"/>
    <w:rsid w:val="0022513E"/>
    <w:rsid w:val="002259CA"/>
    <w:rsid w:val="00234994"/>
    <w:rsid w:val="002361D4"/>
    <w:rsid w:val="002407CA"/>
    <w:rsid w:val="00242EFE"/>
    <w:rsid w:val="002434F7"/>
    <w:rsid w:val="00251A98"/>
    <w:rsid w:val="00260F46"/>
    <w:rsid w:val="00265CED"/>
    <w:rsid w:val="002672ED"/>
    <w:rsid w:val="00270237"/>
    <w:rsid w:val="00275CA3"/>
    <w:rsid w:val="00280A70"/>
    <w:rsid w:val="00280AD2"/>
    <w:rsid w:val="00281BB6"/>
    <w:rsid w:val="002835BD"/>
    <w:rsid w:val="00284D14"/>
    <w:rsid w:val="00286307"/>
    <w:rsid w:val="00291FD9"/>
    <w:rsid w:val="0029391A"/>
    <w:rsid w:val="002A001B"/>
    <w:rsid w:val="002A2E98"/>
    <w:rsid w:val="002A52A3"/>
    <w:rsid w:val="002A6D92"/>
    <w:rsid w:val="002B351D"/>
    <w:rsid w:val="002B696D"/>
    <w:rsid w:val="002B7FAA"/>
    <w:rsid w:val="002C33AA"/>
    <w:rsid w:val="002C6896"/>
    <w:rsid w:val="002D3D49"/>
    <w:rsid w:val="002D3FCB"/>
    <w:rsid w:val="002E1113"/>
    <w:rsid w:val="002E3197"/>
    <w:rsid w:val="002E3F86"/>
    <w:rsid w:val="002E5271"/>
    <w:rsid w:val="002E572D"/>
    <w:rsid w:val="002F4FA6"/>
    <w:rsid w:val="002F67E4"/>
    <w:rsid w:val="00300869"/>
    <w:rsid w:val="003024BD"/>
    <w:rsid w:val="00302E9B"/>
    <w:rsid w:val="00304152"/>
    <w:rsid w:val="00304D08"/>
    <w:rsid w:val="0031099C"/>
    <w:rsid w:val="003117F1"/>
    <w:rsid w:val="00311C30"/>
    <w:rsid w:val="00314D03"/>
    <w:rsid w:val="00322D16"/>
    <w:rsid w:val="00325276"/>
    <w:rsid w:val="003263D3"/>
    <w:rsid w:val="003315E6"/>
    <w:rsid w:val="003323F9"/>
    <w:rsid w:val="003334F8"/>
    <w:rsid w:val="00342479"/>
    <w:rsid w:val="00342F25"/>
    <w:rsid w:val="00343BD7"/>
    <w:rsid w:val="00350A9C"/>
    <w:rsid w:val="00350F7C"/>
    <w:rsid w:val="00352E5A"/>
    <w:rsid w:val="003533D5"/>
    <w:rsid w:val="00357C0B"/>
    <w:rsid w:val="00362A00"/>
    <w:rsid w:val="0036542F"/>
    <w:rsid w:val="00366F79"/>
    <w:rsid w:val="00372A48"/>
    <w:rsid w:val="00373264"/>
    <w:rsid w:val="0037400D"/>
    <w:rsid w:val="0037441E"/>
    <w:rsid w:val="00375B28"/>
    <w:rsid w:val="0038067B"/>
    <w:rsid w:val="0038250C"/>
    <w:rsid w:val="00383173"/>
    <w:rsid w:val="003848B5"/>
    <w:rsid w:val="00390D68"/>
    <w:rsid w:val="003947C1"/>
    <w:rsid w:val="0039487E"/>
    <w:rsid w:val="003A2FE4"/>
    <w:rsid w:val="003B2F7C"/>
    <w:rsid w:val="003B30D3"/>
    <w:rsid w:val="003B4811"/>
    <w:rsid w:val="003B7468"/>
    <w:rsid w:val="003C3CB2"/>
    <w:rsid w:val="003C5F1B"/>
    <w:rsid w:val="003C69AB"/>
    <w:rsid w:val="003D4D72"/>
    <w:rsid w:val="003E7684"/>
    <w:rsid w:val="003E799F"/>
    <w:rsid w:val="003F044B"/>
    <w:rsid w:val="003F32C0"/>
    <w:rsid w:val="003F3E6E"/>
    <w:rsid w:val="003F520C"/>
    <w:rsid w:val="003F673D"/>
    <w:rsid w:val="0040329E"/>
    <w:rsid w:val="00405AE9"/>
    <w:rsid w:val="00405F9A"/>
    <w:rsid w:val="0040668E"/>
    <w:rsid w:val="00406894"/>
    <w:rsid w:val="00410B27"/>
    <w:rsid w:val="004119A5"/>
    <w:rsid w:val="00413B03"/>
    <w:rsid w:val="004178E8"/>
    <w:rsid w:val="00422998"/>
    <w:rsid w:val="00427D43"/>
    <w:rsid w:val="00437ECC"/>
    <w:rsid w:val="00440C54"/>
    <w:rsid w:val="00452321"/>
    <w:rsid w:val="00454476"/>
    <w:rsid w:val="004559D1"/>
    <w:rsid w:val="00462852"/>
    <w:rsid w:val="00475EC2"/>
    <w:rsid w:val="00480EBB"/>
    <w:rsid w:val="004821BA"/>
    <w:rsid w:val="004827E1"/>
    <w:rsid w:val="00484522"/>
    <w:rsid w:val="00484693"/>
    <w:rsid w:val="0049079F"/>
    <w:rsid w:val="00491E5F"/>
    <w:rsid w:val="00495DBE"/>
    <w:rsid w:val="00496EB1"/>
    <w:rsid w:val="004B14FB"/>
    <w:rsid w:val="004B1D54"/>
    <w:rsid w:val="004B4607"/>
    <w:rsid w:val="004B73B7"/>
    <w:rsid w:val="004C100B"/>
    <w:rsid w:val="004C3929"/>
    <w:rsid w:val="004C4BE4"/>
    <w:rsid w:val="004C7B31"/>
    <w:rsid w:val="004D0D3C"/>
    <w:rsid w:val="004D2ED6"/>
    <w:rsid w:val="004E3DDD"/>
    <w:rsid w:val="004E4C6B"/>
    <w:rsid w:val="004E532B"/>
    <w:rsid w:val="004E5691"/>
    <w:rsid w:val="004E604D"/>
    <w:rsid w:val="004F0A6E"/>
    <w:rsid w:val="004F340A"/>
    <w:rsid w:val="004F6FB7"/>
    <w:rsid w:val="0050062C"/>
    <w:rsid w:val="005043EB"/>
    <w:rsid w:val="00504833"/>
    <w:rsid w:val="005104F8"/>
    <w:rsid w:val="00511589"/>
    <w:rsid w:val="00514C8D"/>
    <w:rsid w:val="005205F0"/>
    <w:rsid w:val="005217F0"/>
    <w:rsid w:val="00527880"/>
    <w:rsid w:val="00534C0C"/>
    <w:rsid w:val="00540D73"/>
    <w:rsid w:val="00543BB2"/>
    <w:rsid w:val="005502D1"/>
    <w:rsid w:val="00554109"/>
    <w:rsid w:val="0055538C"/>
    <w:rsid w:val="00557AF7"/>
    <w:rsid w:val="00557EA0"/>
    <w:rsid w:val="00565A30"/>
    <w:rsid w:val="00566329"/>
    <w:rsid w:val="00570159"/>
    <w:rsid w:val="005706B9"/>
    <w:rsid w:val="0057133D"/>
    <w:rsid w:val="005745FB"/>
    <w:rsid w:val="00576A07"/>
    <w:rsid w:val="0058109E"/>
    <w:rsid w:val="005813A2"/>
    <w:rsid w:val="00583DD7"/>
    <w:rsid w:val="00590581"/>
    <w:rsid w:val="00591463"/>
    <w:rsid w:val="005921AC"/>
    <w:rsid w:val="005A629F"/>
    <w:rsid w:val="005B35B5"/>
    <w:rsid w:val="005B76CF"/>
    <w:rsid w:val="005C5216"/>
    <w:rsid w:val="005C5A3B"/>
    <w:rsid w:val="005D0E4E"/>
    <w:rsid w:val="005D2796"/>
    <w:rsid w:val="005D5515"/>
    <w:rsid w:val="005D574F"/>
    <w:rsid w:val="005D5D85"/>
    <w:rsid w:val="005D6F27"/>
    <w:rsid w:val="005D77FF"/>
    <w:rsid w:val="005E156F"/>
    <w:rsid w:val="005E25BD"/>
    <w:rsid w:val="005E2A38"/>
    <w:rsid w:val="005E2B90"/>
    <w:rsid w:val="005E3D5E"/>
    <w:rsid w:val="005E4318"/>
    <w:rsid w:val="005F7515"/>
    <w:rsid w:val="005F784E"/>
    <w:rsid w:val="005F7E4F"/>
    <w:rsid w:val="0060093E"/>
    <w:rsid w:val="006040C6"/>
    <w:rsid w:val="006046A3"/>
    <w:rsid w:val="00605BCB"/>
    <w:rsid w:val="00610419"/>
    <w:rsid w:val="00613217"/>
    <w:rsid w:val="006138D1"/>
    <w:rsid w:val="00616874"/>
    <w:rsid w:val="00623F03"/>
    <w:rsid w:val="00626936"/>
    <w:rsid w:val="00626DDC"/>
    <w:rsid w:val="006271A4"/>
    <w:rsid w:val="00631AAF"/>
    <w:rsid w:val="00637E75"/>
    <w:rsid w:val="00640106"/>
    <w:rsid w:val="0064178B"/>
    <w:rsid w:val="00651498"/>
    <w:rsid w:val="00652A25"/>
    <w:rsid w:val="00652AF4"/>
    <w:rsid w:val="006539A8"/>
    <w:rsid w:val="006570AB"/>
    <w:rsid w:val="00660FB4"/>
    <w:rsid w:val="0066397D"/>
    <w:rsid w:val="0066505A"/>
    <w:rsid w:val="006667B8"/>
    <w:rsid w:val="006668E7"/>
    <w:rsid w:val="00672778"/>
    <w:rsid w:val="00675BD4"/>
    <w:rsid w:val="00681563"/>
    <w:rsid w:val="00683657"/>
    <w:rsid w:val="00692CF1"/>
    <w:rsid w:val="00694A49"/>
    <w:rsid w:val="0069638C"/>
    <w:rsid w:val="00697D76"/>
    <w:rsid w:val="006A6C3E"/>
    <w:rsid w:val="006B4D1F"/>
    <w:rsid w:val="006C16FF"/>
    <w:rsid w:val="006C22FA"/>
    <w:rsid w:val="006C4592"/>
    <w:rsid w:val="006C49A2"/>
    <w:rsid w:val="006C4A75"/>
    <w:rsid w:val="006C5145"/>
    <w:rsid w:val="006C77C7"/>
    <w:rsid w:val="006D2364"/>
    <w:rsid w:val="006D39BC"/>
    <w:rsid w:val="006D6411"/>
    <w:rsid w:val="006E2A68"/>
    <w:rsid w:val="006E3465"/>
    <w:rsid w:val="006F2AFB"/>
    <w:rsid w:val="006F3198"/>
    <w:rsid w:val="006F3FA8"/>
    <w:rsid w:val="006F479A"/>
    <w:rsid w:val="00704CC9"/>
    <w:rsid w:val="00704FA9"/>
    <w:rsid w:val="00707EEB"/>
    <w:rsid w:val="00711079"/>
    <w:rsid w:val="007117B3"/>
    <w:rsid w:val="00712657"/>
    <w:rsid w:val="00722CC8"/>
    <w:rsid w:val="00727550"/>
    <w:rsid w:val="007276AD"/>
    <w:rsid w:val="007358D9"/>
    <w:rsid w:val="0074192F"/>
    <w:rsid w:val="00750624"/>
    <w:rsid w:val="00754014"/>
    <w:rsid w:val="00755C08"/>
    <w:rsid w:val="00757E38"/>
    <w:rsid w:val="00761F8A"/>
    <w:rsid w:val="00763060"/>
    <w:rsid w:val="007639FE"/>
    <w:rsid w:val="00764D6A"/>
    <w:rsid w:val="0076582D"/>
    <w:rsid w:val="00766EC7"/>
    <w:rsid w:val="00773056"/>
    <w:rsid w:val="00773156"/>
    <w:rsid w:val="0077537D"/>
    <w:rsid w:val="00777F15"/>
    <w:rsid w:val="00781FB3"/>
    <w:rsid w:val="00782DAE"/>
    <w:rsid w:val="00787B65"/>
    <w:rsid w:val="00791730"/>
    <w:rsid w:val="007925BA"/>
    <w:rsid w:val="00793F6B"/>
    <w:rsid w:val="00795329"/>
    <w:rsid w:val="007A147D"/>
    <w:rsid w:val="007A67E3"/>
    <w:rsid w:val="007A69F2"/>
    <w:rsid w:val="007B42F2"/>
    <w:rsid w:val="007B79F2"/>
    <w:rsid w:val="007C358A"/>
    <w:rsid w:val="007C5C21"/>
    <w:rsid w:val="007C69EA"/>
    <w:rsid w:val="007C6F26"/>
    <w:rsid w:val="007C70C6"/>
    <w:rsid w:val="007D087E"/>
    <w:rsid w:val="007D1B47"/>
    <w:rsid w:val="007D2745"/>
    <w:rsid w:val="007D54B4"/>
    <w:rsid w:val="007F017B"/>
    <w:rsid w:val="007F3804"/>
    <w:rsid w:val="007F46DA"/>
    <w:rsid w:val="00810F2A"/>
    <w:rsid w:val="0081267F"/>
    <w:rsid w:val="0081417B"/>
    <w:rsid w:val="0081599E"/>
    <w:rsid w:val="00815F81"/>
    <w:rsid w:val="00816861"/>
    <w:rsid w:val="00825B41"/>
    <w:rsid w:val="00826210"/>
    <w:rsid w:val="00834582"/>
    <w:rsid w:val="00834738"/>
    <w:rsid w:val="0083546E"/>
    <w:rsid w:val="008453B7"/>
    <w:rsid w:val="008474C1"/>
    <w:rsid w:val="0084774E"/>
    <w:rsid w:val="00851598"/>
    <w:rsid w:val="008518F7"/>
    <w:rsid w:val="00863742"/>
    <w:rsid w:val="00870C6C"/>
    <w:rsid w:val="00882D67"/>
    <w:rsid w:val="00886DB1"/>
    <w:rsid w:val="008915D6"/>
    <w:rsid w:val="0089239A"/>
    <w:rsid w:val="00896171"/>
    <w:rsid w:val="00896794"/>
    <w:rsid w:val="00897DC3"/>
    <w:rsid w:val="008B013D"/>
    <w:rsid w:val="008B316A"/>
    <w:rsid w:val="008B67D8"/>
    <w:rsid w:val="008C4F5C"/>
    <w:rsid w:val="008D325C"/>
    <w:rsid w:val="008D3F83"/>
    <w:rsid w:val="008D48D5"/>
    <w:rsid w:val="008D619B"/>
    <w:rsid w:val="008D6C0A"/>
    <w:rsid w:val="008E6D2B"/>
    <w:rsid w:val="008F250E"/>
    <w:rsid w:val="008F29E5"/>
    <w:rsid w:val="008F3550"/>
    <w:rsid w:val="008F7183"/>
    <w:rsid w:val="0090521E"/>
    <w:rsid w:val="009072FF"/>
    <w:rsid w:val="00910945"/>
    <w:rsid w:val="009138B4"/>
    <w:rsid w:val="00921550"/>
    <w:rsid w:val="009232AB"/>
    <w:rsid w:val="009271AB"/>
    <w:rsid w:val="009278B0"/>
    <w:rsid w:val="00930150"/>
    <w:rsid w:val="00931431"/>
    <w:rsid w:val="0093143D"/>
    <w:rsid w:val="00934E26"/>
    <w:rsid w:val="009350DD"/>
    <w:rsid w:val="00935ABE"/>
    <w:rsid w:val="00940AC3"/>
    <w:rsid w:val="00943DE1"/>
    <w:rsid w:val="00945EE5"/>
    <w:rsid w:val="00950987"/>
    <w:rsid w:val="009512A8"/>
    <w:rsid w:val="00957389"/>
    <w:rsid w:val="00957CE6"/>
    <w:rsid w:val="00961656"/>
    <w:rsid w:val="009647B4"/>
    <w:rsid w:val="0096768E"/>
    <w:rsid w:val="0097529A"/>
    <w:rsid w:val="009816B1"/>
    <w:rsid w:val="0098372C"/>
    <w:rsid w:val="009872C8"/>
    <w:rsid w:val="00987FF5"/>
    <w:rsid w:val="00990C2A"/>
    <w:rsid w:val="00992C7F"/>
    <w:rsid w:val="00992EA4"/>
    <w:rsid w:val="0099413C"/>
    <w:rsid w:val="00995E8A"/>
    <w:rsid w:val="00997CF0"/>
    <w:rsid w:val="009A4FCC"/>
    <w:rsid w:val="009B0B5E"/>
    <w:rsid w:val="009B170B"/>
    <w:rsid w:val="009B1FB4"/>
    <w:rsid w:val="009C7865"/>
    <w:rsid w:val="009D5007"/>
    <w:rsid w:val="009D60E9"/>
    <w:rsid w:val="009E1FF7"/>
    <w:rsid w:val="009E31AC"/>
    <w:rsid w:val="009E32DF"/>
    <w:rsid w:val="009E4B72"/>
    <w:rsid w:val="009F0482"/>
    <w:rsid w:val="009F4FF3"/>
    <w:rsid w:val="009F6E2F"/>
    <w:rsid w:val="00A03DAA"/>
    <w:rsid w:val="00A07EE2"/>
    <w:rsid w:val="00A112DF"/>
    <w:rsid w:val="00A135B2"/>
    <w:rsid w:val="00A14562"/>
    <w:rsid w:val="00A227BE"/>
    <w:rsid w:val="00A278DE"/>
    <w:rsid w:val="00A3308B"/>
    <w:rsid w:val="00A42331"/>
    <w:rsid w:val="00A4453D"/>
    <w:rsid w:val="00A45C6E"/>
    <w:rsid w:val="00A473BF"/>
    <w:rsid w:val="00A541AF"/>
    <w:rsid w:val="00A573E7"/>
    <w:rsid w:val="00A57504"/>
    <w:rsid w:val="00A60366"/>
    <w:rsid w:val="00A626BD"/>
    <w:rsid w:val="00A720CC"/>
    <w:rsid w:val="00A7433B"/>
    <w:rsid w:val="00A74CC1"/>
    <w:rsid w:val="00A7605C"/>
    <w:rsid w:val="00A81CAB"/>
    <w:rsid w:val="00A826D0"/>
    <w:rsid w:val="00A839AE"/>
    <w:rsid w:val="00A8792C"/>
    <w:rsid w:val="00A90A25"/>
    <w:rsid w:val="00A9130F"/>
    <w:rsid w:val="00AA2DAE"/>
    <w:rsid w:val="00AB2C5F"/>
    <w:rsid w:val="00AB38DC"/>
    <w:rsid w:val="00AB553A"/>
    <w:rsid w:val="00AC16F5"/>
    <w:rsid w:val="00AC35F5"/>
    <w:rsid w:val="00AC6606"/>
    <w:rsid w:val="00AC7BAA"/>
    <w:rsid w:val="00AC7FC1"/>
    <w:rsid w:val="00AD135F"/>
    <w:rsid w:val="00AD1D14"/>
    <w:rsid w:val="00AD21E1"/>
    <w:rsid w:val="00AD2ECD"/>
    <w:rsid w:val="00AE038C"/>
    <w:rsid w:val="00AE39F4"/>
    <w:rsid w:val="00AE4237"/>
    <w:rsid w:val="00AF040A"/>
    <w:rsid w:val="00B0123F"/>
    <w:rsid w:val="00B03BAD"/>
    <w:rsid w:val="00B06CF7"/>
    <w:rsid w:val="00B2302D"/>
    <w:rsid w:val="00B23BCC"/>
    <w:rsid w:val="00B257E1"/>
    <w:rsid w:val="00B30330"/>
    <w:rsid w:val="00B3066D"/>
    <w:rsid w:val="00B33683"/>
    <w:rsid w:val="00B347A0"/>
    <w:rsid w:val="00B35D90"/>
    <w:rsid w:val="00B36B2E"/>
    <w:rsid w:val="00B37703"/>
    <w:rsid w:val="00B37C07"/>
    <w:rsid w:val="00B40493"/>
    <w:rsid w:val="00B4412B"/>
    <w:rsid w:val="00B46459"/>
    <w:rsid w:val="00B503F4"/>
    <w:rsid w:val="00B51160"/>
    <w:rsid w:val="00B51A5C"/>
    <w:rsid w:val="00B5554C"/>
    <w:rsid w:val="00B5740E"/>
    <w:rsid w:val="00B57EB9"/>
    <w:rsid w:val="00B602E9"/>
    <w:rsid w:val="00B62937"/>
    <w:rsid w:val="00B6351E"/>
    <w:rsid w:val="00B66324"/>
    <w:rsid w:val="00B67812"/>
    <w:rsid w:val="00B72E60"/>
    <w:rsid w:val="00B73677"/>
    <w:rsid w:val="00B75794"/>
    <w:rsid w:val="00B803C8"/>
    <w:rsid w:val="00B81B82"/>
    <w:rsid w:val="00B82409"/>
    <w:rsid w:val="00B83D70"/>
    <w:rsid w:val="00B84530"/>
    <w:rsid w:val="00B861B4"/>
    <w:rsid w:val="00B91253"/>
    <w:rsid w:val="00B91EB9"/>
    <w:rsid w:val="00B961B0"/>
    <w:rsid w:val="00B96E25"/>
    <w:rsid w:val="00B97E61"/>
    <w:rsid w:val="00BA02AB"/>
    <w:rsid w:val="00BA07B4"/>
    <w:rsid w:val="00BA171D"/>
    <w:rsid w:val="00BA2A9A"/>
    <w:rsid w:val="00BA328D"/>
    <w:rsid w:val="00BA4657"/>
    <w:rsid w:val="00BC1616"/>
    <w:rsid w:val="00BC3907"/>
    <w:rsid w:val="00BC436B"/>
    <w:rsid w:val="00BC7790"/>
    <w:rsid w:val="00BD0E4A"/>
    <w:rsid w:val="00BD1C13"/>
    <w:rsid w:val="00BD530E"/>
    <w:rsid w:val="00BD5A91"/>
    <w:rsid w:val="00BD7E44"/>
    <w:rsid w:val="00BE141F"/>
    <w:rsid w:val="00BE1812"/>
    <w:rsid w:val="00BE2F61"/>
    <w:rsid w:val="00BE561A"/>
    <w:rsid w:val="00BE5AFE"/>
    <w:rsid w:val="00BE6BCB"/>
    <w:rsid w:val="00BF455F"/>
    <w:rsid w:val="00BF508C"/>
    <w:rsid w:val="00C003C5"/>
    <w:rsid w:val="00C009A4"/>
    <w:rsid w:val="00C02519"/>
    <w:rsid w:val="00C04D95"/>
    <w:rsid w:val="00C057EA"/>
    <w:rsid w:val="00C06442"/>
    <w:rsid w:val="00C079A0"/>
    <w:rsid w:val="00C10544"/>
    <w:rsid w:val="00C128CD"/>
    <w:rsid w:val="00C12ACE"/>
    <w:rsid w:val="00C1598D"/>
    <w:rsid w:val="00C17727"/>
    <w:rsid w:val="00C31D51"/>
    <w:rsid w:val="00C33358"/>
    <w:rsid w:val="00C33E32"/>
    <w:rsid w:val="00C3667D"/>
    <w:rsid w:val="00C3705A"/>
    <w:rsid w:val="00C416EC"/>
    <w:rsid w:val="00C419CD"/>
    <w:rsid w:val="00C4251F"/>
    <w:rsid w:val="00C46AE6"/>
    <w:rsid w:val="00C47C47"/>
    <w:rsid w:val="00C50458"/>
    <w:rsid w:val="00C53EA7"/>
    <w:rsid w:val="00C54183"/>
    <w:rsid w:val="00C542A8"/>
    <w:rsid w:val="00C558E9"/>
    <w:rsid w:val="00C64D80"/>
    <w:rsid w:val="00C659A9"/>
    <w:rsid w:val="00C718D4"/>
    <w:rsid w:val="00C732B6"/>
    <w:rsid w:val="00C770D8"/>
    <w:rsid w:val="00C8557E"/>
    <w:rsid w:val="00C85C62"/>
    <w:rsid w:val="00C908D5"/>
    <w:rsid w:val="00C935DB"/>
    <w:rsid w:val="00C94E6C"/>
    <w:rsid w:val="00CA0856"/>
    <w:rsid w:val="00CA6E9B"/>
    <w:rsid w:val="00CA79B3"/>
    <w:rsid w:val="00CC2C9A"/>
    <w:rsid w:val="00CC452D"/>
    <w:rsid w:val="00CC467E"/>
    <w:rsid w:val="00CC58D7"/>
    <w:rsid w:val="00CC62C2"/>
    <w:rsid w:val="00CD05AD"/>
    <w:rsid w:val="00CD087A"/>
    <w:rsid w:val="00CD1D6D"/>
    <w:rsid w:val="00CD3A6F"/>
    <w:rsid w:val="00CD4834"/>
    <w:rsid w:val="00CE0028"/>
    <w:rsid w:val="00CE1584"/>
    <w:rsid w:val="00CE5304"/>
    <w:rsid w:val="00CE61AF"/>
    <w:rsid w:val="00CF1FB6"/>
    <w:rsid w:val="00CF2F9C"/>
    <w:rsid w:val="00CF3572"/>
    <w:rsid w:val="00CF6236"/>
    <w:rsid w:val="00CF7F3D"/>
    <w:rsid w:val="00D02A19"/>
    <w:rsid w:val="00D03BB1"/>
    <w:rsid w:val="00D07384"/>
    <w:rsid w:val="00D07AF0"/>
    <w:rsid w:val="00D07B1C"/>
    <w:rsid w:val="00D104BA"/>
    <w:rsid w:val="00D10D34"/>
    <w:rsid w:val="00D20147"/>
    <w:rsid w:val="00D215A3"/>
    <w:rsid w:val="00D228FC"/>
    <w:rsid w:val="00D268AF"/>
    <w:rsid w:val="00D26CFB"/>
    <w:rsid w:val="00D26DC9"/>
    <w:rsid w:val="00D33233"/>
    <w:rsid w:val="00D34D81"/>
    <w:rsid w:val="00D3523A"/>
    <w:rsid w:val="00D47121"/>
    <w:rsid w:val="00D5020E"/>
    <w:rsid w:val="00D5762D"/>
    <w:rsid w:val="00D60C4E"/>
    <w:rsid w:val="00D6509D"/>
    <w:rsid w:val="00D6509F"/>
    <w:rsid w:val="00D655BC"/>
    <w:rsid w:val="00D6626A"/>
    <w:rsid w:val="00D67251"/>
    <w:rsid w:val="00D71658"/>
    <w:rsid w:val="00D748A3"/>
    <w:rsid w:val="00D75D1E"/>
    <w:rsid w:val="00D90C7A"/>
    <w:rsid w:val="00D91462"/>
    <w:rsid w:val="00D91C4F"/>
    <w:rsid w:val="00D95FF2"/>
    <w:rsid w:val="00D96F90"/>
    <w:rsid w:val="00D973E5"/>
    <w:rsid w:val="00DA074E"/>
    <w:rsid w:val="00DA1732"/>
    <w:rsid w:val="00DA1ABD"/>
    <w:rsid w:val="00DB21B6"/>
    <w:rsid w:val="00DB2B5A"/>
    <w:rsid w:val="00DB3FE4"/>
    <w:rsid w:val="00DC262C"/>
    <w:rsid w:val="00DC7FB8"/>
    <w:rsid w:val="00DD0C87"/>
    <w:rsid w:val="00DD16B9"/>
    <w:rsid w:val="00DE5B29"/>
    <w:rsid w:val="00DE7627"/>
    <w:rsid w:val="00DF0BC9"/>
    <w:rsid w:val="00DF4E99"/>
    <w:rsid w:val="00DF7432"/>
    <w:rsid w:val="00DF7947"/>
    <w:rsid w:val="00E00FFB"/>
    <w:rsid w:val="00E01345"/>
    <w:rsid w:val="00E04A6E"/>
    <w:rsid w:val="00E0699C"/>
    <w:rsid w:val="00E12D2F"/>
    <w:rsid w:val="00E146A7"/>
    <w:rsid w:val="00E16128"/>
    <w:rsid w:val="00E17B5E"/>
    <w:rsid w:val="00E20810"/>
    <w:rsid w:val="00E20BD5"/>
    <w:rsid w:val="00E20D07"/>
    <w:rsid w:val="00E244E2"/>
    <w:rsid w:val="00E25186"/>
    <w:rsid w:val="00E27BE0"/>
    <w:rsid w:val="00E346D2"/>
    <w:rsid w:val="00E43734"/>
    <w:rsid w:val="00E52695"/>
    <w:rsid w:val="00E55502"/>
    <w:rsid w:val="00E55B5C"/>
    <w:rsid w:val="00E56FAF"/>
    <w:rsid w:val="00E624BC"/>
    <w:rsid w:val="00E654C1"/>
    <w:rsid w:val="00E703C1"/>
    <w:rsid w:val="00E71242"/>
    <w:rsid w:val="00E7185E"/>
    <w:rsid w:val="00E72CAB"/>
    <w:rsid w:val="00E734E5"/>
    <w:rsid w:val="00E73A20"/>
    <w:rsid w:val="00E80D4C"/>
    <w:rsid w:val="00E845D2"/>
    <w:rsid w:val="00E9108D"/>
    <w:rsid w:val="00E91D72"/>
    <w:rsid w:val="00EA321E"/>
    <w:rsid w:val="00EA3D34"/>
    <w:rsid w:val="00EB069D"/>
    <w:rsid w:val="00EB55BD"/>
    <w:rsid w:val="00EC16DD"/>
    <w:rsid w:val="00EC1B49"/>
    <w:rsid w:val="00EC28D6"/>
    <w:rsid w:val="00EC7C55"/>
    <w:rsid w:val="00ED0FF6"/>
    <w:rsid w:val="00EE1408"/>
    <w:rsid w:val="00EE1CA5"/>
    <w:rsid w:val="00EF55CC"/>
    <w:rsid w:val="00EF7DD2"/>
    <w:rsid w:val="00F024DA"/>
    <w:rsid w:val="00F04729"/>
    <w:rsid w:val="00F04F4D"/>
    <w:rsid w:val="00F114C6"/>
    <w:rsid w:val="00F151C7"/>
    <w:rsid w:val="00F17E78"/>
    <w:rsid w:val="00F22035"/>
    <w:rsid w:val="00F2352C"/>
    <w:rsid w:val="00F275C5"/>
    <w:rsid w:val="00F30CD2"/>
    <w:rsid w:val="00F32CEF"/>
    <w:rsid w:val="00F37176"/>
    <w:rsid w:val="00F40D12"/>
    <w:rsid w:val="00F434FC"/>
    <w:rsid w:val="00F43DF5"/>
    <w:rsid w:val="00F45CEF"/>
    <w:rsid w:val="00F64F65"/>
    <w:rsid w:val="00F6576B"/>
    <w:rsid w:val="00F7273F"/>
    <w:rsid w:val="00F76A2A"/>
    <w:rsid w:val="00F8577A"/>
    <w:rsid w:val="00F87799"/>
    <w:rsid w:val="00F87E49"/>
    <w:rsid w:val="00F912D9"/>
    <w:rsid w:val="00F923C1"/>
    <w:rsid w:val="00F971D5"/>
    <w:rsid w:val="00FA2743"/>
    <w:rsid w:val="00FA47D1"/>
    <w:rsid w:val="00FA66DF"/>
    <w:rsid w:val="00FA7F9A"/>
    <w:rsid w:val="00FB1FC0"/>
    <w:rsid w:val="00FB5D45"/>
    <w:rsid w:val="00FB6B2E"/>
    <w:rsid w:val="00FB75B9"/>
    <w:rsid w:val="00FB7A2C"/>
    <w:rsid w:val="00FC1759"/>
    <w:rsid w:val="00FC18C0"/>
    <w:rsid w:val="00FC3584"/>
    <w:rsid w:val="00FC3906"/>
    <w:rsid w:val="00FE1A8D"/>
    <w:rsid w:val="00FE1B58"/>
    <w:rsid w:val="00FE274C"/>
    <w:rsid w:val="00FE2BD0"/>
    <w:rsid w:val="00FE78EE"/>
    <w:rsid w:val="00FF05F7"/>
    <w:rsid w:val="00FF2F65"/>
    <w:rsid w:val="00FF3DC2"/>
    <w:rsid w:val="00FF4FC8"/>
    <w:rsid w:val="089CC456"/>
    <w:rsid w:val="1023DF3A"/>
    <w:rsid w:val="25B6D172"/>
    <w:rsid w:val="71CDA2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32B91C8"/>
  <w15:docId w15:val="{244F7B01-5D60-4E96-9E9A-F5BD22395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9"/>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6"/>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6"/>
      </w:numPr>
      <w:spacing w:before="120" w:after="120"/>
      <w:contextualSpacing/>
    </w:pPr>
  </w:style>
  <w:style w:type="paragraph" w:styleId="ListNumber">
    <w:name w:val="List Number"/>
    <w:basedOn w:val="Normal"/>
    <w:uiPriority w:val="9"/>
    <w:qFormat/>
    <w:pPr>
      <w:numPr>
        <w:numId w:val="23"/>
      </w:numPr>
      <w:tabs>
        <w:tab w:val="left" w:pos="142"/>
      </w:tabs>
      <w:spacing w:before="120" w:after="120"/>
    </w:pPr>
  </w:style>
  <w:style w:type="paragraph" w:styleId="ListNumber2">
    <w:name w:val="List Number 2"/>
    <w:uiPriority w:val="10"/>
    <w:qFormat/>
    <w:pPr>
      <w:numPr>
        <w:ilvl w:val="1"/>
        <w:numId w:val="23"/>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2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83546E"/>
    <w:rPr>
      <w:color w:val="605E5C"/>
      <w:shd w:val="clear" w:color="auto" w:fill="E1DFDD"/>
    </w:rPr>
  </w:style>
  <w:style w:type="paragraph" w:styleId="ListParagraph">
    <w:name w:val="List Paragraph"/>
    <w:basedOn w:val="Normal"/>
    <w:uiPriority w:val="34"/>
    <w:qFormat/>
    <w:rsid w:val="009D60E9"/>
    <w:pPr>
      <w:spacing w:before="160" w:after="160" w:line="360" w:lineRule="auto"/>
      <w:ind w:left="720"/>
      <w:contextualSpacing/>
    </w:pPr>
    <w:rPr>
      <w:rFonts w:asciiTheme="minorHAnsi" w:hAnsiTheme="minorHAnsi"/>
      <w:sz w:val="24"/>
      <w:szCs w:val="24"/>
    </w:rPr>
  </w:style>
  <w:style w:type="character" w:customStyle="1" w:styleId="margin-right-xs">
    <w:name w:val="margin-right-xs"/>
    <w:basedOn w:val="DefaultParagraphFont"/>
    <w:rsid w:val="000A6D25"/>
  </w:style>
  <w:style w:type="character" w:styleId="BookTitle">
    <w:name w:val="Book Title"/>
    <w:basedOn w:val="DefaultParagraphFont"/>
    <w:uiPriority w:val="33"/>
    <w:qFormat/>
    <w:rsid w:val="000528AE"/>
    <w:rPr>
      <w:b/>
      <w:bCs/>
      <w:i/>
      <w:iCs/>
      <w:spacing w:val="5"/>
    </w:rPr>
  </w:style>
  <w:style w:type="paragraph" w:styleId="Revision">
    <w:name w:val="Revision"/>
    <w:hidden/>
    <w:uiPriority w:val="99"/>
    <w:semiHidden/>
    <w:rsid w:val="00527880"/>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889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330573">
      <w:bodyDiv w:val="1"/>
      <w:marLeft w:val="0"/>
      <w:marRight w:val="0"/>
      <w:marTop w:val="0"/>
      <w:marBottom w:val="0"/>
      <w:divBdr>
        <w:top w:val="none" w:sz="0" w:space="0" w:color="auto"/>
        <w:left w:val="none" w:sz="0" w:space="0" w:color="auto"/>
        <w:bottom w:val="none" w:sz="0" w:space="0" w:color="auto"/>
        <w:right w:val="none" w:sz="0" w:space="0" w:color="auto"/>
      </w:divBdr>
      <w:divsChild>
        <w:div w:id="1373529736">
          <w:marLeft w:val="0"/>
          <w:marRight w:val="0"/>
          <w:marTop w:val="0"/>
          <w:marBottom w:val="0"/>
          <w:divBdr>
            <w:top w:val="none" w:sz="0" w:space="0" w:color="auto"/>
            <w:left w:val="none" w:sz="0" w:space="0" w:color="auto"/>
            <w:bottom w:val="none" w:sz="0" w:space="0" w:color="auto"/>
            <w:right w:val="none" w:sz="0" w:space="0" w:color="auto"/>
          </w:divBdr>
          <w:divsChild>
            <w:div w:id="1949386866">
              <w:marLeft w:val="0"/>
              <w:marRight w:val="0"/>
              <w:marTop w:val="0"/>
              <w:marBottom w:val="0"/>
              <w:divBdr>
                <w:top w:val="none" w:sz="0" w:space="0" w:color="auto"/>
                <w:left w:val="none" w:sz="0" w:space="0" w:color="auto"/>
                <w:bottom w:val="none" w:sz="0" w:space="0" w:color="auto"/>
                <w:right w:val="none" w:sz="0" w:space="0" w:color="auto"/>
              </w:divBdr>
              <w:divsChild>
                <w:div w:id="847646307">
                  <w:marLeft w:val="0"/>
                  <w:marRight w:val="0"/>
                  <w:marTop w:val="0"/>
                  <w:marBottom w:val="0"/>
                  <w:divBdr>
                    <w:top w:val="none" w:sz="0" w:space="0" w:color="auto"/>
                    <w:left w:val="none" w:sz="0" w:space="0" w:color="auto"/>
                    <w:bottom w:val="none" w:sz="0" w:space="0" w:color="auto"/>
                    <w:right w:val="none" w:sz="0" w:space="0" w:color="auto"/>
                  </w:divBdr>
                  <w:divsChild>
                    <w:div w:id="1230798751">
                      <w:marLeft w:val="0"/>
                      <w:marRight w:val="0"/>
                      <w:marTop w:val="0"/>
                      <w:marBottom w:val="0"/>
                      <w:divBdr>
                        <w:top w:val="none" w:sz="0" w:space="0" w:color="auto"/>
                        <w:left w:val="none" w:sz="0" w:space="0" w:color="auto"/>
                        <w:bottom w:val="none" w:sz="0" w:space="0" w:color="auto"/>
                        <w:right w:val="none" w:sz="0" w:space="0" w:color="auto"/>
                      </w:divBdr>
                      <w:divsChild>
                        <w:div w:id="1288851173">
                          <w:marLeft w:val="0"/>
                          <w:marRight w:val="0"/>
                          <w:marTop w:val="0"/>
                          <w:marBottom w:val="0"/>
                          <w:divBdr>
                            <w:top w:val="none" w:sz="0" w:space="0" w:color="auto"/>
                            <w:left w:val="none" w:sz="0" w:space="0" w:color="auto"/>
                            <w:bottom w:val="none" w:sz="0" w:space="0" w:color="auto"/>
                            <w:right w:val="none" w:sz="0" w:space="0" w:color="auto"/>
                          </w:divBdr>
                          <w:divsChild>
                            <w:div w:id="302934175">
                              <w:marLeft w:val="0"/>
                              <w:marRight w:val="0"/>
                              <w:marTop w:val="0"/>
                              <w:marBottom w:val="0"/>
                              <w:divBdr>
                                <w:top w:val="none" w:sz="0" w:space="0" w:color="auto"/>
                                <w:left w:val="none" w:sz="0" w:space="0" w:color="auto"/>
                                <w:bottom w:val="none" w:sz="0" w:space="0" w:color="auto"/>
                                <w:right w:val="none" w:sz="0" w:space="0" w:color="auto"/>
                              </w:divBdr>
                              <w:divsChild>
                                <w:div w:id="151724111">
                                  <w:marLeft w:val="0"/>
                                  <w:marRight w:val="0"/>
                                  <w:marTop w:val="0"/>
                                  <w:marBottom w:val="0"/>
                                  <w:divBdr>
                                    <w:top w:val="none" w:sz="0" w:space="0" w:color="auto"/>
                                    <w:left w:val="none" w:sz="0" w:space="0" w:color="auto"/>
                                    <w:bottom w:val="none" w:sz="0" w:space="0" w:color="auto"/>
                                    <w:right w:val="none" w:sz="0" w:space="0" w:color="auto"/>
                                  </w:divBdr>
                                  <w:divsChild>
                                    <w:div w:id="1480925910">
                                      <w:marLeft w:val="0"/>
                                      <w:marRight w:val="0"/>
                                      <w:marTop w:val="0"/>
                                      <w:marBottom w:val="0"/>
                                      <w:divBdr>
                                        <w:top w:val="none" w:sz="0" w:space="0" w:color="auto"/>
                                        <w:left w:val="none" w:sz="0" w:space="0" w:color="auto"/>
                                        <w:bottom w:val="none" w:sz="0" w:space="0" w:color="auto"/>
                                        <w:right w:val="none" w:sz="0" w:space="0" w:color="auto"/>
                                      </w:divBdr>
                                      <w:divsChild>
                                        <w:div w:id="916210838">
                                          <w:marLeft w:val="0"/>
                                          <w:marRight w:val="0"/>
                                          <w:marTop w:val="0"/>
                                          <w:marBottom w:val="0"/>
                                          <w:divBdr>
                                            <w:top w:val="none" w:sz="0" w:space="0" w:color="auto"/>
                                            <w:left w:val="none" w:sz="0" w:space="0" w:color="auto"/>
                                            <w:bottom w:val="none" w:sz="0" w:space="0" w:color="auto"/>
                                            <w:right w:val="none" w:sz="0" w:space="0" w:color="auto"/>
                                          </w:divBdr>
                                          <w:divsChild>
                                            <w:div w:id="436026831">
                                              <w:marLeft w:val="0"/>
                                              <w:marRight w:val="0"/>
                                              <w:marTop w:val="0"/>
                                              <w:marBottom w:val="0"/>
                                              <w:divBdr>
                                                <w:top w:val="none" w:sz="0" w:space="0" w:color="auto"/>
                                                <w:left w:val="none" w:sz="0" w:space="0" w:color="auto"/>
                                                <w:bottom w:val="none" w:sz="0" w:space="0" w:color="auto"/>
                                                <w:right w:val="none" w:sz="0" w:space="0" w:color="auto"/>
                                              </w:divBdr>
                                              <w:divsChild>
                                                <w:div w:id="1840077264">
                                                  <w:marLeft w:val="0"/>
                                                  <w:marRight w:val="0"/>
                                                  <w:marTop w:val="0"/>
                                                  <w:marBottom w:val="600"/>
                                                  <w:divBdr>
                                                    <w:top w:val="none" w:sz="0" w:space="0" w:color="auto"/>
                                                    <w:left w:val="none" w:sz="0" w:space="0" w:color="auto"/>
                                                    <w:bottom w:val="none" w:sz="0" w:space="0" w:color="auto"/>
                                                    <w:right w:val="none" w:sz="0" w:space="0" w:color="auto"/>
                                                  </w:divBdr>
                                                  <w:divsChild>
                                                    <w:div w:id="646128415">
                                                      <w:marLeft w:val="0"/>
                                                      <w:marRight w:val="0"/>
                                                      <w:marTop w:val="0"/>
                                                      <w:marBottom w:val="0"/>
                                                      <w:divBdr>
                                                        <w:top w:val="none" w:sz="0" w:space="0" w:color="auto"/>
                                                        <w:left w:val="none" w:sz="0" w:space="0" w:color="auto"/>
                                                        <w:bottom w:val="none" w:sz="0" w:space="0" w:color="auto"/>
                                                        <w:right w:val="none" w:sz="0" w:space="0" w:color="auto"/>
                                                      </w:divBdr>
                                                      <w:divsChild>
                                                        <w:div w:id="709719870">
                                                          <w:marLeft w:val="0"/>
                                                          <w:marRight w:val="0"/>
                                                          <w:marTop w:val="0"/>
                                                          <w:marBottom w:val="0"/>
                                                          <w:divBdr>
                                                            <w:top w:val="single" w:sz="6" w:space="0" w:color="ABABAB"/>
                                                            <w:left w:val="single" w:sz="6" w:space="0" w:color="ABABAB"/>
                                                            <w:bottom w:val="single" w:sz="6" w:space="0" w:color="ABABAB"/>
                                                            <w:right w:val="single" w:sz="6" w:space="0" w:color="ABABAB"/>
                                                          </w:divBdr>
                                                          <w:divsChild>
                                                            <w:div w:id="2083022476">
                                                              <w:marLeft w:val="0"/>
                                                              <w:marRight w:val="0"/>
                                                              <w:marTop w:val="0"/>
                                                              <w:marBottom w:val="0"/>
                                                              <w:divBdr>
                                                                <w:top w:val="none" w:sz="0" w:space="0" w:color="auto"/>
                                                                <w:left w:val="none" w:sz="0" w:space="0" w:color="auto"/>
                                                                <w:bottom w:val="none" w:sz="0" w:space="0" w:color="auto"/>
                                                                <w:right w:val="none" w:sz="0" w:space="0" w:color="auto"/>
                                                              </w:divBdr>
                                                              <w:divsChild>
                                                                <w:div w:id="1834300826">
                                                                  <w:marLeft w:val="0"/>
                                                                  <w:marRight w:val="0"/>
                                                                  <w:marTop w:val="0"/>
                                                                  <w:marBottom w:val="0"/>
                                                                  <w:divBdr>
                                                                    <w:top w:val="none" w:sz="0" w:space="0" w:color="auto"/>
                                                                    <w:left w:val="none" w:sz="0" w:space="0" w:color="auto"/>
                                                                    <w:bottom w:val="none" w:sz="0" w:space="0" w:color="auto"/>
                                                                    <w:right w:val="none" w:sz="0" w:space="0" w:color="auto"/>
                                                                  </w:divBdr>
                                                                  <w:divsChild>
                                                                    <w:div w:id="597955118">
                                                                      <w:marLeft w:val="0"/>
                                                                      <w:marRight w:val="0"/>
                                                                      <w:marTop w:val="0"/>
                                                                      <w:marBottom w:val="0"/>
                                                                      <w:divBdr>
                                                                        <w:top w:val="none" w:sz="0" w:space="0" w:color="auto"/>
                                                                        <w:left w:val="none" w:sz="0" w:space="0" w:color="auto"/>
                                                                        <w:bottom w:val="none" w:sz="0" w:space="0" w:color="auto"/>
                                                                        <w:right w:val="none" w:sz="0" w:space="0" w:color="auto"/>
                                                                      </w:divBdr>
                                                                      <w:divsChild>
                                                                        <w:div w:id="1072241927">
                                                                          <w:marLeft w:val="0"/>
                                                                          <w:marRight w:val="0"/>
                                                                          <w:marTop w:val="0"/>
                                                                          <w:marBottom w:val="0"/>
                                                                          <w:divBdr>
                                                                            <w:top w:val="none" w:sz="0" w:space="0" w:color="auto"/>
                                                                            <w:left w:val="none" w:sz="0" w:space="0" w:color="auto"/>
                                                                            <w:bottom w:val="none" w:sz="0" w:space="0" w:color="auto"/>
                                                                            <w:right w:val="none" w:sz="0" w:space="0" w:color="auto"/>
                                                                          </w:divBdr>
                                                                          <w:divsChild>
                                                                            <w:div w:id="1326864101">
                                                                              <w:marLeft w:val="0"/>
                                                                              <w:marRight w:val="0"/>
                                                                              <w:marTop w:val="0"/>
                                                                              <w:marBottom w:val="0"/>
                                                                              <w:divBdr>
                                                                                <w:top w:val="none" w:sz="0" w:space="0" w:color="auto"/>
                                                                                <w:left w:val="none" w:sz="0" w:space="0" w:color="auto"/>
                                                                                <w:bottom w:val="none" w:sz="0" w:space="0" w:color="auto"/>
                                                                                <w:right w:val="none" w:sz="0" w:space="0" w:color="auto"/>
                                                                              </w:divBdr>
                                                                              <w:divsChild>
                                                                                <w:div w:id="72288022">
                                                                                  <w:marLeft w:val="0"/>
                                                                                  <w:marRight w:val="0"/>
                                                                                  <w:marTop w:val="0"/>
                                                                                  <w:marBottom w:val="0"/>
                                                                                  <w:divBdr>
                                                                                    <w:top w:val="none" w:sz="0" w:space="0" w:color="auto"/>
                                                                                    <w:left w:val="none" w:sz="0" w:space="0" w:color="auto"/>
                                                                                    <w:bottom w:val="none" w:sz="0" w:space="0" w:color="auto"/>
                                                                                    <w:right w:val="none" w:sz="0" w:space="0" w:color="auto"/>
                                                                                  </w:divBdr>
                                                                                  <w:divsChild>
                                                                                    <w:div w:id="593825785">
                                                                                      <w:marLeft w:val="0"/>
                                                                                      <w:marRight w:val="0"/>
                                                                                      <w:marTop w:val="0"/>
                                                                                      <w:marBottom w:val="0"/>
                                                                                      <w:divBdr>
                                                                                        <w:top w:val="none" w:sz="0" w:space="0" w:color="auto"/>
                                                                                        <w:left w:val="none" w:sz="0" w:space="0" w:color="auto"/>
                                                                                        <w:bottom w:val="none" w:sz="0" w:space="0" w:color="auto"/>
                                                                                        <w:right w:val="none" w:sz="0" w:space="0" w:color="auto"/>
                                                                                      </w:divBdr>
                                                                                    </w:div>
                                                                                    <w:div w:id="668867067">
                                                                                      <w:marLeft w:val="0"/>
                                                                                      <w:marRight w:val="0"/>
                                                                                      <w:marTop w:val="0"/>
                                                                                      <w:marBottom w:val="0"/>
                                                                                      <w:divBdr>
                                                                                        <w:top w:val="none" w:sz="0" w:space="0" w:color="auto"/>
                                                                                        <w:left w:val="none" w:sz="0" w:space="0" w:color="auto"/>
                                                                                        <w:bottom w:val="none" w:sz="0" w:space="0" w:color="auto"/>
                                                                                        <w:right w:val="none" w:sz="0" w:space="0" w:color="auto"/>
                                                                                      </w:divBdr>
                                                                                    </w:div>
                                                                                    <w:div w:id="793869720">
                                                                                      <w:marLeft w:val="0"/>
                                                                                      <w:marRight w:val="0"/>
                                                                                      <w:marTop w:val="0"/>
                                                                                      <w:marBottom w:val="0"/>
                                                                                      <w:divBdr>
                                                                                        <w:top w:val="none" w:sz="0" w:space="0" w:color="auto"/>
                                                                                        <w:left w:val="none" w:sz="0" w:space="0" w:color="auto"/>
                                                                                        <w:bottom w:val="none" w:sz="0" w:space="0" w:color="auto"/>
                                                                                        <w:right w:val="none" w:sz="0" w:space="0" w:color="auto"/>
                                                                                      </w:divBdr>
                                                                                    </w:div>
                                                                                    <w:div w:id="1057512689">
                                                                                      <w:marLeft w:val="0"/>
                                                                                      <w:marRight w:val="0"/>
                                                                                      <w:marTop w:val="0"/>
                                                                                      <w:marBottom w:val="0"/>
                                                                                      <w:divBdr>
                                                                                        <w:top w:val="none" w:sz="0" w:space="0" w:color="auto"/>
                                                                                        <w:left w:val="none" w:sz="0" w:space="0" w:color="auto"/>
                                                                                        <w:bottom w:val="none" w:sz="0" w:space="0" w:color="auto"/>
                                                                                        <w:right w:val="none" w:sz="0" w:space="0" w:color="auto"/>
                                                                                      </w:divBdr>
                                                                                    </w:div>
                                                                                    <w:div w:id="1088841628">
                                                                                      <w:marLeft w:val="0"/>
                                                                                      <w:marRight w:val="0"/>
                                                                                      <w:marTop w:val="0"/>
                                                                                      <w:marBottom w:val="0"/>
                                                                                      <w:divBdr>
                                                                                        <w:top w:val="none" w:sz="0" w:space="0" w:color="auto"/>
                                                                                        <w:left w:val="none" w:sz="0" w:space="0" w:color="auto"/>
                                                                                        <w:bottom w:val="none" w:sz="0" w:space="0" w:color="auto"/>
                                                                                        <w:right w:val="none" w:sz="0" w:space="0" w:color="auto"/>
                                                                                      </w:divBdr>
                                                                                    </w:div>
                                                                                    <w:div w:id="1116407379">
                                                                                      <w:marLeft w:val="0"/>
                                                                                      <w:marRight w:val="0"/>
                                                                                      <w:marTop w:val="0"/>
                                                                                      <w:marBottom w:val="0"/>
                                                                                      <w:divBdr>
                                                                                        <w:top w:val="none" w:sz="0" w:space="0" w:color="auto"/>
                                                                                        <w:left w:val="none" w:sz="0" w:space="0" w:color="auto"/>
                                                                                        <w:bottom w:val="none" w:sz="0" w:space="0" w:color="auto"/>
                                                                                        <w:right w:val="none" w:sz="0" w:space="0" w:color="auto"/>
                                                                                      </w:divBdr>
                                                                                    </w:div>
                                                                                    <w:div w:id="1421829769">
                                                                                      <w:marLeft w:val="0"/>
                                                                                      <w:marRight w:val="0"/>
                                                                                      <w:marTop w:val="0"/>
                                                                                      <w:marBottom w:val="0"/>
                                                                                      <w:divBdr>
                                                                                        <w:top w:val="none" w:sz="0" w:space="0" w:color="auto"/>
                                                                                        <w:left w:val="none" w:sz="0" w:space="0" w:color="auto"/>
                                                                                        <w:bottom w:val="none" w:sz="0" w:space="0" w:color="auto"/>
                                                                                        <w:right w:val="none" w:sz="0" w:space="0" w:color="auto"/>
                                                                                      </w:divBdr>
                                                                                    </w:div>
                                                                                    <w:div w:id="1548297227">
                                                                                      <w:marLeft w:val="0"/>
                                                                                      <w:marRight w:val="0"/>
                                                                                      <w:marTop w:val="0"/>
                                                                                      <w:marBottom w:val="0"/>
                                                                                      <w:divBdr>
                                                                                        <w:top w:val="none" w:sz="0" w:space="0" w:color="auto"/>
                                                                                        <w:left w:val="none" w:sz="0" w:space="0" w:color="auto"/>
                                                                                        <w:bottom w:val="none" w:sz="0" w:space="0" w:color="auto"/>
                                                                                        <w:right w:val="none" w:sz="0" w:space="0" w:color="auto"/>
                                                                                      </w:divBdr>
                                                                                    </w:div>
                                                                                    <w:div w:id="1646854568">
                                                                                      <w:marLeft w:val="0"/>
                                                                                      <w:marRight w:val="0"/>
                                                                                      <w:marTop w:val="0"/>
                                                                                      <w:marBottom w:val="0"/>
                                                                                      <w:divBdr>
                                                                                        <w:top w:val="none" w:sz="0" w:space="0" w:color="auto"/>
                                                                                        <w:left w:val="none" w:sz="0" w:space="0" w:color="auto"/>
                                                                                        <w:bottom w:val="none" w:sz="0" w:space="0" w:color="auto"/>
                                                                                        <w:right w:val="none" w:sz="0" w:space="0" w:color="auto"/>
                                                                                      </w:divBdr>
                                                                                    </w:div>
                                                                                    <w:div w:id="17852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79436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847754">
      <w:bodyDiv w:val="1"/>
      <w:marLeft w:val="0"/>
      <w:marRight w:val="0"/>
      <w:marTop w:val="0"/>
      <w:marBottom w:val="0"/>
      <w:divBdr>
        <w:top w:val="none" w:sz="0" w:space="0" w:color="auto"/>
        <w:left w:val="none" w:sz="0" w:space="0" w:color="auto"/>
        <w:bottom w:val="none" w:sz="0" w:space="0" w:color="auto"/>
        <w:right w:val="none" w:sz="0" w:space="0" w:color="auto"/>
      </w:divBdr>
      <w:divsChild>
        <w:div w:id="1587835658">
          <w:marLeft w:val="0"/>
          <w:marRight w:val="0"/>
          <w:marTop w:val="0"/>
          <w:marBottom w:val="0"/>
          <w:divBdr>
            <w:top w:val="none" w:sz="0" w:space="0" w:color="auto"/>
            <w:left w:val="none" w:sz="0" w:space="0" w:color="auto"/>
            <w:bottom w:val="none" w:sz="0" w:space="0" w:color="auto"/>
            <w:right w:val="none" w:sz="0" w:space="0" w:color="auto"/>
          </w:divBdr>
          <w:divsChild>
            <w:div w:id="1917742397">
              <w:marLeft w:val="0"/>
              <w:marRight w:val="0"/>
              <w:marTop w:val="0"/>
              <w:marBottom w:val="0"/>
              <w:divBdr>
                <w:top w:val="none" w:sz="0" w:space="0" w:color="auto"/>
                <w:left w:val="none" w:sz="0" w:space="0" w:color="auto"/>
                <w:bottom w:val="none" w:sz="0" w:space="0" w:color="auto"/>
                <w:right w:val="none" w:sz="0" w:space="0" w:color="auto"/>
              </w:divBdr>
              <w:divsChild>
                <w:div w:id="468714899">
                  <w:marLeft w:val="0"/>
                  <w:marRight w:val="0"/>
                  <w:marTop w:val="0"/>
                  <w:marBottom w:val="0"/>
                  <w:divBdr>
                    <w:top w:val="none" w:sz="0" w:space="0" w:color="auto"/>
                    <w:left w:val="none" w:sz="0" w:space="0" w:color="auto"/>
                    <w:bottom w:val="none" w:sz="0" w:space="0" w:color="auto"/>
                    <w:right w:val="none" w:sz="0" w:space="0" w:color="auto"/>
                  </w:divBdr>
                  <w:divsChild>
                    <w:div w:id="1258977646">
                      <w:marLeft w:val="0"/>
                      <w:marRight w:val="0"/>
                      <w:marTop w:val="0"/>
                      <w:marBottom w:val="0"/>
                      <w:divBdr>
                        <w:top w:val="none" w:sz="0" w:space="0" w:color="auto"/>
                        <w:left w:val="none" w:sz="0" w:space="0" w:color="auto"/>
                        <w:bottom w:val="none" w:sz="0" w:space="0" w:color="auto"/>
                        <w:right w:val="none" w:sz="0" w:space="0" w:color="auto"/>
                      </w:divBdr>
                      <w:divsChild>
                        <w:div w:id="1793589897">
                          <w:marLeft w:val="0"/>
                          <w:marRight w:val="0"/>
                          <w:marTop w:val="0"/>
                          <w:marBottom w:val="0"/>
                          <w:divBdr>
                            <w:top w:val="none" w:sz="0" w:space="0" w:color="auto"/>
                            <w:left w:val="none" w:sz="0" w:space="0" w:color="auto"/>
                            <w:bottom w:val="none" w:sz="0" w:space="0" w:color="auto"/>
                            <w:right w:val="none" w:sz="0" w:space="0" w:color="auto"/>
                          </w:divBdr>
                          <w:divsChild>
                            <w:div w:id="1099376929">
                              <w:marLeft w:val="0"/>
                              <w:marRight w:val="0"/>
                              <w:marTop w:val="0"/>
                              <w:marBottom w:val="0"/>
                              <w:divBdr>
                                <w:top w:val="none" w:sz="0" w:space="0" w:color="auto"/>
                                <w:left w:val="none" w:sz="0" w:space="0" w:color="auto"/>
                                <w:bottom w:val="none" w:sz="0" w:space="0" w:color="auto"/>
                                <w:right w:val="none" w:sz="0" w:space="0" w:color="auto"/>
                              </w:divBdr>
                              <w:divsChild>
                                <w:div w:id="2098017599">
                                  <w:marLeft w:val="0"/>
                                  <w:marRight w:val="0"/>
                                  <w:marTop w:val="0"/>
                                  <w:marBottom w:val="0"/>
                                  <w:divBdr>
                                    <w:top w:val="none" w:sz="0" w:space="0" w:color="auto"/>
                                    <w:left w:val="none" w:sz="0" w:space="0" w:color="auto"/>
                                    <w:bottom w:val="none" w:sz="0" w:space="0" w:color="auto"/>
                                    <w:right w:val="none" w:sz="0" w:space="0" w:color="auto"/>
                                  </w:divBdr>
                                  <w:divsChild>
                                    <w:div w:id="475151681">
                                      <w:marLeft w:val="0"/>
                                      <w:marRight w:val="0"/>
                                      <w:marTop w:val="0"/>
                                      <w:marBottom w:val="0"/>
                                      <w:divBdr>
                                        <w:top w:val="none" w:sz="0" w:space="0" w:color="auto"/>
                                        <w:left w:val="none" w:sz="0" w:space="0" w:color="auto"/>
                                        <w:bottom w:val="none" w:sz="0" w:space="0" w:color="auto"/>
                                        <w:right w:val="none" w:sz="0" w:space="0" w:color="auto"/>
                                      </w:divBdr>
                                      <w:divsChild>
                                        <w:div w:id="1688218054">
                                          <w:marLeft w:val="0"/>
                                          <w:marRight w:val="0"/>
                                          <w:marTop w:val="0"/>
                                          <w:marBottom w:val="0"/>
                                          <w:divBdr>
                                            <w:top w:val="none" w:sz="0" w:space="0" w:color="auto"/>
                                            <w:left w:val="none" w:sz="0" w:space="0" w:color="auto"/>
                                            <w:bottom w:val="none" w:sz="0" w:space="0" w:color="auto"/>
                                            <w:right w:val="none" w:sz="0" w:space="0" w:color="auto"/>
                                          </w:divBdr>
                                          <w:divsChild>
                                            <w:div w:id="2093769267">
                                              <w:marLeft w:val="0"/>
                                              <w:marRight w:val="0"/>
                                              <w:marTop w:val="0"/>
                                              <w:marBottom w:val="0"/>
                                              <w:divBdr>
                                                <w:top w:val="none" w:sz="0" w:space="0" w:color="auto"/>
                                                <w:left w:val="none" w:sz="0" w:space="0" w:color="auto"/>
                                                <w:bottom w:val="none" w:sz="0" w:space="0" w:color="auto"/>
                                                <w:right w:val="none" w:sz="0" w:space="0" w:color="auto"/>
                                              </w:divBdr>
                                              <w:divsChild>
                                                <w:div w:id="221335697">
                                                  <w:marLeft w:val="0"/>
                                                  <w:marRight w:val="0"/>
                                                  <w:marTop w:val="0"/>
                                                  <w:marBottom w:val="600"/>
                                                  <w:divBdr>
                                                    <w:top w:val="none" w:sz="0" w:space="0" w:color="auto"/>
                                                    <w:left w:val="none" w:sz="0" w:space="0" w:color="auto"/>
                                                    <w:bottom w:val="none" w:sz="0" w:space="0" w:color="auto"/>
                                                    <w:right w:val="none" w:sz="0" w:space="0" w:color="auto"/>
                                                  </w:divBdr>
                                                  <w:divsChild>
                                                    <w:div w:id="1533300682">
                                                      <w:marLeft w:val="0"/>
                                                      <w:marRight w:val="0"/>
                                                      <w:marTop w:val="0"/>
                                                      <w:marBottom w:val="0"/>
                                                      <w:divBdr>
                                                        <w:top w:val="none" w:sz="0" w:space="0" w:color="auto"/>
                                                        <w:left w:val="none" w:sz="0" w:space="0" w:color="auto"/>
                                                        <w:bottom w:val="none" w:sz="0" w:space="0" w:color="auto"/>
                                                        <w:right w:val="none" w:sz="0" w:space="0" w:color="auto"/>
                                                      </w:divBdr>
                                                      <w:divsChild>
                                                        <w:div w:id="1355350792">
                                                          <w:marLeft w:val="0"/>
                                                          <w:marRight w:val="0"/>
                                                          <w:marTop w:val="0"/>
                                                          <w:marBottom w:val="0"/>
                                                          <w:divBdr>
                                                            <w:top w:val="single" w:sz="6" w:space="0" w:color="ABABAB"/>
                                                            <w:left w:val="single" w:sz="6" w:space="0" w:color="ABABAB"/>
                                                            <w:bottom w:val="single" w:sz="6" w:space="0" w:color="ABABAB"/>
                                                            <w:right w:val="single" w:sz="6" w:space="0" w:color="ABABAB"/>
                                                          </w:divBdr>
                                                          <w:divsChild>
                                                            <w:div w:id="1667440144">
                                                              <w:marLeft w:val="0"/>
                                                              <w:marRight w:val="0"/>
                                                              <w:marTop w:val="0"/>
                                                              <w:marBottom w:val="0"/>
                                                              <w:divBdr>
                                                                <w:top w:val="none" w:sz="0" w:space="0" w:color="auto"/>
                                                                <w:left w:val="none" w:sz="0" w:space="0" w:color="auto"/>
                                                                <w:bottom w:val="none" w:sz="0" w:space="0" w:color="auto"/>
                                                                <w:right w:val="none" w:sz="0" w:space="0" w:color="auto"/>
                                                              </w:divBdr>
                                                              <w:divsChild>
                                                                <w:div w:id="1220748036">
                                                                  <w:marLeft w:val="0"/>
                                                                  <w:marRight w:val="0"/>
                                                                  <w:marTop w:val="0"/>
                                                                  <w:marBottom w:val="0"/>
                                                                  <w:divBdr>
                                                                    <w:top w:val="none" w:sz="0" w:space="0" w:color="auto"/>
                                                                    <w:left w:val="none" w:sz="0" w:space="0" w:color="auto"/>
                                                                    <w:bottom w:val="none" w:sz="0" w:space="0" w:color="auto"/>
                                                                    <w:right w:val="none" w:sz="0" w:space="0" w:color="auto"/>
                                                                  </w:divBdr>
                                                                  <w:divsChild>
                                                                    <w:div w:id="1617911439">
                                                                      <w:marLeft w:val="0"/>
                                                                      <w:marRight w:val="0"/>
                                                                      <w:marTop w:val="0"/>
                                                                      <w:marBottom w:val="0"/>
                                                                      <w:divBdr>
                                                                        <w:top w:val="none" w:sz="0" w:space="0" w:color="auto"/>
                                                                        <w:left w:val="none" w:sz="0" w:space="0" w:color="auto"/>
                                                                        <w:bottom w:val="none" w:sz="0" w:space="0" w:color="auto"/>
                                                                        <w:right w:val="none" w:sz="0" w:space="0" w:color="auto"/>
                                                                      </w:divBdr>
                                                                      <w:divsChild>
                                                                        <w:div w:id="938295873">
                                                                          <w:marLeft w:val="0"/>
                                                                          <w:marRight w:val="0"/>
                                                                          <w:marTop w:val="0"/>
                                                                          <w:marBottom w:val="0"/>
                                                                          <w:divBdr>
                                                                            <w:top w:val="none" w:sz="0" w:space="0" w:color="auto"/>
                                                                            <w:left w:val="none" w:sz="0" w:space="0" w:color="auto"/>
                                                                            <w:bottom w:val="none" w:sz="0" w:space="0" w:color="auto"/>
                                                                            <w:right w:val="none" w:sz="0" w:space="0" w:color="auto"/>
                                                                          </w:divBdr>
                                                                          <w:divsChild>
                                                                            <w:div w:id="1770588289">
                                                                              <w:marLeft w:val="0"/>
                                                                              <w:marRight w:val="0"/>
                                                                              <w:marTop w:val="0"/>
                                                                              <w:marBottom w:val="0"/>
                                                                              <w:divBdr>
                                                                                <w:top w:val="none" w:sz="0" w:space="0" w:color="auto"/>
                                                                                <w:left w:val="none" w:sz="0" w:space="0" w:color="auto"/>
                                                                                <w:bottom w:val="none" w:sz="0" w:space="0" w:color="auto"/>
                                                                                <w:right w:val="none" w:sz="0" w:space="0" w:color="auto"/>
                                                                              </w:divBdr>
                                                                              <w:divsChild>
                                                                                <w:div w:id="1662152778">
                                                                                  <w:marLeft w:val="0"/>
                                                                                  <w:marRight w:val="0"/>
                                                                                  <w:marTop w:val="0"/>
                                                                                  <w:marBottom w:val="0"/>
                                                                                  <w:divBdr>
                                                                                    <w:top w:val="none" w:sz="0" w:space="0" w:color="auto"/>
                                                                                    <w:left w:val="none" w:sz="0" w:space="0" w:color="auto"/>
                                                                                    <w:bottom w:val="none" w:sz="0" w:space="0" w:color="auto"/>
                                                                                    <w:right w:val="none" w:sz="0" w:space="0" w:color="auto"/>
                                                                                  </w:divBdr>
                                                                                  <w:divsChild>
                                                                                    <w:div w:id="56979571">
                                                                                      <w:marLeft w:val="0"/>
                                                                                      <w:marRight w:val="0"/>
                                                                                      <w:marTop w:val="0"/>
                                                                                      <w:marBottom w:val="0"/>
                                                                                      <w:divBdr>
                                                                                        <w:top w:val="none" w:sz="0" w:space="0" w:color="auto"/>
                                                                                        <w:left w:val="none" w:sz="0" w:space="0" w:color="auto"/>
                                                                                        <w:bottom w:val="none" w:sz="0" w:space="0" w:color="auto"/>
                                                                                        <w:right w:val="none" w:sz="0" w:space="0" w:color="auto"/>
                                                                                      </w:divBdr>
                                                                                    </w:div>
                                                                                    <w:div w:id="200410834">
                                                                                      <w:marLeft w:val="0"/>
                                                                                      <w:marRight w:val="0"/>
                                                                                      <w:marTop w:val="0"/>
                                                                                      <w:marBottom w:val="0"/>
                                                                                      <w:divBdr>
                                                                                        <w:top w:val="none" w:sz="0" w:space="0" w:color="auto"/>
                                                                                        <w:left w:val="none" w:sz="0" w:space="0" w:color="auto"/>
                                                                                        <w:bottom w:val="none" w:sz="0" w:space="0" w:color="auto"/>
                                                                                        <w:right w:val="none" w:sz="0" w:space="0" w:color="auto"/>
                                                                                      </w:divBdr>
                                                                                    </w:div>
                                                                                    <w:div w:id="267011855">
                                                                                      <w:marLeft w:val="0"/>
                                                                                      <w:marRight w:val="0"/>
                                                                                      <w:marTop w:val="0"/>
                                                                                      <w:marBottom w:val="0"/>
                                                                                      <w:divBdr>
                                                                                        <w:top w:val="none" w:sz="0" w:space="0" w:color="auto"/>
                                                                                        <w:left w:val="none" w:sz="0" w:space="0" w:color="auto"/>
                                                                                        <w:bottom w:val="none" w:sz="0" w:space="0" w:color="auto"/>
                                                                                        <w:right w:val="none" w:sz="0" w:space="0" w:color="auto"/>
                                                                                      </w:divBdr>
                                                                                    </w:div>
                                                                                    <w:div w:id="484588939">
                                                                                      <w:marLeft w:val="0"/>
                                                                                      <w:marRight w:val="0"/>
                                                                                      <w:marTop w:val="0"/>
                                                                                      <w:marBottom w:val="0"/>
                                                                                      <w:divBdr>
                                                                                        <w:top w:val="none" w:sz="0" w:space="0" w:color="auto"/>
                                                                                        <w:left w:val="none" w:sz="0" w:space="0" w:color="auto"/>
                                                                                        <w:bottom w:val="none" w:sz="0" w:space="0" w:color="auto"/>
                                                                                        <w:right w:val="none" w:sz="0" w:space="0" w:color="auto"/>
                                                                                      </w:divBdr>
                                                                                    </w:div>
                                                                                    <w:div w:id="497161547">
                                                                                      <w:marLeft w:val="0"/>
                                                                                      <w:marRight w:val="0"/>
                                                                                      <w:marTop w:val="0"/>
                                                                                      <w:marBottom w:val="0"/>
                                                                                      <w:divBdr>
                                                                                        <w:top w:val="none" w:sz="0" w:space="0" w:color="auto"/>
                                                                                        <w:left w:val="none" w:sz="0" w:space="0" w:color="auto"/>
                                                                                        <w:bottom w:val="none" w:sz="0" w:space="0" w:color="auto"/>
                                                                                        <w:right w:val="none" w:sz="0" w:space="0" w:color="auto"/>
                                                                                      </w:divBdr>
                                                                                    </w:div>
                                                                                    <w:div w:id="628587282">
                                                                                      <w:marLeft w:val="0"/>
                                                                                      <w:marRight w:val="0"/>
                                                                                      <w:marTop w:val="0"/>
                                                                                      <w:marBottom w:val="0"/>
                                                                                      <w:divBdr>
                                                                                        <w:top w:val="none" w:sz="0" w:space="0" w:color="auto"/>
                                                                                        <w:left w:val="none" w:sz="0" w:space="0" w:color="auto"/>
                                                                                        <w:bottom w:val="none" w:sz="0" w:space="0" w:color="auto"/>
                                                                                        <w:right w:val="none" w:sz="0" w:space="0" w:color="auto"/>
                                                                                      </w:divBdr>
                                                                                    </w:div>
                                                                                    <w:div w:id="664743271">
                                                                                      <w:marLeft w:val="0"/>
                                                                                      <w:marRight w:val="0"/>
                                                                                      <w:marTop w:val="0"/>
                                                                                      <w:marBottom w:val="0"/>
                                                                                      <w:divBdr>
                                                                                        <w:top w:val="none" w:sz="0" w:space="0" w:color="auto"/>
                                                                                        <w:left w:val="none" w:sz="0" w:space="0" w:color="auto"/>
                                                                                        <w:bottom w:val="none" w:sz="0" w:space="0" w:color="auto"/>
                                                                                        <w:right w:val="none" w:sz="0" w:space="0" w:color="auto"/>
                                                                                      </w:divBdr>
                                                                                    </w:div>
                                                                                    <w:div w:id="749085155">
                                                                                      <w:marLeft w:val="0"/>
                                                                                      <w:marRight w:val="0"/>
                                                                                      <w:marTop w:val="0"/>
                                                                                      <w:marBottom w:val="0"/>
                                                                                      <w:divBdr>
                                                                                        <w:top w:val="none" w:sz="0" w:space="0" w:color="auto"/>
                                                                                        <w:left w:val="none" w:sz="0" w:space="0" w:color="auto"/>
                                                                                        <w:bottom w:val="none" w:sz="0" w:space="0" w:color="auto"/>
                                                                                        <w:right w:val="none" w:sz="0" w:space="0" w:color="auto"/>
                                                                                      </w:divBdr>
                                                                                    </w:div>
                                                                                    <w:div w:id="1244490493">
                                                                                      <w:marLeft w:val="0"/>
                                                                                      <w:marRight w:val="0"/>
                                                                                      <w:marTop w:val="0"/>
                                                                                      <w:marBottom w:val="0"/>
                                                                                      <w:divBdr>
                                                                                        <w:top w:val="none" w:sz="0" w:space="0" w:color="auto"/>
                                                                                        <w:left w:val="none" w:sz="0" w:space="0" w:color="auto"/>
                                                                                        <w:bottom w:val="none" w:sz="0" w:space="0" w:color="auto"/>
                                                                                        <w:right w:val="none" w:sz="0" w:space="0" w:color="auto"/>
                                                                                      </w:divBdr>
                                                                                    </w:div>
                                                                                    <w:div w:id="21230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hyperlink" Target="https://www.researchgate.net/publication/342281916_Overview_of_current_practices_in_data_analysis_for_wood_identification_A_guide_for_the_different_timber_tracking_methods/link/5eeb9f16a6fdcc73be85b5d8/download" TargetMode="External"/><Relationship Id="rId3" Type="http://schemas.openxmlformats.org/officeDocument/2006/relationships/customXml" Target="../customXml/item3.xml"/><Relationship Id="rId21" Type="http://schemas.openxmlformats.org/officeDocument/2006/relationships/hyperlink" Target="mailto:IllegalLogging@awe.gov.au" TargetMode="External"/><Relationship Id="rId34" Type="http://schemas.openxmlformats.org/officeDocument/2006/relationships/hyperlink" Target="https://www.wri.org/profile/meaghan-parker-forney" TargetMode="External"/><Relationship Id="rId42" Type="http://schemas.openxmlformats.org/officeDocument/2006/relationships/hyperlink" Target="http://assets.wwf.org.uk/downloads/timber_testing_report_may15.pdf?_ga=1.18342335.780636418.1433397871"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hyperlink" Target="https://www.wri.org/profile/emily-kaldjian" TargetMode="External"/><Relationship Id="rId38" Type="http://schemas.openxmlformats.org/officeDocument/2006/relationships/hyperlink" Target="https://wildtech.mongabay.com/2016/08/dart-tofms-finding-chemistry-wood/"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haveyoursay.agriculture.gov.au/" TargetMode="External"/><Relationship Id="rId29" Type="http://schemas.openxmlformats.org/officeDocument/2006/relationships/hyperlink" Target="https://www.wri.org/profile/emily-kaldjian" TargetMode="External"/><Relationship Id="rId41" Type="http://schemas.openxmlformats.org/officeDocument/2006/relationships/hyperlink" Target="https://www.researchgate.net/publication/268512269_Fighting_illegal_logging_through_the_introduction_of_a_combination_of_the_isotope_method_for_identifying_the_origins_of_timber_and_DNA_analysis_for_differentiation_of_tree_spe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rivacy@awe.gov.au" TargetMode="External"/><Relationship Id="rId32" Type="http://schemas.openxmlformats.org/officeDocument/2006/relationships/hyperlink" Target="https://www.fpl.fs.fed.us/research/highlights/highlight.php?high_id=585" TargetMode="External"/><Relationship Id="rId37" Type="http://schemas.openxmlformats.org/officeDocument/2006/relationships/hyperlink" Target="https://www.gov.uk/government/publications/eutr-assessment-of-plywood-imported-from-china" TargetMode="External"/><Relationship Id="rId40" Type="http://schemas.openxmlformats.org/officeDocument/2006/relationships/hyperlink" Target="https://www.sourcecertain.com/tsw-trace" TargetMode="Externa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hyperlink" Target="https://www.awe.gov.au/about/commitment/privacy" TargetMode="External"/><Relationship Id="rId28" Type="http://schemas.openxmlformats.org/officeDocument/2006/relationships/hyperlink" Target="https://www.wri.org/profile/emily-kaldjian" TargetMode="External"/><Relationship Id="rId36" Type="http://schemas.openxmlformats.org/officeDocument/2006/relationships/hyperlink" Target="https://globaltimbertrackingnetwork.org/portfolios/timber-testing-technique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eia-global.org/reports/liquidating-the-forests-repor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IllegalLogging@awe.gov.au" TargetMode="External"/><Relationship Id="rId27" Type="http://schemas.openxmlformats.org/officeDocument/2006/relationships/hyperlink" Target="https://www.wri.org/profile/emily-kaldjian" TargetMode="External"/><Relationship Id="rId30" Type="http://schemas.openxmlformats.org/officeDocument/2006/relationships/hyperlink" Target="https://www.agroisolab.com/the-science-of-sira" TargetMode="External"/><Relationship Id="rId35" Type="http://schemas.openxmlformats.org/officeDocument/2006/relationships/hyperlink" Target="https://www.wri.org/insights/4-cutting-edge-technologies-catch-illegal-loggers"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ke%20taylor\AppData\Local\Microsoft\Windows\INetCache\Content.Outlook\P7294OPK\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D5F65F5FB3221469CC3E5BC302D51C9" ma:contentTypeVersion="" ma:contentTypeDescription="PDMS Document Site Content Type" ma:contentTypeScope="" ma:versionID="7043160321d402d158355dc2885e7db0">
  <xsd:schema xmlns:xsd="http://www.w3.org/2001/XMLSchema" xmlns:xs="http://www.w3.org/2001/XMLSchema" xmlns:p="http://schemas.microsoft.com/office/2006/metadata/properties" xmlns:ns2="262C5880-093A-4D03-8DF4-FD0FC5845039" targetNamespace="http://schemas.microsoft.com/office/2006/metadata/properties" ma:root="true" ma:fieldsID="ab5a5e8db053df89c24c876299c71a39" ns2:_="">
    <xsd:import namespace="262C5880-093A-4D03-8DF4-FD0FC584503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2C5880-093A-4D03-8DF4-FD0FC584503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262C5880-093A-4D03-8DF4-FD0FC5845039" xsi:nil="true"/>
  </documentManagement>
</p:properties>
</file>

<file path=customXml/itemProps1.xml><?xml version="1.0" encoding="utf-8"?>
<ds:datastoreItem xmlns:ds="http://schemas.openxmlformats.org/officeDocument/2006/customXml" ds:itemID="{6CB934EB-3BD2-4816-A6CF-6BAF0F952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2C5880-093A-4D03-8DF4-FD0FC5845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262C5880-093A-4D03-8DF4-FD0FC584503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Report template.dotx</Template>
  <TotalTime>64</TotalTime>
  <Pages>33</Pages>
  <Words>12765</Words>
  <Characters>72761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Sunsetting Review of the Illegal Logging Prohibition 2012: consultation paper</vt:lpstr>
    </vt:vector>
  </TitlesOfParts>
  <Company/>
  <LinksUpToDate>false</LinksUpToDate>
  <CharactersWithSpaces>85356</CharactersWithSpaces>
  <SharedDoc>false</SharedDoc>
  <HLinks>
    <vt:vector size="420" baseType="variant">
      <vt:variant>
        <vt:i4>1572871</vt:i4>
      </vt:variant>
      <vt:variant>
        <vt:i4>354</vt:i4>
      </vt:variant>
      <vt:variant>
        <vt:i4>0</vt:i4>
      </vt:variant>
      <vt:variant>
        <vt:i4>5</vt:i4>
      </vt:variant>
      <vt:variant>
        <vt:lpwstr>http://assets.wwf.org.uk/downloads/timber_testing_report_may15.pdf?_ga=1.18342335.780636418.1433397871</vt:lpwstr>
      </vt:variant>
      <vt:variant>
        <vt:lpwstr/>
      </vt:variant>
      <vt:variant>
        <vt:i4>4522096</vt:i4>
      </vt:variant>
      <vt:variant>
        <vt:i4>351</vt:i4>
      </vt:variant>
      <vt:variant>
        <vt:i4>0</vt:i4>
      </vt:variant>
      <vt:variant>
        <vt:i4>5</vt:i4>
      </vt:variant>
      <vt:variant>
        <vt:lpwstr>https://www.researchgate.net/publication/268512269_Fighting_illegal_logging_through_the_introduction_of_a_combination_of_the_isotope_method_for_identifying_the_origins_of_timber_and_DNA_analysis_for_differentiation_of_tree_species</vt:lpwstr>
      </vt:variant>
      <vt:variant>
        <vt:lpwstr/>
      </vt:variant>
      <vt:variant>
        <vt:i4>6881315</vt:i4>
      </vt:variant>
      <vt:variant>
        <vt:i4>348</vt:i4>
      </vt:variant>
      <vt:variant>
        <vt:i4>0</vt:i4>
      </vt:variant>
      <vt:variant>
        <vt:i4>5</vt:i4>
      </vt:variant>
      <vt:variant>
        <vt:lpwstr>https://www.sourcecertain.com/tsw-trace</vt:lpwstr>
      </vt:variant>
      <vt:variant>
        <vt:lpwstr/>
      </vt:variant>
      <vt:variant>
        <vt:i4>1245210</vt:i4>
      </vt:variant>
      <vt:variant>
        <vt:i4>345</vt:i4>
      </vt:variant>
      <vt:variant>
        <vt:i4>0</vt:i4>
      </vt:variant>
      <vt:variant>
        <vt:i4>5</vt:i4>
      </vt:variant>
      <vt:variant>
        <vt:lpwstr>https://www.researchgate.net/publication/342281916_Overview_of_current_practices_in_data_analysis_for_wood_identification_A_guide_for_the_different_timber_tracking_methods/link/5eeb9f16a6fdcc73be85b5d8/download</vt:lpwstr>
      </vt:variant>
      <vt:variant>
        <vt:lpwstr/>
      </vt:variant>
      <vt:variant>
        <vt:i4>5701718</vt:i4>
      </vt:variant>
      <vt:variant>
        <vt:i4>342</vt:i4>
      </vt:variant>
      <vt:variant>
        <vt:i4>0</vt:i4>
      </vt:variant>
      <vt:variant>
        <vt:i4>5</vt:i4>
      </vt:variant>
      <vt:variant>
        <vt:lpwstr>https://wildtech.mongabay.com/2016/08/dart-tofms-finding-chemistry-wood/</vt:lpwstr>
      </vt:variant>
      <vt:variant>
        <vt:lpwstr>:~:text=DART%2DTOFMS%20can%20determine%20the,can%20help%20combat%20illegal%20logging.</vt:lpwstr>
      </vt:variant>
      <vt:variant>
        <vt:i4>6029398</vt:i4>
      </vt:variant>
      <vt:variant>
        <vt:i4>339</vt:i4>
      </vt:variant>
      <vt:variant>
        <vt:i4>0</vt:i4>
      </vt:variant>
      <vt:variant>
        <vt:i4>5</vt:i4>
      </vt:variant>
      <vt:variant>
        <vt:lpwstr>https://www.gov.uk/government/publications/eutr-assessment-of-plywood-imported-from-china</vt:lpwstr>
      </vt:variant>
      <vt:variant>
        <vt:lpwstr/>
      </vt:variant>
      <vt:variant>
        <vt:i4>589830</vt:i4>
      </vt:variant>
      <vt:variant>
        <vt:i4>336</vt:i4>
      </vt:variant>
      <vt:variant>
        <vt:i4>0</vt:i4>
      </vt:variant>
      <vt:variant>
        <vt:i4>5</vt:i4>
      </vt:variant>
      <vt:variant>
        <vt:lpwstr>https://globaltimbertrackingnetwork.org/portfolios/timber-testing-techniques/</vt:lpwstr>
      </vt:variant>
      <vt:variant>
        <vt:lpwstr/>
      </vt:variant>
      <vt:variant>
        <vt:i4>2883636</vt:i4>
      </vt:variant>
      <vt:variant>
        <vt:i4>333</vt:i4>
      </vt:variant>
      <vt:variant>
        <vt:i4>0</vt:i4>
      </vt:variant>
      <vt:variant>
        <vt:i4>5</vt:i4>
      </vt:variant>
      <vt:variant>
        <vt:lpwstr>https://www.wri.org/insights/4-cutting-edge-technologies-catch-illegal-loggers</vt:lpwstr>
      </vt:variant>
      <vt:variant>
        <vt:lpwstr/>
      </vt:variant>
      <vt:variant>
        <vt:i4>5832708</vt:i4>
      </vt:variant>
      <vt:variant>
        <vt:i4>330</vt:i4>
      </vt:variant>
      <vt:variant>
        <vt:i4>0</vt:i4>
      </vt:variant>
      <vt:variant>
        <vt:i4>5</vt:i4>
      </vt:variant>
      <vt:variant>
        <vt:lpwstr>https://www.wri.org/profile/meaghan-parker-forney</vt:lpwstr>
      </vt:variant>
      <vt:variant>
        <vt:lpwstr/>
      </vt:variant>
      <vt:variant>
        <vt:i4>3145788</vt:i4>
      </vt:variant>
      <vt:variant>
        <vt:i4>327</vt:i4>
      </vt:variant>
      <vt:variant>
        <vt:i4>0</vt:i4>
      </vt:variant>
      <vt:variant>
        <vt:i4>5</vt:i4>
      </vt:variant>
      <vt:variant>
        <vt:lpwstr>https://www.wri.org/profile/emily-kaldjian</vt:lpwstr>
      </vt:variant>
      <vt:variant>
        <vt:lpwstr/>
      </vt:variant>
      <vt:variant>
        <vt:i4>7012430</vt:i4>
      </vt:variant>
      <vt:variant>
        <vt:i4>324</vt:i4>
      </vt:variant>
      <vt:variant>
        <vt:i4>0</vt:i4>
      </vt:variant>
      <vt:variant>
        <vt:i4>5</vt:i4>
      </vt:variant>
      <vt:variant>
        <vt:lpwstr>https://www.fpl.fs.fed.us/research/highlights/highlight.php?high_id=585</vt:lpwstr>
      </vt:variant>
      <vt:variant>
        <vt:lpwstr>:~:text=The%20Xylotron%3A%20A%20Field%2DDeployable%20Machine%2DVision%20Wood%20Identification%20System&amp;text=Snapshot%3A%20The%20Xylotron%20is%20a,run%20from%20a%20laptop%2Fnetbook.</vt:lpwstr>
      </vt:variant>
      <vt:variant>
        <vt:i4>5374044</vt:i4>
      </vt:variant>
      <vt:variant>
        <vt:i4>321</vt:i4>
      </vt:variant>
      <vt:variant>
        <vt:i4>0</vt:i4>
      </vt:variant>
      <vt:variant>
        <vt:i4>5</vt:i4>
      </vt:variant>
      <vt:variant>
        <vt:lpwstr>https://eia-global.org/reports/liquidating-the-forests-report</vt:lpwstr>
      </vt:variant>
      <vt:variant>
        <vt:lpwstr/>
      </vt:variant>
      <vt:variant>
        <vt:i4>7929904</vt:i4>
      </vt:variant>
      <vt:variant>
        <vt:i4>318</vt:i4>
      </vt:variant>
      <vt:variant>
        <vt:i4>0</vt:i4>
      </vt:variant>
      <vt:variant>
        <vt:i4>5</vt:i4>
      </vt:variant>
      <vt:variant>
        <vt:lpwstr>https://www.agroisolab.com/the-science-of-sira</vt:lpwstr>
      </vt:variant>
      <vt:variant>
        <vt:lpwstr/>
      </vt:variant>
      <vt:variant>
        <vt:i4>3145788</vt:i4>
      </vt:variant>
      <vt:variant>
        <vt:i4>315</vt:i4>
      </vt:variant>
      <vt:variant>
        <vt:i4>0</vt:i4>
      </vt:variant>
      <vt:variant>
        <vt:i4>5</vt:i4>
      </vt:variant>
      <vt:variant>
        <vt:lpwstr>https://www.wri.org/profile/emily-kaldjian</vt:lpwstr>
      </vt:variant>
      <vt:variant>
        <vt:lpwstr/>
      </vt:variant>
      <vt:variant>
        <vt:i4>3145788</vt:i4>
      </vt:variant>
      <vt:variant>
        <vt:i4>312</vt:i4>
      </vt:variant>
      <vt:variant>
        <vt:i4>0</vt:i4>
      </vt:variant>
      <vt:variant>
        <vt:i4>5</vt:i4>
      </vt:variant>
      <vt:variant>
        <vt:lpwstr>https://www.wri.org/profile/emily-kaldjian</vt:lpwstr>
      </vt:variant>
      <vt:variant>
        <vt:lpwstr/>
      </vt:variant>
      <vt:variant>
        <vt:i4>3145788</vt:i4>
      </vt:variant>
      <vt:variant>
        <vt:i4>309</vt:i4>
      </vt:variant>
      <vt:variant>
        <vt:i4>0</vt:i4>
      </vt:variant>
      <vt:variant>
        <vt:i4>5</vt:i4>
      </vt:variant>
      <vt:variant>
        <vt:lpwstr>https://www.wri.org/profile/emily-kaldjian</vt:lpwstr>
      </vt:variant>
      <vt:variant>
        <vt:lpwstr/>
      </vt:variant>
      <vt:variant>
        <vt:i4>8126548</vt:i4>
      </vt:variant>
      <vt:variant>
        <vt:i4>306</vt:i4>
      </vt:variant>
      <vt:variant>
        <vt:i4>0</vt:i4>
      </vt:variant>
      <vt:variant>
        <vt:i4>5</vt:i4>
      </vt:variant>
      <vt:variant>
        <vt:lpwstr/>
      </vt:variant>
      <vt:variant>
        <vt:lpwstr>_Annex_1_:</vt:lpwstr>
      </vt:variant>
      <vt:variant>
        <vt:i4>1507445</vt:i4>
      </vt:variant>
      <vt:variant>
        <vt:i4>294</vt:i4>
      </vt:variant>
      <vt:variant>
        <vt:i4>0</vt:i4>
      </vt:variant>
      <vt:variant>
        <vt:i4>5</vt:i4>
      </vt:variant>
      <vt:variant>
        <vt:lpwstr>mailto:privacy@awe.gov.au</vt:lpwstr>
      </vt:variant>
      <vt:variant>
        <vt:lpwstr/>
      </vt:variant>
      <vt:variant>
        <vt:i4>7536700</vt:i4>
      </vt:variant>
      <vt:variant>
        <vt:i4>291</vt:i4>
      </vt:variant>
      <vt:variant>
        <vt:i4>0</vt:i4>
      </vt:variant>
      <vt:variant>
        <vt:i4>5</vt:i4>
      </vt:variant>
      <vt:variant>
        <vt:lpwstr>https://www.awe.gov.au/about/commitment/privacy</vt:lpwstr>
      </vt:variant>
      <vt:variant>
        <vt:lpwstr/>
      </vt:variant>
      <vt:variant>
        <vt:i4>2555987</vt:i4>
      </vt:variant>
      <vt:variant>
        <vt:i4>288</vt:i4>
      </vt:variant>
      <vt:variant>
        <vt:i4>0</vt:i4>
      </vt:variant>
      <vt:variant>
        <vt:i4>5</vt:i4>
      </vt:variant>
      <vt:variant>
        <vt:lpwstr>mailto:IllegalLogging@awe.gov.au</vt:lpwstr>
      </vt:variant>
      <vt:variant>
        <vt:lpwstr/>
      </vt:variant>
      <vt:variant>
        <vt:i4>2555987</vt:i4>
      </vt:variant>
      <vt:variant>
        <vt:i4>285</vt:i4>
      </vt:variant>
      <vt:variant>
        <vt:i4>0</vt:i4>
      </vt:variant>
      <vt:variant>
        <vt:i4>5</vt:i4>
      </vt:variant>
      <vt:variant>
        <vt:lpwstr>mailto:IllegalLogging@awe.gov.au</vt:lpwstr>
      </vt:variant>
      <vt:variant>
        <vt:lpwstr/>
      </vt:variant>
      <vt:variant>
        <vt:i4>2097188</vt:i4>
      </vt:variant>
      <vt:variant>
        <vt:i4>282</vt:i4>
      </vt:variant>
      <vt:variant>
        <vt:i4>0</vt:i4>
      </vt:variant>
      <vt:variant>
        <vt:i4>5</vt:i4>
      </vt:variant>
      <vt:variant>
        <vt:lpwstr>https://haveyoursay.agriculture.gov.au/</vt:lpwstr>
      </vt:variant>
      <vt:variant>
        <vt:lpwstr/>
      </vt:variant>
      <vt:variant>
        <vt:i4>1376305</vt:i4>
      </vt:variant>
      <vt:variant>
        <vt:i4>275</vt:i4>
      </vt:variant>
      <vt:variant>
        <vt:i4>0</vt:i4>
      </vt:variant>
      <vt:variant>
        <vt:i4>5</vt:i4>
      </vt:variant>
      <vt:variant>
        <vt:lpwstr/>
      </vt:variant>
      <vt:variant>
        <vt:lpwstr>_Toc72846682</vt:lpwstr>
      </vt:variant>
      <vt:variant>
        <vt:i4>1441841</vt:i4>
      </vt:variant>
      <vt:variant>
        <vt:i4>269</vt:i4>
      </vt:variant>
      <vt:variant>
        <vt:i4>0</vt:i4>
      </vt:variant>
      <vt:variant>
        <vt:i4>5</vt:i4>
      </vt:variant>
      <vt:variant>
        <vt:lpwstr/>
      </vt:variant>
      <vt:variant>
        <vt:lpwstr>_Toc72846681</vt:lpwstr>
      </vt:variant>
      <vt:variant>
        <vt:i4>1441850</vt:i4>
      </vt:variant>
      <vt:variant>
        <vt:i4>260</vt:i4>
      </vt:variant>
      <vt:variant>
        <vt:i4>0</vt:i4>
      </vt:variant>
      <vt:variant>
        <vt:i4>5</vt:i4>
      </vt:variant>
      <vt:variant>
        <vt:lpwstr/>
      </vt:variant>
      <vt:variant>
        <vt:lpwstr>_Toc72846631</vt:lpwstr>
      </vt:variant>
      <vt:variant>
        <vt:i4>1507386</vt:i4>
      </vt:variant>
      <vt:variant>
        <vt:i4>254</vt:i4>
      </vt:variant>
      <vt:variant>
        <vt:i4>0</vt:i4>
      </vt:variant>
      <vt:variant>
        <vt:i4>5</vt:i4>
      </vt:variant>
      <vt:variant>
        <vt:lpwstr/>
      </vt:variant>
      <vt:variant>
        <vt:lpwstr>_Toc72846630</vt:lpwstr>
      </vt:variant>
      <vt:variant>
        <vt:i4>1966139</vt:i4>
      </vt:variant>
      <vt:variant>
        <vt:i4>248</vt:i4>
      </vt:variant>
      <vt:variant>
        <vt:i4>0</vt:i4>
      </vt:variant>
      <vt:variant>
        <vt:i4>5</vt:i4>
      </vt:variant>
      <vt:variant>
        <vt:lpwstr/>
      </vt:variant>
      <vt:variant>
        <vt:lpwstr>_Toc72846629</vt:lpwstr>
      </vt:variant>
      <vt:variant>
        <vt:i4>2031675</vt:i4>
      </vt:variant>
      <vt:variant>
        <vt:i4>242</vt:i4>
      </vt:variant>
      <vt:variant>
        <vt:i4>0</vt:i4>
      </vt:variant>
      <vt:variant>
        <vt:i4>5</vt:i4>
      </vt:variant>
      <vt:variant>
        <vt:lpwstr/>
      </vt:variant>
      <vt:variant>
        <vt:lpwstr>_Toc72846628</vt:lpwstr>
      </vt:variant>
      <vt:variant>
        <vt:i4>1048635</vt:i4>
      </vt:variant>
      <vt:variant>
        <vt:i4>236</vt:i4>
      </vt:variant>
      <vt:variant>
        <vt:i4>0</vt:i4>
      </vt:variant>
      <vt:variant>
        <vt:i4>5</vt:i4>
      </vt:variant>
      <vt:variant>
        <vt:lpwstr/>
      </vt:variant>
      <vt:variant>
        <vt:lpwstr>_Toc72846627</vt:lpwstr>
      </vt:variant>
      <vt:variant>
        <vt:i4>1114171</vt:i4>
      </vt:variant>
      <vt:variant>
        <vt:i4>230</vt:i4>
      </vt:variant>
      <vt:variant>
        <vt:i4>0</vt:i4>
      </vt:variant>
      <vt:variant>
        <vt:i4>5</vt:i4>
      </vt:variant>
      <vt:variant>
        <vt:lpwstr/>
      </vt:variant>
      <vt:variant>
        <vt:lpwstr>_Toc72846626</vt:lpwstr>
      </vt:variant>
      <vt:variant>
        <vt:i4>1179707</vt:i4>
      </vt:variant>
      <vt:variant>
        <vt:i4>224</vt:i4>
      </vt:variant>
      <vt:variant>
        <vt:i4>0</vt:i4>
      </vt:variant>
      <vt:variant>
        <vt:i4>5</vt:i4>
      </vt:variant>
      <vt:variant>
        <vt:lpwstr/>
      </vt:variant>
      <vt:variant>
        <vt:lpwstr>_Toc72846625</vt:lpwstr>
      </vt:variant>
      <vt:variant>
        <vt:i4>1245243</vt:i4>
      </vt:variant>
      <vt:variant>
        <vt:i4>218</vt:i4>
      </vt:variant>
      <vt:variant>
        <vt:i4>0</vt:i4>
      </vt:variant>
      <vt:variant>
        <vt:i4>5</vt:i4>
      </vt:variant>
      <vt:variant>
        <vt:lpwstr/>
      </vt:variant>
      <vt:variant>
        <vt:lpwstr>_Toc72846624</vt:lpwstr>
      </vt:variant>
      <vt:variant>
        <vt:i4>1310779</vt:i4>
      </vt:variant>
      <vt:variant>
        <vt:i4>212</vt:i4>
      </vt:variant>
      <vt:variant>
        <vt:i4>0</vt:i4>
      </vt:variant>
      <vt:variant>
        <vt:i4>5</vt:i4>
      </vt:variant>
      <vt:variant>
        <vt:lpwstr/>
      </vt:variant>
      <vt:variant>
        <vt:lpwstr>_Toc72846623</vt:lpwstr>
      </vt:variant>
      <vt:variant>
        <vt:i4>1376315</vt:i4>
      </vt:variant>
      <vt:variant>
        <vt:i4>206</vt:i4>
      </vt:variant>
      <vt:variant>
        <vt:i4>0</vt:i4>
      </vt:variant>
      <vt:variant>
        <vt:i4>5</vt:i4>
      </vt:variant>
      <vt:variant>
        <vt:lpwstr/>
      </vt:variant>
      <vt:variant>
        <vt:lpwstr>_Toc72846622</vt:lpwstr>
      </vt:variant>
      <vt:variant>
        <vt:i4>1441851</vt:i4>
      </vt:variant>
      <vt:variant>
        <vt:i4>200</vt:i4>
      </vt:variant>
      <vt:variant>
        <vt:i4>0</vt:i4>
      </vt:variant>
      <vt:variant>
        <vt:i4>5</vt:i4>
      </vt:variant>
      <vt:variant>
        <vt:lpwstr/>
      </vt:variant>
      <vt:variant>
        <vt:lpwstr>_Toc72846621</vt:lpwstr>
      </vt:variant>
      <vt:variant>
        <vt:i4>1507387</vt:i4>
      </vt:variant>
      <vt:variant>
        <vt:i4>194</vt:i4>
      </vt:variant>
      <vt:variant>
        <vt:i4>0</vt:i4>
      </vt:variant>
      <vt:variant>
        <vt:i4>5</vt:i4>
      </vt:variant>
      <vt:variant>
        <vt:lpwstr/>
      </vt:variant>
      <vt:variant>
        <vt:lpwstr>_Toc72846620</vt:lpwstr>
      </vt:variant>
      <vt:variant>
        <vt:i4>1966136</vt:i4>
      </vt:variant>
      <vt:variant>
        <vt:i4>188</vt:i4>
      </vt:variant>
      <vt:variant>
        <vt:i4>0</vt:i4>
      </vt:variant>
      <vt:variant>
        <vt:i4>5</vt:i4>
      </vt:variant>
      <vt:variant>
        <vt:lpwstr/>
      </vt:variant>
      <vt:variant>
        <vt:lpwstr>_Toc72846619</vt:lpwstr>
      </vt:variant>
      <vt:variant>
        <vt:i4>2031672</vt:i4>
      </vt:variant>
      <vt:variant>
        <vt:i4>182</vt:i4>
      </vt:variant>
      <vt:variant>
        <vt:i4>0</vt:i4>
      </vt:variant>
      <vt:variant>
        <vt:i4>5</vt:i4>
      </vt:variant>
      <vt:variant>
        <vt:lpwstr/>
      </vt:variant>
      <vt:variant>
        <vt:lpwstr>_Toc72846618</vt:lpwstr>
      </vt:variant>
      <vt:variant>
        <vt:i4>1048632</vt:i4>
      </vt:variant>
      <vt:variant>
        <vt:i4>176</vt:i4>
      </vt:variant>
      <vt:variant>
        <vt:i4>0</vt:i4>
      </vt:variant>
      <vt:variant>
        <vt:i4>5</vt:i4>
      </vt:variant>
      <vt:variant>
        <vt:lpwstr/>
      </vt:variant>
      <vt:variant>
        <vt:lpwstr>_Toc72846617</vt:lpwstr>
      </vt:variant>
      <vt:variant>
        <vt:i4>1114168</vt:i4>
      </vt:variant>
      <vt:variant>
        <vt:i4>170</vt:i4>
      </vt:variant>
      <vt:variant>
        <vt:i4>0</vt:i4>
      </vt:variant>
      <vt:variant>
        <vt:i4>5</vt:i4>
      </vt:variant>
      <vt:variant>
        <vt:lpwstr/>
      </vt:variant>
      <vt:variant>
        <vt:lpwstr>_Toc72846616</vt:lpwstr>
      </vt:variant>
      <vt:variant>
        <vt:i4>1179704</vt:i4>
      </vt:variant>
      <vt:variant>
        <vt:i4>164</vt:i4>
      </vt:variant>
      <vt:variant>
        <vt:i4>0</vt:i4>
      </vt:variant>
      <vt:variant>
        <vt:i4>5</vt:i4>
      </vt:variant>
      <vt:variant>
        <vt:lpwstr/>
      </vt:variant>
      <vt:variant>
        <vt:lpwstr>_Toc72846615</vt:lpwstr>
      </vt:variant>
      <vt:variant>
        <vt:i4>1245240</vt:i4>
      </vt:variant>
      <vt:variant>
        <vt:i4>158</vt:i4>
      </vt:variant>
      <vt:variant>
        <vt:i4>0</vt:i4>
      </vt:variant>
      <vt:variant>
        <vt:i4>5</vt:i4>
      </vt:variant>
      <vt:variant>
        <vt:lpwstr/>
      </vt:variant>
      <vt:variant>
        <vt:lpwstr>_Toc72846614</vt:lpwstr>
      </vt:variant>
      <vt:variant>
        <vt:i4>1310776</vt:i4>
      </vt:variant>
      <vt:variant>
        <vt:i4>152</vt:i4>
      </vt:variant>
      <vt:variant>
        <vt:i4>0</vt:i4>
      </vt:variant>
      <vt:variant>
        <vt:i4>5</vt:i4>
      </vt:variant>
      <vt:variant>
        <vt:lpwstr/>
      </vt:variant>
      <vt:variant>
        <vt:lpwstr>_Toc72846613</vt:lpwstr>
      </vt:variant>
      <vt:variant>
        <vt:i4>1376312</vt:i4>
      </vt:variant>
      <vt:variant>
        <vt:i4>146</vt:i4>
      </vt:variant>
      <vt:variant>
        <vt:i4>0</vt:i4>
      </vt:variant>
      <vt:variant>
        <vt:i4>5</vt:i4>
      </vt:variant>
      <vt:variant>
        <vt:lpwstr/>
      </vt:variant>
      <vt:variant>
        <vt:lpwstr>_Toc72846612</vt:lpwstr>
      </vt:variant>
      <vt:variant>
        <vt:i4>1441848</vt:i4>
      </vt:variant>
      <vt:variant>
        <vt:i4>140</vt:i4>
      </vt:variant>
      <vt:variant>
        <vt:i4>0</vt:i4>
      </vt:variant>
      <vt:variant>
        <vt:i4>5</vt:i4>
      </vt:variant>
      <vt:variant>
        <vt:lpwstr/>
      </vt:variant>
      <vt:variant>
        <vt:lpwstr>_Toc72846611</vt:lpwstr>
      </vt:variant>
      <vt:variant>
        <vt:i4>1507384</vt:i4>
      </vt:variant>
      <vt:variant>
        <vt:i4>134</vt:i4>
      </vt:variant>
      <vt:variant>
        <vt:i4>0</vt:i4>
      </vt:variant>
      <vt:variant>
        <vt:i4>5</vt:i4>
      </vt:variant>
      <vt:variant>
        <vt:lpwstr/>
      </vt:variant>
      <vt:variant>
        <vt:lpwstr>_Toc72846610</vt:lpwstr>
      </vt:variant>
      <vt:variant>
        <vt:i4>1966137</vt:i4>
      </vt:variant>
      <vt:variant>
        <vt:i4>128</vt:i4>
      </vt:variant>
      <vt:variant>
        <vt:i4>0</vt:i4>
      </vt:variant>
      <vt:variant>
        <vt:i4>5</vt:i4>
      </vt:variant>
      <vt:variant>
        <vt:lpwstr/>
      </vt:variant>
      <vt:variant>
        <vt:lpwstr>_Toc72846609</vt:lpwstr>
      </vt:variant>
      <vt:variant>
        <vt:i4>2031673</vt:i4>
      </vt:variant>
      <vt:variant>
        <vt:i4>122</vt:i4>
      </vt:variant>
      <vt:variant>
        <vt:i4>0</vt:i4>
      </vt:variant>
      <vt:variant>
        <vt:i4>5</vt:i4>
      </vt:variant>
      <vt:variant>
        <vt:lpwstr/>
      </vt:variant>
      <vt:variant>
        <vt:lpwstr>_Toc72846608</vt:lpwstr>
      </vt:variant>
      <vt:variant>
        <vt:i4>1048633</vt:i4>
      </vt:variant>
      <vt:variant>
        <vt:i4>116</vt:i4>
      </vt:variant>
      <vt:variant>
        <vt:i4>0</vt:i4>
      </vt:variant>
      <vt:variant>
        <vt:i4>5</vt:i4>
      </vt:variant>
      <vt:variant>
        <vt:lpwstr/>
      </vt:variant>
      <vt:variant>
        <vt:lpwstr>_Toc72846607</vt:lpwstr>
      </vt:variant>
      <vt:variant>
        <vt:i4>1114169</vt:i4>
      </vt:variant>
      <vt:variant>
        <vt:i4>110</vt:i4>
      </vt:variant>
      <vt:variant>
        <vt:i4>0</vt:i4>
      </vt:variant>
      <vt:variant>
        <vt:i4>5</vt:i4>
      </vt:variant>
      <vt:variant>
        <vt:lpwstr/>
      </vt:variant>
      <vt:variant>
        <vt:lpwstr>_Toc72846606</vt:lpwstr>
      </vt:variant>
      <vt:variant>
        <vt:i4>1179705</vt:i4>
      </vt:variant>
      <vt:variant>
        <vt:i4>104</vt:i4>
      </vt:variant>
      <vt:variant>
        <vt:i4>0</vt:i4>
      </vt:variant>
      <vt:variant>
        <vt:i4>5</vt:i4>
      </vt:variant>
      <vt:variant>
        <vt:lpwstr/>
      </vt:variant>
      <vt:variant>
        <vt:lpwstr>_Toc72846605</vt:lpwstr>
      </vt:variant>
      <vt:variant>
        <vt:i4>1245241</vt:i4>
      </vt:variant>
      <vt:variant>
        <vt:i4>98</vt:i4>
      </vt:variant>
      <vt:variant>
        <vt:i4>0</vt:i4>
      </vt:variant>
      <vt:variant>
        <vt:i4>5</vt:i4>
      </vt:variant>
      <vt:variant>
        <vt:lpwstr/>
      </vt:variant>
      <vt:variant>
        <vt:lpwstr>_Toc72846604</vt:lpwstr>
      </vt:variant>
      <vt:variant>
        <vt:i4>1310777</vt:i4>
      </vt:variant>
      <vt:variant>
        <vt:i4>92</vt:i4>
      </vt:variant>
      <vt:variant>
        <vt:i4>0</vt:i4>
      </vt:variant>
      <vt:variant>
        <vt:i4>5</vt:i4>
      </vt:variant>
      <vt:variant>
        <vt:lpwstr/>
      </vt:variant>
      <vt:variant>
        <vt:lpwstr>_Toc72846603</vt:lpwstr>
      </vt:variant>
      <vt:variant>
        <vt:i4>1376313</vt:i4>
      </vt:variant>
      <vt:variant>
        <vt:i4>86</vt:i4>
      </vt:variant>
      <vt:variant>
        <vt:i4>0</vt:i4>
      </vt:variant>
      <vt:variant>
        <vt:i4>5</vt:i4>
      </vt:variant>
      <vt:variant>
        <vt:lpwstr/>
      </vt:variant>
      <vt:variant>
        <vt:lpwstr>_Toc72846602</vt:lpwstr>
      </vt:variant>
      <vt:variant>
        <vt:i4>1441849</vt:i4>
      </vt:variant>
      <vt:variant>
        <vt:i4>80</vt:i4>
      </vt:variant>
      <vt:variant>
        <vt:i4>0</vt:i4>
      </vt:variant>
      <vt:variant>
        <vt:i4>5</vt:i4>
      </vt:variant>
      <vt:variant>
        <vt:lpwstr/>
      </vt:variant>
      <vt:variant>
        <vt:lpwstr>_Toc72846601</vt:lpwstr>
      </vt:variant>
      <vt:variant>
        <vt:i4>1507385</vt:i4>
      </vt:variant>
      <vt:variant>
        <vt:i4>74</vt:i4>
      </vt:variant>
      <vt:variant>
        <vt:i4>0</vt:i4>
      </vt:variant>
      <vt:variant>
        <vt:i4>5</vt:i4>
      </vt:variant>
      <vt:variant>
        <vt:lpwstr/>
      </vt:variant>
      <vt:variant>
        <vt:lpwstr>_Toc72846600</vt:lpwstr>
      </vt:variant>
      <vt:variant>
        <vt:i4>1900592</vt:i4>
      </vt:variant>
      <vt:variant>
        <vt:i4>68</vt:i4>
      </vt:variant>
      <vt:variant>
        <vt:i4>0</vt:i4>
      </vt:variant>
      <vt:variant>
        <vt:i4>5</vt:i4>
      </vt:variant>
      <vt:variant>
        <vt:lpwstr/>
      </vt:variant>
      <vt:variant>
        <vt:lpwstr>_Toc72846599</vt:lpwstr>
      </vt:variant>
      <vt:variant>
        <vt:i4>1835056</vt:i4>
      </vt:variant>
      <vt:variant>
        <vt:i4>62</vt:i4>
      </vt:variant>
      <vt:variant>
        <vt:i4>0</vt:i4>
      </vt:variant>
      <vt:variant>
        <vt:i4>5</vt:i4>
      </vt:variant>
      <vt:variant>
        <vt:lpwstr/>
      </vt:variant>
      <vt:variant>
        <vt:lpwstr>_Toc72846598</vt:lpwstr>
      </vt:variant>
      <vt:variant>
        <vt:i4>1245232</vt:i4>
      </vt:variant>
      <vt:variant>
        <vt:i4>56</vt:i4>
      </vt:variant>
      <vt:variant>
        <vt:i4>0</vt:i4>
      </vt:variant>
      <vt:variant>
        <vt:i4>5</vt:i4>
      </vt:variant>
      <vt:variant>
        <vt:lpwstr/>
      </vt:variant>
      <vt:variant>
        <vt:lpwstr>_Toc72846597</vt:lpwstr>
      </vt:variant>
      <vt:variant>
        <vt:i4>1179696</vt:i4>
      </vt:variant>
      <vt:variant>
        <vt:i4>50</vt:i4>
      </vt:variant>
      <vt:variant>
        <vt:i4>0</vt:i4>
      </vt:variant>
      <vt:variant>
        <vt:i4>5</vt:i4>
      </vt:variant>
      <vt:variant>
        <vt:lpwstr/>
      </vt:variant>
      <vt:variant>
        <vt:lpwstr>_Toc72846596</vt:lpwstr>
      </vt:variant>
      <vt:variant>
        <vt:i4>1114160</vt:i4>
      </vt:variant>
      <vt:variant>
        <vt:i4>44</vt:i4>
      </vt:variant>
      <vt:variant>
        <vt:i4>0</vt:i4>
      </vt:variant>
      <vt:variant>
        <vt:i4>5</vt:i4>
      </vt:variant>
      <vt:variant>
        <vt:lpwstr/>
      </vt:variant>
      <vt:variant>
        <vt:lpwstr>_Toc72846595</vt:lpwstr>
      </vt:variant>
      <vt:variant>
        <vt:i4>1048624</vt:i4>
      </vt:variant>
      <vt:variant>
        <vt:i4>38</vt:i4>
      </vt:variant>
      <vt:variant>
        <vt:i4>0</vt:i4>
      </vt:variant>
      <vt:variant>
        <vt:i4>5</vt:i4>
      </vt:variant>
      <vt:variant>
        <vt:lpwstr/>
      </vt:variant>
      <vt:variant>
        <vt:lpwstr>_Toc72846594</vt:lpwstr>
      </vt:variant>
      <vt:variant>
        <vt:i4>1507376</vt:i4>
      </vt:variant>
      <vt:variant>
        <vt:i4>32</vt:i4>
      </vt:variant>
      <vt:variant>
        <vt:i4>0</vt:i4>
      </vt:variant>
      <vt:variant>
        <vt:i4>5</vt:i4>
      </vt:variant>
      <vt:variant>
        <vt:lpwstr/>
      </vt:variant>
      <vt:variant>
        <vt:lpwstr>_Toc72846593</vt:lpwstr>
      </vt:variant>
      <vt:variant>
        <vt:i4>1441840</vt:i4>
      </vt:variant>
      <vt:variant>
        <vt:i4>26</vt:i4>
      </vt:variant>
      <vt:variant>
        <vt:i4>0</vt:i4>
      </vt:variant>
      <vt:variant>
        <vt:i4>5</vt:i4>
      </vt:variant>
      <vt:variant>
        <vt:lpwstr/>
      </vt:variant>
      <vt:variant>
        <vt:lpwstr>_Toc72846592</vt:lpwstr>
      </vt:variant>
      <vt:variant>
        <vt:i4>1376304</vt:i4>
      </vt:variant>
      <vt:variant>
        <vt:i4>20</vt:i4>
      </vt:variant>
      <vt:variant>
        <vt:i4>0</vt:i4>
      </vt:variant>
      <vt:variant>
        <vt:i4>5</vt:i4>
      </vt:variant>
      <vt:variant>
        <vt:lpwstr/>
      </vt:variant>
      <vt:variant>
        <vt:lpwstr>_Toc72846591</vt:lpwstr>
      </vt:variant>
      <vt:variant>
        <vt:i4>1310768</vt:i4>
      </vt:variant>
      <vt:variant>
        <vt:i4>14</vt:i4>
      </vt:variant>
      <vt:variant>
        <vt:i4>0</vt:i4>
      </vt:variant>
      <vt:variant>
        <vt:i4>5</vt:i4>
      </vt:variant>
      <vt:variant>
        <vt:lpwstr/>
      </vt:variant>
      <vt:variant>
        <vt:lpwstr>_Toc72846590</vt:lpwstr>
      </vt:variant>
      <vt:variant>
        <vt:i4>2424884</vt:i4>
      </vt:variant>
      <vt:variant>
        <vt:i4>9</vt:i4>
      </vt:variant>
      <vt:variant>
        <vt:i4>0</vt:i4>
      </vt:variant>
      <vt:variant>
        <vt:i4>5</vt:i4>
      </vt:variant>
      <vt:variant>
        <vt:lpwstr>https://www.awe.gov.au/</vt:lpwstr>
      </vt:variant>
      <vt:variant>
        <vt:lpwstr/>
      </vt:variant>
      <vt:variant>
        <vt:i4>3670138</vt:i4>
      </vt:variant>
      <vt:variant>
        <vt:i4>6</vt:i4>
      </vt:variant>
      <vt:variant>
        <vt:i4>0</vt:i4>
      </vt:variant>
      <vt:variant>
        <vt:i4>5</vt:i4>
      </vt:variant>
      <vt:variant>
        <vt:lpwstr>https://www.awe.gov.au/publications</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Sunsetting Review of the Illegal Logging Prohibition 2012: consultation paper</dc:title>
  <dc:subject/>
  <dc:creator>Department of Agriculture, Water and the Environment</dc:creator>
  <cp:keywords/>
  <cp:lastModifiedBy>Duke, Taylor</cp:lastModifiedBy>
  <cp:revision>8</cp:revision>
  <cp:lastPrinted>2021-07-05T01:01:00Z</cp:lastPrinted>
  <dcterms:created xsi:type="dcterms:W3CDTF">2021-06-16T06:27:00Z</dcterms:created>
  <dcterms:modified xsi:type="dcterms:W3CDTF">2021-07-05T03:40:00Z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0x010100266966F133664895A6EE3632470D45F5006D5F65F5FB3221469CC3E5BC302D51C9</vt:lpwstr>
  </property>
</Properties>
</file>