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946C9" w14:textId="6E44D55C" w:rsidR="0066757C" w:rsidRDefault="000F5DA1" w:rsidP="0080690D">
      <w:pPr>
        <w:pStyle w:val="Heading1"/>
        <w:spacing w:before="2040" w:after="0"/>
      </w:pPr>
      <w:r>
        <w:t>Imported Inorganic Fertiliser Management Policy</w:t>
      </w:r>
    </w:p>
    <w:p w14:paraId="0E563C12" w14:textId="42972D49" w:rsidR="00F04ABC" w:rsidRPr="00F04ABC" w:rsidRDefault="00B8211E" w:rsidP="008A7C2A">
      <w:pPr>
        <w:pStyle w:val="Date"/>
      </w:pPr>
      <w:r>
        <w:t>March</w:t>
      </w:r>
      <w:r w:rsidR="00F04ABC">
        <w:t xml:space="preserve"> </w:t>
      </w:r>
      <w:r w:rsidR="00B06F8C">
        <w:t>2026</w:t>
      </w:r>
    </w:p>
    <w:p w14:paraId="44AA83F4" w14:textId="2AD12137" w:rsidR="003E4788" w:rsidRDefault="005C11E1" w:rsidP="006A578F">
      <w:pPr>
        <w:pStyle w:val="Normalsmall"/>
      </w:pPr>
      <w:r w:rsidRPr="00B91977">
        <w:br w:type="page"/>
      </w:r>
      <w:r>
        <w:lastRenderedPageBreak/>
        <w:t xml:space="preserve">© Commonwealth of Australia </w:t>
      </w:r>
      <w:r w:rsidR="00696407" w:rsidRPr="008A7C2A">
        <w:t>202</w:t>
      </w:r>
      <w:r w:rsidR="00571375">
        <w:t>6</w:t>
      </w:r>
    </w:p>
    <w:p w14:paraId="5C950F1D" w14:textId="77777777" w:rsidR="003E4788" w:rsidRDefault="005C11E1" w:rsidP="006A578F">
      <w:pPr>
        <w:pStyle w:val="Normalsmall"/>
        <w:spacing w:after="0"/>
        <w:rPr>
          <w:rStyle w:val="Strong"/>
        </w:rPr>
      </w:pPr>
      <w:r>
        <w:rPr>
          <w:rStyle w:val="Strong"/>
        </w:rPr>
        <w:t>Ownership of intellectual property rights</w:t>
      </w:r>
    </w:p>
    <w:p w14:paraId="5D71C5D1" w14:textId="77777777" w:rsidR="003E4788" w:rsidRDefault="005C11E1">
      <w:pPr>
        <w:pStyle w:val="Normalsmall"/>
      </w:pPr>
      <w:r>
        <w:t>Unless otherwise noted, copyright (and any other intellectual property rights) in this publication is owned by the Commonwealth of Australia (referred to as the Commonwealth).</w:t>
      </w:r>
    </w:p>
    <w:p w14:paraId="70BECD8C" w14:textId="77777777" w:rsidR="003E4788" w:rsidRDefault="005C11E1" w:rsidP="006A578F">
      <w:pPr>
        <w:pStyle w:val="Normalsmall"/>
        <w:spacing w:after="0"/>
        <w:rPr>
          <w:rStyle w:val="Strong"/>
        </w:rPr>
      </w:pPr>
      <w:r>
        <w:rPr>
          <w:rStyle w:val="Strong"/>
        </w:rPr>
        <w:t>Creative Commons licence</w:t>
      </w:r>
    </w:p>
    <w:p w14:paraId="62E05FE7" w14:textId="77777777" w:rsidR="003E4788" w:rsidRDefault="005C11E1">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54CC1E6C" w14:textId="77777777" w:rsidR="003E4788" w:rsidRDefault="005C11E1">
      <w:pPr>
        <w:pStyle w:val="Normalsmall"/>
      </w:pPr>
      <w:r>
        <w:rPr>
          <w:noProof/>
          <w:lang w:eastAsia="en-AU"/>
        </w:rPr>
        <w:drawing>
          <wp:inline distT="0" distB="0" distL="0" distR="0" wp14:anchorId="12925FFB" wp14:editId="17315FB3">
            <wp:extent cx="724535" cy="255270"/>
            <wp:effectExtent l="19050" t="0" r="0" b="0"/>
            <wp:docPr id="2" name="Picture 1" descr="Creative commons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reative commons licence logo"/>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35B7F897" w14:textId="77777777" w:rsidR="003E4788" w:rsidRDefault="005C11E1" w:rsidP="006A578F">
      <w:pPr>
        <w:pStyle w:val="Normalsmall"/>
        <w:spacing w:after="0"/>
        <w:rPr>
          <w:rStyle w:val="Strong"/>
        </w:rPr>
      </w:pPr>
      <w:r>
        <w:rPr>
          <w:rStyle w:val="Strong"/>
        </w:rPr>
        <w:t>Cataloguing data</w:t>
      </w:r>
    </w:p>
    <w:p w14:paraId="6DC88D26" w14:textId="35D7F965" w:rsidR="003E4788" w:rsidRDefault="005C11E1">
      <w:pPr>
        <w:pStyle w:val="Normalsmall"/>
      </w:pPr>
      <w:r>
        <w:t xml:space="preserve">This publication (and any material sourced from it) should be attributed as: </w:t>
      </w:r>
      <w:r w:rsidR="00696407" w:rsidRPr="00FA107F">
        <w:t>D</w:t>
      </w:r>
      <w:r w:rsidR="00095E05" w:rsidRPr="00FA107F">
        <w:t>A</w:t>
      </w:r>
      <w:r w:rsidR="008376D9" w:rsidRPr="00FA107F">
        <w:t>FF</w:t>
      </w:r>
      <w:r w:rsidR="00095E05" w:rsidRPr="00FA107F">
        <w:t xml:space="preserve"> </w:t>
      </w:r>
      <w:r w:rsidR="00095E05" w:rsidRPr="005B47FD">
        <w:t>202</w:t>
      </w:r>
      <w:r w:rsidR="00571375">
        <w:t>6</w:t>
      </w:r>
      <w:r w:rsidR="00095E05" w:rsidRPr="00043BD1">
        <w:t xml:space="preserve">, </w:t>
      </w:r>
      <w:r w:rsidR="00CE62FF" w:rsidRPr="00043BD1">
        <w:rPr>
          <w:i/>
        </w:rPr>
        <w:t>Imported Inorganic Fertiliser Management Policy</w:t>
      </w:r>
      <w:r w:rsidR="00FD7BFE" w:rsidRPr="00FD7BFE">
        <w:t>,</w:t>
      </w:r>
      <w:r w:rsidR="00E925B5" w:rsidRPr="00043BD1">
        <w:rPr>
          <w:i/>
        </w:rPr>
        <w:t xml:space="preserve"> </w:t>
      </w:r>
      <w:r w:rsidR="008376D9" w:rsidRPr="008376D9">
        <w:t>Department of Agriculture, Fisheries and Forestry</w:t>
      </w:r>
      <w:r w:rsidR="00095E05" w:rsidRPr="00D76402">
        <w:t>,</w:t>
      </w:r>
      <w:r w:rsidR="00095E05">
        <w:t xml:space="preserve"> </w:t>
      </w:r>
      <w:r>
        <w:t>Canberra</w:t>
      </w:r>
      <w:r w:rsidR="003D7D50">
        <w:t>,</w:t>
      </w:r>
      <w:r w:rsidR="003D7D50" w:rsidRPr="003D7D50">
        <w:t xml:space="preserve"> </w:t>
      </w:r>
      <w:r w:rsidR="007433DD">
        <w:t>March</w:t>
      </w:r>
      <w:r w:rsidR="003D7D50">
        <w:t>.</w:t>
      </w:r>
      <w:r>
        <w:t xml:space="preserve"> CC BY 4.0.</w:t>
      </w:r>
    </w:p>
    <w:p w14:paraId="41DBD1E8" w14:textId="43FD2800" w:rsidR="003E4788" w:rsidRDefault="005C11E1">
      <w:pPr>
        <w:pStyle w:val="Normalsmall"/>
      </w:pPr>
      <w:r>
        <w:t xml:space="preserve">This publication is available at </w:t>
      </w:r>
      <w:hyperlink r:id="rId13" w:history="1">
        <w:r w:rsidR="00BE44E4" w:rsidRPr="00BE44E4">
          <w:rPr>
            <w:rStyle w:val="Hyperlink"/>
            <w:rFonts w:cstheme="minorHAnsi"/>
          </w:rPr>
          <w:t>agriculture.gov.au/biosecurity-trade/import/goods/fertiliser/chem-mined</w:t>
        </w:r>
      </w:hyperlink>
      <w:r w:rsidRPr="00BE44E4">
        <w:t>.</w:t>
      </w:r>
    </w:p>
    <w:p w14:paraId="291088B9" w14:textId="77777777" w:rsidR="003E4788" w:rsidRPr="003E7338" w:rsidRDefault="008376D9">
      <w:pPr>
        <w:pStyle w:val="Normalsmall"/>
        <w:spacing w:after="0"/>
      </w:pPr>
      <w:r w:rsidRPr="003E7338">
        <w:t>Department of Agriculture, Fisheries and Forestry</w:t>
      </w:r>
    </w:p>
    <w:p w14:paraId="7A59FA12" w14:textId="77777777" w:rsidR="003E4788" w:rsidRPr="003E7338" w:rsidRDefault="005C11E1">
      <w:pPr>
        <w:pStyle w:val="Normalsmall"/>
        <w:spacing w:after="0"/>
      </w:pPr>
      <w:r w:rsidRPr="003E7338">
        <w:t>GPO Box 858 Canberra ACT 2601</w:t>
      </w:r>
    </w:p>
    <w:p w14:paraId="68DB6EB6" w14:textId="77777777" w:rsidR="003E4788" w:rsidRPr="003E7338" w:rsidRDefault="005C11E1">
      <w:pPr>
        <w:pStyle w:val="Normalsmall"/>
        <w:spacing w:after="0"/>
      </w:pPr>
      <w:r w:rsidRPr="003E7338">
        <w:t>Telephone 1800 900 090</w:t>
      </w:r>
    </w:p>
    <w:p w14:paraId="453324CB" w14:textId="77777777" w:rsidR="003E4788" w:rsidRDefault="005C11E1">
      <w:pPr>
        <w:pStyle w:val="Normalsmall"/>
      </w:pPr>
      <w:r w:rsidRPr="003E7338">
        <w:t xml:space="preserve">Web </w:t>
      </w:r>
      <w:hyperlink r:id="rId14" w:history="1">
        <w:r w:rsidR="008376D9" w:rsidRPr="003E7338">
          <w:rPr>
            <w:rStyle w:val="Hyperlink"/>
          </w:rPr>
          <w:t>agriculture.gov.au</w:t>
        </w:r>
      </w:hyperlink>
    </w:p>
    <w:p w14:paraId="56175011" w14:textId="77777777" w:rsidR="00217FAB" w:rsidRDefault="00217FAB" w:rsidP="006A578F">
      <w:pPr>
        <w:pStyle w:val="Normalsmall"/>
        <w:spacing w:after="0"/>
        <w:rPr>
          <w:rStyle w:val="Strong"/>
        </w:rPr>
      </w:pPr>
      <w:r>
        <w:rPr>
          <w:rStyle w:val="Strong"/>
        </w:rPr>
        <w:t>Disclaimer</w:t>
      </w:r>
    </w:p>
    <w:p w14:paraId="57679196" w14:textId="77777777" w:rsidR="003E4788" w:rsidRDefault="005C11E1">
      <w:pPr>
        <w:pStyle w:val="Normalsmall"/>
      </w:pPr>
      <w:r>
        <w:t xml:space="preserve">The Australian Government acting through the </w:t>
      </w:r>
      <w:r w:rsidR="008376D9" w:rsidRPr="008376D9">
        <w:t>Department of Agriculture, Fisheries and Forestry</w:t>
      </w:r>
      <w:r w:rsidR="00696407">
        <w:t xml:space="preserve"> </w:t>
      </w:r>
      <w:r>
        <w:t xml:space="preserve">has exercised due care and skill in preparing and compiling the information and data in this publication. Notwithstanding, the </w:t>
      </w:r>
      <w:r w:rsidR="008376D9" w:rsidRPr="008376D9">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1264F44D" w14:textId="77777777" w:rsidR="000932E6" w:rsidRDefault="000932E6" w:rsidP="006A578F">
      <w:pPr>
        <w:pStyle w:val="Normalsmall"/>
        <w:spacing w:after="0"/>
      </w:pPr>
      <w:r>
        <w:rPr>
          <w:rStyle w:val="Strong"/>
        </w:rPr>
        <w:t>Acknowledgement of Country</w:t>
      </w:r>
    </w:p>
    <w:p w14:paraId="7E6F84D0" w14:textId="7EFFFA20" w:rsidR="00B91977" w:rsidRDefault="00FA107F" w:rsidP="005B5049">
      <w:pPr>
        <w:pStyle w:val="Normalsmall"/>
        <w:spacing w:after="480"/>
      </w:pPr>
      <w:r w:rsidRPr="00FA107F">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4ED743A8" w14:textId="63657777" w:rsidR="003E4788" w:rsidRDefault="005C11E1">
      <w:pPr>
        <w:spacing w:after="0" w:line="240" w:lineRule="auto"/>
      </w:pPr>
      <w:r>
        <w:br w:type="page"/>
      </w:r>
    </w:p>
    <w:sdt>
      <w:sdtPr>
        <w:rPr>
          <w:rFonts w:ascii="Cambria" w:eastAsiaTheme="minorHAnsi" w:hAnsi="Cambria"/>
          <w:bCs w:val="0"/>
          <w:sz w:val="22"/>
          <w:szCs w:val="22"/>
          <w:lang w:eastAsia="en-US"/>
        </w:rPr>
        <w:id w:val="-760297017"/>
        <w:docPartObj>
          <w:docPartGallery w:val="Table of Contents"/>
          <w:docPartUnique/>
        </w:docPartObj>
      </w:sdtPr>
      <w:sdtEndPr>
        <w:rPr>
          <w:rFonts w:asciiTheme="minorHAnsi" w:hAnsiTheme="minorHAnsi"/>
          <w:b/>
          <w:noProof/>
        </w:rPr>
      </w:sdtEndPr>
      <w:sdtContent>
        <w:p w14:paraId="334B509C" w14:textId="26B8FCEF" w:rsidR="003E4788" w:rsidRDefault="005C11E1">
          <w:pPr>
            <w:pStyle w:val="TOCHeading"/>
          </w:pPr>
          <w:r>
            <w:t>Contents</w:t>
          </w:r>
        </w:p>
        <w:p w14:paraId="44BB37C3" w14:textId="65487947" w:rsidR="008E63FF" w:rsidRDefault="005C11E1">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24213112" w:history="1">
            <w:r w:rsidR="008E63FF" w:rsidRPr="009409CF">
              <w:rPr>
                <w:rStyle w:val="Hyperlink"/>
              </w:rPr>
              <w:t>Introduction</w:t>
            </w:r>
            <w:r w:rsidR="008E63FF">
              <w:rPr>
                <w:webHidden/>
              </w:rPr>
              <w:tab/>
            </w:r>
            <w:r w:rsidR="008E63FF">
              <w:rPr>
                <w:webHidden/>
              </w:rPr>
              <w:fldChar w:fldCharType="begin"/>
            </w:r>
            <w:r w:rsidR="008E63FF">
              <w:rPr>
                <w:webHidden/>
              </w:rPr>
              <w:instrText xml:space="preserve"> PAGEREF _Toc224213112 \h </w:instrText>
            </w:r>
            <w:r w:rsidR="008E63FF">
              <w:rPr>
                <w:webHidden/>
              </w:rPr>
            </w:r>
            <w:r w:rsidR="008E63FF">
              <w:rPr>
                <w:webHidden/>
              </w:rPr>
              <w:fldChar w:fldCharType="separate"/>
            </w:r>
            <w:r w:rsidR="00F4508B">
              <w:rPr>
                <w:webHidden/>
              </w:rPr>
              <w:t>1</w:t>
            </w:r>
            <w:r w:rsidR="008E63FF">
              <w:rPr>
                <w:webHidden/>
              </w:rPr>
              <w:fldChar w:fldCharType="end"/>
            </w:r>
          </w:hyperlink>
        </w:p>
        <w:p w14:paraId="5D571D56" w14:textId="02D9F354" w:rsidR="008E63FF" w:rsidRDefault="008E63FF">
          <w:pPr>
            <w:pStyle w:val="TOC2"/>
            <w:rPr>
              <w:rFonts w:eastAsiaTheme="minorEastAsia"/>
              <w:kern w:val="2"/>
              <w:sz w:val="24"/>
              <w:szCs w:val="24"/>
              <w:lang w:eastAsia="en-AU"/>
              <w14:ligatures w14:val="standardContextual"/>
            </w:rPr>
          </w:pPr>
          <w:hyperlink w:anchor="_Toc224213113" w:history="1">
            <w:r w:rsidRPr="009409CF">
              <w:rPr>
                <w:rStyle w:val="Hyperlink"/>
              </w:rPr>
              <w:t>Scope</w:t>
            </w:r>
            <w:r>
              <w:rPr>
                <w:webHidden/>
              </w:rPr>
              <w:tab/>
            </w:r>
            <w:r>
              <w:rPr>
                <w:webHidden/>
              </w:rPr>
              <w:fldChar w:fldCharType="begin"/>
            </w:r>
            <w:r>
              <w:rPr>
                <w:webHidden/>
              </w:rPr>
              <w:instrText xml:space="preserve"> PAGEREF _Toc224213113 \h </w:instrText>
            </w:r>
            <w:r>
              <w:rPr>
                <w:webHidden/>
              </w:rPr>
            </w:r>
            <w:r>
              <w:rPr>
                <w:webHidden/>
              </w:rPr>
              <w:fldChar w:fldCharType="separate"/>
            </w:r>
            <w:r w:rsidR="00F4508B">
              <w:rPr>
                <w:webHidden/>
              </w:rPr>
              <w:t>1</w:t>
            </w:r>
            <w:r>
              <w:rPr>
                <w:webHidden/>
              </w:rPr>
              <w:fldChar w:fldCharType="end"/>
            </w:r>
          </w:hyperlink>
        </w:p>
        <w:p w14:paraId="720D62DA" w14:textId="277449CD" w:rsidR="008E63FF" w:rsidRDefault="008E63FF">
          <w:pPr>
            <w:pStyle w:val="TOC2"/>
            <w:rPr>
              <w:rFonts w:eastAsiaTheme="minorEastAsia"/>
              <w:kern w:val="2"/>
              <w:sz w:val="24"/>
              <w:szCs w:val="24"/>
              <w:lang w:eastAsia="en-AU"/>
              <w14:ligatures w14:val="standardContextual"/>
            </w:rPr>
          </w:pPr>
          <w:hyperlink w:anchor="_Toc224213114" w:history="1">
            <w:r w:rsidRPr="009409CF">
              <w:rPr>
                <w:rStyle w:val="Hyperlink"/>
              </w:rPr>
              <w:t xml:space="preserve">Downloadable documents for applicants </w:t>
            </w:r>
            <w:r w:rsidRPr="009409CF">
              <w:rPr>
                <w:rStyle w:val="Hyperlink"/>
                <w:lang w:eastAsia="ja-JP"/>
              </w:rPr>
              <w:t>and registered entities</w:t>
            </w:r>
            <w:r>
              <w:rPr>
                <w:webHidden/>
              </w:rPr>
              <w:tab/>
            </w:r>
            <w:r>
              <w:rPr>
                <w:webHidden/>
              </w:rPr>
              <w:fldChar w:fldCharType="begin"/>
            </w:r>
            <w:r>
              <w:rPr>
                <w:webHidden/>
              </w:rPr>
              <w:instrText xml:space="preserve"> PAGEREF _Toc224213114 \h </w:instrText>
            </w:r>
            <w:r>
              <w:rPr>
                <w:webHidden/>
              </w:rPr>
            </w:r>
            <w:r>
              <w:rPr>
                <w:webHidden/>
              </w:rPr>
              <w:fldChar w:fldCharType="separate"/>
            </w:r>
            <w:r w:rsidR="00F4508B">
              <w:rPr>
                <w:webHidden/>
              </w:rPr>
              <w:t>2</w:t>
            </w:r>
            <w:r>
              <w:rPr>
                <w:webHidden/>
              </w:rPr>
              <w:fldChar w:fldCharType="end"/>
            </w:r>
          </w:hyperlink>
        </w:p>
        <w:p w14:paraId="069633A5" w14:textId="3BC2B5A2" w:rsidR="008E63FF" w:rsidRDefault="008E63FF">
          <w:pPr>
            <w:pStyle w:val="TOC1"/>
            <w:rPr>
              <w:rFonts w:eastAsiaTheme="minorEastAsia"/>
              <w:b w:val="0"/>
              <w:kern w:val="2"/>
              <w:sz w:val="24"/>
              <w:szCs w:val="24"/>
              <w:lang w:eastAsia="en-AU"/>
              <w14:ligatures w14:val="standardContextual"/>
            </w:rPr>
          </w:pPr>
          <w:hyperlink w:anchor="_Toc224213115" w:history="1">
            <w:r w:rsidRPr="009409CF">
              <w:rPr>
                <w:rStyle w:val="Hyperlink"/>
              </w:rPr>
              <w:t>1</w:t>
            </w:r>
            <w:r>
              <w:rPr>
                <w:rFonts w:eastAsiaTheme="minorEastAsia"/>
                <w:b w:val="0"/>
                <w:kern w:val="2"/>
                <w:sz w:val="24"/>
                <w:szCs w:val="24"/>
                <w:lang w:eastAsia="en-AU"/>
                <w14:ligatures w14:val="standardContextual"/>
              </w:rPr>
              <w:tab/>
            </w:r>
            <w:r w:rsidRPr="009409CF">
              <w:rPr>
                <w:rStyle w:val="Hyperlink"/>
              </w:rPr>
              <w:t>Primary biosecurity risks</w:t>
            </w:r>
            <w:r>
              <w:rPr>
                <w:webHidden/>
              </w:rPr>
              <w:tab/>
            </w:r>
            <w:r>
              <w:rPr>
                <w:webHidden/>
              </w:rPr>
              <w:fldChar w:fldCharType="begin"/>
            </w:r>
            <w:r>
              <w:rPr>
                <w:webHidden/>
              </w:rPr>
              <w:instrText xml:space="preserve"> PAGEREF _Toc224213115 \h </w:instrText>
            </w:r>
            <w:r>
              <w:rPr>
                <w:webHidden/>
              </w:rPr>
            </w:r>
            <w:r>
              <w:rPr>
                <w:webHidden/>
              </w:rPr>
              <w:fldChar w:fldCharType="separate"/>
            </w:r>
            <w:r w:rsidR="00F4508B">
              <w:rPr>
                <w:webHidden/>
              </w:rPr>
              <w:t>3</w:t>
            </w:r>
            <w:r>
              <w:rPr>
                <w:webHidden/>
              </w:rPr>
              <w:fldChar w:fldCharType="end"/>
            </w:r>
          </w:hyperlink>
        </w:p>
        <w:p w14:paraId="4B47EA87" w14:textId="30275D82" w:rsidR="008E63FF" w:rsidRDefault="008E63FF">
          <w:pPr>
            <w:pStyle w:val="TOC2"/>
            <w:tabs>
              <w:tab w:val="left" w:pos="1200"/>
            </w:tabs>
            <w:rPr>
              <w:rFonts w:eastAsiaTheme="minorEastAsia"/>
              <w:kern w:val="2"/>
              <w:sz w:val="24"/>
              <w:szCs w:val="24"/>
              <w:lang w:eastAsia="en-AU"/>
              <w14:ligatures w14:val="standardContextual"/>
            </w:rPr>
          </w:pPr>
          <w:hyperlink w:anchor="_Toc224213116" w:history="1">
            <w:r w:rsidRPr="009409CF">
              <w:rPr>
                <w:rStyle w:val="Hyperlink"/>
              </w:rPr>
              <w:t>1.1</w:t>
            </w:r>
            <w:r>
              <w:rPr>
                <w:rFonts w:eastAsiaTheme="minorEastAsia"/>
                <w:kern w:val="2"/>
                <w:sz w:val="24"/>
                <w:szCs w:val="24"/>
                <w:lang w:eastAsia="en-AU"/>
                <w14:ligatures w14:val="standardContextual"/>
              </w:rPr>
              <w:tab/>
            </w:r>
            <w:r w:rsidRPr="009409CF">
              <w:rPr>
                <w:rStyle w:val="Hyperlink"/>
              </w:rPr>
              <w:t>Plant material and seeds</w:t>
            </w:r>
            <w:r>
              <w:rPr>
                <w:webHidden/>
              </w:rPr>
              <w:tab/>
            </w:r>
            <w:r>
              <w:rPr>
                <w:webHidden/>
              </w:rPr>
              <w:fldChar w:fldCharType="begin"/>
            </w:r>
            <w:r>
              <w:rPr>
                <w:webHidden/>
              </w:rPr>
              <w:instrText xml:space="preserve"> PAGEREF _Toc224213116 \h </w:instrText>
            </w:r>
            <w:r>
              <w:rPr>
                <w:webHidden/>
              </w:rPr>
            </w:r>
            <w:r>
              <w:rPr>
                <w:webHidden/>
              </w:rPr>
              <w:fldChar w:fldCharType="separate"/>
            </w:r>
            <w:r w:rsidR="00F4508B">
              <w:rPr>
                <w:webHidden/>
              </w:rPr>
              <w:t>3</w:t>
            </w:r>
            <w:r>
              <w:rPr>
                <w:webHidden/>
              </w:rPr>
              <w:fldChar w:fldCharType="end"/>
            </w:r>
          </w:hyperlink>
        </w:p>
        <w:p w14:paraId="20FD0F9E" w14:textId="04703EAE" w:rsidR="008E63FF" w:rsidRDefault="008E63FF">
          <w:pPr>
            <w:pStyle w:val="TOC2"/>
            <w:tabs>
              <w:tab w:val="left" w:pos="1200"/>
            </w:tabs>
            <w:rPr>
              <w:rFonts w:eastAsiaTheme="minorEastAsia"/>
              <w:kern w:val="2"/>
              <w:sz w:val="24"/>
              <w:szCs w:val="24"/>
              <w:lang w:eastAsia="en-AU"/>
              <w14:ligatures w14:val="standardContextual"/>
            </w:rPr>
          </w:pPr>
          <w:hyperlink w:anchor="_Toc224213117" w:history="1">
            <w:r w:rsidRPr="009409CF">
              <w:rPr>
                <w:rStyle w:val="Hyperlink"/>
              </w:rPr>
              <w:t>1.2</w:t>
            </w:r>
            <w:r>
              <w:rPr>
                <w:rFonts w:eastAsiaTheme="minorEastAsia"/>
                <w:kern w:val="2"/>
                <w:sz w:val="24"/>
                <w:szCs w:val="24"/>
                <w:lang w:eastAsia="en-AU"/>
                <w14:ligatures w14:val="standardContextual"/>
              </w:rPr>
              <w:tab/>
            </w:r>
            <w:r w:rsidRPr="009409CF">
              <w:rPr>
                <w:rStyle w:val="Hyperlink"/>
              </w:rPr>
              <w:t>Soil</w:t>
            </w:r>
            <w:r>
              <w:rPr>
                <w:webHidden/>
              </w:rPr>
              <w:tab/>
            </w:r>
            <w:r>
              <w:rPr>
                <w:webHidden/>
              </w:rPr>
              <w:fldChar w:fldCharType="begin"/>
            </w:r>
            <w:r>
              <w:rPr>
                <w:webHidden/>
              </w:rPr>
              <w:instrText xml:space="preserve"> PAGEREF _Toc224213117 \h </w:instrText>
            </w:r>
            <w:r>
              <w:rPr>
                <w:webHidden/>
              </w:rPr>
            </w:r>
            <w:r>
              <w:rPr>
                <w:webHidden/>
              </w:rPr>
              <w:fldChar w:fldCharType="separate"/>
            </w:r>
            <w:r w:rsidR="00F4508B">
              <w:rPr>
                <w:webHidden/>
              </w:rPr>
              <w:t>3</w:t>
            </w:r>
            <w:r>
              <w:rPr>
                <w:webHidden/>
              </w:rPr>
              <w:fldChar w:fldCharType="end"/>
            </w:r>
          </w:hyperlink>
        </w:p>
        <w:p w14:paraId="274CDA52" w14:textId="53C761C9" w:rsidR="008E63FF" w:rsidRDefault="008E63FF">
          <w:pPr>
            <w:pStyle w:val="TOC2"/>
            <w:tabs>
              <w:tab w:val="left" w:pos="1200"/>
            </w:tabs>
            <w:rPr>
              <w:rFonts w:eastAsiaTheme="minorEastAsia"/>
              <w:kern w:val="2"/>
              <w:sz w:val="24"/>
              <w:szCs w:val="24"/>
              <w:lang w:eastAsia="en-AU"/>
              <w14:ligatures w14:val="standardContextual"/>
            </w:rPr>
          </w:pPr>
          <w:hyperlink w:anchor="_Toc224213118" w:history="1">
            <w:r w:rsidRPr="009409CF">
              <w:rPr>
                <w:rStyle w:val="Hyperlink"/>
              </w:rPr>
              <w:t>1.3</w:t>
            </w:r>
            <w:r>
              <w:rPr>
                <w:rFonts w:eastAsiaTheme="minorEastAsia"/>
                <w:kern w:val="2"/>
                <w:sz w:val="24"/>
                <w:szCs w:val="24"/>
                <w:lang w:eastAsia="en-AU"/>
                <w14:ligatures w14:val="standardContextual"/>
              </w:rPr>
              <w:tab/>
            </w:r>
            <w:r w:rsidRPr="009409CF">
              <w:rPr>
                <w:rStyle w:val="Hyperlink"/>
              </w:rPr>
              <w:t>Hitchhiker pests</w:t>
            </w:r>
            <w:r>
              <w:rPr>
                <w:webHidden/>
              </w:rPr>
              <w:tab/>
            </w:r>
            <w:r>
              <w:rPr>
                <w:webHidden/>
              </w:rPr>
              <w:fldChar w:fldCharType="begin"/>
            </w:r>
            <w:r>
              <w:rPr>
                <w:webHidden/>
              </w:rPr>
              <w:instrText xml:space="preserve"> PAGEREF _Toc224213118 \h </w:instrText>
            </w:r>
            <w:r>
              <w:rPr>
                <w:webHidden/>
              </w:rPr>
            </w:r>
            <w:r>
              <w:rPr>
                <w:webHidden/>
              </w:rPr>
              <w:fldChar w:fldCharType="separate"/>
            </w:r>
            <w:r w:rsidR="00F4508B">
              <w:rPr>
                <w:webHidden/>
              </w:rPr>
              <w:t>4</w:t>
            </w:r>
            <w:r>
              <w:rPr>
                <w:webHidden/>
              </w:rPr>
              <w:fldChar w:fldCharType="end"/>
            </w:r>
          </w:hyperlink>
        </w:p>
        <w:p w14:paraId="4A603EED" w14:textId="324C5B68" w:rsidR="008E63FF" w:rsidRDefault="008E63FF">
          <w:pPr>
            <w:pStyle w:val="TOC1"/>
            <w:rPr>
              <w:rFonts w:eastAsiaTheme="minorEastAsia"/>
              <w:b w:val="0"/>
              <w:kern w:val="2"/>
              <w:sz w:val="24"/>
              <w:szCs w:val="24"/>
              <w:lang w:eastAsia="en-AU"/>
              <w14:ligatures w14:val="standardContextual"/>
            </w:rPr>
          </w:pPr>
          <w:hyperlink w:anchor="_Toc224213119" w:history="1">
            <w:r w:rsidRPr="009409CF">
              <w:rPr>
                <w:rStyle w:val="Hyperlink"/>
              </w:rPr>
              <w:t>2</w:t>
            </w:r>
            <w:r>
              <w:rPr>
                <w:rFonts w:eastAsiaTheme="minorEastAsia"/>
                <w:b w:val="0"/>
                <w:kern w:val="2"/>
                <w:sz w:val="24"/>
                <w:szCs w:val="24"/>
                <w:lang w:eastAsia="en-AU"/>
                <w14:ligatures w14:val="standardContextual"/>
              </w:rPr>
              <w:tab/>
            </w:r>
            <w:r w:rsidRPr="009409CF">
              <w:rPr>
                <w:rStyle w:val="Hyperlink"/>
              </w:rPr>
              <w:t>Risk management and assessment</w:t>
            </w:r>
            <w:r>
              <w:rPr>
                <w:webHidden/>
              </w:rPr>
              <w:tab/>
            </w:r>
            <w:r>
              <w:rPr>
                <w:webHidden/>
              </w:rPr>
              <w:fldChar w:fldCharType="begin"/>
            </w:r>
            <w:r>
              <w:rPr>
                <w:webHidden/>
              </w:rPr>
              <w:instrText xml:space="preserve"> PAGEREF _Toc224213119 \h </w:instrText>
            </w:r>
            <w:r>
              <w:rPr>
                <w:webHidden/>
              </w:rPr>
            </w:r>
            <w:r>
              <w:rPr>
                <w:webHidden/>
              </w:rPr>
              <w:fldChar w:fldCharType="separate"/>
            </w:r>
            <w:r w:rsidR="00F4508B">
              <w:rPr>
                <w:webHidden/>
              </w:rPr>
              <w:t>5</w:t>
            </w:r>
            <w:r>
              <w:rPr>
                <w:webHidden/>
              </w:rPr>
              <w:fldChar w:fldCharType="end"/>
            </w:r>
          </w:hyperlink>
        </w:p>
        <w:p w14:paraId="695ADA58" w14:textId="6ED06E89" w:rsidR="008E63FF" w:rsidRDefault="008E63FF">
          <w:pPr>
            <w:pStyle w:val="TOC2"/>
            <w:tabs>
              <w:tab w:val="left" w:pos="1200"/>
            </w:tabs>
            <w:rPr>
              <w:rFonts w:eastAsiaTheme="minorEastAsia"/>
              <w:kern w:val="2"/>
              <w:sz w:val="24"/>
              <w:szCs w:val="24"/>
              <w:lang w:eastAsia="en-AU"/>
              <w14:ligatures w14:val="standardContextual"/>
            </w:rPr>
          </w:pPr>
          <w:hyperlink w:anchor="_Toc224213120" w:history="1">
            <w:r w:rsidRPr="009409CF">
              <w:rPr>
                <w:rStyle w:val="Hyperlink"/>
                <w:lang w:eastAsia="ja-JP"/>
              </w:rPr>
              <w:t>2.1</w:t>
            </w:r>
            <w:r>
              <w:rPr>
                <w:rFonts w:eastAsiaTheme="minorEastAsia"/>
                <w:kern w:val="2"/>
                <w:sz w:val="24"/>
                <w:szCs w:val="24"/>
                <w:lang w:eastAsia="en-AU"/>
                <w14:ligatures w14:val="standardContextual"/>
              </w:rPr>
              <w:tab/>
            </w:r>
            <w:r w:rsidRPr="009409CF">
              <w:rPr>
                <w:rStyle w:val="Hyperlink"/>
                <w:lang w:eastAsia="ja-JP"/>
              </w:rPr>
              <w:t>Minimum registration eligibility requirements</w:t>
            </w:r>
            <w:r>
              <w:rPr>
                <w:webHidden/>
              </w:rPr>
              <w:tab/>
            </w:r>
            <w:r>
              <w:rPr>
                <w:webHidden/>
              </w:rPr>
              <w:fldChar w:fldCharType="begin"/>
            </w:r>
            <w:r>
              <w:rPr>
                <w:webHidden/>
              </w:rPr>
              <w:instrText xml:space="preserve"> PAGEREF _Toc224213120 \h </w:instrText>
            </w:r>
            <w:r>
              <w:rPr>
                <w:webHidden/>
              </w:rPr>
            </w:r>
            <w:r>
              <w:rPr>
                <w:webHidden/>
              </w:rPr>
              <w:fldChar w:fldCharType="separate"/>
            </w:r>
            <w:r w:rsidR="00F4508B">
              <w:rPr>
                <w:webHidden/>
              </w:rPr>
              <w:t>7</w:t>
            </w:r>
            <w:r>
              <w:rPr>
                <w:webHidden/>
              </w:rPr>
              <w:fldChar w:fldCharType="end"/>
            </w:r>
          </w:hyperlink>
        </w:p>
        <w:p w14:paraId="5D775069" w14:textId="62C867EA" w:rsidR="008E63FF" w:rsidRDefault="008E63FF">
          <w:pPr>
            <w:pStyle w:val="TOC2"/>
            <w:tabs>
              <w:tab w:val="left" w:pos="1200"/>
            </w:tabs>
            <w:rPr>
              <w:rFonts w:eastAsiaTheme="minorEastAsia"/>
              <w:kern w:val="2"/>
              <w:sz w:val="24"/>
              <w:szCs w:val="24"/>
              <w:lang w:eastAsia="en-AU"/>
              <w14:ligatures w14:val="standardContextual"/>
            </w:rPr>
          </w:pPr>
          <w:hyperlink w:anchor="_Toc224213121" w:history="1">
            <w:r w:rsidRPr="009409CF">
              <w:rPr>
                <w:rStyle w:val="Hyperlink"/>
                <w:lang w:eastAsia="ja-JP"/>
              </w:rPr>
              <w:t>2.2</w:t>
            </w:r>
            <w:r>
              <w:rPr>
                <w:rFonts w:eastAsiaTheme="minorEastAsia"/>
                <w:kern w:val="2"/>
                <w:sz w:val="24"/>
                <w:szCs w:val="24"/>
                <w:lang w:eastAsia="en-AU"/>
                <w14:ligatures w14:val="standardContextual"/>
              </w:rPr>
              <w:tab/>
            </w:r>
            <w:r w:rsidRPr="009409CF">
              <w:rPr>
                <w:rStyle w:val="Hyperlink"/>
                <w:lang w:eastAsia="ja-JP"/>
              </w:rPr>
              <w:t>Registration</w:t>
            </w:r>
            <w:r>
              <w:rPr>
                <w:webHidden/>
              </w:rPr>
              <w:tab/>
            </w:r>
            <w:r>
              <w:rPr>
                <w:webHidden/>
              </w:rPr>
              <w:fldChar w:fldCharType="begin"/>
            </w:r>
            <w:r>
              <w:rPr>
                <w:webHidden/>
              </w:rPr>
              <w:instrText xml:space="preserve"> PAGEREF _Toc224213121 \h </w:instrText>
            </w:r>
            <w:r>
              <w:rPr>
                <w:webHidden/>
              </w:rPr>
            </w:r>
            <w:r>
              <w:rPr>
                <w:webHidden/>
              </w:rPr>
              <w:fldChar w:fldCharType="separate"/>
            </w:r>
            <w:r w:rsidR="00F4508B">
              <w:rPr>
                <w:webHidden/>
              </w:rPr>
              <w:t>7</w:t>
            </w:r>
            <w:r>
              <w:rPr>
                <w:webHidden/>
              </w:rPr>
              <w:fldChar w:fldCharType="end"/>
            </w:r>
          </w:hyperlink>
        </w:p>
        <w:p w14:paraId="4554C24E" w14:textId="74CF1656" w:rsidR="008E63FF" w:rsidRDefault="008E63FF">
          <w:pPr>
            <w:pStyle w:val="TOC2"/>
            <w:tabs>
              <w:tab w:val="left" w:pos="1200"/>
            </w:tabs>
            <w:rPr>
              <w:rFonts w:eastAsiaTheme="minorEastAsia"/>
              <w:kern w:val="2"/>
              <w:sz w:val="24"/>
              <w:szCs w:val="24"/>
              <w:lang w:eastAsia="en-AU"/>
              <w14:ligatures w14:val="standardContextual"/>
            </w:rPr>
          </w:pPr>
          <w:hyperlink w:anchor="_Toc224213122" w:history="1">
            <w:r w:rsidRPr="009409CF">
              <w:rPr>
                <w:rStyle w:val="Hyperlink"/>
                <w:lang w:eastAsia="ja-JP"/>
              </w:rPr>
              <w:t>2.3</w:t>
            </w:r>
            <w:r>
              <w:rPr>
                <w:rFonts w:eastAsiaTheme="minorEastAsia"/>
                <w:kern w:val="2"/>
                <w:sz w:val="24"/>
                <w:szCs w:val="24"/>
                <w:lang w:eastAsia="en-AU"/>
                <w14:ligatures w14:val="standardContextual"/>
              </w:rPr>
              <w:tab/>
            </w:r>
            <w:r w:rsidRPr="009409CF">
              <w:rPr>
                <w:rStyle w:val="Hyperlink"/>
                <w:lang w:eastAsia="ja-JP"/>
              </w:rPr>
              <w:t>Fees and charges</w:t>
            </w:r>
            <w:r>
              <w:rPr>
                <w:webHidden/>
              </w:rPr>
              <w:tab/>
            </w:r>
            <w:r>
              <w:rPr>
                <w:webHidden/>
              </w:rPr>
              <w:fldChar w:fldCharType="begin"/>
            </w:r>
            <w:r>
              <w:rPr>
                <w:webHidden/>
              </w:rPr>
              <w:instrText xml:space="preserve"> PAGEREF _Toc224213122 \h </w:instrText>
            </w:r>
            <w:r>
              <w:rPr>
                <w:webHidden/>
              </w:rPr>
            </w:r>
            <w:r>
              <w:rPr>
                <w:webHidden/>
              </w:rPr>
              <w:fldChar w:fldCharType="separate"/>
            </w:r>
            <w:r w:rsidR="00F4508B">
              <w:rPr>
                <w:webHidden/>
              </w:rPr>
              <w:t>11</w:t>
            </w:r>
            <w:r>
              <w:rPr>
                <w:webHidden/>
              </w:rPr>
              <w:fldChar w:fldCharType="end"/>
            </w:r>
          </w:hyperlink>
        </w:p>
        <w:p w14:paraId="5FAF1555" w14:textId="4F2D42D0" w:rsidR="008E63FF" w:rsidRDefault="008E63FF">
          <w:pPr>
            <w:pStyle w:val="TOC2"/>
            <w:tabs>
              <w:tab w:val="left" w:pos="1200"/>
            </w:tabs>
            <w:rPr>
              <w:rFonts w:eastAsiaTheme="minorEastAsia"/>
              <w:kern w:val="2"/>
              <w:sz w:val="24"/>
              <w:szCs w:val="24"/>
              <w:lang w:eastAsia="en-AU"/>
              <w14:ligatures w14:val="standardContextual"/>
            </w:rPr>
          </w:pPr>
          <w:hyperlink w:anchor="_Toc224213123" w:history="1">
            <w:r w:rsidRPr="009409CF">
              <w:rPr>
                <w:rStyle w:val="Hyperlink"/>
                <w:lang w:eastAsia="ja-JP"/>
              </w:rPr>
              <w:t>2.4</w:t>
            </w:r>
            <w:r>
              <w:rPr>
                <w:rFonts w:eastAsiaTheme="minorEastAsia"/>
                <w:kern w:val="2"/>
                <w:sz w:val="24"/>
                <w:szCs w:val="24"/>
                <w:lang w:eastAsia="en-AU"/>
                <w14:ligatures w14:val="standardContextual"/>
              </w:rPr>
              <w:tab/>
            </w:r>
            <w:r w:rsidRPr="009409CF">
              <w:rPr>
                <w:rStyle w:val="Hyperlink"/>
                <w:lang w:eastAsia="ja-JP"/>
              </w:rPr>
              <w:t>Change in circumstances</w:t>
            </w:r>
            <w:r>
              <w:rPr>
                <w:webHidden/>
              </w:rPr>
              <w:tab/>
            </w:r>
            <w:r>
              <w:rPr>
                <w:webHidden/>
              </w:rPr>
              <w:fldChar w:fldCharType="begin"/>
            </w:r>
            <w:r>
              <w:rPr>
                <w:webHidden/>
              </w:rPr>
              <w:instrText xml:space="preserve"> PAGEREF _Toc224213123 \h </w:instrText>
            </w:r>
            <w:r>
              <w:rPr>
                <w:webHidden/>
              </w:rPr>
            </w:r>
            <w:r>
              <w:rPr>
                <w:webHidden/>
              </w:rPr>
              <w:fldChar w:fldCharType="separate"/>
            </w:r>
            <w:r w:rsidR="00F4508B">
              <w:rPr>
                <w:webHidden/>
              </w:rPr>
              <w:t>12</w:t>
            </w:r>
            <w:r>
              <w:rPr>
                <w:webHidden/>
              </w:rPr>
              <w:fldChar w:fldCharType="end"/>
            </w:r>
          </w:hyperlink>
        </w:p>
        <w:p w14:paraId="5AD24667" w14:textId="5614F8D6" w:rsidR="008E63FF" w:rsidRDefault="008E63FF">
          <w:pPr>
            <w:pStyle w:val="TOC1"/>
            <w:rPr>
              <w:rFonts w:eastAsiaTheme="minorEastAsia"/>
              <w:b w:val="0"/>
              <w:kern w:val="2"/>
              <w:sz w:val="24"/>
              <w:szCs w:val="24"/>
              <w:lang w:eastAsia="en-AU"/>
              <w14:ligatures w14:val="standardContextual"/>
            </w:rPr>
          </w:pPr>
          <w:hyperlink w:anchor="_Toc224213124" w:history="1">
            <w:r w:rsidRPr="009409CF">
              <w:rPr>
                <w:rStyle w:val="Hyperlink"/>
              </w:rPr>
              <w:t>3</w:t>
            </w:r>
            <w:r>
              <w:rPr>
                <w:rFonts w:eastAsiaTheme="minorEastAsia"/>
                <w:b w:val="0"/>
                <w:kern w:val="2"/>
                <w:sz w:val="24"/>
                <w:szCs w:val="24"/>
                <w:lang w:eastAsia="en-AU"/>
                <w14:ligatures w14:val="standardContextual"/>
              </w:rPr>
              <w:tab/>
            </w:r>
            <w:r w:rsidRPr="009409CF">
              <w:rPr>
                <w:rStyle w:val="Hyperlink"/>
              </w:rPr>
              <w:t>Consignment risk assessment</w:t>
            </w:r>
            <w:r>
              <w:rPr>
                <w:webHidden/>
              </w:rPr>
              <w:tab/>
            </w:r>
            <w:r>
              <w:rPr>
                <w:webHidden/>
              </w:rPr>
              <w:fldChar w:fldCharType="begin"/>
            </w:r>
            <w:r>
              <w:rPr>
                <w:webHidden/>
              </w:rPr>
              <w:instrText xml:space="preserve"> PAGEREF _Toc224213124 \h </w:instrText>
            </w:r>
            <w:r>
              <w:rPr>
                <w:webHidden/>
              </w:rPr>
            </w:r>
            <w:r>
              <w:rPr>
                <w:webHidden/>
              </w:rPr>
              <w:fldChar w:fldCharType="separate"/>
            </w:r>
            <w:r w:rsidR="00F4508B">
              <w:rPr>
                <w:webHidden/>
              </w:rPr>
              <w:t>13</w:t>
            </w:r>
            <w:r>
              <w:rPr>
                <w:webHidden/>
              </w:rPr>
              <w:fldChar w:fldCharType="end"/>
            </w:r>
          </w:hyperlink>
        </w:p>
        <w:p w14:paraId="4FE3C62B" w14:textId="4296F241" w:rsidR="008E63FF" w:rsidRDefault="008E63FF">
          <w:pPr>
            <w:pStyle w:val="TOC1"/>
            <w:rPr>
              <w:rFonts w:eastAsiaTheme="minorEastAsia"/>
              <w:b w:val="0"/>
              <w:kern w:val="2"/>
              <w:sz w:val="24"/>
              <w:szCs w:val="24"/>
              <w:lang w:eastAsia="en-AU"/>
              <w14:ligatures w14:val="standardContextual"/>
            </w:rPr>
          </w:pPr>
          <w:hyperlink w:anchor="_Toc224213125" w:history="1">
            <w:r w:rsidRPr="009409CF">
              <w:rPr>
                <w:rStyle w:val="Hyperlink"/>
              </w:rPr>
              <w:t>4</w:t>
            </w:r>
            <w:r>
              <w:rPr>
                <w:rFonts w:eastAsiaTheme="minorEastAsia"/>
                <w:b w:val="0"/>
                <w:kern w:val="2"/>
                <w:sz w:val="24"/>
                <w:szCs w:val="24"/>
                <w:lang w:eastAsia="en-AU"/>
                <w14:ligatures w14:val="standardContextual"/>
              </w:rPr>
              <w:tab/>
            </w:r>
            <w:r w:rsidRPr="009409CF">
              <w:rPr>
                <w:rStyle w:val="Hyperlink"/>
              </w:rPr>
              <w:t>In-ships-hold consignments</w:t>
            </w:r>
            <w:r>
              <w:rPr>
                <w:webHidden/>
              </w:rPr>
              <w:tab/>
            </w:r>
            <w:r>
              <w:rPr>
                <w:webHidden/>
              </w:rPr>
              <w:fldChar w:fldCharType="begin"/>
            </w:r>
            <w:r>
              <w:rPr>
                <w:webHidden/>
              </w:rPr>
              <w:instrText xml:space="preserve"> PAGEREF _Toc224213125 \h </w:instrText>
            </w:r>
            <w:r>
              <w:rPr>
                <w:webHidden/>
              </w:rPr>
            </w:r>
            <w:r>
              <w:rPr>
                <w:webHidden/>
              </w:rPr>
              <w:fldChar w:fldCharType="separate"/>
            </w:r>
            <w:r w:rsidR="00F4508B">
              <w:rPr>
                <w:webHidden/>
              </w:rPr>
              <w:t>14</w:t>
            </w:r>
            <w:r>
              <w:rPr>
                <w:webHidden/>
              </w:rPr>
              <w:fldChar w:fldCharType="end"/>
            </w:r>
          </w:hyperlink>
        </w:p>
        <w:p w14:paraId="703636E9" w14:textId="11E5A818" w:rsidR="008E63FF" w:rsidRDefault="008E63FF">
          <w:pPr>
            <w:pStyle w:val="TOC2"/>
            <w:tabs>
              <w:tab w:val="left" w:pos="1200"/>
            </w:tabs>
            <w:rPr>
              <w:rFonts w:eastAsiaTheme="minorEastAsia"/>
              <w:kern w:val="2"/>
              <w:sz w:val="24"/>
              <w:szCs w:val="24"/>
              <w:lang w:eastAsia="en-AU"/>
              <w14:ligatures w14:val="standardContextual"/>
            </w:rPr>
          </w:pPr>
          <w:hyperlink w:anchor="_Toc224213126" w:history="1">
            <w:r w:rsidRPr="009409CF">
              <w:rPr>
                <w:rStyle w:val="Hyperlink"/>
                <w:lang w:eastAsia="ja-JP"/>
              </w:rPr>
              <w:t>4.1</w:t>
            </w:r>
            <w:r>
              <w:rPr>
                <w:rFonts w:eastAsiaTheme="minorEastAsia"/>
                <w:kern w:val="2"/>
                <w:sz w:val="24"/>
                <w:szCs w:val="24"/>
                <w:lang w:eastAsia="en-AU"/>
                <w14:ligatures w14:val="standardContextual"/>
              </w:rPr>
              <w:tab/>
            </w:r>
            <w:r w:rsidRPr="009409CF">
              <w:rPr>
                <w:rStyle w:val="Hyperlink"/>
                <w:lang w:eastAsia="ja-JP"/>
              </w:rPr>
              <w:t>Pre-shipment inspection and certification</w:t>
            </w:r>
            <w:r>
              <w:rPr>
                <w:webHidden/>
              </w:rPr>
              <w:tab/>
            </w:r>
            <w:r>
              <w:rPr>
                <w:webHidden/>
              </w:rPr>
              <w:fldChar w:fldCharType="begin"/>
            </w:r>
            <w:r>
              <w:rPr>
                <w:webHidden/>
              </w:rPr>
              <w:instrText xml:space="preserve"> PAGEREF _Toc224213126 \h </w:instrText>
            </w:r>
            <w:r>
              <w:rPr>
                <w:webHidden/>
              </w:rPr>
            </w:r>
            <w:r>
              <w:rPr>
                <w:webHidden/>
              </w:rPr>
              <w:fldChar w:fldCharType="separate"/>
            </w:r>
            <w:r w:rsidR="00F4508B">
              <w:rPr>
                <w:webHidden/>
              </w:rPr>
              <w:t>14</w:t>
            </w:r>
            <w:r>
              <w:rPr>
                <w:webHidden/>
              </w:rPr>
              <w:fldChar w:fldCharType="end"/>
            </w:r>
          </w:hyperlink>
        </w:p>
        <w:p w14:paraId="6AE579EF" w14:textId="4F7DFE5E" w:rsidR="008E63FF" w:rsidRDefault="008E63FF">
          <w:pPr>
            <w:pStyle w:val="TOC2"/>
            <w:tabs>
              <w:tab w:val="left" w:pos="1200"/>
            </w:tabs>
            <w:rPr>
              <w:rFonts w:eastAsiaTheme="minorEastAsia"/>
              <w:kern w:val="2"/>
              <w:sz w:val="24"/>
              <w:szCs w:val="24"/>
              <w:lang w:eastAsia="en-AU"/>
              <w14:ligatures w14:val="standardContextual"/>
            </w:rPr>
          </w:pPr>
          <w:hyperlink w:anchor="_Toc224213127" w:history="1">
            <w:r w:rsidRPr="009409CF">
              <w:rPr>
                <w:rStyle w:val="Hyperlink"/>
                <w:lang w:eastAsia="ja-JP"/>
              </w:rPr>
              <w:t>4.2</w:t>
            </w:r>
            <w:r>
              <w:rPr>
                <w:rFonts w:eastAsiaTheme="minorEastAsia"/>
                <w:kern w:val="2"/>
                <w:sz w:val="24"/>
                <w:szCs w:val="24"/>
                <w:lang w:eastAsia="en-AU"/>
                <w14:ligatures w14:val="standardContextual"/>
              </w:rPr>
              <w:tab/>
            </w:r>
            <w:r w:rsidRPr="009409CF">
              <w:rPr>
                <w:rStyle w:val="Hyperlink"/>
                <w:lang w:eastAsia="ja-JP"/>
              </w:rPr>
              <w:t>Pre-arrival documentation and reporting requirements</w:t>
            </w:r>
            <w:r>
              <w:rPr>
                <w:webHidden/>
              </w:rPr>
              <w:tab/>
            </w:r>
            <w:r>
              <w:rPr>
                <w:webHidden/>
              </w:rPr>
              <w:fldChar w:fldCharType="begin"/>
            </w:r>
            <w:r>
              <w:rPr>
                <w:webHidden/>
              </w:rPr>
              <w:instrText xml:space="preserve"> PAGEREF _Toc224213127 \h </w:instrText>
            </w:r>
            <w:r>
              <w:rPr>
                <w:webHidden/>
              </w:rPr>
            </w:r>
            <w:r>
              <w:rPr>
                <w:webHidden/>
              </w:rPr>
              <w:fldChar w:fldCharType="separate"/>
            </w:r>
            <w:r w:rsidR="00F4508B">
              <w:rPr>
                <w:webHidden/>
              </w:rPr>
              <w:t>14</w:t>
            </w:r>
            <w:r>
              <w:rPr>
                <w:webHidden/>
              </w:rPr>
              <w:fldChar w:fldCharType="end"/>
            </w:r>
          </w:hyperlink>
        </w:p>
        <w:p w14:paraId="0083B83E" w14:textId="64CDF23C" w:rsidR="008E63FF" w:rsidRDefault="008E63FF">
          <w:pPr>
            <w:pStyle w:val="TOC2"/>
            <w:tabs>
              <w:tab w:val="left" w:pos="1200"/>
            </w:tabs>
            <w:rPr>
              <w:rFonts w:eastAsiaTheme="minorEastAsia"/>
              <w:kern w:val="2"/>
              <w:sz w:val="24"/>
              <w:szCs w:val="24"/>
              <w:lang w:eastAsia="en-AU"/>
              <w14:ligatures w14:val="standardContextual"/>
            </w:rPr>
          </w:pPr>
          <w:hyperlink w:anchor="_Toc224213128" w:history="1">
            <w:r w:rsidRPr="009409CF">
              <w:rPr>
                <w:rStyle w:val="Hyperlink"/>
              </w:rPr>
              <w:t>4.3</w:t>
            </w:r>
            <w:r>
              <w:rPr>
                <w:rFonts w:eastAsiaTheme="minorEastAsia"/>
                <w:kern w:val="2"/>
                <w:sz w:val="24"/>
                <w:szCs w:val="24"/>
                <w:lang w:eastAsia="en-AU"/>
                <w14:ligatures w14:val="standardContextual"/>
              </w:rPr>
              <w:tab/>
            </w:r>
            <w:r w:rsidRPr="009409CF">
              <w:rPr>
                <w:rStyle w:val="Hyperlink"/>
              </w:rPr>
              <w:t>On-arrival biosecurity intervention</w:t>
            </w:r>
            <w:r>
              <w:rPr>
                <w:webHidden/>
              </w:rPr>
              <w:tab/>
            </w:r>
            <w:r>
              <w:rPr>
                <w:webHidden/>
              </w:rPr>
              <w:fldChar w:fldCharType="begin"/>
            </w:r>
            <w:r>
              <w:rPr>
                <w:webHidden/>
              </w:rPr>
              <w:instrText xml:space="preserve"> PAGEREF _Toc224213128 \h </w:instrText>
            </w:r>
            <w:r>
              <w:rPr>
                <w:webHidden/>
              </w:rPr>
            </w:r>
            <w:r>
              <w:rPr>
                <w:webHidden/>
              </w:rPr>
              <w:fldChar w:fldCharType="separate"/>
            </w:r>
            <w:r w:rsidR="00F4508B">
              <w:rPr>
                <w:webHidden/>
              </w:rPr>
              <w:t>16</w:t>
            </w:r>
            <w:r>
              <w:rPr>
                <w:webHidden/>
              </w:rPr>
              <w:fldChar w:fldCharType="end"/>
            </w:r>
          </w:hyperlink>
        </w:p>
        <w:p w14:paraId="583FE416" w14:textId="71A001C3" w:rsidR="008E63FF" w:rsidRDefault="008E63FF">
          <w:pPr>
            <w:pStyle w:val="TOC1"/>
            <w:rPr>
              <w:rFonts w:eastAsiaTheme="minorEastAsia"/>
              <w:b w:val="0"/>
              <w:kern w:val="2"/>
              <w:sz w:val="24"/>
              <w:szCs w:val="24"/>
              <w:lang w:eastAsia="en-AU"/>
              <w14:ligatures w14:val="standardContextual"/>
            </w:rPr>
          </w:pPr>
          <w:hyperlink w:anchor="_Toc224213129" w:history="1">
            <w:r w:rsidRPr="009409CF">
              <w:rPr>
                <w:rStyle w:val="Hyperlink"/>
              </w:rPr>
              <w:t>5</w:t>
            </w:r>
            <w:r>
              <w:rPr>
                <w:rFonts w:eastAsiaTheme="minorEastAsia"/>
                <w:b w:val="0"/>
                <w:kern w:val="2"/>
                <w:sz w:val="24"/>
                <w:szCs w:val="24"/>
                <w:lang w:eastAsia="en-AU"/>
                <w14:ligatures w14:val="standardContextual"/>
              </w:rPr>
              <w:tab/>
            </w:r>
            <w:r w:rsidRPr="009409CF">
              <w:rPr>
                <w:rStyle w:val="Hyperlink"/>
              </w:rPr>
              <w:t>Containerised consignments</w:t>
            </w:r>
            <w:r>
              <w:rPr>
                <w:webHidden/>
              </w:rPr>
              <w:tab/>
            </w:r>
            <w:r>
              <w:rPr>
                <w:webHidden/>
              </w:rPr>
              <w:fldChar w:fldCharType="begin"/>
            </w:r>
            <w:r>
              <w:rPr>
                <w:webHidden/>
              </w:rPr>
              <w:instrText xml:space="preserve"> PAGEREF _Toc224213129 \h </w:instrText>
            </w:r>
            <w:r>
              <w:rPr>
                <w:webHidden/>
              </w:rPr>
            </w:r>
            <w:r>
              <w:rPr>
                <w:webHidden/>
              </w:rPr>
              <w:fldChar w:fldCharType="separate"/>
            </w:r>
            <w:r w:rsidR="00F4508B">
              <w:rPr>
                <w:webHidden/>
              </w:rPr>
              <w:t>19</w:t>
            </w:r>
            <w:r>
              <w:rPr>
                <w:webHidden/>
              </w:rPr>
              <w:fldChar w:fldCharType="end"/>
            </w:r>
          </w:hyperlink>
        </w:p>
        <w:p w14:paraId="261DF75D" w14:textId="5022A4D1" w:rsidR="008E63FF" w:rsidRDefault="008E63FF">
          <w:pPr>
            <w:pStyle w:val="TOC2"/>
            <w:tabs>
              <w:tab w:val="left" w:pos="1200"/>
            </w:tabs>
            <w:rPr>
              <w:rFonts w:eastAsiaTheme="minorEastAsia"/>
              <w:kern w:val="2"/>
              <w:sz w:val="24"/>
              <w:szCs w:val="24"/>
              <w:lang w:eastAsia="en-AU"/>
              <w14:ligatures w14:val="standardContextual"/>
            </w:rPr>
          </w:pPr>
          <w:hyperlink w:anchor="_Toc224213130" w:history="1">
            <w:r w:rsidRPr="009409CF">
              <w:rPr>
                <w:rStyle w:val="Hyperlink"/>
              </w:rPr>
              <w:t>5.1</w:t>
            </w:r>
            <w:r>
              <w:rPr>
                <w:rFonts w:eastAsiaTheme="minorEastAsia"/>
                <w:kern w:val="2"/>
                <w:sz w:val="24"/>
                <w:szCs w:val="24"/>
                <w:lang w:eastAsia="en-AU"/>
                <w14:ligatures w14:val="standardContextual"/>
              </w:rPr>
              <w:tab/>
            </w:r>
            <w:r w:rsidRPr="009409CF">
              <w:rPr>
                <w:rStyle w:val="Hyperlink"/>
              </w:rPr>
              <w:t>Pre-shipment inspection and certification requirements</w:t>
            </w:r>
            <w:r>
              <w:rPr>
                <w:webHidden/>
              </w:rPr>
              <w:tab/>
            </w:r>
            <w:r>
              <w:rPr>
                <w:webHidden/>
              </w:rPr>
              <w:fldChar w:fldCharType="begin"/>
            </w:r>
            <w:r>
              <w:rPr>
                <w:webHidden/>
              </w:rPr>
              <w:instrText xml:space="preserve"> PAGEREF _Toc224213130 \h </w:instrText>
            </w:r>
            <w:r>
              <w:rPr>
                <w:webHidden/>
              </w:rPr>
            </w:r>
            <w:r>
              <w:rPr>
                <w:webHidden/>
              </w:rPr>
              <w:fldChar w:fldCharType="separate"/>
            </w:r>
            <w:r w:rsidR="00F4508B">
              <w:rPr>
                <w:webHidden/>
              </w:rPr>
              <w:t>19</w:t>
            </w:r>
            <w:r>
              <w:rPr>
                <w:webHidden/>
              </w:rPr>
              <w:fldChar w:fldCharType="end"/>
            </w:r>
          </w:hyperlink>
        </w:p>
        <w:p w14:paraId="66A761C8" w14:textId="646E21E6" w:rsidR="008E63FF" w:rsidRDefault="008E63FF">
          <w:pPr>
            <w:pStyle w:val="TOC2"/>
            <w:tabs>
              <w:tab w:val="left" w:pos="1200"/>
            </w:tabs>
            <w:rPr>
              <w:rFonts w:eastAsiaTheme="minorEastAsia"/>
              <w:kern w:val="2"/>
              <w:sz w:val="24"/>
              <w:szCs w:val="24"/>
              <w:lang w:eastAsia="en-AU"/>
              <w14:ligatures w14:val="standardContextual"/>
            </w:rPr>
          </w:pPr>
          <w:hyperlink w:anchor="_Toc224213131" w:history="1">
            <w:r w:rsidRPr="009409CF">
              <w:rPr>
                <w:rStyle w:val="Hyperlink"/>
              </w:rPr>
              <w:t>5.2</w:t>
            </w:r>
            <w:r>
              <w:rPr>
                <w:rFonts w:eastAsiaTheme="minorEastAsia"/>
                <w:kern w:val="2"/>
                <w:sz w:val="24"/>
                <w:szCs w:val="24"/>
                <w:lang w:eastAsia="en-AU"/>
                <w14:ligatures w14:val="standardContextual"/>
              </w:rPr>
              <w:tab/>
            </w:r>
            <w:r w:rsidRPr="009409CF">
              <w:rPr>
                <w:rStyle w:val="Hyperlink"/>
              </w:rPr>
              <w:t>Pre-arrival documentation and reporting requirements</w:t>
            </w:r>
            <w:r>
              <w:rPr>
                <w:webHidden/>
              </w:rPr>
              <w:tab/>
            </w:r>
            <w:r>
              <w:rPr>
                <w:webHidden/>
              </w:rPr>
              <w:fldChar w:fldCharType="begin"/>
            </w:r>
            <w:r>
              <w:rPr>
                <w:webHidden/>
              </w:rPr>
              <w:instrText xml:space="preserve"> PAGEREF _Toc224213131 \h </w:instrText>
            </w:r>
            <w:r>
              <w:rPr>
                <w:webHidden/>
              </w:rPr>
            </w:r>
            <w:r>
              <w:rPr>
                <w:webHidden/>
              </w:rPr>
              <w:fldChar w:fldCharType="separate"/>
            </w:r>
            <w:r w:rsidR="00F4508B">
              <w:rPr>
                <w:webHidden/>
              </w:rPr>
              <w:t>19</w:t>
            </w:r>
            <w:r>
              <w:rPr>
                <w:webHidden/>
              </w:rPr>
              <w:fldChar w:fldCharType="end"/>
            </w:r>
          </w:hyperlink>
        </w:p>
        <w:p w14:paraId="3E5F1BEF" w14:textId="497AA69D" w:rsidR="008E63FF" w:rsidRDefault="008E63FF">
          <w:pPr>
            <w:pStyle w:val="TOC2"/>
            <w:tabs>
              <w:tab w:val="left" w:pos="1200"/>
            </w:tabs>
            <w:rPr>
              <w:rFonts w:eastAsiaTheme="minorEastAsia"/>
              <w:kern w:val="2"/>
              <w:sz w:val="24"/>
              <w:szCs w:val="24"/>
              <w:lang w:eastAsia="en-AU"/>
              <w14:ligatures w14:val="standardContextual"/>
            </w:rPr>
          </w:pPr>
          <w:hyperlink w:anchor="_Toc224213132" w:history="1">
            <w:r w:rsidRPr="009409CF">
              <w:rPr>
                <w:rStyle w:val="Hyperlink"/>
              </w:rPr>
              <w:t>5.3</w:t>
            </w:r>
            <w:r>
              <w:rPr>
                <w:rFonts w:eastAsiaTheme="minorEastAsia"/>
                <w:kern w:val="2"/>
                <w:sz w:val="24"/>
                <w:szCs w:val="24"/>
                <w:lang w:eastAsia="en-AU"/>
                <w14:ligatures w14:val="standardContextual"/>
              </w:rPr>
              <w:tab/>
            </w:r>
            <w:r w:rsidRPr="009409CF">
              <w:rPr>
                <w:rStyle w:val="Hyperlink"/>
              </w:rPr>
              <w:t>On-arrival biosecurity intervention</w:t>
            </w:r>
            <w:r>
              <w:rPr>
                <w:webHidden/>
              </w:rPr>
              <w:tab/>
            </w:r>
            <w:r>
              <w:rPr>
                <w:webHidden/>
              </w:rPr>
              <w:fldChar w:fldCharType="begin"/>
            </w:r>
            <w:r>
              <w:rPr>
                <w:webHidden/>
              </w:rPr>
              <w:instrText xml:space="preserve"> PAGEREF _Toc224213132 \h </w:instrText>
            </w:r>
            <w:r>
              <w:rPr>
                <w:webHidden/>
              </w:rPr>
            </w:r>
            <w:r>
              <w:rPr>
                <w:webHidden/>
              </w:rPr>
              <w:fldChar w:fldCharType="separate"/>
            </w:r>
            <w:r w:rsidR="00F4508B">
              <w:rPr>
                <w:webHidden/>
              </w:rPr>
              <w:t>19</w:t>
            </w:r>
            <w:r>
              <w:rPr>
                <w:webHidden/>
              </w:rPr>
              <w:fldChar w:fldCharType="end"/>
            </w:r>
          </w:hyperlink>
        </w:p>
        <w:p w14:paraId="61BF7757" w14:textId="74C7A152" w:rsidR="008E63FF" w:rsidRDefault="008E63FF">
          <w:pPr>
            <w:pStyle w:val="TOC1"/>
            <w:rPr>
              <w:rFonts w:eastAsiaTheme="minorEastAsia"/>
              <w:b w:val="0"/>
              <w:kern w:val="2"/>
              <w:sz w:val="24"/>
              <w:szCs w:val="24"/>
              <w:lang w:eastAsia="en-AU"/>
              <w14:ligatures w14:val="standardContextual"/>
            </w:rPr>
          </w:pPr>
          <w:hyperlink w:anchor="_Toc224213133" w:history="1">
            <w:r w:rsidRPr="009409CF">
              <w:rPr>
                <w:rStyle w:val="Hyperlink"/>
              </w:rPr>
              <w:t>6</w:t>
            </w:r>
            <w:r>
              <w:rPr>
                <w:rFonts w:eastAsiaTheme="minorEastAsia"/>
                <w:b w:val="0"/>
                <w:kern w:val="2"/>
                <w:sz w:val="24"/>
                <w:szCs w:val="24"/>
                <w:lang w:eastAsia="en-AU"/>
                <w14:ligatures w14:val="standardContextual"/>
              </w:rPr>
              <w:tab/>
            </w:r>
            <w:r w:rsidRPr="009409CF">
              <w:rPr>
                <w:rStyle w:val="Hyperlink"/>
              </w:rPr>
              <w:t>Sanctions</w:t>
            </w:r>
            <w:r>
              <w:rPr>
                <w:webHidden/>
              </w:rPr>
              <w:tab/>
            </w:r>
            <w:r>
              <w:rPr>
                <w:webHidden/>
              </w:rPr>
              <w:fldChar w:fldCharType="begin"/>
            </w:r>
            <w:r>
              <w:rPr>
                <w:webHidden/>
              </w:rPr>
              <w:instrText xml:space="preserve"> PAGEREF _Toc224213133 \h </w:instrText>
            </w:r>
            <w:r>
              <w:rPr>
                <w:webHidden/>
              </w:rPr>
            </w:r>
            <w:r>
              <w:rPr>
                <w:webHidden/>
              </w:rPr>
              <w:fldChar w:fldCharType="separate"/>
            </w:r>
            <w:r w:rsidR="00F4508B">
              <w:rPr>
                <w:webHidden/>
              </w:rPr>
              <w:t>21</w:t>
            </w:r>
            <w:r>
              <w:rPr>
                <w:webHidden/>
              </w:rPr>
              <w:fldChar w:fldCharType="end"/>
            </w:r>
          </w:hyperlink>
        </w:p>
        <w:p w14:paraId="09522471" w14:textId="6509A49C" w:rsidR="008E63FF" w:rsidRDefault="008E63FF">
          <w:pPr>
            <w:pStyle w:val="TOC2"/>
            <w:tabs>
              <w:tab w:val="left" w:pos="1200"/>
            </w:tabs>
            <w:rPr>
              <w:rFonts w:eastAsiaTheme="minorEastAsia"/>
              <w:kern w:val="2"/>
              <w:sz w:val="24"/>
              <w:szCs w:val="24"/>
              <w:lang w:eastAsia="en-AU"/>
              <w14:ligatures w14:val="standardContextual"/>
            </w:rPr>
          </w:pPr>
          <w:hyperlink w:anchor="_Toc224213134" w:history="1">
            <w:r w:rsidRPr="009409CF">
              <w:rPr>
                <w:rStyle w:val="Hyperlink"/>
              </w:rPr>
              <w:t>6.1</w:t>
            </w:r>
            <w:r>
              <w:rPr>
                <w:rFonts w:eastAsiaTheme="minorEastAsia"/>
                <w:kern w:val="2"/>
                <w:sz w:val="24"/>
                <w:szCs w:val="24"/>
                <w:lang w:eastAsia="en-AU"/>
                <w14:ligatures w14:val="standardContextual"/>
              </w:rPr>
              <w:tab/>
            </w:r>
            <w:r w:rsidRPr="009409CF">
              <w:rPr>
                <w:rStyle w:val="Hyperlink"/>
              </w:rPr>
              <w:t>Suspension of entity registration</w:t>
            </w:r>
            <w:r>
              <w:rPr>
                <w:webHidden/>
              </w:rPr>
              <w:tab/>
            </w:r>
            <w:r>
              <w:rPr>
                <w:webHidden/>
              </w:rPr>
              <w:fldChar w:fldCharType="begin"/>
            </w:r>
            <w:r>
              <w:rPr>
                <w:webHidden/>
              </w:rPr>
              <w:instrText xml:space="preserve"> PAGEREF _Toc224213134 \h </w:instrText>
            </w:r>
            <w:r>
              <w:rPr>
                <w:webHidden/>
              </w:rPr>
            </w:r>
            <w:r>
              <w:rPr>
                <w:webHidden/>
              </w:rPr>
              <w:fldChar w:fldCharType="separate"/>
            </w:r>
            <w:r w:rsidR="00F4508B">
              <w:rPr>
                <w:webHidden/>
              </w:rPr>
              <w:t>21</w:t>
            </w:r>
            <w:r>
              <w:rPr>
                <w:webHidden/>
              </w:rPr>
              <w:fldChar w:fldCharType="end"/>
            </w:r>
          </w:hyperlink>
        </w:p>
        <w:p w14:paraId="2F4CC2BE" w14:textId="2A59BD6C" w:rsidR="008E63FF" w:rsidRDefault="008E63FF">
          <w:pPr>
            <w:pStyle w:val="TOC2"/>
            <w:tabs>
              <w:tab w:val="left" w:pos="1200"/>
            </w:tabs>
            <w:rPr>
              <w:rFonts w:eastAsiaTheme="minorEastAsia"/>
              <w:kern w:val="2"/>
              <w:sz w:val="24"/>
              <w:szCs w:val="24"/>
              <w:lang w:eastAsia="en-AU"/>
              <w14:ligatures w14:val="standardContextual"/>
            </w:rPr>
          </w:pPr>
          <w:hyperlink w:anchor="_Toc224213135" w:history="1">
            <w:r w:rsidRPr="009409CF">
              <w:rPr>
                <w:rStyle w:val="Hyperlink"/>
              </w:rPr>
              <w:t>6.2</w:t>
            </w:r>
            <w:r>
              <w:rPr>
                <w:rFonts w:eastAsiaTheme="minorEastAsia"/>
                <w:kern w:val="2"/>
                <w:sz w:val="24"/>
                <w:szCs w:val="24"/>
                <w:lang w:eastAsia="en-AU"/>
                <w14:ligatures w14:val="standardContextual"/>
              </w:rPr>
              <w:tab/>
            </w:r>
            <w:r w:rsidRPr="009409CF">
              <w:rPr>
                <w:rStyle w:val="Hyperlink"/>
              </w:rPr>
              <w:t>Investigation into non-compliance due to biosecurity contamination</w:t>
            </w:r>
            <w:r>
              <w:rPr>
                <w:webHidden/>
              </w:rPr>
              <w:tab/>
            </w:r>
            <w:r>
              <w:rPr>
                <w:webHidden/>
              </w:rPr>
              <w:fldChar w:fldCharType="begin"/>
            </w:r>
            <w:r>
              <w:rPr>
                <w:webHidden/>
              </w:rPr>
              <w:instrText xml:space="preserve"> PAGEREF _Toc224213135 \h </w:instrText>
            </w:r>
            <w:r>
              <w:rPr>
                <w:webHidden/>
              </w:rPr>
            </w:r>
            <w:r>
              <w:rPr>
                <w:webHidden/>
              </w:rPr>
              <w:fldChar w:fldCharType="separate"/>
            </w:r>
            <w:r w:rsidR="00F4508B">
              <w:rPr>
                <w:webHidden/>
              </w:rPr>
              <w:t>22</w:t>
            </w:r>
            <w:r>
              <w:rPr>
                <w:webHidden/>
              </w:rPr>
              <w:fldChar w:fldCharType="end"/>
            </w:r>
          </w:hyperlink>
        </w:p>
        <w:p w14:paraId="2ED7B5A3" w14:textId="457AD0E6" w:rsidR="008E63FF" w:rsidRDefault="008E63FF">
          <w:pPr>
            <w:pStyle w:val="TOC1"/>
            <w:rPr>
              <w:rFonts w:eastAsiaTheme="minorEastAsia"/>
              <w:b w:val="0"/>
              <w:kern w:val="2"/>
              <w:sz w:val="24"/>
              <w:szCs w:val="24"/>
              <w:lang w:eastAsia="en-AU"/>
              <w14:ligatures w14:val="standardContextual"/>
            </w:rPr>
          </w:pPr>
          <w:hyperlink w:anchor="_Toc224213136" w:history="1">
            <w:r w:rsidRPr="009409CF">
              <w:rPr>
                <w:rStyle w:val="Hyperlink"/>
              </w:rPr>
              <w:t>Glossary</w:t>
            </w:r>
            <w:r>
              <w:rPr>
                <w:webHidden/>
              </w:rPr>
              <w:tab/>
            </w:r>
            <w:r>
              <w:rPr>
                <w:webHidden/>
              </w:rPr>
              <w:fldChar w:fldCharType="begin"/>
            </w:r>
            <w:r>
              <w:rPr>
                <w:webHidden/>
              </w:rPr>
              <w:instrText xml:space="preserve"> PAGEREF _Toc224213136 \h </w:instrText>
            </w:r>
            <w:r>
              <w:rPr>
                <w:webHidden/>
              </w:rPr>
            </w:r>
            <w:r>
              <w:rPr>
                <w:webHidden/>
              </w:rPr>
              <w:fldChar w:fldCharType="separate"/>
            </w:r>
            <w:r w:rsidR="00F4508B">
              <w:rPr>
                <w:webHidden/>
              </w:rPr>
              <w:t>24</w:t>
            </w:r>
            <w:r>
              <w:rPr>
                <w:webHidden/>
              </w:rPr>
              <w:fldChar w:fldCharType="end"/>
            </w:r>
          </w:hyperlink>
        </w:p>
        <w:p w14:paraId="245FF40D" w14:textId="6783F190" w:rsidR="008E63FF" w:rsidRDefault="008E63FF">
          <w:pPr>
            <w:pStyle w:val="TOC1"/>
            <w:rPr>
              <w:rFonts w:eastAsiaTheme="minorEastAsia"/>
              <w:b w:val="0"/>
              <w:kern w:val="2"/>
              <w:sz w:val="24"/>
              <w:szCs w:val="24"/>
              <w:lang w:eastAsia="en-AU"/>
              <w14:ligatures w14:val="standardContextual"/>
            </w:rPr>
          </w:pPr>
          <w:hyperlink w:anchor="_Toc224213137" w:history="1">
            <w:r w:rsidRPr="009409CF">
              <w:rPr>
                <w:rStyle w:val="Hyperlink"/>
              </w:rPr>
              <w:t>Document control</w:t>
            </w:r>
            <w:r>
              <w:rPr>
                <w:webHidden/>
              </w:rPr>
              <w:tab/>
            </w:r>
            <w:r>
              <w:rPr>
                <w:webHidden/>
              </w:rPr>
              <w:fldChar w:fldCharType="begin"/>
            </w:r>
            <w:r>
              <w:rPr>
                <w:webHidden/>
              </w:rPr>
              <w:instrText xml:space="preserve"> PAGEREF _Toc224213137 \h </w:instrText>
            </w:r>
            <w:r>
              <w:rPr>
                <w:webHidden/>
              </w:rPr>
            </w:r>
            <w:r>
              <w:rPr>
                <w:webHidden/>
              </w:rPr>
              <w:fldChar w:fldCharType="separate"/>
            </w:r>
            <w:r w:rsidR="00F4508B">
              <w:rPr>
                <w:webHidden/>
              </w:rPr>
              <w:t>28</w:t>
            </w:r>
            <w:r>
              <w:rPr>
                <w:webHidden/>
              </w:rPr>
              <w:fldChar w:fldCharType="end"/>
            </w:r>
          </w:hyperlink>
        </w:p>
        <w:p w14:paraId="0A64BB7A" w14:textId="76161586" w:rsidR="003E4788" w:rsidRDefault="005C11E1">
          <w:r>
            <w:rPr>
              <w:b/>
              <w:noProof/>
            </w:rPr>
            <w:fldChar w:fldCharType="end"/>
          </w:r>
        </w:p>
      </w:sdtContent>
    </w:sdt>
    <w:p w14:paraId="06551F11" w14:textId="77777777" w:rsidR="00EF68C1" w:rsidRPr="00C40278" w:rsidRDefault="00EF68C1" w:rsidP="00C40278">
      <w:pPr>
        <w:pStyle w:val="TOCHeading2"/>
        <w:rPr>
          <w:rStyle w:val="Strong"/>
        </w:rPr>
      </w:pPr>
      <w:r w:rsidRPr="00C40278">
        <w:rPr>
          <w:rStyle w:val="Strong"/>
        </w:rPr>
        <w:t>Tables</w:t>
      </w:r>
    </w:p>
    <w:p w14:paraId="7AD487FD" w14:textId="041F8E28" w:rsidR="00571375" w:rsidRDefault="00EF68C1">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218777409" w:history="1">
        <w:r w:rsidR="00571375" w:rsidRPr="001F431A">
          <w:rPr>
            <w:rStyle w:val="Hyperlink"/>
            <w:noProof/>
          </w:rPr>
          <w:t xml:space="preserve">Table 1 </w:t>
        </w:r>
        <w:r w:rsidR="00571375" w:rsidRPr="001F431A">
          <w:rPr>
            <w:rStyle w:val="Hyperlink"/>
            <w:rFonts w:eastAsia="Times New Roman" w:cstheme="minorHAnsi"/>
            <w:noProof/>
          </w:rPr>
          <w:t>Imported inorganic fertiliser risk ratings, by cargo type</w:t>
        </w:r>
        <w:r w:rsidR="00571375">
          <w:rPr>
            <w:noProof/>
            <w:webHidden/>
          </w:rPr>
          <w:tab/>
        </w:r>
        <w:r w:rsidR="00571375">
          <w:rPr>
            <w:noProof/>
            <w:webHidden/>
          </w:rPr>
          <w:fldChar w:fldCharType="begin"/>
        </w:r>
        <w:r w:rsidR="00571375">
          <w:rPr>
            <w:noProof/>
            <w:webHidden/>
          </w:rPr>
          <w:instrText xml:space="preserve"> PAGEREF _Toc218777409 \h </w:instrText>
        </w:r>
        <w:r w:rsidR="00571375">
          <w:rPr>
            <w:noProof/>
            <w:webHidden/>
          </w:rPr>
        </w:r>
        <w:r w:rsidR="00571375">
          <w:rPr>
            <w:noProof/>
            <w:webHidden/>
          </w:rPr>
          <w:fldChar w:fldCharType="separate"/>
        </w:r>
        <w:r w:rsidR="00F4508B">
          <w:rPr>
            <w:noProof/>
            <w:webHidden/>
          </w:rPr>
          <w:t>13</w:t>
        </w:r>
        <w:r w:rsidR="00571375">
          <w:rPr>
            <w:noProof/>
            <w:webHidden/>
          </w:rPr>
          <w:fldChar w:fldCharType="end"/>
        </w:r>
      </w:hyperlink>
    </w:p>
    <w:p w14:paraId="36251E12" w14:textId="4671FF61" w:rsidR="00EF68C1" w:rsidRDefault="00EF68C1" w:rsidP="008F7716">
      <w:pPr>
        <w:pStyle w:val="TableofFigures"/>
        <w:tabs>
          <w:tab w:val="right" w:leader="dot" w:pos="9060"/>
        </w:tabs>
      </w:pPr>
      <w:r>
        <w:rPr>
          <w:noProof/>
        </w:rPr>
        <w:fldChar w:fldCharType="end"/>
      </w:r>
    </w:p>
    <w:p w14:paraId="48FF7347" w14:textId="77777777" w:rsidR="00EF68C1" w:rsidRPr="00C40278" w:rsidRDefault="00EF68C1" w:rsidP="00C40278">
      <w:pPr>
        <w:pStyle w:val="TOCHeading2"/>
        <w:rPr>
          <w:rStyle w:val="Strong"/>
        </w:rPr>
      </w:pPr>
      <w:r w:rsidRPr="00C40278">
        <w:rPr>
          <w:rStyle w:val="Strong"/>
        </w:rPr>
        <w:t>Figures</w:t>
      </w:r>
    </w:p>
    <w:p w14:paraId="6BF39AF2" w14:textId="304DD881" w:rsidR="006A578F" w:rsidRDefault="00EF68C1" w:rsidP="00571375">
      <w:pPr>
        <w:pStyle w:val="TableofFigures"/>
        <w:tabs>
          <w:tab w:val="right" w:leader="dot" w:pos="9060"/>
        </w:tabs>
      </w:pPr>
      <w:r>
        <w:fldChar w:fldCharType="begin"/>
      </w:r>
      <w:r>
        <w:instrText xml:space="preserve"> TOC \h \z \c "Figure" </w:instrText>
      </w:r>
      <w:r>
        <w:fldChar w:fldCharType="separate"/>
      </w:r>
      <w:hyperlink w:anchor="_Toc218777410" w:history="1">
        <w:r w:rsidR="00571375" w:rsidRPr="00E135FE">
          <w:rPr>
            <w:rStyle w:val="Hyperlink"/>
            <w:noProof/>
          </w:rPr>
          <w:t>Figure 1 Decision tree for management of biosecurity risk material</w:t>
        </w:r>
        <w:r w:rsidR="00571375">
          <w:rPr>
            <w:noProof/>
            <w:webHidden/>
          </w:rPr>
          <w:tab/>
        </w:r>
        <w:r w:rsidR="00571375">
          <w:rPr>
            <w:noProof/>
            <w:webHidden/>
          </w:rPr>
          <w:fldChar w:fldCharType="begin"/>
        </w:r>
        <w:r w:rsidR="00571375">
          <w:rPr>
            <w:noProof/>
            <w:webHidden/>
          </w:rPr>
          <w:instrText xml:space="preserve"> PAGEREF _Toc218777410 \h </w:instrText>
        </w:r>
        <w:r w:rsidR="00571375">
          <w:rPr>
            <w:noProof/>
            <w:webHidden/>
          </w:rPr>
        </w:r>
        <w:r w:rsidR="00571375">
          <w:rPr>
            <w:noProof/>
            <w:webHidden/>
          </w:rPr>
          <w:fldChar w:fldCharType="separate"/>
        </w:r>
        <w:r w:rsidR="00F4508B">
          <w:rPr>
            <w:noProof/>
            <w:webHidden/>
          </w:rPr>
          <w:t>6</w:t>
        </w:r>
        <w:r w:rsidR="00571375">
          <w:rPr>
            <w:noProof/>
            <w:webHidden/>
          </w:rPr>
          <w:fldChar w:fldCharType="end"/>
        </w:r>
      </w:hyperlink>
      <w:r>
        <w:fldChar w:fldCharType="end"/>
      </w:r>
    </w:p>
    <w:p w14:paraId="16D784A3" w14:textId="77777777" w:rsidR="006A578F" w:rsidRDefault="006A578F" w:rsidP="006A578F">
      <w:pPr>
        <w:sectPr w:rsidR="006A578F" w:rsidSect="006A578F">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cols w:space="708"/>
          <w:titlePg/>
          <w:docGrid w:linePitch="360"/>
        </w:sectPr>
      </w:pPr>
    </w:p>
    <w:p w14:paraId="4ACB0272" w14:textId="32D36059" w:rsidR="003E4788" w:rsidRPr="004C179C" w:rsidRDefault="00711531" w:rsidP="003B2B7B">
      <w:pPr>
        <w:pStyle w:val="Heading2"/>
        <w:numPr>
          <w:ilvl w:val="0"/>
          <w:numId w:val="0"/>
        </w:numPr>
        <w:ind w:left="720" w:hanging="720"/>
      </w:pPr>
      <w:bookmarkStart w:id="0" w:name="_Toc224213112"/>
      <w:r w:rsidRPr="004C179C">
        <w:lastRenderedPageBreak/>
        <w:t>Introduction</w:t>
      </w:r>
      <w:bookmarkEnd w:id="0"/>
    </w:p>
    <w:p w14:paraId="4C57CF3F" w14:textId="69E476E1" w:rsidR="0060001D" w:rsidRPr="00A6440C" w:rsidRDefault="0060001D" w:rsidP="0060001D">
      <w:pPr>
        <w:rPr>
          <w:lang w:eastAsia="ja-JP"/>
        </w:rPr>
      </w:pPr>
      <w:r w:rsidRPr="00A6440C">
        <w:rPr>
          <w:lang w:eastAsia="ja-JP"/>
        </w:rPr>
        <w:t>Imported inorganic fertiliser presents a biosecurity risk to Australia</w:t>
      </w:r>
      <w:r w:rsidR="0068548A">
        <w:rPr>
          <w:lang w:eastAsia="ja-JP"/>
        </w:rPr>
        <w:t>.</w:t>
      </w:r>
      <w:r w:rsidRPr="00A6440C">
        <w:rPr>
          <w:lang w:eastAsia="ja-JP"/>
        </w:rPr>
        <w:t xml:space="preserve"> </w:t>
      </w:r>
      <w:r w:rsidR="0068548A">
        <w:rPr>
          <w:lang w:eastAsia="ja-JP"/>
        </w:rPr>
        <w:t xml:space="preserve">The </w:t>
      </w:r>
      <w:r w:rsidRPr="00A6440C">
        <w:rPr>
          <w:i/>
          <w:iCs/>
          <w:lang w:eastAsia="ja-JP"/>
        </w:rPr>
        <w:t>Biosecurity Act 2015</w:t>
      </w:r>
      <w:r w:rsidR="0068548A">
        <w:rPr>
          <w:lang w:eastAsia="ja-JP"/>
        </w:rPr>
        <w:t xml:space="preserve"> empowers</w:t>
      </w:r>
      <w:r w:rsidRPr="00A6440C">
        <w:rPr>
          <w:lang w:eastAsia="ja-JP"/>
        </w:rPr>
        <w:t xml:space="preserve"> the </w:t>
      </w:r>
      <w:r w:rsidR="00024137" w:rsidRPr="00024137">
        <w:rPr>
          <w:lang w:eastAsia="ja-JP"/>
        </w:rPr>
        <w:t>Department of Agriculture, Fisheries and Forestry</w:t>
      </w:r>
      <w:r w:rsidRPr="00A6440C">
        <w:rPr>
          <w:lang w:eastAsia="ja-JP"/>
        </w:rPr>
        <w:t xml:space="preserve"> to manage biosecurity risks as they present themselves at Australia’s border.</w:t>
      </w:r>
    </w:p>
    <w:p w14:paraId="3AD896F2" w14:textId="77777777" w:rsidR="0068548A" w:rsidRDefault="0068548A" w:rsidP="0068548A">
      <w:pPr>
        <w:rPr>
          <w:lang w:eastAsia="ja-JP"/>
        </w:rPr>
      </w:pPr>
      <w:r w:rsidRPr="00A6440C">
        <w:rPr>
          <w:lang w:eastAsia="ja-JP"/>
        </w:rPr>
        <w:t>Th</w:t>
      </w:r>
      <w:r>
        <w:rPr>
          <w:lang w:eastAsia="ja-JP"/>
        </w:rPr>
        <w:t>is p</w:t>
      </w:r>
      <w:r w:rsidRPr="00A6440C">
        <w:rPr>
          <w:lang w:eastAsia="ja-JP"/>
        </w:rPr>
        <w:t>olicy is designed to manage and mitigate the biosecurity risks associated with imported inorganic fertiliser</w:t>
      </w:r>
      <w:r>
        <w:rPr>
          <w:lang w:eastAsia="ja-JP"/>
        </w:rPr>
        <w:t xml:space="preserve">. It </w:t>
      </w:r>
      <w:r w:rsidRPr="00A6440C">
        <w:rPr>
          <w:lang w:eastAsia="ja-JP"/>
        </w:rPr>
        <w:t>outlin</w:t>
      </w:r>
      <w:r>
        <w:rPr>
          <w:lang w:eastAsia="ja-JP"/>
        </w:rPr>
        <w:t>es</w:t>
      </w:r>
      <w:r w:rsidRPr="00A6440C">
        <w:rPr>
          <w:lang w:eastAsia="ja-JP"/>
        </w:rPr>
        <w:t xml:space="preserve"> the governance arrangements, roles, responsibilities, actions and minimum standards for registered offshore entities </w:t>
      </w:r>
      <w:r>
        <w:rPr>
          <w:lang w:eastAsia="ja-JP"/>
        </w:rPr>
        <w:t>to</w:t>
      </w:r>
      <w:r w:rsidRPr="00A6440C">
        <w:rPr>
          <w:lang w:eastAsia="ja-JP"/>
        </w:rPr>
        <w:t xml:space="preserve"> manag</w:t>
      </w:r>
      <w:r>
        <w:rPr>
          <w:lang w:eastAsia="ja-JP"/>
        </w:rPr>
        <w:t>e</w:t>
      </w:r>
      <w:r w:rsidRPr="00A6440C">
        <w:rPr>
          <w:lang w:eastAsia="ja-JP"/>
        </w:rPr>
        <w:t xml:space="preserve"> the biosecurity risks and compliance </w:t>
      </w:r>
      <w:r>
        <w:rPr>
          <w:lang w:eastAsia="ja-JP"/>
        </w:rPr>
        <w:t xml:space="preserve">requirements </w:t>
      </w:r>
      <w:r w:rsidRPr="00A6440C">
        <w:rPr>
          <w:lang w:eastAsia="ja-JP"/>
        </w:rPr>
        <w:t>for import</w:t>
      </w:r>
      <w:r>
        <w:rPr>
          <w:lang w:eastAsia="ja-JP"/>
        </w:rPr>
        <w:t>ing</w:t>
      </w:r>
      <w:r w:rsidRPr="00A6440C">
        <w:rPr>
          <w:lang w:eastAsia="ja-JP"/>
        </w:rPr>
        <w:t xml:space="preserve"> inorganic fertiliser.</w:t>
      </w:r>
    </w:p>
    <w:p w14:paraId="78880C74" w14:textId="37E75452" w:rsidR="006E1EDC" w:rsidRPr="00A6440C" w:rsidRDefault="006E1EDC" w:rsidP="0060001D">
      <w:pPr>
        <w:rPr>
          <w:lang w:eastAsia="ja-JP"/>
        </w:rPr>
      </w:pPr>
      <w:r w:rsidRPr="00A6440C">
        <w:rPr>
          <w:lang w:eastAsia="ja-JP"/>
        </w:rPr>
        <w:t xml:space="preserve">Biosecurity risks </w:t>
      </w:r>
      <w:r>
        <w:rPr>
          <w:lang w:eastAsia="ja-JP"/>
        </w:rPr>
        <w:t xml:space="preserve">can </w:t>
      </w:r>
      <w:r w:rsidRPr="00A6440C">
        <w:rPr>
          <w:lang w:eastAsia="ja-JP"/>
        </w:rPr>
        <w:t>arise due to the nature in which inorganic fertiliser is sourced</w:t>
      </w:r>
      <w:r>
        <w:rPr>
          <w:lang w:eastAsia="ja-JP"/>
        </w:rPr>
        <w:t xml:space="preserve"> and imported into Australia.</w:t>
      </w:r>
      <w:r w:rsidRPr="00A6440C">
        <w:rPr>
          <w:lang w:eastAsia="ja-JP"/>
        </w:rPr>
        <w:t xml:space="preserve"> Consignments of inorganic fertiliser can be contaminated with biosecurity risk material such as insects, seeds, soil, other plant material or contaminants of animal and microbial origin.</w:t>
      </w:r>
    </w:p>
    <w:p w14:paraId="08B8DBAD" w14:textId="60D8EFEF" w:rsidR="0060001D" w:rsidRPr="00A6440C" w:rsidRDefault="006E1EDC" w:rsidP="0060001D">
      <w:pPr>
        <w:rPr>
          <w:lang w:eastAsia="ja-JP"/>
        </w:rPr>
      </w:pPr>
      <w:r w:rsidRPr="00A6440C">
        <w:rPr>
          <w:lang w:eastAsia="ja-JP"/>
        </w:rPr>
        <w:t xml:space="preserve">Given the likelihood </w:t>
      </w:r>
      <w:r w:rsidR="00796270">
        <w:rPr>
          <w:lang w:eastAsia="ja-JP"/>
        </w:rPr>
        <w:t>of</w:t>
      </w:r>
      <w:r w:rsidRPr="00A6440C">
        <w:rPr>
          <w:lang w:eastAsia="ja-JP"/>
        </w:rPr>
        <w:t xml:space="preserve"> the direct application of fertilisers to soil, biosecurity risks </w:t>
      </w:r>
      <w:r w:rsidR="00796270">
        <w:rPr>
          <w:lang w:eastAsia="ja-JP"/>
        </w:rPr>
        <w:t>must be</w:t>
      </w:r>
      <w:r w:rsidRPr="00A6440C">
        <w:rPr>
          <w:lang w:eastAsia="ja-JP"/>
        </w:rPr>
        <w:t xml:space="preserve"> managed effectively across the entire supply chain</w:t>
      </w:r>
      <w:r w:rsidR="00796270">
        <w:rPr>
          <w:lang w:eastAsia="ja-JP"/>
        </w:rPr>
        <w:t xml:space="preserve">. </w:t>
      </w:r>
      <w:r w:rsidR="0068548A">
        <w:rPr>
          <w:lang w:eastAsia="ja-JP"/>
        </w:rPr>
        <w:t>I</w:t>
      </w:r>
      <w:r w:rsidRPr="00A6440C">
        <w:rPr>
          <w:lang w:eastAsia="ja-JP"/>
        </w:rPr>
        <w:t xml:space="preserve">mporters </w:t>
      </w:r>
      <w:r w:rsidR="0068548A">
        <w:rPr>
          <w:lang w:eastAsia="ja-JP"/>
        </w:rPr>
        <w:t xml:space="preserve">are </w:t>
      </w:r>
      <w:r w:rsidRPr="00A6440C">
        <w:rPr>
          <w:lang w:eastAsia="ja-JP"/>
        </w:rPr>
        <w:t>responsib</w:t>
      </w:r>
      <w:r w:rsidR="0068548A">
        <w:rPr>
          <w:lang w:eastAsia="ja-JP"/>
        </w:rPr>
        <w:t>le for</w:t>
      </w:r>
      <w:r w:rsidRPr="00A6440C">
        <w:rPr>
          <w:lang w:eastAsia="ja-JP"/>
        </w:rPr>
        <w:t xml:space="preserve"> ensur</w:t>
      </w:r>
      <w:r w:rsidR="0068548A">
        <w:rPr>
          <w:lang w:eastAsia="ja-JP"/>
        </w:rPr>
        <w:t>ing that</w:t>
      </w:r>
      <w:r w:rsidRPr="00A6440C">
        <w:rPr>
          <w:lang w:eastAsia="ja-JP"/>
        </w:rPr>
        <w:t xml:space="preserve"> consignments </w:t>
      </w:r>
      <w:r w:rsidR="00796270">
        <w:rPr>
          <w:lang w:eastAsia="ja-JP"/>
        </w:rPr>
        <w:t xml:space="preserve">containing </w:t>
      </w:r>
      <w:r w:rsidRPr="00A6440C">
        <w:rPr>
          <w:lang w:eastAsia="ja-JP"/>
        </w:rPr>
        <w:t xml:space="preserve">sourced </w:t>
      </w:r>
      <w:r w:rsidR="00796270">
        <w:rPr>
          <w:lang w:eastAsia="ja-JP"/>
        </w:rPr>
        <w:t xml:space="preserve">fertiliser </w:t>
      </w:r>
      <w:r w:rsidRPr="00A6440C">
        <w:rPr>
          <w:lang w:eastAsia="ja-JP"/>
        </w:rPr>
        <w:t>are free from biosecurity risk material.</w:t>
      </w:r>
      <w:r w:rsidR="00936925">
        <w:rPr>
          <w:lang w:eastAsia="ja-JP"/>
        </w:rPr>
        <w:t xml:space="preserve"> </w:t>
      </w:r>
      <w:r w:rsidR="0060001D" w:rsidRPr="00A6440C">
        <w:rPr>
          <w:lang w:eastAsia="ja-JP"/>
        </w:rPr>
        <w:t xml:space="preserve">Imported consignments of inorganic fertiliser </w:t>
      </w:r>
      <w:r w:rsidR="00796270">
        <w:rPr>
          <w:lang w:eastAsia="ja-JP"/>
        </w:rPr>
        <w:t>that</w:t>
      </w:r>
      <w:r w:rsidR="0060001D" w:rsidRPr="00A6440C">
        <w:rPr>
          <w:lang w:eastAsia="ja-JP"/>
        </w:rPr>
        <w:t xml:space="preserve"> do not comply with Australia’s biosecurity requirements may be subject to treatment, export or destruction at the importer</w:t>
      </w:r>
      <w:r w:rsidR="0068548A">
        <w:rPr>
          <w:lang w:eastAsia="ja-JP"/>
        </w:rPr>
        <w:t>’</w:t>
      </w:r>
      <w:r w:rsidR="0060001D" w:rsidRPr="00A6440C">
        <w:rPr>
          <w:lang w:eastAsia="ja-JP"/>
        </w:rPr>
        <w:t>s expense.</w:t>
      </w:r>
    </w:p>
    <w:p w14:paraId="6BF391FA" w14:textId="28C0C20C" w:rsidR="0060001D" w:rsidRPr="00A6440C" w:rsidRDefault="0068548A" w:rsidP="0060001D">
      <w:pPr>
        <w:rPr>
          <w:lang w:eastAsia="ja-JP"/>
        </w:rPr>
      </w:pPr>
      <w:r>
        <w:rPr>
          <w:lang w:eastAsia="ja-JP"/>
        </w:rPr>
        <w:t>T</w:t>
      </w:r>
      <w:r w:rsidR="000931E2" w:rsidRPr="000931E2">
        <w:rPr>
          <w:lang w:eastAsia="ja-JP"/>
        </w:rPr>
        <w:t>his policy incentivise</w:t>
      </w:r>
      <w:r>
        <w:rPr>
          <w:lang w:eastAsia="ja-JP"/>
        </w:rPr>
        <w:t>s</w:t>
      </w:r>
      <w:r w:rsidR="000931E2" w:rsidRPr="000931E2">
        <w:rPr>
          <w:lang w:eastAsia="ja-JP"/>
        </w:rPr>
        <w:t xml:space="preserve"> offshore entities </w:t>
      </w:r>
      <w:r w:rsidR="00024137">
        <w:rPr>
          <w:lang w:eastAsia="ja-JP"/>
        </w:rPr>
        <w:t xml:space="preserve">registered through us </w:t>
      </w:r>
      <w:r w:rsidR="000931E2" w:rsidRPr="000931E2">
        <w:rPr>
          <w:lang w:eastAsia="ja-JP"/>
        </w:rPr>
        <w:t xml:space="preserve">to create and maintain biosecurity contamination management strategies that will provide assurance to Australian fertiliser importers. </w:t>
      </w:r>
      <w:r w:rsidR="00024137">
        <w:rPr>
          <w:lang w:eastAsia="ja-JP"/>
        </w:rPr>
        <w:t>Registered o</w:t>
      </w:r>
      <w:r w:rsidR="0060001D" w:rsidRPr="00A6440C">
        <w:rPr>
          <w:lang w:eastAsia="ja-JP"/>
        </w:rPr>
        <w:t>ffshore entities that implement biosecurity contamination management strategies across their supply chains can help reduce the risk of exotic pests and diseases from entering and establishing in Australia.</w:t>
      </w:r>
      <w:r w:rsidR="00024137">
        <w:rPr>
          <w:lang w:eastAsia="ja-JP"/>
        </w:rPr>
        <w:t xml:space="preserve"> </w:t>
      </w:r>
      <w:r w:rsidR="00024137" w:rsidRPr="00726CA4">
        <w:rPr>
          <w:lang w:eastAsia="ja-JP"/>
        </w:rPr>
        <w:t>C</w:t>
      </w:r>
      <w:r w:rsidR="00024137" w:rsidRPr="00024137">
        <w:rPr>
          <w:lang w:eastAsia="ja-JP"/>
        </w:rPr>
        <w:t xml:space="preserve">onsignments </w:t>
      </w:r>
      <w:r w:rsidR="0060001D" w:rsidRPr="00024137">
        <w:rPr>
          <w:lang w:eastAsia="ja-JP"/>
        </w:rPr>
        <w:t xml:space="preserve">of inorganic fertiliser </w:t>
      </w:r>
      <w:r w:rsidR="00024137" w:rsidRPr="00726CA4">
        <w:rPr>
          <w:lang w:eastAsia="ja-JP"/>
        </w:rPr>
        <w:t>that</w:t>
      </w:r>
      <w:r w:rsidR="00343A32">
        <w:rPr>
          <w:lang w:eastAsia="ja-JP"/>
        </w:rPr>
        <w:t xml:space="preserve"> are</w:t>
      </w:r>
      <w:r w:rsidR="00726CA4">
        <w:rPr>
          <w:lang w:eastAsia="ja-JP"/>
        </w:rPr>
        <w:t xml:space="preserve"> register</w:t>
      </w:r>
      <w:r w:rsidR="00343A32">
        <w:rPr>
          <w:lang w:eastAsia="ja-JP"/>
        </w:rPr>
        <w:t>ed</w:t>
      </w:r>
      <w:r w:rsidR="00726CA4">
        <w:rPr>
          <w:lang w:eastAsia="ja-JP"/>
        </w:rPr>
        <w:t xml:space="preserve"> under this policy and</w:t>
      </w:r>
      <w:r w:rsidR="00024137" w:rsidRPr="00726CA4">
        <w:rPr>
          <w:lang w:eastAsia="ja-JP"/>
        </w:rPr>
        <w:t xml:space="preserve"> </w:t>
      </w:r>
      <w:r w:rsidR="0060001D" w:rsidRPr="00024137">
        <w:rPr>
          <w:lang w:eastAsia="ja-JP"/>
        </w:rPr>
        <w:t>meet all relevant import conditions can</w:t>
      </w:r>
      <w:r w:rsidR="00024137" w:rsidRPr="00726CA4">
        <w:rPr>
          <w:lang w:eastAsia="ja-JP"/>
        </w:rPr>
        <w:t xml:space="preserve"> be </w:t>
      </w:r>
      <w:r w:rsidR="0060001D" w:rsidRPr="00024137">
        <w:rPr>
          <w:lang w:eastAsia="ja-JP"/>
        </w:rPr>
        <w:t>assess</w:t>
      </w:r>
      <w:r w:rsidR="00024137" w:rsidRPr="00726CA4">
        <w:rPr>
          <w:lang w:eastAsia="ja-JP"/>
        </w:rPr>
        <w:t xml:space="preserve">ed </w:t>
      </w:r>
      <w:r w:rsidR="0060001D" w:rsidRPr="00024137">
        <w:rPr>
          <w:lang w:eastAsia="ja-JP"/>
        </w:rPr>
        <w:t xml:space="preserve">as </w:t>
      </w:r>
      <w:r w:rsidR="00124471" w:rsidRPr="00024137">
        <w:rPr>
          <w:lang w:eastAsia="ja-JP"/>
        </w:rPr>
        <w:t>l</w:t>
      </w:r>
      <w:r w:rsidR="0060001D" w:rsidRPr="00024137">
        <w:rPr>
          <w:lang w:eastAsia="ja-JP"/>
        </w:rPr>
        <w:t xml:space="preserve">ow risk </w:t>
      </w:r>
      <w:r w:rsidR="00024137" w:rsidRPr="00726CA4">
        <w:rPr>
          <w:lang w:eastAsia="ja-JP"/>
        </w:rPr>
        <w:t xml:space="preserve">and therefore </w:t>
      </w:r>
      <w:r w:rsidR="0060001D" w:rsidRPr="00024137">
        <w:rPr>
          <w:lang w:eastAsia="ja-JP"/>
        </w:rPr>
        <w:t>receive reduced biosecurity intervention on arrival in Australia.</w:t>
      </w:r>
    </w:p>
    <w:p w14:paraId="55180735" w14:textId="57577866" w:rsidR="00434A32" w:rsidRPr="00947999" w:rsidRDefault="00434A32" w:rsidP="003B2B7B">
      <w:pPr>
        <w:pStyle w:val="Heading3"/>
        <w:keepLines w:val="0"/>
        <w:numPr>
          <w:ilvl w:val="0"/>
          <w:numId w:val="0"/>
        </w:numPr>
        <w:ind w:left="964" w:hanging="964"/>
      </w:pPr>
      <w:bookmarkStart w:id="1" w:name="_Toc224213113"/>
      <w:r w:rsidRPr="00726CA4">
        <w:t>Scope</w:t>
      </w:r>
      <w:bookmarkEnd w:id="1"/>
    </w:p>
    <w:p w14:paraId="31E98FE9" w14:textId="77777777" w:rsidR="00D34291" w:rsidRPr="00A6440C" w:rsidRDefault="00D34291" w:rsidP="00947999">
      <w:pPr>
        <w:keepNext/>
        <w:rPr>
          <w:lang w:eastAsia="ja-JP"/>
        </w:rPr>
      </w:pPr>
      <w:r w:rsidRPr="00A6440C">
        <w:rPr>
          <w:lang w:eastAsia="ja-JP"/>
        </w:rPr>
        <w:t>The policy applies to:</w:t>
      </w:r>
    </w:p>
    <w:p w14:paraId="6842AC3E" w14:textId="67F030C8" w:rsidR="00D34291" w:rsidRPr="00A6440C" w:rsidRDefault="00943FD2" w:rsidP="0077399A">
      <w:pPr>
        <w:pStyle w:val="ListBullet"/>
        <w:rPr>
          <w:lang w:eastAsia="ja-JP"/>
        </w:rPr>
      </w:pPr>
      <w:r>
        <w:rPr>
          <w:lang w:eastAsia="ja-JP"/>
        </w:rPr>
        <w:t>i</w:t>
      </w:r>
      <w:r w:rsidR="00D34291" w:rsidRPr="00A6440C">
        <w:rPr>
          <w:lang w:eastAsia="ja-JP"/>
        </w:rPr>
        <w:t>mported non-liquid inorganic fertiliser that is either mined or produced through a chemical process and classified under tariff chapters: 2834, 3102, 3103, 3104, 3105</w:t>
      </w:r>
    </w:p>
    <w:p w14:paraId="60D6B51E" w14:textId="19633450" w:rsidR="00D34291" w:rsidRPr="00A6440C" w:rsidRDefault="00943FD2" w:rsidP="0077399A">
      <w:pPr>
        <w:pStyle w:val="ListBullet"/>
        <w:rPr>
          <w:lang w:eastAsia="ja-JP"/>
        </w:rPr>
      </w:pPr>
      <w:r>
        <w:rPr>
          <w:lang w:eastAsia="ja-JP"/>
        </w:rPr>
        <w:t>c</w:t>
      </w:r>
      <w:r w:rsidR="00D34291" w:rsidRPr="00A6440C">
        <w:rPr>
          <w:lang w:eastAsia="ja-JP"/>
        </w:rPr>
        <w:t>onveyances (e.g. seagoing vessels) used to transport in-ships-hold consignments of inorganic fertiliser consignments.</w:t>
      </w:r>
    </w:p>
    <w:p w14:paraId="1B50B29C" w14:textId="410FE098" w:rsidR="00D34291" w:rsidRPr="00A6440C" w:rsidRDefault="00D34291" w:rsidP="00895F90">
      <w:pPr>
        <w:spacing w:before="120"/>
        <w:rPr>
          <w:lang w:eastAsia="ja-JP"/>
        </w:rPr>
      </w:pPr>
      <w:r w:rsidRPr="00A6440C">
        <w:rPr>
          <w:lang w:eastAsia="ja-JP"/>
        </w:rPr>
        <w:t>The policy does not apply to:</w:t>
      </w:r>
    </w:p>
    <w:p w14:paraId="01E0CD96" w14:textId="0DDA9DE8" w:rsidR="00D34291" w:rsidRPr="00A6440C" w:rsidRDefault="0068548A" w:rsidP="0077399A">
      <w:pPr>
        <w:pStyle w:val="ListBullet"/>
        <w:rPr>
          <w:lang w:eastAsia="ja-JP"/>
        </w:rPr>
      </w:pPr>
      <w:r>
        <w:rPr>
          <w:lang w:eastAsia="ja-JP"/>
        </w:rPr>
        <w:t>i</w:t>
      </w:r>
      <w:r w:rsidR="00D34291" w:rsidRPr="00A6440C">
        <w:rPr>
          <w:lang w:eastAsia="ja-JP"/>
        </w:rPr>
        <w:t>mported liquid inorganic fertiliser</w:t>
      </w:r>
    </w:p>
    <w:p w14:paraId="283BAED6" w14:textId="16E893A4" w:rsidR="00D34291" w:rsidRPr="00A6440C" w:rsidRDefault="0068548A" w:rsidP="0077399A">
      <w:pPr>
        <w:pStyle w:val="ListBullet"/>
        <w:rPr>
          <w:lang w:eastAsia="ja-JP"/>
        </w:rPr>
      </w:pPr>
      <w:r>
        <w:rPr>
          <w:lang w:eastAsia="ja-JP"/>
        </w:rPr>
        <w:t>i</w:t>
      </w:r>
      <w:r w:rsidR="00D34291" w:rsidRPr="00A6440C">
        <w:rPr>
          <w:lang w:eastAsia="ja-JP"/>
        </w:rPr>
        <w:t>mported fertiliser containing</w:t>
      </w:r>
      <w:r w:rsidR="00427327">
        <w:rPr>
          <w:lang w:eastAsia="ja-JP"/>
        </w:rPr>
        <w:t xml:space="preserve"> conditionally</w:t>
      </w:r>
      <w:r w:rsidR="00D34291" w:rsidRPr="00A6440C">
        <w:rPr>
          <w:lang w:eastAsia="ja-JP"/>
        </w:rPr>
        <w:t xml:space="preserve"> </w:t>
      </w:r>
      <w:r w:rsidR="005602E7">
        <w:rPr>
          <w:lang w:eastAsia="ja-JP"/>
        </w:rPr>
        <w:t xml:space="preserve">prohibited </w:t>
      </w:r>
      <w:r w:rsidR="00D34291" w:rsidRPr="00A6440C">
        <w:rPr>
          <w:lang w:eastAsia="ja-JP"/>
        </w:rPr>
        <w:t>animal, plant, fungi, macroalgae, microalgae or microbial ingredients</w:t>
      </w:r>
    </w:p>
    <w:p w14:paraId="14AF1C31" w14:textId="7374C38E" w:rsidR="00D34291" w:rsidRPr="00A6440C" w:rsidRDefault="0068548A" w:rsidP="0077399A">
      <w:pPr>
        <w:pStyle w:val="ListBullet"/>
        <w:rPr>
          <w:lang w:eastAsia="ja-JP"/>
        </w:rPr>
      </w:pPr>
      <w:r>
        <w:rPr>
          <w:lang w:eastAsia="ja-JP"/>
        </w:rPr>
        <w:t>i</w:t>
      </w:r>
      <w:r w:rsidR="00D34291" w:rsidRPr="00A6440C">
        <w:rPr>
          <w:lang w:eastAsia="ja-JP"/>
        </w:rPr>
        <w:t>norganic materials imported under a valid departmental import permit for further processing onshore in Australia in the making of fertiliser</w:t>
      </w:r>
    </w:p>
    <w:p w14:paraId="313A7457" w14:textId="75F02FF2" w:rsidR="00CF22E4" w:rsidRDefault="0068548A" w:rsidP="008A7C2A">
      <w:pPr>
        <w:pStyle w:val="ListBullet"/>
        <w:rPr>
          <w:lang w:eastAsia="en-AU"/>
        </w:rPr>
      </w:pPr>
      <w:r w:rsidRPr="00CA5C06">
        <w:rPr>
          <w:lang w:eastAsia="ja-JP"/>
        </w:rPr>
        <w:t>a</w:t>
      </w:r>
      <w:r w:rsidR="00D34291" w:rsidRPr="00CA5C06">
        <w:rPr>
          <w:lang w:eastAsia="ja-JP"/>
        </w:rPr>
        <w:t>ny other good which is not being imported as an ‘inorganic fertiliser’.</w:t>
      </w:r>
    </w:p>
    <w:p w14:paraId="331059FF" w14:textId="0739C60A" w:rsidR="00EF0763" w:rsidRPr="00CA5C06" w:rsidRDefault="00447A8F" w:rsidP="002C5356">
      <w:pPr>
        <w:pStyle w:val="Heading3"/>
        <w:numPr>
          <w:ilvl w:val="0"/>
          <w:numId w:val="0"/>
        </w:numPr>
      </w:pPr>
      <w:bookmarkStart w:id="2" w:name="_Toc224213114"/>
      <w:r>
        <w:lastRenderedPageBreak/>
        <w:t>D</w:t>
      </w:r>
      <w:r w:rsidR="00EF0763" w:rsidRPr="002C5356">
        <w:t>ownloadable</w:t>
      </w:r>
      <w:r w:rsidR="00EF0763" w:rsidRPr="00CA5C06">
        <w:t xml:space="preserve"> </w:t>
      </w:r>
      <w:r>
        <w:t xml:space="preserve">documents for applicants </w:t>
      </w:r>
      <w:r w:rsidRPr="00281B73">
        <w:rPr>
          <w:lang w:eastAsia="ja-JP"/>
        </w:rPr>
        <w:t>and registered</w:t>
      </w:r>
      <w:r>
        <w:rPr>
          <w:lang w:eastAsia="ja-JP"/>
        </w:rPr>
        <w:t> </w:t>
      </w:r>
      <w:r w:rsidRPr="00281B73">
        <w:rPr>
          <w:lang w:eastAsia="ja-JP"/>
        </w:rPr>
        <w:t>entities</w:t>
      </w:r>
      <w:bookmarkEnd w:id="2"/>
    </w:p>
    <w:p w14:paraId="1559512C" w14:textId="7B398712" w:rsidR="00EF0763" w:rsidRDefault="00EF0763" w:rsidP="00EF0763">
      <w:pPr>
        <w:rPr>
          <w:lang w:eastAsia="ja-JP"/>
        </w:rPr>
      </w:pPr>
      <w:r w:rsidRPr="002C5356">
        <w:rPr>
          <w:lang w:eastAsia="ja-JP"/>
        </w:rPr>
        <w:t xml:space="preserve">This policy </w:t>
      </w:r>
      <w:r w:rsidR="00447A8F">
        <w:rPr>
          <w:lang w:eastAsia="ja-JP"/>
        </w:rPr>
        <w:t>refers to</w:t>
      </w:r>
      <w:r w:rsidRPr="002C5356">
        <w:rPr>
          <w:lang w:eastAsia="ja-JP"/>
        </w:rPr>
        <w:t xml:space="preserve"> a suite of downloadable </w:t>
      </w:r>
      <w:hyperlink r:id="rId21" w:anchor="draft_policy_documents" w:history="1">
        <w:r w:rsidR="00CA5C06" w:rsidRPr="002C5356">
          <w:rPr>
            <w:rStyle w:val="Hyperlink"/>
            <w:lang w:eastAsia="ja-JP"/>
          </w:rPr>
          <w:t>Chemical and mined fertiliser</w:t>
        </w:r>
      </w:hyperlink>
      <w:r w:rsidR="00CA5C06" w:rsidRPr="002C5356">
        <w:rPr>
          <w:lang w:eastAsia="ja-JP"/>
        </w:rPr>
        <w:t xml:space="preserve"> </w:t>
      </w:r>
      <w:r w:rsidR="00447A8F">
        <w:rPr>
          <w:lang w:eastAsia="ja-JP"/>
        </w:rPr>
        <w:t>documents</w:t>
      </w:r>
      <w:r w:rsidRPr="00CA5C06">
        <w:rPr>
          <w:lang w:eastAsia="ja-JP"/>
        </w:rPr>
        <w:t>:</w:t>
      </w:r>
    </w:p>
    <w:p w14:paraId="746C334A" w14:textId="5A8536DF" w:rsidR="00EF0763" w:rsidRPr="0075163D" w:rsidRDefault="00EF0763" w:rsidP="002C5356">
      <w:pPr>
        <w:pStyle w:val="ListBullet"/>
      </w:pPr>
      <w:hyperlink r:id="rId22" w:history="1">
        <w:r w:rsidRPr="002C5356">
          <w:rPr>
            <w:rStyle w:val="Hyperlink"/>
            <w:color w:val="auto"/>
            <w:u w:val="none"/>
          </w:rPr>
          <w:t>Attachment 1: Imported inorganic fertiliser entity registration application</w:t>
        </w:r>
      </w:hyperlink>
    </w:p>
    <w:p w14:paraId="75F8A008" w14:textId="77777777" w:rsidR="00EF0763" w:rsidRPr="002C5356" w:rsidRDefault="00EF0763" w:rsidP="002C5356">
      <w:pPr>
        <w:pStyle w:val="ListBullet"/>
      </w:pPr>
      <w:hyperlink r:id="rId23" w:history="1">
        <w:r w:rsidRPr="0075163D">
          <w:rPr>
            <w:rStyle w:val="Hyperlink"/>
            <w:color w:val="auto"/>
            <w:u w:val="none"/>
          </w:rPr>
          <w:t>Attachment 2: Independent third-party on-site audit template</w:t>
        </w:r>
      </w:hyperlink>
    </w:p>
    <w:p w14:paraId="5E204060" w14:textId="5EE0B9C4" w:rsidR="00EF0763" w:rsidRDefault="00EF0763" w:rsidP="00EF0763">
      <w:pPr>
        <w:pStyle w:val="ListBullet"/>
      </w:pPr>
      <w:r w:rsidRPr="00284288">
        <w:t>Attachment 3: Marine surveyor’s vessel cleanliness inspection guidelines and certificate</w:t>
      </w:r>
      <w:r w:rsidR="00CA5C06">
        <w:t> </w:t>
      </w:r>
      <w:r w:rsidRPr="00284288">
        <w:t>template</w:t>
      </w:r>
    </w:p>
    <w:p w14:paraId="16528B41" w14:textId="77777777" w:rsidR="00EF0763" w:rsidRDefault="00EF0763" w:rsidP="00EF0763">
      <w:pPr>
        <w:pStyle w:val="ListBullet"/>
      </w:pPr>
      <w:r w:rsidRPr="006647B1">
        <w:t>Attachment 4: Loading sample inspection guidelines and certificate template</w:t>
      </w:r>
    </w:p>
    <w:p w14:paraId="77B4F10F" w14:textId="4D5095D3" w:rsidR="00EF0763" w:rsidRDefault="00EF0763" w:rsidP="00EF0763">
      <w:pPr>
        <w:pStyle w:val="ListBullet"/>
      </w:pPr>
      <w:r w:rsidRPr="00567C77">
        <w:t>Attachment 5: Manufacturer’s declaration for in-ships-hold cargo template</w:t>
      </w:r>
    </w:p>
    <w:p w14:paraId="7390D258" w14:textId="77777777" w:rsidR="00EF0763" w:rsidRDefault="00EF0763" w:rsidP="00EF0763">
      <w:pPr>
        <w:pStyle w:val="ListBullet"/>
      </w:pPr>
      <w:r w:rsidRPr="000B2909">
        <w:t>Attachment 6: Vessel schedule template</w:t>
      </w:r>
    </w:p>
    <w:p w14:paraId="5937373E" w14:textId="2790ACC0" w:rsidR="00EF0763" w:rsidRPr="00A6440C" w:rsidRDefault="00EF0763" w:rsidP="00EF0763">
      <w:pPr>
        <w:pStyle w:val="ListBullet"/>
      </w:pPr>
      <w:r w:rsidRPr="000B2909">
        <w:t xml:space="preserve">Attachment 7: </w:t>
      </w:r>
      <w:r>
        <w:t>M</w:t>
      </w:r>
      <w:r w:rsidRPr="000B2909">
        <w:t>anufacturer’s declaration for containerised cargo</w:t>
      </w:r>
      <w:r>
        <w:t xml:space="preserve"> template</w:t>
      </w:r>
    </w:p>
    <w:p w14:paraId="2525D306" w14:textId="148C437F" w:rsidR="00F6442C" w:rsidRDefault="00F6442C" w:rsidP="009A0658">
      <w:pPr>
        <w:pStyle w:val="Heading2"/>
      </w:pPr>
      <w:bookmarkStart w:id="3" w:name="_Toc214552867"/>
      <w:bookmarkStart w:id="4" w:name="_Toc214553257"/>
      <w:bookmarkStart w:id="5" w:name="_Toc214553336"/>
      <w:bookmarkStart w:id="6" w:name="_Toc215070091"/>
      <w:bookmarkStart w:id="7" w:name="_Toc214552868"/>
      <w:bookmarkStart w:id="8" w:name="_Toc214553258"/>
      <w:bookmarkStart w:id="9" w:name="_Toc214553337"/>
      <w:bookmarkStart w:id="10" w:name="_Toc215070092"/>
      <w:bookmarkStart w:id="11" w:name="_Toc214552869"/>
      <w:bookmarkStart w:id="12" w:name="_Toc214553259"/>
      <w:bookmarkStart w:id="13" w:name="_Toc214553338"/>
      <w:bookmarkStart w:id="14" w:name="_Toc215070093"/>
      <w:bookmarkStart w:id="15" w:name="_Toc214552870"/>
      <w:bookmarkStart w:id="16" w:name="_Toc214553260"/>
      <w:bookmarkStart w:id="17" w:name="_Toc214553339"/>
      <w:bookmarkStart w:id="18" w:name="_Toc215070094"/>
      <w:bookmarkStart w:id="19" w:name="_Toc214552871"/>
      <w:bookmarkStart w:id="20" w:name="_Toc214553261"/>
      <w:bookmarkStart w:id="21" w:name="_Toc214553340"/>
      <w:bookmarkStart w:id="22" w:name="_Toc215070095"/>
      <w:bookmarkStart w:id="23" w:name="_Toc22421311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9275C8">
        <w:lastRenderedPageBreak/>
        <w:t>Primary biosecurity risks</w:t>
      </w:r>
      <w:bookmarkEnd w:id="23"/>
    </w:p>
    <w:p w14:paraId="657F679C" w14:textId="614E600F" w:rsidR="009A0658" w:rsidRDefault="009A0658" w:rsidP="009A0658">
      <w:pPr>
        <w:rPr>
          <w:lang w:eastAsia="ja-JP"/>
        </w:rPr>
      </w:pPr>
      <w:r>
        <w:rPr>
          <w:lang w:eastAsia="ja-JP"/>
        </w:rPr>
        <w:t xml:space="preserve">Import conditions for inorganic fertiliser are contained in the </w:t>
      </w:r>
      <w:r w:rsidRPr="00185A89">
        <w:t xml:space="preserve">Biosecurity (Prohibited and Conditionally Non-prohibited Goods) Determination 2021. </w:t>
      </w:r>
      <w:r w:rsidRPr="00D5241D">
        <w:rPr>
          <w:lang w:eastAsia="ja-JP"/>
        </w:rPr>
        <w:t xml:space="preserve">Learn more about compliance requirements for importers in </w:t>
      </w:r>
      <w:hyperlink r:id="rId24" w:history="1">
        <w:r w:rsidRPr="002C5356">
          <w:rPr>
            <w:rStyle w:val="Hyperlink"/>
            <w:lang w:eastAsia="ja-JP"/>
          </w:rPr>
          <w:t>BICON</w:t>
        </w:r>
      </w:hyperlink>
      <w:r w:rsidRPr="00D5241D">
        <w:rPr>
          <w:lang w:eastAsia="ja-JP"/>
        </w:rPr>
        <w:t>.</w:t>
      </w:r>
    </w:p>
    <w:p w14:paraId="63B6A85B" w14:textId="77777777" w:rsidR="009A0658" w:rsidRDefault="009A0658" w:rsidP="009A0658">
      <w:pPr>
        <w:rPr>
          <w:lang w:eastAsia="ja-JP"/>
        </w:rPr>
      </w:pPr>
      <w:r>
        <w:rPr>
          <w:lang w:eastAsia="ja-JP"/>
        </w:rPr>
        <w:t>Inorganic fertiliser:</w:t>
      </w:r>
    </w:p>
    <w:p w14:paraId="71659F58" w14:textId="77777777" w:rsidR="009A0658" w:rsidRDefault="009A0658" w:rsidP="009A0658">
      <w:pPr>
        <w:pStyle w:val="ListBullet"/>
        <w:rPr>
          <w:lang w:eastAsia="ja-JP"/>
        </w:rPr>
      </w:pPr>
      <w:r>
        <w:rPr>
          <w:lang w:eastAsia="ja-JP"/>
        </w:rPr>
        <w:t>must arrive in Australia clean and free from biosecurity risk material</w:t>
      </w:r>
    </w:p>
    <w:p w14:paraId="3CC01AF8" w14:textId="77777777" w:rsidR="00314DD6" w:rsidRDefault="009A0658" w:rsidP="00314DD6">
      <w:pPr>
        <w:pStyle w:val="ListBullet"/>
      </w:pPr>
      <w:r>
        <w:rPr>
          <w:lang w:eastAsia="ja-JP"/>
        </w:rPr>
        <w:t>must be accompanied by documentation attesting to the biosecurity integrity of the consignment, including both the cargo and the vessel or container (as applicable).</w:t>
      </w:r>
    </w:p>
    <w:p w14:paraId="2DDE8C5A" w14:textId="32142499" w:rsidR="00314DD6" w:rsidRPr="00011520" w:rsidRDefault="00314DD6" w:rsidP="006E029B">
      <w:pPr>
        <w:pStyle w:val="ListBullet"/>
        <w:numPr>
          <w:ilvl w:val="0"/>
          <w:numId w:val="0"/>
        </w:numPr>
      </w:pPr>
      <w:r>
        <w:t>T</w:t>
      </w:r>
      <w:r w:rsidRPr="00314DD6">
        <w:t xml:space="preserve">he whole-of-department </w:t>
      </w:r>
      <w:hyperlink r:id="rId25" w:history="1">
        <w:r w:rsidRPr="006E029B">
          <w:rPr>
            <w:rStyle w:val="Hyperlink"/>
          </w:rPr>
          <w:t>Compliance Policy</w:t>
        </w:r>
      </w:hyperlink>
      <w:r w:rsidRPr="00314DD6">
        <w:t xml:space="preserve"> outlines the principles we follow during compliance activities. If importers have products that fail to meet import conditions, we may impose increased control measures, take administrative actions, pursue civil actions, or apply criminal sanctions when we suspect criminal behavio</w:t>
      </w:r>
      <w:r w:rsidR="00A94027">
        <w:t>u</w:t>
      </w:r>
      <w:r w:rsidRPr="00314DD6">
        <w:t>r.</w:t>
      </w:r>
    </w:p>
    <w:p w14:paraId="395B763F" w14:textId="7215072D" w:rsidR="00C65CF1" w:rsidRDefault="00C65CF1" w:rsidP="00C65CF1">
      <w:pPr>
        <w:rPr>
          <w:lang w:eastAsia="ja-JP"/>
        </w:rPr>
      </w:pPr>
      <w:r>
        <w:rPr>
          <w:lang w:eastAsia="ja-JP"/>
        </w:rPr>
        <w:t xml:space="preserve">The </w:t>
      </w:r>
      <w:hyperlink r:id="rId26" w:history="1">
        <w:r w:rsidR="00195A65">
          <w:rPr>
            <w:rStyle w:val="Hyperlink"/>
            <w:lang w:eastAsia="ja-JP"/>
          </w:rPr>
          <w:t>Commonwealth Biosecurity 2030 Roadmap</w:t>
        </w:r>
      </w:hyperlink>
      <w:r>
        <w:rPr>
          <w:lang w:eastAsia="ja-JP"/>
        </w:rPr>
        <w:t xml:space="preserve"> highlights several key areas of concern that have the potential to negatively affect Australia’s biosecurity. These include:</w:t>
      </w:r>
    </w:p>
    <w:p w14:paraId="04D40F7B" w14:textId="2BC147C1" w:rsidR="00C65CF1" w:rsidRDefault="00342E1D" w:rsidP="009A2C16">
      <w:pPr>
        <w:pStyle w:val="ListBullet"/>
        <w:rPr>
          <w:lang w:eastAsia="ja-JP"/>
        </w:rPr>
      </w:pPr>
      <w:r>
        <w:rPr>
          <w:lang w:eastAsia="ja-JP"/>
        </w:rPr>
        <w:t>i</w:t>
      </w:r>
      <w:r w:rsidR="00C65CF1">
        <w:rPr>
          <w:lang w:eastAsia="ja-JP"/>
        </w:rPr>
        <w:t>ncreasing numbers of pests and diseases observed in neighbouring countries across the Indo-Pacific</w:t>
      </w:r>
    </w:p>
    <w:p w14:paraId="566284D3" w14:textId="30EA7B13" w:rsidR="00C65CF1" w:rsidRDefault="00342E1D" w:rsidP="009A2C16">
      <w:pPr>
        <w:pStyle w:val="ListBullet"/>
        <w:rPr>
          <w:lang w:eastAsia="ja-JP"/>
        </w:rPr>
      </w:pPr>
      <w:r>
        <w:rPr>
          <w:lang w:eastAsia="ja-JP"/>
        </w:rPr>
        <w:t>t</w:t>
      </w:r>
      <w:r w:rsidR="00C65CF1">
        <w:rPr>
          <w:lang w:eastAsia="ja-JP"/>
        </w:rPr>
        <w:t>he impacts of climate change on weather patterns and the environment, leading to more dynamic and unexpected movements of biosecurity risks</w:t>
      </w:r>
    </w:p>
    <w:p w14:paraId="1C8E73C3" w14:textId="4E2B0637" w:rsidR="00C65CF1" w:rsidRDefault="00342E1D" w:rsidP="009A2C16">
      <w:pPr>
        <w:pStyle w:val="ListBullet"/>
        <w:rPr>
          <w:lang w:eastAsia="ja-JP"/>
        </w:rPr>
      </w:pPr>
      <w:r>
        <w:rPr>
          <w:lang w:eastAsia="ja-JP"/>
        </w:rPr>
        <w:t>c</w:t>
      </w:r>
      <w:r w:rsidR="00C65CF1">
        <w:rPr>
          <w:lang w:eastAsia="ja-JP"/>
        </w:rPr>
        <w:t>hanges to the global landscape (e.g. trade agreements</w:t>
      </w:r>
      <w:r w:rsidR="00D53045">
        <w:rPr>
          <w:lang w:eastAsia="ja-JP"/>
        </w:rPr>
        <w:t xml:space="preserve"> and</w:t>
      </w:r>
      <w:r w:rsidR="00C65CF1">
        <w:rPr>
          <w:lang w:eastAsia="ja-JP"/>
        </w:rPr>
        <w:t xml:space="preserve"> population growth) resulting in increased trade and movement of people and goods into</w:t>
      </w:r>
      <w:r>
        <w:rPr>
          <w:lang w:eastAsia="ja-JP"/>
        </w:rPr>
        <w:t xml:space="preserve"> and </w:t>
      </w:r>
      <w:r w:rsidR="00C65CF1">
        <w:rPr>
          <w:lang w:eastAsia="ja-JP"/>
        </w:rPr>
        <w:t xml:space="preserve">out </w:t>
      </w:r>
      <w:r>
        <w:rPr>
          <w:lang w:eastAsia="ja-JP"/>
        </w:rPr>
        <w:t>of</w:t>
      </w:r>
      <w:r w:rsidR="00C65CF1">
        <w:rPr>
          <w:lang w:eastAsia="ja-JP"/>
        </w:rPr>
        <w:t xml:space="preserve"> Australia.</w:t>
      </w:r>
    </w:p>
    <w:p w14:paraId="1FFBC2E7" w14:textId="357EC0FF" w:rsidR="00C65CF1" w:rsidRDefault="00C65CF1" w:rsidP="00C65CF1">
      <w:pPr>
        <w:rPr>
          <w:lang w:eastAsia="ja-JP"/>
        </w:rPr>
      </w:pPr>
      <w:r>
        <w:rPr>
          <w:lang w:eastAsia="ja-JP"/>
        </w:rPr>
        <w:t xml:space="preserve">These emerging concerns may increase the likelihood of biosecurity contaminants ending up in consignments of imported inorganic fertilisers. </w:t>
      </w:r>
      <w:r w:rsidR="00211A75">
        <w:rPr>
          <w:lang w:eastAsia="ja-JP"/>
        </w:rPr>
        <w:t xml:space="preserve">For this reason, our </w:t>
      </w:r>
      <w:r>
        <w:rPr>
          <w:lang w:eastAsia="ja-JP"/>
        </w:rPr>
        <w:t xml:space="preserve">regulatory frameworks and guidance materials </w:t>
      </w:r>
      <w:r w:rsidR="00211A75">
        <w:rPr>
          <w:lang w:eastAsia="ja-JP"/>
        </w:rPr>
        <w:t xml:space="preserve">must </w:t>
      </w:r>
      <w:r>
        <w:rPr>
          <w:lang w:eastAsia="ja-JP"/>
        </w:rPr>
        <w:t>enable both the department and industry to collaborate and actively reduce the potential for biosecurity risks to enter and establish in Australian territory. The primary biosecurity risks associated with imported inorganic fertiliser are plant material, seeds, soil and hitchhiker pests.</w:t>
      </w:r>
    </w:p>
    <w:p w14:paraId="1870E133" w14:textId="079B7FB5" w:rsidR="00C65CF1" w:rsidRPr="009275C8" w:rsidRDefault="00C65CF1" w:rsidP="0049371B">
      <w:pPr>
        <w:pStyle w:val="Heading3"/>
        <w:spacing w:before="120" w:after="120"/>
      </w:pPr>
      <w:bookmarkStart w:id="24" w:name="_Toc224213116"/>
      <w:r w:rsidRPr="009275C8">
        <w:t xml:space="preserve">Plant material and </w:t>
      </w:r>
      <w:r w:rsidR="00DD51BC">
        <w:t>s</w:t>
      </w:r>
      <w:r w:rsidRPr="009275C8">
        <w:t>eeds</w:t>
      </w:r>
      <w:bookmarkEnd w:id="24"/>
    </w:p>
    <w:p w14:paraId="3D7C2DBB" w14:textId="30D594F4" w:rsidR="00C65CF1" w:rsidRDefault="00C65CF1" w:rsidP="00C65CF1">
      <w:pPr>
        <w:rPr>
          <w:lang w:eastAsia="ja-JP"/>
        </w:rPr>
      </w:pPr>
      <w:r>
        <w:rPr>
          <w:lang w:eastAsia="ja-JP"/>
        </w:rPr>
        <w:t>Plant material can harbour a vast range of pests and diseases. This includes pathogens such as fungi, bacteria or viruses, insect pests in all life</w:t>
      </w:r>
      <w:r w:rsidR="00D53045">
        <w:rPr>
          <w:lang w:eastAsia="ja-JP"/>
        </w:rPr>
        <w:t>-</w:t>
      </w:r>
      <w:r>
        <w:rPr>
          <w:lang w:eastAsia="ja-JP"/>
        </w:rPr>
        <w:t>cycle stages, as well as nematodes in various stages of development. Plant material may also contain other biosecurity risk material, including live animals (e.g. snails), seeds classed as weeds, fungal bodies or animal faeces.</w:t>
      </w:r>
    </w:p>
    <w:p w14:paraId="5FF32E5B" w14:textId="77777777" w:rsidR="00C65CF1" w:rsidRPr="009275C8" w:rsidRDefault="00C65CF1" w:rsidP="0049371B">
      <w:pPr>
        <w:pStyle w:val="Heading3"/>
        <w:spacing w:before="120" w:after="120"/>
      </w:pPr>
      <w:bookmarkStart w:id="25" w:name="_Toc224213117"/>
      <w:r w:rsidRPr="009275C8">
        <w:t>Soil</w:t>
      </w:r>
      <w:bookmarkEnd w:id="25"/>
    </w:p>
    <w:p w14:paraId="0F464795" w14:textId="0327DCBD" w:rsidR="00C65CF1" w:rsidRDefault="00C65CF1" w:rsidP="00C65CF1">
      <w:pPr>
        <w:rPr>
          <w:lang w:eastAsia="ja-JP"/>
        </w:rPr>
      </w:pPr>
      <w:r>
        <w:rPr>
          <w:lang w:eastAsia="ja-JP"/>
        </w:rPr>
        <w:t>Soil can harbour contaminants such as fungi, bacteria, viruses and prions, animal faeces, live animals or crop residues. Example</w:t>
      </w:r>
      <w:r w:rsidR="00195A65">
        <w:rPr>
          <w:lang w:eastAsia="ja-JP"/>
        </w:rPr>
        <w:t>s of soil-borne contaminants include</w:t>
      </w:r>
      <w:r>
        <w:rPr>
          <w:lang w:eastAsia="ja-JP"/>
        </w:rPr>
        <w:t xml:space="preserve"> foot-and-mouth disease and </w:t>
      </w:r>
      <w:r w:rsidR="007D6A2B">
        <w:rPr>
          <w:lang w:eastAsia="ja-JP"/>
        </w:rPr>
        <w:t>g</w:t>
      </w:r>
      <w:r>
        <w:rPr>
          <w:lang w:eastAsia="ja-JP"/>
        </w:rPr>
        <w:t xml:space="preserve">iant African </w:t>
      </w:r>
      <w:r w:rsidR="007D6A2B">
        <w:rPr>
          <w:lang w:eastAsia="ja-JP"/>
        </w:rPr>
        <w:t>s</w:t>
      </w:r>
      <w:r>
        <w:rPr>
          <w:lang w:eastAsia="ja-JP"/>
        </w:rPr>
        <w:t>nails.</w:t>
      </w:r>
    </w:p>
    <w:p w14:paraId="1634CF89" w14:textId="77777777" w:rsidR="00C65CF1" w:rsidRPr="009275C8" w:rsidRDefault="00C65CF1" w:rsidP="0049371B">
      <w:pPr>
        <w:pStyle w:val="Heading3"/>
        <w:spacing w:before="120" w:after="120"/>
      </w:pPr>
      <w:bookmarkStart w:id="26" w:name="_Toc224213118"/>
      <w:r w:rsidRPr="009275C8">
        <w:lastRenderedPageBreak/>
        <w:t>Hitchhiker pests</w:t>
      </w:r>
      <w:bookmarkEnd w:id="26"/>
    </w:p>
    <w:p w14:paraId="030A7B49" w14:textId="17029C25" w:rsidR="00C65CF1" w:rsidRDefault="00C65CF1" w:rsidP="00C65CF1">
      <w:pPr>
        <w:rPr>
          <w:lang w:eastAsia="ja-JP"/>
        </w:rPr>
      </w:pPr>
      <w:r>
        <w:rPr>
          <w:lang w:eastAsia="ja-JP"/>
        </w:rPr>
        <w:t>Hitchhiker pests</w:t>
      </w:r>
      <w:r w:rsidR="00195A65">
        <w:rPr>
          <w:lang w:eastAsia="ja-JP"/>
        </w:rPr>
        <w:t xml:space="preserve"> such as invasive ants, insects and snails</w:t>
      </w:r>
      <w:r>
        <w:rPr>
          <w:lang w:eastAsia="ja-JP"/>
        </w:rPr>
        <w:t xml:space="preserve"> travel opportunistically on conveyances, containers and commodities.</w:t>
      </w:r>
    </w:p>
    <w:p w14:paraId="417CA776" w14:textId="7BF8C1A3" w:rsidR="004A08D5" w:rsidRDefault="004A08D5" w:rsidP="005C45AD">
      <w:pPr>
        <w:pStyle w:val="Heading2"/>
      </w:pPr>
      <w:bookmarkStart w:id="27" w:name="_Toc214552876"/>
      <w:bookmarkStart w:id="28" w:name="_Toc214553266"/>
      <w:bookmarkStart w:id="29" w:name="_Toc214553345"/>
      <w:bookmarkStart w:id="30" w:name="_Toc215070100"/>
      <w:bookmarkStart w:id="31" w:name="_Risk_management_assessment"/>
      <w:bookmarkStart w:id="32" w:name="_Risk_management_and"/>
      <w:bookmarkStart w:id="33" w:name="_Toc224213119"/>
      <w:bookmarkEnd w:id="27"/>
      <w:bookmarkEnd w:id="28"/>
      <w:bookmarkEnd w:id="29"/>
      <w:bookmarkEnd w:id="30"/>
      <w:bookmarkEnd w:id="31"/>
      <w:bookmarkEnd w:id="32"/>
      <w:r w:rsidRPr="005C45AD">
        <w:lastRenderedPageBreak/>
        <w:t xml:space="preserve">Risk management </w:t>
      </w:r>
      <w:r w:rsidR="007D6A2B">
        <w:t xml:space="preserve">and </w:t>
      </w:r>
      <w:r w:rsidRPr="005C45AD">
        <w:t>assessment</w:t>
      </w:r>
      <w:bookmarkEnd w:id="33"/>
    </w:p>
    <w:p w14:paraId="6CF0F113" w14:textId="77777777" w:rsidR="007D6A2B" w:rsidRDefault="007D6A2B" w:rsidP="007D6A2B">
      <w:pPr>
        <w:rPr>
          <w:lang w:eastAsia="ja-JP"/>
        </w:rPr>
      </w:pPr>
      <w:r w:rsidRPr="00B74A74">
        <w:rPr>
          <w:lang w:eastAsia="ja-JP"/>
        </w:rPr>
        <w:t xml:space="preserve">Registered offshore entities are responsible for the cleanliness of the fertiliser from point of manufacture to the point of </w:t>
      </w:r>
      <w:r w:rsidRPr="00093507">
        <w:rPr>
          <w:lang w:eastAsia="ja-JP"/>
        </w:rPr>
        <w:t>export</w:t>
      </w:r>
      <w:r w:rsidRPr="00847EB1">
        <w:rPr>
          <w:lang w:eastAsia="ja-JP"/>
        </w:rPr>
        <w:t xml:space="preserve"> to A</w:t>
      </w:r>
      <w:r>
        <w:rPr>
          <w:lang w:eastAsia="ja-JP"/>
        </w:rPr>
        <w:t>ustralia.</w:t>
      </w:r>
    </w:p>
    <w:p w14:paraId="61DE5635" w14:textId="189B0CCD" w:rsidR="009761EC" w:rsidRDefault="00D363AE" w:rsidP="007D6A2B">
      <w:pPr>
        <w:rPr>
          <w:lang w:eastAsia="ja-JP"/>
        </w:rPr>
      </w:pPr>
      <w:r w:rsidRPr="005B47FD">
        <w:rPr>
          <w:lang w:eastAsia="ja-JP"/>
        </w:rPr>
        <w:t>If</w:t>
      </w:r>
      <w:r w:rsidR="007D6A2B" w:rsidRPr="00D363AE">
        <w:rPr>
          <w:lang w:eastAsia="ja-JP"/>
        </w:rPr>
        <w:t xml:space="preserve"> a </w:t>
      </w:r>
      <w:r w:rsidR="009761EC" w:rsidRPr="00D363AE">
        <w:rPr>
          <w:lang w:eastAsia="ja-JP"/>
        </w:rPr>
        <w:t>b</w:t>
      </w:r>
      <w:r w:rsidR="007D6A2B" w:rsidRPr="00D363AE">
        <w:rPr>
          <w:lang w:eastAsia="ja-JP"/>
        </w:rPr>
        <w:t xml:space="preserve">iosecurity </w:t>
      </w:r>
      <w:r w:rsidR="009761EC" w:rsidRPr="00D363AE">
        <w:rPr>
          <w:lang w:eastAsia="ja-JP"/>
        </w:rPr>
        <w:t>o</w:t>
      </w:r>
      <w:r w:rsidR="007D6A2B" w:rsidRPr="00D363AE">
        <w:rPr>
          <w:lang w:eastAsia="ja-JP"/>
        </w:rPr>
        <w:t>fficer suspects that the level of risk associated with goods subject to biosecurity control is of an unacceptable level, they may require biosecurity measures be taken</w:t>
      </w:r>
      <w:r w:rsidR="00536C36">
        <w:rPr>
          <w:lang w:eastAsia="ja-JP"/>
        </w:rPr>
        <w:t xml:space="preserve"> </w:t>
      </w:r>
      <w:r w:rsidR="00536C36" w:rsidRPr="009761EC">
        <w:rPr>
          <w:lang w:val="en-US" w:eastAsia="ja-JP"/>
        </w:rPr>
        <w:t>(</w:t>
      </w:r>
      <w:r w:rsidR="00DE5DC4" w:rsidRPr="00C71407">
        <w:fldChar w:fldCharType="begin"/>
      </w:r>
      <w:r w:rsidR="00DE5DC4" w:rsidRPr="00C71407">
        <w:instrText xml:space="preserve"> REF _Ref214540750 \h  \* MERGEFORMAT </w:instrText>
      </w:r>
      <w:r w:rsidR="00DE5DC4" w:rsidRPr="00C71407">
        <w:fldChar w:fldCharType="separate"/>
      </w:r>
      <w:r w:rsidR="00F4508B" w:rsidRPr="00DE5DC4">
        <w:t xml:space="preserve">Figure </w:t>
      </w:r>
      <w:r w:rsidR="00F4508B">
        <w:t>1</w:t>
      </w:r>
      <w:r w:rsidR="00DE5DC4" w:rsidRPr="00C71407">
        <w:fldChar w:fldCharType="end"/>
      </w:r>
      <w:r w:rsidR="00536C36" w:rsidRPr="009761EC">
        <w:rPr>
          <w:lang w:val="en-US" w:eastAsia="ja-JP"/>
        </w:rPr>
        <w:t>)</w:t>
      </w:r>
      <w:r w:rsidR="007D6A2B">
        <w:rPr>
          <w:lang w:eastAsia="ja-JP"/>
        </w:rPr>
        <w:t xml:space="preserve">. These biosecurity measures allow biosecurity risks to be managed to an acceptable level. Biosecurity </w:t>
      </w:r>
      <w:r w:rsidR="009761EC">
        <w:rPr>
          <w:lang w:eastAsia="ja-JP"/>
        </w:rPr>
        <w:t>o</w:t>
      </w:r>
      <w:r w:rsidR="007D6A2B">
        <w:rPr>
          <w:lang w:eastAsia="ja-JP"/>
        </w:rPr>
        <w:t>fficers have the power to require that goods be managed in a specific manner.</w:t>
      </w:r>
    </w:p>
    <w:p w14:paraId="71AC30D8" w14:textId="545E1C3E" w:rsidR="007D6A2B" w:rsidRPr="00011520" w:rsidRDefault="009761EC" w:rsidP="00101AF3">
      <w:r>
        <w:rPr>
          <w:lang w:eastAsia="ja-JP"/>
        </w:rPr>
        <w:t>In some cases,</w:t>
      </w:r>
      <w:r w:rsidR="007D6A2B">
        <w:rPr>
          <w:lang w:eastAsia="ja-JP"/>
        </w:rPr>
        <w:t xml:space="preserve"> </w:t>
      </w:r>
      <w:r>
        <w:rPr>
          <w:lang w:eastAsia="ja-JP"/>
        </w:rPr>
        <w:t xml:space="preserve">measures to manage certain biosecurity risks associated with inorganic fertiliser </w:t>
      </w:r>
      <w:r w:rsidR="007D6A2B">
        <w:rPr>
          <w:lang w:eastAsia="ja-JP"/>
        </w:rPr>
        <w:t>can be conducted onshore</w:t>
      </w:r>
      <w:r>
        <w:rPr>
          <w:lang w:eastAsia="ja-JP"/>
        </w:rPr>
        <w:t>. However</w:t>
      </w:r>
      <w:r w:rsidR="007D6A2B">
        <w:rPr>
          <w:lang w:eastAsia="ja-JP"/>
        </w:rPr>
        <w:t>, if the biosecurity risk posed is determined to be too great, the goods may require treatment, export or destruction at the importer’s expense.</w:t>
      </w:r>
    </w:p>
    <w:p w14:paraId="20924F4F" w14:textId="458262ED" w:rsidR="00253339" w:rsidRDefault="00253339" w:rsidP="006D6218">
      <w:pPr>
        <w:spacing w:after="120"/>
      </w:pPr>
      <w:r>
        <w:rPr>
          <w:lang w:eastAsia="ja-JP"/>
        </w:rPr>
        <w:t>All imported inorganic fertiliser is assessed for a biosecurity risk rating prior to arrival in Australian territory. The department’s risk assessment outcomes are directly influenced by the biosecurity integrity of the offshore supply chain that export</w:t>
      </w:r>
      <w:r w:rsidR="00EA4131">
        <w:rPr>
          <w:lang w:eastAsia="ja-JP"/>
        </w:rPr>
        <w:t>s</w:t>
      </w:r>
      <w:r>
        <w:rPr>
          <w:lang w:eastAsia="ja-JP"/>
        </w:rPr>
        <w:t xml:space="preserve"> the fertiliser to Australia. The ability of an offshore entity to ensure biosecurity integrity across an offshore supply chain is confirmed by the department through an official application and assessment process.</w:t>
      </w:r>
      <w:r w:rsidR="008F7716" w:rsidRPr="008F7716">
        <w:rPr>
          <w:lang w:eastAsia="ja-JP"/>
        </w:rPr>
        <w:t xml:space="preserve"> </w:t>
      </w:r>
      <w:r w:rsidR="00283DDB">
        <w:rPr>
          <w:lang w:eastAsia="ja-JP"/>
        </w:rPr>
        <w:t>Learn more about</w:t>
      </w:r>
      <w:r w:rsidR="008F7716">
        <w:rPr>
          <w:lang w:eastAsia="ja-JP"/>
        </w:rPr>
        <w:t xml:space="preserve"> individual risk assessment outcomes</w:t>
      </w:r>
      <w:r w:rsidR="00672D3B">
        <w:rPr>
          <w:lang w:eastAsia="ja-JP"/>
        </w:rPr>
        <w:t xml:space="preserve"> in</w:t>
      </w:r>
      <w:r w:rsidR="008F7716">
        <w:rPr>
          <w:lang w:eastAsia="ja-JP"/>
        </w:rPr>
        <w:t xml:space="preserve"> </w:t>
      </w:r>
      <w:hyperlink w:anchor="_Consignment_risk_assessment" w:history="1">
        <w:r w:rsidR="00195A65">
          <w:rPr>
            <w:rStyle w:val="Hyperlink"/>
            <w:lang w:eastAsia="ja-JP"/>
          </w:rPr>
          <w:t>chapter 3</w:t>
        </w:r>
      </w:hyperlink>
      <w:r w:rsidR="00BF0140">
        <w:t>.</w:t>
      </w:r>
    </w:p>
    <w:p w14:paraId="25C92430" w14:textId="0E51AD32" w:rsidR="00536C36" w:rsidRPr="00DE5DC4" w:rsidRDefault="00536C36" w:rsidP="006D6218">
      <w:pPr>
        <w:spacing w:after="120"/>
        <w:rPr>
          <w:rFonts w:eastAsia="Times New Roman" w:cs="Times New Roman"/>
          <w:sz w:val="24"/>
          <w:szCs w:val="20"/>
          <w:lang w:val="en-US"/>
        </w:rPr>
      </w:pPr>
      <w:r>
        <w:rPr>
          <w:lang w:eastAsia="ja-JP"/>
        </w:rPr>
        <w:t>If imported inorganic fertiliser consignments that originate from registered offshore entities meet the department’s import conditions, they will be eligible for reduced biosecurity intervention on arrival in Australian territory.</w:t>
      </w:r>
    </w:p>
    <w:p w14:paraId="2EAAD0E7" w14:textId="5CAF60D7" w:rsidR="000A408E" w:rsidRDefault="003871D7" w:rsidP="00A6440C">
      <w:pPr>
        <w:spacing w:after="120"/>
        <w:rPr>
          <w:rFonts w:eastAsia="Times New Roman" w:cs="Times New Roman"/>
          <w:sz w:val="24"/>
          <w:szCs w:val="20"/>
          <w:lang w:val="en-US"/>
        </w:rPr>
      </w:pPr>
      <w:r>
        <w:rPr>
          <w:lang w:eastAsia="ja-JP"/>
        </w:rPr>
        <w:t>O</w:t>
      </w:r>
      <w:r w:rsidR="00253339">
        <w:rPr>
          <w:lang w:eastAsia="ja-JP"/>
        </w:rPr>
        <w:t xml:space="preserve">ffshore entities </w:t>
      </w:r>
      <w:r w:rsidR="00D53045">
        <w:rPr>
          <w:lang w:eastAsia="ja-JP"/>
        </w:rPr>
        <w:t>can apply to become registered and receive a risk classification if they have</w:t>
      </w:r>
      <w:r w:rsidR="00253339">
        <w:rPr>
          <w:lang w:eastAsia="ja-JP"/>
        </w:rPr>
        <w:t xml:space="preserve"> oversight of supply chains </w:t>
      </w:r>
      <w:r w:rsidR="00D53045">
        <w:rPr>
          <w:lang w:eastAsia="ja-JP"/>
        </w:rPr>
        <w:t>and are able to</w:t>
      </w:r>
      <w:r w:rsidR="00253339">
        <w:rPr>
          <w:lang w:eastAsia="ja-JP"/>
        </w:rPr>
        <w:t xml:space="preserve"> provide documentary evidence </w:t>
      </w:r>
      <w:r w:rsidR="00D53045">
        <w:rPr>
          <w:lang w:eastAsia="ja-JP"/>
        </w:rPr>
        <w:t>that they meet</w:t>
      </w:r>
      <w:r w:rsidR="00253339">
        <w:rPr>
          <w:lang w:eastAsia="ja-JP"/>
        </w:rPr>
        <w:t xml:space="preserve"> the minimum eligibility requirements </w:t>
      </w:r>
      <w:r w:rsidR="00CD2FC6">
        <w:rPr>
          <w:lang w:eastAsia="ja-JP"/>
        </w:rPr>
        <w:t xml:space="preserve">listed in </w:t>
      </w:r>
      <w:hyperlink w:anchor="_Minimum_registration_eligibility" w:history="1">
        <w:r w:rsidR="0013179A">
          <w:rPr>
            <w:rStyle w:val="Hyperlink"/>
            <w:lang w:eastAsia="ja-JP"/>
          </w:rPr>
          <w:t>section 2.1</w:t>
        </w:r>
      </w:hyperlink>
      <w:r w:rsidR="00253339">
        <w:rPr>
          <w:lang w:eastAsia="ja-JP"/>
        </w:rPr>
        <w:t>.</w:t>
      </w:r>
      <w:r w:rsidR="00536C36">
        <w:rPr>
          <w:lang w:eastAsia="ja-JP"/>
        </w:rPr>
        <w:t xml:space="preserve"> The risks classifications for consig</w:t>
      </w:r>
      <w:r w:rsidR="00F47DAB">
        <w:rPr>
          <w:lang w:eastAsia="ja-JP"/>
        </w:rPr>
        <w:t>n</w:t>
      </w:r>
      <w:r w:rsidR="00536C36">
        <w:rPr>
          <w:lang w:eastAsia="ja-JP"/>
        </w:rPr>
        <w:t>ments are:</w:t>
      </w:r>
    </w:p>
    <w:p w14:paraId="2B7F6C21" w14:textId="780A424F" w:rsidR="00536C36" w:rsidRDefault="00536C36" w:rsidP="00DE5DC4">
      <w:pPr>
        <w:pStyle w:val="ListBullet"/>
        <w:rPr>
          <w:lang w:val="en-US" w:eastAsia="ja-JP"/>
        </w:rPr>
      </w:pPr>
      <w:r w:rsidRPr="00DE5DC4">
        <w:rPr>
          <w:rStyle w:val="Strong"/>
        </w:rPr>
        <w:t>Level 1, low risk</w:t>
      </w:r>
      <w:r w:rsidDel="00DB541A">
        <w:rPr>
          <w:lang w:eastAsia="ja-JP"/>
        </w:rPr>
        <w:t xml:space="preserve"> </w:t>
      </w:r>
      <w:r>
        <w:rPr>
          <w:lang w:eastAsia="ja-JP"/>
        </w:rPr>
        <w:t xml:space="preserve">– </w:t>
      </w:r>
      <w:r w:rsidRPr="00A6440C">
        <w:rPr>
          <w:lang w:val="en-US" w:eastAsia="ja-JP"/>
        </w:rPr>
        <w:t xml:space="preserve">the </w:t>
      </w:r>
      <w:r>
        <w:rPr>
          <w:lang w:val="en-US" w:eastAsia="ja-JP"/>
        </w:rPr>
        <w:t xml:space="preserve">entity has implemented the </w:t>
      </w:r>
      <w:r w:rsidRPr="00A6440C">
        <w:rPr>
          <w:lang w:val="en-US" w:eastAsia="ja-JP"/>
        </w:rPr>
        <w:t xml:space="preserve">full suite of </w:t>
      </w:r>
      <w:r w:rsidRPr="003871D7">
        <w:rPr>
          <w:lang w:val="en-US" w:eastAsia="ja-JP"/>
        </w:rPr>
        <w:t xml:space="preserve">biosecurity risk management </w:t>
      </w:r>
      <w:r w:rsidRPr="00A6440C">
        <w:rPr>
          <w:lang w:val="en-US" w:eastAsia="ja-JP"/>
        </w:rPr>
        <w:t>strategies</w:t>
      </w:r>
      <w:r>
        <w:rPr>
          <w:lang w:val="en-US" w:eastAsia="ja-JP"/>
        </w:rPr>
        <w:t>,</w:t>
      </w:r>
      <w:r w:rsidRPr="003871D7">
        <w:rPr>
          <w:lang w:val="en-US" w:eastAsia="ja-JP"/>
        </w:rPr>
        <w:t xml:space="preserve"> </w:t>
      </w:r>
      <w:r>
        <w:rPr>
          <w:lang w:val="en-US" w:eastAsia="ja-JP"/>
        </w:rPr>
        <w:t xml:space="preserve">the consignment </w:t>
      </w:r>
      <w:r w:rsidRPr="003871D7">
        <w:rPr>
          <w:lang w:val="en-US" w:eastAsia="ja-JP"/>
        </w:rPr>
        <w:t>has successfully passed import</w:t>
      </w:r>
      <w:r>
        <w:rPr>
          <w:lang w:val="en-US" w:eastAsia="ja-JP"/>
        </w:rPr>
        <w:t xml:space="preserve"> </w:t>
      </w:r>
      <w:proofErr w:type="gramStart"/>
      <w:r>
        <w:rPr>
          <w:lang w:val="en-US" w:eastAsia="ja-JP"/>
        </w:rPr>
        <w:t>requirements</w:t>
      </w:r>
      <w:proofErr w:type="gramEnd"/>
      <w:r w:rsidRPr="00A6440C">
        <w:rPr>
          <w:lang w:val="en-US" w:eastAsia="ja-JP"/>
        </w:rPr>
        <w:t xml:space="preserve"> and the</w:t>
      </w:r>
      <w:r>
        <w:rPr>
          <w:lang w:val="en-US" w:eastAsia="ja-JP"/>
        </w:rPr>
        <w:t xml:space="preserve"> department has</w:t>
      </w:r>
      <w:r w:rsidRPr="00A6440C">
        <w:rPr>
          <w:lang w:val="en-US" w:eastAsia="ja-JP"/>
        </w:rPr>
        <w:t xml:space="preserve"> a high level of confidence</w:t>
      </w:r>
      <w:r>
        <w:rPr>
          <w:lang w:val="en-US" w:eastAsia="ja-JP"/>
        </w:rPr>
        <w:t xml:space="preserve"> (via an approved audit)</w:t>
      </w:r>
      <w:r w:rsidRPr="00A6440C">
        <w:rPr>
          <w:lang w:val="en-US" w:eastAsia="ja-JP"/>
        </w:rPr>
        <w:t xml:space="preserve"> in the biosecurity integrity of </w:t>
      </w:r>
      <w:r w:rsidRPr="009761EC">
        <w:rPr>
          <w:lang w:val="en-US" w:eastAsia="ja-JP"/>
        </w:rPr>
        <w:t>the consignment.</w:t>
      </w:r>
    </w:p>
    <w:p w14:paraId="757AE2B6" w14:textId="5D25667C" w:rsidR="000A408E" w:rsidRDefault="00DB541A" w:rsidP="00DE5DC4">
      <w:pPr>
        <w:pStyle w:val="ListBullet"/>
        <w:rPr>
          <w:lang w:val="en-US" w:eastAsia="ja-JP"/>
        </w:rPr>
      </w:pPr>
      <w:r w:rsidRPr="00DE5DC4">
        <w:rPr>
          <w:rStyle w:val="Strong"/>
        </w:rPr>
        <w:t>Level 2, medium risk</w:t>
      </w:r>
      <w:r w:rsidRPr="00A6440C">
        <w:rPr>
          <w:lang w:val="en-US" w:eastAsia="ja-JP"/>
        </w:rPr>
        <w:t xml:space="preserve"> </w:t>
      </w:r>
      <w:r w:rsidR="00536C36">
        <w:rPr>
          <w:lang w:val="en-US" w:eastAsia="ja-JP"/>
        </w:rPr>
        <w:t>–</w:t>
      </w:r>
      <w:r w:rsidRPr="00A6440C">
        <w:rPr>
          <w:lang w:val="en-US" w:eastAsia="ja-JP"/>
        </w:rPr>
        <w:t xml:space="preserve"> </w:t>
      </w:r>
      <w:r w:rsidR="00CA7D49">
        <w:rPr>
          <w:lang w:val="en-US" w:eastAsia="ja-JP"/>
        </w:rPr>
        <w:t xml:space="preserve">the </w:t>
      </w:r>
      <w:r w:rsidR="00536C36">
        <w:rPr>
          <w:lang w:val="en-US" w:eastAsia="ja-JP"/>
        </w:rPr>
        <w:t xml:space="preserve">entity has implemented the </w:t>
      </w:r>
      <w:r w:rsidR="00CA7D49">
        <w:rPr>
          <w:lang w:val="en-US" w:eastAsia="ja-JP"/>
        </w:rPr>
        <w:t>full suite of</w:t>
      </w:r>
      <w:r w:rsidR="00A6440C" w:rsidRPr="00A6440C">
        <w:rPr>
          <w:lang w:val="en-US" w:eastAsia="ja-JP"/>
        </w:rPr>
        <w:t xml:space="preserve"> </w:t>
      </w:r>
      <w:r w:rsidR="003871D7">
        <w:rPr>
          <w:lang w:val="en-US" w:eastAsia="ja-JP"/>
        </w:rPr>
        <w:t xml:space="preserve">biosecurity risk management </w:t>
      </w:r>
      <w:proofErr w:type="gramStart"/>
      <w:r w:rsidR="00A6440C" w:rsidRPr="00A6440C">
        <w:rPr>
          <w:lang w:val="en-US" w:eastAsia="ja-JP"/>
        </w:rPr>
        <w:t>strategies</w:t>
      </w:r>
      <w:proofErr w:type="gramEnd"/>
      <w:r w:rsidR="00A6440C" w:rsidRPr="00A6440C">
        <w:rPr>
          <w:lang w:val="en-US" w:eastAsia="ja-JP"/>
        </w:rPr>
        <w:t xml:space="preserve"> </w:t>
      </w:r>
      <w:r w:rsidR="003871D7">
        <w:rPr>
          <w:lang w:val="en-US" w:eastAsia="ja-JP"/>
        </w:rPr>
        <w:t>and</w:t>
      </w:r>
      <w:r w:rsidR="004730CD">
        <w:rPr>
          <w:lang w:val="en-US" w:eastAsia="ja-JP"/>
        </w:rPr>
        <w:t xml:space="preserve"> </w:t>
      </w:r>
      <w:r>
        <w:rPr>
          <w:lang w:val="en-US" w:eastAsia="ja-JP"/>
        </w:rPr>
        <w:t>our</w:t>
      </w:r>
      <w:r w:rsidR="004730CD">
        <w:rPr>
          <w:lang w:val="en-US" w:eastAsia="ja-JP"/>
        </w:rPr>
        <w:t xml:space="preserve"> desktop audit </w:t>
      </w:r>
      <w:r>
        <w:rPr>
          <w:lang w:val="en-US" w:eastAsia="ja-JP"/>
        </w:rPr>
        <w:t xml:space="preserve">shows </w:t>
      </w:r>
      <w:r w:rsidR="004730CD">
        <w:rPr>
          <w:lang w:val="en-US" w:eastAsia="ja-JP"/>
        </w:rPr>
        <w:t>no history of</w:t>
      </w:r>
      <w:r w:rsidR="0095678F">
        <w:rPr>
          <w:lang w:val="en-US" w:eastAsia="ja-JP"/>
        </w:rPr>
        <w:t xml:space="preserve"> non</w:t>
      </w:r>
      <w:r w:rsidR="0095678F" w:rsidRPr="00603571">
        <w:rPr>
          <w:lang w:val="en-US" w:eastAsia="ja-JP"/>
        </w:rPr>
        <w:t>-</w:t>
      </w:r>
      <w:r w:rsidR="004730CD" w:rsidRPr="00093507">
        <w:rPr>
          <w:lang w:val="en-US" w:eastAsia="ja-JP"/>
        </w:rPr>
        <w:t>compliant l</w:t>
      </w:r>
      <w:r w:rsidR="004730CD" w:rsidRPr="00603571">
        <w:rPr>
          <w:lang w:val="en-US" w:eastAsia="ja-JP"/>
        </w:rPr>
        <w:t>oads</w:t>
      </w:r>
      <w:r w:rsidR="00A6440C" w:rsidRPr="00A6440C">
        <w:rPr>
          <w:lang w:val="en-US" w:eastAsia="ja-JP"/>
        </w:rPr>
        <w:t>.</w:t>
      </w:r>
    </w:p>
    <w:p w14:paraId="20F6CCB3" w14:textId="38ECDF99" w:rsidR="00A6440C" w:rsidRDefault="00536C36" w:rsidP="00DE5DC4">
      <w:pPr>
        <w:pStyle w:val="ListBullet"/>
        <w:rPr>
          <w:lang w:val="en-US" w:eastAsia="ja-JP"/>
        </w:rPr>
      </w:pPr>
      <w:r w:rsidRPr="00DE5DC4">
        <w:rPr>
          <w:rStyle w:val="Strong"/>
        </w:rPr>
        <w:t>Level 3, high risk</w:t>
      </w:r>
      <w:r w:rsidRPr="00A6440C" w:rsidDel="009761EC">
        <w:rPr>
          <w:lang w:val="en-US" w:eastAsia="ja-JP"/>
        </w:rPr>
        <w:t xml:space="preserve"> </w:t>
      </w:r>
      <w:r>
        <w:rPr>
          <w:lang w:val="en-US" w:eastAsia="ja-JP"/>
        </w:rPr>
        <w:t>– the entity has</w:t>
      </w:r>
      <w:r w:rsidRPr="00A6440C">
        <w:rPr>
          <w:lang w:val="en-US" w:eastAsia="ja-JP"/>
        </w:rPr>
        <w:t xml:space="preserve"> no </w:t>
      </w:r>
      <w:r w:rsidRPr="00A6440C">
        <w:rPr>
          <w:lang w:eastAsia="ja-JP"/>
        </w:rPr>
        <w:t>recognised</w:t>
      </w:r>
      <w:r w:rsidRPr="00A6440C">
        <w:rPr>
          <w:lang w:val="en-US" w:eastAsia="ja-JP"/>
        </w:rPr>
        <w:t xml:space="preserve"> contamination management strategies in place</w:t>
      </w:r>
      <w:r>
        <w:rPr>
          <w:lang w:val="en-US" w:eastAsia="ja-JP"/>
        </w:rPr>
        <w:t>.</w:t>
      </w:r>
    </w:p>
    <w:p w14:paraId="74BC3A4C" w14:textId="60487FF4" w:rsidR="009761EC" w:rsidRDefault="009761EC" w:rsidP="009761EC">
      <w:pPr>
        <w:pStyle w:val="Caption"/>
      </w:pPr>
      <w:bookmarkStart w:id="34" w:name="_Ref214540750"/>
      <w:bookmarkStart w:id="35" w:name="_Toc218777410"/>
      <w:r w:rsidRPr="00DE5DC4">
        <w:lastRenderedPageBreak/>
        <w:t xml:space="preserve">Figure </w:t>
      </w:r>
      <w:r w:rsidRPr="00DE5DC4">
        <w:fldChar w:fldCharType="begin"/>
      </w:r>
      <w:r w:rsidRPr="00DE5DC4">
        <w:instrText xml:space="preserve"> SEQ Figure \* ARABIC </w:instrText>
      </w:r>
      <w:r w:rsidRPr="00DE5DC4">
        <w:fldChar w:fldCharType="separate"/>
      </w:r>
      <w:r w:rsidR="00F4508B">
        <w:rPr>
          <w:noProof/>
        </w:rPr>
        <w:t>1</w:t>
      </w:r>
      <w:r w:rsidRPr="00DE5DC4">
        <w:fldChar w:fldCharType="end"/>
      </w:r>
      <w:bookmarkEnd w:id="34"/>
      <w:r w:rsidRPr="00DE5DC4">
        <w:t xml:space="preserve"> Decision tree for management of biosecurity risk material</w:t>
      </w:r>
      <w:bookmarkEnd w:id="35"/>
    </w:p>
    <w:p w14:paraId="7415591C" w14:textId="2FCA403D" w:rsidR="009761EC" w:rsidRPr="00F819A8" w:rsidRDefault="00CB50C6" w:rsidP="009761EC">
      <w:r w:rsidRPr="00CB50C6">
        <w:rPr>
          <w:noProof/>
        </w:rPr>
        <w:drawing>
          <wp:inline distT="0" distB="0" distL="0" distR="0" wp14:anchorId="7D0F403E" wp14:editId="22C12795">
            <wp:extent cx="5759450" cy="6660515"/>
            <wp:effectExtent l="0" t="0" r="0" b="6985"/>
            <wp:docPr id="549340180" name="Picture 1" descr="The process begins by determining whether the contaminant is considered biosecurity risk material. If it isn’t, the product can be released immediately. If it is, the next step is to check for an infestation of live insects or animals. When an infestation is present, the product should be treated according to the ‘Biosecurity risk treatment guide’ and then checked for any additional contaminants. If there are none, the product can be released. If there are other contaminants, the process starts again.&#10;&#10;If there is no infestation, the next consideration is whether the contamination is localised and can be isolated or removed. The contaminant should be removed and then treatment options assessed. If suitable, the product is treated and checked for additional contaminants before release. If treatment isn’t suitable, the situation is assessed case by case.&#10;&#10;If the contaminant can’t be removed, the next question is whether the contaminant is listed in the ‘Biosecurity risk treatment guide’. If it is listed, treatment options are assessed for suitability. If suitable, the product is treated and checked for additional contaminants before release. If treatment is not an option, the situation is assessed case by case.&#10;&#10;If the contaminant is not listed in the guide, the final consideration is whether the product can be re-processed or given an alternative end use. If ‘yes’, the situation is assessed case by case. If ‘no’, the product must be exported or destroyed.&#10;&#10;The 3 possible outcomes are:&#10;1) Release the product.&#10;2) Assess the situation case by case, or&#10;3) Export or destroy the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40180" name="Picture 1" descr="The process begins by determining whether the contaminant is considered biosecurity risk material. If it isn’t, the product can be released immediately. If it is, the next step is to check for an infestation of live insects or animals. When an infestation is present, the product should be treated according to the ‘Biosecurity risk treatment guide’ and then checked for any additional contaminants. If there are none, the product can be released. If there are other contaminants, the process starts again.&#10;&#10;If there is no infestation, the next consideration is whether the contamination is localised and can be isolated or removed. The contaminant should be removed and then treatment options assessed. If suitable, the product is treated and checked for additional contaminants before release. If treatment isn’t suitable, the situation is assessed case by case.&#10;&#10;If the contaminant can’t be removed, the next question is whether the contaminant is listed in the ‘Biosecurity risk treatment guide’. If it is listed, treatment options are assessed for suitability. If suitable, the product is treated and checked for additional contaminants before release. If treatment is not an option, the situation is assessed case by case.&#10;&#10;If the contaminant is not listed in the guide, the final consideration is whether the product can be re-processed or given an alternative end use. If ‘yes’, the situation is assessed case by case. If ‘no’, the product must be exported or destroyed.&#10;&#10;The 3 possible outcomes are:&#10;1) Release the product.&#10;2) Assess the situation case by case, or&#10;3) Export or destroy the product."/>
                    <pic:cNvPicPr/>
                  </pic:nvPicPr>
                  <pic:blipFill>
                    <a:blip r:embed="rId27"/>
                    <a:stretch>
                      <a:fillRect/>
                    </a:stretch>
                  </pic:blipFill>
                  <pic:spPr>
                    <a:xfrm>
                      <a:off x="0" y="0"/>
                      <a:ext cx="5759450" cy="6660515"/>
                    </a:xfrm>
                    <a:prstGeom prst="rect">
                      <a:avLst/>
                    </a:prstGeom>
                  </pic:spPr>
                </pic:pic>
              </a:graphicData>
            </a:graphic>
          </wp:inline>
        </w:drawing>
      </w:r>
    </w:p>
    <w:p w14:paraId="6B39B202" w14:textId="4650F503" w:rsidR="00872CA1" w:rsidRPr="00872CA1" w:rsidRDefault="009761EC" w:rsidP="008A7C2A">
      <w:pPr>
        <w:pStyle w:val="FigureTableNoteSource"/>
      </w:pPr>
      <w:r w:rsidRPr="009B12DF">
        <w:t xml:space="preserve">Note: The </w:t>
      </w:r>
      <w:hyperlink r:id="rId28" w:history="1">
        <w:r w:rsidRPr="009B12DF">
          <w:rPr>
            <w:rStyle w:val="Hyperlink"/>
          </w:rPr>
          <w:t>Biosecurity risk treatment guide</w:t>
        </w:r>
      </w:hyperlink>
      <w:r w:rsidRPr="009B12DF">
        <w:t xml:space="preserve"> requires importe</w:t>
      </w:r>
      <w:r>
        <w:t>rs</w:t>
      </w:r>
      <w:r w:rsidRPr="009B12DF">
        <w:t xml:space="preserve"> to present a biosecurity risk management plan to the department </w:t>
      </w:r>
      <w:r w:rsidR="004F14DE">
        <w:t>that</w:t>
      </w:r>
      <w:r w:rsidRPr="009B12DF">
        <w:t xml:space="preserve"> provide</w:t>
      </w:r>
      <w:r w:rsidR="004F14DE">
        <w:t>s</w:t>
      </w:r>
      <w:r w:rsidRPr="009B12DF">
        <w:t xml:space="preserve"> assurance that the risk can be effectively managed. If the management plan is insufficient to manage the risk, the goods will be directed for export or destruction.</w:t>
      </w:r>
      <w:r w:rsidR="00957ECB">
        <w:t xml:space="preserve"> Where possible, we will </w:t>
      </w:r>
      <w:r w:rsidR="00957ECB" w:rsidRPr="00957ECB">
        <w:t>offer the importer the opportunity to have seed</w:t>
      </w:r>
      <w:r w:rsidR="00957ECB">
        <w:t xml:space="preserve"> and or </w:t>
      </w:r>
      <w:r w:rsidR="00957ECB" w:rsidRPr="00957ECB">
        <w:t>plant material contamination identified to assist with management outcomes</w:t>
      </w:r>
      <w:r w:rsidR="00957ECB">
        <w:t xml:space="preserve">. </w:t>
      </w:r>
      <w:r w:rsidR="00B06F8C">
        <w:t>However,</w:t>
      </w:r>
      <w:r w:rsidR="00957ECB">
        <w:t xml:space="preserve"> </w:t>
      </w:r>
      <w:r w:rsidR="00957ECB" w:rsidRPr="00957ECB">
        <w:t xml:space="preserve">identification may </w:t>
      </w:r>
      <w:r w:rsidR="00C735B1">
        <w:t>not go beyond</w:t>
      </w:r>
      <w:r w:rsidR="00957ECB" w:rsidRPr="00957ECB">
        <w:t xml:space="preserve"> genus</w:t>
      </w:r>
      <w:r w:rsidR="00C735B1">
        <w:t xml:space="preserve"> level</w:t>
      </w:r>
      <w:r w:rsidR="00957ECB" w:rsidRPr="00957ECB">
        <w:t>.</w:t>
      </w:r>
    </w:p>
    <w:p w14:paraId="0A3C4022" w14:textId="3C50F6DC" w:rsidR="00253339" w:rsidRDefault="00253339" w:rsidP="0049371B">
      <w:pPr>
        <w:pStyle w:val="Heading3"/>
        <w:spacing w:before="120" w:after="120"/>
        <w:rPr>
          <w:lang w:eastAsia="ja-JP"/>
        </w:rPr>
      </w:pPr>
      <w:bookmarkStart w:id="36" w:name="_Minimum_registration_eligibility"/>
      <w:bookmarkStart w:id="37" w:name="_Toc224213120"/>
      <w:bookmarkEnd w:id="36"/>
      <w:r w:rsidRPr="005C45AD">
        <w:rPr>
          <w:rFonts w:eastAsiaTheme="minorHAnsi"/>
          <w:lang w:eastAsia="ja-JP"/>
        </w:rPr>
        <w:lastRenderedPageBreak/>
        <w:t>Minimum registration eligibility requirements</w:t>
      </w:r>
      <w:bookmarkEnd w:id="37"/>
    </w:p>
    <w:p w14:paraId="20CE73F5" w14:textId="4942DA2B" w:rsidR="00253339" w:rsidRDefault="00BF0140" w:rsidP="006D6218">
      <w:pPr>
        <w:spacing w:after="120"/>
        <w:rPr>
          <w:lang w:eastAsia="ja-JP"/>
        </w:rPr>
      </w:pPr>
      <w:r>
        <w:rPr>
          <w:lang w:eastAsia="ja-JP"/>
        </w:rPr>
        <w:t xml:space="preserve">Before </w:t>
      </w:r>
      <w:r w:rsidRPr="00057FC2">
        <w:rPr>
          <w:lang w:eastAsia="ja-JP"/>
        </w:rPr>
        <w:t xml:space="preserve">progressing to </w:t>
      </w:r>
      <w:r w:rsidR="00057FC2" w:rsidRPr="004E35E4">
        <w:rPr>
          <w:lang w:eastAsia="ja-JP"/>
        </w:rPr>
        <w:t>L</w:t>
      </w:r>
      <w:r w:rsidRPr="004E35E4">
        <w:rPr>
          <w:lang w:eastAsia="ja-JP"/>
        </w:rPr>
        <w:t xml:space="preserve">evel 2 and to </w:t>
      </w:r>
      <w:r w:rsidR="00057FC2" w:rsidRPr="004E35E4">
        <w:rPr>
          <w:lang w:eastAsia="ja-JP"/>
        </w:rPr>
        <w:t>L</w:t>
      </w:r>
      <w:r w:rsidRPr="004E35E4">
        <w:rPr>
          <w:lang w:eastAsia="ja-JP"/>
        </w:rPr>
        <w:t>evel 1</w:t>
      </w:r>
      <w:r w:rsidRPr="00057FC2">
        <w:rPr>
          <w:lang w:eastAsia="ja-JP"/>
        </w:rPr>
        <w:t>, o</w:t>
      </w:r>
      <w:r w:rsidR="0062085C" w:rsidRPr="00057FC2">
        <w:rPr>
          <w:lang w:eastAsia="ja-JP"/>
        </w:rPr>
        <w:t>ffshore</w:t>
      </w:r>
      <w:r w:rsidR="0062085C">
        <w:rPr>
          <w:lang w:eastAsia="ja-JP"/>
        </w:rPr>
        <w:t xml:space="preserve"> entities</w:t>
      </w:r>
      <w:r w:rsidR="00253339">
        <w:rPr>
          <w:lang w:eastAsia="ja-JP"/>
        </w:rPr>
        <w:t xml:space="preserve"> must provide documentary evidence that demonstrates the eligibility criteria ha</w:t>
      </w:r>
      <w:r w:rsidR="001D6AF9">
        <w:rPr>
          <w:lang w:eastAsia="ja-JP"/>
        </w:rPr>
        <w:t>s</w:t>
      </w:r>
      <w:r w:rsidR="00253339">
        <w:rPr>
          <w:lang w:eastAsia="ja-JP"/>
        </w:rPr>
        <w:t xml:space="preserve"> been met. The department will verify the provided evidence against internal data.</w:t>
      </w:r>
    </w:p>
    <w:p w14:paraId="4C580726" w14:textId="16608C3D" w:rsidR="00253339" w:rsidRDefault="0062085C" w:rsidP="006D6218">
      <w:pPr>
        <w:spacing w:after="120"/>
        <w:rPr>
          <w:lang w:eastAsia="ja-JP"/>
        </w:rPr>
      </w:pPr>
      <w:r>
        <w:rPr>
          <w:lang w:eastAsia="ja-JP"/>
        </w:rPr>
        <w:t>Offshore entities</w:t>
      </w:r>
      <w:r w:rsidR="00253339">
        <w:rPr>
          <w:lang w:eastAsia="ja-JP"/>
        </w:rPr>
        <w:t xml:space="preserve"> unable to meet the relevant minimum eligibility requirements will be considered as unregistered</w:t>
      </w:r>
      <w:r w:rsidR="00322813">
        <w:rPr>
          <w:lang w:eastAsia="ja-JP"/>
        </w:rPr>
        <w:t xml:space="preserve"> (</w:t>
      </w:r>
      <w:r w:rsidR="002E24AD">
        <w:rPr>
          <w:lang w:eastAsia="ja-JP"/>
        </w:rPr>
        <w:t>Level 3</w:t>
      </w:r>
      <w:r w:rsidR="00322813">
        <w:rPr>
          <w:lang w:eastAsia="ja-JP"/>
        </w:rPr>
        <w:t>)</w:t>
      </w:r>
      <w:r w:rsidR="00253339">
        <w:rPr>
          <w:lang w:eastAsia="ja-JP"/>
        </w:rPr>
        <w:t xml:space="preserve"> entities.</w:t>
      </w:r>
      <w:r w:rsidR="00283DDB">
        <w:rPr>
          <w:lang w:eastAsia="ja-JP"/>
        </w:rPr>
        <w:t xml:space="preserve"> Learn more about unregistered entities</w:t>
      </w:r>
      <w:r w:rsidR="00672D3B">
        <w:rPr>
          <w:lang w:eastAsia="ja-JP"/>
        </w:rPr>
        <w:t xml:space="preserve"> in</w:t>
      </w:r>
      <w:r w:rsidR="00A83B3F">
        <w:rPr>
          <w:lang w:eastAsia="ja-JP"/>
        </w:rPr>
        <w:t xml:space="preserve"> </w:t>
      </w:r>
      <w:hyperlink w:anchor="_Unregistered_entity" w:history="1">
        <w:r w:rsidR="00D174AE">
          <w:rPr>
            <w:rStyle w:val="Hyperlink"/>
            <w:lang w:eastAsia="ja-JP"/>
          </w:rPr>
          <w:t>section 2.2.8</w:t>
        </w:r>
      </w:hyperlink>
      <w:r w:rsidR="00253339">
        <w:rPr>
          <w:lang w:eastAsia="ja-JP"/>
        </w:rPr>
        <w:t>.</w:t>
      </w:r>
    </w:p>
    <w:p w14:paraId="015471F8" w14:textId="05E71A34" w:rsidR="005E663B" w:rsidRPr="00085F3C" w:rsidRDefault="005E663B" w:rsidP="004E35E4">
      <w:pPr>
        <w:rPr>
          <w:lang w:eastAsia="en-AU"/>
        </w:rPr>
      </w:pPr>
      <w:r w:rsidRPr="00085F3C">
        <w:rPr>
          <w:lang w:eastAsia="en-AU"/>
        </w:rPr>
        <w:t xml:space="preserve">Prospective applicants should </w:t>
      </w:r>
      <w:r>
        <w:rPr>
          <w:lang w:eastAsia="en-AU"/>
        </w:rPr>
        <w:t>ensure</w:t>
      </w:r>
      <w:r w:rsidRPr="00085F3C">
        <w:rPr>
          <w:lang w:eastAsia="en-AU"/>
        </w:rPr>
        <w:t xml:space="preserve"> that </w:t>
      </w:r>
      <w:r>
        <w:rPr>
          <w:lang w:eastAsia="en-AU"/>
        </w:rPr>
        <w:t xml:space="preserve">they have met all </w:t>
      </w:r>
      <w:r w:rsidRPr="00085F3C">
        <w:rPr>
          <w:lang w:eastAsia="en-AU"/>
        </w:rPr>
        <w:t xml:space="preserve">the relevant minimum eligibility </w:t>
      </w:r>
      <w:r w:rsidRPr="001D6AF9">
        <w:rPr>
          <w:lang w:eastAsia="en-AU"/>
        </w:rPr>
        <w:t xml:space="preserve">requirements and application requirements before </w:t>
      </w:r>
      <w:proofErr w:type="gramStart"/>
      <w:r w:rsidRPr="001D6AF9">
        <w:rPr>
          <w:lang w:eastAsia="en-AU"/>
        </w:rPr>
        <w:t>submitting an application</w:t>
      </w:r>
      <w:proofErr w:type="gramEnd"/>
      <w:r w:rsidRPr="001D6AF9">
        <w:rPr>
          <w:lang w:eastAsia="en-AU"/>
        </w:rPr>
        <w:t>. This includes having an independent third-party on-site audit</w:t>
      </w:r>
      <w:r w:rsidRPr="00D5241D">
        <w:rPr>
          <w:lang w:eastAsia="en-AU"/>
        </w:rPr>
        <w:t xml:space="preserve"> conducted</w:t>
      </w:r>
      <w:r>
        <w:rPr>
          <w:lang w:eastAsia="en-AU"/>
        </w:rPr>
        <w:t xml:space="preserve"> before they apply</w:t>
      </w:r>
      <w:r w:rsidRPr="00085F3C">
        <w:rPr>
          <w:lang w:eastAsia="en-AU"/>
        </w:rPr>
        <w:t>.</w:t>
      </w:r>
    </w:p>
    <w:p w14:paraId="1FA4F18A" w14:textId="60B64423" w:rsidR="005E663B" w:rsidRPr="00085F3C" w:rsidRDefault="005E663B" w:rsidP="004E35E4">
      <w:pPr>
        <w:rPr>
          <w:lang w:eastAsia="en-AU"/>
        </w:rPr>
      </w:pPr>
      <w:r>
        <w:rPr>
          <w:lang w:eastAsia="en-AU"/>
        </w:rPr>
        <w:t>We</w:t>
      </w:r>
      <w:r w:rsidRPr="00085F3C">
        <w:rPr>
          <w:lang w:eastAsia="en-AU"/>
        </w:rPr>
        <w:t xml:space="preserve"> will not conduct a full assessment of any applications that </w:t>
      </w:r>
      <w:r w:rsidR="00F05347">
        <w:rPr>
          <w:lang w:eastAsia="en-AU"/>
        </w:rPr>
        <w:t xml:space="preserve">do not meet </w:t>
      </w:r>
      <w:r w:rsidRPr="00085F3C">
        <w:rPr>
          <w:lang w:eastAsia="en-AU"/>
        </w:rPr>
        <w:t xml:space="preserve">minimum eligibility requirements. The department charges a fee for service for any assessment activities </w:t>
      </w:r>
      <w:r w:rsidR="00F05347">
        <w:rPr>
          <w:lang w:eastAsia="en-AU"/>
        </w:rPr>
        <w:t>associated with</w:t>
      </w:r>
      <w:r w:rsidRPr="00085F3C">
        <w:rPr>
          <w:lang w:eastAsia="en-AU"/>
        </w:rPr>
        <w:t xml:space="preserve"> an application,</w:t>
      </w:r>
      <w:r w:rsidR="003B56EA">
        <w:rPr>
          <w:lang w:eastAsia="en-AU"/>
        </w:rPr>
        <w:t xml:space="preserve"> including incomplete applications that we are unable to fully assess</w:t>
      </w:r>
      <w:r w:rsidRPr="00085F3C">
        <w:rPr>
          <w:lang w:eastAsia="en-AU"/>
        </w:rPr>
        <w:t>.</w:t>
      </w:r>
    </w:p>
    <w:p w14:paraId="23C346FD" w14:textId="15D308B0" w:rsidR="005E663B" w:rsidRDefault="005E663B" w:rsidP="004E35E4">
      <w:pPr>
        <w:rPr>
          <w:lang w:eastAsia="ja-JP"/>
        </w:rPr>
      </w:pPr>
      <w:r>
        <w:rPr>
          <w:lang w:eastAsia="en-AU"/>
        </w:rPr>
        <w:t>Learn more about</w:t>
      </w:r>
      <w:r w:rsidRPr="00085F3C">
        <w:rPr>
          <w:lang w:eastAsia="en-AU"/>
        </w:rPr>
        <w:t xml:space="preserve"> fees and charges </w:t>
      </w:r>
      <w:r w:rsidRPr="00D174AE">
        <w:rPr>
          <w:lang w:eastAsia="en-AU"/>
        </w:rPr>
        <w:t xml:space="preserve">in </w:t>
      </w:r>
      <w:hyperlink w:anchor="_Fees_and_charges" w:history="1">
        <w:r w:rsidRPr="009B12DF">
          <w:rPr>
            <w:rStyle w:val="Hyperlink"/>
            <w:rFonts w:cstheme="minorHAnsi"/>
            <w:lang w:eastAsia="en-AU"/>
          </w:rPr>
          <w:t>section 2.3</w:t>
        </w:r>
      </w:hyperlink>
      <w:r w:rsidRPr="00D174AE">
        <w:rPr>
          <w:lang w:eastAsia="en-AU"/>
        </w:rPr>
        <w:t>.</w:t>
      </w:r>
    </w:p>
    <w:p w14:paraId="32ADA363" w14:textId="73CB535D" w:rsidR="00253339" w:rsidRDefault="00253339" w:rsidP="005C45AD">
      <w:pPr>
        <w:pStyle w:val="Heading3"/>
        <w:rPr>
          <w:lang w:eastAsia="ja-JP"/>
        </w:rPr>
      </w:pPr>
      <w:bookmarkStart w:id="38" w:name="_Toc224213121"/>
      <w:r w:rsidRPr="005C45AD">
        <w:rPr>
          <w:rFonts w:eastAsiaTheme="minorHAnsi"/>
          <w:lang w:eastAsia="ja-JP"/>
        </w:rPr>
        <w:t>Registration</w:t>
      </w:r>
      <w:bookmarkEnd w:id="38"/>
    </w:p>
    <w:p w14:paraId="4A61D4AC" w14:textId="37E6C15E" w:rsidR="00253339" w:rsidRDefault="00253339" w:rsidP="0049371B">
      <w:pPr>
        <w:pStyle w:val="Heading4"/>
        <w:spacing w:before="120" w:after="120"/>
        <w:rPr>
          <w:lang w:eastAsia="ja-JP"/>
        </w:rPr>
      </w:pPr>
      <w:r w:rsidRPr="005C45AD">
        <w:rPr>
          <w:rFonts w:eastAsiaTheme="minorHAnsi"/>
          <w:lang w:eastAsia="ja-JP"/>
        </w:rPr>
        <w:t>Application requirements</w:t>
      </w:r>
    </w:p>
    <w:p w14:paraId="73A3CEC8" w14:textId="66B7A332" w:rsidR="0026173C" w:rsidRDefault="00253339" w:rsidP="002D0085">
      <w:pPr>
        <w:spacing w:before="120" w:after="120"/>
        <w:rPr>
          <w:lang w:eastAsia="ja-JP"/>
        </w:rPr>
      </w:pPr>
      <w:r>
        <w:rPr>
          <w:lang w:eastAsia="ja-JP"/>
        </w:rPr>
        <w:t xml:space="preserve">Offshore entities </w:t>
      </w:r>
      <w:r w:rsidR="0026173C">
        <w:rPr>
          <w:lang w:eastAsia="ja-JP"/>
        </w:rPr>
        <w:t>that have</w:t>
      </w:r>
      <w:r>
        <w:rPr>
          <w:lang w:eastAsia="ja-JP"/>
        </w:rPr>
        <w:t xml:space="preserve"> oversight of supply chains </w:t>
      </w:r>
      <w:r w:rsidR="0026173C">
        <w:rPr>
          <w:lang w:eastAsia="ja-JP"/>
        </w:rPr>
        <w:t xml:space="preserve">and </w:t>
      </w:r>
      <w:r>
        <w:rPr>
          <w:lang w:eastAsia="ja-JP"/>
        </w:rPr>
        <w:t xml:space="preserve">meet the relevant minimum eligibility requirements </w:t>
      </w:r>
      <w:r w:rsidR="0026173C">
        <w:rPr>
          <w:lang w:eastAsia="ja-JP"/>
        </w:rPr>
        <w:t>can</w:t>
      </w:r>
      <w:r>
        <w:rPr>
          <w:lang w:eastAsia="ja-JP"/>
        </w:rPr>
        <w:t xml:space="preserve"> </w:t>
      </w:r>
      <w:r w:rsidR="0026173C">
        <w:rPr>
          <w:lang w:eastAsia="ja-JP"/>
        </w:rPr>
        <w:t>apply</w:t>
      </w:r>
      <w:r>
        <w:rPr>
          <w:lang w:eastAsia="ja-JP"/>
        </w:rPr>
        <w:t xml:space="preserve"> </w:t>
      </w:r>
      <w:r w:rsidRPr="00FF7398">
        <w:rPr>
          <w:lang w:eastAsia="ja-JP"/>
        </w:rPr>
        <w:t xml:space="preserve">for </w:t>
      </w:r>
      <w:r w:rsidR="00F705AB" w:rsidRPr="00FF7398">
        <w:rPr>
          <w:lang w:eastAsia="ja-JP"/>
        </w:rPr>
        <w:t xml:space="preserve">Level </w:t>
      </w:r>
      <w:r w:rsidR="008D52F2" w:rsidRPr="00FF7398">
        <w:rPr>
          <w:lang w:eastAsia="ja-JP"/>
        </w:rPr>
        <w:t>2</w:t>
      </w:r>
      <w:r w:rsidR="00EA40E2" w:rsidRPr="00FF7398">
        <w:rPr>
          <w:lang w:eastAsia="ja-JP"/>
        </w:rPr>
        <w:t xml:space="preserve"> classification</w:t>
      </w:r>
      <w:r w:rsidR="00F705AB">
        <w:rPr>
          <w:lang w:eastAsia="ja-JP"/>
        </w:rPr>
        <w:t xml:space="preserve"> </w:t>
      </w:r>
      <w:r w:rsidR="0026173C">
        <w:rPr>
          <w:lang w:eastAsia="ja-JP"/>
        </w:rPr>
        <w:t>by:</w:t>
      </w:r>
    </w:p>
    <w:p w14:paraId="579BB28A" w14:textId="1BCB5644" w:rsidR="000F7AD9" w:rsidRDefault="0026173C" w:rsidP="00B877CB">
      <w:pPr>
        <w:pStyle w:val="ListBullet"/>
        <w:rPr>
          <w:lang w:eastAsia="ja-JP"/>
        </w:rPr>
      </w:pPr>
      <w:r>
        <w:rPr>
          <w:lang w:eastAsia="ja-JP"/>
        </w:rPr>
        <w:t>c</w:t>
      </w:r>
      <w:r w:rsidR="00253339">
        <w:rPr>
          <w:lang w:eastAsia="ja-JP"/>
        </w:rPr>
        <w:t>omplet</w:t>
      </w:r>
      <w:r>
        <w:rPr>
          <w:lang w:eastAsia="ja-JP"/>
        </w:rPr>
        <w:t>ing</w:t>
      </w:r>
      <w:r w:rsidR="00253339">
        <w:rPr>
          <w:lang w:eastAsia="ja-JP"/>
        </w:rPr>
        <w:t xml:space="preserve"> </w:t>
      </w:r>
      <w:hyperlink r:id="rId29" w:anchor="draft_policy_documents" w:history="1">
        <w:r w:rsidR="000F7AD9" w:rsidRPr="000F7AD9">
          <w:rPr>
            <w:rStyle w:val="Hyperlink"/>
            <w:lang w:eastAsia="ja-JP"/>
          </w:rPr>
          <w:t>Attachment 1 Imported inorganic fertiliser entity registration application</w:t>
        </w:r>
      </w:hyperlink>
    </w:p>
    <w:p w14:paraId="26289DCE" w14:textId="22DD883A" w:rsidR="00253339" w:rsidRDefault="0026173C" w:rsidP="00B877CB">
      <w:pPr>
        <w:pStyle w:val="ListBullet"/>
        <w:rPr>
          <w:lang w:eastAsia="ja-JP"/>
        </w:rPr>
      </w:pPr>
      <w:r>
        <w:rPr>
          <w:lang w:eastAsia="ja-JP"/>
        </w:rPr>
        <w:t>undergoing</w:t>
      </w:r>
      <w:r w:rsidR="00253339">
        <w:rPr>
          <w:lang w:eastAsia="ja-JP"/>
        </w:rPr>
        <w:t xml:space="preserve"> an on-site audit conducted by an independent third-party auditor.</w:t>
      </w:r>
    </w:p>
    <w:p w14:paraId="7F3AC112" w14:textId="45484F94" w:rsidR="00253339" w:rsidRDefault="00672D3B" w:rsidP="002D0085">
      <w:pPr>
        <w:spacing w:after="120"/>
        <w:rPr>
          <w:lang w:eastAsia="ja-JP"/>
        </w:rPr>
      </w:pPr>
      <w:r>
        <w:rPr>
          <w:lang w:eastAsia="ja-JP"/>
        </w:rPr>
        <w:t>Learn more about</w:t>
      </w:r>
      <w:r w:rsidR="00253339" w:rsidRPr="0079562D">
        <w:rPr>
          <w:lang w:eastAsia="ja-JP"/>
        </w:rPr>
        <w:t xml:space="preserve"> </w:t>
      </w:r>
      <w:r w:rsidR="00ED2711">
        <w:rPr>
          <w:lang w:eastAsia="ja-JP"/>
        </w:rPr>
        <w:t xml:space="preserve">Level 2 </w:t>
      </w:r>
      <w:r w:rsidR="001D6AF9">
        <w:rPr>
          <w:lang w:eastAsia="ja-JP"/>
        </w:rPr>
        <w:t xml:space="preserve">independent </w:t>
      </w:r>
      <w:r>
        <w:rPr>
          <w:lang w:eastAsia="ja-JP"/>
        </w:rPr>
        <w:t>third-party on-site audits in</w:t>
      </w:r>
      <w:r>
        <w:t xml:space="preserve"> </w:t>
      </w:r>
      <w:hyperlink w:anchor="_Registration_audit_requirements" w:history="1">
        <w:r w:rsidR="00ED2711">
          <w:rPr>
            <w:rStyle w:val="Hyperlink"/>
            <w:lang w:eastAsia="ja-JP"/>
          </w:rPr>
          <w:t>section 2.2.2</w:t>
        </w:r>
      </w:hyperlink>
      <w:r w:rsidR="00253339">
        <w:rPr>
          <w:lang w:eastAsia="ja-JP"/>
        </w:rPr>
        <w:t>.</w:t>
      </w:r>
    </w:p>
    <w:p w14:paraId="0C0DDC8F" w14:textId="5A8D7054" w:rsidR="00253339" w:rsidRDefault="00253339" w:rsidP="009129CB">
      <w:pPr>
        <w:spacing w:after="120"/>
        <w:rPr>
          <w:lang w:eastAsia="ja-JP"/>
        </w:rPr>
      </w:pPr>
      <w:r>
        <w:rPr>
          <w:lang w:eastAsia="ja-JP"/>
        </w:rPr>
        <w:t xml:space="preserve">The </w:t>
      </w:r>
      <w:r w:rsidR="00EA4131">
        <w:rPr>
          <w:lang w:eastAsia="ja-JP"/>
        </w:rPr>
        <w:t xml:space="preserve">successful </w:t>
      </w:r>
      <w:r>
        <w:rPr>
          <w:lang w:eastAsia="ja-JP"/>
        </w:rPr>
        <w:t>application and registration will apply to a single offshore entity</w:t>
      </w:r>
      <w:r w:rsidR="00EE39B6">
        <w:rPr>
          <w:lang w:eastAsia="ja-JP"/>
        </w:rPr>
        <w:t xml:space="preserve"> that</w:t>
      </w:r>
      <w:r>
        <w:rPr>
          <w:lang w:eastAsia="ja-JP"/>
        </w:rPr>
        <w:t xml:space="preserve"> supplies</w:t>
      </w:r>
      <w:r w:rsidR="00EE39B6">
        <w:rPr>
          <w:lang w:eastAsia="ja-JP"/>
        </w:rPr>
        <w:t xml:space="preserve"> or </w:t>
      </w:r>
      <w:r>
        <w:rPr>
          <w:lang w:eastAsia="ja-JP"/>
        </w:rPr>
        <w:t xml:space="preserve">exports approved fertiliser from a single </w:t>
      </w:r>
      <w:r w:rsidR="008B2DB4">
        <w:rPr>
          <w:lang w:eastAsia="ja-JP"/>
        </w:rPr>
        <w:t>manufacturer</w:t>
      </w:r>
      <w:r>
        <w:rPr>
          <w:lang w:eastAsia="ja-JP"/>
        </w:rPr>
        <w:t xml:space="preserve"> and covers all shipping combinations (in-ships-hold, containerised, loose and bagged) u</w:t>
      </w:r>
      <w:r w:rsidR="00EE39B6">
        <w:rPr>
          <w:lang w:eastAsia="ja-JP"/>
        </w:rPr>
        <w:t>se</w:t>
      </w:r>
      <w:r>
        <w:rPr>
          <w:lang w:eastAsia="ja-JP"/>
        </w:rPr>
        <w:t>d by the offshore entity for the export of inorganic fertiliser to Australia.</w:t>
      </w:r>
      <w:r w:rsidR="00A55322">
        <w:rPr>
          <w:lang w:eastAsia="ja-JP"/>
        </w:rPr>
        <w:t xml:space="preserve"> Separate entity registration</w:t>
      </w:r>
      <w:r w:rsidR="00C5732C">
        <w:rPr>
          <w:lang w:eastAsia="ja-JP"/>
        </w:rPr>
        <w:t xml:space="preserve"> that is part of a supply chain</w:t>
      </w:r>
      <w:r w:rsidR="00A55322">
        <w:rPr>
          <w:lang w:eastAsia="ja-JP"/>
        </w:rPr>
        <w:t xml:space="preserve"> will only be considered if there is a strong business case to do so.</w:t>
      </w:r>
    </w:p>
    <w:p w14:paraId="647D5B36" w14:textId="3B0F9002" w:rsidR="000577C1" w:rsidRDefault="003B56EA" w:rsidP="009129CB">
      <w:pPr>
        <w:spacing w:after="120"/>
        <w:rPr>
          <w:lang w:eastAsia="ja-JP"/>
        </w:rPr>
      </w:pPr>
      <w:r>
        <w:rPr>
          <w:rFonts w:cstheme="minorHAnsi"/>
          <w:lang w:eastAsia="en-AU"/>
        </w:rPr>
        <w:t>Applicants should submit one form only</w:t>
      </w:r>
      <w:r w:rsidR="000577C1" w:rsidRPr="00260231">
        <w:rPr>
          <w:rFonts w:cstheme="minorHAnsi"/>
          <w:lang w:eastAsia="en-AU"/>
        </w:rPr>
        <w:t xml:space="preserve"> for the initial application. </w:t>
      </w:r>
      <w:r>
        <w:rPr>
          <w:rFonts w:cstheme="minorHAnsi"/>
          <w:lang w:eastAsia="en-AU"/>
        </w:rPr>
        <w:t xml:space="preserve">We do not require </w:t>
      </w:r>
      <w:r w:rsidR="000577C1" w:rsidRPr="00260231">
        <w:rPr>
          <w:rFonts w:cstheme="minorHAnsi"/>
          <w:lang w:eastAsia="en-AU"/>
        </w:rPr>
        <w:t>separate applications for each cargo and shipping method type.</w:t>
      </w:r>
      <w:r w:rsidR="000577C1">
        <w:rPr>
          <w:rFonts w:cstheme="minorHAnsi"/>
          <w:lang w:eastAsia="en-AU"/>
        </w:rPr>
        <w:t xml:space="preserve"> </w:t>
      </w:r>
      <w:r w:rsidR="00B140F7">
        <w:rPr>
          <w:rFonts w:cstheme="minorHAnsi"/>
          <w:lang w:eastAsia="en-AU"/>
        </w:rPr>
        <w:t>For v</w:t>
      </w:r>
      <w:r w:rsidR="000577C1">
        <w:rPr>
          <w:rFonts w:cstheme="minorHAnsi"/>
          <w:lang w:eastAsia="en-AU"/>
        </w:rPr>
        <w:t>ariations to applications</w:t>
      </w:r>
      <w:r w:rsidR="00B140F7">
        <w:rPr>
          <w:rFonts w:cstheme="minorHAnsi"/>
          <w:lang w:eastAsia="en-AU"/>
        </w:rPr>
        <w:t xml:space="preserve">, see </w:t>
      </w:r>
      <w:hyperlink w:anchor="_Change_in_circumstances" w:history="1">
        <w:r w:rsidR="00ED2711">
          <w:rPr>
            <w:rStyle w:val="Hyperlink"/>
            <w:rFonts w:cstheme="minorHAnsi"/>
            <w:lang w:eastAsia="en-AU"/>
          </w:rPr>
          <w:t>section 2.4</w:t>
        </w:r>
      </w:hyperlink>
      <w:r w:rsidR="0059376B">
        <w:rPr>
          <w:rFonts w:cstheme="minorHAnsi"/>
          <w:lang w:eastAsia="en-AU"/>
        </w:rPr>
        <w:t>.</w:t>
      </w:r>
    </w:p>
    <w:p w14:paraId="5CDC6A19" w14:textId="26BD4A4B" w:rsidR="00253339" w:rsidRDefault="00253339" w:rsidP="001F6895">
      <w:pPr>
        <w:spacing w:before="120" w:after="120"/>
        <w:rPr>
          <w:lang w:eastAsia="ja-JP"/>
        </w:rPr>
      </w:pPr>
      <w:r>
        <w:rPr>
          <w:lang w:eastAsia="ja-JP"/>
        </w:rPr>
        <w:t xml:space="preserve">Applications must be supported by an Australian-based and registered company, known as the </w:t>
      </w:r>
      <w:r w:rsidRPr="001D6AF9">
        <w:t>sponsor.</w:t>
      </w:r>
      <w:r>
        <w:rPr>
          <w:lang w:eastAsia="ja-JP"/>
        </w:rPr>
        <w:t xml:space="preserve"> The sponsor is the contact point for the department for any matters relating to the registered entity and supply chain, including the application process, and where</w:t>
      </w:r>
      <w:r w:rsidR="00F31603">
        <w:rPr>
          <w:lang w:eastAsia="ja-JP"/>
        </w:rPr>
        <w:t xml:space="preserve"> </w:t>
      </w:r>
      <w:r>
        <w:rPr>
          <w:lang w:eastAsia="ja-JP"/>
        </w:rPr>
        <w:t>registration is granted, the ongoing maintenance and compliance of that registration.</w:t>
      </w:r>
    </w:p>
    <w:p w14:paraId="413D9431" w14:textId="480B74BD" w:rsidR="00253339" w:rsidRDefault="00552202" w:rsidP="00552202">
      <w:pPr>
        <w:pStyle w:val="ListBullet"/>
        <w:numPr>
          <w:ilvl w:val="0"/>
          <w:numId w:val="0"/>
        </w:numPr>
        <w:rPr>
          <w:lang w:eastAsia="ja-JP"/>
        </w:rPr>
      </w:pPr>
      <w:r w:rsidRPr="00B74A74">
        <w:rPr>
          <w:lang w:eastAsia="ja-JP"/>
        </w:rPr>
        <w:t>Manufacturers and suppliers of all goods exported to Australia are responsible for the cleanliness of those goods from manufacture to loading. Th</w:t>
      </w:r>
      <w:r w:rsidR="00F97A8B">
        <w:rPr>
          <w:lang w:eastAsia="ja-JP"/>
        </w:rPr>
        <w:t>is p</w:t>
      </w:r>
      <w:r w:rsidR="000571E7" w:rsidRPr="000571E7">
        <w:rPr>
          <w:lang w:eastAsia="ja-JP"/>
        </w:rPr>
        <w:t>olicy</w:t>
      </w:r>
      <w:r w:rsidR="000571E7">
        <w:rPr>
          <w:lang w:eastAsia="ja-JP"/>
        </w:rPr>
        <w:t xml:space="preserve"> </w:t>
      </w:r>
      <w:r w:rsidR="00B140F7">
        <w:rPr>
          <w:lang w:eastAsia="ja-JP"/>
        </w:rPr>
        <w:t>encourages</w:t>
      </w:r>
      <w:r w:rsidRPr="00B74A74">
        <w:rPr>
          <w:lang w:eastAsia="ja-JP"/>
        </w:rPr>
        <w:t xml:space="preserve"> entit</w:t>
      </w:r>
      <w:r w:rsidR="00B140F7">
        <w:rPr>
          <w:lang w:eastAsia="ja-JP"/>
        </w:rPr>
        <w:t>ies</w:t>
      </w:r>
      <w:r w:rsidRPr="00B74A74">
        <w:rPr>
          <w:lang w:eastAsia="ja-JP"/>
        </w:rPr>
        <w:t xml:space="preserve"> to register the supply chain management of their product</w:t>
      </w:r>
      <w:r w:rsidR="00B140F7">
        <w:rPr>
          <w:lang w:eastAsia="ja-JP"/>
        </w:rPr>
        <w:t>. Registration of compliant entities safely reduces the levels of intervention required while at the same time ensuring</w:t>
      </w:r>
      <w:r w:rsidRPr="00B74A74">
        <w:rPr>
          <w:lang w:eastAsia="ja-JP"/>
        </w:rPr>
        <w:t xml:space="preserve"> </w:t>
      </w:r>
      <w:r w:rsidR="00ED2711">
        <w:rPr>
          <w:lang w:eastAsia="ja-JP"/>
        </w:rPr>
        <w:t xml:space="preserve">that </w:t>
      </w:r>
      <w:r w:rsidRPr="00B74A74">
        <w:rPr>
          <w:lang w:eastAsia="ja-JP"/>
        </w:rPr>
        <w:t xml:space="preserve">biosecurity risk is managed </w:t>
      </w:r>
      <w:r w:rsidR="00B140F7">
        <w:rPr>
          <w:lang w:eastAsia="ja-JP"/>
        </w:rPr>
        <w:t>appropriately</w:t>
      </w:r>
      <w:r w:rsidRPr="00B74A74">
        <w:rPr>
          <w:lang w:eastAsia="ja-JP"/>
        </w:rPr>
        <w:t>.</w:t>
      </w:r>
    </w:p>
    <w:p w14:paraId="1F2FE3AC" w14:textId="5E849B11" w:rsidR="00DB426F" w:rsidRDefault="00DB426F" w:rsidP="00552202">
      <w:pPr>
        <w:pStyle w:val="ListBullet"/>
        <w:numPr>
          <w:ilvl w:val="0"/>
          <w:numId w:val="0"/>
        </w:numPr>
        <w:rPr>
          <w:lang w:eastAsia="ja-JP"/>
        </w:rPr>
      </w:pPr>
      <w:r>
        <w:rPr>
          <w:rFonts w:cstheme="minorHAnsi"/>
          <w:lang w:eastAsia="en-AU"/>
        </w:rPr>
        <w:t>We will not</w:t>
      </w:r>
      <w:r w:rsidRPr="00260231">
        <w:rPr>
          <w:rFonts w:cstheme="minorHAnsi"/>
          <w:lang w:eastAsia="en-AU"/>
        </w:rPr>
        <w:t xml:space="preserve"> consider applications based on load ports or storage facility locations alone</w:t>
      </w:r>
      <w:r>
        <w:rPr>
          <w:rFonts w:cstheme="minorHAnsi"/>
          <w:lang w:eastAsia="en-AU"/>
        </w:rPr>
        <w:t>, unless there is a strong business case to do so</w:t>
      </w:r>
      <w:r w:rsidRPr="00260231">
        <w:rPr>
          <w:rFonts w:cstheme="minorHAnsi"/>
          <w:lang w:eastAsia="en-AU"/>
        </w:rPr>
        <w:t xml:space="preserve">. Applications will only be considered from offshore entities </w:t>
      </w:r>
      <w:r>
        <w:rPr>
          <w:rFonts w:cstheme="minorHAnsi"/>
          <w:lang w:eastAsia="en-AU"/>
        </w:rPr>
        <w:t>that</w:t>
      </w:r>
      <w:r w:rsidRPr="00260231">
        <w:rPr>
          <w:rFonts w:cstheme="minorHAnsi"/>
          <w:lang w:eastAsia="en-AU"/>
        </w:rPr>
        <w:t xml:space="preserve"> </w:t>
      </w:r>
      <w:r w:rsidRPr="00260231">
        <w:rPr>
          <w:rFonts w:cstheme="minorHAnsi"/>
          <w:lang w:eastAsia="en-AU"/>
        </w:rPr>
        <w:lastRenderedPageBreak/>
        <w:t xml:space="preserve">have </w:t>
      </w:r>
      <w:r>
        <w:rPr>
          <w:rFonts w:cstheme="minorHAnsi"/>
          <w:lang w:eastAsia="en-AU"/>
        </w:rPr>
        <w:t>an appropriate level of biosecurity risk management strategies throughout</w:t>
      </w:r>
      <w:r w:rsidRPr="00260231">
        <w:rPr>
          <w:rFonts w:cstheme="minorHAnsi"/>
          <w:lang w:eastAsia="en-AU"/>
        </w:rPr>
        <w:t xml:space="preserve"> the supply chain, from the point </w:t>
      </w:r>
      <w:r w:rsidRPr="00DB426F">
        <w:rPr>
          <w:rFonts w:cstheme="minorHAnsi"/>
          <w:lang w:eastAsia="en-AU"/>
        </w:rPr>
        <w:t xml:space="preserve">of </w:t>
      </w:r>
      <w:r w:rsidRPr="00251C9C">
        <w:rPr>
          <w:rFonts w:cstheme="minorHAnsi"/>
          <w:lang w:eastAsia="en-AU"/>
        </w:rPr>
        <w:t>manufacture or source</w:t>
      </w:r>
      <w:r w:rsidRPr="00260231">
        <w:rPr>
          <w:rFonts w:cstheme="minorHAnsi"/>
          <w:lang w:eastAsia="en-AU"/>
        </w:rPr>
        <w:t xml:space="preserve"> through to the point of export to Australia.</w:t>
      </w:r>
    </w:p>
    <w:p w14:paraId="5D2C44B0" w14:textId="04906A6C" w:rsidR="0046652C" w:rsidRDefault="0046652C" w:rsidP="00253339">
      <w:pPr>
        <w:rPr>
          <w:lang w:eastAsia="ja-JP"/>
        </w:rPr>
      </w:pPr>
      <w:r w:rsidRPr="00260231">
        <w:rPr>
          <w:rFonts w:cstheme="minorHAnsi"/>
          <w:lang w:eastAsia="en-AU"/>
        </w:rPr>
        <w:t xml:space="preserve">The submission of an application does not guarantee successful </w:t>
      </w:r>
      <w:r>
        <w:rPr>
          <w:rFonts w:cstheme="minorHAnsi"/>
          <w:lang w:eastAsia="en-AU"/>
        </w:rPr>
        <w:t>Level 2 registration</w:t>
      </w:r>
      <w:r w:rsidRPr="00260231">
        <w:rPr>
          <w:rFonts w:cstheme="minorHAnsi"/>
          <w:lang w:eastAsia="en-AU"/>
        </w:rPr>
        <w:t xml:space="preserve"> of </w:t>
      </w:r>
      <w:r w:rsidR="008B2DD2">
        <w:rPr>
          <w:rFonts w:cstheme="minorHAnsi"/>
          <w:lang w:eastAsia="en-AU"/>
        </w:rPr>
        <w:t>a</w:t>
      </w:r>
      <w:r w:rsidRPr="00260231">
        <w:rPr>
          <w:rFonts w:cstheme="minorHAnsi"/>
          <w:lang w:eastAsia="en-AU"/>
        </w:rPr>
        <w:t xml:space="preserve"> prospective applicant. Each application is assessed on an individual basis</w:t>
      </w:r>
      <w:r w:rsidR="008B2DD2">
        <w:rPr>
          <w:rFonts w:cstheme="minorHAnsi"/>
          <w:lang w:eastAsia="en-AU"/>
        </w:rPr>
        <w:t>. We</w:t>
      </w:r>
      <w:r w:rsidRPr="00260231">
        <w:rPr>
          <w:rFonts w:cstheme="minorHAnsi"/>
          <w:lang w:eastAsia="en-AU"/>
        </w:rPr>
        <w:t xml:space="preserve"> will determine </w:t>
      </w:r>
      <w:r w:rsidR="008B2DD2">
        <w:rPr>
          <w:rFonts w:cstheme="minorHAnsi"/>
          <w:lang w:eastAsia="en-AU"/>
        </w:rPr>
        <w:t>whether</w:t>
      </w:r>
      <w:r w:rsidRPr="00260231">
        <w:rPr>
          <w:rFonts w:cstheme="minorHAnsi"/>
          <w:lang w:eastAsia="en-AU"/>
        </w:rPr>
        <w:t xml:space="preserve"> the information and documentation provided satisfies the application requirements.</w:t>
      </w:r>
    </w:p>
    <w:p w14:paraId="4811C9DE" w14:textId="50801E4C" w:rsidR="00253339" w:rsidRDefault="00253339" w:rsidP="0049371B">
      <w:pPr>
        <w:pStyle w:val="Heading4"/>
        <w:spacing w:before="120" w:after="120"/>
        <w:rPr>
          <w:lang w:eastAsia="ja-JP"/>
        </w:rPr>
      </w:pPr>
      <w:bookmarkStart w:id="39" w:name="_Registration_audit_requirements"/>
      <w:bookmarkStart w:id="40" w:name="_Level_2_Registration"/>
      <w:bookmarkEnd w:id="39"/>
      <w:bookmarkEnd w:id="40"/>
      <w:r w:rsidRPr="00BC065F">
        <w:rPr>
          <w:rFonts w:eastAsiaTheme="minorHAnsi"/>
          <w:lang w:eastAsia="ja-JP"/>
        </w:rPr>
        <w:t>Registration audit requirements</w:t>
      </w:r>
      <w:r w:rsidR="009E2911">
        <w:rPr>
          <w:rFonts w:eastAsiaTheme="minorHAnsi"/>
          <w:lang w:eastAsia="ja-JP"/>
        </w:rPr>
        <w:t>:</w:t>
      </w:r>
      <w:r w:rsidR="009E2911" w:rsidRPr="009E2911">
        <w:rPr>
          <w:rFonts w:eastAsiaTheme="minorHAnsi"/>
          <w:lang w:eastAsia="ja-JP"/>
        </w:rPr>
        <w:t xml:space="preserve"> </w:t>
      </w:r>
      <w:r w:rsidR="009E2911">
        <w:rPr>
          <w:rFonts w:eastAsiaTheme="minorHAnsi"/>
          <w:lang w:eastAsia="ja-JP"/>
        </w:rPr>
        <w:t>Level 2</w:t>
      </w:r>
    </w:p>
    <w:p w14:paraId="6D7A18B2" w14:textId="494120E2" w:rsidR="00253339" w:rsidRDefault="00253339" w:rsidP="00EF29D6">
      <w:pPr>
        <w:rPr>
          <w:lang w:eastAsia="ja-JP"/>
        </w:rPr>
      </w:pPr>
      <w:r>
        <w:rPr>
          <w:lang w:eastAsia="ja-JP"/>
        </w:rPr>
        <w:t>Prospective applicants seeking</w:t>
      </w:r>
      <w:r w:rsidR="00E30623">
        <w:rPr>
          <w:lang w:eastAsia="ja-JP"/>
        </w:rPr>
        <w:t xml:space="preserve"> Level </w:t>
      </w:r>
      <w:r w:rsidR="00BA4D8A">
        <w:rPr>
          <w:lang w:eastAsia="ja-JP"/>
        </w:rPr>
        <w:t>2</w:t>
      </w:r>
      <w:r>
        <w:rPr>
          <w:lang w:eastAsia="ja-JP"/>
        </w:rPr>
        <w:t xml:space="preserve"> registration must </w:t>
      </w:r>
      <w:r w:rsidRPr="00EF29D6">
        <w:t>have a</w:t>
      </w:r>
      <w:r w:rsidR="00EF29D6">
        <w:t xml:space="preserve">n </w:t>
      </w:r>
      <w:r w:rsidR="00EF29D6" w:rsidRPr="00EF29D6">
        <w:t>independent</w:t>
      </w:r>
      <w:r w:rsidRPr="00EF29D6">
        <w:t xml:space="preserve"> </w:t>
      </w:r>
      <w:r w:rsidRPr="00C05E78">
        <w:t>third-party</w:t>
      </w:r>
      <w:r w:rsidRPr="00EF29D6">
        <w:t xml:space="preserve"> on-site audit</w:t>
      </w:r>
      <w:r>
        <w:rPr>
          <w:lang w:eastAsia="ja-JP"/>
        </w:rPr>
        <w:t xml:space="preserve"> conducted on all elements of the offshore entity’s supply</w:t>
      </w:r>
      <w:r w:rsidR="00594750">
        <w:rPr>
          <w:lang w:eastAsia="ja-JP"/>
        </w:rPr>
        <w:t>-</w:t>
      </w:r>
      <w:r>
        <w:rPr>
          <w:lang w:eastAsia="ja-JP"/>
        </w:rPr>
        <w:t xml:space="preserve">chain biosecurity risk management system. The applicant must </w:t>
      </w:r>
      <w:r w:rsidR="00594750">
        <w:rPr>
          <w:lang w:eastAsia="ja-JP"/>
        </w:rPr>
        <w:t>include</w:t>
      </w:r>
      <w:r>
        <w:rPr>
          <w:lang w:eastAsia="ja-JP"/>
        </w:rPr>
        <w:t xml:space="preserve"> a copy of the audit report</w:t>
      </w:r>
      <w:r w:rsidR="00594750">
        <w:rPr>
          <w:lang w:eastAsia="ja-JP"/>
        </w:rPr>
        <w:t xml:space="preserve"> and supporting documentation with their</w:t>
      </w:r>
      <w:r>
        <w:rPr>
          <w:lang w:eastAsia="ja-JP"/>
        </w:rPr>
        <w:t xml:space="preserve"> application form.</w:t>
      </w:r>
    </w:p>
    <w:p w14:paraId="270FC747" w14:textId="384454EE" w:rsidR="0046652C" w:rsidRPr="00260231" w:rsidRDefault="0046652C" w:rsidP="00EF29D6">
      <w:pPr>
        <w:rPr>
          <w:lang w:eastAsia="en-AU"/>
        </w:rPr>
      </w:pPr>
      <w:r w:rsidRPr="00260231">
        <w:rPr>
          <w:lang w:eastAsia="en-AU"/>
        </w:rPr>
        <w:t xml:space="preserve">Prospective applicants should not have an </w:t>
      </w:r>
      <w:r w:rsidRPr="00C05E78">
        <w:rPr>
          <w:lang w:eastAsia="en-AU"/>
        </w:rPr>
        <w:t>independent</w:t>
      </w:r>
      <w:r w:rsidRPr="00260231">
        <w:rPr>
          <w:lang w:eastAsia="en-AU"/>
        </w:rPr>
        <w:t xml:space="preserve"> third-party on-site audit conducted unless they are confident that </w:t>
      </w:r>
      <w:r w:rsidR="00594750">
        <w:rPr>
          <w:lang w:eastAsia="en-AU"/>
        </w:rPr>
        <w:t>they can meet</w:t>
      </w:r>
      <w:r w:rsidRPr="00260231">
        <w:rPr>
          <w:lang w:eastAsia="en-AU"/>
        </w:rPr>
        <w:t xml:space="preserve"> the relevant minimum eligibility and application documentary requirements.</w:t>
      </w:r>
    </w:p>
    <w:p w14:paraId="235CB3CE" w14:textId="148D378C" w:rsidR="0046652C" w:rsidRPr="00260231" w:rsidRDefault="0046652C" w:rsidP="00EF29D6">
      <w:pPr>
        <w:rPr>
          <w:lang w:eastAsia="en-AU"/>
        </w:rPr>
      </w:pPr>
      <w:r>
        <w:rPr>
          <w:lang w:eastAsia="en-AU"/>
        </w:rPr>
        <w:t>We</w:t>
      </w:r>
      <w:r w:rsidRPr="00260231">
        <w:rPr>
          <w:lang w:eastAsia="en-AU"/>
        </w:rPr>
        <w:t xml:space="preserve"> charge a fee for service for any assessment activities </w:t>
      </w:r>
      <w:r w:rsidR="00594750">
        <w:rPr>
          <w:lang w:eastAsia="en-AU"/>
        </w:rPr>
        <w:t>associated with</w:t>
      </w:r>
      <w:r w:rsidRPr="00260231">
        <w:rPr>
          <w:lang w:eastAsia="en-AU"/>
        </w:rPr>
        <w:t xml:space="preserve"> </w:t>
      </w:r>
      <w:r>
        <w:rPr>
          <w:lang w:eastAsia="en-AU"/>
        </w:rPr>
        <w:t xml:space="preserve">applications, </w:t>
      </w:r>
      <w:r w:rsidR="00594750">
        <w:rPr>
          <w:lang w:eastAsia="en-AU"/>
        </w:rPr>
        <w:t>regardless of the applicant’s eligibility</w:t>
      </w:r>
      <w:r>
        <w:rPr>
          <w:lang w:eastAsia="en-AU"/>
        </w:rPr>
        <w:t>.</w:t>
      </w:r>
    </w:p>
    <w:p w14:paraId="3EC9CB6F" w14:textId="77777777" w:rsidR="00C02FA1" w:rsidRDefault="00C02FA1" w:rsidP="0046652C">
      <w:pPr>
        <w:rPr>
          <w:lang w:eastAsia="en-AU"/>
        </w:rPr>
      </w:pPr>
      <w:r>
        <w:rPr>
          <w:lang w:eastAsia="en-AU"/>
        </w:rPr>
        <w:t>Learn more about:</w:t>
      </w:r>
    </w:p>
    <w:p w14:paraId="25BD6A57" w14:textId="6D141EA2" w:rsidR="0046652C" w:rsidRDefault="0046652C" w:rsidP="00EF29D6">
      <w:pPr>
        <w:pStyle w:val="ListBullet"/>
        <w:rPr>
          <w:lang w:eastAsia="ja-JP"/>
        </w:rPr>
      </w:pPr>
      <w:r w:rsidRPr="00260231">
        <w:rPr>
          <w:lang w:eastAsia="en-AU"/>
        </w:rPr>
        <w:t>fees and charges</w:t>
      </w:r>
      <w:r w:rsidR="00594750">
        <w:rPr>
          <w:lang w:eastAsia="en-AU"/>
        </w:rPr>
        <w:t xml:space="preserve"> in</w:t>
      </w:r>
      <w:r w:rsidRPr="00260231">
        <w:rPr>
          <w:lang w:eastAsia="en-AU"/>
        </w:rPr>
        <w:t xml:space="preserve"> </w:t>
      </w:r>
      <w:hyperlink w:anchor="_Fees_and_charges" w:history="1">
        <w:r>
          <w:rPr>
            <w:rStyle w:val="Hyperlink"/>
            <w:rFonts w:cstheme="minorHAnsi"/>
            <w:lang w:eastAsia="en-AU"/>
          </w:rPr>
          <w:t>section 2.3</w:t>
        </w:r>
      </w:hyperlink>
      <w:r w:rsidRPr="00260231">
        <w:rPr>
          <w:lang w:eastAsia="en-AU"/>
        </w:rPr>
        <w:t>.</w:t>
      </w:r>
    </w:p>
    <w:p w14:paraId="2D864F08" w14:textId="5B217426" w:rsidR="00253339" w:rsidRDefault="00253339" w:rsidP="00165551">
      <w:pPr>
        <w:pStyle w:val="ListBullet"/>
        <w:rPr>
          <w:lang w:eastAsia="ja-JP"/>
        </w:rPr>
      </w:pPr>
      <w:r>
        <w:rPr>
          <w:lang w:eastAsia="ja-JP"/>
        </w:rPr>
        <w:t xml:space="preserve">requirements </w:t>
      </w:r>
      <w:r w:rsidR="00672D3B">
        <w:rPr>
          <w:lang w:eastAsia="ja-JP"/>
        </w:rPr>
        <w:t>for</w:t>
      </w:r>
      <w:r>
        <w:rPr>
          <w:lang w:eastAsia="ja-JP"/>
        </w:rPr>
        <w:t xml:space="preserve"> the</w:t>
      </w:r>
      <w:r w:rsidR="00165551">
        <w:rPr>
          <w:lang w:eastAsia="ja-JP"/>
        </w:rPr>
        <w:t xml:space="preserve"> independent</w:t>
      </w:r>
      <w:r>
        <w:rPr>
          <w:lang w:eastAsia="ja-JP"/>
        </w:rPr>
        <w:t xml:space="preserve"> </w:t>
      </w:r>
      <w:r w:rsidRPr="00C05E78">
        <w:rPr>
          <w:lang w:eastAsia="ja-JP"/>
        </w:rPr>
        <w:t>third-party</w:t>
      </w:r>
      <w:r w:rsidRPr="00165551">
        <w:rPr>
          <w:lang w:eastAsia="ja-JP"/>
        </w:rPr>
        <w:t xml:space="preserve"> on-site</w:t>
      </w:r>
      <w:r>
        <w:rPr>
          <w:lang w:eastAsia="ja-JP"/>
        </w:rPr>
        <w:t xml:space="preserve"> audit </w:t>
      </w:r>
      <w:r w:rsidR="00672D3B">
        <w:rPr>
          <w:lang w:eastAsia="ja-JP"/>
        </w:rPr>
        <w:t>in</w:t>
      </w:r>
      <w:r>
        <w:rPr>
          <w:lang w:eastAsia="ja-JP"/>
        </w:rPr>
        <w:t xml:space="preserve"> </w:t>
      </w:r>
      <w:hyperlink r:id="rId30" w:anchor="draft_policy_documents" w:history="1">
        <w:r w:rsidR="0075163D">
          <w:rPr>
            <w:rStyle w:val="Hyperlink"/>
          </w:rPr>
          <w:t>Attachment 2: Independent third-party on-site audit template</w:t>
        </w:r>
      </w:hyperlink>
      <w:r w:rsidRPr="00231039">
        <w:rPr>
          <w:lang w:eastAsia="ja-JP"/>
        </w:rPr>
        <w:t>.</w:t>
      </w:r>
    </w:p>
    <w:p w14:paraId="1492C212" w14:textId="333407FF" w:rsidR="00253339" w:rsidRDefault="00594750" w:rsidP="00253339">
      <w:pPr>
        <w:rPr>
          <w:lang w:eastAsia="ja-JP"/>
        </w:rPr>
      </w:pPr>
      <w:r>
        <w:rPr>
          <w:lang w:eastAsia="ja-JP"/>
        </w:rPr>
        <w:t>A</w:t>
      </w:r>
      <w:r w:rsidR="00253339">
        <w:rPr>
          <w:lang w:eastAsia="ja-JP"/>
        </w:rPr>
        <w:t xml:space="preserve">udits must be conducted by </w:t>
      </w:r>
      <w:r w:rsidR="00C4433D">
        <w:rPr>
          <w:lang w:eastAsia="ja-JP"/>
        </w:rPr>
        <w:t xml:space="preserve">a </w:t>
      </w:r>
      <w:r w:rsidR="00C4433D" w:rsidRPr="00C4433D">
        <w:rPr>
          <w:lang w:eastAsia="ja-JP"/>
        </w:rPr>
        <w:t xml:space="preserve">qualified third-party auditor who is </w:t>
      </w:r>
      <w:r w:rsidR="00C4433D" w:rsidRPr="00297304">
        <w:rPr>
          <w:lang w:eastAsia="ja-JP"/>
        </w:rPr>
        <w:t>independent from the entity</w:t>
      </w:r>
      <w:r w:rsidR="00EE39B6" w:rsidRPr="00165551">
        <w:rPr>
          <w:lang w:eastAsia="ja-JP"/>
        </w:rPr>
        <w:t xml:space="preserve"> or </w:t>
      </w:r>
      <w:r w:rsidR="00C4433D" w:rsidRPr="00297304">
        <w:rPr>
          <w:lang w:eastAsia="ja-JP"/>
        </w:rPr>
        <w:t>supply chain being audited, the importer and the department</w:t>
      </w:r>
      <w:r w:rsidR="0026173C" w:rsidRPr="00297304">
        <w:rPr>
          <w:lang w:eastAsia="ja-JP"/>
        </w:rPr>
        <w:t>. The thi</w:t>
      </w:r>
      <w:r w:rsidR="0026173C" w:rsidRPr="00C4433D">
        <w:rPr>
          <w:lang w:eastAsia="ja-JP"/>
        </w:rPr>
        <w:t>rd-party auditor</w:t>
      </w:r>
      <w:r w:rsidR="0026173C">
        <w:rPr>
          <w:lang w:eastAsia="ja-JP"/>
        </w:rPr>
        <w:t xml:space="preserve"> must</w:t>
      </w:r>
      <w:r w:rsidR="00C4433D" w:rsidRPr="00C4433D">
        <w:rPr>
          <w:lang w:eastAsia="ja-JP"/>
        </w:rPr>
        <w:t xml:space="preserve"> h</w:t>
      </w:r>
      <w:r w:rsidR="0026173C">
        <w:rPr>
          <w:lang w:eastAsia="ja-JP"/>
        </w:rPr>
        <w:t>ave</w:t>
      </w:r>
      <w:r w:rsidR="00C4433D" w:rsidRPr="00C4433D">
        <w:rPr>
          <w:lang w:eastAsia="ja-JP"/>
        </w:rPr>
        <w:t xml:space="preserve"> relevant qualifications and accreditations and </w:t>
      </w:r>
      <w:r w:rsidR="0026173C">
        <w:rPr>
          <w:lang w:eastAsia="ja-JP"/>
        </w:rPr>
        <w:t>be</w:t>
      </w:r>
      <w:r w:rsidR="00C4433D" w:rsidRPr="00C4433D">
        <w:rPr>
          <w:lang w:eastAsia="ja-JP"/>
        </w:rPr>
        <w:t xml:space="preserve"> registered with an internationally recognised audit accreditation body. A</w:t>
      </w:r>
      <w:r w:rsidR="00297304">
        <w:rPr>
          <w:lang w:eastAsia="ja-JP"/>
        </w:rPr>
        <w:t>n example of an a</w:t>
      </w:r>
      <w:r w:rsidR="00C4433D" w:rsidRPr="00C4433D">
        <w:rPr>
          <w:lang w:eastAsia="ja-JP"/>
        </w:rPr>
        <w:t>cceptable</w:t>
      </w:r>
      <w:r w:rsidR="00297304">
        <w:rPr>
          <w:lang w:eastAsia="ja-JP"/>
        </w:rPr>
        <w:t xml:space="preserve"> </w:t>
      </w:r>
      <w:r w:rsidR="00C4433D" w:rsidRPr="00C4433D">
        <w:rPr>
          <w:lang w:eastAsia="ja-JP"/>
        </w:rPr>
        <w:t xml:space="preserve">international standard </w:t>
      </w:r>
      <w:r w:rsidR="00297304">
        <w:rPr>
          <w:lang w:eastAsia="ja-JP"/>
        </w:rPr>
        <w:t>is</w:t>
      </w:r>
      <w:r w:rsidR="00C4433D" w:rsidRPr="00C4433D">
        <w:rPr>
          <w:lang w:eastAsia="ja-JP"/>
        </w:rPr>
        <w:t xml:space="preserve"> ISO/IEC 17021-1:2015</w:t>
      </w:r>
      <w:r w:rsidR="004937E8">
        <w:rPr>
          <w:lang w:eastAsia="ja-JP"/>
        </w:rPr>
        <w:t>.</w:t>
      </w:r>
    </w:p>
    <w:p w14:paraId="5D2BF00C" w14:textId="68156E0D" w:rsidR="00253339" w:rsidRDefault="00594750" w:rsidP="00253339">
      <w:pPr>
        <w:rPr>
          <w:lang w:eastAsia="ja-JP"/>
        </w:rPr>
      </w:pPr>
      <w:r>
        <w:rPr>
          <w:lang w:eastAsia="ja-JP"/>
        </w:rPr>
        <w:t>Email application forms and supporting documentation (including a third-party audit report) in English to our</w:t>
      </w:r>
      <w:r w:rsidR="00253339">
        <w:rPr>
          <w:lang w:eastAsia="ja-JP"/>
        </w:rPr>
        <w:t xml:space="preserve"> Audit and Assurance Branch </w:t>
      </w:r>
      <w:r>
        <w:rPr>
          <w:lang w:eastAsia="ja-JP"/>
        </w:rPr>
        <w:t>at</w:t>
      </w:r>
      <w:r w:rsidR="00253339">
        <w:rPr>
          <w:lang w:eastAsia="ja-JP"/>
        </w:rPr>
        <w:t xml:space="preserve"> </w:t>
      </w:r>
      <w:hyperlink r:id="rId31" w:history="1">
        <w:r w:rsidR="005553DB" w:rsidRPr="00B853D3">
          <w:rPr>
            <w:rStyle w:val="Hyperlink"/>
            <w:lang w:eastAsia="ja-JP"/>
          </w:rPr>
          <w:t>AuditServices@aff.gov.au</w:t>
        </w:r>
      </w:hyperlink>
      <w:r w:rsidR="00253339">
        <w:rPr>
          <w:lang w:eastAsia="ja-JP"/>
        </w:rPr>
        <w:t>.</w:t>
      </w:r>
    </w:p>
    <w:p w14:paraId="1715F474" w14:textId="77777777" w:rsidR="00594750" w:rsidRDefault="00594750" w:rsidP="00594750">
      <w:pPr>
        <w:spacing w:before="120" w:after="120"/>
        <w:rPr>
          <w:lang w:eastAsia="ja-JP"/>
        </w:rPr>
      </w:pPr>
      <w:r>
        <w:rPr>
          <w:lang w:eastAsia="ja-JP"/>
        </w:rPr>
        <w:t>We will conduct a desktop assessment of the application, third-party audit and supporting documentation to determine suitability for registration.</w:t>
      </w:r>
      <w:r w:rsidRPr="0046652C">
        <w:rPr>
          <w:lang w:eastAsia="ja-JP"/>
        </w:rPr>
        <w:t xml:space="preserve"> </w:t>
      </w:r>
      <w:r>
        <w:rPr>
          <w:lang w:eastAsia="ja-JP"/>
        </w:rPr>
        <w:t>Processing takes up to 6 weeks (30 working days), from receipt of a complete Level 2 registration application.</w:t>
      </w:r>
    </w:p>
    <w:p w14:paraId="021630EA" w14:textId="586588E5" w:rsidR="00C57244" w:rsidRDefault="00C57244" w:rsidP="00253339">
      <w:pPr>
        <w:rPr>
          <w:lang w:eastAsia="ja-JP"/>
        </w:rPr>
      </w:pPr>
      <w:r>
        <w:rPr>
          <w:rFonts w:cstheme="minorHAnsi"/>
          <w:lang w:eastAsia="en-AU"/>
        </w:rPr>
        <w:t>We</w:t>
      </w:r>
      <w:r w:rsidRPr="00260231">
        <w:rPr>
          <w:rFonts w:cstheme="minorHAnsi"/>
          <w:lang w:eastAsia="en-AU"/>
        </w:rPr>
        <w:t xml:space="preserve"> reserve the right to conduct department</w:t>
      </w:r>
      <w:r w:rsidR="00C60DA8">
        <w:rPr>
          <w:rFonts w:cstheme="minorHAnsi"/>
          <w:lang w:eastAsia="en-AU"/>
        </w:rPr>
        <w:t>-</w:t>
      </w:r>
      <w:r w:rsidRPr="00260231">
        <w:rPr>
          <w:rFonts w:cstheme="minorHAnsi"/>
          <w:lang w:eastAsia="en-AU"/>
        </w:rPr>
        <w:t>led on-site audits of offshore entities</w:t>
      </w:r>
      <w:r>
        <w:rPr>
          <w:rFonts w:cstheme="minorHAnsi"/>
          <w:lang w:eastAsia="en-AU"/>
        </w:rPr>
        <w:t xml:space="preserve"> </w:t>
      </w:r>
      <w:r w:rsidR="00594750">
        <w:rPr>
          <w:rFonts w:cstheme="minorHAnsi"/>
          <w:lang w:eastAsia="en-AU"/>
        </w:rPr>
        <w:t>if</w:t>
      </w:r>
      <w:r>
        <w:rPr>
          <w:rFonts w:cstheme="minorHAnsi"/>
          <w:lang w:eastAsia="en-AU"/>
        </w:rPr>
        <w:t xml:space="preserve"> we</w:t>
      </w:r>
      <w:r w:rsidRPr="00260231">
        <w:rPr>
          <w:rFonts w:cstheme="minorHAnsi"/>
          <w:lang w:eastAsia="en-AU"/>
        </w:rPr>
        <w:t xml:space="preserve"> determine that such activities are necessary </w:t>
      </w:r>
      <w:r w:rsidR="005D1ECE">
        <w:rPr>
          <w:rFonts w:cstheme="minorHAnsi"/>
          <w:lang w:eastAsia="en-AU"/>
        </w:rPr>
        <w:t>for</w:t>
      </w:r>
      <w:r w:rsidRPr="00260231">
        <w:rPr>
          <w:rFonts w:cstheme="minorHAnsi"/>
          <w:lang w:eastAsia="en-AU"/>
        </w:rPr>
        <w:t xml:space="preserve"> the registration of that entity.</w:t>
      </w:r>
    </w:p>
    <w:p w14:paraId="0422C726" w14:textId="0F05643F" w:rsidR="00253339" w:rsidRDefault="009E2911" w:rsidP="00EE3236">
      <w:pPr>
        <w:pStyle w:val="Heading4"/>
        <w:spacing w:before="120" w:after="120"/>
        <w:rPr>
          <w:lang w:eastAsia="ja-JP"/>
        </w:rPr>
      </w:pPr>
      <w:r>
        <w:rPr>
          <w:rFonts w:eastAsiaTheme="minorHAnsi"/>
          <w:lang w:eastAsia="ja-JP"/>
        </w:rPr>
        <w:t>R</w:t>
      </w:r>
      <w:r w:rsidR="00253339" w:rsidRPr="00BC065F">
        <w:rPr>
          <w:rFonts w:eastAsiaTheme="minorHAnsi"/>
          <w:lang w:eastAsia="ja-JP"/>
        </w:rPr>
        <w:t xml:space="preserve">egistration agreement </w:t>
      </w:r>
      <w:r>
        <w:rPr>
          <w:rFonts w:eastAsiaTheme="minorHAnsi"/>
          <w:lang w:eastAsia="ja-JP"/>
        </w:rPr>
        <w:t xml:space="preserve">for </w:t>
      </w:r>
      <w:r w:rsidR="00253339" w:rsidRPr="00BC065F">
        <w:rPr>
          <w:rFonts w:eastAsiaTheme="minorHAnsi"/>
          <w:lang w:eastAsia="ja-JP"/>
        </w:rPr>
        <w:t>successful application</w:t>
      </w:r>
      <w:r w:rsidR="005D1ECE">
        <w:rPr>
          <w:rFonts w:eastAsiaTheme="minorHAnsi"/>
          <w:lang w:eastAsia="ja-JP"/>
        </w:rPr>
        <w:t>s</w:t>
      </w:r>
      <w:r>
        <w:rPr>
          <w:rFonts w:eastAsiaTheme="minorHAnsi"/>
          <w:lang w:eastAsia="ja-JP"/>
        </w:rPr>
        <w:t>: Level 2</w:t>
      </w:r>
    </w:p>
    <w:p w14:paraId="453EB6CD" w14:textId="65005344" w:rsidR="00253339" w:rsidRDefault="00253339" w:rsidP="00253339">
      <w:pPr>
        <w:rPr>
          <w:lang w:eastAsia="ja-JP"/>
        </w:rPr>
      </w:pPr>
      <w:r>
        <w:rPr>
          <w:lang w:eastAsia="ja-JP"/>
        </w:rPr>
        <w:t xml:space="preserve">Following assessment and acceptance of the application and supporting documentation by the department, successful applicants are required to enter into a registration agreement with the department and </w:t>
      </w:r>
      <w:r w:rsidRPr="00297304">
        <w:rPr>
          <w:lang w:eastAsia="ja-JP"/>
        </w:rPr>
        <w:t xml:space="preserve">complete a </w:t>
      </w:r>
      <w:proofErr w:type="gramStart"/>
      <w:r w:rsidR="008469EB">
        <w:rPr>
          <w:rStyle w:val="Emphasis"/>
        </w:rPr>
        <w:t>R</w:t>
      </w:r>
      <w:r w:rsidR="00952499" w:rsidRPr="00952499">
        <w:rPr>
          <w:rStyle w:val="Emphasis"/>
        </w:rPr>
        <w:t>egistration</w:t>
      </w:r>
      <w:proofErr w:type="gramEnd"/>
      <w:r w:rsidRPr="00952499">
        <w:rPr>
          <w:rStyle w:val="Emphasis"/>
        </w:rPr>
        <w:t xml:space="preserve"> </w:t>
      </w:r>
      <w:r w:rsidR="00EE39B6" w:rsidRPr="00952499">
        <w:rPr>
          <w:rStyle w:val="Emphasis"/>
        </w:rPr>
        <w:t>a</w:t>
      </w:r>
      <w:r w:rsidRPr="00952499">
        <w:rPr>
          <w:rStyle w:val="Emphasis"/>
        </w:rPr>
        <w:t xml:space="preserve">greement </w:t>
      </w:r>
      <w:r w:rsidR="00EE39B6" w:rsidRPr="00952499">
        <w:rPr>
          <w:rStyle w:val="Emphasis"/>
        </w:rPr>
        <w:t>f</w:t>
      </w:r>
      <w:r w:rsidRPr="00952499">
        <w:rPr>
          <w:rStyle w:val="Emphasis"/>
        </w:rPr>
        <w:t>orm</w:t>
      </w:r>
      <w:r w:rsidRPr="00297304">
        <w:rPr>
          <w:lang w:eastAsia="ja-JP"/>
        </w:rPr>
        <w:t xml:space="preserve">. </w:t>
      </w:r>
      <w:r w:rsidR="005D1ECE" w:rsidRPr="00297304">
        <w:rPr>
          <w:lang w:eastAsia="ja-JP"/>
        </w:rPr>
        <w:t>We will</w:t>
      </w:r>
      <w:r w:rsidR="005D1ECE">
        <w:rPr>
          <w:lang w:eastAsia="ja-JP"/>
        </w:rPr>
        <w:t xml:space="preserve"> provide applicants with a</w:t>
      </w:r>
      <w:r>
        <w:rPr>
          <w:lang w:eastAsia="ja-JP"/>
        </w:rPr>
        <w:t xml:space="preserve"> copy of this form following completion of the </w:t>
      </w:r>
      <w:r w:rsidR="0054385A">
        <w:rPr>
          <w:lang w:eastAsia="ja-JP"/>
        </w:rPr>
        <w:t xml:space="preserve">application </w:t>
      </w:r>
      <w:r>
        <w:rPr>
          <w:lang w:eastAsia="ja-JP"/>
        </w:rPr>
        <w:t>assessment process.</w:t>
      </w:r>
    </w:p>
    <w:p w14:paraId="11F7A094" w14:textId="5A68D17F" w:rsidR="00253339" w:rsidRDefault="00253339" w:rsidP="00253339">
      <w:pPr>
        <w:rPr>
          <w:lang w:eastAsia="ja-JP"/>
        </w:rPr>
      </w:pPr>
      <w:r>
        <w:rPr>
          <w:lang w:eastAsia="ja-JP"/>
        </w:rPr>
        <w:t>The registration agreement requires registered offshore entities to:</w:t>
      </w:r>
    </w:p>
    <w:p w14:paraId="74662EA5" w14:textId="62E2CE18" w:rsidR="00253339" w:rsidRDefault="005D1ECE" w:rsidP="00637421">
      <w:pPr>
        <w:pStyle w:val="ListBullet"/>
        <w:rPr>
          <w:lang w:eastAsia="ja-JP"/>
        </w:rPr>
      </w:pPr>
      <w:r>
        <w:rPr>
          <w:lang w:eastAsia="ja-JP"/>
        </w:rPr>
        <w:lastRenderedPageBreak/>
        <w:t>a</w:t>
      </w:r>
      <w:r w:rsidR="00253339">
        <w:rPr>
          <w:lang w:eastAsia="ja-JP"/>
        </w:rPr>
        <w:t>gree to meeting and maintaining its obligations under the policy, including</w:t>
      </w:r>
    </w:p>
    <w:p w14:paraId="0F186296" w14:textId="32095765" w:rsidR="00253339" w:rsidRDefault="00EE39B6" w:rsidP="00637421">
      <w:pPr>
        <w:pStyle w:val="ListBullet2"/>
        <w:rPr>
          <w:lang w:eastAsia="ja-JP"/>
        </w:rPr>
      </w:pPr>
      <w:r>
        <w:rPr>
          <w:lang w:eastAsia="ja-JP"/>
        </w:rPr>
        <w:t>o</w:t>
      </w:r>
      <w:r w:rsidR="00253339">
        <w:rPr>
          <w:lang w:eastAsia="ja-JP"/>
        </w:rPr>
        <w:t>ngoing auditing requirements</w:t>
      </w:r>
    </w:p>
    <w:p w14:paraId="358AC4AC" w14:textId="31D6FE81" w:rsidR="00253339" w:rsidRDefault="00EE39B6" w:rsidP="00637421">
      <w:pPr>
        <w:pStyle w:val="ListBullet2"/>
        <w:rPr>
          <w:lang w:eastAsia="ja-JP"/>
        </w:rPr>
      </w:pPr>
      <w:r>
        <w:rPr>
          <w:lang w:eastAsia="ja-JP"/>
        </w:rPr>
        <w:t>e</w:t>
      </w:r>
      <w:r w:rsidR="00253339">
        <w:rPr>
          <w:lang w:eastAsia="ja-JP"/>
        </w:rPr>
        <w:t xml:space="preserve">nsuring the biosecurity integrity of all consignments of inorganic fertiliser it exports </w:t>
      </w:r>
      <w:r w:rsidR="00207B8F">
        <w:rPr>
          <w:lang w:eastAsia="ja-JP"/>
        </w:rPr>
        <w:t>to </w:t>
      </w:r>
      <w:r w:rsidR="00253339">
        <w:rPr>
          <w:lang w:eastAsia="ja-JP"/>
        </w:rPr>
        <w:t>Australia</w:t>
      </w:r>
    </w:p>
    <w:p w14:paraId="27A7CC75" w14:textId="2086E4DE" w:rsidR="00253339" w:rsidRDefault="00EE39B6" w:rsidP="00207B8F">
      <w:pPr>
        <w:pStyle w:val="ListBullet2"/>
        <w:rPr>
          <w:lang w:eastAsia="ja-JP"/>
        </w:rPr>
      </w:pPr>
      <w:r>
        <w:rPr>
          <w:lang w:eastAsia="ja-JP"/>
        </w:rPr>
        <w:t>a</w:t>
      </w:r>
      <w:r w:rsidR="00253339">
        <w:rPr>
          <w:lang w:eastAsia="ja-JP"/>
        </w:rPr>
        <w:t xml:space="preserve">dvising the department of any changes that may </w:t>
      </w:r>
      <w:r w:rsidR="00207B8F">
        <w:rPr>
          <w:lang w:eastAsia="ja-JP"/>
        </w:rPr>
        <w:t>affect</w:t>
      </w:r>
      <w:r w:rsidR="00253339">
        <w:rPr>
          <w:lang w:eastAsia="ja-JP"/>
        </w:rPr>
        <w:t xml:space="preserve"> the biosecurity integrity management of </w:t>
      </w:r>
      <w:r w:rsidR="00207B8F">
        <w:rPr>
          <w:lang w:eastAsia="ja-JP"/>
        </w:rPr>
        <w:t>the entity’s</w:t>
      </w:r>
      <w:r w:rsidR="00253339">
        <w:rPr>
          <w:lang w:eastAsia="ja-JP"/>
        </w:rPr>
        <w:t xml:space="preserve"> exported inorganic fertiliser consignments</w:t>
      </w:r>
    </w:p>
    <w:p w14:paraId="6B5B7367" w14:textId="0EB700EA" w:rsidR="00253339" w:rsidRDefault="00EE39B6" w:rsidP="00637421">
      <w:pPr>
        <w:pStyle w:val="ListBullet2"/>
        <w:rPr>
          <w:lang w:eastAsia="ja-JP"/>
        </w:rPr>
      </w:pPr>
      <w:r>
        <w:rPr>
          <w:lang w:eastAsia="ja-JP"/>
        </w:rPr>
        <w:t>a</w:t>
      </w:r>
      <w:r w:rsidR="00253339">
        <w:rPr>
          <w:lang w:eastAsia="ja-JP"/>
        </w:rPr>
        <w:t>dvising the department if it no longer wishes to be registered</w:t>
      </w:r>
    </w:p>
    <w:p w14:paraId="2E671A86" w14:textId="1DAACA7B" w:rsidR="00253339" w:rsidRDefault="00EE39B6" w:rsidP="00637421">
      <w:pPr>
        <w:pStyle w:val="ListBullet2"/>
        <w:rPr>
          <w:lang w:eastAsia="ja-JP"/>
        </w:rPr>
      </w:pPr>
      <w:r>
        <w:rPr>
          <w:lang w:eastAsia="ja-JP"/>
        </w:rPr>
        <w:t>i</w:t>
      </w:r>
      <w:r w:rsidR="00253339">
        <w:rPr>
          <w:lang w:eastAsia="ja-JP"/>
        </w:rPr>
        <w:t>n the event of a contamination incident, complying with the department’s non-compliance investigation requests</w:t>
      </w:r>
    </w:p>
    <w:p w14:paraId="447153EE" w14:textId="2E7D757D" w:rsidR="00253339" w:rsidRDefault="005D1ECE" w:rsidP="00637421">
      <w:pPr>
        <w:pStyle w:val="ListBullet"/>
        <w:rPr>
          <w:lang w:eastAsia="ja-JP"/>
        </w:rPr>
      </w:pPr>
      <w:r>
        <w:rPr>
          <w:lang w:eastAsia="ja-JP"/>
        </w:rPr>
        <w:t>a</w:t>
      </w:r>
      <w:r w:rsidR="00253339">
        <w:rPr>
          <w:lang w:eastAsia="ja-JP"/>
        </w:rPr>
        <w:t>cknowledge that the department may withdraw the</w:t>
      </w:r>
      <w:r w:rsidR="00207B8F">
        <w:rPr>
          <w:lang w:eastAsia="ja-JP"/>
        </w:rPr>
        <w:t xml:space="preserve"> entity’s </w:t>
      </w:r>
      <w:r w:rsidR="00253339">
        <w:rPr>
          <w:lang w:eastAsia="ja-JP"/>
        </w:rPr>
        <w:t>registration and/or may impose increased intervention on consignments of imported inorganic fertiliser originating from the registered offshore entity, when deemed appropriate.</w:t>
      </w:r>
    </w:p>
    <w:p w14:paraId="4AADB5B7" w14:textId="2C0D04B7" w:rsidR="00253339" w:rsidRDefault="00207B8F" w:rsidP="00253339">
      <w:pPr>
        <w:rPr>
          <w:lang w:eastAsia="ja-JP"/>
        </w:rPr>
      </w:pPr>
      <w:r>
        <w:rPr>
          <w:lang w:eastAsia="ja-JP"/>
        </w:rPr>
        <w:t xml:space="preserve">When we receive </w:t>
      </w:r>
      <w:r w:rsidR="00253339">
        <w:rPr>
          <w:lang w:eastAsia="ja-JP"/>
        </w:rPr>
        <w:t xml:space="preserve">the completed </w:t>
      </w:r>
      <w:r w:rsidR="00253339" w:rsidRPr="00952499">
        <w:rPr>
          <w:rStyle w:val="Emphasis"/>
        </w:rPr>
        <w:t xml:space="preserve">Registration </w:t>
      </w:r>
      <w:r w:rsidRPr="00952499">
        <w:rPr>
          <w:rStyle w:val="Emphasis"/>
        </w:rPr>
        <w:t>a</w:t>
      </w:r>
      <w:r w:rsidR="00253339" w:rsidRPr="00952499">
        <w:rPr>
          <w:rStyle w:val="Emphasis"/>
        </w:rPr>
        <w:t xml:space="preserve">greement </w:t>
      </w:r>
      <w:r w:rsidRPr="00952499">
        <w:rPr>
          <w:rStyle w:val="Emphasis"/>
        </w:rPr>
        <w:t>f</w:t>
      </w:r>
      <w:r w:rsidR="00253339" w:rsidRPr="00952499">
        <w:rPr>
          <w:rStyle w:val="Emphasis"/>
        </w:rPr>
        <w:t>orm</w:t>
      </w:r>
      <w:r>
        <w:rPr>
          <w:lang w:eastAsia="ja-JP"/>
        </w:rPr>
        <w:t xml:space="preserve">, we </w:t>
      </w:r>
      <w:r w:rsidR="00253339">
        <w:rPr>
          <w:lang w:eastAsia="ja-JP"/>
        </w:rPr>
        <w:t>will:</w:t>
      </w:r>
    </w:p>
    <w:p w14:paraId="6403BB61" w14:textId="4571D5BF" w:rsidR="00EE25DF" w:rsidRDefault="00207B8F" w:rsidP="00AE4163">
      <w:pPr>
        <w:pStyle w:val="ListBullet"/>
        <w:rPr>
          <w:lang w:eastAsia="ja-JP"/>
        </w:rPr>
      </w:pPr>
      <w:r>
        <w:rPr>
          <w:lang w:eastAsia="ja-JP"/>
        </w:rPr>
        <w:t>p</w:t>
      </w:r>
      <w:r w:rsidR="00253339">
        <w:rPr>
          <w:lang w:eastAsia="ja-JP"/>
        </w:rPr>
        <w:t>rovide written confirmation to the applicant regarding the successful registration outcome</w:t>
      </w:r>
    </w:p>
    <w:p w14:paraId="76E80401" w14:textId="6F809C8E" w:rsidR="00155EC0" w:rsidRDefault="00207B8F" w:rsidP="00155EC0">
      <w:pPr>
        <w:pStyle w:val="ListBullet"/>
        <w:rPr>
          <w:lang w:eastAsia="ja-JP"/>
        </w:rPr>
      </w:pPr>
      <w:r>
        <w:rPr>
          <w:lang w:eastAsia="ja-JP"/>
        </w:rPr>
        <w:t>a</w:t>
      </w:r>
      <w:r w:rsidR="00253339">
        <w:rPr>
          <w:lang w:eastAsia="ja-JP"/>
        </w:rPr>
        <w:t xml:space="preserve">pply </w:t>
      </w:r>
      <w:r w:rsidR="00056D31">
        <w:rPr>
          <w:lang w:eastAsia="ja-JP"/>
        </w:rPr>
        <w:t xml:space="preserve">Level </w:t>
      </w:r>
      <w:r w:rsidR="007D0040">
        <w:rPr>
          <w:lang w:eastAsia="ja-JP"/>
        </w:rPr>
        <w:t>2</w:t>
      </w:r>
      <w:r w:rsidR="00056D31">
        <w:rPr>
          <w:lang w:eastAsia="ja-JP"/>
        </w:rPr>
        <w:t xml:space="preserve"> classification for</w:t>
      </w:r>
      <w:r w:rsidR="00253339">
        <w:rPr>
          <w:lang w:eastAsia="ja-JP"/>
        </w:rPr>
        <w:t xml:space="preserve"> reduced biosecurity intervention to consignments originating from the </w:t>
      </w:r>
      <w:r w:rsidR="00EE39B6">
        <w:rPr>
          <w:lang w:eastAsia="ja-JP"/>
        </w:rPr>
        <w:t>L</w:t>
      </w:r>
      <w:r w:rsidR="004C58BD">
        <w:rPr>
          <w:lang w:eastAsia="ja-JP"/>
        </w:rPr>
        <w:t xml:space="preserve">evel </w:t>
      </w:r>
      <w:r w:rsidR="00EF6CFA">
        <w:rPr>
          <w:lang w:eastAsia="ja-JP"/>
        </w:rPr>
        <w:t>2 registered</w:t>
      </w:r>
      <w:r w:rsidR="00253339">
        <w:rPr>
          <w:lang w:eastAsia="ja-JP"/>
        </w:rPr>
        <w:t xml:space="preserve"> entity </w:t>
      </w:r>
      <w:r w:rsidR="00C94577">
        <w:rPr>
          <w:lang w:eastAsia="ja-JP"/>
        </w:rPr>
        <w:t xml:space="preserve">– </w:t>
      </w:r>
      <w:r w:rsidR="00253339">
        <w:rPr>
          <w:lang w:eastAsia="ja-JP"/>
        </w:rPr>
        <w:t>provided all other import conditions are also met.</w:t>
      </w:r>
    </w:p>
    <w:p w14:paraId="0D8F4E1C" w14:textId="3A12B39A" w:rsidR="00C57244" w:rsidRPr="009B12DF" w:rsidRDefault="00C57244" w:rsidP="008469EB">
      <w:r>
        <w:t>If</w:t>
      </w:r>
      <w:r w:rsidRPr="009B12DF">
        <w:t xml:space="preserve"> </w:t>
      </w:r>
      <w:r w:rsidR="0001494E">
        <w:t>an entity’s</w:t>
      </w:r>
      <w:r w:rsidRPr="009B12DF">
        <w:t xml:space="preserve"> </w:t>
      </w:r>
      <w:r w:rsidRPr="008469EB">
        <w:rPr>
          <w:rStyle w:val="Emphasis"/>
        </w:rPr>
        <w:t>Registration agreement form</w:t>
      </w:r>
      <w:r>
        <w:t xml:space="preserve"> is incomplete</w:t>
      </w:r>
      <w:r w:rsidRPr="009B12DF">
        <w:t xml:space="preserve">, </w:t>
      </w:r>
      <w:r>
        <w:t>we will</w:t>
      </w:r>
      <w:r w:rsidRPr="009B12DF">
        <w:t xml:space="preserve"> issu</w:t>
      </w:r>
      <w:r>
        <w:t>e</w:t>
      </w:r>
      <w:r w:rsidRPr="009B12DF">
        <w:t xml:space="preserve"> </w:t>
      </w:r>
      <w:r w:rsidR="00736BAB">
        <w:t xml:space="preserve">the applicant with </w:t>
      </w:r>
      <w:r w:rsidRPr="009B12DF">
        <w:t xml:space="preserve">an </w:t>
      </w:r>
      <w:r w:rsidRPr="008469EB">
        <w:t>‘Unsuccessful application outcome’</w:t>
      </w:r>
      <w:r w:rsidR="00C94577" w:rsidRPr="00297304">
        <w:t>.</w:t>
      </w:r>
      <w:r w:rsidR="00C94577">
        <w:t xml:space="preserve"> T</w:t>
      </w:r>
      <w:r w:rsidR="0001494E">
        <w:t>he</w:t>
      </w:r>
      <w:r w:rsidRPr="009B12DF">
        <w:t xml:space="preserve"> entity will not be registered </w:t>
      </w:r>
      <w:r w:rsidR="00C94577">
        <w:t>and will therefore</w:t>
      </w:r>
      <w:r w:rsidRPr="009B12DF">
        <w:t xml:space="preserve"> be classified as Level 3.</w:t>
      </w:r>
    </w:p>
    <w:p w14:paraId="7042541B" w14:textId="4CC83000" w:rsidR="00253339" w:rsidRDefault="00253339" w:rsidP="00EE3236">
      <w:pPr>
        <w:pStyle w:val="Heading4"/>
        <w:spacing w:before="120" w:after="120"/>
        <w:rPr>
          <w:lang w:eastAsia="ja-JP"/>
        </w:rPr>
      </w:pPr>
      <w:bookmarkStart w:id="41" w:name="_Unsuccessful_application_outcome"/>
      <w:bookmarkEnd w:id="41"/>
      <w:r w:rsidRPr="00BC065F">
        <w:rPr>
          <w:rFonts w:eastAsiaTheme="minorHAnsi"/>
          <w:lang w:eastAsia="ja-JP"/>
        </w:rPr>
        <w:t>Unsuccessful application outcome</w:t>
      </w:r>
      <w:r w:rsidR="00736BAB">
        <w:rPr>
          <w:rFonts w:eastAsiaTheme="minorHAnsi"/>
          <w:lang w:eastAsia="ja-JP"/>
        </w:rPr>
        <w:t>s</w:t>
      </w:r>
    </w:p>
    <w:p w14:paraId="56A7B531" w14:textId="180DE089" w:rsidR="000A408E" w:rsidRDefault="00736BAB" w:rsidP="00253339">
      <w:pPr>
        <w:rPr>
          <w:lang w:eastAsia="ja-JP"/>
        </w:rPr>
      </w:pPr>
      <w:r>
        <w:rPr>
          <w:lang w:eastAsia="ja-JP"/>
        </w:rPr>
        <w:t>If we are</w:t>
      </w:r>
      <w:r w:rsidR="00253339">
        <w:rPr>
          <w:lang w:eastAsia="ja-JP"/>
        </w:rPr>
        <w:t xml:space="preserve"> unable to complete an application assessment and/or an application assessment is completed but does not result in a successful application outcome, </w:t>
      </w:r>
      <w:r>
        <w:t>we will</w:t>
      </w:r>
      <w:r w:rsidRPr="009B12DF">
        <w:t xml:space="preserve"> issu</w:t>
      </w:r>
      <w:r>
        <w:t>e</w:t>
      </w:r>
      <w:r w:rsidRPr="009B12DF">
        <w:t xml:space="preserve"> </w:t>
      </w:r>
      <w:r>
        <w:t xml:space="preserve">the applicant with </w:t>
      </w:r>
      <w:r w:rsidRPr="00297304">
        <w:t xml:space="preserve">an </w:t>
      </w:r>
      <w:r w:rsidRPr="008469EB">
        <w:t>‘Unsuccessful application outcome’</w:t>
      </w:r>
      <w:r w:rsidR="00253339" w:rsidRPr="00297304">
        <w:rPr>
          <w:lang w:eastAsia="ja-JP"/>
        </w:rPr>
        <w:t>.</w:t>
      </w:r>
    </w:p>
    <w:p w14:paraId="3B618B6A" w14:textId="57D915C7" w:rsidR="00253339" w:rsidRDefault="00253339" w:rsidP="00253339">
      <w:pPr>
        <w:rPr>
          <w:lang w:eastAsia="ja-JP"/>
        </w:rPr>
      </w:pPr>
      <w:r>
        <w:rPr>
          <w:lang w:eastAsia="ja-JP"/>
        </w:rPr>
        <w:t xml:space="preserve">Offshore entities </w:t>
      </w:r>
      <w:r w:rsidR="00736BAB">
        <w:rPr>
          <w:lang w:eastAsia="ja-JP"/>
        </w:rPr>
        <w:t>that</w:t>
      </w:r>
      <w:r>
        <w:rPr>
          <w:lang w:eastAsia="ja-JP"/>
        </w:rPr>
        <w:t xml:space="preserve"> receive an unsuccessful application outcome are not eligible for</w:t>
      </w:r>
      <w:r w:rsidR="00056D31">
        <w:rPr>
          <w:lang w:eastAsia="ja-JP"/>
        </w:rPr>
        <w:t xml:space="preserve"> Level </w:t>
      </w:r>
      <w:r w:rsidR="00A952D5">
        <w:rPr>
          <w:lang w:eastAsia="ja-JP"/>
        </w:rPr>
        <w:t>2</w:t>
      </w:r>
      <w:r>
        <w:rPr>
          <w:lang w:eastAsia="ja-JP"/>
        </w:rPr>
        <w:t xml:space="preserve"> registration under the policy</w:t>
      </w:r>
      <w:r w:rsidR="004D04B2">
        <w:rPr>
          <w:lang w:eastAsia="ja-JP"/>
        </w:rPr>
        <w:t>. They</w:t>
      </w:r>
      <w:r>
        <w:rPr>
          <w:lang w:eastAsia="ja-JP"/>
        </w:rPr>
        <w:t xml:space="preserve"> will be considered </w:t>
      </w:r>
      <w:r w:rsidR="00056D31">
        <w:rPr>
          <w:lang w:eastAsia="ja-JP"/>
        </w:rPr>
        <w:t>Level 3</w:t>
      </w:r>
      <w:r>
        <w:rPr>
          <w:lang w:eastAsia="ja-JP"/>
        </w:rPr>
        <w:t xml:space="preserve"> until </w:t>
      </w:r>
      <w:r w:rsidR="004D04B2">
        <w:rPr>
          <w:lang w:eastAsia="ja-JP"/>
        </w:rPr>
        <w:t xml:space="preserve">they can meet </w:t>
      </w:r>
      <w:r>
        <w:rPr>
          <w:lang w:eastAsia="ja-JP"/>
        </w:rPr>
        <w:t xml:space="preserve">all outstanding application, documentary and/or eligibility requirements. </w:t>
      </w:r>
      <w:r w:rsidR="004D04B2">
        <w:rPr>
          <w:lang w:eastAsia="ja-JP"/>
        </w:rPr>
        <w:t>We</w:t>
      </w:r>
      <w:r>
        <w:rPr>
          <w:lang w:eastAsia="ja-JP"/>
        </w:rPr>
        <w:t xml:space="preserve"> will advise the applicant of any outstanding requirements </w:t>
      </w:r>
      <w:r w:rsidR="004D04B2">
        <w:rPr>
          <w:lang w:eastAsia="ja-JP"/>
        </w:rPr>
        <w:t>that the applicant</w:t>
      </w:r>
      <w:r>
        <w:rPr>
          <w:lang w:eastAsia="ja-JP"/>
        </w:rPr>
        <w:t xml:space="preserve"> must </w:t>
      </w:r>
      <w:r w:rsidR="004D04B2">
        <w:rPr>
          <w:lang w:eastAsia="ja-JP"/>
        </w:rPr>
        <w:t>meet</w:t>
      </w:r>
      <w:r>
        <w:rPr>
          <w:lang w:eastAsia="ja-JP"/>
        </w:rPr>
        <w:t xml:space="preserve"> </w:t>
      </w:r>
      <w:r w:rsidR="00737710">
        <w:rPr>
          <w:lang w:eastAsia="ja-JP"/>
        </w:rPr>
        <w:t>to</w:t>
      </w:r>
      <w:r>
        <w:rPr>
          <w:lang w:eastAsia="ja-JP"/>
        </w:rPr>
        <w:t xml:space="preserve"> be reconsidered for </w:t>
      </w:r>
      <w:r w:rsidR="004D04B2">
        <w:rPr>
          <w:lang w:eastAsia="ja-JP"/>
        </w:rPr>
        <w:t>L</w:t>
      </w:r>
      <w:r w:rsidR="00056D31">
        <w:rPr>
          <w:lang w:eastAsia="ja-JP"/>
        </w:rPr>
        <w:t xml:space="preserve">evel </w:t>
      </w:r>
      <w:r w:rsidR="00A952D5">
        <w:rPr>
          <w:lang w:eastAsia="ja-JP"/>
        </w:rPr>
        <w:t>2</w:t>
      </w:r>
      <w:r w:rsidR="00056D31">
        <w:rPr>
          <w:lang w:eastAsia="ja-JP"/>
        </w:rPr>
        <w:t xml:space="preserve"> </w:t>
      </w:r>
      <w:r>
        <w:rPr>
          <w:lang w:eastAsia="ja-JP"/>
        </w:rPr>
        <w:t xml:space="preserve">registration and will work with </w:t>
      </w:r>
      <w:r w:rsidR="004D04B2">
        <w:rPr>
          <w:lang w:eastAsia="ja-JP"/>
        </w:rPr>
        <w:t>them</w:t>
      </w:r>
      <w:r>
        <w:rPr>
          <w:lang w:eastAsia="ja-JP"/>
        </w:rPr>
        <w:t xml:space="preserve"> to address these shortcomings.</w:t>
      </w:r>
    </w:p>
    <w:p w14:paraId="282E283E" w14:textId="51131B61" w:rsidR="00253339" w:rsidRDefault="00253339" w:rsidP="00253339">
      <w:pPr>
        <w:rPr>
          <w:lang w:eastAsia="ja-JP"/>
        </w:rPr>
      </w:pPr>
      <w:r>
        <w:rPr>
          <w:lang w:eastAsia="ja-JP"/>
        </w:rPr>
        <w:t>Inorganic fertiliser can still be imported into Australia from</w:t>
      </w:r>
      <w:r w:rsidR="00056D31">
        <w:rPr>
          <w:lang w:eastAsia="ja-JP"/>
        </w:rPr>
        <w:t xml:space="preserve"> an</w:t>
      </w:r>
      <w:r>
        <w:rPr>
          <w:lang w:eastAsia="ja-JP"/>
        </w:rPr>
        <w:t xml:space="preserve"> unregistered</w:t>
      </w:r>
      <w:r w:rsidR="00E9617F">
        <w:rPr>
          <w:lang w:eastAsia="ja-JP"/>
        </w:rPr>
        <w:t xml:space="preserve"> Level 3</w:t>
      </w:r>
      <w:r>
        <w:rPr>
          <w:lang w:eastAsia="ja-JP"/>
        </w:rPr>
        <w:t xml:space="preserve"> entity</w:t>
      </w:r>
      <w:r w:rsidR="004D04B2">
        <w:rPr>
          <w:lang w:eastAsia="ja-JP"/>
        </w:rPr>
        <w:t>. H</w:t>
      </w:r>
      <w:r>
        <w:rPr>
          <w:lang w:eastAsia="ja-JP"/>
        </w:rPr>
        <w:t>owever, these consignments will be subject to increased biosecurity intervention on arrival.</w:t>
      </w:r>
    </w:p>
    <w:p w14:paraId="0DCA97FC" w14:textId="04D91663" w:rsidR="00253339" w:rsidRDefault="00155EC0" w:rsidP="00253339">
      <w:pPr>
        <w:rPr>
          <w:lang w:eastAsia="ja-JP"/>
        </w:rPr>
      </w:pPr>
      <w:r w:rsidRPr="008469EB">
        <w:rPr>
          <w:lang w:eastAsia="ja-JP"/>
        </w:rPr>
        <w:t>Learn more about</w:t>
      </w:r>
      <w:r w:rsidR="00253339" w:rsidRPr="00155EC0">
        <w:rPr>
          <w:lang w:eastAsia="ja-JP"/>
        </w:rPr>
        <w:t xml:space="preserve"> unregistered entities</w:t>
      </w:r>
      <w:r w:rsidRPr="008469EB">
        <w:rPr>
          <w:lang w:eastAsia="ja-JP"/>
        </w:rPr>
        <w:t xml:space="preserve"> in </w:t>
      </w:r>
      <w:hyperlink w:anchor="_Unregistered_entity" w:history="1">
        <w:r w:rsidR="00ED2711">
          <w:rPr>
            <w:rStyle w:val="Hyperlink"/>
            <w:rFonts w:cstheme="minorHAnsi"/>
            <w:lang w:eastAsia="en-AU"/>
          </w:rPr>
          <w:t>section 2.2.8</w:t>
        </w:r>
      </w:hyperlink>
      <w:r w:rsidR="00253339" w:rsidRPr="00155EC0">
        <w:rPr>
          <w:lang w:eastAsia="ja-JP"/>
        </w:rPr>
        <w:t>.</w:t>
      </w:r>
    </w:p>
    <w:p w14:paraId="5546184D" w14:textId="0E868CF3" w:rsidR="000A408E" w:rsidRDefault="00BA4D9A" w:rsidP="003C7FB2">
      <w:pPr>
        <w:pStyle w:val="Heading4"/>
        <w:rPr>
          <w:lang w:eastAsia="ja-JP"/>
        </w:rPr>
      </w:pPr>
      <w:r>
        <w:rPr>
          <w:lang w:eastAsia="ja-JP"/>
        </w:rPr>
        <w:t xml:space="preserve">Qualifying for </w:t>
      </w:r>
      <w:r w:rsidR="00701C43">
        <w:rPr>
          <w:lang w:eastAsia="ja-JP"/>
        </w:rPr>
        <w:t>registration</w:t>
      </w:r>
      <w:r w:rsidR="009E2911">
        <w:rPr>
          <w:lang w:eastAsia="ja-JP"/>
        </w:rPr>
        <w:t>:</w:t>
      </w:r>
      <w:r w:rsidR="009E2911" w:rsidRPr="009E2911">
        <w:rPr>
          <w:lang w:eastAsia="ja-JP"/>
        </w:rPr>
        <w:t xml:space="preserve"> </w:t>
      </w:r>
      <w:r w:rsidR="009E2911">
        <w:rPr>
          <w:lang w:eastAsia="ja-JP"/>
        </w:rPr>
        <w:t>Level 1</w:t>
      </w:r>
    </w:p>
    <w:p w14:paraId="47B4B128" w14:textId="5AD9F302" w:rsidR="00155EC0" w:rsidRDefault="00BA4D9A" w:rsidP="00BA4D9A">
      <w:pPr>
        <w:rPr>
          <w:lang w:eastAsia="ja-JP"/>
        </w:rPr>
      </w:pPr>
      <w:r w:rsidRPr="00BA4D9A">
        <w:rPr>
          <w:lang w:eastAsia="ja-JP"/>
        </w:rPr>
        <w:t>Before qualifying for Level 1 registration, prospective offshore entities</w:t>
      </w:r>
      <w:r w:rsidR="00155EC0">
        <w:rPr>
          <w:lang w:eastAsia="ja-JP"/>
        </w:rPr>
        <w:t>:</w:t>
      </w:r>
    </w:p>
    <w:p w14:paraId="23559007" w14:textId="24CCB233" w:rsidR="00155EC0" w:rsidRDefault="00155EC0" w:rsidP="00155EC0">
      <w:pPr>
        <w:pStyle w:val="ListBullet"/>
        <w:rPr>
          <w:lang w:eastAsia="ja-JP"/>
        </w:rPr>
      </w:pPr>
      <w:r>
        <w:rPr>
          <w:lang w:eastAsia="ja-JP"/>
        </w:rPr>
        <w:t xml:space="preserve">must </w:t>
      </w:r>
      <w:r w:rsidR="00BA4D9A" w:rsidRPr="00BA4D9A">
        <w:rPr>
          <w:lang w:eastAsia="ja-JP"/>
        </w:rPr>
        <w:t xml:space="preserve">be able to </w:t>
      </w:r>
      <w:r w:rsidR="00E13190" w:rsidRPr="00E13190">
        <w:rPr>
          <w:lang w:eastAsia="ja-JP"/>
        </w:rPr>
        <w:t xml:space="preserve">provide </w:t>
      </w:r>
      <w:r w:rsidR="00E13190" w:rsidRPr="000D3FBE">
        <w:rPr>
          <w:lang w:eastAsia="ja-JP"/>
        </w:rPr>
        <w:t>documentary evidence</w:t>
      </w:r>
      <w:r w:rsidR="00BA4D9A" w:rsidRPr="00E13190">
        <w:rPr>
          <w:lang w:eastAsia="ja-JP"/>
        </w:rPr>
        <w:t xml:space="preserve"> that</w:t>
      </w:r>
      <w:r w:rsidR="00BA4D9A" w:rsidRPr="00BA4D9A">
        <w:rPr>
          <w:lang w:eastAsia="ja-JP"/>
        </w:rPr>
        <w:t xml:space="preserve"> they have oversight of the biosecurity risk management systems of the offshore supply chain (or the sections they have oversight of)</w:t>
      </w:r>
    </w:p>
    <w:p w14:paraId="1DCF1402" w14:textId="01CE95BC" w:rsidR="00BA4D9A" w:rsidRPr="00BA4D9A" w:rsidRDefault="00155EC0" w:rsidP="000D3FBE">
      <w:pPr>
        <w:pStyle w:val="ListBullet"/>
        <w:rPr>
          <w:lang w:eastAsia="ja-JP"/>
        </w:rPr>
      </w:pPr>
      <w:r>
        <w:rPr>
          <w:lang w:eastAsia="ja-JP"/>
        </w:rPr>
        <w:t xml:space="preserve">must </w:t>
      </w:r>
      <w:r w:rsidR="00BA4D9A" w:rsidRPr="00BA4D9A">
        <w:rPr>
          <w:lang w:eastAsia="ja-JP"/>
        </w:rPr>
        <w:t>meet the</w:t>
      </w:r>
      <w:r>
        <w:rPr>
          <w:lang w:eastAsia="ja-JP"/>
        </w:rPr>
        <w:t>se</w:t>
      </w:r>
      <w:r w:rsidR="00BA4D9A" w:rsidRPr="00BA4D9A">
        <w:rPr>
          <w:lang w:eastAsia="ja-JP"/>
        </w:rPr>
        <w:t xml:space="preserve"> minimum eligibility requirements</w:t>
      </w:r>
    </w:p>
    <w:p w14:paraId="2C3F410F" w14:textId="242C58B6" w:rsidR="00BA4D9A" w:rsidRPr="00BA4D9A" w:rsidRDefault="00155EC0" w:rsidP="000D3FBE">
      <w:pPr>
        <w:pStyle w:val="ListBullet2"/>
        <w:rPr>
          <w:lang w:eastAsia="ja-JP"/>
        </w:rPr>
      </w:pPr>
      <w:r>
        <w:rPr>
          <w:lang w:eastAsia="ja-JP"/>
        </w:rPr>
        <w:lastRenderedPageBreak/>
        <w:t>h</w:t>
      </w:r>
      <w:r w:rsidR="00BA4D9A" w:rsidRPr="00BA4D9A">
        <w:rPr>
          <w:lang w:eastAsia="ja-JP"/>
        </w:rPr>
        <w:t>ave exported a minimum of 3 containerised or 1 in-ships-hold consignments of inorganic fertiliser to Australia within the previous 2-year period</w:t>
      </w:r>
    </w:p>
    <w:p w14:paraId="11AF95FF" w14:textId="680D6E42" w:rsidR="00BA4D9A" w:rsidRPr="00BA4D9A" w:rsidRDefault="00155EC0" w:rsidP="000D3FBE">
      <w:pPr>
        <w:pStyle w:val="ListBullet2"/>
        <w:rPr>
          <w:lang w:eastAsia="ja-JP"/>
        </w:rPr>
      </w:pPr>
      <w:r>
        <w:rPr>
          <w:lang w:eastAsia="ja-JP"/>
        </w:rPr>
        <w:t>h</w:t>
      </w:r>
      <w:r w:rsidR="00BA4D9A" w:rsidRPr="00BA4D9A">
        <w:rPr>
          <w:lang w:eastAsia="ja-JP"/>
        </w:rPr>
        <w:t xml:space="preserve">ave exported to Australia a combined minimum volume of 2 holds or 25 </w:t>
      </w:r>
      <w:r w:rsidRPr="00CD12BF">
        <w:rPr>
          <w:lang w:eastAsia="ja-JP"/>
        </w:rPr>
        <w:t>twenty-foot</w:t>
      </w:r>
      <w:r w:rsidR="00CD12BF" w:rsidRPr="000D3FBE">
        <w:rPr>
          <w:lang w:eastAsia="ja-JP"/>
        </w:rPr>
        <w:t xml:space="preserve"> </w:t>
      </w:r>
      <w:r w:rsidRPr="00CD12BF">
        <w:rPr>
          <w:lang w:eastAsia="ja-JP"/>
        </w:rPr>
        <w:t>equivalent</w:t>
      </w:r>
      <w:r w:rsidR="00CD12BF" w:rsidRPr="000D3FBE">
        <w:rPr>
          <w:lang w:eastAsia="ja-JP"/>
        </w:rPr>
        <w:t xml:space="preserve"> </w:t>
      </w:r>
      <w:r w:rsidRPr="00CD12BF">
        <w:rPr>
          <w:lang w:eastAsia="ja-JP"/>
        </w:rPr>
        <w:t>unit</w:t>
      </w:r>
      <w:r w:rsidRPr="00BA4D9A">
        <w:rPr>
          <w:lang w:eastAsia="ja-JP"/>
        </w:rPr>
        <w:t xml:space="preserve"> </w:t>
      </w:r>
      <w:r w:rsidR="00BA4D9A" w:rsidRPr="00BA4D9A">
        <w:rPr>
          <w:lang w:eastAsia="ja-JP"/>
        </w:rPr>
        <w:t>containers within the previous 2-year period</w:t>
      </w:r>
    </w:p>
    <w:p w14:paraId="181A1E4C" w14:textId="664BD0E3" w:rsidR="00BA4D9A" w:rsidRPr="00BA4D9A" w:rsidRDefault="00155EC0" w:rsidP="000D3FBE">
      <w:pPr>
        <w:pStyle w:val="ListBullet2"/>
        <w:rPr>
          <w:lang w:eastAsia="ja-JP"/>
        </w:rPr>
      </w:pPr>
      <w:r>
        <w:rPr>
          <w:lang w:eastAsia="ja-JP"/>
        </w:rPr>
        <w:t>h</w:t>
      </w:r>
      <w:r w:rsidR="00BA4D9A" w:rsidRPr="00BA4D9A">
        <w:rPr>
          <w:lang w:eastAsia="ja-JP"/>
        </w:rPr>
        <w:t>ave had no instances of biosecurity risk material detected in the qualifying imported inorganic fertiliser consignments.</w:t>
      </w:r>
    </w:p>
    <w:p w14:paraId="07A5C4FB" w14:textId="2E2BEC9B" w:rsidR="00BA4D9A" w:rsidRDefault="00BA4D9A" w:rsidP="00BA4D9A">
      <w:pPr>
        <w:rPr>
          <w:lang w:eastAsia="ja-JP"/>
        </w:rPr>
      </w:pPr>
      <w:r>
        <w:rPr>
          <w:lang w:eastAsia="ja-JP"/>
        </w:rPr>
        <w:t>Australian sponsors</w:t>
      </w:r>
      <w:r w:rsidR="00E13190">
        <w:rPr>
          <w:lang w:eastAsia="ja-JP"/>
        </w:rPr>
        <w:t xml:space="preserve"> must</w:t>
      </w:r>
      <w:r>
        <w:rPr>
          <w:lang w:eastAsia="ja-JP"/>
        </w:rPr>
        <w:t xml:space="preserve"> </w:t>
      </w:r>
      <w:r w:rsidR="00E13190">
        <w:rPr>
          <w:lang w:eastAsia="ja-JP"/>
        </w:rPr>
        <w:t>email</w:t>
      </w:r>
      <w:r>
        <w:rPr>
          <w:lang w:eastAsia="ja-JP"/>
        </w:rPr>
        <w:t xml:space="preserve"> evidence of the successful imports</w:t>
      </w:r>
      <w:r w:rsidR="00E13190">
        <w:rPr>
          <w:lang w:eastAsia="ja-JP"/>
        </w:rPr>
        <w:t xml:space="preserve"> to</w:t>
      </w:r>
      <w:r>
        <w:rPr>
          <w:lang w:eastAsia="ja-JP"/>
        </w:rPr>
        <w:t xml:space="preserve"> </w:t>
      </w:r>
      <w:r w:rsidR="00E13190">
        <w:rPr>
          <w:lang w:eastAsia="ja-JP"/>
        </w:rPr>
        <w:t>our Audit and Assurance Branch at</w:t>
      </w:r>
      <w:r>
        <w:rPr>
          <w:lang w:eastAsia="ja-JP"/>
        </w:rPr>
        <w:t xml:space="preserve"> </w:t>
      </w:r>
      <w:hyperlink r:id="rId32" w:history="1">
        <w:r w:rsidR="00D44308" w:rsidRPr="00D44308">
          <w:rPr>
            <w:rStyle w:val="Hyperlink"/>
            <w:lang w:eastAsia="ja-JP"/>
          </w:rPr>
          <w:t>AuditServices@aff.gov.au</w:t>
        </w:r>
      </w:hyperlink>
      <w:r w:rsidR="00D44308">
        <w:rPr>
          <w:lang w:eastAsia="ja-JP"/>
        </w:rPr>
        <w:t xml:space="preserve">. If </w:t>
      </w:r>
      <w:r w:rsidR="00E13190">
        <w:rPr>
          <w:lang w:eastAsia="ja-JP"/>
        </w:rPr>
        <w:t>we</w:t>
      </w:r>
      <w:r w:rsidR="00D44308">
        <w:rPr>
          <w:lang w:eastAsia="ja-JP"/>
        </w:rPr>
        <w:t xml:space="preserve"> determine that the required imports have been achieved, </w:t>
      </w:r>
      <w:r w:rsidR="00E13190">
        <w:rPr>
          <w:lang w:eastAsia="ja-JP"/>
        </w:rPr>
        <w:t xml:space="preserve">we will issue </w:t>
      </w:r>
      <w:r w:rsidR="00D44308">
        <w:rPr>
          <w:lang w:eastAsia="ja-JP"/>
        </w:rPr>
        <w:t>a Level 1 certificate to the offshore entity.</w:t>
      </w:r>
    </w:p>
    <w:p w14:paraId="1333B3BB" w14:textId="64192B18" w:rsidR="00F8451B" w:rsidRDefault="00155EC0" w:rsidP="00BA4D9A">
      <w:pPr>
        <w:rPr>
          <w:lang w:eastAsia="ja-JP"/>
        </w:rPr>
      </w:pPr>
      <w:r>
        <w:rPr>
          <w:lang w:eastAsia="ja-JP"/>
        </w:rPr>
        <w:t xml:space="preserve">When an entity </w:t>
      </w:r>
      <w:r w:rsidR="00F8451B">
        <w:rPr>
          <w:lang w:eastAsia="ja-JP"/>
        </w:rPr>
        <w:t>qualif</w:t>
      </w:r>
      <w:r>
        <w:rPr>
          <w:lang w:eastAsia="ja-JP"/>
        </w:rPr>
        <w:t>ies</w:t>
      </w:r>
      <w:r w:rsidR="00F8451B">
        <w:rPr>
          <w:lang w:eastAsia="ja-JP"/>
        </w:rPr>
        <w:t xml:space="preserve"> for Level 1 classification, </w:t>
      </w:r>
      <w:r>
        <w:rPr>
          <w:lang w:eastAsia="ja-JP"/>
        </w:rPr>
        <w:t>we</w:t>
      </w:r>
      <w:r w:rsidR="00F8451B">
        <w:rPr>
          <w:lang w:eastAsia="ja-JP"/>
        </w:rPr>
        <w:t>:</w:t>
      </w:r>
    </w:p>
    <w:p w14:paraId="142F1B02" w14:textId="1F3C332D" w:rsidR="00F8451B" w:rsidRDefault="00155EC0" w:rsidP="00F8451B">
      <w:pPr>
        <w:pStyle w:val="ListBullet"/>
        <w:rPr>
          <w:lang w:eastAsia="ja-JP"/>
        </w:rPr>
      </w:pPr>
      <w:r>
        <w:rPr>
          <w:lang w:eastAsia="ja-JP"/>
        </w:rPr>
        <w:t>p</w:t>
      </w:r>
      <w:r w:rsidR="00F8451B">
        <w:rPr>
          <w:lang w:eastAsia="ja-JP"/>
        </w:rPr>
        <w:t xml:space="preserve">rovide the registered entity with an </w:t>
      </w:r>
      <w:r w:rsidR="000B2909">
        <w:rPr>
          <w:lang w:eastAsia="ja-JP"/>
        </w:rPr>
        <w:t>e</w:t>
      </w:r>
      <w:r w:rsidR="00F8451B">
        <w:rPr>
          <w:lang w:eastAsia="ja-JP"/>
        </w:rPr>
        <w:t xml:space="preserve">ntity </w:t>
      </w:r>
      <w:r w:rsidR="000B2909">
        <w:rPr>
          <w:lang w:eastAsia="ja-JP"/>
        </w:rPr>
        <w:t>i</w:t>
      </w:r>
      <w:r w:rsidR="00F8451B">
        <w:rPr>
          <w:lang w:eastAsia="ja-JP"/>
        </w:rPr>
        <w:t xml:space="preserve">dentifier (AEI) that must be included on all documentation issued by the registered entity relevant to consignments managed under </w:t>
      </w:r>
      <w:r w:rsidR="0052682D">
        <w:rPr>
          <w:lang w:eastAsia="ja-JP"/>
        </w:rPr>
        <w:t>the </w:t>
      </w:r>
      <w:r w:rsidR="00F8451B">
        <w:rPr>
          <w:lang w:eastAsia="ja-JP"/>
        </w:rPr>
        <w:t>policy</w:t>
      </w:r>
    </w:p>
    <w:p w14:paraId="6E2BC815" w14:textId="6383FE11" w:rsidR="00F8451B" w:rsidRDefault="00155EC0" w:rsidP="00F8451B">
      <w:pPr>
        <w:pStyle w:val="ListBullet"/>
        <w:rPr>
          <w:lang w:eastAsia="ja-JP"/>
        </w:rPr>
      </w:pPr>
      <w:r>
        <w:rPr>
          <w:lang w:eastAsia="ja-JP"/>
        </w:rPr>
        <w:t>p</w:t>
      </w:r>
      <w:r w:rsidR="00F8451B">
        <w:rPr>
          <w:lang w:eastAsia="ja-JP"/>
        </w:rPr>
        <w:t>rovide the registered entity with an official departmental certificate confirming the registration of that entity under the policy</w:t>
      </w:r>
    </w:p>
    <w:p w14:paraId="20A7BBDA" w14:textId="4BB4A260" w:rsidR="00F8451B" w:rsidRDefault="00155EC0" w:rsidP="00F8451B">
      <w:pPr>
        <w:pStyle w:val="ListBullet"/>
        <w:rPr>
          <w:lang w:eastAsia="ja-JP"/>
        </w:rPr>
      </w:pPr>
      <w:r>
        <w:rPr>
          <w:lang w:eastAsia="ja-JP"/>
        </w:rPr>
        <w:t>p</w:t>
      </w:r>
      <w:r w:rsidR="00F8451B">
        <w:rPr>
          <w:lang w:eastAsia="ja-JP"/>
        </w:rPr>
        <w:t>ublish the registered offshore entit</w:t>
      </w:r>
      <w:r w:rsidR="0052682D">
        <w:rPr>
          <w:lang w:eastAsia="ja-JP"/>
        </w:rPr>
        <w:t>y’s</w:t>
      </w:r>
      <w:r w:rsidR="00F8451B">
        <w:rPr>
          <w:lang w:eastAsia="ja-JP"/>
        </w:rPr>
        <w:t xml:space="preserve"> registration details on </w:t>
      </w:r>
      <w:r w:rsidR="0052682D">
        <w:rPr>
          <w:lang w:eastAsia="ja-JP"/>
        </w:rPr>
        <w:t>our</w:t>
      </w:r>
      <w:r w:rsidR="00F8451B">
        <w:rPr>
          <w:lang w:eastAsia="ja-JP"/>
        </w:rPr>
        <w:t xml:space="preserve"> </w:t>
      </w:r>
      <w:hyperlink r:id="rId33" w:history="1">
        <w:r w:rsidR="0091295A">
          <w:rPr>
            <w:rStyle w:val="Hyperlink"/>
            <w:lang w:eastAsia="ja-JP"/>
          </w:rPr>
          <w:t>Chemical and mined fertiliser</w:t>
        </w:r>
      </w:hyperlink>
      <w:r w:rsidR="0091295A">
        <w:t xml:space="preserve"> webpage</w:t>
      </w:r>
      <w:r w:rsidR="00F8451B">
        <w:rPr>
          <w:lang w:eastAsia="ja-JP"/>
        </w:rPr>
        <w:t>, including</w:t>
      </w:r>
    </w:p>
    <w:p w14:paraId="5DDE552A" w14:textId="2F2D4FAA" w:rsidR="00F8451B" w:rsidRDefault="00155EC0" w:rsidP="00F8451B">
      <w:pPr>
        <w:pStyle w:val="ListBullet2"/>
        <w:rPr>
          <w:lang w:eastAsia="ja-JP"/>
        </w:rPr>
      </w:pPr>
      <w:r>
        <w:rPr>
          <w:lang w:eastAsia="ja-JP"/>
        </w:rPr>
        <w:t>m</w:t>
      </w:r>
      <w:r w:rsidR="00F8451B">
        <w:rPr>
          <w:lang w:eastAsia="ja-JP"/>
        </w:rPr>
        <w:t>anufacturer</w:t>
      </w:r>
      <w:r w:rsidR="000577C1">
        <w:rPr>
          <w:lang w:eastAsia="ja-JP"/>
        </w:rPr>
        <w:t xml:space="preserve">, </w:t>
      </w:r>
      <w:r w:rsidR="00F8451B">
        <w:rPr>
          <w:lang w:eastAsia="ja-JP"/>
        </w:rPr>
        <w:t>supplier</w:t>
      </w:r>
      <w:r w:rsidR="000577C1">
        <w:rPr>
          <w:lang w:eastAsia="ja-JP"/>
        </w:rPr>
        <w:t xml:space="preserve"> or </w:t>
      </w:r>
      <w:r w:rsidR="00F8451B">
        <w:rPr>
          <w:lang w:eastAsia="ja-JP"/>
        </w:rPr>
        <w:t>offshore entity name and AEI</w:t>
      </w:r>
    </w:p>
    <w:p w14:paraId="35760439" w14:textId="7855FC54" w:rsidR="00F8451B" w:rsidRDefault="00155EC0" w:rsidP="00F8451B">
      <w:pPr>
        <w:pStyle w:val="ListBullet2"/>
        <w:rPr>
          <w:lang w:eastAsia="ja-JP"/>
        </w:rPr>
      </w:pPr>
      <w:r>
        <w:rPr>
          <w:lang w:eastAsia="ja-JP"/>
        </w:rPr>
        <w:t>c</w:t>
      </w:r>
      <w:r w:rsidR="00F8451B">
        <w:rPr>
          <w:lang w:eastAsia="ja-JP"/>
        </w:rPr>
        <w:t>ontact details</w:t>
      </w:r>
    </w:p>
    <w:p w14:paraId="0B8CE1FE" w14:textId="15BE1EF9" w:rsidR="00F8451B" w:rsidRDefault="00EB5A4F" w:rsidP="00F8451B">
      <w:pPr>
        <w:pStyle w:val="ListBullet2"/>
        <w:rPr>
          <w:lang w:eastAsia="ja-JP"/>
        </w:rPr>
      </w:pPr>
      <w:r>
        <w:rPr>
          <w:lang w:eastAsia="ja-JP"/>
        </w:rPr>
        <w:t>a</w:t>
      </w:r>
      <w:r w:rsidR="00F8451B">
        <w:rPr>
          <w:lang w:eastAsia="ja-JP"/>
        </w:rPr>
        <w:t>pproved fertiliser types</w:t>
      </w:r>
    </w:p>
    <w:p w14:paraId="36C6743D" w14:textId="550A68F2" w:rsidR="00F8451B" w:rsidRDefault="00EB5A4F" w:rsidP="00F8451B">
      <w:pPr>
        <w:pStyle w:val="ListBullet2"/>
        <w:rPr>
          <w:lang w:eastAsia="ja-JP"/>
        </w:rPr>
      </w:pPr>
      <w:r>
        <w:rPr>
          <w:lang w:eastAsia="ja-JP"/>
        </w:rPr>
        <w:t>m</w:t>
      </w:r>
      <w:r w:rsidR="00F8451B">
        <w:rPr>
          <w:lang w:eastAsia="ja-JP"/>
        </w:rPr>
        <w:t>anufacturer</w:t>
      </w:r>
      <w:r w:rsidR="00F86379">
        <w:rPr>
          <w:lang w:eastAsia="ja-JP"/>
        </w:rPr>
        <w:t xml:space="preserve">, </w:t>
      </w:r>
      <w:r w:rsidR="00F8451B">
        <w:rPr>
          <w:lang w:eastAsia="ja-JP"/>
        </w:rPr>
        <w:t>supplier</w:t>
      </w:r>
      <w:r w:rsidR="00F86379">
        <w:rPr>
          <w:lang w:eastAsia="ja-JP"/>
        </w:rPr>
        <w:t xml:space="preserve"> or </w:t>
      </w:r>
      <w:r w:rsidR="00F8451B">
        <w:rPr>
          <w:lang w:eastAsia="ja-JP"/>
        </w:rPr>
        <w:t>offshore entity</w:t>
      </w:r>
      <w:r w:rsidR="0052682D">
        <w:rPr>
          <w:lang w:eastAsia="ja-JP"/>
        </w:rPr>
        <w:t>’s</w:t>
      </w:r>
      <w:r w:rsidR="00F8451B">
        <w:rPr>
          <w:lang w:eastAsia="ja-JP"/>
        </w:rPr>
        <w:t xml:space="preserve"> physical address</w:t>
      </w:r>
    </w:p>
    <w:p w14:paraId="76660D04" w14:textId="2F8AA766" w:rsidR="00F8451B" w:rsidRDefault="00EB5A4F" w:rsidP="00F8451B">
      <w:pPr>
        <w:pStyle w:val="ListBullet2"/>
        <w:rPr>
          <w:lang w:eastAsia="ja-JP"/>
        </w:rPr>
      </w:pPr>
      <w:r>
        <w:rPr>
          <w:lang w:eastAsia="ja-JP"/>
        </w:rPr>
        <w:t>l</w:t>
      </w:r>
      <w:r w:rsidR="00F8451B">
        <w:rPr>
          <w:lang w:eastAsia="ja-JP"/>
        </w:rPr>
        <w:t>oading location (port</w:t>
      </w:r>
      <w:r>
        <w:rPr>
          <w:lang w:eastAsia="ja-JP"/>
        </w:rPr>
        <w:t>s or</w:t>
      </w:r>
      <w:r w:rsidR="00F8451B">
        <w:rPr>
          <w:lang w:eastAsia="ja-JP"/>
        </w:rPr>
        <w:t xml:space="preserve"> countr</w:t>
      </w:r>
      <w:r w:rsidR="006A1F2D">
        <w:rPr>
          <w:lang w:eastAsia="ja-JP"/>
        </w:rPr>
        <w:t>y</w:t>
      </w:r>
      <w:r w:rsidR="00F8451B">
        <w:rPr>
          <w:lang w:eastAsia="ja-JP"/>
        </w:rPr>
        <w:t>).</w:t>
      </w:r>
    </w:p>
    <w:p w14:paraId="22881179" w14:textId="4F1093BE" w:rsidR="00F8451B" w:rsidRPr="001227AD" w:rsidRDefault="00A7700C" w:rsidP="001227AD">
      <w:r>
        <w:rPr>
          <w:lang w:eastAsia="ja-JP"/>
        </w:rPr>
        <w:t xml:space="preserve">Offshore registered entities that do not consent to their details being published can </w:t>
      </w:r>
      <w:r w:rsidR="000F7AD9">
        <w:rPr>
          <w:lang w:eastAsia="ja-JP"/>
        </w:rPr>
        <w:t xml:space="preserve">indicate their wish to </w:t>
      </w:r>
      <w:r>
        <w:rPr>
          <w:lang w:eastAsia="ja-JP"/>
        </w:rPr>
        <w:t xml:space="preserve">opt out </w:t>
      </w:r>
      <w:r w:rsidR="000F7AD9">
        <w:rPr>
          <w:lang w:eastAsia="ja-JP"/>
        </w:rPr>
        <w:t xml:space="preserve">in Section C of the </w:t>
      </w:r>
      <w:hyperlink r:id="rId34" w:anchor="draft_policy_documents" w:history="1">
        <w:r w:rsidR="0075163D" w:rsidRPr="001227AD">
          <w:rPr>
            <w:rStyle w:val="Hyperlink"/>
          </w:rPr>
          <w:t>Attachment 1: Imported inorganic fertiliser entity registration application</w:t>
        </w:r>
      </w:hyperlink>
      <w:r w:rsidRPr="001227AD">
        <w:t>.</w:t>
      </w:r>
    </w:p>
    <w:p w14:paraId="303560A3" w14:textId="2173D515" w:rsidR="00253339" w:rsidRDefault="00253339" w:rsidP="003F3184">
      <w:pPr>
        <w:pStyle w:val="Heading4"/>
        <w:spacing w:before="120" w:after="120"/>
        <w:rPr>
          <w:lang w:eastAsia="ja-JP"/>
        </w:rPr>
      </w:pPr>
      <w:r w:rsidRPr="00FE2AA9">
        <w:rPr>
          <w:rFonts w:eastAsiaTheme="minorHAnsi"/>
          <w:lang w:eastAsia="ja-JP"/>
        </w:rPr>
        <w:t>Maintaining registration</w:t>
      </w:r>
      <w:r w:rsidR="00EE0950">
        <w:rPr>
          <w:rFonts w:eastAsiaTheme="minorHAnsi"/>
          <w:lang w:eastAsia="ja-JP"/>
        </w:rPr>
        <w:t>:</w:t>
      </w:r>
      <w:r w:rsidR="00EE0950" w:rsidRPr="00EE0950">
        <w:rPr>
          <w:lang w:eastAsia="ja-JP"/>
        </w:rPr>
        <w:t xml:space="preserve"> </w:t>
      </w:r>
      <w:r w:rsidR="00EE0950">
        <w:rPr>
          <w:lang w:eastAsia="ja-JP"/>
        </w:rPr>
        <w:t>Level 1</w:t>
      </w:r>
    </w:p>
    <w:p w14:paraId="0AC908A3" w14:textId="02770B4B" w:rsidR="00253339" w:rsidRDefault="00253339" w:rsidP="00253339">
      <w:pPr>
        <w:rPr>
          <w:lang w:eastAsia="ja-JP"/>
        </w:rPr>
      </w:pPr>
      <w:r>
        <w:rPr>
          <w:lang w:eastAsia="ja-JP"/>
        </w:rPr>
        <w:t xml:space="preserve">For a </w:t>
      </w:r>
      <w:r w:rsidR="00056D31">
        <w:rPr>
          <w:lang w:eastAsia="ja-JP"/>
        </w:rPr>
        <w:t>Level 1</w:t>
      </w:r>
      <w:r w:rsidR="00BA4D9A">
        <w:rPr>
          <w:lang w:eastAsia="ja-JP"/>
        </w:rPr>
        <w:t xml:space="preserve"> </w:t>
      </w:r>
      <w:r>
        <w:rPr>
          <w:lang w:eastAsia="ja-JP"/>
        </w:rPr>
        <w:t>registered offshore entity to maintain its registered status, it must:</w:t>
      </w:r>
    </w:p>
    <w:p w14:paraId="5D5D0A43" w14:textId="35D72FEE" w:rsidR="00253339" w:rsidRDefault="000577C1" w:rsidP="00494435">
      <w:pPr>
        <w:pStyle w:val="ListBullet"/>
        <w:rPr>
          <w:lang w:eastAsia="ja-JP"/>
        </w:rPr>
      </w:pPr>
      <w:r>
        <w:rPr>
          <w:lang w:eastAsia="ja-JP"/>
        </w:rPr>
        <w:t>e</w:t>
      </w:r>
      <w:r w:rsidR="00253339">
        <w:rPr>
          <w:lang w:eastAsia="ja-JP"/>
        </w:rPr>
        <w:t>nsure all exported consignments of inorganic fertiliser exported to Australia comply with relevant importing conditions</w:t>
      </w:r>
    </w:p>
    <w:p w14:paraId="555F9D41" w14:textId="44EAF0B8" w:rsidR="00253339" w:rsidRDefault="000577C1" w:rsidP="00494435">
      <w:pPr>
        <w:pStyle w:val="ListBullet"/>
        <w:rPr>
          <w:lang w:eastAsia="ja-JP"/>
        </w:rPr>
      </w:pPr>
      <w:r>
        <w:rPr>
          <w:lang w:eastAsia="ja-JP"/>
        </w:rPr>
        <w:t>e</w:t>
      </w:r>
      <w:r w:rsidR="00253339">
        <w:rPr>
          <w:lang w:eastAsia="ja-JP"/>
        </w:rPr>
        <w:t>nsure all consignments of inorganic fertiliser arrive in Australia clean and free from biosecurity risk material</w:t>
      </w:r>
    </w:p>
    <w:p w14:paraId="41657137" w14:textId="10EF6921" w:rsidR="001F063E" w:rsidRDefault="000577C1" w:rsidP="001F063E">
      <w:pPr>
        <w:pStyle w:val="ListBullet"/>
        <w:rPr>
          <w:lang w:eastAsia="ja-JP"/>
        </w:rPr>
      </w:pPr>
      <w:r w:rsidRPr="00C60DA8">
        <w:rPr>
          <w:lang w:eastAsia="ja-JP"/>
        </w:rPr>
        <w:t>p</w:t>
      </w:r>
      <w:r w:rsidR="00253339" w:rsidRPr="00C60DA8">
        <w:rPr>
          <w:lang w:eastAsia="ja-JP"/>
        </w:rPr>
        <w:t>ass an</w:t>
      </w:r>
      <w:r w:rsidR="00A952D5" w:rsidRPr="00C60DA8">
        <w:rPr>
          <w:lang w:eastAsia="ja-JP"/>
        </w:rPr>
        <w:t xml:space="preserve"> </w:t>
      </w:r>
      <w:bookmarkStart w:id="42" w:name="_Hlk215067590"/>
      <w:r w:rsidR="00C60DA8" w:rsidRPr="001227AD">
        <w:rPr>
          <w:lang w:eastAsia="ja-JP"/>
        </w:rPr>
        <w:t xml:space="preserve">independent </w:t>
      </w:r>
      <w:r w:rsidR="00253339" w:rsidRPr="00C60DA8">
        <w:rPr>
          <w:lang w:eastAsia="ja-JP"/>
        </w:rPr>
        <w:t>on-site third</w:t>
      </w:r>
      <w:r w:rsidR="00253339">
        <w:rPr>
          <w:lang w:eastAsia="ja-JP"/>
        </w:rPr>
        <w:t xml:space="preserve">-party audit </w:t>
      </w:r>
      <w:bookmarkEnd w:id="42"/>
      <w:r w:rsidR="00253339">
        <w:rPr>
          <w:lang w:eastAsia="ja-JP"/>
        </w:rPr>
        <w:t>(</w:t>
      </w:r>
      <w:hyperlink w:anchor="_Ongoing_audit_requirements" w:history="1">
        <w:r w:rsidR="00ED2711" w:rsidRPr="00ED2711">
          <w:rPr>
            <w:rStyle w:val="Hyperlink"/>
            <w:lang w:eastAsia="ja-JP"/>
          </w:rPr>
          <w:t>section 2.2.7</w:t>
        </w:r>
      </w:hyperlink>
      <w:r w:rsidR="00253339" w:rsidRPr="00B67E52">
        <w:rPr>
          <w:lang w:eastAsia="ja-JP"/>
        </w:rPr>
        <w:t>)</w:t>
      </w:r>
      <w:r w:rsidR="0099055A">
        <w:rPr>
          <w:lang w:eastAsia="ja-JP"/>
        </w:rPr>
        <w:t>,</w:t>
      </w:r>
      <w:r w:rsidR="00253339" w:rsidRPr="00B67E52">
        <w:rPr>
          <w:lang w:eastAsia="ja-JP"/>
        </w:rPr>
        <w:t xml:space="preserve"> </w:t>
      </w:r>
      <w:r w:rsidR="00A952D5">
        <w:rPr>
          <w:lang w:eastAsia="ja-JP"/>
        </w:rPr>
        <w:t xml:space="preserve">which will be </w:t>
      </w:r>
      <w:r w:rsidR="005934E0">
        <w:rPr>
          <w:lang w:eastAsia="ja-JP"/>
        </w:rPr>
        <w:t xml:space="preserve">requested </w:t>
      </w:r>
      <w:r w:rsidR="00A952D5">
        <w:rPr>
          <w:lang w:eastAsia="ja-JP"/>
        </w:rPr>
        <w:t xml:space="preserve">by the department </w:t>
      </w:r>
      <w:r w:rsidR="005934E0">
        <w:rPr>
          <w:lang w:eastAsia="ja-JP"/>
        </w:rPr>
        <w:t>on an as</w:t>
      </w:r>
      <w:r w:rsidR="00625F32">
        <w:rPr>
          <w:lang w:eastAsia="ja-JP"/>
        </w:rPr>
        <w:t>-</w:t>
      </w:r>
      <w:r w:rsidR="005934E0">
        <w:rPr>
          <w:lang w:eastAsia="ja-JP"/>
        </w:rPr>
        <w:t>need</w:t>
      </w:r>
      <w:r w:rsidR="00625F32">
        <w:rPr>
          <w:lang w:eastAsia="ja-JP"/>
        </w:rPr>
        <w:t>ed</w:t>
      </w:r>
      <w:r w:rsidR="005934E0">
        <w:rPr>
          <w:lang w:eastAsia="ja-JP"/>
        </w:rPr>
        <w:t xml:space="preserve"> basis</w:t>
      </w:r>
      <w:r w:rsidR="00625F32">
        <w:rPr>
          <w:lang w:eastAsia="ja-JP"/>
        </w:rPr>
        <w:t>.</w:t>
      </w:r>
    </w:p>
    <w:p w14:paraId="05AD25EA" w14:textId="35805866" w:rsidR="00B159CD" w:rsidRDefault="00B159CD" w:rsidP="00185A89">
      <w:pPr>
        <w:pStyle w:val="ListBullet"/>
        <w:numPr>
          <w:ilvl w:val="0"/>
          <w:numId w:val="0"/>
        </w:numPr>
        <w:rPr>
          <w:lang w:eastAsia="ja-JP"/>
        </w:rPr>
      </w:pPr>
      <w:r>
        <w:rPr>
          <w:lang w:eastAsia="ja-JP"/>
        </w:rPr>
        <w:t>Level 1 Gold Status is provided to offshore entities with at least 10 continuously compliant loads over 5 years.</w:t>
      </w:r>
    </w:p>
    <w:p w14:paraId="03FCCBA6" w14:textId="69DA49E4" w:rsidR="001F063E" w:rsidRDefault="001F063E" w:rsidP="005934E0">
      <w:pPr>
        <w:pStyle w:val="ListBullet"/>
        <w:numPr>
          <w:ilvl w:val="0"/>
          <w:numId w:val="0"/>
        </w:numPr>
        <w:rPr>
          <w:lang w:eastAsia="ja-JP"/>
        </w:rPr>
      </w:pPr>
      <w:r>
        <w:rPr>
          <w:lang w:eastAsia="ja-JP"/>
        </w:rPr>
        <w:t>A registered offshore entity may withdraw its registration status voluntarily at any time.</w:t>
      </w:r>
    </w:p>
    <w:p w14:paraId="12EE4351" w14:textId="2756D844" w:rsidR="00253339" w:rsidRDefault="00253339" w:rsidP="003F3184">
      <w:pPr>
        <w:pStyle w:val="Heading4"/>
        <w:spacing w:before="120" w:after="120"/>
        <w:rPr>
          <w:lang w:eastAsia="ja-JP"/>
        </w:rPr>
      </w:pPr>
      <w:bookmarkStart w:id="43" w:name="_Ongoing_audit_requirements"/>
      <w:bookmarkEnd w:id="43"/>
      <w:r w:rsidRPr="00FE2AA9">
        <w:rPr>
          <w:rFonts w:eastAsiaTheme="minorHAnsi"/>
          <w:lang w:eastAsia="ja-JP"/>
        </w:rPr>
        <w:lastRenderedPageBreak/>
        <w:t>Ongoing audit requirements</w:t>
      </w:r>
      <w:r w:rsidR="003542B9">
        <w:rPr>
          <w:rFonts w:eastAsiaTheme="minorHAnsi"/>
          <w:lang w:eastAsia="ja-JP"/>
        </w:rPr>
        <w:t xml:space="preserve">: </w:t>
      </w:r>
      <w:r w:rsidR="003542B9">
        <w:rPr>
          <w:lang w:eastAsia="ja-JP"/>
        </w:rPr>
        <w:t>Level 1 and Level 2</w:t>
      </w:r>
    </w:p>
    <w:p w14:paraId="599948F3" w14:textId="761AC7A6" w:rsidR="00253339" w:rsidRDefault="00253339" w:rsidP="00253339">
      <w:pPr>
        <w:rPr>
          <w:lang w:eastAsia="ja-JP"/>
        </w:rPr>
      </w:pPr>
      <w:r>
        <w:rPr>
          <w:lang w:eastAsia="ja-JP"/>
        </w:rPr>
        <w:t>To maintain</w:t>
      </w:r>
      <w:r w:rsidR="00056D31">
        <w:rPr>
          <w:lang w:eastAsia="ja-JP"/>
        </w:rPr>
        <w:t xml:space="preserve"> Level 1</w:t>
      </w:r>
      <w:r w:rsidR="00A952D5">
        <w:rPr>
          <w:lang w:eastAsia="ja-JP"/>
        </w:rPr>
        <w:t xml:space="preserve"> and </w:t>
      </w:r>
      <w:r w:rsidR="003542B9">
        <w:rPr>
          <w:lang w:eastAsia="ja-JP"/>
        </w:rPr>
        <w:t xml:space="preserve">Level </w:t>
      </w:r>
      <w:r w:rsidR="00A952D5">
        <w:rPr>
          <w:lang w:eastAsia="ja-JP"/>
        </w:rPr>
        <w:t>2</w:t>
      </w:r>
      <w:r>
        <w:rPr>
          <w:lang w:eastAsia="ja-JP"/>
        </w:rPr>
        <w:t xml:space="preserve"> registration, registered offshore entities must pass periodic </w:t>
      </w:r>
      <w:bookmarkStart w:id="44" w:name="_Hlk215067650"/>
      <w:r>
        <w:rPr>
          <w:lang w:eastAsia="ja-JP"/>
        </w:rPr>
        <w:t xml:space="preserve">independent third-party </w:t>
      </w:r>
      <w:r w:rsidR="00C60DA8">
        <w:rPr>
          <w:lang w:eastAsia="ja-JP"/>
        </w:rPr>
        <w:t xml:space="preserve">on-site </w:t>
      </w:r>
      <w:r>
        <w:rPr>
          <w:lang w:eastAsia="ja-JP"/>
        </w:rPr>
        <w:t>audits</w:t>
      </w:r>
      <w:bookmarkEnd w:id="44"/>
      <w:r>
        <w:rPr>
          <w:lang w:eastAsia="ja-JP"/>
        </w:rPr>
        <w:t xml:space="preserve"> conducted on all elements of </w:t>
      </w:r>
      <w:r w:rsidR="003542B9">
        <w:rPr>
          <w:lang w:eastAsia="ja-JP"/>
        </w:rPr>
        <w:t>their</w:t>
      </w:r>
      <w:r>
        <w:rPr>
          <w:lang w:eastAsia="ja-JP"/>
        </w:rPr>
        <w:t xml:space="preserve"> supply chain biosecurity risk management practices and provide a copy of the associated audit report to the department for desktop assessment.</w:t>
      </w:r>
    </w:p>
    <w:p w14:paraId="30662A9C" w14:textId="71B744CF" w:rsidR="000A408E" w:rsidRDefault="00E23E9A" w:rsidP="00253339">
      <w:pPr>
        <w:rPr>
          <w:lang w:eastAsia="ja-JP"/>
        </w:rPr>
      </w:pPr>
      <w:r>
        <w:rPr>
          <w:lang w:eastAsia="ja-JP"/>
        </w:rPr>
        <w:t>We will request audit reports from</w:t>
      </w:r>
      <w:r w:rsidR="006009CC">
        <w:rPr>
          <w:lang w:eastAsia="ja-JP"/>
        </w:rPr>
        <w:t xml:space="preserve"> independent</w:t>
      </w:r>
      <w:r>
        <w:rPr>
          <w:lang w:eastAsia="ja-JP"/>
        </w:rPr>
        <w:t xml:space="preserve"> third-party auditors on an as-needed basis. When requested, audit reports presented to us will be the most recent audit conducted and no older than 12 months from the date of request</w:t>
      </w:r>
      <w:r w:rsidR="005934E0">
        <w:rPr>
          <w:lang w:eastAsia="ja-JP"/>
        </w:rPr>
        <w:t xml:space="preserve">. </w:t>
      </w:r>
      <w:r w:rsidR="00EF73AD">
        <w:rPr>
          <w:lang w:eastAsia="ja-JP"/>
        </w:rPr>
        <w:t>We</w:t>
      </w:r>
      <w:r w:rsidR="00253339">
        <w:rPr>
          <w:lang w:eastAsia="ja-JP"/>
        </w:rPr>
        <w:t xml:space="preserve"> will advise registered offshore entities</w:t>
      </w:r>
      <w:r w:rsidR="00A952D5">
        <w:rPr>
          <w:lang w:eastAsia="ja-JP"/>
        </w:rPr>
        <w:t xml:space="preserve"> and sponsors</w:t>
      </w:r>
      <w:r w:rsidR="00253339">
        <w:rPr>
          <w:lang w:eastAsia="ja-JP"/>
        </w:rPr>
        <w:t xml:space="preserve"> when audits are </w:t>
      </w:r>
      <w:r w:rsidR="009420E5">
        <w:rPr>
          <w:lang w:eastAsia="ja-JP"/>
        </w:rPr>
        <w:t>to be submitted</w:t>
      </w:r>
      <w:r w:rsidR="00444CAD">
        <w:rPr>
          <w:lang w:eastAsia="ja-JP"/>
        </w:rPr>
        <w:t xml:space="preserve">. Audits must be completed within </w:t>
      </w:r>
      <w:r w:rsidR="00444CAD" w:rsidRPr="0029326F">
        <w:rPr>
          <w:lang w:eastAsia="ja-JP"/>
        </w:rPr>
        <w:t>6</w:t>
      </w:r>
      <w:r w:rsidR="000577C1">
        <w:rPr>
          <w:lang w:eastAsia="ja-JP"/>
        </w:rPr>
        <w:t xml:space="preserve"> </w:t>
      </w:r>
      <w:r w:rsidR="00444CAD">
        <w:rPr>
          <w:lang w:eastAsia="ja-JP"/>
        </w:rPr>
        <w:t xml:space="preserve">months of the notification to </w:t>
      </w:r>
      <w:r w:rsidR="00EF73AD">
        <w:rPr>
          <w:lang w:eastAsia="ja-JP"/>
        </w:rPr>
        <w:t>enable</w:t>
      </w:r>
      <w:r w:rsidR="00444CAD">
        <w:rPr>
          <w:lang w:eastAsia="ja-JP"/>
        </w:rPr>
        <w:t xml:space="preserve"> sponsors to co-ordinate and group their audits</w:t>
      </w:r>
      <w:r w:rsidR="00EF73AD">
        <w:rPr>
          <w:lang w:eastAsia="ja-JP"/>
        </w:rPr>
        <w:t xml:space="preserve"> efficiently</w:t>
      </w:r>
      <w:r w:rsidR="00444CAD">
        <w:rPr>
          <w:lang w:eastAsia="ja-JP"/>
        </w:rPr>
        <w:t>.</w:t>
      </w:r>
    </w:p>
    <w:p w14:paraId="612DA384" w14:textId="43B77597" w:rsidR="00672D3B" w:rsidRDefault="00672D3B" w:rsidP="00672D3B">
      <w:pPr>
        <w:spacing w:before="120" w:after="120"/>
        <w:rPr>
          <w:lang w:eastAsia="ja-JP"/>
        </w:rPr>
      </w:pPr>
      <w:r w:rsidRPr="00EF73AD">
        <w:rPr>
          <w:lang w:eastAsia="ja-JP"/>
        </w:rPr>
        <w:t>Learn more about requirements for the third-party on-site audit</w:t>
      </w:r>
      <w:r w:rsidR="00EF73AD" w:rsidRPr="005934E0">
        <w:rPr>
          <w:lang w:eastAsia="ja-JP"/>
        </w:rPr>
        <w:t>s</w:t>
      </w:r>
      <w:r w:rsidRPr="00EF73AD">
        <w:rPr>
          <w:lang w:eastAsia="ja-JP"/>
        </w:rPr>
        <w:t xml:space="preserve"> in </w:t>
      </w:r>
      <w:hyperlink r:id="rId35" w:anchor="draft_policy_documents" w:history="1">
        <w:r w:rsidR="00EF73AD" w:rsidRPr="005934E0">
          <w:rPr>
            <w:rStyle w:val="Hyperlink"/>
          </w:rPr>
          <w:t>Attachment 2: Independent third-party on-site audit template</w:t>
        </w:r>
      </w:hyperlink>
      <w:r w:rsidRPr="00EF73AD">
        <w:rPr>
          <w:lang w:eastAsia="ja-JP"/>
        </w:rPr>
        <w:t>.</w:t>
      </w:r>
    </w:p>
    <w:p w14:paraId="1209B250" w14:textId="2BA53074" w:rsidR="00253339" w:rsidRDefault="00EF73AD" w:rsidP="00253339">
      <w:pPr>
        <w:rPr>
          <w:lang w:eastAsia="ja-JP"/>
        </w:rPr>
      </w:pPr>
      <w:r>
        <w:rPr>
          <w:lang w:eastAsia="ja-JP"/>
        </w:rPr>
        <w:t>Email c</w:t>
      </w:r>
      <w:r w:rsidR="00253339">
        <w:rPr>
          <w:lang w:eastAsia="ja-JP"/>
        </w:rPr>
        <w:t xml:space="preserve">ompleted audit reports and any supporting documentation in English to </w:t>
      </w:r>
      <w:r w:rsidR="00ED2711">
        <w:rPr>
          <w:lang w:eastAsia="ja-JP"/>
        </w:rPr>
        <w:t>our</w:t>
      </w:r>
      <w:r w:rsidR="00253339">
        <w:rPr>
          <w:lang w:eastAsia="ja-JP"/>
        </w:rPr>
        <w:t xml:space="preserve"> Audit and Assurance </w:t>
      </w:r>
      <w:r w:rsidR="00253339" w:rsidRPr="00EF73AD">
        <w:rPr>
          <w:lang w:eastAsia="ja-JP"/>
        </w:rPr>
        <w:t xml:space="preserve">Branch </w:t>
      </w:r>
      <w:r w:rsidRPr="00EF73AD">
        <w:rPr>
          <w:lang w:eastAsia="ja-JP"/>
        </w:rPr>
        <w:t>at</w:t>
      </w:r>
      <w:r w:rsidR="00253339" w:rsidRPr="00EF73AD">
        <w:rPr>
          <w:lang w:eastAsia="ja-JP"/>
        </w:rPr>
        <w:t xml:space="preserve"> </w:t>
      </w:r>
      <w:hyperlink r:id="rId36" w:history="1">
        <w:r w:rsidR="00B35BA3" w:rsidRPr="00EF73AD">
          <w:rPr>
            <w:rStyle w:val="Hyperlink"/>
            <w:lang w:eastAsia="ja-JP"/>
          </w:rPr>
          <w:t>AuditServices@aff.gov.au</w:t>
        </w:r>
      </w:hyperlink>
      <w:r w:rsidR="00253339" w:rsidRPr="00EF73AD">
        <w:rPr>
          <w:lang w:eastAsia="ja-JP"/>
        </w:rPr>
        <w:t xml:space="preserve">. </w:t>
      </w:r>
      <w:r w:rsidRPr="00EF73AD">
        <w:rPr>
          <w:lang w:eastAsia="ja-JP"/>
        </w:rPr>
        <w:t>We will conduct</w:t>
      </w:r>
      <w:r>
        <w:rPr>
          <w:lang w:eastAsia="ja-JP"/>
        </w:rPr>
        <w:t xml:space="preserve"> a</w:t>
      </w:r>
      <w:r w:rsidR="00672D3B">
        <w:rPr>
          <w:lang w:eastAsia="ja-JP"/>
        </w:rPr>
        <w:t> </w:t>
      </w:r>
      <w:r w:rsidR="00253339">
        <w:rPr>
          <w:lang w:eastAsia="ja-JP"/>
        </w:rPr>
        <w:t>desktop assessment of the audit report to determine the suitability of the entity to maintain its registration.</w:t>
      </w:r>
    </w:p>
    <w:p w14:paraId="54E78638" w14:textId="788AADA7" w:rsidR="0029326F" w:rsidRDefault="00EF73AD" w:rsidP="00253339">
      <w:pPr>
        <w:rPr>
          <w:lang w:eastAsia="ja-JP"/>
        </w:rPr>
      </w:pPr>
      <w:r>
        <w:rPr>
          <w:lang w:eastAsia="ja-JP"/>
        </w:rPr>
        <w:t>P</w:t>
      </w:r>
      <w:r w:rsidR="00253339">
        <w:rPr>
          <w:lang w:eastAsia="ja-JP"/>
        </w:rPr>
        <w:t xml:space="preserve">rocessing </w:t>
      </w:r>
      <w:r>
        <w:rPr>
          <w:lang w:eastAsia="ja-JP"/>
        </w:rPr>
        <w:t>takes</w:t>
      </w:r>
      <w:r w:rsidR="00253339">
        <w:rPr>
          <w:lang w:eastAsia="ja-JP"/>
        </w:rPr>
        <w:t xml:space="preserve"> up to 6 weeks (30 working days)</w:t>
      </w:r>
      <w:r>
        <w:rPr>
          <w:lang w:eastAsia="ja-JP"/>
        </w:rPr>
        <w:t>,</w:t>
      </w:r>
      <w:r w:rsidR="00253339">
        <w:rPr>
          <w:lang w:eastAsia="ja-JP"/>
        </w:rPr>
        <w:t xml:space="preserve"> from receipt of the complete audit report.</w:t>
      </w:r>
    </w:p>
    <w:p w14:paraId="40177116" w14:textId="72025438" w:rsidR="00253339" w:rsidRDefault="00253339" w:rsidP="003F3184">
      <w:pPr>
        <w:pStyle w:val="Heading4"/>
        <w:spacing w:before="120" w:after="120"/>
        <w:rPr>
          <w:lang w:eastAsia="ja-JP"/>
        </w:rPr>
      </w:pPr>
      <w:bookmarkStart w:id="45" w:name="_Unregistered_entity"/>
      <w:bookmarkStart w:id="46" w:name="_Unregistered_entity_(Level"/>
      <w:bookmarkStart w:id="47" w:name="_Hlk198878403"/>
      <w:bookmarkEnd w:id="45"/>
      <w:bookmarkEnd w:id="46"/>
      <w:r w:rsidRPr="00FE2AA9">
        <w:rPr>
          <w:rFonts w:eastAsiaTheme="minorHAnsi"/>
          <w:lang w:eastAsia="ja-JP"/>
        </w:rPr>
        <w:t xml:space="preserve">Unregistered </w:t>
      </w:r>
      <w:r w:rsidRPr="00E539E7">
        <w:rPr>
          <w:rFonts w:eastAsiaTheme="minorHAnsi"/>
          <w:lang w:eastAsia="ja-JP"/>
        </w:rPr>
        <w:t>entity</w:t>
      </w:r>
      <w:r w:rsidR="00E539E7" w:rsidRPr="00E539E7">
        <w:rPr>
          <w:rFonts w:eastAsiaTheme="minorHAnsi"/>
          <w:lang w:eastAsia="ja-JP"/>
        </w:rPr>
        <w:t>:</w:t>
      </w:r>
      <w:r w:rsidR="00E539E7" w:rsidRPr="00E17E88">
        <w:rPr>
          <w:lang w:eastAsia="ja-JP"/>
        </w:rPr>
        <w:t xml:space="preserve"> L</w:t>
      </w:r>
      <w:r w:rsidR="00E539E7" w:rsidRPr="00E539E7">
        <w:rPr>
          <w:lang w:eastAsia="ja-JP"/>
        </w:rPr>
        <w:t>evel</w:t>
      </w:r>
      <w:r w:rsidR="00E539E7">
        <w:rPr>
          <w:lang w:eastAsia="ja-JP"/>
        </w:rPr>
        <w:t xml:space="preserve"> 3</w:t>
      </w:r>
    </w:p>
    <w:p w14:paraId="5E5A2B90" w14:textId="5DA2EF63" w:rsidR="00253339" w:rsidRDefault="00253339" w:rsidP="00253339">
      <w:pPr>
        <w:rPr>
          <w:lang w:eastAsia="ja-JP"/>
        </w:rPr>
      </w:pPr>
      <w:r>
        <w:rPr>
          <w:lang w:eastAsia="ja-JP"/>
        </w:rPr>
        <w:t xml:space="preserve">Consignments from unregistered entities are considered </w:t>
      </w:r>
      <w:r w:rsidR="00056D31">
        <w:rPr>
          <w:lang w:eastAsia="ja-JP"/>
        </w:rPr>
        <w:t>Level 3</w:t>
      </w:r>
      <w:r>
        <w:rPr>
          <w:lang w:eastAsia="ja-JP"/>
        </w:rPr>
        <w:t xml:space="preserve"> and receive increased biosecurity intervention on arrival in Australia.</w:t>
      </w:r>
    </w:p>
    <w:p w14:paraId="4F52F342" w14:textId="69CAA64A" w:rsidR="00A97F4A" w:rsidRPr="003B0E9C" w:rsidRDefault="00253339" w:rsidP="008E63FF">
      <w:pPr>
        <w:rPr>
          <w:lang w:eastAsia="ja-JP"/>
        </w:rPr>
      </w:pPr>
      <w:r>
        <w:rPr>
          <w:lang w:eastAsia="ja-JP"/>
        </w:rPr>
        <w:t>There are no maintenance requirements (</w:t>
      </w:r>
      <w:r w:rsidR="00DB7AA4">
        <w:rPr>
          <w:lang w:eastAsia="ja-JP"/>
        </w:rPr>
        <w:t>e.g.</w:t>
      </w:r>
      <w:r>
        <w:rPr>
          <w:lang w:eastAsia="ja-JP"/>
        </w:rPr>
        <w:t xml:space="preserve"> audits) for unregistered supply chains</w:t>
      </w:r>
      <w:r w:rsidR="0029326F">
        <w:rPr>
          <w:lang w:eastAsia="ja-JP"/>
        </w:rPr>
        <w:t>. H</w:t>
      </w:r>
      <w:r>
        <w:rPr>
          <w:lang w:eastAsia="ja-JP"/>
        </w:rPr>
        <w:t>owever</w:t>
      </w:r>
      <w:r w:rsidR="0029326F">
        <w:rPr>
          <w:lang w:eastAsia="ja-JP"/>
        </w:rPr>
        <w:t>,</w:t>
      </w:r>
      <w:r>
        <w:rPr>
          <w:lang w:eastAsia="ja-JP"/>
        </w:rPr>
        <w:t xml:space="preserve"> </w:t>
      </w:r>
      <w:r w:rsidR="0029326F">
        <w:rPr>
          <w:lang w:eastAsia="ja-JP"/>
        </w:rPr>
        <w:t xml:space="preserve">consignments must meet </w:t>
      </w:r>
      <w:r>
        <w:rPr>
          <w:lang w:eastAsia="ja-JP"/>
        </w:rPr>
        <w:t xml:space="preserve">all relevant departmental import conditions </w:t>
      </w:r>
      <w:r w:rsidR="002552AE" w:rsidRPr="00C60DA8">
        <w:rPr>
          <w:lang w:eastAsia="ja-JP"/>
        </w:rPr>
        <w:t>listed</w:t>
      </w:r>
      <w:r w:rsidRPr="00C60DA8">
        <w:rPr>
          <w:lang w:eastAsia="ja-JP"/>
        </w:rPr>
        <w:t xml:space="preserve"> in</w:t>
      </w:r>
      <w:r w:rsidR="0029326F" w:rsidRPr="00C60DA8">
        <w:rPr>
          <w:lang w:eastAsia="ja-JP"/>
        </w:rPr>
        <w:t xml:space="preserve"> </w:t>
      </w:r>
      <w:hyperlink r:id="rId37" w:history="1">
        <w:r w:rsidR="0029326F" w:rsidRPr="00E17E88">
          <w:rPr>
            <w:rStyle w:val="Hyperlink"/>
            <w:lang w:eastAsia="ja-JP"/>
          </w:rPr>
          <w:t>BICON</w:t>
        </w:r>
      </w:hyperlink>
      <w:r w:rsidRPr="00C60DA8">
        <w:rPr>
          <w:lang w:eastAsia="ja-JP"/>
        </w:rPr>
        <w:t>.</w:t>
      </w:r>
      <w:bookmarkEnd w:id="47"/>
    </w:p>
    <w:p w14:paraId="4F6A97B8" w14:textId="6457AB71" w:rsidR="00253339" w:rsidRDefault="00253339" w:rsidP="003F3184">
      <w:pPr>
        <w:pStyle w:val="Heading3"/>
        <w:spacing w:before="120" w:after="120"/>
        <w:rPr>
          <w:lang w:eastAsia="ja-JP"/>
        </w:rPr>
      </w:pPr>
      <w:bookmarkStart w:id="48" w:name="_Fees_and_charges"/>
      <w:bookmarkStart w:id="49" w:name="_Toc224213122"/>
      <w:bookmarkEnd w:id="48"/>
      <w:r w:rsidRPr="00FE2AA9">
        <w:rPr>
          <w:rFonts w:eastAsiaTheme="minorHAnsi"/>
          <w:lang w:eastAsia="ja-JP"/>
        </w:rPr>
        <w:t>Fees and charges</w:t>
      </w:r>
      <w:bookmarkEnd w:id="49"/>
    </w:p>
    <w:p w14:paraId="474B3E18" w14:textId="524A16F3" w:rsidR="00253339" w:rsidRDefault="002936DD" w:rsidP="00253339">
      <w:pPr>
        <w:rPr>
          <w:lang w:eastAsia="ja-JP"/>
        </w:rPr>
      </w:pPr>
      <w:r>
        <w:rPr>
          <w:lang w:eastAsia="ja-JP"/>
        </w:rPr>
        <w:t>Our</w:t>
      </w:r>
      <w:r w:rsidR="00253339">
        <w:rPr>
          <w:lang w:eastAsia="ja-JP"/>
        </w:rPr>
        <w:t xml:space="preserve"> assessment of applications and audits (including desktop audits) </w:t>
      </w:r>
      <w:r>
        <w:rPr>
          <w:lang w:eastAsia="ja-JP"/>
        </w:rPr>
        <w:t>is a</w:t>
      </w:r>
      <w:r w:rsidR="00253339">
        <w:rPr>
          <w:lang w:eastAsia="ja-JP"/>
        </w:rPr>
        <w:t xml:space="preserve"> cost-recovered activit</w:t>
      </w:r>
      <w:r>
        <w:rPr>
          <w:lang w:eastAsia="ja-JP"/>
        </w:rPr>
        <w:t>y. We</w:t>
      </w:r>
      <w:r w:rsidR="00253339">
        <w:rPr>
          <w:lang w:eastAsia="ja-JP"/>
        </w:rPr>
        <w:t xml:space="preserve"> require the offshore entity, directly or via their sponsor, to enter into </w:t>
      </w:r>
      <w:r w:rsidR="00253339" w:rsidRPr="00CE7E00">
        <w:t xml:space="preserve">a </w:t>
      </w:r>
      <w:r w:rsidR="00CD12BF" w:rsidRPr="00CE7E00">
        <w:t>s</w:t>
      </w:r>
      <w:r w:rsidR="00253339" w:rsidRPr="00CE7E00">
        <w:t>ervice</w:t>
      </w:r>
      <w:r w:rsidR="00CD12BF" w:rsidRPr="00CE7E00">
        <w:t>-l</w:t>
      </w:r>
      <w:r w:rsidR="00253339" w:rsidRPr="00CE7E00">
        <w:t xml:space="preserve">evel </w:t>
      </w:r>
      <w:r w:rsidR="00CD12BF" w:rsidRPr="00CE7E00">
        <w:t>a</w:t>
      </w:r>
      <w:r w:rsidR="00253339" w:rsidRPr="00CE7E00">
        <w:t>greement (SLA)</w:t>
      </w:r>
      <w:r w:rsidR="00253339" w:rsidRPr="00CD12BF">
        <w:rPr>
          <w:lang w:eastAsia="ja-JP"/>
        </w:rPr>
        <w:t xml:space="preserve"> with</w:t>
      </w:r>
      <w:r w:rsidR="00253339">
        <w:rPr>
          <w:lang w:eastAsia="ja-JP"/>
        </w:rPr>
        <w:t xml:space="preserve"> the department.</w:t>
      </w:r>
    </w:p>
    <w:p w14:paraId="2C99E6CD" w14:textId="2D6F3F13" w:rsidR="00253339" w:rsidRDefault="00253339" w:rsidP="00253339">
      <w:pPr>
        <w:rPr>
          <w:lang w:eastAsia="ja-JP"/>
        </w:rPr>
      </w:pPr>
      <w:r>
        <w:rPr>
          <w:lang w:eastAsia="ja-JP"/>
        </w:rPr>
        <w:t>A copy of the SLA will be provided to the sponsor</w:t>
      </w:r>
      <w:r w:rsidR="000577C1">
        <w:rPr>
          <w:lang w:eastAsia="ja-JP"/>
        </w:rPr>
        <w:t xml:space="preserve"> or </w:t>
      </w:r>
      <w:r>
        <w:rPr>
          <w:lang w:eastAsia="ja-JP"/>
        </w:rPr>
        <w:t xml:space="preserve">offshore entity following submission of an application and/or upon notification of a required audit. The SLA must be completed in English and signed before </w:t>
      </w:r>
      <w:r w:rsidR="002936DD">
        <w:rPr>
          <w:lang w:eastAsia="ja-JP"/>
        </w:rPr>
        <w:t xml:space="preserve">we can </w:t>
      </w:r>
      <w:r>
        <w:rPr>
          <w:lang w:eastAsia="ja-JP"/>
        </w:rPr>
        <w:t>assess a</w:t>
      </w:r>
      <w:r w:rsidR="00981ACC">
        <w:rPr>
          <w:lang w:eastAsia="ja-JP"/>
        </w:rPr>
        <w:t xml:space="preserve"> Level </w:t>
      </w:r>
      <w:r w:rsidR="00CD2841">
        <w:rPr>
          <w:lang w:eastAsia="ja-JP"/>
        </w:rPr>
        <w:t>2</w:t>
      </w:r>
      <w:r>
        <w:rPr>
          <w:lang w:eastAsia="ja-JP"/>
        </w:rPr>
        <w:t xml:space="preserve"> registration application and/or independent third-party audit report.</w:t>
      </w:r>
    </w:p>
    <w:p w14:paraId="2DBB4011" w14:textId="1169BF9D" w:rsidR="00253339" w:rsidRDefault="00253339" w:rsidP="00253339">
      <w:pPr>
        <w:rPr>
          <w:lang w:eastAsia="ja-JP"/>
        </w:rPr>
      </w:pPr>
      <w:r>
        <w:rPr>
          <w:lang w:eastAsia="ja-JP"/>
        </w:rPr>
        <w:t>The department will charge for all assessment activities it conducts, regardless of the outcome.</w:t>
      </w:r>
      <w:r w:rsidR="001F04AA">
        <w:rPr>
          <w:lang w:eastAsia="ja-JP"/>
        </w:rPr>
        <w:t xml:space="preserve"> </w:t>
      </w:r>
      <w:r w:rsidR="002936DD">
        <w:rPr>
          <w:lang w:eastAsia="ja-JP"/>
        </w:rPr>
        <w:t>Our</w:t>
      </w:r>
      <w:r>
        <w:rPr>
          <w:lang w:eastAsia="ja-JP"/>
        </w:rPr>
        <w:t xml:space="preserve"> fees and charges are applied in accordance with the </w:t>
      </w:r>
      <w:hyperlink r:id="rId38" w:history="1">
        <w:r w:rsidR="00015CBD" w:rsidRPr="00015CBD">
          <w:rPr>
            <w:rStyle w:val="Hyperlink"/>
            <w:lang w:eastAsia="ja-JP"/>
          </w:rPr>
          <w:t>current</w:t>
        </w:r>
        <w:r w:rsidR="00015CBD" w:rsidRPr="00015CBD">
          <w:rPr>
            <w:rStyle w:val="Hyperlink"/>
          </w:rPr>
          <w:t xml:space="preserve"> charging guidelines</w:t>
        </w:r>
      </w:hyperlink>
      <w:r>
        <w:rPr>
          <w:lang w:eastAsia="ja-JP"/>
        </w:rPr>
        <w:t>.</w:t>
      </w:r>
      <w:r w:rsidR="0026173C" w:rsidRPr="0026173C">
        <w:rPr>
          <w:rFonts w:cstheme="minorHAnsi"/>
          <w:lang w:eastAsia="en-AU"/>
        </w:rPr>
        <w:t xml:space="preserve"> </w:t>
      </w:r>
      <w:r w:rsidR="0026173C" w:rsidRPr="00222BA5">
        <w:rPr>
          <w:rFonts w:cstheme="minorHAnsi"/>
          <w:lang w:eastAsia="en-AU"/>
        </w:rPr>
        <w:t xml:space="preserve">Additional costs may be incurred </w:t>
      </w:r>
      <w:r w:rsidR="0026173C">
        <w:rPr>
          <w:rFonts w:cstheme="minorHAnsi"/>
          <w:lang w:eastAsia="en-AU"/>
        </w:rPr>
        <w:t>if</w:t>
      </w:r>
      <w:r w:rsidR="0026173C" w:rsidRPr="00222BA5">
        <w:rPr>
          <w:rFonts w:cstheme="minorHAnsi"/>
          <w:lang w:eastAsia="en-AU"/>
        </w:rPr>
        <w:t xml:space="preserve"> documents supplied to the department are incomplete or in a format that cannot be accessed</w:t>
      </w:r>
      <w:r w:rsidR="002936DD">
        <w:rPr>
          <w:rFonts w:cstheme="minorHAnsi"/>
          <w:lang w:eastAsia="en-AU"/>
        </w:rPr>
        <w:t>, in which case, we will also suspend</w:t>
      </w:r>
      <w:r w:rsidR="0026173C" w:rsidRPr="00222BA5">
        <w:rPr>
          <w:rFonts w:cstheme="minorHAnsi"/>
          <w:lang w:eastAsia="en-AU"/>
        </w:rPr>
        <w:t xml:space="preserve"> the desk</w:t>
      </w:r>
      <w:r w:rsidR="0026173C">
        <w:rPr>
          <w:rFonts w:cstheme="minorHAnsi"/>
          <w:lang w:eastAsia="en-AU"/>
        </w:rPr>
        <w:t>top</w:t>
      </w:r>
      <w:r w:rsidR="0026173C" w:rsidRPr="00222BA5">
        <w:rPr>
          <w:rFonts w:cstheme="minorHAnsi"/>
          <w:lang w:eastAsia="en-AU"/>
        </w:rPr>
        <w:t xml:space="preserve"> audit.</w:t>
      </w:r>
    </w:p>
    <w:p w14:paraId="1B8261FF" w14:textId="2552BE3D" w:rsidR="00253339" w:rsidRPr="00FE2AA9" w:rsidRDefault="00253339" w:rsidP="003F3184">
      <w:pPr>
        <w:pStyle w:val="Heading4"/>
        <w:spacing w:before="120" w:after="120"/>
        <w:rPr>
          <w:rFonts w:eastAsiaTheme="minorHAnsi"/>
          <w:lang w:eastAsia="ja-JP"/>
        </w:rPr>
      </w:pPr>
      <w:bookmarkStart w:id="50" w:name="_Department-led_on-site_audits"/>
      <w:bookmarkEnd w:id="50"/>
      <w:r w:rsidRPr="00FE2AA9">
        <w:rPr>
          <w:rFonts w:eastAsiaTheme="minorHAnsi"/>
          <w:lang w:eastAsia="ja-JP"/>
        </w:rPr>
        <w:lastRenderedPageBreak/>
        <w:t>Department-led on-site audits</w:t>
      </w:r>
    </w:p>
    <w:p w14:paraId="73F62490" w14:textId="5084DD5D" w:rsidR="00253339" w:rsidRDefault="002936DD" w:rsidP="00253339">
      <w:pPr>
        <w:rPr>
          <w:lang w:eastAsia="ja-JP"/>
        </w:rPr>
      </w:pPr>
      <w:r>
        <w:rPr>
          <w:lang w:eastAsia="ja-JP"/>
        </w:rPr>
        <w:t>If we</w:t>
      </w:r>
      <w:r w:rsidR="00253339">
        <w:rPr>
          <w:lang w:eastAsia="ja-JP"/>
        </w:rPr>
        <w:t xml:space="preserve"> determine that a department-led on-site audit is necessary, </w:t>
      </w:r>
      <w:r>
        <w:rPr>
          <w:lang w:eastAsia="ja-JP"/>
        </w:rPr>
        <w:t>we will discuss t</w:t>
      </w:r>
      <w:r w:rsidR="00253339">
        <w:rPr>
          <w:lang w:eastAsia="ja-JP"/>
        </w:rPr>
        <w:t>he requirements for an on-site audit with the entity</w:t>
      </w:r>
      <w:r w:rsidR="00B47B5F">
        <w:rPr>
          <w:lang w:eastAsia="ja-JP"/>
        </w:rPr>
        <w:t xml:space="preserve"> or </w:t>
      </w:r>
      <w:r w:rsidR="00253339">
        <w:rPr>
          <w:lang w:eastAsia="ja-JP"/>
        </w:rPr>
        <w:t>sponsor, including all associated fees and charges. On-site audits are fully cost recovered by the department, including travel and accommodation.</w:t>
      </w:r>
    </w:p>
    <w:p w14:paraId="44E5999B" w14:textId="3AED8D70" w:rsidR="00253339" w:rsidRDefault="002936DD" w:rsidP="00253339">
      <w:pPr>
        <w:rPr>
          <w:lang w:eastAsia="ja-JP"/>
        </w:rPr>
      </w:pPr>
      <w:r>
        <w:rPr>
          <w:lang w:eastAsia="ja-JP"/>
        </w:rPr>
        <w:t xml:space="preserve">We will provide the entity or sponsor with an </w:t>
      </w:r>
      <w:r w:rsidR="00253339">
        <w:rPr>
          <w:lang w:eastAsia="ja-JP"/>
        </w:rPr>
        <w:t xml:space="preserve">SLA </w:t>
      </w:r>
      <w:r>
        <w:rPr>
          <w:lang w:eastAsia="ja-JP"/>
        </w:rPr>
        <w:t>that</w:t>
      </w:r>
      <w:r w:rsidR="00253339">
        <w:rPr>
          <w:lang w:eastAsia="ja-JP"/>
        </w:rPr>
        <w:t xml:space="preserve"> must </w:t>
      </w:r>
      <w:r>
        <w:rPr>
          <w:lang w:eastAsia="ja-JP"/>
        </w:rPr>
        <w:t xml:space="preserve">be </w:t>
      </w:r>
      <w:r w:rsidR="00253339">
        <w:rPr>
          <w:lang w:eastAsia="ja-JP"/>
        </w:rPr>
        <w:t xml:space="preserve">completed </w:t>
      </w:r>
      <w:r>
        <w:rPr>
          <w:lang w:eastAsia="ja-JP"/>
        </w:rPr>
        <w:t>before we</w:t>
      </w:r>
      <w:r w:rsidR="00253339">
        <w:rPr>
          <w:lang w:eastAsia="ja-JP"/>
        </w:rPr>
        <w:t xml:space="preserve"> undertak</w:t>
      </w:r>
      <w:r>
        <w:rPr>
          <w:lang w:eastAsia="ja-JP"/>
        </w:rPr>
        <w:t>e</w:t>
      </w:r>
      <w:r w:rsidR="00253339">
        <w:rPr>
          <w:lang w:eastAsia="ja-JP"/>
        </w:rPr>
        <w:t xml:space="preserve"> </w:t>
      </w:r>
      <w:r w:rsidR="001F04AA">
        <w:rPr>
          <w:lang w:eastAsia="ja-JP"/>
        </w:rPr>
        <w:t>the </w:t>
      </w:r>
      <w:r w:rsidR="00253339">
        <w:rPr>
          <w:lang w:eastAsia="ja-JP"/>
        </w:rPr>
        <w:t>audit.</w:t>
      </w:r>
    </w:p>
    <w:p w14:paraId="37429B5D" w14:textId="07F20122" w:rsidR="00253339" w:rsidRDefault="00253339" w:rsidP="003F3184">
      <w:pPr>
        <w:pStyle w:val="Heading3"/>
        <w:spacing w:before="120" w:after="120"/>
        <w:rPr>
          <w:lang w:eastAsia="ja-JP"/>
        </w:rPr>
      </w:pPr>
      <w:bookmarkStart w:id="51" w:name="_Change_in_circumstances"/>
      <w:bookmarkStart w:id="52" w:name="_Toc224213123"/>
      <w:bookmarkEnd w:id="51"/>
      <w:r w:rsidRPr="00FE2AA9">
        <w:rPr>
          <w:rFonts w:eastAsiaTheme="minorHAnsi"/>
          <w:lang w:eastAsia="ja-JP"/>
        </w:rPr>
        <w:t>Change in circumstances</w:t>
      </w:r>
      <w:bookmarkEnd w:id="52"/>
    </w:p>
    <w:p w14:paraId="114F0047" w14:textId="0769C993" w:rsidR="00253339" w:rsidRDefault="00E723D8" w:rsidP="00253339">
      <w:pPr>
        <w:rPr>
          <w:lang w:eastAsia="ja-JP"/>
        </w:rPr>
      </w:pPr>
      <w:r>
        <w:rPr>
          <w:lang w:eastAsia="ja-JP"/>
        </w:rPr>
        <w:t>Level 1</w:t>
      </w:r>
      <w:r w:rsidR="00CD2841">
        <w:rPr>
          <w:lang w:eastAsia="ja-JP"/>
        </w:rPr>
        <w:t xml:space="preserve"> and </w:t>
      </w:r>
      <w:r w:rsidR="00584A2F">
        <w:rPr>
          <w:lang w:eastAsia="ja-JP"/>
        </w:rPr>
        <w:t xml:space="preserve">Level </w:t>
      </w:r>
      <w:r w:rsidR="00CD2841">
        <w:rPr>
          <w:lang w:eastAsia="ja-JP"/>
        </w:rPr>
        <w:t>2</w:t>
      </w:r>
      <w:r>
        <w:rPr>
          <w:lang w:eastAsia="ja-JP"/>
        </w:rPr>
        <w:t xml:space="preserve"> r</w:t>
      </w:r>
      <w:r w:rsidR="00253339">
        <w:rPr>
          <w:lang w:eastAsia="ja-JP"/>
        </w:rPr>
        <w:t xml:space="preserve">egistered </w:t>
      </w:r>
      <w:r w:rsidR="00253339" w:rsidRPr="00584A2F">
        <w:rPr>
          <w:lang w:eastAsia="ja-JP"/>
        </w:rPr>
        <w:t xml:space="preserve">offshore entities must </w:t>
      </w:r>
      <w:r w:rsidR="000E6A98" w:rsidRPr="00584A2F">
        <w:rPr>
          <w:lang w:eastAsia="ja-JP"/>
        </w:rPr>
        <w:t xml:space="preserve">email </w:t>
      </w:r>
      <w:r w:rsidR="00584A2F" w:rsidRPr="00584A2F">
        <w:rPr>
          <w:lang w:eastAsia="ja-JP"/>
        </w:rPr>
        <w:t>our Sea Cargo Policy section</w:t>
      </w:r>
      <w:r w:rsidR="00584A2F" w:rsidRPr="00584A2F" w:rsidDel="0005273C">
        <w:rPr>
          <w:lang w:eastAsia="ja-JP"/>
        </w:rPr>
        <w:t xml:space="preserve"> </w:t>
      </w:r>
      <w:r w:rsidR="000E6A98" w:rsidRPr="00584A2F">
        <w:rPr>
          <w:lang w:eastAsia="ja-JP"/>
        </w:rPr>
        <w:t xml:space="preserve">at </w:t>
      </w:r>
      <w:hyperlink r:id="rId39" w:history="1">
        <w:r w:rsidR="003B2DC7" w:rsidRPr="00584A2F">
          <w:rPr>
            <w:rStyle w:val="Hyperlink"/>
            <w:lang w:eastAsia="ja-JP"/>
          </w:rPr>
          <w:t>SeaCargoPolicy@aff.gov.au</w:t>
        </w:r>
      </w:hyperlink>
      <w:r w:rsidR="00253339" w:rsidRPr="00584A2F">
        <w:rPr>
          <w:lang w:eastAsia="ja-JP"/>
        </w:rPr>
        <w:t xml:space="preserve"> at least </w:t>
      </w:r>
      <w:r w:rsidR="0005273C" w:rsidRPr="00584A2F">
        <w:rPr>
          <w:lang w:eastAsia="ja-JP"/>
        </w:rPr>
        <w:t>15 </w:t>
      </w:r>
      <w:r w:rsidR="00253339" w:rsidRPr="00584A2F">
        <w:rPr>
          <w:lang w:eastAsia="ja-JP"/>
        </w:rPr>
        <w:t xml:space="preserve">business days </w:t>
      </w:r>
      <w:r w:rsidR="00253339" w:rsidRPr="007F1555">
        <w:t>prior</w:t>
      </w:r>
      <w:r w:rsidR="00253339" w:rsidRPr="00584A2F">
        <w:rPr>
          <w:lang w:eastAsia="ja-JP"/>
        </w:rPr>
        <w:t xml:space="preserve"> to the proposed date of any changes to </w:t>
      </w:r>
      <w:r w:rsidR="000E6A98" w:rsidRPr="007F1555">
        <w:rPr>
          <w:lang w:eastAsia="ja-JP"/>
        </w:rPr>
        <w:t>their</w:t>
      </w:r>
      <w:r w:rsidR="00253339" w:rsidRPr="00584A2F">
        <w:rPr>
          <w:lang w:eastAsia="ja-JP"/>
        </w:rPr>
        <w:t xml:space="preserve"> operational circumstances that may directly or indirectly affect their ability to maintain compliance with this policy.</w:t>
      </w:r>
      <w:r w:rsidR="00F62842" w:rsidRPr="00584A2F">
        <w:rPr>
          <w:lang w:eastAsia="ja-JP"/>
        </w:rPr>
        <w:t xml:space="preserve"> </w:t>
      </w:r>
      <w:r w:rsidR="00584A2F" w:rsidRPr="00584A2F">
        <w:rPr>
          <w:lang w:eastAsia="ja-JP"/>
        </w:rPr>
        <w:t>We</w:t>
      </w:r>
      <w:r w:rsidR="00F62842" w:rsidRPr="00584A2F">
        <w:rPr>
          <w:lang w:eastAsia="ja-JP"/>
        </w:rPr>
        <w:t xml:space="preserve"> will decide</w:t>
      </w:r>
      <w:r w:rsidR="00F62842">
        <w:rPr>
          <w:lang w:eastAsia="ja-JP"/>
        </w:rPr>
        <w:t xml:space="preserve"> </w:t>
      </w:r>
      <w:r w:rsidR="00584A2F">
        <w:rPr>
          <w:lang w:eastAsia="ja-JP"/>
        </w:rPr>
        <w:t>whether</w:t>
      </w:r>
      <w:r w:rsidR="00F62842">
        <w:rPr>
          <w:lang w:eastAsia="ja-JP"/>
        </w:rPr>
        <w:t xml:space="preserve"> the change in circumstances requires another </w:t>
      </w:r>
      <w:r w:rsidR="004005E3">
        <w:rPr>
          <w:lang w:eastAsia="ja-JP"/>
        </w:rPr>
        <w:t>third-party</w:t>
      </w:r>
      <w:r w:rsidR="00F62842">
        <w:rPr>
          <w:lang w:eastAsia="ja-JP"/>
        </w:rPr>
        <w:t xml:space="preserve"> audit.</w:t>
      </w:r>
    </w:p>
    <w:p w14:paraId="1ECA4DD5" w14:textId="037F6E06" w:rsidR="00253339" w:rsidRDefault="00297304" w:rsidP="00253339">
      <w:pPr>
        <w:rPr>
          <w:lang w:eastAsia="ja-JP"/>
        </w:rPr>
      </w:pPr>
      <w:r>
        <w:rPr>
          <w:lang w:eastAsia="ja-JP"/>
        </w:rPr>
        <w:t>Examples of c</w:t>
      </w:r>
      <w:r w:rsidR="00584A2F">
        <w:rPr>
          <w:lang w:eastAsia="ja-JP"/>
        </w:rPr>
        <w:t xml:space="preserve">hanges to operational circumstances </w:t>
      </w:r>
      <w:r w:rsidR="00253339">
        <w:rPr>
          <w:lang w:eastAsia="ja-JP"/>
        </w:rPr>
        <w:t>includes changes in:</w:t>
      </w:r>
    </w:p>
    <w:p w14:paraId="52189408" w14:textId="67D78D54" w:rsidR="00253339" w:rsidRPr="00057FC2" w:rsidRDefault="00057FC2" w:rsidP="000E6E3E">
      <w:pPr>
        <w:pStyle w:val="ListBullet"/>
        <w:rPr>
          <w:lang w:eastAsia="ja-JP"/>
        </w:rPr>
      </w:pPr>
      <w:r w:rsidRPr="007F1555">
        <w:rPr>
          <w:lang w:eastAsia="ja-JP"/>
        </w:rPr>
        <w:t>o</w:t>
      </w:r>
      <w:r w:rsidR="00253339" w:rsidRPr="00057FC2">
        <w:rPr>
          <w:lang w:eastAsia="ja-JP"/>
        </w:rPr>
        <w:t>wnership</w:t>
      </w:r>
      <w:r w:rsidR="000577C1" w:rsidRPr="007F1555">
        <w:rPr>
          <w:lang w:eastAsia="ja-JP"/>
        </w:rPr>
        <w:t xml:space="preserve">, </w:t>
      </w:r>
      <w:r w:rsidR="00253339" w:rsidRPr="00057FC2">
        <w:rPr>
          <w:lang w:eastAsia="ja-JP"/>
        </w:rPr>
        <w:t>management</w:t>
      </w:r>
      <w:r w:rsidR="000577C1" w:rsidRPr="007F1555">
        <w:rPr>
          <w:lang w:eastAsia="ja-JP"/>
        </w:rPr>
        <w:t xml:space="preserve"> or </w:t>
      </w:r>
      <w:r w:rsidR="00253339" w:rsidRPr="00057FC2">
        <w:rPr>
          <w:lang w:eastAsia="ja-JP"/>
        </w:rPr>
        <w:t>control</w:t>
      </w:r>
    </w:p>
    <w:p w14:paraId="13F3E4D4" w14:textId="5355B86A" w:rsidR="00253339" w:rsidRDefault="00057FC2" w:rsidP="000E6E3E">
      <w:pPr>
        <w:pStyle w:val="ListBullet"/>
        <w:rPr>
          <w:lang w:eastAsia="ja-JP"/>
        </w:rPr>
      </w:pPr>
      <w:r>
        <w:rPr>
          <w:lang w:eastAsia="ja-JP"/>
        </w:rPr>
        <w:t>f</w:t>
      </w:r>
      <w:r w:rsidR="00253339">
        <w:rPr>
          <w:lang w:eastAsia="ja-JP"/>
        </w:rPr>
        <w:t>acility locations</w:t>
      </w:r>
    </w:p>
    <w:p w14:paraId="0E9E5E67" w14:textId="1A909FBD" w:rsidR="00253339" w:rsidRDefault="00057FC2" w:rsidP="000E6E3E">
      <w:pPr>
        <w:pStyle w:val="ListBullet"/>
        <w:rPr>
          <w:lang w:eastAsia="ja-JP"/>
        </w:rPr>
      </w:pPr>
      <w:r>
        <w:rPr>
          <w:lang w:eastAsia="ja-JP"/>
        </w:rPr>
        <w:t>c</w:t>
      </w:r>
      <w:r w:rsidR="00253339">
        <w:rPr>
          <w:lang w:eastAsia="ja-JP"/>
        </w:rPr>
        <w:t>ontact personnel details</w:t>
      </w:r>
    </w:p>
    <w:p w14:paraId="6C985089" w14:textId="54149B22" w:rsidR="00253339" w:rsidRDefault="00057FC2" w:rsidP="000E6E3E">
      <w:pPr>
        <w:pStyle w:val="ListBullet"/>
        <w:rPr>
          <w:lang w:eastAsia="ja-JP"/>
        </w:rPr>
      </w:pPr>
      <w:r>
        <w:rPr>
          <w:lang w:eastAsia="ja-JP"/>
        </w:rPr>
        <w:t>o</w:t>
      </w:r>
      <w:r w:rsidR="00253339">
        <w:rPr>
          <w:lang w:eastAsia="ja-JP"/>
        </w:rPr>
        <w:t>perational procedures</w:t>
      </w:r>
      <w:r w:rsidR="004732F3">
        <w:rPr>
          <w:lang w:eastAsia="ja-JP"/>
        </w:rPr>
        <w:t xml:space="preserve"> such as</w:t>
      </w:r>
      <w:r w:rsidR="00253339">
        <w:rPr>
          <w:lang w:eastAsia="ja-JP"/>
        </w:rPr>
        <w:t>:</w:t>
      </w:r>
    </w:p>
    <w:p w14:paraId="2A567DAC" w14:textId="35904829" w:rsidR="00253339" w:rsidRDefault="00057FC2" w:rsidP="000E6E3E">
      <w:pPr>
        <w:pStyle w:val="ListBullet2"/>
        <w:rPr>
          <w:lang w:eastAsia="ja-JP"/>
        </w:rPr>
      </w:pPr>
      <w:r>
        <w:rPr>
          <w:lang w:eastAsia="ja-JP"/>
        </w:rPr>
        <w:t xml:space="preserve">addition of other fertiliser </w:t>
      </w:r>
      <w:r w:rsidRPr="00B47B5F">
        <w:rPr>
          <w:lang w:eastAsia="ja-JP"/>
        </w:rPr>
        <w:t>line</w:t>
      </w:r>
      <w:r w:rsidRPr="007F1555">
        <w:rPr>
          <w:lang w:eastAsia="ja-JP"/>
        </w:rPr>
        <w:t>s or product</w:t>
      </w:r>
      <w:r w:rsidRPr="00B47B5F">
        <w:rPr>
          <w:lang w:eastAsia="ja-JP"/>
        </w:rPr>
        <w:t xml:space="preserve"> types</w:t>
      </w:r>
    </w:p>
    <w:p w14:paraId="53200A85" w14:textId="0C688AAC" w:rsidR="00253339" w:rsidRDefault="00057FC2" w:rsidP="000E6E3E">
      <w:pPr>
        <w:pStyle w:val="ListBullet2"/>
        <w:rPr>
          <w:lang w:eastAsia="ja-JP"/>
        </w:rPr>
      </w:pPr>
      <w:r>
        <w:rPr>
          <w:lang w:eastAsia="ja-JP"/>
        </w:rPr>
        <w:t>fertiliser processing equipment or processes</w:t>
      </w:r>
    </w:p>
    <w:p w14:paraId="0F4084C2" w14:textId="0FB64270" w:rsidR="00253339" w:rsidRDefault="00057FC2" w:rsidP="000E6E3E">
      <w:pPr>
        <w:pStyle w:val="ListBullet2"/>
        <w:rPr>
          <w:lang w:eastAsia="ja-JP"/>
        </w:rPr>
      </w:pPr>
      <w:r>
        <w:rPr>
          <w:lang w:eastAsia="ja-JP"/>
        </w:rPr>
        <w:t>changes in types of goods managed or handled in any facility (e.g. goods of animal, fungal, plant and/or microbial origin)</w:t>
      </w:r>
    </w:p>
    <w:p w14:paraId="3931C44B" w14:textId="61E2445C" w:rsidR="00253339" w:rsidRDefault="00057FC2" w:rsidP="000E6E3E">
      <w:pPr>
        <w:pStyle w:val="ListBullet2"/>
        <w:rPr>
          <w:lang w:eastAsia="ja-JP"/>
        </w:rPr>
      </w:pPr>
      <w:r>
        <w:rPr>
          <w:lang w:eastAsia="ja-JP"/>
        </w:rPr>
        <w:t xml:space="preserve">changes in loading or storage processes or facilities (e.g. use of alternative storage facilities, different fertiliser types being stored in </w:t>
      </w:r>
      <w:r w:rsidR="001F04AA">
        <w:rPr>
          <w:lang w:eastAsia="ja-JP"/>
        </w:rPr>
        <w:t xml:space="preserve">the </w:t>
      </w:r>
      <w:r>
        <w:rPr>
          <w:lang w:eastAsia="ja-JP"/>
        </w:rPr>
        <w:t>same storage facility)</w:t>
      </w:r>
    </w:p>
    <w:p w14:paraId="66312ACA" w14:textId="7B2D1A71" w:rsidR="004A08D5" w:rsidRDefault="00057FC2" w:rsidP="000E6E3E">
      <w:pPr>
        <w:pStyle w:val="ListBullet"/>
        <w:rPr>
          <w:lang w:eastAsia="ja-JP"/>
        </w:rPr>
      </w:pPr>
      <w:r>
        <w:rPr>
          <w:lang w:eastAsia="ja-JP"/>
        </w:rPr>
        <w:t>c</w:t>
      </w:r>
      <w:r w:rsidR="00253339">
        <w:rPr>
          <w:lang w:eastAsia="ja-JP"/>
        </w:rPr>
        <w:t xml:space="preserve">easing operation (e.g. </w:t>
      </w:r>
      <w:r w:rsidR="001F04AA">
        <w:rPr>
          <w:lang w:eastAsia="ja-JP"/>
        </w:rPr>
        <w:t xml:space="preserve">the </w:t>
      </w:r>
      <w:r w:rsidR="00253339">
        <w:rPr>
          <w:lang w:eastAsia="ja-JP"/>
        </w:rPr>
        <w:t xml:space="preserve">entity </w:t>
      </w:r>
      <w:r w:rsidR="001F04AA">
        <w:rPr>
          <w:lang w:eastAsia="ja-JP"/>
        </w:rPr>
        <w:t xml:space="preserve">is </w:t>
      </w:r>
      <w:r w:rsidR="00253339">
        <w:rPr>
          <w:lang w:eastAsia="ja-JP"/>
        </w:rPr>
        <w:t>no longer operating or exporting).</w:t>
      </w:r>
    </w:p>
    <w:p w14:paraId="5A927EBC" w14:textId="47F5980B" w:rsidR="00F72F1A" w:rsidRPr="00FE2AA9" w:rsidRDefault="00F72F1A" w:rsidP="00FE2AA9">
      <w:pPr>
        <w:pStyle w:val="Heading2"/>
      </w:pPr>
      <w:bookmarkStart w:id="53" w:name="_Consignment_risk_assessment"/>
      <w:bookmarkStart w:id="54" w:name="_Toc224213124"/>
      <w:bookmarkEnd w:id="53"/>
      <w:r w:rsidRPr="00FE2AA9">
        <w:lastRenderedPageBreak/>
        <w:t>Consignment risk assessment</w:t>
      </w:r>
      <w:bookmarkEnd w:id="54"/>
    </w:p>
    <w:p w14:paraId="177F14B1" w14:textId="61C815F2" w:rsidR="002E1971" w:rsidRDefault="00596ECF" w:rsidP="00610B73">
      <w:pPr>
        <w:spacing w:after="120"/>
        <w:rPr>
          <w:lang w:eastAsia="ja-JP"/>
        </w:rPr>
      </w:pPr>
      <w:r>
        <w:rPr>
          <w:lang w:eastAsia="ja-JP"/>
        </w:rPr>
        <w:t xml:space="preserve">We perform a </w:t>
      </w:r>
      <w:r w:rsidR="002E1971">
        <w:rPr>
          <w:lang w:eastAsia="ja-JP"/>
        </w:rPr>
        <w:t>risk assessment of imported inorganic fertiliser on a per-consignment</w:t>
      </w:r>
      <w:r>
        <w:rPr>
          <w:lang w:eastAsia="ja-JP"/>
        </w:rPr>
        <w:t xml:space="preserve"> or </w:t>
      </w:r>
      <w:r w:rsidR="002E1971">
        <w:rPr>
          <w:lang w:eastAsia="ja-JP"/>
        </w:rPr>
        <w:t>vessel hold basis</w:t>
      </w:r>
      <w:r>
        <w:rPr>
          <w:lang w:eastAsia="ja-JP"/>
        </w:rPr>
        <w:t xml:space="preserve">, </w:t>
      </w:r>
      <w:r w:rsidR="002E1971">
        <w:rPr>
          <w:lang w:eastAsia="ja-JP"/>
        </w:rPr>
        <w:t xml:space="preserve">as applicable. Risk assessments result in a risk rating of </w:t>
      </w:r>
      <w:r w:rsidR="00E723D8">
        <w:rPr>
          <w:lang w:eastAsia="ja-JP"/>
        </w:rPr>
        <w:t>Level 1</w:t>
      </w:r>
      <w:r w:rsidR="004005E3">
        <w:rPr>
          <w:lang w:eastAsia="ja-JP"/>
        </w:rPr>
        <w:t>, Level 2</w:t>
      </w:r>
      <w:r w:rsidR="00DF49F4">
        <w:rPr>
          <w:lang w:eastAsia="ja-JP"/>
        </w:rPr>
        <w:t xml:space="preserve"> or</w:t>
      </w:r>
      <w:r w:rsidR="00E723D8">
        <w:rPr>
          <w:lang w:eastAsia="ja-JP"/>
        </w:rPr>
        <w:t xml:space="preserve"> Level 3</w:t>
      </w:r>
      <w:r w:rsidR="002E1971">
        <w:rPr>
          <w:lang w:eastAsia="ja-JP"/>
        </w:rPr>
        <w:t xml:space="preserve"> being applied to each consignment</w:t>
      </w:r>
      <w:r w:rsidR="00057FC2">
        <w:rPr>
          <w:lang w:eastAsia="ja-JP"/>
        </w:rPr>
        <w:t xml:space="preserve"> or </w:t>
      </w:r>
      <w:r w:rsidR="002E1971">
        <w:rPr>
          <w:lang w:eastAsia="ja-JP"/>
        </w:rPr>
        <w:t xml:space="preserve">vessel hold. The risk rating determines the level of biosecurity intervention </w:t>
      </w:r>
      <w:r>
        <w:rPr>
          <w:lang w:eastAsia="ja-JP"/>
        </w:rPr>
        <w:t xml:space="preserve">that we will </w:t>
      </w:r>
      <w:r w:rsidR="002E1971">
        <w:rPr>
          <w:lang w:eastAsia="ja-JP"/>
        </w:rPr>
        <w:t>appl</w:t>
      </w:r>
      <w:r>
        <w:rPr>
          <w:lang w:eastAsia="ja-JP"/>
        </w:rPr>
        <w:t>y</w:t>
      </w:r>
      <w:r w:rsidR="002E1971">
        <w:rPr>
          <w:lang w:eastAsia="ja-JP"/>
        </w:rPr>
        <w:t xml:space="preserve"> to the </w:t>
      </w:r>
      <w:proofErr w:type="gramStart"/>
      <w:r w:rsidR="002E1971">
        <w:rPr>
          <w:lang w:eastAsia="ja-JP"/>
        </w:rPr>
        <w:t>consignments</w:t>
      </w:r>
      <w:proofErr w:type="gramEnd"/>
      <w:r w:rsidR="002E1971">
        <w:rPr>
          <w:lang w:eastAsia="ja-JP"/>
        </w:rPr>
        <w:t xml:space="preserve"> and any associated vessel holds on arrival.</w:t>
      </w:r>
    </w:p>
    <w:p w14:paraId="21CB8B46" w14:textId="77777777" w:rsidR="00C424DC" w:rsidRDefault="00C424DC" w:rsidP="00C424DC">
      <w:pPr>
        <w:spacing w:after="120"/>
        <w:ind w:left="1134" w:hanging="1134"/>
        <w:rPr>
          <w:rFonts w:cstheme="minorHAnsi"/>
          <w:lang w:eastAsia="en-AU"/>
        </w:rPr>
      </w:pPr>
      <w:r w:rsidRPr="00222BA5">
        <w:rPr>
          <w:rFonts w:cstheme="minorHAnsi"/>
          <w:lang w:eastAsia="en-AU"/>
        </w:rPr>
        <w:t>Risk ratings do not apply to</w:t>
      </w:r>
      <w:r>
        <w:rPr>
          <w:rFonts w:cstheme="minorHAnsi"/>
          <w:lang w:eastAsia="en-AU"/>
        </w:rPr>
        <w:t>:</w:t>
      </w:r>
    </w:p>
    <w:p w14:paraId="18AABBF9" w14:textId="77777777" w:rsidR="00C424DC" w:rsidRDefault="00C424DC" w:rsidP="006F425B">
      <w:pPr>
        <w:pStyle w:val="ListBullet"/>
        <w:rPr>
          <w:lang w:eastAsia="en-AU"/>
        </w:rPr>
      </w:pPr>
      <w:r w:rsidRPr="00222BA5">
        <w:rPr>
          <w:lang w:eastAsia="en-AU"/>
        </w:rPr>
        <w:t>consignments</w:t>
      </w:r>
      <w:r>
        <w:rPr>
          <w:lang w:eastAsia="en-AU"/>
        </w:rPr>
        <w:t xml:space="preserve"> and </w:t>
      </w:r>
      <w:r w:rsidRPr="00222BA5">
        <w:rPr>
          <w:lang w:eastAsia="en-AU"/>
        </w:rPr>
        <w:t xml:space="preserve">vessel </w:t>
      </w:r>
      <w:proofErr w:type="gramStart"/>
      <w:r w:rsidRPr="00222BA5">
        <w:rPr>
          <w:lang w:eastAsia="en-AU"/>
        </w:rPr>
        <w:t>holds</w:t>
      </w:r>
      <w:proofErr w:type="gramEnd"/>
      <w:r w:rsidRPr="00222BA5">
        <w:rPr>
          <w:lang w:eastAsia="en-AU"/>
        </w:rPr>
        <w:t xml:space="preserve"> transporting imported </w:t>
      </w:r>
      <w:r w:rsidRPr="008A00B0">
        <w:t xml:space="preserve">liquid </w:t>
      </w:r>
      <w:r w:rsidRPr="00222BA5">
        <w:rPr>
          <w:lang w:eastAsia="en-AU"/>
        </w:rPr>
        <w:t>inorganic fertiliser</w:t>
      </w:r>
    </w:p>
    <w:p w14:paraId="2CC4E79B" w14:textId="68F9F421" w:rsidR="00C424DC" w:rsidRDefault="00C424DC" w:rsidP="006F425B">
      <w:pPr>
        <w:pStyle w:val="ListBullet"/>
        <w:rPr>
          <w:lang w:eastAsia="ja-JP"/>
        </w:rPr>
      </w:pPr>
      <w:r w:rsidRPr="00222BA5">
        <w:rPr>
          <w:lang w:eastAsia="en-AU"/>
        </w:rPr>
        <w:t>consignments of inorganic fertiliser being imported under a valid departmental import permit for further processing onshore.</w:t>
      </w:r>
    </w:p>
    <w:p w14:paraId="7C84C04A" w14:textId="37C6C98F" w:rsidR="002E1971" w:rsidRPr="00A910AD" w:rsidRDefault="002E1971" w:rsidP="00EC4376">
      <w:pPr>
        <w:spacing w:before="120" w:after="120"/>
        <w:rPr>
          <w:lang w:eastAsia="ja-JP"/>
        </w:rPr>
      </w:pPr>
      <w:r w:rsidRPr="00A910AD">
        <w:rPr>
          <w:lang w:eastAsia="ja-JP"/>
        </w:rPr>
        <w:t xml:space="preserve">Consignment risk ratings are based on </w:t>
      </w:r>
      <w:r w:rsidR="00057FC2">
        <w:rPr>
          <w:lang w:eastAsia="ja-JP"/>
        </w:rPr>
        <w:t>2</w:t>
      </w:r>
      <w:r w:rsidRPr="00A910AD">
        <w:rPr>
          <w:lang w:eastAsia="ja-JP"/>
        </w:rPr>
        <w:t xml:space="preserve"> elements:</w:t>
      </w:r>
    </w:p>
    <w:p w14:paraId="0BD1C269" w14:textId="602F394E" w:rsidR="002E1971" w:rsidRPr="00A910AD" w:rsidRDefault="002E1971" w:rsidP="00814F0C">
      <w:pPr>
        <w:pStyle w:val="ListNumber"/>
      </w:pPr>
      <w:r w:rsidRPr="00A910AD">
        <w:t>The registration status of the offshore entity that supplied the inorganic fertiliser</w:t>
      </w:r>
      <w:r w:rsidR="00C424DC">
        <w:t>.</w:t>
      </w:r>
    </w:p>
    <w:p w14:paraId="795A8B28" w14:textId="6C865EEC" w:rsidR="00A910AD" w:rsidRPr="00A910AD" w:rsidRDefault="004E31BF" w:rsidP="00814F0C">
      <w:pPr>
        <w:pStyle w:val="ListNumber"/>
        <w:rPr>
          <w:lang w:eastAsia="ja-JP"/>
        </w:rPr>
      </w:pPr>
      <w:r w:rsidRPr="00A910AD">
        <w:rPr>
          <w:lang w:eastAsia="ja-JP"/>
        </w:rPr>
        <w:t>Consignment cleanliness requirements</w:t>
      </w:r>
      <w:r w:rsidR="00430AB2">
        <w:rPr>
          <w:lang w:eastAsia="ja-JP"/>
        </w:rPr>
        <w:t xml:space="preserve"> for</w:t>
      </w:r>
    </w:p>
    <w:p w14:paraId="091BE7FA" w14:textId="03DB6DE8" w:rsidR="002E1971" w:rsidRPr="00A910AD" w:rsidRDefault="002E1971" w:rsidP="00A910AD">
      <w:pPr>
        <w:pStyle w:val="ListNumber2"/>
        <w:rPr>
          <w:lang w:eastAsia="ja-JP"/>
        </w:rPr>
      </w:pPr>
      <w:r w:rsidRPr="00A910AD">
        <w:rPr>
          <w:lang w:eastAsia="ja-JP"/>
        </w:rPr>
        <w:t>in-ships-hold consignments</w:t>
      </w:r>
      <w:r w:rsidR="00596ECF">
        <w:rPr>
          <w:lang w:eastAsia="ja-JP"/>
        </w:rPr>
        <w:t xml:space="preserve"> –</w:t>
      </w:r>
      <w:r w:rsidRPr="00A910AD">
        <w:rPr>
          <w:lang w:eastAsia="ja-JP"/>
        </w:rPr>
        <w:t xml:space="preserve"> the vessel cleanliness and past cargo history</w:t>
      </w:r>
    </w:p>
    <w:p w14:paraId="0E9F0D48" w14:textId="61BC89AC" w:rsidR="002E1971" w:rsidRDefault="002E1971" w:rsidP="00745F28">
      <w:pPr>
        <w:pStyle w:val="ListNumber2"/>
        <w:rPr>
          <w:lang w:eastAsia="ja-JP"/>
        </w:rPr>
      </w:pPr>
      <w:r w:rsidRPr="00A910AD">
        <w:t>containerised consignments</w:t>
      </w:r>
      <w:r w:rsidR="00596ECF">
        <w:t xml:space="preserve"> –</w:t>
      </w:r>
      <w:r w:rsidRPr="00A910AD">
        <w:t xml:space="preserve"> the container cleanliness and non-commodity requirements.</w:t>
      </w:r>
    </w:p>
    <w:p w14:paraId="6383B067" w14:textId="64028FEF" w:rsidR="00B04424" w:rsidRPr="00222BA5" w:rsidRDefault="006F0DD8" w:rsidP="001C0B23">
      <w:pPr>
        <w:spacing w:after="120"/>
        <w:rPr>
          <w:rFonts w:cstheme="minorHAnsi"/>
          <w:lang w:eastAsia="en-AU"/>
        </w:rPr>
      </w:pPr>
      <w:r>
        <w:rPr>
          <w:rFonts w:cstheme="minorHAnsi"/>
          <w:lang w:eastAsia="en-AU"/>
        </w:rPr>
        <w:fldChar w:fldCharType="begin"/>
      </w:r>
      <w:r>
        <w:rPr>
          <w:rFonts w:cstheme="minorHAnsi"/>
          <w:lang w:eastAsia="en-AU"/>
        </w:rPr>
        <w:instrText xml:space="preserve"> REF _Ref213419561 \h </w:instrText>
      </w:r>
      <w:r>
        <w:rPr>
          <w:rFonts w:cstheme="minorHAnsi"/>
          <w:lang w:eastAsia="en-AU"/>
        </w:rPr>
      </w:r>
      <w:r>
        <w:rPr>
          <w:rFonts w:cstheme="minorHAnsi"/>
          <w:lang w:eastAsia="en-AU"/>
        </w:rPr>
        <w:fldChar w:fldCharType="separate"/>
      </w:r>
      <w:r w:rsidR="00F4508B">
        <w:t xml:space="preserve">Table </w:t>
      </w:r>
      <w:r w:rsidR="00F4508B">
        <w:rPr>
          <w:noProof/>
        </w:rPr>
        <w:t>1</w:t>
      </w:r>
      <w:r>
        <w:rPr>
          <w:rFonts w:cstheme="minorHAnsi"/>
          <w:lang w:eastAsia="en-AU"/>
        </w:rPr>
        <w:fldChar w:fldCharType="end"/>
      </w:r>
      <w:r>
        <w:rPr>
          <w:rFonts w:cstheme="minorHAnsi"/>
          <w:lang w:eastAsia="en-AU"/>
        </w:rPr>
        <w:t xml:space="preserve"> </w:t>
      </w:r>
      <w:r w:rsidR="00B04424" w:rsidRPr="00222BA5">
        <w:rPr>
          <w:rFonts w:cstheme="minorHAnsi"/>
          <w:lang w:eastAsia="en-AU"/>
        </w:rPr>
        <w:t xml:space="preserve">outlines how </w:t>
      </w:r>
      <w:r w:rsidR="00430AB2">
        <w:rPr>
          <w:rFonts w:cstheme="minorHAnsi"/>
          <w:lang w:eastAsia="en-AU"/>
        </w:rPr>
        <w:t>we</w:t>
      </w:r>
      <w:r w:rsidR="00B04424" w:rsidRPr="00222BA5">
        <w:rPr>
          <w:rFonts w:cstheme="minorHAnsi"/>
          <w:lang w:eastAsia="en-AU"/>
        </w:rPr>
        <w:t xml:space="preserve"> determine risk ratings for consignments</w:t>
      </w:r>
      <w:r w:rsidR="00430AB2">
        <w:rPr>
          <w:rFonts w:cstheme="minorHAnsi"/>
          <w:lang w:eastAsia="en-AU"/>
        </w:rPr>
        <w:t xml:space="preserve"> or </w:t>
      </w:r>
      <w:r w:rsidR="00B04424" w:rsidRPr="00222BA5">
        <w:rPr>
          <w:rFonts w:cstheme="minorHAnsi"/>
          <w:lang w:eastAsia="en-AU"/>
        </w:rPr>
        <w:t>vessel holds of imported inorganic fertiliser. Risk ratings may also be affected where one or more associated importing conditions have not been met.</w:t>
      </w:r>
    </w:p>
    <w:p w14:paraId="4E134ACA" w14:textId="1221613D" w:rsidR="00B04424" w:rsidRDefault="006F0DD8" w:rsidP="006F0DD8">
      <w:pPr>
        <w:pStyle w:val="Caption"/>
        <w:rPr>
          <w:rFonts w:eastAsia="Times New Roman" w:cstheme="minorHAnsi"/>
        </w:rPr>
      </w:pPr>
      <w:bookmarkStart w:id="55" w:name="_Ref213419561"/>
      <w:bookmarkStart w:id="56" w:name="_Hlk181770934"/>
      <w:bookmarkStart w:id="57" w:name="_Toc218777409"/>
      <w:bookmarkStart w:id="58" w:name="_Hlk146280652"/>
      <w:r>
        <w:t xml:space="preserve">Table </w:t>
      </w:r>
      <w:r>
        <w:fldChar w:fldCharType="begin"/>
      </w:r>
      <w:r>
        <w:instrText xml:space="preserve"> SEQ Table \* ARABIC </w:instrText>
      </w:r>
      <w:r>
        <w:fldChar w:fldCharType="separate"/>
      </w:r>
      <w:r w:rsidR="00F4508B">
        <w:rPr>
          <w:noProof/>
        </w:rPr>
        <w:t>1</w:t>
      </w:r>
      <w:r>
        <w:fldChar w:fldCharType="end"/>
      </w:r>
      <w:bookmarkEnd w:id="55"/>
      <w:r>
        <w:t xml:space="preserve"> </w:t>
      </w:r>
      <w:r w:rsidR="00B04424" w:rsidRPr="00222BA5">
        <w:rPr>
          <w:rFonts w:eastAsia="Times New Roman" w:cstheme="minorHAnsi"/>
        </w:rPr>
        <w:t>I</w:t>
      </w:r>
      <w:r w:rsidR="00B04424">
        <w:rPr>
          <w:rFonts w:eastAsia="Times New Roman" w:cstheme="minorHAnsi"/>
        </w:rPr>
        <w:t>mported i</w:t>
      </w:r>
      <w:r w:rsidR="00B04424" w:rsidRPr="00222BA5">
        <w:rPr>
          <w:rFonts w:eastAsia="Times New Roman" w:cstheme="minorHAnsi"/>
        </w:rPr>
        <w:t>norganic fertiliser risk ratings</w:t>
      </w:r>
      <w:bookmarkEnd w:id="56"/>
      <w:r>
        <w:rPr>
          <w:rFonts w:eastAsia="Times New Roman" w:cstheme="minorHAnsi"/>
        </w:rPr>
        <w:t>, by cargo type</w:t>
      </w:r>
      <w:bookmarkEnd w:id="57"/>
    </w:p>
    <w:tbl>
      <w:tblPr>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1813"/>
        <w:gridCol w:w="2014"/>
        <w:gridCol w:w="1985"/>
        <w:gridCol w:w="1702"/>
        <w:gridCol w:w="1556"/>
      </w:tblGrid>
      <w:tr w:rsidR="00F11032" w:rsidRPr="003C3A49" w14:paraId="4668E35B" w14:textId="77777777" w:rsidTr="006F425B">
        <w:trPr>
          <w:cantSplit/>
          <w:tblHeader/>
        </w:trPr>
        <w:tc>
          <w:tcPr>
            <w:tcW w:w="1000" w:type="pct"/>
            <w:tcMar>
              <w:left w:w="108" w:type="dxa"/>
              <w:right w:w="108" w:type="dxa"/>
            </w:tcMar>
          </w:tcPr>
          <w:p w14:paraId="48D19EA7" w14:textId="4B05727A" w:rsidR="00F11032" w:rsidRPr="003C3A49" w:rsidRDefault="00F11032" w:rsidP="00F11032">
            <w:pPr>
              <w:pStyle w:val="TableHeading"/>
            </w:pPr>
            <w:bookmarkStart w:id="59" w:name="Title_1"/>
            <w:bookmarkEnd w:id="59"/>
            <w:r>
              <w:t>Offshore entity registration</w:t>
            </w:r>
          </w:p>
        </w:tc>
        <w:tc>
          <w:tcPr>
            <w:tcW w:w="1110" w:type="pct"/>
            <w:tcMar>
              <w:left w:w="108" w:type="dxa"/>
              <w:right w:w="108" w:type="dxa"/>
            </w:tcMar>
          </w:tcPr>
          <w:p w14:paraId="2CC048C2" w14:textId="3CB756BE" w:rsidR="00F11032" w:rsidRPr="003C3A49" w:rsidRDefault="00F11032" w:rsidP="00F11032">
            <w:pPr>
              <w:pStyle w:val="TableHeading"/>
            </w:pPr>
            <w:r>
              <w:t>Containerised</w:t>
            </w:r>
            <w:r w:rsidR="00A43C6C">
              <w:t xml:space="preserve"> – c</w:t>
            </w:r>
            <w:r>
              <w:t>leanliness requirements not met</w:t>
            </w:r>
          </w:p>
        </w:tc>
        <w:tc>
          <w:tcPr>
            <w:tcW w:w="1094" w:type="pct"/>
            <w:tcMar>
              <w:left w:w="108" w:type="dxa"/>
              <w:right w:w="108" w:type="dxa"/>
            </w:tcMar>
          </w:tcPr>
          <w:p w14:paraId="67B3F704" w14:textId="3D4A643A" w:rsidR="00F11032" w:rsidRPr="003C3A49" w:rsidRDefault="00F11032" w:rsidP="00F11032">
            <w:pPr>
              <w:pStyle w:val="TableHeading"/>
            </w:pPr>
            <w:r>
              <w:t>Containerised</w:t>
            </w:r>
            <w:r w:rsidR="00A43C6C">
              <w:t xml:space="preserve"> – c</w:t>
            </w:r>
            <w:r>
              <w:t>leanliness requirements met</w:t>
            </w:r>
          </w:p>
        </w:tc>
        <w:tc>
          <w:tcPr>
            <w:tcW w:w="938" w:type="pct"/>
            <w:tcMar>
              <w:left w:w="108" w:type="dxa"/>
              <w:right w:w="108" w:type="dxa"/>
            </w:tcMar>
          </w:tcPr>
          <w:p w14:paraId="7E184BA9" w14:textId="432C65EA" w:rsidR="00F11032" w:rsidRPr="003C3A49" w:rsidRDefault="00F11032" w:rsidP="00F11032">
            <w:pPr>
              <w:pStyle w:val="TableHeading"/>
            </w:pPr>
            <w:r>
              <w:t>In-ships-hold</w:t>
            </w:r>
            <w:r w:rsidR="00A43C6C">
              <w:t xml:space="preserve"> – v</w:t>
            </w:r>
            <w:r>
              <w:t>essel requirements not met</w:t>
            </w:r>
          </w:p>
        </w:tc>
        <w:tc>
          <w:tcPr>
            <w:tcW w:w="858" w:type="pct"/>
            <w:tcMar>
              <w:left w:w="108" w:type="dxa"/>
              <w:right w:w="108" w:type="dxa"/>
            </w:tcMar>
          </w:tcPr>
          <w:p w14:paraId="051B923A" w14:textId="76E04F75" w:rsidR="00F11032" w:rsidRPr="003C3A49" w:rsidRDefault="00F11032" w:rsidP="00F11032">
            <w:pPr>
              <w:pStyle w:val="TableHeading"/>
            </w:pPr>
            <w:r>
              <w:t xml:space="preserve">In-ships-hold </w:t>
            </w:r>
            <w:r w:rsidR="00A43C6C">
              <w:t>– ve</w:t>
            </w:r>
            <w:r>
              <w:t>ssel requirements met</w:t>
            </w:r>
          </w:p>
        </w:tc>
      </w:tr>
      <w:tr w:rsidR="00F11032" w:rsidRPr="003C3A49" w14:paraId="7EE56FA1" w14:textId="77777777" w:rsidTr="006F425B">
        <w:tc>
          <w:tcPr>
            <w:tcW w:w="1000" w:type="pct"/>
            <w:tcMar>
              <w:left w:w="108" w:type="dxa"/>
              <w:right w:w="108" w:type="dxa"/>
            </w:tcMar>
          </w:tcPr>
          <w:p w14:paraId="40E6F82B" w14:textId="26F21FB8" w:rsidR="00F11032" w:rsidRPr="003C3A49" w:rsidRDefault="00F11032" w:rsidP="00F11032">
            <w:pPr>
              <w:pStyle w:val="TableText"/>
            </w:pPr>
            <w:r w:rsidRPr="00F11032">
              <w:t>Registered Level 1</w:t>
            </w:r>
          </w:p>
        </w:tc>
        <w:tc>
          <w:tcPr>
            <w:tcW w:w="1110" w:type="pct"/>
            <w:tcMar>
              <w:left w:w="108" w:type="dxa"/>
              <w:right w:w="108" w:type="dxa"/>
            </w:tcMar>
          </w:tcPr>
          <w:p w14:paraId="77CB68DA" w14:textId="6C19BCE2" w:rsidR="00F11032" w:rsidRPr="003C3A49" w:rsidRDefault="00F11032" w:rsidP="00F11032">
            <w:pPr>
              <w:pStyle w:val="TableText"/>
            </w:pPr>
            <w:r>
              <w:rPr>
                <w:rFonts w:cstheme="minorHAnsi"/>
                <w:lang w:eastAsia="en-AU"/>
              </w:rPr>
              <w:t>Level 3</w:t>
            </w:r>
          </w:p>
        </w:tc>
        <w:tc>
          <w:tcPr>
            <w:tcW w:w="1094" w:type="pct"/>
            <w:tcMar>
              <w:left w:w="108" w:type="dxa"/>
              <w:right w:w="108" w:type="dxa"/>
            </w:tcMar>
          </w:tcPr>
          <w:p w14:paraId="51826E3A" w14:textId="0EEF3F51" w:rsidR="00F11032" w:rsidRPr="003C3A49" w:rsidRDefault="00F11032" w:rsidP="00F11032">
            <w:pPr>
              <w:pStyle w:val="TableText"/>
            </w:pPr>
            <w:r>
              <w:rPr>
                <w:rFonts w:cstheme="minorHAnsi"/>
                <w:lang w:eastAsia="en-AU"/>
              </w:rPr>
              <w:t>Level 1</w:t>
            </w:r>
          </w:p>
        </w:tc>
        <w:tc>
          <w:tcPr>
            <w:tcW w:w="938" w:type="pct"/>
            <w:tcMar>
              <w:left w:w="108" w:type="dxa"/>
              <w:right w:w="108" w:type="dxa"/>
            </w:tcMar>
          </w:tcPr>
          <w:p w14:paraId="13CB8ACE" w14:textId="0173EC27" w:rsidR="00F11032" w:rsidRPr="003C3A49" w:rsidRDefault="00F11032" w:rsidP="00F11032">
            <w:pPr>
              <w:pStyle w:val="TableText"/>
            </w:pPr>
            <w:r>
              <w:rPr>
                <w:rFonts w:cstheme="minorHAnsi"/>
                <w:lang w:eastAsia="en-AU"/>
              </w:rPr>
              <w:t>Level 3</w:t>
            </w:r>
          </w:p>
        </w:tc>
        <w:tc>
          <w:tcPr>
            <w:tcW w:w="858" w:type="pct"/>
            <w:tcMar>
              <w:left w:w="108" w:type="dxa"/>
              <w:right w:w="108" w:type="dxa"/>
            </w:tcMar>
          </w:tcPr>
          <w:p w14:paraId="0298AB40" w14:textId="68BCC485" w:rsidR="00F11032" w:rsidRPr="003C3A49" w:rsidRDefault="00F11032" w:rsidP="00F11032">
            <w:pPr>
              <w:pStyle w:val="TableText"/>
            </w:pPr>
            <w:r>
              <w:rPr>
                <w:rFonts w:cstheme="minorHAnsi"/>
                <w:lang w:eastAsia="en-AU"/>
              </w:rPr>
              <w:t xml:space="preserve">Level 1 </w:t>
            </w:r>
            <w:r w:rsidRPr="00F11032">
              <w:rPr>
                <w:rStyle w:val="Strong"/>
                <w:vertAlign w:val="superscript"/>
              </w:rPr>
              <w:t>a</w:t>
            </w:r>
          </w:p>
        </w:tc>
      </w:tr>
      <w:tr w:rsidR="00F11032" w:rsidRPr="003C3A49" w14:paraId="370C779D" w14:textId="77777777" w:rsidTr="006F425B">
        <w:tc>
          <w:tcPr>
            <w:tcW w:w="1000" w:type="pct"/>
            <w:tcMar>
              <w:left w:w="108" w:type="dxa"/>
              <w:right w:w="108" w:type="dxa"/>
            </w:tcMar>
          </w:tcPr>
          <w:p w14:paraId="42F860A9" w14:textId="353D83D6" w:rsidR="00F11032" w:rsidRPr="003C3A49" w:rsidRDefault="00F11032" w:rsidP="00F11032">
            <w:pPr>
              <w:pStyle w:val="TableText"/>
            </w:pPr>
            <w:r>
              <w:t>Registered Level 2</w:t>
            </w:r>
          </w:p>
        </w:tc>
        <w:tc>
          <w:tcPr>
            <w:tcW w:w="1110" w:type="pct"/>
            <w:tcMar>
              <w:left w:w="108" w:type="dxa"/>
              <w:right w:w="108" w:type="dxa"/>
            </w:tcMar>
          </w:tcPr>
          <w:p w14:paraId="4DA0FFE5" w14:textId="7B847361" w:rsidR="00F11032" w:rsidRPr="003C3A49" w:rsidRDefault="00F11032" w:rsidP="00F11032">
            <w:pPr>
              <w:pStyle w:val="TableText"/>
            </w:pPr>
            <w:r>
              <w:rPr>
                <w:rFonts w:cstheme="minorHAnsi"/>
                <w:lang w:eastAsia="en-AU"/>
              </w:rPr>
              <w:t>Level 3</w:t>
            </w:r>
          </w:p>
        </w:tc>
        <w:tc>
          <w:tcPr>
            <w:tcW w:w="1094" w:type="pct"/>
            <w:tcMar>
              <w:left w:w="108" w:type="dxa"/>
              <w:right w:w="108" w:type="dxa"/>
            </w:tcMar>
          </w:tcPr>
          <w:p w14:paraId="3485DF7D" w14:textId="2F8D77A9" w:rsidR="00F11032" w:rsidRPr="003C3A49" w:rsidRDefault="00F11032" w:rsidP="00F11032">
            <w:pPr>
              <w:pStyle w:val="TableText"/>
            </w:pPr>
            <w:r>
              <w:rPr>
                <w:rFonts w:cstheme="minorHAnsi"/>
                <w:lang w:eastAsia="en-AU"/>
              </w:rPr>
              <w:t>Level 2</w:t>
            </w:r>
          </w:p>
        </w:tc>
        <w:tc>
          <w:tcPr>
            <w:tcW w:w="938" w:type="pct"/>
            <w:tcMar>
              <w:left w:w="108" w:type="dxa"/>
              <w:right w:w="108" w:type="dxa"/>
            </w:tcMar>
          </w:tcPr>
          <w:p w14:paraId="0EDB9C73" w14:textId="2D766429" w:rsidR="00F11032" w:rsidRPr="003C3A49" w:rsidRDefault="00F11032" w:rsidP="00F11032">
            <w:pPr>
              <w:pStyle w:val="TableText"/>
            </w:pPr>
            <w:r>
              <w:rPr>
                <w:rFonts w:cstheme="minorHAnsi"/>
                <w:lang w:eastAsia="en-AU"/>
              </w:rPr>
              <w:t>Level 3</w:t>
            </w:r>
          </w:p>
        </w:tc>
        <w:tc>
          <w:tcPr>
            <w:tcW w:w="858" w:type="pct"/>
            <w:tcMar>
              <w:left w:w="108" w:type="dxa"/>
              <w:right w:w="108" w:type="dxa"/>
            </w:tcMar>
          </w:tcPr>
          <w:p w14:paraId="1A0D99AF" w14:textId="4B506C5A" w:rsidR="00F11032" w:rsidRPr="003C3A49" w:rsidRDefault="00F11032" w:rsidP="00F11032">
            <w:pPr>
              <w:pStyle w:val="TableText"/>
            </w:pPr>
            <w:r>
              <w:rPr>
                <w:rFonts w:cstheme="minorHAnsi"/>
                <w:lang w:eastAsia="en-AU"/>
              </w:rPr>
              <w:t>Level 2</w:t>
            </w:r>
          </w:p>
        </w:tc>
      </w:tr>
      <w:tr w:rsidR="00F11032" w:rsidRPr="003C3A49" w14:paraId="6FAF5DFD" w14:textId="77777777" w:rsidTr="006F425B">
        <w:tc>
          <w:tcPr>
            <w:tcW w:w="1000" w:type="pct"/>
            <w:tcMar>
              <w:left w:w="108" w:type="dxa"/>
              <w:right w:w="108" w:type="dxa"/>
            </w:tcMar>
          </w:tcPr>
          <w:p w14:paraId="74558B03" w14:textId="3583EB09" w:rsidR="00F11032" w:rsidRPr="003C3A49" w:rsidRDefault="00F11032" w:rsidP="00F11032">
            <w:pPr>
              <w:pStyle w:val="TableText"/>
            </w:pPr>
            <w:r>
              <w:t>Unregistered Level 3</w:t>
            </w:r>
          </w:p>
        </w:tc>
        <w:tc>
          <w:tcPr>
            <w:tcW w:w="1110" w:type="pct"/>
            <w:tcMar>
              <w:left w:w="108" w:type="dxa"/>
              <w:right w:w="108" w:type="dxa"/>
            </w:tcMar>
          </w:tcPr>
          <w:p w14:paraId="10C2EF26" w14:textId="170C2743" w:rsidR="00F11032" w:rsidRPr="003C3A49" w:rsidRDefault="00F11032" w:rsidP="00F11032">
            <w:pPr>
              <w:pStyle w:val="TableText"/>
            </w:pPr>
            <w:r>
              <w:rPr>
                <w:rFonts w:cstheme="minorHAnsi"/>
                <w:lang w:eastAsia="en-AU"/>
              </w:rPr>
              <w:t>Level 3</w:t>
            </w:r>
          </w:p>
        </w:tc>
        <w:tc>
          <w:tcPr>
            <w:tcW w:w="1094" w:type="pct"/>
            <w:tcMar>
              <w:left w:w="108" w:type="dxa"/>
              <w:right w:w="108" w:type="dxa"/>
            </w:tcMar>
          </w:tcPr>
          <w:p w14:paraId="215D3E6D" w14:textId="013EF8A6" w:rsidR="00F11032" w:rsidRPr="003C3A49" w:rsidRDefault="00F11032" w:rsidP="00F11032">
            <w:pPr>
              <w:pStyle w:val="TableText"/>
            </w:pPr>
            <w:r>
              <w:rPr>
                <w:rFonts w:cstheme="minorHAnsi"/>
                <w:lang w:eastAsia="en-AU"/>
              </w:rPr>
              <w:t>Level 3</w:t>
            </w:r>
          </w:p>
        </w:tc>
        <w:tc>
          <w:tcPr>
            <w:tcW w:w="938" w:type="pct"/>
            <w:tcMar>
              <w:left w:w="108" w:type="dxa"/>
              <w:right w:w="108" w:type="dxa"/>
            </w:tcMar>
          </w:tcPr>
          <w:p w14:paraId="1130A93A" w14:textId="093D7F94" w:rsidR="00F11032" w:rsidRPr="003C3A49" w:rsidRDefault="00F11032" w:rsidP="00F11032">
            <w:pPr>
              <w:pStyle w:val="TableText"/>
            </w:pPr>
            <w:r>
              <w:rPr>
                <w:rFonts w:cstheme="minorHAnsi"/>
                <w:lang w:eastAsia="en-AU"/>
              </w:rPr>
              <w:t>Level 3</w:t>
            </w:r>
          </w:p>
        </w:tc>
        <w:tc>
          <w:tcPr>
            <w:tcW w:w="858" w:type="pct"/>
            <w:tcMar>
              <w:left w:w="108" w:type="dxa"/>
              <w:right w:w="108" w:type="dxa"/>
            </w:tcMar>
          </w:tcPr>
          <w:p w14:paraId="12D8D071" w14:textId="0BD7BFD9" w:rsidR="00F11032" w:rsidRPr="003C3A49" w:rsidRDefault="00F11032" w:rsidP="00F11032">
            <w:pPr>
              <w:pStyle w:val="TableText"/>
            </w:pPr>
            <w:r>
              <w:rPr>
                <w:rFonts w:cstheme="minorHAnsi"/>
                <w:lang w:eastAsia="en-AU"/>
              </w:rPr>
              <w:t>Level 3</w:t>
            </w:r>
          </w:p>
        </w:tc>
      </w:tr>
    </w:tbl>
    <w:p w14:paraId="6CA5B676" w14:textId="26C85CB4" w:rsidR="006F0DD8" w:rsidRDefault="00F11032" w:rsidP="006F425B">
      <w:pPr>
        <w:pStyle w:val="FigureTableNoteSource"/>
        <w:rPr>
          <w:lang w:eastAsia="en-AU"/>
        </w:rPr>
      </w:pPr>
      <w:r>
        <w:rPr>
          <w:b/>
          <w:bCs/>
          <w:lang w:eastAsia="en-AU"/>
        </w:rPr>
        <w:t xml:space="preserve">a </w:t>
      </w:r>
      <w:r w:rsidRPr="00222BA5">
        <w:rPr>
          <w:lang w:eastAsia="en-AU"/>
        </w:rPr>
        <w:t>Vessels transporting in-ship</w:t>
      </w:r>
      <w:r>
        <w:rPr>
          <w:lang w:eastAsia="en-AU"/>
        </w:rPr>
        <w:t>s</w:t>
      </w:r>
      <w:r w:rsidRPr="00222BA5">
        <w:rPr>
          <w:lang w:eastAsia="en-AU"/>
        </w:rPr>
        <w:t xml:space="preserve">-hold product and seeking </w:t>
      </w:r>
      <w:r>
        <w:rPr>
          <w:lang w:eastAsia="en-AU"/>
        </w:rPr>
        <w:t>Level 1</w:t>
      </w:r>
      <w:r w:rsidRPr="00222BA5">
        <w:rPr>
          <w:lang w:eastAsia="en-AU"/>
        </w:rPr>
        <w:t xml:space="preserve"> status must </w:t>
      </w:r>
      <w:r>
        <w:rPr>
          <w:lang w:eastAsia="en-AU"/>
        </w:rPr>
        <w:t>not</w:t>
      </w:r>
      <w:r w:rsidRPr="00222BA5">
        <w:rPr>
          <w:lang w:eastAsia="en-AU"/>
        </w:rPr>
        <w:t xml:space="preserve"> have carried actionable cargo in the previous 6 cargoes.</w:t>
      </w:r>
    </w:p>
    <w:p w14:paraId="6CDC514B" w14:textId="61A6C855" w:rsidR="00905A0E" w:rsidRPr="00143A15" w:rsidRDefault="00F97A8B" w:rsidP="00905A0E">
      <w:pPr>
        <w:rPr>
          <w:lang w:eastAsia="en-AU"/>
        </w:rPr>
      </w:pPr>
      <w:r>
        <w:rPr>
          <w:lang w:eastAsia="en-AU"/>
        </w:rPr>
        <w:t xml:space="preserve">If </w:t>
      </w:r>
      <w:r w:rsidR="00905A0E">
        <w:rPr>
          <w:lang w:eastAsia="en-AU"/>
        </w:rPr>
        <w:t>L</w:t>
      </w:r>
      <w:r w:rsidR="00905A0E" w:rsidRPr="00905A0E">
        <w:rPr>
          <w:lang w:eastAsia="en-AU"/>
        </w:rPr>
        <w:t>evel 1 product is loaded into a non-</w:t>
      </w:r>
      <w:r w:rsidR="00905A0E">
        <w:rPr>
          <w:lang w:eastAsia="en-AU"/>
        </w:rPr>
        <w:t>L</w:t>
      </w:r>
      <w:r w:rsidR="00905A0E" w:rsidRPr="00905A0E">
        <w:rPr>
          <w:lang w:eastAsia="en-AU"/>
        </w:rPr>
        <w:t>evel 1 vessel</w:t>
      </w:r>
      <w:r>
        <w:rPr>
          <w:lang w:eastAsia="en-AU"/>
        </w:rPr>
        <w:t>,</w:t>
      </w:r>
      <w:r w:rsidR="00905A0E" w:rsidRPr="00905A0E">
        <w:rPr>
          <w:lang w:eastAsia="en-AU"/>
        </w:rPr>
        <w:t xml:space="preserve"> it will be treated as Level 3</w:t>
      </w:r>
      <w:r>
        <w:rPr>
          <w:lang w:eastAsia="en-AU"/>
        </w:rPr>
        <w:t>. In such cases, a</w:t>
      </w:r>
      <w:r w:rsidR="00905A0E" w:rsidRPr="00905A0E">
        <w:rPr>
          <w:lang w:eastAsia="en-AU"/>
        </w:rPr>
        <w:t>n in-hold and landed inspection will be required</w:t>
      </w:r>
      <w:r w:rsidR="008E63FF">
        <w:rPr>
          <w:lang w:eastAsia="en-AU"/>
        </w:rPr>
        <w:t xml:space="preserve"> at all ports of discharge</w:t>
      </w:r>
      <w:r w:rsidR="00905A0E" w:rsidRPr="00905A0E">
        <w:rPr>
          <w:lang w:eastAsia="en-AU"/>
        </w:rPr>
        <w:t>.</w:t>
      </w:r>
      <w:r w:rsidR="00905A0E">
        <w:rPr>
          <w:lang w:eastAsia="en-AU"/>
        </w:rPr>
        <w:t xml:space="preserve"> </w:t>
      </w:r>
    </w:p>
    <w:p w14:paraId="03E379B0" w14:textId="198814CF" w:rsidR="00612C82" w:rsidRPr="00FE2AA9" w:rsidRDefault="00612C82" w:rsidP="00FE2AA9">
      <w:pPr>
        <w:pStyle w:val="Heading2"/>
      </w:pPr>
      <w:bookmarkStart w:id="60" w:name="_Toc214552891"/>
      <w:bookmarkStart w:id="61" w:name="_Toc214553281"/>
      <w:bookmarkStart w:id="62" w:name="_Toc214553360"/>
      <w:bookmarkStart w:id="63" w:name="_Toc215070115"/>
      <w:bookmarkStart w:id="64" w:name="_Toc214552892"/>
      <w:bookmarkStart w:id="65" w:name="_Toc214553282"/>
      <w:bookmarkStart w:id="66" w:name="_Toc214553361"/>
      <w:bookmarkStart w:id="67" w:name="_Toc215070116"/>
      <w:bookmarkStart w:id="68" w:name="_Toc224213125"/>
      <w:bookmarkEnd w:id="58"/>
      <w:bookmarkEnd w:id="60"/>
      <w:bookmarkEnd w:id="61"/>
      <w:bookmarkEnd w:id="62"/>
      <w:bookmarkEnd w:id="63"/>
      <w:bookmarkEnd w:id="64"/>
      <w:bookmarkEnd w:id="65"/>
      <w:bookmarkEnd w:id="66"/>
      <w:bookmarkEnd w:id="67"/>
      <w:r w:rsidRPr="00FE2AA9">
        <w:lastRenderedPageBreak/>
        <w:t>In-ships-hold consignments</w:t>
      </w:r>
      <w:bookmarkEnd w:id="68"/>
    </w:p>
    <w:p w14:paraId="1A2B308F" w14:textId="0E269BAD" w:rsidR="00EB5500" w:rsidRDefault="00EB5500" w:rsidP="003F3184">
      <w:pPr>
        <w:pStyle w:val="Heading3"/>
        <w:spacing w:before="120" w:after="120"/>
        <w:rPr>
          <w:lang w:eastAsia="ja-JP"/>
        </w:rPr>
      </w:pPr>
      <w:bookmarkStart w:id="69" w:name="_Toc224213126"/>
      <w:r w:rsidRPr="00FE2AA9">
        <w:rPr>
          <w:rFonts w:eastAsiaTheme="minorHAnsi"/>
          <w:lang w:eastAsia="ja-JP"/>
        </w:rPr>
        <w:t>Pre-shipment inspection and certification</w:t>
      </w:r>
      <w:bookmarkEnd w:id="69"/>
    </w:p>
    <w:p w14:paraId="05F2AE6D" w14:textId="579FCF2A" w:rsidR="00EB5500" w:rsidRDefault="00EB5500" w:rsidP="006002C7">
      <w:pPr>
        <w:spacing w:before="120"/>
        <w:rPr>
          <w:lang w:eastAsia="ja-JP"/>
        </w:rPr>
      </w:pPr>
      <w:r>
        <w:rPr>
          <w:lang w:eastAsia="ja-JP"/>
        </w:rPr>
        <w:t>Prior to export</w:t>
      </w:r>
      <w:r w:rsidRPr="001E0481">
        <w:rPr>
          <w:lang w:eastAsia="ja-JP"/>
        </w:rPr>
        <w:t xml:space="preserve">, </w:t>
      </w:r>
      <w:r w:rsidR="00B73FF9" w:rsidRPr="00EB15E0">
        <w:rPr>
          <w:lang w:eastAsia="ja-JP"/>
        </w:rPr>
        <w:t xml:space="preserve">Level 2 and </w:t>
      </w:r>
      <w:r w:rsidR="00DE14CF">
        <w:rPr>
          <w:lang w:eastAsia="ja-JP"/>
        </w:rPr>
        <w:t xml:space="preserve">Level </w:t>
      </w:r>
      <w:r w:rsidR="00B73FF9" w:rsidRPr="00EB15E0">
        <w:rPr>
          <w:lang w:eastAsia="ja-JP"/>
        </w:rPr>
        <w:t>3</w:t>
      </w:r>
      <w:r w:rsidR="00B73FF9">
        <w:rPr>
          <w:lang w:eastAsia="ja-JP"/>
        </w:rPr>
        <w:t xml:space="preserve"> </w:t>
      </w:r>
      <w:r>
        <w:rPr>
          <w:lang w:eastAsia="ja-JP"/>
        </w:rPr>
        <w:t xml:space="preserve">in-ships-hold bagged or bulk (loose) consignments and the vessel they will be shipped in are required to undergo the following </w:t>
      </w:r>
      <w:r w:rsidR="0020209E">
        <w:rPr>
          <w:lang w:eastAsia="ja-JP"/>
        </w:rPr>
        <w:t>procedures</w:t>
      </w:r>
      <w:r>
        <w:rPr>
          <w:lang w:eastAsia="ja-JP"/>
        </w:rPr>
        <w:t>:</w:t>
      </w:r>
    </w:p>
    <w:p w14:paraId="4A1A4238" w14:textId="07CB1A10" w:rsidR="00EB5500" w:rsidRDefault="00DE14CF" w:rsidP="009F0E69">
      <w:pPr>
        <w:pStyle w:val="ListBullet"/>
        <w:rPr>
          <w:lang w:eastAsia="ja-JP"/>
        </w:rPr>
      </w:pPr>
      <w:r>
        <w:rPr>
          <w:lang w:eastAsia="ja-JP"/>
        </w:rPr>
        <w:t>m</w:t>
      </w:r>
      <w:r w:rsidR="00EB5500">
        <w:rPr>
          <w:lang w:eastAsia="ja-JP"/>
        </w:rPr>
        <w:t>arine surveyor’s vessel cleanliness inspection</w:t>
      </w:r>
    </w:p>
    <w:p w14:paraId="2F587FBB" w14:textId="3B096EEB" w:rsidR="00297000" w:rsidRDefault="00297000" w:rsidP="009F0E69">
      <w:pPr>
        <w:pStyle w:val="ListBullet"/>
        <w:rPr>
          <w:lang w:eastAsia="ja-JP"/>
        </w:rPr>
      </w:pPr>
      <w:r>
        <w:rPr>
          <w:lang w:eastAsia="ja-JP"/>
        </w:rPr>
        <w:t>l</w:t>
      </w:r>
      <w:r w:rsidRPr="00B73FF9">
        <w:rPr>
          <w:lang w:eastAsia="ja-JP"/>
        </w:rPr>
        <w:t>oading sample inspection</w:t>
      </w:r>
    </w:p>
    <w:p w14:paraId="5D297F1E" w14:textId="72CFC68E" w:rsidR="000A408E" w:rsidRPr="00A50D40" w:rsidRDefault="00DE14CF" w:rsidP="003C7FB2">
      <w:pPr>
        <w:pStyle w:val="ListBullet"/>
        <w:rPr>
          <w:b/>
          <w:bCs/>
          <w:lang w:eastAsia="ja-JP"/>
        </w:rPr>
      </w:pPr>
      <w:r>
        <w:rPr>
          <w:lang w:eastAsia="ja-JP"/>
        </w:rPr>
        <w:t>b</w:t>
      </w:r>
      <w:r w:rsidR="00EB5500">
        <w:rPr>
          <w:lang w:eastAsia="ja-JP"/>
        </w:rPr>
        <w:t xml:space="preserve">agging of a 15-litre loading sample from each consignment </w:t>
      </w:r>
      <w:proofErr w:type="gramStart"/>
      <w:r w:rsidR="00EB5500">
        <w:rPr>
          <w:lang w:eastAsia="ja-JP"/>
        </w:rPr>
        <w:t>hold</w:t>
      </w:r>
      <w:proofErr w:type="gramEnd"/>
      <w:r w:rsidR="0020209E">
        <w:rPr>
          <w:lang w:eastAsia="ja-JP"/>
        </w:rPr>
        <w:t xml:space="preserve"> to be inspected at </w:t>
      </w:r>
      <w:r>
        <w:rPr>
          <w:lang w:eastAsia="ja-JP"/>
        </w:rPr>
        <w:t xml:space="preserve">port of </w:t>
      </w:r>
      <w:r w:rsidR="0020209E">
        <w:rPr>
          <w:lang w:eastAsia="ja-JP"/>
        </w:rPr>
        <w:t xml:space="preserve">discharge </w:t>
      </w:r>
      <w:r w:rsidR="000C6434" w:rsidRPr="00A50D40">
        <w:rPr>
          <w:lang w:eastAsia="ja-JP"/>
        </w:rPr>
        <w:t>(</w:t>
      </w:r>
      <w:r w:rsidR="00E3041D">
        <w:rPr>
          <w:lang w:eastAsia="ja-JP"/>
        </w:rPr>
        <w:t xml:space="preserve">see </w:t>
      </w:r>
      <w:hyperlink w:anchor="_All_consignments" w:history="1">
        <w:r w:rsidR="00E3041D">
          <w:rPr>
            <w:rStyle w:val="Hyperlink"/>
          </w:rPr>
          <w:t>section 4.3.1</w:t>
        </w:r>
      </w:hyperlink>
      <w:r w:rsidR="000C6434" w:rsidRPr="00A50D40">
        <w:rPr>
          <w:lang w:eastAsia="ja-JP"/>
        </w:rPr>
        <w:t>).</w:t>
      </w:r>
    </w:p>
    <w:p w14:paraId="44893D47" w14:textId="6CED0D70" w:rsidR="00B73FF9" w:rsidRPr="00B73FF9" w:rsidRDefault="00B73FF9" w:rsidP="00B73FF9">
      <w:pPr>
        <w:spacing w:before="120" w:after="120"/>
        <w:rPr>
          <w:lang w:eastAsia="ja-JP"/>
        </w:rPr>
      </w:pPr>
      <w:r w:rsidRPr="00B73FF9">
        <w:rPr>
          <w:lang w:eastAsia="ja-JP"/>
        </w:rPr>
        <w:t xml:space="preserve">Prior to export, </w:t>
      </w:r>
      <w:r w:rsidRPr="00EB15E0">
        <w:rPr>
          <w:lang w:eastAsia="ja-JP"/>
        </w:rPr>
        <w:t>Level 1</w:t>
      </w:r>
      <w:r w:rsidRPr="00B73FF9">
        <w:rPr>
          <w:lang w:eastAsia="ja-JP"/>
        </w:rPr>
        <w:t xml:space="preserve"> in-ships-hold bagged or bulk (loose) consignments and the vessel they will be shipped in are required to undergo the following inspections:</w:t>
      </w:r>
    </w:p>
    <w:p w14:paraId="7E8F927C" w14:textId="28013531" w:rsidR="00B73FF9" w:rsidRPr="00B73FF9" w:rsidRDefault="00DE14CF" w:rsidP="00B73FF9">
      <w:pPr>
        <w:numPr>
          <w:ilvl w:val="0"/>
          <w:numId w:val="8"/>
        </w:numPr>
        <w:spacing w:before="120" w:after="120"/>
        <w:rPr>
          <w:lang w:eastAsia="ja-JP"/>
        </w:rPr>
      </w:pPr>
      <w:r>
        <w:rPr>
          <w:lang w:eastAsia="ja-JP"/>
        </w:rPr>
        <w:t>m</w:t>
      </w:r>
      <w:r w:rsidR="00B73FF9" w:rsidRPr="00B73FF9">
        <w:rPr>
          <w:lang w:eastAsia="ja-JP"/>
        </w:rPr>
        <w:t>arine surveyor’s vessel cleanliness inspection</w:t>
      </w:r>
    </w:p>
    <w:p w14:paraId="1B7A7B20" w14:textId="5162592A" w:rsidR="000A408E" w:rsidRDefault="00DE14CF" w:rsidP="00EB15E0">
      <w:pPr>
        <w:pStyle w:val="ListBullet"/>
        <w:rPr>
          <w:lang w:eastAsia="ja-JP"/>
        </w:rPr>
      </w:pPr>
      <w:r>
        <w:rPr>
          <w:lang w:eastAsia="ja-JP"/>
        </w:rPr>
        <w:t>l</w:t>
      </w:r>
      <w:r w:rsidR="00B73FF9" w:rsidRPr="00B73FF9">
        <w:rPr>
          <w:lang w:eastAsia="ja-JP"/>
        </w:rPr>
        <w:t>oading sample inspection</w:t>
      </w:r>
      <w:r>
        <w:rPr>
          <w:lang w:eastAsia="ja-JP"/>
        </w:rPr>
        <w:t>.</w:t>
      </w:r>
    </w:p>
    <w:p w14:paraId="6ABB7933" w14:textId="319B00D1" w:rsidR="00EB5500" w:rsidRDefault="00EB5500" w:rsidP="009F0E69">
      <w:pPr>
        <w:spacing w:before="120" w:after="120"/>
        <w:rPr>
          <w:lang w:eastAsia="ja-JP"/>
        </w:rPr>
      </w:pPr>
      <w:r>
        <w:rPr>
          <w:lang w:eastAsia="ja-JP"/>
        </w:rPr>
        <w:t>Individual certification must be issued for each inspection type that confirms the department’s import conditions and requirements have been met and any issues identified have been addressed.</w:t>
      </w:r>
    </w:p>
    <w:p w14:paraId="547C29BB" w14:textId="2B621D1E" w:rsidR="007D5234" w:rsidRDefault="00EB5500" w:rsidP="006F425B">
      <w:pPr>
        <w:spacing w:before="120"/>
        <w:rPr>
          <w:lang w:eastAsia="ja-JP"/>
        </w:rPr>
      </w:pPr>
      <w:r>
        <w:rPr>
          <w:lang w:eastAsia="ja-JP"/>
        </w:rPr>
        <w:t xml:space="preserve">In-ships-hold consignments seeking a </w:t>
      </w:r>
      <w:r w:rsidR="002F3B5D" w:rsidRPr="00A50D40">
        <w:rPr>
          <w:lang w:eastAsia="ja-JP"/>
        </w:rPr>
        <w:t xml:space="preserve">Level 1 or </w:t>
      </w:r>
      <w:r w:rsidR="00687675" w:rsidRPr="00A50D40">
        <w:rPr>
          <w:lang w:eastAsia="ja-JP"/>
        </w:rPr>
        <w:t xml:space="preserve">Level </w:t>
      </w:r>
      <w:r w:rsidR="002F3B5D" w:rsidRPr="00A50D40">
        <w:rPr>
          <w:lang w:eastAsia="ja-JP"/>
        </w:rPr>
        <w:t>2</w:t>
      </w:r>
      <w:r w:rsidRPr="00A50D40">
        <w:rPr>
          <w:lang w:eastAsia="ja-JP"/>
        </w:rPr>
        <w:t xml:space="preserve"> assessment</w:t>
      </w:r>
      <w:r>
        <w:rPr>
          <w:lang w:eastAsia="ja-JP"/>
        </w:rPr>
        <w:t xml:space="preserve"> are also required to provide the department</w:t>
      </w:r>
      <w:r w:rsidR="009B5A7B">
        <w:rPr>
          <w:lang w:eastAsia="ja-JP"/>
        </w:rPr>
        <w:t xml:space="preserve"> </w:t>
      </w:r>
      <w:r w:rsidR="009B5A7B" w:rsidRPr="00DE14CF">
        <w:rPr>
          <w:lang w:eastAsia="ja-JP"/>
        </w:rPr>
        <w:t>with a</w:t>
      </w:r>
      <w:r w:rsidR="009B5A7B" w:rsidRPr="006F425B">
        <w:rPr>
          <w:lang w:eastAsia="ja-JP"/>
        </w:rPr>
        <w:t xml:space="preserve"> Manufacturer’s declaration</w:t>
      </w:r>
      <w:r w:rsidR="00DE14CF" w:rsidRPr="00DE14CF">
        <w:rPr>
          <w:lang w:eastAsia="ja-JP"/>
        </w:rPr>
        <w:t xml:space="preserve"> </w:t>
      </w:r>
      <w:r w:rsidR="00DE14CF" w:rsidRPr="00DE14CF">
        <w:t>for in</w:t>
      </w:r>
      <w:r w:rsidR="00DE14CF" w:rsidRPr="00567C77">
        <w:t>-ships-hold cargo</w:t>
      </w:r>
      <w:r w:rsidR="009B5A7B">
        <w:rPr>
          <w:lang w:eastAsia="ja-JP"/>
        </w:rPr>
        <w:t>,</w:t>
      </w:r>
      <w:r>
        <w:rPr>
          <w:lang w:eastAsia="ja-JP"/>
        </w:rPr>
        <w:t xml:space="preserve"> confirm</w:t>
      </w:r>
      <w:r w:rsidR="009B5A7B">
        <w:rPr>
          <w:lang w:eastAsia="ja-JP"/>
        </w:rPr>
        <w:t>ing</w:t>
      </w:r>
      <w:r>
        <w:rPr>
          <w:lang w:eastAsia="ja-JP"/>
        </w:rPr>
        <w:t xml:space="preserve"> the biosecurity integrity of the fertiliser (e.g. that it has originated from a registered offshore entity).</w:t>
      </w:r>
    </w:p>
    <w:p w14:paraId="72573DAB" w14:textId="03E78F70" w:rsidR="00D5241D" w:rsidRDefault="00D5241D">
      <w:pPr>
        <w:rPr>
          <w:lang w:eastAsia="ja-JP"/>
        </w:rPr>
      </w:pPr>
      <w:r>
        <w:rPr>
          <w:lang w:eastAsia="ja-JP"/>
        </w:rPr>
        <w:t xml:space="preserve">Learn more about </w:t>
      </w:r>
      <w:r w:rsidR="00EB5500">
        <w:rPr>
          <w:lang w:eastAsia="ja-JP"/>
        </w:rPr>
        <w:t>inspection and documenta</w:t>
      </w:r>
      <w:r>
        <w:rPr>
          <w:lang w:eastAsia="ja-JP"/>
        </w:rPr>
        <w:t>tion</w:t>
      </w:r>
      <w:r w:rsidR="00EB5500">
        <w:rPr>
          <w:lang w:eastAsia="ja-JP"/>
        </w:rPr>
        <w:t xml:space="preserve"> requirements for the</w:t>
      </w:r>
      <w:r w:rsidR="00CD2FC6">
        <w:rPr>
          <w:lang w:eastAsia="ja-JP"/>
        </w:rPr>
        <w:t>se</w:t>
      </w:r>
      <w:r w:rsidR="00EB5500">
        <w:rPr>
          <w:lang w:eastAsia="ja-JP"/>
        </w:rPr>
        <w:t xml:space="preserve"> </w:t>
      </w:r>
      <w:r w:rsidR="00CD2FC6" w:rsidRPr="006F425B">
        <w:rPr>
          <w:lang w:eastAsia="ja-JP"/>
        </w:rPr>
        <w:t>vessels</w:t>
      </w:r>
      <w:r w:rsidR="00EB5500" w:rsidRPr="00D5241D">
        <w:rPr>
          <w:lang w:eastAsia="ja-JP"/>
        </w:rPr>
        <w:t xml:space="preserve"> </w:t>
      </w:r>
      <w:r w:rsidRPr="00D5241D">
        <w:rPr>
          <w:lang w:eastAsia="ja-JP"/>
        </w:rPr>
        <w:t>in</w:t>
      </w:r>
      <w:r w:rsidR="00EB5500" w:rsidRPr="00D5241D">
        <w:rPr>
          <w:lang w:eastAsia="ja-JP"/>
        </w:rPr>
        <w:t xml:space="preserve"> </w:t>
      </w:r>
      <w:hyperlink r:id="rId40" w:history="1">
        <w:r w:rsidR="00EB5500" w:rsidRPr="006B373A">
          <w:rPr>
            <w:rStyle w:val="Hyperlink"/>
            <w:lang w:eastAsia="ja-JP"/>
          </w:rPr>
          <w:t>BICON</w:t>
        </w:r>
      </w:hyperlink>
      <w:r w:rsidR="00672D3B" w:rsidRPr="00D5241D">
        <w:rPr>
          <w:lang w:eastAsia="ja-JP"/>
        </w:rPr>
        <w:t>.</w:t>
      </w:r>
    </w:p>
    <w:p w14:paraId="28E32B83" w14:textId="78EB10C0" w:rsidR="00D5241D" w:rsidRPr="0099055A" w:rsidRDefault="00D5241D" w:rsidP="00D5241D">
      <w:pPr>
        <w:rPr>
          <w:lang w:eastAsia="ja-JP"/>
        </w:rPr>
      </w:pPr>
      <w:r w:rsidRPr="00281B73">
        <w:rPr>
          <w:lang w:eastAsia="ja-JP"/>
        </w:rPr>
        <w:t>Download</w:t>
      </w:r>
      <w:r w:rsidRPr="003E0332">
        <w:rPr>
          <w:lang w:eastAsia="ja-JP"/>
        </w:rPr>
        <w:t xml:space="preserve"> </w:t>
      </w:r>
      <w:hyperlink r:id="rId41" w:anchor="draft_policy_documents" w:history="1">
        <w:r w:rsidRPr="003E0332">
          <w:rPr>
            <w:rStyle w:val="Hyperlink"/>
            <w:lang w:eastAsia="ja-JP"/>
          </w:rPr>
          <w:t>Chemical and mined fertiliser</w:t>
        </w:r>
      </w:hyperlink>
      <w:r w:rsidRPr="003E0332">
        <w:rPr>
          <w:lang w:eastAsia="ja-JP"/>
        </w:rPr>
        <w:t xml:space="preserve"> templates:</w:t>
      </w:r>
    </w:p>
    <w:p w14:paraId="593577DD" w14:textId="17F4925F" w:rsidR="00EB5500" w:rsidRPr="006F425B" w:rsidRDefault="00284288" w:rsidP="00672D3B">
      <w:pPr>
        <w:pStyle w:val="ListBullet"/>
      </w:pPr>
      <w:bookmarkStart w:id="70" w:name="_Hlk153892032"/>
      <w:r w:rsidRPr="00284288">
        <w:t>Attachment 3: Marine surveyor’s vessel cleanliness inspection guidelines and certificate</w:t>
      </w:r>
      <w:r w:rsidR="00DE14CF">
        <w:t> </w:t>
      </w:r>
      <w:r w:rsidRPr="00284288">
        <w:t>template</w:t>
      </w:r>
    </w:p>
    <w:p w14:paraId="73444CF9" w14:textId="3D997B77" w:rsidR="00EB5500" w:rsidRPr="006F425B" w:rsidRDefault="00EB5500" w:rsidP="00672D3B">
      <w:pPr>
        <w:pStyle w:val="ListBullet"/>
      </w:pPr>
      <w:bookmarkStart w:id="71" w:name="_Hlk198554973"/>
      <w:r w:rsidRPr="006F425B">
        <w:t>Attachment 4</w:t>
      </w:r>
      <w:r w:rsidR="00273600" w:rsidRPr="006F425B">
        <w:t xml:space="preserve"> </w:t>
      </w:r>
      <w:r w:rsidRPr="006F425B">
        <w:t xml:space="preserve">Loading </w:t>
      </w:r>
      <w:r w:rsidR="00672D3B" w:rsidRPr="006F425B">
        <w:t>s</w:t>
      </w:r>
      <w:r w:rsidRPr="006F425B">
        <w:t xml:space="preserve">ample </w:t>
      </w:r>
      <w:r w:rsidR="00672D3B" w:rsidRPr="006F425B">
        <w:t>i</w:t>
      </w:r>
      <w:r w:rsidRPr="006F425B">
        <w:t xml:space="preserve">nspection </w:t>
      </w:r>
      <w:r w:rsidR="00672D3B" w:rsidRPr="006F425B">
        <w:t>g</w:t>
      </w:r>
      <w:r w:rsidRPr="006F425B">
        <w:t xml:space="preserve">uidelines and </w:t>
      </w:r>
      <w:r w:rsidR="00672D3B" w:rsidRPr="006F425B">
        <w:t>c</w:t>
      </w:r>
      <w:r w:rsidRPr="006F425B">
        <w:t>ertificate</w:t>
      </w:r>
      <w:r w:rsidR="006647B1" w:rsidRPr="006F425B">
        <w:t xml:space="preserve"> template</w:t>
      </w:r>
      <w:bookmarkEnd w:id="71"/>
    </w:p>
    <w:p w14:paraId="1E49D7AF" w14:textId="5B50C9A2" w:rsidR="00EB5500" w:rsidRPr="006F425B" w:rsidRDefault="00567C77" w:rsidP="006F425B">
      <w:pPr>
        <w:pStyle w:val="ListBullet"/>
      </w:pPr>
      <w:r w:rsidRPr="00567C77">
        <w:t>Attachment 5: Manufacturer’s</w:t>
      </w:r>
      <w:r w:rsidR="00184B30">
        <w:t xml:space="preserve"> </w:t>
      </w:r>
      <w:r w:rsidRPr="00567C77">
        <w:t>declaration for in-ships-hold cargo template</w:t>
      </w:r>
      <w:r w:rsidR="00EB5500" w:rsidRPr="006F425B">
        <w:t>.</w:t>
      </w:r>
    </w:p>
    <w:p w14:paraId="11E4055B" w14:textId="13605EA1" w:rsidR="00EB5500" w:rsidRDefault="00EB5500" w:rsidP="003F3184">
      <w:pPr>
        <w:pStyle w:val="Heading3"/>
        <w:spacing w:before="120" w:after="120"/>
        <w:rPr>
          <w:lang w:eastAsia="ja-JP"/>
        </w:rPr>
      </w:pPr>
      <w:bookmarkStart w:id="72" w:name="_Toc224213127"/>
      <w:bookmarkEnd w:id="70"/>
      <w:r w:rsidRPr="005E281A">
        <w:rPr>
          <w:rFonts w:eastAsiaTheme="minorHAnsi"/>
          <w:lang w:eastAsia="ja-JP"/>
        </w:rPr>
        <w:t>Pre-arrival documenta</w:t>
      </w:r>
      <w:r w:rsidR="00820E7E">
        <w:rPr>
          <w:rFonts w:eastAsiaTheme="minorHAnsi"/>
          <w:lang w:eastAsia="ja-JP"/>
        </w:rPr>
        <w:t>tion</w:t>
      </w:r>
      <w:r w:rsidRPr="005E281A">
        <w:rPr>
          <w:rFonts w:eastAsiaTheme="minorHAnsi"/>
          <w:lang w:eastAsia="ja-JP"/>
        </w:rPr>
        <w:t xml:space="preserve"> and reporting requirements</w:t>
      </w:r>
      <w:bookmarkEnd w:id="72"/>
    </w:p>
    <w:p w14:paraId="7C9C9403" w14:textId="6ACE5DB8" w:rsidR="00EB5500" w:rsidRPr="00B67E52" w:rsidRDefault="00DE14CF" w:rsidP="009F0E69">
      <w:pPr>
        <w:spacing w:before="120" w:after="120"/>
        <w:rPr>
          <w:lang w:eastAsia="ja-JP"/>
        </w:rPr>
      </w:pPr>
      <w:r w:rsidRPr="00DE14CF">
        <w:t>A</w:t>
      </w:r>
      <w:r w:rsidR="0029326F" w:rsidRPr="006F425B">
        <w:t>ll</w:t>
      </w:r>
      <w:r w:rsidR="00EB5500" w:rsidRPr="006F425B">
        <w:t xml:space="preserve"> imported consignments of inorganic fertiliser arriving in-ships-hold must be reported to the department no later than 5 business days prior to arrival at</w:t>
      </w:r>
      <w:r w:rsidR="00EB5500">
        <w:rPr>
          <w:lang w:eastAsia="ja-JP"/>
        </w:rPr>
        <w:t xml:space="preserve"> the</w:t>
      </w:r>
      <w:r w:rsidR="001E0481">
        <w:rPr>
          <w:lang w:eastAsia="ja-JP"/>
        </w:rPr>
        <w:t xml:space="preserve"> vessel</w:t>
      </w:r>
      <w:r>
        <w:rPr>
          <w:lang w:eastAsia="ja-JP"/>
        </w:rPr>
        <w:t>’</w:t>
      </w:r>
      <w:r w:rsidR="001E0481">
        <w:rPr>
          <w:lang w:eastAsia="ja-JP"/>
        </w:rPr>
        <w:t>s</w:t>
      </w:r>
      <w:r w:rsidR="00EB5500">
        <w:rPr>
          <w:lang w:eastAsia="ja-JP"/>
        </w:rPr>
        <w:t xml:space="preserve"> first port of call</w:t>
      </w:r>
      <w:r w:rsidR="001E0481">
        <w:rPr>
          <w:lang w:eastAsia="ja-JP"/>
        </w:rPr>
        <w:t xml:space="preserve"> in Australia</w:t>
      </w:r>
      <w:r w:rsidR="00EB5500">
        <w:rPr>
          <w:lang w:eastAsia="ja-JP"/>
        </w:rPr>
        <w:t xml:space="preserve">. This includes the provision of all associated information and documentation, </w:t>
      </w:r>
      <w:r w:rsidR="00EB5500" w:rsidRPr="00DE14CF">
        <w:rPr>
          <w:lang w:eastAsia="ja-JP"/>
        </w:rPr>
        <w:t xml:space="preserve">known as </w:t>
      </w:r>
      <w:r w:rsidR="00EB5500" w:rsidRPr="00450404">
        <w:rPr>
          <w:lang w:eastAsia="ja-JP"/>
        </w:rPr>
        <w:t xml:space="preserve">the </w:t>
      </w:r>
      <w:r w:rsidR="00297304" w:rsidRPr="00450404">
        <w:rPr>
          <w:lang w:eastAsia="ja-JP"/>
        </w:rPr>
        <w:t>‘</w:t>
      </w:r>
      <w:r w:rsidR="00A50D40" w:rsidRPr="006F425B">
        <w:rPr>
          <w:lang w:eastAsia="ja-JP"/>
        </w:rPr>
        <w:t>p</w:t>
      </w:r>
      <w:r w:rsidR="00EB5500" w:rsidRPr="00450404">
        <w:rPr>
          <w:lang w:eastAsia="ja-JP"/>
        </w:rPr>
        <w:t xml:space="preserve">roduct </w:t>
      </w:r>
      <w:r w:rsidR="00A50D40" w:rsidRPr="006F425B">
        <w:rPr>
          <w:lang w:eastAsia="ja-JP"/>
        </w:rPr>
        <w:t>p</w:t>
      </w:r>
      <w:r w:rsidR="00EB5500" w:rsidRPr="00450404">
        <w:rPr>
          <w:lang w:eastAsia="ja-JP"/>
        </w:rPr>
        <w:t>rofile</w:t>
      </w:r>
      <w:r w:rsidR="00297304" w:rsidRPr="00450404">
        <w:rPr>
          <w:lang w:eastAsia="ja-JP"/>
        </w:rPr>
        <w:t>’</w:t>
      </w:r>
      <w:r w:rsidRPr="00450404">
        <w:rPr>
          <w:lang w:eastAsia="ja-JP"/>
        </w:rPr>
        <w:t xml:space="preserve">, which </w:t>
      </w:r>
      <w:r w:rsidR="00EB5500" w:rsidRPr="00450404">
        <w:rPr>
          <w:lang w:eastAsia="ja-JP"/>
        </w:rPr>
        <w:t>enabl</w:t>
      </w:r>
      <w:r w:rsidRPr="00450404">
        <w:rPr>
          <w:lang w:eastAsia="ja-JP"/>
        </w:rPr>
        <w:t>es</w:t>
      </w:r>
      <w:r w:rsidR="00EB5500" w:rsidRPr="00450404">
        <w:rPr>
          <w:lang w:eastAsia="ja-JP"/>
        </w:rPr>
        <w:t xml:space="preserve"> the department to complete and issue a ‘vessel schedule’ to the </w:t>
      </w:r>
      <w:r w:rsidR="00EB5500" w:rsidRPr="00054F39">
        <w:rPr>
          <w:lang w:eastAsia="ja-JP"/>
        </w:rPr>
        <w:t>importer</w:t>
      </w:r>
      <w:r w:rsidR="0029326F" w:rsidRPr="00054F39">
        <w:rPr>
          <w:lang w:eastAsia="ja-JP"/>
        </w:rPr>
        <w:t xml:space="preserve"> or </w:t>
      </w:r>
      <w:r w:rsidR="00EB5500" w:rsidRPr="00054F39">
        <w:rPr>
          <w:lang w:eastAsia="ja-JP"/>
        </w:rPr>
        <w:t>representative</w:t>
      </w:r>
      <w:r w:rsidR="00EB5500">
        <w:rPr>
          <w:lang w:eastAsia="ja-JP"/>
        </w:rPr>
        <w:t xml:space="preserve"> to facilitate </w:t>
      </w:r>
      <w:r w:rsidR="00EB5500" w:rsidRPr="00B67E52">
        <w:rPr>
          <w:lang w:eastAsia="ja-JP"/>
        </w:rPr>
        <w:t>the importation process.</w:t>
      </w:r>
    </w:p>
    <w:p w14:paraId="32C657CC" w14:textId="0335D660" w:rsidR="00CA2CA9" w:rsidRDefault="00487929" w:rsidP="00EB5500">
      <w:pPr>
        <w:rPr>
          <w:lang w:eastAsia="ja-JP"/>
        </w:rPr>
      </w:pPr>
      <w:r>
        <w:rPr>
          <w:lang w:eastAsia="ja-JP"/>
        </w:rPr>
        <w:t>Importers or importer’s representatives</w:t>
      </w:r>
      <w:r w:rsidR="00EB5500">
        <w:rPr>
          <w:lang w:eastAsia="ja-JP"/>
        </w:rPr>
        <w:t xml:space="preserve"> seeking assessment as </w:t>
      </w:r>
      <w:r w:rsidR="00AD192F">
        <w:rPr>
          <w:lang w:eastAsia="ja-JP"/>
        </w:rPr>
        <w:t>Level 1</w:t>
      </w:r>
      <w:r w:rsidR="00811A10">
        <w:rPr>
          <w:lang w:eastAsia="ja-JP"/>
        </w:rPr>
        <w:t xml:space="preserve"> or </w:t>
      </w:r>
      <w:r w:rsidR="009B5A7B">
        <w:rPr>
          <w:lang w:eastAsia="ja-JP"/>
        </w:rPr>
        <w:t xml:space="preserve">Level </w:t>
      </w:r>
      <w:r w:rsidR="00811A10">
        <w:rPr>
          <w:lang w:eastAsia="ja-JP"/>
        </w:rPr>
        <w:t>2</w:t>
      </w:r>
      <w:r w:rsidR="00EB5500">
        <w:rPr>
          <w:lang w:eastAsia="ja-JP"/>
        </w:rPr>
        <w:t xml:space="preserve"> </w:t>
      </w:r>
      <w:r w:rsidR="009B5A7B">
        <w:rPr>
          <w:lang w:eastAsia="ja-JP"/>
        </w:rPr>
        <w:t xml:space="preserve">must email </w:t>
      </w:r>
      <w:r w:rsidR="00ED0B35">
        <w:rPr>
          <w:lang w:eastAsia="ja-JP"/>
        </w:rPr>
        <w:t>the relevant pre-arrival documentation</w:t>
      </w:r>
      <w:r w:rsidR="00EB5500">
        <w:rPr>
          <w:lang w:eastAsia="ja-JP"/>
        </w:rPr>
        <w:t xml:space="preserve"> </w:t>
      </w:r>
      <w:r w:rsidR="009B5A7B" w:rsidRPr="00ED0B35">
        <w:rPr>
          <w:lang w:eastAsia="ja-JP"/>
        </w:rPr>
        <w:t>listed</w:t>
      </w:r>
      <w:r w:rsidR="00ED0B35" w:rsidRPr="00ED0B35">
        <w:rPr>
          <w:lang w:eastAsia="ja-JP"/>
        </w:rPr>
        <w:t xml:space="preserve"> </w:t>
      </w:r>
      <w:r w:rsidR="00EB5500" w:rsidRPr="00ED0B35">
        <w:rPr>
          <w:lang w:eastAsia="ja-JP"/>
        </w:rPr>
        <w:t xml:space="preserve">in BICON </w:t>
      </w:r>
      <w:r w:rsidR="00CA2CA9" w:rsidRPr="00ED0B35">
        <w:rPr>
          <w:lang w:eastAsia="ja-JP"/>
        </w:rPr>
        <w:t xml:space="preserve">to </w:t>
      </w:r>
      <w:r w:rsidR="009B5A7B" w:rsidRPr="00ED0B35">
        <w:rPr>
          <w:lang w:eastAsia="ja-JP"/>
        </w:rPr>
        <w:t>our</w:t>
      </w:r>
      <w:r w:rsidR="009B5A7B">
        <w:rPr>
          <w:lang w:eastAsia="ja-JP"/>
        </w:rPr>
        <w:t xml:space="preserve"> Bulk Commodities National Co-ordination Centre (BCNCC) at </w:t>
      </w:r>
      <w:hyperlink r:id="rId42" w:history="1">
        <w:r w:rsidR="009B5A7B" w:rsidRPr="00B853D3">
          <w:rPr>
            <w:rStyle w:val="Hyperlink"/>
            <w:lang w:eastAsia="ja-JP"/>
          </w:rPr>
          <w:t>Fertiliser.Chemical@aff.gov.au</w:t>
        </w:r>
      </w:hyperlink>
      <w:r w:rsidR="00EB5500">
        <w:rPr>
          <w:lang w:eastAsia="ja-JP"/>
        </w:rPr>
        <w:t>.</w:t>
      </w:r>
    </w:p>
    <w:p w14:paraId="52B06C97" w14:textId="4DE76664" w:rsidR="00515996" w:rsidRDefault="00515996" w:rsidP="00515996">
      <w:pPr>
        <w:rPr>
          <w:lang w:eastAsia="ja-JP"/>
        </w:rPr>
      </w:pPr>
      <w:r w:rsidRPr="00601DF2">
        <w:rPr>
          <w:lang w:eastAsia="en-AU"/>
        </w:rPr>
        <w:lastRenderedPageBreak/>
        <w:t>Importers</w:t>
      </w:r>
      <w:r w:rsidRPr="009B12DF">
        <w:rPr>
          <w:lang w:eastAsia="en-AU"/>
        </w:rPr>
        <w:t xml:space="preserve"> and </w:t>
      </w:r>
      <w:r w:rsidRPr="00601DF2">
        <w:rPr>
          <w:lang w:eastAsia="en-AU"/>
        </w:rPr>
        <w:t xml:space="preserve">representatives </w:t>
      </w:r>
      <w:r w:rsidR="00ED0B35">
        <w:rPr>
          <w:lang w:eastAsia="en-AU"/>
        </w:rPr>
        <w:t>who fail</w:t>
      </w:r>
      <w:r w:rsidRPr="00601DF2">
        <w:rPr>
          <w:lang w:eastAsia="en-AU"/>
        </w:rPr>
        <w:t xml:space="preserve"> to provide a completed </w:t>
      </w:r>
      <w:r w:rsidR="00450404">
        <w:rPr>
          <w:lang w:eastAsia="en-AU"/>
        </w:rPr>
        <w:t>‘</w:t>
      </w:r>
      <w:r w:rsidRPr="009B12DF">
        <w:rPr>
          <w:lang w:eastAsia="en-AU"/>
        </w:rPr>
        <w:t>product profile</w:t>
      </w:r>
      <w:r w:rsidR="00450404">
        <w:rPr>
          <w:lang w:eastAsia="en-AU"/>
        </w:rPr>
        <w:t>’</w:t>
      </w:r>
      <w:r w:rsidRPr="00515996">
        <w:rPr>
          <w:lang w:eastAsia="en-AU"/>
        </w:rPr>
        <w:t xml:space="preserve"> within</w:t>
      </w:r>
      <w:r w:rsidRPr="00601DF2">
        <w:rPr>
          <w:lang w:eastAsia="en-AU"/>
        </w:rPr>
        <w:t xml:space="preserve"> the stipulated timeframe may </w:t>
      </w:r>
      <w:r w:rsidR="00836A0B">
        <w:rPr>
          <w:lang w:eastAsia="en-AU"/>
        </w:rPr>
        <w:t>experience</w:t>
      </w:r>
      <w:r w:rsidRPr="00601DF2">
        <w:rPr>
          <w:lang w:eastAsia="en-AU"/>
        </w:rPr>
        <w:t xml:space="preserve"> delays in </w:t>
      </w:r>
      <w:r w:rsidR="00836A0B">
        <w:rPr>
          <w:lang w:eastAsia="en-AU"/>
        </w:rPr>
        <w:t>receipt</w:t>
      </w:r>
      <w:r w:rsidRPr="00601DF2">
        <w:rPr>
          <w:lang w:eastAsia="en-AU"/>
        </w:rPr>
        <w:t xml:space="preserve"> of the </w:t>
      </w:r>
      <w:r w:rsidR="00450404">
        <w:rPr>
          <w:lang w:eastAsia="en-AU"/>
        </w:rPr>
        <w:t>‘</w:t>
      </w:r>
      <w:r w:rsidRPr="00601DF2">
        <w:rPr>
          <w:lang w:eastAsia="en-AU"/>
        </w:rPr>
        <w:t>vessel schedule</w:t>
      </w:r>
      <w:r w:rsidR="00450404">
        <w:rPr>
          <w:lang w:eastAsia="en-AU"/>
        </w:rPr>
        <w:t>’</w:t>
      </w:r>
      <w:r w:rsidRPr="009B12DF">
        <w:rPr>
          <w:lang w:eastAsia="en-AU"/>
        </w:rPr>
        <w:t xml:space="preserve"> and </w:t>
      </w:r>
      <w:r w:rsidRPr="00601DF2">
        <w:rPr>
          <w:lang w:eastAsia="en-AU"/>
        </w:rPr>
        <w:t>associated biosecurity</w:t>
      </w:r>
      <w:r w:rsidRPr="00222BA5">
        <w:rPr>
          <w:lang w:eastAsia="en-AU"/>
        </w:rPr>
        <w:t xml:space="preserve"> directions. Consignments of imported in-ships-hold inorganic fertiliser </w:t>
      </w:r>
      <w:r w:rsidR="00836A0B">
        <w:rPr>
          <w:lang w:eastAsia="en-AU"/>
        </w:rPr>
        <w:t>that</w:t>
      </w:r>
      <w:r w:rsidRPr="00222BA5">
        <w:rPr>
          <w:lang w:eastAsia="en-AU"/>
        </w:rPr>
        <w:t xml:space="preserve"> have not received appropriate biosecurity directions will not be permitted to discharge from the vessel. The department </w:t>
      </w:r>
      <w:r>
        <w:rPr>
          <w:lang w:eastAsia="en-AU"/>
        </w:rPr>
        <w:t xml:space="preserve">does not </w:t>
      </w:r>
      <w:r w:rsidRPr="00222BA5">
        <w:rPr>
          <w:lang w:eastAsia="en-AU"/>
        </w:rPr>
        <w:t xml:space="preserve">accept responsibility for any costs, delays or impositions </w:t>
      </w:r>
      <w:r>
        <w:rPr>
          <w:lang w:eastAsia="en-AU"/>
        </w:rPr>
        <w:t>that</w:t>
      </w:r>
      <w:r w:rsidR="00836A0B">
        <w:rPr>
          <w:lang w:eastAsia="en-AU"/>
        </w:rPr>
        <w:t xml:space="preserve"> </w:t>
      </w:r>
      <w:r w:rsidRPr="00222BA5">
        <w:rPr>
          <w:lang w:eastAsia="en-AU"/>
        </w:rPr>
        <w:t xml:space="preserve">arise </w:t>
      </w:r>
      <w:proofErr w:type="gramStart"/>
      <w:r w:rsidRPr="00222BA5">
        <w:rPr>
          <w:lang w:eastAsia="en-AU"/>
        </w:rPr>
        <w:t>as a result of</w:t>
      </w:r>
      <w:proofErr w:type="gramEnd"/>
      <w:r w:rsidRPr="00222BA5">
        <w:rPr>
          <w:lang w:eastAsia="en-AU"/>
        </w:rPr>
        <w:t xml:space="preserve"> </w:t>
      </w:r>
      <w:r w:rsidR="00836A0B">
        <w:rPr>
          <w:lang w:eastAsia="en-AU"/>
        </w:rPr>
        <w:t xml:space="preserve">an entity </w:t>
      </w:r>
      <w:r w:rsidRPr="00222BA5">
        <w:rPr>
          <w:lang w:eastAsia="en-AU"/>
        </w:rPr>
        <w:t xml:space="preserve">not </w:t>
      </w:r>
      <w:r w:rsidR="00836A0B">
        <w:rPr>
          <w:lang w:eastAsia="en-AU"/>
        </w:rPr>
        <w:t>providing us with complete</w:t>
      </w:r>
      <w:r w:rsidRPr="00222BA5">
        <w:rPr>
          <w:lang w:eastAsia="en-AU"/>
        </w:rPr>
        <w:t xml:space="preserve"> </w:t>
      </w:r>
      <w:r w:rsidR="00450404">
        <w:rPr>
          <w:lang w:eastAsia="en-AU"/>
        </w:rPr>
        <w:t>‘</w:t>
      </w:r>
      <w:r>
        <w:rPr>
          <w:lang w:eastAsia="en-AU"/>
        </w:rPr>
        <w:t>p</w:t>
      </w:r>
      <w:r w:rsidRPr="00222BA5">
        <w:rPr>
          <w:lang w:eastAsia="en-AU"/>
        </w:rPr>
        <w:t xml:space="preserve">roduct </w:t>
      </w:r>
      <w:r>
        <w:rPr>
          <w:lang w:eastAsia="en-AU"/>
        </w:rPr>
        <w:t>p</w:t>
      </w:r>
      <w:r w:rsidRPr="00222BA5">
        <w:rPr>
          <w:lang w:eastAsia="en-AU"/>
        </w:rPr>
        <w:t>rofile</w:t>
      </w:r>
      <w:r w:rsidR="00450404">
        <w:rPr>
          <w:lang w:eastAsia="en-AU"/>
        </w:rPr>
        <w:t>’</w:t>
      </w:r>
      <w:r w:rsidRPr="00222BA5">
        <w:rPr>
          <w:lang w:eastAsia="en-AU"/>
        </w:rPr>
        <w:t xml:space="preserve"> information within the stipulated timeframe</w:t>
      </w:r>
      <w:r w:rsidRPr="00515996">
        <w:rPr>
          <w:lang w:eastAsia="en-AU"/>
        </w:rPr>
        <w:t>.</w:t>
      </w:r>
    </w:p>
    <w:p w14:paraId="5F0B160C" w14:textId="7503FF84" w:rsidR="00EB5500" w:rsidRPr="00450404" w:rsidRDefault="00EB5500" w:rsidP="00EB5500">
      <w:pPr>
        <w:rPr>
          <w:lang w:eastAsia="ja-JP"/>
        </w:rPr>
      </w:pPr>
      <w:r>
        <w:rPr>
          <w:lang w:eastAsia="ja-JP"/>
        </w:rPr>
        <w:t xml:space="preserve">Failure to provide all required information and documentary evidence for assessment as </w:t>
      </w:r>
      <w:r w:rsidR="00AD192F">
        <w:rPr>
          <w:lang w:eastAsia="ja-JP"/>
        </w:rPr>
        <w:t>Level 1</w:t>
      </w:r>
      <w:r>
        <w:rPr>
          <w:lang w:eastAsia="ja-JP"/>
        </w:rPr>
        <w:t xml:space="preserve"> </w:t>
      </w:r>
      <w:r w:rsidR="00811A10">
        <w:rPr>
          <w:lang w:eastAsia="ja-JP"/>
        </w:rPr>
        <w:t xml:space="preserve">or </w:t>
      </w:r>
      <w:r w:rsidR="009B5A7B">
        <w:rPr>
          <w:lang w:eastAsia="ja-JP"/>
        </w:rPr>
        <w:t xml:space="preserve">Level </w:t>
      </w:r>
      <w:r w:rsidR="00811A10">
        <w:rPr>
          <w:lang w:eastAsia="ja-JP"/>
        </w:rPr>
        <w:t xml:space="preserve">2 </w:t>
      </w:r>
      <w:r>
        <w:rPr>
          <w:lang w:eastAsia="ja-JP"/>
        </w:rPr>
        <w:t xml:space="preserve">may result in consignments receiving a </w:t>
      </w:r>
      <w:r w:rsidR="00AD192F">
        <w:rPr>
          <w:lang w:eastAsia="ja-JP"/>
        </w:rPr>
        <w:t>Level 3</w:t>
      </w:r>
      <w:r>
        <w:rPr>
          <w:lang w:eastAsia="ja-JP"/>
        </w:rPr>
        <w:t xml:space="preserve"> rating and being subject to increased </w:t>
      </w:r>
      <w:r w:rsidRPr="00450404">
        <w:rPr>
          <w:lang w:eastAsia="ja-JP"/>
        </w:rPr>
        <w:t>biosecurity intervention.</w:t>
      </w:r>
    </w:p>
    <w:p w14:paraId="1F2764EC" w14:textId="77777777" w:rsidR="00ED0B35" w:rsidRPr="00450404" w:rsidRDefault="00ED0B35" w:rsidP="00ED0B35">
      <w:pPr>
        <w:spacing w:before="120" w:after="120"/>
        <w:rPr>
          <w:lang w:eastAsia="ja-JP"/>
        </w:rPr>
      </w:pPr>
      <w:r w:rsidRPr="00054F39">
        <w:rPr>
          <w:lang w:eastAsia="ja-JP"/>
        </w:rPr>
        <w:t>Learn more about:</w:t>
      </w:r>
    </w:p>
    <w:p w14:paraId="45576AFB" w14:textId="4144D3E1" w:rsidR="00ED0B35" w:rsidRPr="00450404" w:rsidRDefault="00ED0B35" w:rsidP="00ED0B35">
      <w:pPr>
        <w:pStyle w:val="ListBullet"/>
        <w:rPr>
          <w:lang w:eastAsia="ja-JP"/>
        </w:rPr>
      </w:pPr>
      <w:r w:rsidRPr="00450404">
        <w:rPr>
          <w:lang w:eastAsia="ja-JP"/>
        </w:rPr>
        <w:t xml:space="preserve">the </w:t>
      </w:r>
      <w:r w:rsidR="00450404" w:rsidRPr="00450404">
        <w:rPr>
          <w:lang w:eastAsia="ja-JP"/>
        </w:rPr>
        <w:t>‘</w:t>
      </w:r>
      <w:r w:rsidRPr="00450404">
        <w:rPr>
          <w:lang w:eastAsia="ja-JP"/>
        </w:rPr>
        <w:t>vessel schedule</w:t>
      </w:r>
      <w:r w:rsidR="00450404" w:rsidRPr="00450404">
        <w:rPr>
          <w:lang w:eastAsia="ja-JP"/>
        </w:rPr>
        <w:t>’</w:t>
      </w:r>
      <w:r w:rsidRPr="00450404">
        <w:rPr>
          <w:lang w:eastAsia="ja-JP"/>
        </w:rPr>
        <w:t xml:space="preserve"> in </w:t>
      </w:r>
      <w:hyperlink w:anchor="_Vessel_schedule" w:history="1">
        <w:r w:rsidRPr="00450404">
          <w:rPr>
            <w:rStyle w:val="Hyperlink"/>
            <w:lang w:eastAsia="ja-JP"/>
          </w:rPr>
          <w:t>section 4.2.1</w:t>
        </w:r>
      </w:hyperlink>
    </w:p>
    <w:p w14:paraId="465CD4F7" w14:textId="4312F11D" w:rsidR="00ED0B35" w:rsidRPr="00450404" w:rsidRDefault="00450404" w:rsidP="00054F39">
      <w:pPr>
        <w:pStyle w:val="ListBullet"/>
        <w:rPr>
          <w:lang w:eastAsia="ja-JP"/>
        </w:rPr>
      </w:pPr>
      <w:r w:rsidRPr="00450404">
        <w:rPr>
          <w:lang w:eastAsia="ja-JP"/>
        </w:rPr>
        <w:t>‘</w:t>
      </w:r>
      <w:r w:rsidR="00ED0B35" w:rsidRPr="00450404">
        <w:rPr>
          <w:lang w:eastAsia="ja-JP"/>
        </w:rPr>
        <w:t>product profile</w:t>
      </w:r>
      <w:r w:rsidRPr="00450404">
        <w:rPr>
          <w:lang w:eastAsia="ja-JP"/>
        </w:rPr>
        <w:t>’</w:t>
      </w:r>
      <w:r w:rsidR="00ED0B35" w:rsidRPr="00450404">
        <w:rPr>
          <w:lang w:eastAsia="ja-JP"/>
        </w:rPr>
        <w:t xml:space="preserve"> </w:t>
      </w:r>
      <w:r w:rsidR="00ED0B35" w:rsidRPr="00054F39">
        <w:rPr>
          <w:lang w:eastAsia="ja-JP"/>
        </w:rPr>
        <w:t>and documentation</w:t>
      </w:r>
      <w:r w:rsidR="00ED0B35" w:rsidRPr="00450404">
        <w:rPr>
          <w:lang w:eastAsia="ja-JP"/>
        </w:rPr>
        <w:t xml:space="preserve"> requirements </w:t>
      </w:r>
      <w:r w:rsidR="00ED0B35" w:rsidRPr="00054F39">
        <w:rPr>
          <w:lang w:eastAsia="ja-JP"/>
        </w:rPr>
        <w:t xml:space="preserve">for </w:t>
      </w:r>
      <w:r w:rsidR="00ED0B35" w:rsidRPr="00450404">
        <w:rPr>
          <w:lang w:eastAsia="ja-JP"/>
        </w:rPr>
        <w:t xml:space="preserve">consignments of imported inorganic fertiliser arriving in-ships-hold in </w:t>
      </w:r>
      <w:hyperlink r:id="rId43" w:history="1">
        <w:r w:rsidR="00ED0B35" w:rsidRPr="00925C3E">
          <w:rPr>
            <w:rStyle w:val="Hyperlink"/>
            <w:lang w:eastAsia="ja-JP"/>
          </w:rPr>
          <w:t>BICON</w:t>
        </w:r>
      </w:hyperlink>
      <w:r w:rsidR="00ED0B35" w:rsidRPr="00450404">
        <w:rPr>
          <w:lang w:eastAsia="ja-JP"/>
        </w:rPr>
        <w:t>.</w:t>
      </w:r>
    </w:p>
    <w:p w14:paraId="56BA9627" w14:textId="75A54D5B" w:rsidR="00EB5500" w:rsidRPr="00450404" w:rsidRDefault="00EB5500" w:rsidP="003F3184">
      <w:pPr>
        <w:pStyle w:val="Heading4"/>
        <w:spacing w:before="120" w:after="120"/>
        <w:rPr>
          <w:lang w:eastAsia="ja-JP"/>
        </w:rPr>
      </w:pPr>
      <w:bookmarkStart w:id="73" w:name="_Vessel_schedule"/>
      <w:bookmarkEnd w:id="73"/>
      <w:r w:rsidRPr="00450404">
        <w:rPr>
          <w:rFonts w:eastAsiaTheme="minorHAnsi"/>
          <w:lang w:eastAsia="ja-JP"/>
        </w:rPr>
        <w:t>Vessel schedule</w:t>
      </w:r>
    </w:p>
    <w:p w14:paraId="4F1F3CF8" w14:textId="0BB765AE" w:rsidR="00EB5500" w:rsidRPr="00450404" w:rsidRDefault="00EB5500" w:rsidP="00EB5500">
      <w:pPr>
        <w:rPr>
          <w:lang w:eastAsia="ja-JP"/>
        </w:rPr>
      </w:pPr>
      <w:r w:rsidRPr="00450404">
        <w:rPr>
          <w:lang w:eastAsia="ja-JP"/>
        </w:rPr>
        <w:t xml:space="preserve">Following assessment to determine a consignment’s </w:t>
      </w:r>
      <w:r w:rsidR="00E63894" w:rsidRPr="00450404">
        <w:rPr>
          <w:lang w:eastAsia="ja-JP"/>
        </w:rPr>
        <w:t>risk</w:t>
      </w:r>
      <w:r w:rsidRPr="00450404">
        <w:rPr>
          <w:lang w:eastAsia="ja-JP"/>
        </w:rPr>
        <w:t xml:space="preserve"> rating</w:t>
      </w:r>
      <w:r w:rsidR="00450404" w:rsidRPr="00450404">
        <w:rPr>
          <w:lang w:eastAsia="ja-JP"/>
        </w:rPr>
        <w:t>,</w:t>
      </w:r>
      <w:r w:rsidRPr="00450404">
        <w:rPr>
          <w:lang w:eastAsia="ja-JP"/>
        </w:rPr>
        <w:t xml:space="preserve"> the BCNCC will issue a fertiliser </w:t>
      </w:r>
      <w:r w:rsidR="00450404" w:rsidRPr="00450404">
        <w:rPr>
          <w:lang w:eastAsia="ja-JP"/>
        </w:rPr>
        <w:t>‘</w:t>
      </w:r>
      <w:r w:rsidRPr="00450404">
        <w:rPr>
          <w:lang w:eastAsia="ja-JP"/>
        </w:rPr>
        <w:t>vessel schedule</w:t>
      </w:r>
      <w:r w:rsidR="00450404" w:rsidRPr="00450404">
        <w:rPr>
          <w:lang w:eastAsia="ja-JP"/>
        </w:rPr>
        <w:t>’</w:t>
      </w:r>
      <w:r w:rsidRPr="00450404">
        <w:rPr>
          <w:lang w:eastAsia="ja-JP"/>
        </w:rPr>
        <w:t xml:space="preserve"> to the consignment’s importer</w:t>
      </w:r>
      <w:r w:rsidR="00601DF2" w:rsidRPr="00054F39">
        <w:rPr>
          <w:lang w:eastAsia="ja-JP"/>
        </w:rPr>
        <w:t xml:space="preserve"> or </w:t>
      </w:r>
      <w:r w:rsidRPr="00450404">
        <w:rPr>
          <w:lang w:eastAsia="ja-JP"/>
        </w:rPr>
        <w:t>representative and to the department’s regional inspection teams located at the ports where the fertiliser is to be discharged.</w:t>
      </w:r>
    </w:p>
    <w:p w14:paraId="7C72D806" w14:textId="293A0576" w:rsidR="00EB5500" w:rsidRPr="00450404" w:rsidRDefault="00450404" w:rsidP="00EB5500">
      <w:pPr>
        <w:rPr>
          <w:lang w:eastAsia="ja-JP"/>
        </w:rPr>
      </w:pPr>
      <w:r w:rsidRPr="00450404">
        <w:rPr>
          <w:lang w:eastAsia="ja-JP"/>
        </w:rPr>
        <w:t>We use the</w:t>
      </w:r>
      <w:r w:rsidR="00EB5500" w:rsidRPr="00450404">
        <w:rPr>
          <w:lang w:eastAsia="ja-JP"/>
        </w:rPr>
        <w:t xml:space="preserve"> </w:t>
      </w:r>
      <w:r w:rsidRPr="00450404">
        <w:rPr>
          <w:lang w:eastAsia="ja-JP"/>
        </w:rPr>
        <w:t>‘</w:t>
      </w:r>
      <w:r w:rsidR="00EB5500" w:rsidRPr="00450404">
        <w:rPr>
          <w:lang w:eastAsia="ja-JP"/>
        </w:rPr>
        <w:t>vessel schedule</w:t>
      </w:r>
      <w:r w:rsidRPr="00450404">
        <w:rPr>
          <w:lang w:eastAsia="ja-JP"/>
        </w:rPr>
        <w:t>’</w:t>
      </w:r>
      <w:r w:rsidR="00EB5500" w:rsidRPr="00450404">
        <w:rPr>
          <w:lang w:eastAsia="ja-JP"/>
        </w:rPr>
        <w:t xml:space="preserve"> to issue appropriate biosecurity directions relating to the vessel</w:t>
      </w:r>
      <w:r w:rsidR="00601DF2" w:rsidRPr="00054F39">
        <w:rPr>
          <w:lang w:eastAsia="ja-JP"/>
        </w:rPr>
        <w:t xml:space="preserve"> and </w:t>
      </w:r>
      <w:r w:rsidR="00EB5500" w:rsidRPr="00450404">
        <w:rPr>
          <w:lang w:eastAsia="ja-JP"/>
        </w:rPr>
        <w:t xml:space="preserve">inorganic fertiliser intended </w:t>
      </w:r>
      <w:r w:rsidRPr="00450404">
        <w:rPr>
          <w:lang w:eastAsia="ja-JP"/>
        </w:rPr>
        <w:t xml:space="preserve">for </w:t>
      </w:r>
      <w:r w:rsidR="00EB5500" w:rsidRPr="00450404">
        <w:rPr>
          <w:lang w:eastAsia="ja-JP"/>
        </w:rPr>
        <w:t>import into Australia. Vessels</w:t>
      </w:r>
      <w:r w:rsidR="00601DF2" w:rsidRPr="00054F39">
        <w:rPr>
          <w:lang w:eastAsia="ja-JP"/>
        </w:rPr>
        <w:t xml:space="preserve"> and </w:t>
      </w:r>
      <w:r w:rsidR="00EB5500" w:rsidRPr="00450404">
        <w:rPr>
          <w:lang w:eastAsia="ja-JP"/>
        </w:rPr>
        <w:t xml:space="preserve">consignments without appropriate biosecurity directions will not be permitted </w:t>
      </w:r>
      <w:r w:rsidR="000C6434" w:rsidRPr="00450404">
        <w:rPr>
          <w:lang w:eastAsia="ja-JP"/>
        </w:rPr>
        <w:t xml:space="preserve">to </w:t>
      </w:r>
      <w:r w:rsidR="00EB5500" w:rsidRPr="00450404">
        <w:rPr>
          <w:lang w:eastAsia="ja-JP"/>
        </w:rPr>
        <w:t xml:space="preserve">discharge any goods until </w:t>
      </w:r>
      <w:r w:rsidRPr="00450404">
        <w:rPr>
          <w:lang w:eastAsia="ja-JP"/>
        </w:rPr>
        <w:t>we have issue</w:t>
      </w:r>
      <w:r w:rsidR="009F7384">
        <w:rPr>
          <w:lang w:eastAsia="ja-JP"/>
        </w:rPr>
        <w:t>d</w:t>
      </w:r>
      <w:r w:rsidR="00EB5500" w:rsidRPr="00450404">
        <w:rPr>
          <w:lang w:eastAsia="ja-JP"/>
        </w:rPr>
        <w:t xml:space="preserve"> directions.</w:t>
      </w:r>
    </w:p>
    <w:p w14:paraId="2382EEDF" w14:textId="237810A1" w:rsidR="00EB5500" w:rsidRPr="00450404" w:rsidRDefault="00EB5500" w:rsidP="00EB5500">
      <w:pPr>
        <w:rPr>
          <w:lang w:eastAsia="ja-JP"/>
        </w:rPr>
      </w:pPr>
      <w:r w:rsidRPr="00450404">
        <w:rPr>
          <w:lang w:eastAsia="ja-JP"/>
        </w:rPr>
        <w:t>The consignment’s importer</w:t>
      </w:r>
      <w:r w:rsidR="00601DF2" w:rsidRPr="00054F39">
        <w:rPr>
          <w:lang w:eastAsia="ja-JP"/>
        </w:rPr>
        <w:t xml:space="preserve"> or </w:t>
      </w:r>
      <w:r w:rsidRPr="00450404">
        <w:rPr>
          <w:lang w:eastAsia="ja-JP"/>
        </w:rPr>
        <w:t xml:space="preserve">representative must advise the BCNCC team </w:t>
      </w:r>
      <w:r w:rsidR="00450404" w:rsidRPr="00450404">
        <w:rPr>
          <w:lang w:eastAsia="ja-JP"/>
        </w:rPr>
        <w:t>by</w:t>
      </w:r>
      <w:r w:rsidRPr="00450404">
        <w:rPr>
          <w:lang w:eastAsia="ja-JP"/>
        </w:rPr>
        <w:t xml:space="preserve"> email of any changes to the </w:t>
      </w:r>
      <w:r w:rsidR="00450404" w:rsidRPr="00450404">
        <w:rPr>
          <w:lang w:eastAsia="ja-JP"/>
        </w:rPr>
        <w:t>‘</w:t>
      </w:r>
      <w:r w:rsidRPr="00450404">
        <w:rPr>
          <w:lang w:eastAsia="ja-JP"/>
        </w:rPr>
        <w:t>vessel schedule</w:t>
      </w:r>
      <w:r w:rsidR="00450404" w:rsidRPr="00450404">
        <w:rPr>
          <w:lang w:eastAsia="ja-JP"/>
        </w:rPr>
        <w:t>’</w:t>
      </w:r>
      <w:r w:rsidRPr="00450404">
        <w:rPr>
          <w:lang w:eastAsia="ja-JP"/>
        </w:rPr>
        <w:t>, including arrival dates, quantities of fertiliser to be discharged and ports of discharge.</w:t>
      </w:r>
    </w:p>
    <w:p w14:paraId="09FBBAA5" w14:textId="2FCE31D8" w:rsidR="00CA2CA9" w:rsidRDefault="00CA2CA9" w:rsidP="00EB5500">
      <w:r w:rsidRPr="00054F39">
        <w:t xml:space="preserve">Download </w:t>
      </w:r>
      <w:hyperlink r:id="rId44" w:anchor="draft_policy_documents" w:history="1">
        <w:r w:rsidR="00450404" w:rsidRPr="00054F39">
          <w:rPr>
            <w:rStyle w:val="Hyperlink"/>
          </w:rPr>
          <w:t>Attachment 6: Vessel schedule template</w:t>
        </w:r>
      </w:hyperlink>
      <w:r w:rsidRPr="00054F39">
        <w:t>.</w:t>
      </w:r>
    </w:p>
    <w:p w14:paraId="711298E8" w14:textId="52738511" w:rsidR="00EB5500" w:rsidRDefault="00EB5500" w:rsidP="003F3184">
      <w:pPr>
        <w:pStyle w:val="Heading4"/>
        <w:spacing w:before="120" w:after="120"/>
        <w:rPr>
          <w:lang w:eastAsia="ja-JP"/>
        </w:rPr>
      </w:pPr>
      <w:r w:rsidRPr="00283E9B">
        <w:rPr>
          <w:rFonts w:eastAsiaTheme="minorHAnsi"/>
          <w:lang w:eastAsia="ja-JP"/>
        </w:rPr>
        <w:t>Indirect voyages and/or transporting consignments of mixed goods</w:t>
      </w:r>
    </w:p>
    <w:p w14:paraId="7180E973" w14:textId="12169AA0" w:rsidR="00EB5500" w:rsidRDefault="00EB5500" w:rsidP="00EB5500">
      <w:pPr>
        <w:rPr>
          <w:lang w:eastAsia="ja-JP"/>
        </w:rPr>
      </w:pPr>
      <w:r>
        <w:rPr>
          <w:lang w:eastAsia="ja-JP"/>
        </w:rPr>
        <w:t>The department is aware that some importers of in-ships-hold inorganic fertiliser may use vessels that do not take direct voyages to Australia and/or may share vessels and vessel holds with other importers, including importers of goods that are not inorganic fertilisers.</w:t>
      </w:r>
    </w:p>
    <w:p w14:paraId="7988D3A4" w14:textId="64C81858" w:rsidR="00EB5500" w:rsidRDefault="00A7700C" w:rsidP="00EB5500">
      <w:pPr>
        <w:rPr>
          <w:lang w:eastAsia="ja-JP"/>
        </w:rPr>
      </w:pPr>
      <w:r>
        <w:rPr>
          <w:lang w:eastAsia="ja-JP"/>
        </w:rPr>
        <w:t>We</w:t>
      </w:r>
      <w:r w:rsidR="00EB5500">
        <w:rPr>
          <w:lang w:eastAsia="ja-JP"/>
        </w:rPr>
        <w:t xml:space="preserve"> consider such situations to be a commercial arrangement and the responsibility of the importers involved. In making such arrangements, importers must ensure they are able to meet all import conditions relating to their goods.</w:t>
      </w:r>
    </w:p>
    <w:p w14:paraId="112C25F4" w14:textId="0BEE49E5" w:rsidR="00EB5500" w:rsidRDefault="00EB5500" w:rsidP="00EB5500">
      <w:pPr>
        <w:rPr>
          <w:lang w:eastAsia="ja-JP"/>
        </w:rPr>
      </w:pPr>
      <w:r>
        <w:rPr>
          <w:lang w:eastAsia="ja-JP"/>
        </w:rPr>
        <w:t>Such arrangements may have a direct or perceived impact upon the biosecurity risk level associated with</w:t>
      </w:r>
      <w:r w:rsidR="009F7384">
        <w:rPr>
          <w:lang w:eastAsia="ja-JP"/>
        </w:rPr>
        <w:t xml:space="preserve"> the</w:t>
      </w:r>
      <w:r>
        <w:rPr>
          <w:lang w:eastAsia="ja-JP"/>
        </w:rPr>
        <w:t xml:space="preserve"> goods.</w:t>
      </w:r>
    </w:p>
    <w:p w14:paraId="3EB933AD" w14:textId="695A4A80" w:rsidR="00EB5500" w:rsidRDefault="00450404" w:rsidP="00126962">
      <w:pPr>
        <w:spacing w:before="120"/>
        <w:rPr>
          <w:lang w:eastAsia="ja-JP"/>
        </w:rPr>
      </w:pPr>
      <w:r>
        <w:rPr>
          <w:lang w:eastAsia="ja-JP"/>
        </w:rPr>
        <w:t xml:space="preserve">If </w:t>
      </w:r>
      <w:r w:rsidR="00EB5500">
        <w:rPr>
          <w:lang w:eastAsia="ja-JP"/>
        </w:rPr>
        <w:t xml:space="preserve">a </w:t>
      </w:r>
      <w:r w:rsidR="00687675">
        <w:rPr>
          <w:lang w:eastAsia="ja-JP"/>
        </w:rPr>
        <w:t>b</w:t>
      </w:r>
      <w:r w:rsidR="00EB5500">
        <w:rPr>
          <w:lang w:eastAsia="ja-JP"/>
        </w:rPr>
        <w:t xml:space="preserve">iosecurity </w:t>
      </w:r>
      <w:r w:rsidR="00687675">
        <w:rPr>
          <w:lang w:eastAsia="ja-JP"/>
        </w:rPr>
        <w:t>o</w:t>
      </w:r>
      <w:r w:rsidR="00EB5500">
        <w:rPr>
          <w:lang w:eastAsia="ja-JP"/>
        </w:rPr>
        <w:t>fficer believes that a consignment pose</w:t>
      </w:r>
      <w:r>
        <w:rPr>
          <w:lang w:eastAsia="ja-JP"/>
        </w:rPr>
        <w:t>s</w:t>
      </w:r>
      <w:r w:rsidR="00EB5500">
        <w:rPr>
          <w:lang w:eastAsia="ja-JP"/>
        </w:rPr>
        <w:t xml:space="preserve"> an unacceptable level of biosecurity risk, </w:t>
      </w:r>
      <w:r>
        <w:rPr>
          <w:lang w:eastAsia="ja-JP"/>
        </w:rPr>
        <w:t xml:space="preserve">we may </w:t>
      </w:r>
      <w:r w:rsidR="00EB5500">
        <w:rPr>
          <w:lang w:eastAsia="ja-JP"/>
        </w:rPr>
        <w:t>increase</w:t>
      </w:r>
      <w:r>
        <w:rPr>
          <w:lang w:eastAsia="ja-JP"/>
        </w:rPr>
        <w:t xml:space="preserve"> our</w:t>
      </w:r>
      <w:r w:rsidR="00EB5500">
        <w:rPr>
          <w:lang w:eastAsia="ja-JP"/>
        </w:rPr>
        <w:t xml:space="preserve"> biosecurity intervention </w:t>
      </w:r>
      <w:r>
        <w:rPr>
          <w:lang w:eastAsia="ja-JP"/>
        </w:rPr>
        <w:t>for</w:t>
      </w:r>
      <w:r w:rsidR="00EB5500">
        <w:rPr>
          <w:lang w:eastAsia="ja-JP"/>
        </w:rPr>
        <w:t xml:space="preserve"> that consignment. This may include inspection, treatment, export or destruction at the importer</w:t>
      </w:r>
      <w:r>
        <w:rPr>
          <w:lang w:eastAsia="ja-JP"/>
        </w:rPr>
        <w:t>’</w:t>
      </w:r>
      <w:r w:rsidR="00EB5500">
        <w:rPr>
          <w:lang w:eastAsia="ja-JP"/>
        </w:rPr>
        <w:t>s expense.</w:t>
      </w:r>
    </w:p>
    <w:p w14:paraId="7B93DA34" w14:textId="3F76019A" w:rsidR="00A7700C" w:rsidRPr="00A7700C" w:rsidRDefault="00A7700C" w:rsidP="00054F39">
      <w:r w:rsidRPr="00A7700C">
        <w:lastRenderedPageBreak/>
        <w:t xml:space="preserve">Importers seeking a Level 1 classification of in-ships-hold inorganic fertiliser on board a vessel </w:t>
      </w:r>
      <w:r>
        <w:t>that</w:t>
      </w:r>
      <w:r w:rsidRPr="00A7700C">
        <w:t xml:space="preserve"> has taken an indirect route to Australia</w:t>
      </w:r>
      <w:r w:rsidR="00B75ABF">
        <w:t>,</w:t>
      </w:r>
      <w:r w:rsidRPr="00A7700C">
        <w:t xml:space="preserve"> and has not undertaken additional cargo activity after loading</w:t>
      </w:r>
      <w:r w:rsidR="00B75ABF">
        <w:t>,</w:t>
      </w:r>
      <w:r w:rsidRPr="00A7700C">
        <w:t xml:space="preserve"> must provide voyage-specific documentary evidence that no further cargo activity has occurred.</w:t>
      </w:r>
    </w:p>
    <w:p w14:paraId="03E15303" w14:textId="075681DB" w:rsidR="00A7700C" w:rsidRDefault="00B75ABF" w:rsidP="00054F39">
      <w:r>
        <w:t>If</w:t>
      </w:r>
      <w:r w:rsidR="00A7700C" w:rsidRPr="00A7700C">
        <w:t xml:space="preserve"> additional cargo activity has occurred between loading and discharge in Australia, the importer or representative of the inorganic fertiliser </w:t>
      </w:r>
      <w:r>
        <w:t>must</w:t>
      </w:r>
      <w:r w:rsidR="00A7700C" w:rsidRPr="00A7700C">
        <w:t xml:space="preserve"> provide </w:t>
      </w:r>
      <w:r>
        <w:t xml:space="preserve">us with </w:t>
      </w:r>
      <w:r w:rsidR="00A7700C" w:rsidRPr="00A7700C">
        <w:t>documentary evidence demonstrating that the biosecurity integrity of any holds containing inorganic fertiliser has not been compromised.</w:t>
      </w:r>
    </w:p>
    <w:p w14:paraId="62004F69" w14:textId="782D3129" w:rsidR="00EB5500" w:rsidRDefault="00B75ABF" w:rsidP="00EB5500">
      <w:pPr>
        <w:rPr>
          <w:lang w:eastAsia="ja-JP"/>
        </w:rPr>
      </w:pPr>
      <w:r>
        <w:rPr>
          <w:lang w:eastAsia="ja-JP"/>
        </w:rPr>
        <w:t>We do not</w:t>
      </w:r>
      <w:r w:rsidR="00EB5500">
        <w:rPr>
          <w:lang w:eastAsia="ja-JP"/>
        </w:rPr>
        <w:t xml:space="preserve"> accept responsibility for any costs, delays or other impositions </w:t>
      </w:r>
      <w:r>
        <w:rPr>
          <w:lang w:eastAsia="ja-JP"/>
        </w:rPr>
        <w:t>that</w:t>
      </w:r>
      <w:r w:rsidR="00EB5500">
        <w:rPr>
          <w:lang w:eastAsia="ja-JP"/>
        </w:rPr>
        <w:t xml:space="preserve"> may arise due to exercising </w:t>
      </w:r>
      <w:r>
        <w:rPr>
          <w:lang w:eastAsia="ja-JP"/>
        </w:rPr>
        <w:t>our</w:t>
      </w:r>
      <w:r w:rsidR="00EB5500">
        <w:rPr>
          <w:lang w:eastAsia="ja-JP"/>
        </w:rPr>
        <w:t xml:space="preserve"> powers under the Act in relation to vessels containing mixed consignments or </w:t>
      </w:r>
      <w:r>
        <w:rPr>
          <w:lang w:eastAsia="ja-JP"/>
        </w:rPr>
        <w:t>shared </w:t>
      </w:r>
      <w:r w:rsidR="00EB5500">
        <w:rPr>
          <w:lang w:eastAsia="ja-JP"/>
        </w:rPr>
        <w:t>holds.</w:t>
      </w:r>
    </w:p>
    <w:p w14:paraId="40F347A3" w14:textId="3D63A161" w:rsidR="00EB5500" w:rsidRPr="00283E9B" w:rsidRDefault="00EB5500" w:rsidP="003F3184">
      <w:pPr>
        <w:pStyle w:val="Heading3"/>
        <w:spacing w:before="120" w:after="120"/>
      </w:pPr>
      <w:bookmarkStart w:id="74" w:name="_Toc224213128"/>
      <w:r w:rsidRPr="00283E9B">
        <w:t>On</w:t>
      </w:r>
      <w:r w:rsidR="000128D9">
        <w:t>-</w:t>
      </w:r>
      <w:r w:rsidRPr="00283E9B">
        <w:t>arrival biosecurity intervention</w:t>
      </w:r>
      <w:bookmarkEnd w:id="74"/>
    </w:p>
    <w:p w14:paraId="500FFF8C" w14:textId="7C0B7C96" w:rsidR="00EB5500" w:rsidRDefault="00DB3C8E" w:rsidP="00EB5500">
      <w:pPr>
        <w:rPr>
          <w:lang w:eastAsia="ja-JP"/>
        </w:rPr>
      </w:pPr>
      <w:r>
        <w:rPr>
          <w:lang w:eastAsia="ja-JP"/>
        </w:rPr>
        <w:t>For o</w:t>
      </w:r>
      <w:r w:rsidR="00EB5500">
        <w:rPr>
          <w:lang w:eastAsia="ja-JP"/>
        </w:rPr>
        <w:t>n-arrival biosecurity intervention requirements for in-ships-hold consignments</w:t>
      </w:r>
      <w:r>
        <w:rPr>
          <w:lang w:eastAsia="ja-JP"/>
        </w:rPr>
        <w:t>, see</w:t>
      </w:r>
      <w:r w:rsidR="00EB5500">
        <w:rPr>
          <w:lang w:eastAsia="ja-JP"/>
        </w:rPr>
        <w:t xml:space="preserve"> </w:t>
      </w:r>
      <w:hyperlink r:id="rId45" w:history="1">
        <w:r w:rsidR="00EB5500" w:rsidRPr="009F7384">
          <w:rPr>
            <w:rStyle w:val="Hyperlink"/>
            <w:lang w:eastAsia="ja-JP"/>
          </w:rPr>
          <w:t>BICON</w:t>
        </w:r>
      </w:hyperlink>
      <w:r w:rsidR="00EB5500">
        <w:rPr>
          <w:lang w:eastAsia="ja-JP"/>
        </w:rPr>
        <w:t xml:space="preserve">. </w:t>
      </w:r>
      <w:r w:rsidR="00CD2FC6">
        <w:rPr>
          <w:lang w:eastAsia="ja-JP"/>
        </w:rPr>
        <w:t>This</w:t>
      </w:r>
      <w:r w:rsidR="00EB5500">
        <w:rPr>
          <w:lang w:eastAsia="ja-JP"/>
        </w:rPr>
        <w:t xml:space="preserve"> is a summary of the key points of these requirements for each import circumstance</w:t>
      </w:r>
      <w:r>
        <w:rPr>
          <w:lang w:eastAsia="ja-JP"/>
        </w:rPr>
        <w:t>.</w:t>
      </w:r>
    </w:p>
    <w:p w14:paraId="7F1A5FFB" w14:textId="77777777" w:rsidR="00C16D85" w:rsidRPr="00283E9B" w:rsidRDefault="00C16D85" w:rsidP="00C16D85">
      <w:pPr>
        <w:pStyle w:val="Heading4"/>
        <w:spacing w:before="120" w:after="120"/>
      </w:pPr>
      <w:bookmarkStart w:id="75" w:name="_All_consignments"/>
      <w:bookmarkStart w:id="76" w:name="_Level_2_and"/>
      <w:bookmarkEnd w:id="75"/>
      <w:bookmarkEnd w:id="76"/>
      <w:r>
        <w:t>C</w:t>
      </w:r>
      <w:r w:rsidRPr="00283E9B">
        <w:t>onsignments</w:t>
      </w:r>
      <w:r>
        <w:t>: Level 1</w:t>
      </w:r>
    </w:p>
    <w:p w14:paraId="31E12EB3" w14:textId="77777777" w:rsidR="00C16D85" w:rsidRDefault="00C16D85" w:rsidP="00C16D85">
      <w:pPr>
        <w:rPr>
          <w:lang w:eastAsia="ja-JP"/>
        </w:rPr>
      </w:pPr>
      <w:r>
        <w:rPr>
          <w:lang w:eastAsia="ja-JP"/>
        </w:rPr>
        <w:t>In-ships-hold consignments assessed by the department as Level 1, and issued with the appropriate biosecurity directions, may commence discharge on arrival.</w:t>
      </w:r>
    </w:p>
    <w:p w14:paraId="26C94F16" w14:textId="1D28A310" w:rsidR="00C16D85" w:rsidRDefault="00C16D85" w:rsidP="00C16D85">
      <w:pPr>
        <w:rPr>
          <w:lang w:eastAsia="ja-JP"/>
        </w:rPr>
      </w:pPr>
      <w:r>
        <w:rPr>
          <w:lang w:eastAsia="ja-JP"/>
        </w:rPr>
        <w:t xml:space="preserve">Vessels containing Level 1 cargo </w:t>
      </w:r>
      <w:r w:rsidR="009C77EB">
        <w:rPr>
          <w:lang w:eastAsia="ja-JP"/>
        </w:rPr>
        <w:t xml:space="preserve">may </w:t>
      </w:r>
      <w:r>
        <w:rPr>
          <w:lang w:eastAsia="ja-JP"/>
        </w:rPr>
        <w:t xml:space="preserve">undergo a deck and hatch-cover inspection and review of the ship’s cargo logs by a biosecurity </w:t>
      </w:r>
      <w:r>
        <w:t>o</w:t>
      </w:r>
      <w:r w:rsidRPr="00DB7B85">
        <w:t xml:space="preserve">fficer at the first port of call to </w:t>
      </w:r>
      <w:r>
        <w:rPr>
          <w:lang w:eastAsia="ja-JP"/>
        </w:rPr>
        <w:t>ensure no actionable cargo has been carried in the previous 6 cargoes.</w:t>
      </w:r>
    </w:p>
    <w:p w14:paraId="13EBD277" w14:textId="77777777" w:rsidR="00C16D85" w:rsidRDefault="00C16D85" w:rsidP="00C16D85">
      <w:pPr>
        <w:rPr>
          <w:lang w:eastAsia="ja-JP"/>
        </w:rPr>
      </w:pPr>
      <w:r w:rsidRPr="005D5931">
        <w:rPr>
          <w:lang w:eastAsia="ja-JP"/>
        </w:rPr>
        <w:t xml:space="preserve">Alternatively, where the vessel has carried actionable cargo in the last </w:t>
      </w:r>
      <w:r>
        <w:rPr>
          <w:lang w:eastAsia="ja-JP"/>
        </w:rPr>
        <w:t>6 cargoes</w:t>
      </w:r>
      <w:r w:rsidRPr="005D5931">
        <w:rPr>
          <w:lang w:eastAsia="ja-JP"/>
        </w:rPr>
        <w:t xml:space="preserve">, a Level 1 classification can also be attained </w:t>
      </w:r>
      <w:r>
        <w:rPr>
          <w:lang w:eastAsia="ja-JP"/>
        </w:rPr>
        <w:t>if either</w:t>
      </w:r>
      <w:r w:rsidRPr="005D5931">
        <w:rPr>
          <w:lang w:eastAsia="ja-JP"/>
        </w:rPr>
        <w:t>:</w:t>
      </w:r>
    </w:p>
    <w:p w14:paraId="58F5E00B" w14:textId="77777777" w:rsidR="00C16D85" w:rsidRDefault="00C16D85" w:rsidP="00C16D85">
      <w:pPr>
        <w:pStyle w:val="ListBullet"/>
        <w:rPr>
          <w:lang w:eastAsia="ja-JP"/>
        </w:rPr>
      </w:pPr>
      <w:r w:rsidRPr="005D5931">
        <w:rPr>
          <w:lang w:eastAsia="ja-JP"/>
        </w:rPr>
        <w:t>the vessel has not carried actionable cargo since achieving the department’s Level 1 certification following importation of fertiliser or as part of the Australian cabotage procedure</w:t>
      </w:r>
      <w:r>
        <w:rPr>
          <w:lang w:eastAsia="ja-JP"/>
        </w:rPr>
        <w:t>,</w:t>
      </w:r>
      <w:r w:rsidRPr="005D5931">
        <w:rPr>
          <w:lang w:eastAsia="ja-JP"/>
        </w:rPr>
        <w:t xml:space="preserve"> or</w:t>
      </w:r>
    </w:p>
    <w:p w14:paraId="6BA0E467" w14:textId="4B7A2A09" w:rsidR="00C16D85" w:rsidRDefault="00C16D85" w:rsidP="00C16D85">
      <w:pPr>
        <w:pStyle w:val="ListBullet"/>
        <w:rPr>
          <w:lang w:eastAsia="ja-JP"/>
        </w:rPr>
      </w:pPr>
      <w:r w:rsidRPr="005D5931">
        <w:rPr>
          <w:lang w:eastAsia="ja-JP"/>
        </w:rPr>
        <w:t xml:space="preserve">the vessel obtained a </w:t>
      </w:r>
      <w:r>
        <w:rPr>
          <w:lang w:eastAsia="ja-JP"/>
        </w:rPr>
        <w:t>‘</w:t>
      </w:r>
      <w:r w:rsidR="009C77EB">
        <w:rPr>
          <w:lang w:eastAsia="ja-JP"/>
        </w:rPr>
        <w:t>Bulk vessel inspection</w:t>
      </w:r>
      <w:r w:rsidRPr="005D5931">
        <w:rPr>
          <w:lang w:eastAsia="ja-JP"/>
        </w:rPr>
        <w:t xml:space="preserve"> </w:t>
      </w:r>
      <w:r>
        <w:rPr>
          <w:lang w:eastAsia="ja-JP"/>
        </w:rPr>
        <w:t>r</w:t>
      </w:r>
      <w:r w:rsidRPr="005D5931">
        <w:rPr>
          <w:lang w:eastAsia="ja-JP"/>
        </w:rPr>
        <w:t>ecord</w:t>
      </w:r>
      <w:r>
        <w:rPr>
          <w:lang w:eastAsia="ja-JP"/>
        </w:rPr>
        <w:t>’</w:t>
      </w:r>
      <w:r w:rsidRPr="005D5931">
        <w:rPr>
          <w:lang w:eastAsia="ja-JP"/>
        </w:rPr>
        <w:t xml:space="preserve"> issued by the department </w:t>
      </w:r>
      <w:proofErr w:type="gramStart"/>
      <w:r w:rsidRPr="005D5931">
        <w:rPr>
          <w:lang w:eastAsia="ja-JP"/>
        </w:rPr>
        <w:t>as a result of</w:t>
      </w:r>
      <w:proofErr w:type="gramEnd"/>
      <w:r w:rsidRPr="005D5931">
        <w:rPr>
          <w:lang w:eastAsia="ja-JP"/>
        </w:rPr>
        <w:t xml:space="preserve"> a department inspection for prescribed bulk goods exports under the </w:t>
      </w:r>
      <w:r w:rsidRPr="00DB7B85">
        <w:rPr>
          <w:rStyle w:val="Emphasis"/>
        </w:rPr>
        <w:t>Export Control Act 1982</w:t>
      </w:r>
      <w:r w:rsidRPr="005D5931">
        <w:rPr>
          <w:lang w:eastAsia="ja-JP"/>
        </w:rPr>
        <w:t xml:space="preserve"> since it last carried actionable cargo.</w:t>
      </w:r>
    </w:p>
    <w:p w14:paraId="16673E87" w14:textId="77777777" w:rsidR="00C16D85" w:rsidRDefault="00C16D85" w:rsidP="00C16D85">
      <w:pPr>
        <w:rPr>
          <w:lang w:eastAsia="ja-JP"/>
        </w:rPr>
      </w:pPr>
      <w:r>
        <w:rPr>
          <w:lang w:eastAsia="ja-JP"/>
        </w:rPr>
        <w:t xml:space="preserve">Discharge may occur prior to these activities being undertaken. For discharge requirements, see </w:t>
      </w:r>
      <w:hyperlink r:id="rId46" w:history="1">
        <w:r w:rsidRPr="009F7384">
          <w:rPr>
            <w:rStyle w:val="Hyperlink"/>
          </w:rPr>
          <w:t>BICON</w:t>
        </w:r>
      </w:hyperlink>
      <w:r w:rsidRPr="000F2644">
        <w:rPr>
          <w:lang w:eastAsia="ja-JP"/>
        </w:rPr>
        <w:t>.</w:t>
      </w:r>
    </w:p>
    <w:p w14:paraId="10CB74B4" w14:textId="042EF94C" w:rsidR="00EB5500" w:rsidRPr="00283E9B" w:rsidRDefault="00DB3C8E" w:rsidP="003F3184">
      <w:pPr>
        <w:pStyle w:val="Heading4"/>
        <w:spacing w:before="120" w:after="120"/>
      </w:pPr>
      <w:r>
        <w:t>C</w:t>
      </w:r>
      <w:r w:rsidRPr="00283E9B">
        <w:t>onsignments</w:t>
      </w:r>
      <w:r>
        <w:t xml:space="preserve">: </w:t>
      </w:r>
      <w:r w:rsidR="00AE3780">
        <w:t xml:space="preserve">Level 2 and </w:t>
      </w:r>
      <w:r w:rsidR="00057FC2">
        <w:t xml:space="preserve">Level </w:t>
      </w:r>
      <w:r w:rsidR="00AE3780">
        <w:t>3</w:t>
      </w:r>
    </w:p>
    <w:p w14:paraId="6848E4DF" w14:textId="6A978692" w:rsidR="00EB5500" w:rsidRDefault="00F56110" w:rsidP="00EB5500">
      <w:pPr>
        <w:rPr>
          <w:lang w:eastAsia="ja-JP"/>
        </w:rPr>
      </w:pPr>
      <w:r>
        <w:rPr>
          <w:lang w:eastAsia="ja-JP"/>
        </w:rPr>
        <w:t xml:space="preserve">The importer or representative </w:t>
      </w:r>
      <w:r w:rsidR="00DB3C8E">
        <w:rPr>
          <w:lang w:eastAsia="ja-JP"/>
        </w:rPr>
        <w:t xml:space="preserve">must ensure that </w:t>
      </w:r>
      <w:r w:rsidR="00811A10">
        <w:rPr>
          <w:lang w:eastAsia="ja-JP"/>
        </w:rPr>
        <w:t xml:space="preserve">Level 2 </w:t>
      </w:r>
      <w:r w:rsidR="00AE3780">
        <w:rPr>
          <w:lang w:eastAsia="ja-JP"/>
        </w:rPr>
        <w:t xml:space="preserve">and </w:t>
      </w:r>
      <w:r w:rsidR="00DB3C8E">
        <w:rPr>
          <w:lang w:eastAsia="ja-JP"/>
        </w:rPr>
        <w:t xml:space="preserve">Level </w:t>
      </w:r>
      <w:r w:rsidR="00AE3780">
        <w:rPr>
          <w:lang w:eastAsia="ja-JP"/>
        </w:rPr>
        <w:t xml:space="preserve">3 </w:t>
      </w:r>
      <w:r w:rsidR="00EB5500">
        <w:rPr>
          <w:lang w:eastAsia="ja-JP"/>
        </w:rPr>
        <w:t xml:space="preserve">imported consignments of in-ships-hold inorganic fertiliser have a 15-litre pre-bagged loading </w:t>
      </w:r>
      <w:r w:rsidR="00EB5500" w:rsidRPr="00054F39">
        <w:t>sample from each hold to be discharged</w:t>
      </w:r>
      <w:r w:rsidR="000C020F">
        <w:t>.</w:t>
      </w:r>
      <w:r w:rsidR="00EB5500" w:rsidRPr="00054F39">
        <w:t xml:space="preserve"> </w:t>
      </w:r>
      <w:r w:rsidR="000C3876">
        <w:t xml:space="preserve">To enable the department to </w:t>
      </w:r>
      <w:r w:rsidR="000C3876" w:rsidRPr="00054F39">
        <w:t>determine freedom from biosecurity risk material</w:t>
      </w:r>
      <w:r w:rsidR="000C3876">
        <w:t>, t</w:t>
      </w:r>
      <w:r w:rsidR="00DB3C8E">
        <w:t>hese samples</w:t>
      </w:r>
      <w:r w:rsidR="000C020F">
        <w:t xml:space="preserve"> must be set aside on the vessel and</w:t>
      </w:r>
      <w:r w:rsidR="00DB3C8E">
        <w:t xml:space="preserve"> be</w:t>
      </w:r>
      <w:r w:rsidR="005A3C68">
        <w:t xml:space="preserve"> easily</w:t>
      </w:r>
      <w:r w:rsidR="00EB5500" w:rsidRPr="00054F39">
        <w:t xml:space="preserve"> available for inspection and sampling.</w:t>
      </w:r>
      <w:r w:rsidR="005A3C68">
        <w:t xml:space="preserve"> To avoid delays, the 15-litre pre-bagged samples should not be stored in the vessels holds.</w:t>
      </w:r>
    </w:p>
    <w:p w14:paraId="1E7331EC" w14:textId="57D6A49D" w:rsidR="00687675" w:rsidRPr="00054F39" w:rsidRDefault="00687675" w:rsidP="00054F39">
      <w:r w:rsidRPr="00054F39">
        <w:lastRenderedPageBreak/>
        <w:t>The importer</w:t>
      </w:r>
      <w:r w:rsidRPr="00A7700C">
        <w:t xml:space="preserve"> or </w:t>
      </w:r>
      <w:r w:rsidRPr="00054F39">
        <w:t>representative must ensure the required 15-litre pre-bagged loading samples are obtained during loading of the fertiliser in the country of export and set aside on the vessel for presentation to the department upon request.</w:t>
      </w:r>
    </w:p>
    <w:p w14:paraId="444EEFBE" w14:textId="06F0120C" w:rsidR="00687675" w:rsidRPr="00054F39" w:rsidRDefault="0013756E" w:rsidP="00054F39">
      <w:r>
        <w:t>T</w:t>
      </w:r>
      <w:r w:rsidR="00687675" w:rsidRPr="00054F39">
        <w:t>he importer or representative must ensure that the following are made available:</w:t>
      </w:r>
    </w:p>
    <w:p w14:paraId="23503107" w14:textId="510D70D6" w:rsidR="00687675" w:rsidRPr="00054F39" w:rsidRDefault="00687675" w:rsidP="00054F39">
      <w:pPr>
        <w:pStyle w:val="ListBullet"/>
      </w:pPr>
      <w:r w:rsidRPr="00054F39">
        <w:t>a representative responsible for lifting or repositioning the bags for inspection by a biosecurity officer, depending on where or how the</w:t>
      </w:r>
      <w:r w:rsidR="00DB3C8E">
        <w:t xml:space="preserve"> bags</w:t>
      </w:r>
      <w:r w:rsidRPr="00054F39">
        <w:t xml:space="preserve"> are stowed</w:t>
      </w:r>
    </w:p>
    <w:p w14:paraId="2FC82920" w14:textId="412BA9B7" w:rsidR="00687675" w:rsidRPr="00A7700C" w:rsidRDefault="00687675" w:rsidP="00054F39">
      <w:pPr>
        <w:pStyle w:val="ListBullet"/>
      </w:pPr>
      <w:r w:rsidRPr="00054F39">
        <w:t xml:space="preserve">a receptacle large enough to empty the sampled fertiliser into </w:t>
      </w:r>
      <w:r w:rsidR="000128D9" w:rsidRPr="00A7700C">
        <w:t xml:space="preserve">a </w:t>
      </w:r>
      <w:r w:rsidRPr="00054F39">
        <w:t>tub, bin, bucket or bag</w:t>
      </w:r>
    </w:p>
    <w:p w14:paraId="49C98118" w14:textId="67574410" w:rsidR="00687675" w:rsidRPr="00A7700C" w:rsidRDefault="00687675" w:rsidP="00054F39">
      <w:pPr>
        <w:pStyle w:val="ListBullet"/>
      </w:pPr>
      <w:r w:rsidRPr="00A7700C">
        <w:t>a safe inspection area for the inspection to take place</w:t>
      </w:r>
    </w:p>
    <w:p w14:paraId="09071F72" w14:textId="5A27E9B1" w:rsidR="00687675" w:rsidRPr="00A7700C" w:rsidRDefault="00DB3C8E" w:rsidP="00054F39">
      <w:pPr>
        <w:pStyle w:val="ListBullet"/>
      </w:pPr>
      <w:r>
        <w:t>if</w:t>
      </w:r>
      <w:r w:rsidR="00687675" w:rsidRPr="00A7700C">
        <w:t xml:space="preserve"> </w:t>
      </w:r>
      <w:r>
        <w:t xml:space="preserve">rain or other </w:t>
      </w:r>
      <w:r w:rsidR="00687675" w:rsidRPr="00A7700C">
        <w:t xml:space="preserve">adverse weather conditions are expected or are present, a sheltered or undercover dry area for the </w:t>
      </w:r>
      <w:r w:rsidR="00331073" w:rsidRPr="00A7700C">
        <w:t>b</w:t>
      </w:r>
      <w:r w:rsidR="00687675" w:rsidRPr="00A7700C">
        <w:t xml:space="preserve">iosecurity </w:t>
      </w:r>
      <w:r w:rsidR="00331073" w:rsidRPr="00A7700C">
        <w:t>o</w:t>
      </w:r>
      <w:r w:rsidR="00687675" w:rsidRPr="00A7700C">
        <w:t>fficer to undertake inspection and sampling activities.</w:t>
      </w:r>
    </w:p>
    <w:p w14:paraId="26B72C16" w14:textId="2078FAE9" w:rsidR="00EB5500" w:rsidRDefault="0001494E" w:rsidP="000B5FB7">
      <w:pPr>
        <w:spacing w:before="120"/>
        <w:rPr>
          <w:lang w:eastAsia="ja-JP"/>
        </w:rPr>
      </w:pPr>
      <w:r>
        <w:rPr>
          <w:lang w:eastAsia="ja-JP"/>
        </w:rPr>
        <w:t>Learn more about</w:t>
      </w:r>
      <w:r w:rsidR="00687675" w:rsidRPr="00687675">
        <w:rPr>
          <w:lang w:eastAsia="ja-JP"/>
        </w:rPr>
        <w:t xml:space="preserve"> Level 2 or Level 3 </w:t>
      </w:r>
      <w:r w:rsidR="00DB3C8E">
        <w:rPr>
          <w:lang w:eastAsia="ja-JP"/>
        </w:rPr>
        <w:t>consignments</w:t>
      </w:r>
      <w:r w:rsidR="00687675">
        <w:rPr>
          <w:lang w:eastAsia="ja-JP"/>
        </w:rPr>
        <w:t xml:space="preserve"> </w:t>
      </w:r>
      <w:r w:rsidR="00687675" w:rsidRPr="00687675">
        <w:rPr>
          <w:lang w:eastAsia="ja-JP"/>
        </w:rPr>
        <w:t>with no pre-bagged samples</w:t>
      </w:r>
      <w:r w:rsidR="00DB3C8E">
        <w:rPr>
          <w:lang w:eastAsia="ja-JP"/>
        </w:rPr>
        <w:t xml:space="preserve"> in</w:t>
      </w:r>
      <w:r w:rsidR="00687675">
        <w:rPr>
          <w:lang w:eastAsia="ja-JP"/>
        </w:rPr>
        <w:t xml:space="preserve"> </w:t>
      </w:r>
      <w:hyperlink w:anchor="_‘High_risk’_with" w:history="1">
        <w:r w:rsidR="00CD5F7C">
          <w:rPr>
            <w:rStyle w:val="Hyperlink"/>
            <w:lang w:eastAsia="ja-JP"/>
          </w:rPr>
          <w:t>section 4.3.3</w:t>
        </w:r>
      </w:hyperlink>
      <w:r w:rsidR="00EB5500">
        <w:rPr>
          <w:lang w:eastAsia="ja-JP"/>
        </w:rPr>
        <w:t>.</w:t>
      </w:r>
    </w:p>
    <w:p w14:paraId="23D7010E" w14:textId="308296E3" w:rsidR="00D624D2" w:rsidRDefault="00D624D2" w:rsidP="00D624D2">
      <w:r>
        <w:rPr>
          <w:lang w:eastAsia="ja-JP"/>
        </w:rPr>
        <w:t>In-ships-hold consignments that have been assessed by the department as either Level 2 or Level 3 must</w:t>
      </w:r>
      <w:r w:rsidRPr="00054F39">
        <w:t xml:space="preserve"> </w:t>
      </w:r>
      <w:r w:rsidR="00057FC2">
        <w:t>not</w:t>
      </w:r>
      <w:r>
        <w:rPr>
          <w:lang w:eastAsia="ja-JP"/>
        </w:rPr>
        <w:t xml:space="preserve"> commence discharge from the vessel on arrival.</w:t>
      </w:r>
    </w:p>
    <w:p w14:paraId="0A504A75" w14:textId="12EC3374" w:rsidR="00D624D2" w:rsidRPr="00054F39" w:rsidRDefault="00D624D2" w:rsidP="00D624D2">
      <w:r>
        <w:rPr>
          <w:lang w:eastAsia="ja-JP"/>
        </w:rPr>
        <w:t xml:space="preserve">In-ships-hold consignments assessed as either Level 2 or Level </w:t>
      </w:r>
      <w:r w:rsidR="00E60268">
        <w:rPr>
          <w:lang w:eastAsia="ja-JP"/>
        </w:rPr>
        <w:t>3 are</w:t>
      </w:r>
      <w:r>
        <w:rPr>
          <w:lang w:eastAsia="ja-JP"/>
        </w:rPr>
        <w:t xml:space="preserve"> required to undergo a deck and hatch-cover inspection and review of the ship’s cargo logs by a </w:t>
      </w:r>
      <w:r w:rsidR="00057FC2">
        <w:rPr>
          <w:lang w:eastAsia="ja-JP"/>
        </w:rPr>
        <w:t>b</w:t>
      </w:r>
      <w:r>
        <w:rPr>
          <w:lang w:eastAsia="ja-JP"/>
        </w:rPr>
        <w:t xml:space="preserve">iosecurity </w:t>
      </w:r>
      <w:r w:rsidR="00057FC2">
        <w:rPr>
          <w:lang w:eastAsia="ja-JP"/>
        </w:rPr>
        <w:t>o</w:t>
      </w:r>
      <w:r>
        <w:rPr>
          <w:lang w:eastAsia="ja-JP"/>
        </w:rPr>
        <w:t xml:space="preserve">fficer at the </w:t>
      </w:r>
      <w:r w:rsidRPr="00054F39">
        <w:t xml:space="preserve">first port </w:t>
      </w:r>
      <w:r w:rsidR="00507099" w:rsidRPr="00054F39">
        <w:t>of</w:t>
      </w:r>
      <w:r w:rsidR="00507099">
        <w:t> </w:t>
      </w:r>
      <w:r w:rsidRPr="00054F39">
        <w:t>call.</w:t>
      </w:r>
    </w:p>
    <w:p w14:paraId="45453236" w14:textId="11FB3484" w:rsidR="00D624D2" w:rsidRDefault="00D624D2" w:rsidP="00D624D2">
      <w:pPr>
        <w:rPr>
          <w:lang w:eastAsia="ja-JP"/>
        </w:rPr>
      </w:pPr>
      <w:r>
        <w:rPr>
          <w:lang w:eastAsia="ja-JP"/>
        </w:rPr>
        <w:t>Following inspection</w:t>
      </w:r>
      <w:r w:rsidR="00507099">
        <w:rPr>
          <w:lang w:eastAsia="ja-JP"/>
        </w:rPr>
        <w:t>,</w:t>
      </w:r>
      <w:r>
        <w:rPr>
          <w:lang w:eastAsia="ja-JP"/>
        </w:rPr>
        <w:t xml:space="preserve"> and if no biosecurity risk material is identified during the deck and hatch-cover inspection</w:t>
      </w:r>
      <w:r w:rsidR="00057FC2">
        <w:rPr>
          <w:lang w:eastAsia="ja-JP"/>
        </w:rPr>
        <w:t xml:space="preserve"> or </w:t>
      </w:r>
      <w:r>
        <w:rPr>
          <w:lang w:eastAsia="ja-JP"/>
        </w:rPr>
        <w:t>review of ship’s cargo logs, the importer</w:t>
      </w:r>
      <w:r w:rsidR="00057FC2">
        <w:rPr>
          <w:lang w:eastAsia="ja-JP"/>
        </w:rPr>
        <w:t xml:space="preserve"> or </w:t>
      </w:r>
      <w:r>
        <w:rPr>
          <w:lang w:eastAsia="ja-JP"/>
        </w:rPr>
        <w:t>representative will be directed to present 15</w:t>
      </w:r>
      <w:r w:rsidR="00507099">
        <w:rPr>
          <w:lang w:eastAsia="ja-JP"/>
        </w:rPr>
        <w:t>-</w:t>
      </w:r>
      <w:r>
        <w:rPr>
          <w:lang w:eastAsia="ja-JP"/>
        </w:rPr>
        <w:t xml:space="preserve">litre pre-bagged loading samples from each hold to be discharged to the </w:t>
      </w:r>
      <w:r w:rsidR="00331073">
        <w:rPr>
          <w:lang w:eastAsia="ja-JP"/>
        </w:rPr>
        <w:t>b</w:t>
      </w:r>
      <w:r>
        <w:rPr>
          <w:lang w:eastAsia="ja-JP"/>
        </w:rPr>
        <w:t xml:space="preserve">iosecurity </w:t>
      </w:r>
      <w:r w:rsidR="00331073">
        <w:rPr>
          <w:lang w:eastAsia="ja-JP"/>
        </w:rPr>
        <w:t>o</w:t>
      </w:r>
      <w:r>
        <w:rPr>
          <w:lang w:eastAsia="ja-JP"/>
        </w:rPr>
        <w:t>fficer for inspection and sampling. This inspection and sampling activity must be completed at the first port of discharge for each hold.</w:t>
      </w:r>
    </w:p>
    <w:p w14:paraId="516A08A6" w14:textId="4AC0865F" w:rsidR="000A408E" w:rsidRDefault="00057FC2" w:rsidP="000206CA">
      <w:pPr>
        <w:rPr>
          <w:lang w:eastAsia="ja-JP"/>
        </w:rPr>
      </w:pPr>
      <w:r>
        <w:rPr>
          <w:rFonts w:cstheme="minorHAnsi"/>
          <w:lang w:eastAsia="en-AU"/>
        </w:rPr>
        <w:t>If</w:t>
      </w:r>
      <w:r w:rsidRPr="00EB15E0">
        <w:rPr>
          <w:rFonts w:cstheme="minorHAnsi"/>
          <w:lang w:eastAsia="en-AU"/>
        </w:rPr>
        <w:t xml:space="preserve"> a 15-litre pre-bagged loading sample is not available for any hold to be discharged, the associated hold is required to undergo in-hold</w:t>
      </w:r>
      <w:r w:rsidR="00F56110">
        <w:rPr>
          <w:rFonts w:cstheme="minorHAnsi"/>
          <w:lang w:eastAsia="en-AU"/>
        </w:rPr>
        <w:t xml:space="preserve"> sampling</w:t>
      </w:r>
      <w:r w:rsidRPr="00EB15E0">
        <w:rPr>
          <w:rFonts w:cstheme="minorHAnsi"/>
          <w:lang w:eastAsia="en-AU"/>
        </w:rPr>
        <w:t xml:space="preserve"> inspection by a </w:t>
      </w:r>
      <w:r>
        <w:rPr>
          <w:rFonts w:cstheme="minorHAnsi"/>
          <w:lang w:eastAsia="en-AU"/>
        </w:rPr>
        <w:t>b</w:t>
      </w:r>
      <w:r w:rsidRPr="00EB15E0">
        <w:rPr>
          <w:rFonts w:cstheme="minorHAnsi"/>
          <w:lang w:eastAsia="en-AU"/>
        </w:rPr>
        <w:t xml:space="preserve">iosecurity </w:t>
      </w:r>
      <w:r>
        <w:rPr>
          <w:rFonts w:cstheme="minorHAnsi"/>
          <w:lang w:eastAsia="en-AU"/>
        </w:rPr>
        <w:t>o</w:t>
      </w:r>
      <w:r w:rsidRPr="00EB15E0">
        <w:rPr>
          <w:rFonts w:cstheme="minorHAnsi"/>
          <w:lang w:eastAsia="en-AU"/>
        </w:rPr>
        <w:t>fficer prior to discharge of that hold</w:t>
      </w:r>
      <w:r>
        <w:rPr>
          <w:rFonts w:cstheme="minorHAnsi"/>
          <w:lang w:eastAsia="en-AU"/>
        </w:rPr>
        <w:t xml:space="preserve"> (</w:t>
      </w:r>
      <w:r>
        <w:rPr>
          <w:lang w:eastAsia="ja-JP"/>
        </w:rPr>
        <w:t xml:space="preserve">see </w:t>
      </w:r>
      <w:hyperlink w:anchor="_‘High_risk’_with" w:history="1">
        <w:r w:rsidR="00A673A8">
          <w:rPr>
            <w:rStyle w:val="Hyperlink"/>
            <w:lang w:eastAsia="ja-JP"/>
          </w:rPr>
          <w:t>section 4.3.3</w:t>
        </w:r>
      </w:hyperlink>
      <w:r>
        <w:rPr>
          <w:lang w:eastAsia="ja-JP"/>
        </w:rPr>
        <w:t>)</w:t>
      </w:r>
      <w:r w:rsidRPr="00EB15E0">
        <w:rPr>
          <w:rFonts w:cstheme="minorHAnsi"/>
          <w:lang w:eastAsia="en-AU"/>
        </w:rPr>
        <w:t>.</w:t>
      </w:r>
      <w:r w:rsidR="000206CA">
        <w:rPr>
          <w:lang w:eastAsia="ja-JP"/>
        </w:rPr>
        <w:t xml:space="preserve">Provided that the 15-litre pre-bagged sample </w:t>
      </w:r>
      <w:r w:rsidR="000206CA" w:rsidRPr="00687675">
        <w:rPr>
          <w:lang w:eastAsia="ja-JP"/>
        </w:rPr>
        <w:t>inspections demonstrate</w:t>
      </w:r>
      <w:r w:rsidR="000206CA">
        <w:rPr>
          <w:lang w:eastAsia="ja-JP"/>
        </w:rPr>
        <w:t xml:space="preserve"> freedom from biosecurity </w:t>
      </w:r>
      <w:r w:rsidR="00507099">
        <w:rPr>
          <w:lang w:eastAsia="ja-JP"/>
        </w:rPr>
        <w:t>risk </w:t>
      </w:r>
      <w:r w:rsidR="000206CA">
        <w:rPr>
          <w:lang w:eastAsia="ja-JP"/>
        </w:rPr>
        <w:t xml:space="preserve">material, no further inspections of pre-bagged samples are required at any subsequent </w:t>
      </w:r>
      <w:r w:rsidR="00507099">
        <w:rPr>
          <w:lang w:eastAsia="ja-JP"/>
        </w:rPr>
        <w:t>discharge </w:t>
      </w:r>
      <w:r w:rsidR="000206CA">
        <w:rPr>
          <w:lang w:eastAsia="ja-JP"/>
        </w:rPr>
        <w:t>ports.</w:t>
      </w:r>
    </w:p>
    <w:p w14:paraId="3C64C05D" w14:textId="766A8F6E" w:rsidR="00196D5E" w:rsidRDefault="00196D5E" w:rsidP="00196D5E">
      <w:pPr>
        <w:spacing w:before="120"/>
        <w:rPr>
          <w:lang w:eastAsia="ja-JP"/>
        </w:rPr>
      </w:pPr>
      <w:r>
        <w:rPr>
          <w:lang w:eastAsia="ja-JP"/>
        </w:rPr>
        <w:t xml:space="preserve">If no biosecurity risk material is identified in any of the 15-litre pre-bagged loading samples, </w:t>
      </w:r>
      <w:r w:rsidR="00057FC2">
        <w:rPr>
          <w:lang w:eastAsia="ja-JP"/>
        </w:rPr>
        <w:t>we</w:t>
      </w:r>
      <w:r>
        <w:rPr>
          <w:lang w:eastAsia="ja-JP"/>
        </w:rPr>
        <w:t xml:space="preserve"> may direct the fertiliser associated with the relevant holds</w:t>
      </w:r>
      <w:r w:rsidR="00057FC2">
        <w:rPr>
          <w:lang w:eastAsia="ja-JP"/>
        </w:rPr>
        <w:t xml:space="preserve"> </w:t>
      </w:r>
      <w:r>
        <w:rPr>
          <w:lang w:eastAsia="ja-JP"/>
        </w:rPr>
        <w:t>to be discharged and:</w:t>
      </w:r>
    </w:p>
    <w:p w14:paraId="3BCACB4A" w14:textId="3C22B206" w:rsidR="000A408E" w:rsidRDefault="00196D5E" w:rsidP="00DB7B85">
      <w:pPr>
        <w:pStyle w:val="ListBullet"/>
        <w:rPr>
          <w:lang w:eastAsia="ja-JP"/>
        </w:rPr>
      </w:pPr>
      <w:r w:rsidRPr="00DB7B85">
        <w:rPr>
          <w:rStyle w:val="Strong"/>
        </w:rPr>
        <w:t>Level 2</w:t>
      </w:r>
      <w:r w:rsidR="0040160B">
        <w:rPr>
          <w:rStyle w:val="Strong"/>
        </w:rPr>
        <w:t xml:space="preserve"> consignments</w:t>
      </w:r>
      <w:r w:rsidR="00057FC2">
        <w:rPr>
          <w:lang w:eastAsia="ja-JP"/>
        </w:rPr>
        <w:t xml:space="preserve"> –</w:t>
      </w:r>
      <w:r w:rsidR="001C6209">
        <w:rPr>
          <w:lang w:eastAsia="ja-JP"/>
        </w:rPr>
        <w:t xml:space="preserve"> </w:t>
      </w:r>
      <w:r w:rsidR="00E60268">
        <w:rPr>
          <w:lang w:eastAsia="ja-JP"/>
        </w:rPr>
        <w:t>released from biosecurity control</w:t>
      </w:r>
    </w:p>
    <w:p w14:paraId="0A1842BE" w14:textId="736F50C0" w:rsidR="000A408E" w:rsidRDefault="00196D5E" w:rsidP="00DB7B85">
      <w:pPr>
        <w:pStyle w:val="ListBullet"/>
        <w:rPr>
          <w:lang w:eastAsia="ja-JP"/>
        </w:rPr>
      </w:pPr>
      <w:r w:rsidRPr="00DB7B85">
        <w:rPr>
          <w:rStyle w:val="Strong"/>
        </w:rPr>
        <w:t>Level 3</w:t>
      </w:r>
      <w:r w:rsidR="0040160B">
        <w:rPr>
          <w:rStyle w:val="Strong"/>
        </w:rPr>
        <w:t xml:space="preserve"> consignments</w:t>
      </w:r>
      <w:r w:rsidR="00057FC2">
        <w:rPr>
          <w:lang w:eastAsia="ja-JP"/>
        </w:rPr>
        <w:t xml:space="preserve"> –</w:t>
      </w:r>
      <w:r>
        <w:rPr>
          <w:lang w:eastAsia="ja-JP"/>
        </w:rPr>
        <w:t xml:space="preserve"> moved to the nominated Class 2.3 Approved Arrangement site to await a landed inspection and sampling by the department.</w:t>
      </w:r>
    </w:p>
    <w:p w14:paraId="6C12E469" w14:textId="32797E19" w:rsidR="00196D5E" w:rsidRDefault="00196D5E" w:rsidP="00196D5E">
      <w:pPr>
        <w:rPr>
          <w:lang w:eastAsia="ja-JP"/>
        </w:rPr>
      </w:pPr>
      <w:r>
        <w:rPr>
          <w:lang w:eastAsia="ja-JP"/>
        </w:rPr>
        <w:t xml:space="preserve">If biosecurity risk material is identified during the deck and hatch-cover inspection and/or during inspection of the 15-litre pre-bagged loading sample, discharge of goods from any hold of the vessel is </w:t>
      </w:r>
      <w:r w:rsidR="001C6209">
        <w:rPr>
          <w:lang w:eastAsia="ja-JP"/>
        </w:rPr>
        <w:t xml:space="preserve">not </w:t>
      </w:r>
      <w:r>
        <w:rPr>
          <w:lang w:eastAsia="ja-JP"/>
        </w:rPr>
        <w:t xml:space="preserve">permitted. The </w:t>
      </w:r>
      <w:r w:rsidR="00057FC2">
        <w:rPr>
          <w:lang w:eastAsia="ja-JP"/>
        </w:rPr>
        <w:t>b</w:t>
      </w:r>
      <w:r>
        <w:rPr>
          <w:lang w:eastAsia="ja-JP"/>
        </w:rPr>
        <w:t xml:space="preserve">iosecurity </w:t>
      </w:r>
      <w:r w:rsidR="00057FC2">
        <w:rPr>
          <w:lang w:eastAsia="ja-JP"/>
        </w:rPr>
        <w:t>o</w:t>
      </w:r>
      <w:r>
        <w:rPr>
          <w:lang w:eastAsia="ja-JP"/>
        </w:rPr>
        <w:t xml:space="preserve">fficers present will contact </w:t>
      </w:r>
      <w:r w:rsidRPr="00A50D40">
        <w:rPr>
          <w:lang w:eastAsia="ja-JP"/>
        </w:rPr>
        <w:t>the BCNCC to determine</w:t>
      </w:r>
      <w:r>
        <w:rPr>
          <w:lang w:eastAsia="ja-JP"/>
        </w:rPr>
        <w:t xml:space="preserve"> appropriate action.</w:t>
      </w:r>
    </w:p>
    <w:p w14:paraId="7D674198" w14:textId="2AE3EBD4" w:rsidR="00A50D40" w:rsidRPr="00DB7B85" w:rsidRDefault="00A50D40" w:rsidP="00A7700C">
      <w:r w:rsidRPr="00A7700C">
        <w:t>When a landed inspection at a Class 2.3 Approved Arrangement site is required, land-bridging of the fertiliser between ports is not permitted.</w:t>
      </w:r>
    </w:p>
    <w:p w14:paraId="7E496D46" w14:textId="47120D01" w:rsidR="000A408E" w:rsidRDefault="00EB5500" w:rsidP="00FE5B1B">
      <w:pPr>
        <w:spacing w:before="120"/>
        <w:rPr>
          <w:lang w:eastAsia="ja-JP"/>
        </w:rPr>
      </w:pPr>
      <w:r>
        <w:rPr>
          <w:lang w:eastAsia="ja-JP"/>
        </w:rPr>
        <w:lastRenderedPageBreak/>
        <w:t xml:space="preserve">If biosecurity risk material is identified during </w:t>
      </w:r>
      <w:r w:rsidR="00AB17EE">
        <w:rPr>
          <w:lang w:eastAsia="ja-JP"/>
        </w:rPr>
        <w:t xml:space="preserve">the </w:t>
      </w:r>
      <w:r>
        <w:rPr>
          <w:lang w:eastAsia="ja-JP"/>
        </w:rPr>
        <w:t>inspection, discharge of all goods from the vessel must cease</w:t>
      </w:r>
      <w:r w:rsidR="00C30F1A">
        <w:rPr>
          <w:lang w:eastAsia="ja-JP"/>
        </w:rPr>
        <w:t>. T</w:t>
      </w:r>
      <w:r>
        <w:rPr>
          <w:lang w:eastAsia="ja-JP"/>
        </w:rPr>
        <w:t xml:space="preserve">he </w:t>
      </w:r>
      <w:r w:rsidR="00057FC2">
        <w:rPr>
          <w:lang w:eastAsia="ja-JP"/>
        </w:rPr>
        <w:t>b</w:t>
      </w:r>
      <w:r>
        <w:rPr>
          <w:lang w:eastAsia="ja-JP"/>
        </w:rPr>
        <w:t xml:space="preserve">iosecurity </w:t>
      </w:r>
      <w:r w:rsidR="00057FC2">
        <w:rPr>
          <w:lang w:eastAsia="ja-JP"/>
        </w:rPr>
        <w:t>o</w:t>
      </w:r>
      <w:r>
        <w:rPr>
          <w:lang w:eastAsia="ja-JP"/>
        </w:rPr>
        <w:t xml:space="preserve">fficers present will contact the </w:t>
      </w:r>
      <w:r w:rsidRPr="00A50D40">
        <w:rPr>
          <w:lang w:eastAsia="ja-JP"/>
        </w:rPr>
        <w:t>BCNCC t</w:t>
      </w:r>
      <w:r>
        <w:rPr>
          <w:lang w:eastAsia="ja-JP"/>
        </w:rPr>
        <w:t>o determine appropriate action.</w:t>
      </w:r>
    </w:p>
    <w:p w14:paraId="4577BE3D" w14:textId="063A3B54" w:rsidR="000A408E" w:rsidRDefault="00C30F1A" w:rsidP="003F3184">
      <w:pPr>
        <w:pStyle w:val="Heading4"/>
        <w:spacing w:before="120" w:after="120"/>
      </w:pPr>
      <w:bookmarkStart w:id="77" w:name="_‘High_risk’_with"/>
      <w:bookmarkStart w:id="78" w:name="_Level_2_or"/>
      <w:bookmarkStart w:id="79" w:name="_Hlk154061568"/>
      <w:bookmarkEnd w:id="77"/>
      <w:bookmarkEnd w:id="78"/>
      <w:r>
        <w:t>N</w:t>
      </w:r>
      <w:r w:rsidR="00EB5500" w:rsidRPr="00283E9B">
        <w:t>o pre-bagged samples</w:t>
      </w:r>
      <w:bookmarkEnd w:id="79"/>
      <w:r>
        <w:t>: Level 2 or Level 3</w:t>
      </w:r>
    </w:p>
    <w:p w14:paraId="1584D2F9" w14:textId="546695D1" w:rsidR="00B13545" w:rsidRDefault="00B13545" w:rsidP="00B13545">
      <w:pPr>
        <w:rPr>
          <w:lang w:eastAsia="ja-JP"/>
        </w:rPr>
      </w:pPr>
      <w:r w:rsidRPr="00DB7B85">
        <w:rPr>
          <w:lang w:eastAsia="ja-JP"/>
        </w:rPr>
        <w:t>Any in-ships-hold consignments that we assess as Level 2 or Level 3 that do not have</w:t>
      </w:r>
      <w:r w:rsidRPr="00DB7B85">
        <w:t xml:space="preserve"> </w:t>
      </w:r>
      <w:r w:rsidRPr="00DB7B85">
        <w:rPr>
          <w:lang w:eastAsia="ja-JP"/>
        </w:rPr>
        <w:t>15-litre pre-bagged loading samples available for one or more ship holds to be discharged:</w:t>
      </w:r>
    </w:p>
    <w:p w14:paraId="32B72477" w14:textId="07E10346" w:rsidR="00EB5500" w:rsidRDefault="00687675" w:rsidP="00A00E8B">
      <w:pPr>
        <w:pStyle w:val="ListBullet"/>
        <w:rPr>
          <w:lang w:eastAsia="ja-JP"/>
        </w:rPr>
      </w:pPr>
      <w:r>
        <w:rPr>
          <w:lang w:eastAsia="ja-JP"/>
        </w:rPr>
        <w:t>m</w:t>
      </w:r>
      <w:r w:rsidR="00EB5500">
        <w:rPr>
          <w:lang w:eastAsia="ja-JP"/>
        </w:rPr>
        <w:t xml:space="preserve">ust </w:t>
      </w:r>
      <w:r>
        <w:t>not</w:t>
      </w:r>
      <w:r>
        <w:rPr>
          <w:lang w:eastAsia="ja-JP"/>
        </w:rPr>
        <w:t xml:space="preserve"> </w:t>
      </w:r>
      <w:r w:rsidR="00EB5500">
        <w:rPr>
          <w:lang w:eastAsia="ja-JP"/>
        </w:rPr>
        <w:t>commence discharge from the vessel on arrival</w:t>
      </w:r>
    </w:p>
    <w:p w14:paraId="542715A5" w14:textId="5E4746C8" w:rsidR="00C30F1A" w:rsidRDefault="00687675" w:rsidP="00A00E8B">
      <w:pPr>
        <w:pStyle w:val="ListBullet"/>
        <w:rPr>
          <w:lang w:eastAsia="ja-JP"/>
        </w:rPr>
      </w:pPr>
      <w:r>
        <w:rPr>
          <w:lang w:eastAsia="ja-JP"/>
        </w:rPr>
        <w:t>m</w:t>
      </w:r>
      <w:r w:rsidR="00EB5500">
        <w:rPr>
          <w:lang w:eastAsia="ja-JP"/>
        </w:rPr>
        <w:t>ust undergo a deck and hatch-cover inspection by the department on arrival at the first port of call</w:t>
      </w:r>
    </w:p>
    <w:p w14:paraId="36FEB1B0" w14:textId="571EEBFD" w:rsidR="00EB5500" w:rsidRDefault="00C30F1A" w:rsidP="00A00E8B">
      <w:pPr>
        <w:pStyle w:val="ListBullet"/>
        <w:rPr>
          <w:lang w:eastAsia="ja-JP"/>
        </w:rPr>
      </w:pPr>
      <w:r>
        <w:rPr>
          <w:lang w:eastAsia="ja-JP"/>
        </w:rPr>
        <w:t xml:space="preserve">must </w:t>
      </w:r>
      <w:r w:rsidR="00EB5500">
        <w:rPr>
          <w:lang w:eastAsia="ja-JP"/>
        </w:rPr>
        <w:t>have the ship</w:t>
      </w:r>
      <w:r>
        <w:rPr>
          <w:lang w:eastAsia="ja-JP"/>
        </w:rPr>
        <w:t>’s</w:t>
      </w:r>
      <w:r w:rsidR="00EB5500">
        <w:rPr>
          <w:lang w:eastAsia="ja-JP"/>
        </w:rPr>
        <w:t xml:space="preserve"> logs</w:t>
      </w:r>
      <w:r w:rsidR="00687675">
        <w:rPr>
          <w:lang w:eastAsia="ja-JP"/>
        </w:rPr>
        <w:t xml:space="preserve"> or </w:t>
      </w:r>
      <w:r w:rsidR="00EB5500">
        <w:rPr>
          <w:lang w:eastAsia="ja-JP"/>
        </w:rPr>
        <w:t xml:space="preserve">similar reviewed by a </w:t>
      </w:r>
      <w:r w:rsidR="00F85516">
        <w:rPr>
          <w:lang w:eastAsia="ja-JP"/>
        </w:rPr>
        <w:t>b</w:t>
      </w:r>
      <w:r w:rsidR="00EB5500">
        <w:rPr>
          <w:lang w:eastAsia="ja-JP"/>
        </w:rPr>
        <w:t xml:space="preserve">iosecurity </w:t>
      </w:r>
      <w:r w:rsidR="00F85516">
        <w:rPr>
          <w:lang w:eastAsia="ja-JP"/>
        </w:rPr>
        <w:t>o</w:t>
      </w:r>
      <w:r w:rsidR="00EB5500">
        <w:rPr>
          <w:lang w:eastAsia="ja-JP"/>
        </w:rPr>
        <w:t>fficer</w:t>
      </w:r>
    </w:p>
    <w:p w14:paraId="0E7E0960" w14:textId="1DE51F88" w:rsidR="00EB5500" w:rsidRDefault="00687675" w:rsidP="00A00E8B">
      <w:pPr>
        <w:pStyle w:val="ListBullet"/>
        <w:rPr>
          <w:lang w:eastAsia="ja-JP"/>
        </w:rPr>
      </w:pPr>
      <w:r>
        <w:rPr>
          <w:lang w:eastAsia="ja-JP"/>
        </w:rPr>
        <w:t>m</w:t>
      </w:r>
      <w:r w:rsidR="00EB5500">
        <w:rPr>
          <w:lang w:eastAsia="ja-JP"/>
        </w:rPr>
        <w:t>ust have</w:t>
      </w:r>
      <w:r w:rsidR="009F46C2">
        <w:rPr>
          <w:lang w:eastAsia="ja-JP"/>
        </w:rPr>
        <w:t xml:space="preserve"> an</w:t>
      </w:r>
      <w:r w:rsidR="00EB5500">
        <w:rPr>
          <w:lang w:eastAsia="ja-JP"/>
        </w:rPr>
        <w:t xml:space="preserve"> in-hold </w:t>
      </w:r>
      <w:r w:rsidR="00D214FC">
        <w:rPr>
          <w:lang w:eastAsia="ja-JP"/>
        </w:rPr>
        <w:t xml:space="preserve">sample </w:t>
      </w:r>
      <w:r w:rsidR="00EB5500">
        <w:rPr>
          <w:lang w:eastAsia="ja-JP"/>
        </w:rPr>
        <w:t>inspection undertaken</w:t>
      </w:r>
      <w:r w:rsidR="00AB17EE">
        <w:rPr>
          <w:lang w:eastAsia="ja-JP"/>
        </w:rPr>
        <w:t>. The samples must be taken</w:t>
      </w:r>
      <w:r w:rsidR="00EB5500">
        <w:rPr>
          <w:lang w:eastAsia="ja-JP"/>
        </w:rPr>
        <w:t xml:space="preserve"> by </w:t>
      </w:r>
      <w:r w:rsidR="00EB0292">
        <w:rPr>
          <w:lang w:eastAsia="ja-JP"/>
        </w:rPr>
        <w:t>industry under the direct supervision of a</w:t>
      </w:r>
      <w:r w:rsidR="00EB5500">
        <w:rPr>
          <w:lang w:eastAsia="ja-JP"/>
        </w:rPr>
        <w:t xml:space="preserve"> </w:t>
      </w:r>
      <w:r w:rsidR="00B13545">
        <w:rPr>
          <w:lang w:eastAsia="ja-JP"/>
        </w:rPr>
        <w:t>b</w:t>
      </w:r>
      <w:r w:rsidR="00EB5500">
        <w:rPr>
          <w:lang w:eastAsia="ja-JP"/>
        </w:rPr>
        <w:t xml:space="preserve">iosecurity </w:t>
      </w:r>
      <w:r w:rsidR="00B13545">
        <w:rPr>
          <w:lang w:eastAsia="ja-JP"/>
        </w:rPr>
        <w:t>o</w:t>
      </w:r>
      <w:r w:rsidR="00EB5500">
        <w:rPr>
          <w:lang w:eastAsia="ja-JP"/>
        </w:rPr>
        <w:t>fficer at the first port of discharge for all holds containing inorganic fertiliser that do not have a 15-litre pre-bagged loading sample available for inspection.</w:t>
      </w:r>
    </w:p>
    <w:p w14:paraId="143A6BEA" w14:textId="530524F3" w:rsidR="00EB5500" w:rsidRDefault="00EB5500" w:rsidP="00EB5500">
      <w:pPr>
        <w:rPr>
          <w:lang w:eastAsia="ja-JP"/>
        </w:rPr>
      </w:pPr>
      <w:r>
        <w:rPr>
          <w:lang w:eastAsia="ja-JP"/>
        </w:rPr>
        <w:t>Before an in-hold inspection can commence, a ‘freedom of hazardous gases’ verification must be conducted by a licensed provider, and a ‘freedom of hazardous gases’ certificate for all holds to be inspected</w:t>
      </w:r>
      <w:r w:rsidR="00687675">
        <w:rPr>
          <w:lang w:eastAsia="ja-JP"/>
        </w:rPr>
        <w:t xml:space="preserve"> or </w:t>
      </w:r>
      <w:r>
        <w:rPr>
          <w:lang w:eastAsia="ja-JP"/>
        </w:rPr>
        <w:t xml:space="preserve">discharged from must be provided to the </w:t>
      </w:r>
      <w:r w:rsidR="00F85516">
        <w:rPr>
          <w:lang w:eastAsia="ja-JP"/>
        </w:rPr>
        <w:t>b</w:t>
      </w:r>
      <w:r>
        <w:rPr>
          <w:lang w:eastAsia="ja-JP"/>
        </w:rPr>
        <w:t xml:space="preserve">iosecurity </w:t>
      </w:r>
      <w:r w:rsidR="00F85516">
        <w:rPr>
          <w:lang w:eastAsia="ja-JP"/>
        </w:rPr>
        <w:t>o</w:t>
      </w:r>
      <w:r>
        <w:rPr>
          <w:lang w:eastAsia="ja-JP"/>
        </w:rPr>
        <w:t>fficers present.</w:t>
      </w:r>
    </w:p>
    <w:p w14:paraId="204AA0CA" w14:textId="07675559" w:rsidR="00EB5500" w:rsidRDefault="005830DD" w:rsidP="00EB5500">
      <w:pPr>
        <w:rPr>
          <w:lang w:eastAsia="ja-JP"/>
        </w:rPr>
      </w:pPr>
      <w:r>
        <w:rPr>
          <w:lang w:eastAsia="ja-JP"/>
        </w:rPr>
        <w:t>D</w:t>
      </w:r>
      <w:r w:rsidR="00EB5500">
        <w:rPr>
          <w:lang w:eastAsia="ja-JP"/>
        </w:rPr>
        <w:t>ischarge</w:t>
      </w:r>
      <w:r>
        <w:rPr>
          <w:lang w:eastAsia="ja-JP"/>
        </w:rPr>
        <w:t xml:space="preserve"> of goods</w:t>
      </w:r>
      <w:r w:rsidR="00EB5500">
        <w:rPr>
          <w:lang w:eastAsia="ja-JP"/>
        </w:rPr>
        <w:t xml:space="preserve"> is </w:t>
      </w:r>
      <w:r>
        <w:rPr>
          <w:lang w:eastAsia="ja-JP"/>
        </w:rPr>
        <w:t xml:space="preserve">not </w:t>
      </w:r>
      <w:r w:rsidR="00EB5500">
        <w:rPr>
          <w:lang w:eastAsia="ja-JP"/>
        </w:rPr>
        <w:t>permitted until</w:t>
      </w:r>
      <w:r w:rsidR="00C30F1A" w:rsidRPr="00C30F1A">
        <w:rPr>
          <w:lang w:eastAsia="ja-JP"/>
        </w:rPr>
        <w:t xml:space="preserve"> </w:t>
      </w:r>
      <w:r w:rsidR="00C30F1A">
        <w:rPr>
          <w:lang w:eastAsia="ja-JP"/>
        </w:rPr>
        <w:t>a biosecurity officer has</w:t>
      </w:r>
      <w:r w:rsidR="00EB5500">
        <w:rPr>
          <w:lang w:eastAsia="ja-JP"/>
        </w:rPr>
        <w:t>:</w:t>
      </w:r>
    </w:p>
    <w:p w14:paraId="6A07225F" w14:textId="180F0BEB" w:rsidR="00EB5500" w:rsidRDefault="00C30F1A" w:rsidP="00A00E8B">
      <w:pPr>
        <w:pStyle w:val="ListBullet"/>
        <w:rPr>
          <w:lang w:eastAsia="ja-JP"/>
        </w:rPr>
      </w:pPr>
      <w:r>
        <w:rPr>
          <w:lang w:eastAsia="ja-JP"/>
        </w:rPr>
        <w:t xml:space="preserve">completed a </w:t>
      </w:r>
      <w:r w:rsidR="00EB5500">
        <w:rPr>
          <w:lang w:eastAsia="ja-JP"/>
        </w:rPr>
        <w:t>deck and hatch-cover inspection, verification of ship’s cargo logs and in-hold inspection and sampling from each hold to be discharged</w:t>
      </w:r>
    </w:p>
    <w:p w14:paraId="2EBE912C" w14:textId="22536691" w:rsidR="00EB5500" w:rsidRDefault="00C30F1A" w:rsidP="00A00E8B">
      <w:pPr>
        <w:pStyle w:val="ListBullet"/>
        <w:rPr>
          <w:lang w:eastAsia="ja-JP"/>
        </w:rPr>
      </w:pPr>
      <w:r>
        <w:rPr>
          <w:lang w:eastAsia="ja-JP"/>
        </w:rPr>
        <w:t xml:space="preserve">confirmed that no biosecurity risks were identified during </w:t>
      </w:r>
      <w:r w:rsidR="00EB5500">
        <w:rPr>
          <w:lang w:eastAsia="ja-JP"/>
        </w:rPr>
        <w:t>inspection and sampling activities</w:t>
      </w:r>
    </w:p>
    <w:p w14:paraId="5FD405B9" w14:textId="27977887" w:rsidR="00EB5500" w:rsidRDefault="00EB5500" w:rsidP="00A00E8B">
      <w:pPr>
        <w:pStyle w:val="ListBullet"/>
        <w:rPr>
          <w:lang w:eastAsia="ja-JP"/>
        </w:rPr>
      </w:pPr>
      <w:r>
        <w:rPr>
          <w:lang w:eastAsia="ja-JP"/>
        </w:rPr>
        <w:t>issued appropriate biosecurity directions advising that the consignments can be discharged from the vessel.</w:t>
      </w:r>
    </w:p>
    <w:p w14:paraId="63EC61A5" w14:textId="77777777" w:rsidR="00EB5500" w:rsidRDefault="00EB5500" w:rsidP="00EB5500">
      <w:pPr>
        <w:rPr>
          <w:lang w:eastAsia="ja-JP"/>
        </w:rPr>
      </w:pPr>
      <w:r>
        <w:rPr>
          <w:lang w:eastAsia="ja-JP"/>
        </w:rPr>
        <w:t>If no biosecurity risk material is identified:</w:t>
      </w:r>
    </w:p>
    <w:p w14:paraId="0D02DB79" w14:textId="4E5A46AC" w:rsidR="00AB3153" w:rsidRDefault="00AB3153" w:rsidP="00A00E8B">
      <w:pPr>
        <w:pStyle w:val="ListBullet"/>
        <w:rPr>
          <w:lang w:eastAsia="ja-JP"/>
        </w:rPr>
      </w:pPr>
      <w:r w:rsidRPr="00DB7B85">
        <w:rPr>
          <w:rStyle w:val="Strong"/>
        </w:rPr>
        <w:t>Level 2 consignments</w:t>
      </w:r>
      <w:r>
        <w:rPr>
          <w:lang w:eastAsia="ja-JP"/>
        </w:rPr>
        <w:t xml:space="preserve"> </w:t>
      </w:r>
      <w:r w:rsidR="00C30F1A">
        <w:rPr>
          <w:lang w:eastAsia="ja-JP"/>
        </w:rPr>
        <w:t xml:space="preserve">– </w:t>
      </w:r>
      <w:r>
        <w:rPr>
          <w:lang w:eastAsia="ja-JP"/>
        </w:rPr>
        <w:t xml:space="preserve">may be released from biosecurity control by a </w:t>
      </w:r>
      <w:r w:rsidR="00331073">
        <w:rPr>
          <w:lang w:eastAsia="ja-JP"/>
        </w:rPr>
        <w:t>b</w:t>
      </w:r>
      <w:r>
        <w:rPr>
          <w:lang w:eastAsia="ja-JP"/>
        </w:rPr>
        <w:t xml:space="preserve">iosecurity </w:t>
      </w:r>
      <w:r w:rsidR="00331073">
        <w:rPr>
          <w:lang w:eastAsia="ja-JP"/>
        </w:rPr>
        <w:t>o</w:t>
      </w:r>
      <w:r>
        <w:rPr>
          <w:lang w:eastAsia="ja-JP"/>
        </w:rPr>
        <w:t>fficer</w:t>
      </w:r>
    </w:p>
    <w:p w14:paraId="6872B9CB" w14:textId="40353863" w:rsidR="00EB5500" w:rsidRDefault="00975E96" w:rsidP="00AB3153">
      <w:pPr>
        <w:pStyle w:val="ListBullet"/>
        <w:rPr>
          <w:lang w:eastAsia="ja-JP"/>
        </w:rPr>
      </w:pPr>
      <w:r w:rsidRPr="00DB7B85">
        <w:rPr>
          <w:rStyle w:val="Strong"/>
        </w:rPr>
        <w:t>Level 3</w:t>
      </w:r>
      <w:r w:rsidR="00EB5500" w:rsidRPr="00DB7B85">
        <w:rPr>
          <w:rStyle w:val="Strong"/>
        </w:rPr>
        <w:t xml:space="preserve"> consignments</w:t>
      </w:r>
      <w:r w:rsidR="00EB5500">
        <w:rPr>
          <w:lang w:eastAsia="ja-JP"/>
        </w:rPr>
        <w:t xml:space="preserve"> </w:t>
      </w:r>
      <w:r w:rsidR="00C30F1A">
        <w:rPr>
          <w:lang w:eastAsia="ja-JP"/>
        </w:rPr>
        <w:t xml:space="preserve">– </w:t>
      </w:r>
      <w:r w:rsidR="00EB5500">
        <w:rPr>
          <w:lang w:eastAsia="ja-JP"/>
        </w:rPr>
        <w:t xml:space="preserve">may be directed by a </w:t>
      </w:r>
      <w:r w:rsidR="00057FC2">
        <w:rPr>
          <w:lang w:eastAsia="ja-JP"/>
        </w:rPr>
        <w:t>b</w:t>
      </w:r>
      <w:r w:rsidR="00EB5500">
        <w:rPr>
          <w:lang w:eastAsia="ja-JP"/>
        </w:rPr>
        <w:t xml:space="preserve">iosecurity </w:t>
      </w:r>
      <w:r w:rsidR="00057FC2">
        <w:rPr>
          <w:lang w:eastAsia="ja-JP"/>
        </w:rPr>
        <w:t>o</w:t>
      </w:r>
      <w:r w:rsidR="00EB5500">
        <w:rPr>
          <w:lang w:eastAsia="ja-JP"/>
        </w:rPr>
        <w:t>fficer to</w:t>
      </w:r>
      <w:r w:rsidR="00DA0101">
        <w:rPr>
          <w:lang w:eastAsia="ja-JP"/>
        </w:rPr>
        <w:t xml:space="preserve"> </w:t>
      </w:r>
      <w:r w:rsidR="00EB5500">
        <w:rPr>
          <w:lang w:eastAsia="ja-JP"/>
        </w:rPr>
        <w:t>the nominated Class 2.3 Approved Arrangement site, to await a landed inspection and sampling by the department.</w:t>
      </w:r>
    </w:p>
    <w:p w14:paraId="1AF8065D" w14:textId="7B88C0B5" w:rsidR="00EB5500" w:rsidRDefault="00EB5500" w:rsidP="00EB5500">
      <w:pPr>
        <w:rPr>
          <w:lang w:eastAsia="ja-JP"/>
        </w:rPr>
      </w:pPr>
      <w:r>
        <w:rPr>
          <w:lang w:eastAsia="ja-JP"/>
        </w:rPr>
        <w:t xml:space="preserve">If biosecurity risk material is identified in any hold during the inspection, discharge of the goods from any hold is </w:t>
      </w:r>
      <w:r w:rsidR="00C30F1A">
        <w:rPr>
          <w:lang w:eastAsia="ja-JP"/>
        </w:rPr>
        <w:t xml:space="preserve">not </w:t>
      </w:r>
      <w:r>
        <w:rPr>
          <w:lang w:eastAsia="ja-JP"/>
        </w:rPr>
        <w:t>permitted. The</w:t>
      </w:r>
      <w:r w:rsidR="00057FC2">
        <w:rPr>
          <w:lang w:eastAsia="ja-JP"/>
        </w:rPr>
        <w:t xml:space="preserve"> b</w:t>
      </w:r>
      <w:r>
        <w:rPr>
          <w:lang w:eastAsia="ja-JP"/>
        </w:rPr>
        <w:t xml:space="preserve">iosecurity </w:t>
      </w:r>
      <w:r w:rsidR="00057FC2">
        <w:rPr>
          <w:lang w:eastAsia="ja-JP"/>
        </w:rPr>
        <w:t>o</w:t>
      </w:r>
      <w:r>
        <w:rPr>
          <w:lang w:eastAsia="ja-JP"/>
        </w:rPr>
        <w:t>fficers present will contact th</w:t>
      </w:r>
      <w:r w:rsidRPr="00B13545">
        <w:rPr>
          <w:lang w:eastAsia="ja-JP"/>
        </w:rPr>
        <w:t>e BCNCC</w:t>
      </w:r>
      <w:r>
        <w:rPr>
          <w:lang w:eastAsia="ja-JP"/>
        </w:rPr>
        <w:t xml:space="preserve"> to determine appropriate action.</w:t>
      </w:r>
    </w:p>
    <w:p w14:paraId="74B6A54A" w14:textId="233F5004" w:rsidR="00DC2593" w:rsidRPr="00283E9B" w:rsidRDefault="00DC2593" w:rsidP="00283E9B">
      <w:pPr>
        <w:pStyle w:val="Heading2"/>
      </w:pPr>
      <w:bookmarkStart w:id="80" w:name="_Toc224213129"/>
      <w:bookmarkStart w:id="81" w:name="_Toc430782151"/>
      <w:r w:rsidRPr="00283E9B">
        <w:lastRenderedPageBreak/>
        <w:t>Containerised consignments</w:t>
      </w:r>
      <w:bookmarkEnd w:id="80"/>
    </w:p>
    <w:p w14:paraId="4F55CEB6" w14:textId="163A10AC" w:rsidR="00693BE0" w:rsidRPr="00283E9B" w:rsidRDefault="00693BE0" w:rsidP="003F3184">
      <w:pPr>
        <w:pStyle w:val="Heading3"/>
        <w:spacing w:before="120" w:after="120"/>
      </w:pPr>
      <w:bookmarkStart w:id="82" w:name="_Toc224213130"/>
      <w:r w:rsidRPr="00283E9B">
        <w:t>Pre-shipment inspection and certification requirements</w:t>
      </w:r>
      <w:bookmarkEnd w:id="82"/>
    </w:p>
    <w:p w14:paraId="1473E58E" w14:textId="56BF5E24" w:rsidR="0057272C" w:rsidRDefault="00693BE0" w:rsidP="00B108FD">
      <w:pPr>
        <w:rPr>
          <w:lang w:eastAsia="ja-JP"/>
        </w:rPr>
      </w:pPr>
      <w:r>
        <w:rPr>
          <w:lang w:eastAsia="ja-JP"/>
        </w:rPr>
        <w:t xml:space="preserve">Prior to export, containerised bagged or bulk (loose) consignments and the containers they will be shipped in are required to undergo </w:t>
      </w:r>
      <w:r w:rsidR="002508F4">
        <w:rPr>
          <w:lang w:eastAsia="ja-JP"/>
        </w:rPr>
        <w:t>a p</w:t>
      </w:r>
      <w:r>
        <w:rPr>
          <w:lang w:eastAsia="ja-JP"/>
        </w:rPr>
        <w:t>acking and container cleanliness inspection</w:t>
      </w:r>
      <w:r w:rsidR="002508F4">
        <w:rPr>
          <w:lang w:eastAsia="ja-JP"/>
        </w:rPr>
        <w:t>.</w:t>
      </w:r>
    </w:p>
    <w:p w14:paraId="1AE37646" w14:textId="32F0FFE1" w:rsidR="00693BE0" w:rsidRDefault="00297000" w:rsidP="00B108FD">
      <w:pPr>
        <w:pStyle w:val="ListBullet"/>
        <w:numPr>
          <w:ilvl w:val="0"/>
          <w:numId w:val="0"/>
        </w:numPr>
        <w:rPr>
          <w:lang w:eastAsia="ja-JP"/>
        </w:rPr>
      </w:pPr>
      <w:r>
        <w:rPr>
          <w:lang w:eastAsia="ja-JP"/>
        </w:rPr>
        <w:t>All containerised consignments</w:t>
      </w:r>
      <w:r w:rsidR="002508F4">
        <w:rPr>
          <w:lang w:eastAsia="ja-JP"/>
        </w:rPr>
        <w:t xml:space="preserve"> must undergo a p</w:t>
      </w:r>
      <w:r w:rsidR="00693BE0">
        <w:rPr>
          <w:lang w:eastAsia="ja-JP"/>
        </w:rPr>
        <w:t xml:space="preserve">re-loading sample inspection </w:t>
      </w:r>
      <w:r w:rsidR="00D11667">
        <w:rPr>
          <w:lang w:eastAsia="ja-JP"/>
        </w:rPr>
        <w:t xml:space="preserve">with the sampling process </w:t>
      </w:r>
      <w:r w:rsidR="004D26A0">
        <w:rPr>
          <w:lang w:eastAsia="ja-JP"/>
        </w:rPr>
        <w:t>covering each</w:t>
      </w:r>
      <w:r w:rsidR="0057272C">
        <w:rPr>
          <w:lang w:eastAsia="ja-JP"/>
        </w:rPr>
        <w:t xml:space="preserve"> </w:t>
      </w:r>
      <w:r w:rsidR="00693BE0">
        <w:rPr>
          <w:lang w:eastAsia="ja-JP"/>
        </w:rPr>
        <w:t>container</w:t>
      </w:r>
      <w:r w:rsidR="00D11667">
        <w:rPr>
          <w:lang w:eastAsia="ja-JP"/>
        </w:rPr>
        <w:t xml:space="preserve"> in a consignment</w:t>
      </w:r>
      <w:r w:rsidR="00693BE0">
        <w:rPr>
          <w:lang w:eastAsia="ja-JP"/>
        </w:rPr>
        <w:t>.</w:t>
      </w:r>
    </w:p>
    <w:p w14:paraId="233D2204" w14:textId="2873D3B0" w:rsidR="00693BE0" w:rsidRDefault="00693BE0" w:rsidP="00693BE0">
      <w:pPr>
        <w:rPr>
          <w:lang w:eastAsia="ja-JP"/>
        </w:rPr>
      </w:pPr>
      <w:r>
        <w:rPr>
          <w:lang w:eastAsia="ja-JP"/>
        </w:rPr>
        <w:t>Individual certification must be issued for each</w:t>
      </w:r>
      <w:r w:rsidR="003E0332">
        <w:rPr>
          <w:lang w:eastAsia="ja-JP"/>
        </w:rPr>
        <w:t xml:space="preserve"> container,</w:t>
      </w:r>
      <w:r>
        <w:rPr>
          <w:lang w:eastAsia="ja-JP"/>
        </w:rPr>
        <w:t xml:space="preserve"> confirm</w:t>
      </w:r>
      <w:r w:rsidR="003E0332">
        <w:rPr>
          <w:lang w:eastAsia="ja-JP"/>
        </w:rPr>
        <w:t>ing that</w:t>
      </w:r>
      <w:r>
        <w:rPr>
          <w:lang w:eastAsia="ja-JP"/>
        </w:rPr>
        <w:t xml:space="preserve"> they meet the department’s requirements and any issues identified have been addressed.</w:t>
      </w:r>
    </w:p>
    <w:p w14:paraId="14020327" w14:textId="52BC14F9" w:rsidR="00693BE0" w:rsidRDefault="00D214FC" w:rsidP="00B108FD">
      <w:pPr>
        <w:rPr>
          <w:lang w:eastAsia="ja-JP"/>
        </w:rPr>
      </w:pPr>
      <w:r>
        <w:rPr>
          <w:lang w:eastAsia="ja-JP"/>
        </w:rPr>
        <w:t xml:space="preserve">Importers or importer’s representative </w:t>
      </w:r>
      <w:r w:rsidR="003E0332">
        <w:rPr>
          <w:lang w:eastAsia="ja-JP"/>
        </w:rPr>
        <w:t xml:space="preserve">that are </w:t>
      </w:r>
      <w:r w:rsidR="00693BE0">
        <w:rPr>
          <w:lang w:eastAsia="ja-JP"/>
        </w:rPr>
        <w:t xml:space="preserve">seeking a </w:t>
      </w:r>
      <w:r w:rsidR="00B13545">
        <w:rPr>
          <w:lang w:eastAsia="ja-JP"/>
        </w:rPr>
        <w:t>L</w:t>
      </w:r>
      <w:r w:rsidR="003B5FF7" w:rsidRPr="00B13545">
        <w:rPr>
          <w:lang w:eastAsia="ja-JP"/>
        </w:rPr>
        <w:t>evel 1</w:t>
      </w:r>
      <w:r w:rsidR="00693BE0">
        <w:rPr>
          <w:lang w:eastAsia="ja-JP"/>
        </w:rPr>
        <w:t xml:space="preserve"> </w:t>
      </w:r>
      <w:r w:rsidR="003B5FF7">
        <w:rPr>
          <w:lang w:eastAsia="ja-JP"/>
        </w:rPr>
        <w:t>classification</w:t>
      </w:r>
      <w:r w:rsidR="003E0332" w:rsidRPr="003E0332">
        <w:rPr>
          <w:lang w:eastAsia="ja-JP"/>
        </w:rPr>
        <w:t xml:space="preserve"> </w:t>
      </w:r>
      <w:r w:rsidR="003E0332">
        <w:rPr>
          <w:lang w:eastAsia="ja-JP"/>
        </w:rPr>
        <w:t>for containerised consignments</w:t>
      </w:r>
      <w:r w:rsidR="00693BE0">
        <w:rPr>
          <w:lang w:eastAsia="ja-JP"/>
        </w:rPr>
        <w:t xml:space="preserve"> </w:t>
      </w:r>
      <w:r w:rsidR="003E0332">
        <w:rPr>
          <w:lang w:eastAsia="ja-JP"/>
        </w:rPr>
        <w:t>must</w:t>
      </w:r>
      <w:r w:rsidR="00693BE0">
        <w:rPr>
          <w:lang w:eastAsia="ja-JP"/>
        </w:rPr>
        <w:t xml:space="preserve"> provide </w:t>
      </w:r>
      <w:r w:rsidR="00447D67">
        <w:rPr>
          <w:lang w:eastAsia="ja-JP"/>
        </w:rPr>
        <w:t xml:space="preserve">a </w:t>
      </w:r>
      <w:r w:rsidR="00447D67" w:rsidRPr="003E0332">
        <w:rPr>
          <w:lang w:eastAsia="ja-JP"/>
        </w:rPr>
        <w:t>‘</w:t>
      </w:r>
      <w:r w:rsidR="00447D67" w:rsidRPr="00B108FD">
        <w:rPr>
          <w:lang w:eastAsia="ja-JP"/>
        </w:rPr>
        <w:t xml:space="preserve">Manufacturer’s </w:t>
      </w:r>
      <w:r w:rsidR="00447D67" w:rsidRPr="003E0332">
        <w:rPr>
          <w:lang w:eastAsia="ja-JP"/>
        </w:rPr>
        <w:t>declaration</w:t>
      </w:r>
      <w:r w:rsidR="00447D67">
        <w:rPr>
          <w:lang w:eastAsia="ja-JP"/>
        </w:rPr>
        <w:t xml:space="preserve"> </w:t>
      </w:r>
      <w:r w:rsidR="00447D67" w:rsidRPr="00993982">
        <w:rPr>
          <w:lang w:eastAsia="ja-JP"/>
        </w:rPr>
        <w:t>for containerised cargo</w:t>
      </w:r>
      <w:r w:rsidR="00447D67">
        <w:rPr>
          <w:lang w:eastAsia="ja-JP"/>
        </w:rPr>
        <w:t xml:space="preserve">’ </w:t>
      </w:r>
      <w:r w:rsidR="00693BE0">
        <w:rPr>
          <w:lang w:eastAsia="ja-JP"/>
        </w:rPr>
        <w:t xml:space="preserve">to confirm that the biosecurity integrity of the fertiliser and the full supply chain </w:t>
      </w:r>
      <w:r w:rsidR="00B201AE">
        <w:rPr>
          <w:lang w:eastAsia="ja-JP"/>
        </w:rPr>
        <w:t>have</w:t>
      </w:r>
      <w:r w:rsidR="00693BE0">
        <w:rPr>
          <w:lang w:eastAsia="ja-JP"/>
        </w:rPr>
        <w:t xml:space="preserve"> oversight by a registered offshore entity.</w:t>
      </w:r>
    </w:p>
    <w:p w14:paraId="0A3A6C58" w14:textId="77777777" w:rsidR="003E0332" w:rsidRDefault="003E0332" w:rsidP="00693BE0">
      <w:pPr>
        <w:rPr>
          <w:lang w:eastAsia="ja-JP"/>
        </w:rPr>
      </w:pPr>
      <w:r>
        <w:rPr>
          <w:lang w:eastAsia="ja-JP"/>
        </w:rPr>
        <w:t>Learn more about:</w:t>
      </w:r>
    </w:p>
    <w:p w14:paraId="2C3FA9D7" w14:textId="1B21D9C6" w:rsidR="00693BE0" w:rsidRPr="003E0332" w:rsidRDefault="003E0332" w:rsidP="00B108FD">
      <w:pPr>
        <w:pStyle w:val="ListBullet"/>
        <w:rPr>
          <w:lang w:eastAsia="ja-JP"/>
        </w:rPr>
      </w:pPr>
      <w:r>
        <w:rPr>
          <w:lang w:eastAsia="ja-JP"/>
        </w:rPr>
        <w:t>t</w:t>
      </w:r>
      <w:r w:rsidR="00693BE0">
        <w:rPr>
          <w:lang w:eastAsia="ja-JP"/>
        </w:rPr>
        <w:t>he department’s non-commodity, container cleanliness and packing requirements</w:t>
      </w:r>
      <w:r>
        <w:rPr>
          <w:lang w:eastAsia="ja-JP"/>
        </w:rPr>
        <w:t xml:space="preserve"> in </w:t>
      </w:r>
      <w:r w:rsidR="00693BE0">
        <w:rPr>
          <w:lang w:eastAsia="ja-JP"/>
        </w:rPr>
        <w:t xml:space="preserve">BICON and the </w:t>
      </w:r>
      <w:hyperlink r:id="rId47" w:history="1">
        <w:r w:rsidR="002508F4" w:rsidRPr="003E0332">
          <w:rPr>
            <w:rStyle w:val="Hyperlink"/>
            <w:lang w:eastAsia="ja-JP"/>
          </w:rPr>
          <w:t>Non-commodity Information Requirements Policy</w:t>
        </w:r>
      </w:hyperlink>
    </w:p>
    <w:p w14:paraId="798651B6" w14:textId="4DCED5FE" w:rsidR="003E0332" w:rsidRPr="003E0332" w:rsidRDefault="00693BE0" w:rsidP="00B108FD">
      <w:pPr>
        <w:pStyle w:val="ListBullet"/>
        <w:rPr>
          <w:lang w:eastAsia="ja-JP"/>
        </w:rPr>
      </w:pPr>
      <w:r w:rsidRPr="003E0332">
        <w:rPr>
          <w:lang w:eastAsia="ja-JP"/>
        </w:rPr>
        <w:t xml:space="preserve">inspection and documentary requirements for </w:t>
      </w:r>
      <w:r w:rsidR="00CD2FC6" w:rsidRPr="003E0332">
        <w:rPr>
          <w:lang w:eastAsia="ja-JP"/>
        </w:rPr>
        <w:t>vessels</w:t>
      </w:r>
      <w:r w:rsidR="003E0332" w:rsidRPr="003E0332">
        <w:rPr>
          <w:lang w:eastAsia="ja-JP"/>
        </w:rPr>
        <w:t xml:space="preserve"> in</w:t>
      </w:r>
      <w:r w:rsidRPr="003E0332">
        <w:rPr>
          <w:lang w:eastAsia="ja-JP"/>
        </w:rPr>
        <w:t xml:space="preserve"> </w:t>
      </w:r>
      <w:hyperlink r:id="rId48" w:history="1">
        <w:r w:rsidRPr="00D06987">
          <w:rPr>
            <w:rStyle w:val="Hyperlink"/>
            <w:lang w:eastAsia="ja-JP"/>
          </w:rPr>
          <w:t>BICON</w:t>
        </w:r>
      </w:hyperlink>
      <w:r w:rsidR="00A74220" w:rsidRPr="003E0332">
        <w:rPr>
          <w:lang w:eastAsia="ja-JP"/>
        </w:rPr>
        <w:t>.</w:t>
      </w:r>
    </w:p>
    <w:p w14:paraId="21635933" w14:textId="2D9819B6" w:rsidR="00693BE0" w:rsidRPr="0099055A" w:rsidRDefault="003E0332" w:rsidP="00693BE0">
      <w:pPr>
        <w:rPr>
          <w:lang w:eastAsia="ja-JP"/>
        </w:rPr>
      </w:pPr>
      <w:r w:rsidRPr="00B108FD">
        <w:rPr>
          <w:lang w:eastAsia="ja-JP"/>
        </w:rPr>
        <w:t>Download</w:t>
      </w:r>
      <w:r w:rsidR="00A74220" w:rsidRPr="003E0332">
        <w:rPr>
          <w:lang w:eastAsia="ja-JP"/>
        </w:rPr>
        <w:t xml:space="preserve"> </w:t>
      </w:r>
      <w:hyperlink r:id="rId49" w:anchor="draft_policy_documents" w:history="1">
        <w:r w:rsidR="00A74220" w:rsidRPr="00FC4B77">
          <w:rPr>
            <w:rStyle w:val="Hyperlink"/>
            <w:lang w:eastAsia="ja-JP"/>
          </w:rPr>
          <w:t>Chemical and mined fertiliser</w:t>
        </w:r>
      </w:hyperlink>
      <w:r w:rsidR="00A74220" w:rsidRPr="003E0332">
        <w:rPr>
          <w:lang w:eastAsia="ja-JP"/>
        </w:rPr>
        <w:t xml:space="preserve"> </w:t>
      </w:r>
      <w:r w:rsidRPr="003E0332">
        <w:rPr>
          <w:lang w:eastAsia="ja-JP"/>
        </w:rPr>
        <w:t>templates</w:t>
      </w:r>
      <w:r w:rsidR="00A74220" w:rsidRPr="003E0332">
        <w:rPr>
          <w:lang w:eastAsia="ja-JP"/>
        </w:rPr>
        <w:t>:</w:t>
      </w:r>
    </w:p>
    <w:p w14:paraId="7B61C6ED" w14:textId="2EDE5413" w:rsidR="00693BE0" w:rsidRPr="00B108FD" w:rsidRDefault="00693BE0" w:rsidP="00FB375A">
      <w:pPr>
        <w:pStyle w:val="ListBullet"/>
        <w:rPr>
          <w:lang w:eastAsia="ja-JP"/>
        </w:rPr>
      </w:pPr>
      <w:r w:rsidRPr="00B108FD">
        <w:rPr>
          <w:lang w:eastAsia="ja-JP"/>
        </w:rPr>
        <w:t>Attachment 4</w:t>
      </w:r>
      <w:r w:rsidR="00635CC0" w:rsidRPr="00B108FD">
        <w:rPr>
          <w:lang w:eastAsia="ja-JP"/>
        </w:rPr>
        <w:t xml:space="preserve"> </w:t>
      </w:r>
      <w:r w:rsidRPr="00B108FD">
        <w:rPr>
          <w:lang w:eastAsia="ja-JP"/>
        </w:rPr>
        <w:t xml:space="preserve">Loading </w:t>
      </w:r>
      <w:r w:rsidR="00A74220" w:rsidRPr="00B108FD">
        <w:rPr>
          <w:lang w:eastAsia="ja-JP"/>
        </w:rPr>
        <w:t>s</w:t>
      </w:r>
      <w:r w:rsidRPr="00B108FD">
        <w:rPr>
          <w:lang w:eastAsia="ja-JP"/>
        </w:rPr>
        <w:t xml:space="preserve">ample </w:t>
      </w:r>
      <w:r w:rsidR="00A74220" w:rsidRPr="00B108FD">
        <w:rPr>
          <w:lang w:eastAsia="ja-JP"/>
        </w:rPr>
        <w:t>i</w:t>
      </w:r>
      <w:r w:rsidRPr="00B108FD">
        <w:rPr>
          <w:lang w:eastAsia="ja-JP"/>
        </w:rPr>
        <w:t xml:space="preserve">nspection </w:t>
      </w:r>
      <w:r w:rsidR="00A74220" w:rsidRPr="00B108FD">
        <w:rPr>
          <w:lang w:eastAsia="ja-JP"/>
        </w:rPr>
        <w:t>g</w:t>
      </w:r>
      <w:r w:rsidRPr="00B108FD">
        <w:rPr>
          <w:lang w:eastAsia="ja-JP"/>
        </w:rPr>
        <w:t xml:space="preserve">uidelines and </w:t>
      </w:r>
      <w:r w:rsidR="00A74220" w:rsidRPr="00B108FD">
        <w:rPr>
          <w:lang w:eastAsia="ja-JP"/>
        </w:rPr>
        <w:t>c</w:t>
      </w:r>
      <w:r w:rsidRPr="00B108FD">
        <w:rPr>
          <w:lang w:eastAsia="ja-JP"/>
        </w:rPr>
        <w:t>ertificate</w:t>
      </w:r>
      <w:r w:rsidR="006647B1" w:rsidRPr="00B108FD">
        <w:rPr>
          <w:lang w:eastAsia="ja-JP"/>
        </w:rPr>
        <w:t xml:space="preserve"> template</w:t>
      </w:r>
    </w:p>
    <w:p w14:paraId="5C48B519" w14:textId="0C11FF4D" w:rsidR="00653C94" w:rsidRPr="00993982" w:rsidRDefault="00993982" w:rsidP="00993982">
      <w:pPr>
        <w:pStyle w:val="ListBullet"/>
        <w:rPr>
          <w:lang w:eastAsia="ja-JP"/>
        </w:rPr>
      </w:pPr>
      <w:r w:rsidRPr="00993982">
        <w:rPr>
          <w:lang w:eastAsia="ja-JP"/>
        </w:rPr>
        <w:t>Attachment 7: Manufacturer’s</w:t>
      </w:r>
      <w:r w:rsidR="00184B30">
        <w:rPr>
          <w:lang w:eastAsia="ja-JP"/>
        </w:rPr>
        <w:t xml:space="preserve"> </w:t>
      </w:r>
      <w:r w:rsidRPr="00993982">
        <w:rPr>
          <w:lang w:eastAsia="ja-JP"/>
        </w:rPr>
        <w:t>declaration for containerised cargo template</w:t>
      </w:r>
      <w:r w:rsidR="00693BE0" w:rsidRPr="00993982">
        <w:rPr>
          <w:lang w:eastAsia="ja-JP"/>
        </w:rPr>
        <w:t>.</w:t>
      </w:r>
    </w:p>
    <w:p w14:paraId="76293DD3" w14:textId="04A7B02F" w:rsidR="00693BE0" w:rsidRPr="00283E9B" w:rsidRDefault="00693BE0" w:rsidP="003F3184">
      <w:pPr>
        <w:pStyle w:val="Heading3"/>
        <w:spacing w:before="120" w:after="120"/>
      </w:pPr>
      <w:bookmarkStart w:id="83" w:name="_Toc224213131"/>
      <w:r w:rsidRPr="00283E9B">
        <w:t>Pre-arrival documenta</w:t>
      </w:r>
      <w:r w:rsidR="006903EA">
        <w:t>tion</w:t>
      </w:r>
      <w:r w:rsidRPr="00283E9B">
        <w:t xml:space="preserve"> and reporting requirements</w:t>
      </w:r>
      <w:bookmarkEnd w:id="83"/>
    </w:p>
    <w:p w14:paraId="2735CADB" w14:textId="71FA80BB" w:rsidR="00693BE0" w:rsidRDefault="006903EA" w:rsidP="00693BE0">
      <w:pPr>
        <w:rPr>
          <w:lang w:eastAsia="ja-JP"/>
        </w:rPr>
      </w:pPr>
      <w:r>
        <w:rPr>
          <w:lang w:eastAsia="ja-JP"/>
        </w:rPr>
        <w:t>A</w:t>
      </w:r>
      <w:r w:rsidR="002508F4" w:rsidRPr="00B108FD">
        <w:t>ll</w:t>
      </w:r>
      <w:r w:rsidR="00693BE0">
        <w:rPr>
          <w:lang w:eastAsia="ja-JP"/>
        </w:rPr>
        <w:t xml:space="preserve"> consignments of imported containerised inorganic fertiliser must </w:t>
      </w:r>
      <w:r w:rsidR="00860BDE">
        <w:rPr>
          <w:lang w:eastAsia="ja-JP"/>
        </w:rPr>
        <w:t xml:space="preserve">undergo documentation assessment by the department. They must also </w:t>
      </w:r>
      <w:r>
        <w:rPr>
          <w:lang w:eastAsia="ja-JP"/>
        </w:rPr>
        <w:t>meet import conditions</w:t>
      </w:r>
      <w:r w:rsidR="00860BDE">
        <w:rPr>
          <w:lang w:eastAsia="ja-JP"/>
        </w:rPr>
        <w:t xml:space="preserve"> listed in </w:t>
      </w:r>
      <w:hyperlink r:id="rId50" w:history="1">
        <w:r w:rsidR="00860BDE" w:rsidRPr="009F7384">
          <w:rPr>
            <w:rStyle w:val="Hyperlink"/>
          </w:rPr>
          <w:t>BICON</w:t>
        </w:r>
      </w:hyperlink>
      <w:r w:rsidR="00860BDE">
        <w:t>,</w:t>
      </w:r>
      <w:r>
        <w:rPr>
          <w:lang w:eastAsia="ja-JP"/>
        </w:rPr>
        <w:t xml:space="preserve"> </w:t>
      </w:r>
      <w:r w:rsidR="00860BDE">
        <w:rPr>
          <w:lang w:eastAsia="ja-JP"/>
        </w:rPr>
        <w:t>including additional information and documentary requirements for consignments from registered offshore entities seeking assessment as Level 1.</w:t>
      </w:r>
    </w:p>
    <w:p w14:paraId="55B3E922" w14:textId="52E50A80" w:rsidR="00693BE0" w:rsidRDefault="00693BE0" w:rsidP="00693BE0">
      <w:pPr>
        <w:rPr>
          <w:lang w:eastAsia="ja-JP"/>
        </w:rPr>
      </w:pPr>
      <w:r>
        <w:rPr>
          <w:lang w:eastAsia="ja-JP"/>
        </w:rPr>
        <w:t xml:space="preserve">Failure to provide required information and documentary evidence for assessment as </w:t>
      </w:r>
      <w:r w:rsidR="003B5FF7">
        <w:rPr>
          <w:lang w:eastAsia="ja-JP"/>
        </w:rPr>
        <w:t>Level 1</w:t>
      </w:r>
      <w:r w:rsidR="001720D7">
        <w:rPr>
          <w:lang w:eastAsia="ja-JP"/>
        </w:rPr>
        <w:t xml:space="preserve"> or </w:t>
      </w:r>
      <w:r w:rsidR="00CD2FC6">
        <w:rPr>
          <w:lang w:eastAsia="ja-JP"/>
        </w:rPr>
        <w:t xml:space="preserve">Level </w:t>
      </w:r>
      <w:r w:rsidR="001720D7">
        <w:rPr>
          <w:lang w:eastAsia="ja-JP"/>
        </w:rPr>
        <w:t>2</w:t>
      </w:r>
      <w:r>
        <w:rPr>
          <w:lang w:eastAsia="ja-JP"/>
        </w:rPr>
        <w:t xml:space="preserve"> will result in consignments receiving a </w:t>
      </w:r>
      <w:r w:rsidR="00CE72C4">
        <w:rPr>
          <w:lang w:eastAsia="ja-JP"/>
        </w:rPr>
        <w:t>L</w:t>
      </w:r>
      <w:r w:rsidR="003B5FF7">
        <w:rPr>
          <w:lang w:eastAsia="ja-JP"/>
        </w:rPr>
        <w:t>evel 3</w:t>
      </w:r>
      <w:r>
        <w:rPr>
          <w:lang w:eastAsia="ja-JP"/>
        </w:rPr>
        <w:t xml:space="preserve"> </w:t>
      </w:r>
      <w:r w:rsidR="003B5FF7">
        <w:rPr>
          <w:lang w:eastAsia="ja-JP"/>
        </w:rPr>
        <w:t xml:space="preserve">classification </w:t>
      </w:r>
      <w:r>
        <w:rPr>
          <w:lang w:eastAsia="ja-JP"/>
        </w:rPr>
        <w:t>rating and all associated import conditions will apply.</w:t>
      </w:r>
    </w:p>
    <w:p w14:paraId="72039251" w14:textId="1140D4E2" w:rsidR="00693BE0" w:rsidRPr="00283E9B" w:rsidRDefault="00693BE0" w:rsidP="003F3184">
      <w:pPr>
        <w:pStyle w:val="Heading3"/>
        <w:spacing w:before="120" w:after="120"/>
      </w:pPr>
      <w:bookmarkStart w:id="84" w:name="_Toc224213132"/>
      <w:r w:rsidRPr="00283E9B">
        <w:t>On</w:t>
      </w:r>
      <w:r w:rsidR="000D0B85">
        <w:t>-</w:t>
      </w:r>
      <w:r w:rsidRPr="00283E9B">
        <w:t>arrival biosecurity intervention</w:t>
      </w:r>
      <w:bookmarkEnd w:id="84"/>
    </w:p>
    <w:p w14:paraId="0E112CE2" w14:textId="779D4084" w:rsidR="00693BE0" w:rsidRDefault="000D0B85" w:rsidP="00693BE0">
      <w:pPr>
        <w:rPr>
          <w:lang w:eastAsia="ja-JP"/>
        </w:rPr>
      </w:pPr>
      <w:r w:rsidRPr="00B108FD">
        <w:rPr>
          <w:lang w:eastAsia="ja-JP"/>
        </w:rPr>
        <w:t>Learn more about o</w:t>
      </w:r>
      <w:r w:rsidR="00693BE0" w:rsidRPr="000D0B85">
        <w:rPr>
          <w:lang w:eastAsia="ja-JP"/>
        </w:rPr>
        <w:t xml:space="preserve">n-arrival biosecurity intervention requirements for containerised consignments </w:t>
      </w:r>
      <w:r w:rsidRPr="00B108FD">
        <w:rPr>
          <w:lang w:eastAsia="ja-JP"/>
        </w:rPr>
        <w:t>in</w:t>
      </w:r>
      <w:r w:rsidR="00693BE0" w:rsidRPr="000D0B85">
        <w:rPr>
          <w:lang w:eastAsia="ja-JP"/>
        </w:rPr>
        <w:t xml:space="preserve"> </w:t>
      </w:r>
      <w:hyperlink r:id="rId51" w:history="1">
        <w:r w:rsidR="00693BE0" w:rsidRPr="00E05212">
          <w:rPr>
            <w:rStyle w:val="Hyperlink"/>
            <w:lang w:eastAsia="ja-JP"/>
          </w:rPr>
          <w:t>BICON</w:t>
        </w:r>
      </w:hyperlink>
      <w:r w:rsidR="00693BE0" w:rsidRPr="000D0B85">
        <w:rPr>
          <w:lang w:eastAsia="ja-JP"/>
        </w:rPr>
        <w:t xml:space="preserve">. </w:t>
      </w:r>
      <w:r w:rsidR="00CE72C4" w:rsidRPr="000D0B85">
        <w:rPr>
          <w:lang w:eastAsia="ja-JP"/>
        </w:rPr>
        <w:t>This section</w:t>
      </w:r>
      <w:r w:rsidR="00693BE0" w:rsidRPr="000D0B85">
        <w:rPr>
          <w:lang w:eastAsia="ja-JP"/>
        </w:rPr>
        <w:t xml:space="preserve"> summar</w:t>
      </w:r>
      <w:r w:rsidR="00CE72C4" w:rsidRPr="000D0B85">
        <w:rPr>
          <w:lang w:eastAsia="ja-JP"/>
        </w:rPr>
        <w:t>ises</w:t>
      </w:r>
      <w:r w:rsidR="00693BE0" w:rsidRPr="000D0B85">
        <w:rPr>
          <w:lang w:eastAsia="ja-JP"/>
        </w:rPr>
        <w:t xml:space="preserve"> </w:t>
      </w:r>
      <w:r w:rsidR="00CE72C4" w:rsidRPr="000D0B85">
        <w:rPr>
          <w:lang w:eastAsia="ja-JP"/>
        </w:rPr>
        <w:t xml:space="preserve">the </w:t>
      </w:r>
      <w:r w:rsidR="00693BE0" w:rsidRPr="000D0B85">
        <w:rPr>
          <w:lang w:eastAsia="ja-JP"/>
        </w:rPr>
        <w:t>requirements for each import scenario</w:t>
      </w:r>
      <w:r w:rsidR="00CE72C4" w:rsidRPr="000D0B85">
        <w:rPr>
          <w:lang w:eastAsia="ja-JP"/>
        </w:rPr>
        <w:t>.</w:t>
      </w:r>
    </w:p>
    <w:p w14:paraId="43F38C87" w14:textId="52A931E7" w:rsidR="00693BE0" w:rsidRPr="00283E9B" w:rsidRDefault="000D0B85" w:rsidP="003F3184">
      <w:pPr>
        <w:pStyle w:val="Heading4"/>
        <w:spacing w:before="120" w:after="120"/>
      </w:pPr>
      <w:r>
        <w:lastRenderedPageBreak/>
        <w:t>C</w:t>
      </w:r>
      <w:r w:rsidR="00693BE0" w:rsidRPr="00283E9B">
        <w:t>onsignments</w:t>
      </w:r>
      <w:r>
        <w:t>:</w:t>
      </w:r>
      <w:r w:rsidRPr="000D0B85">
        <w:t xml:space="preserve"> </w:t>
      </w:r>
      <w:r>
        <w:t>Level 1</w:t>
      </w:r>
    </w:p>
    <w:p w14:paraId="7162FA3F" w14:textId="67D703F9" w:rsidR="00693BE0" w:rsidRDefault="00693BE0" w:rsidP="00693BE0">
      <w:pPr>
        <w:rPr>
          <w:lang w:eastAsia="ja-JP"/>
        </w:rPr>
      </w:pPr>
      <w:r>
        <w:rPr>
          <w:lang w:eastAsia="ja-JP"/>
        </w:rPr>
        <w:t xml:space="preserve">Consignments assessed by the department as </w:t>
      </w:r>
      <w:r w:rsidR="003B5FF7">
        <w:rPr>
          <w:lang w:eastAsia="ja-JP"/>
        </w:rPr>
        <w:t>Level 1</w:t>
      </w:r>
      <w:r>
        <w:rPr>
          <w:lang w:eastAsia="ja-JP"/>
        </w:rPr>
        <w:t xml:space="preserve"> that have not been selected for random inspection</w:t>
      </w:r>
      <w:r w:rsidR="004D6161">
        <w:rPr>
          <w:lang w:eastAsia="ja-JP"/>
        </w:rPr>
        <w:t>,</w:t>
      </w:r>
      <w:r>
        <w:rPr>
          <w:lang w:eastAsia="ja-JP"/>
        </w:rPr>
        <w:t xml:space="preserve"> and have been issued with the appropriate biosecurity directions</w:t>
      </w:r>
      <w:r w:rsidR="004D6161">
        <w:rPr>
          <w:lang w:eastAsia="ja-JP"/>
        </w:rPr>
        <w:t>,</w:t>
      </w:r>
      <w:r>
        <w:rPr>
          <w:lang w:eastAsia="ja-JP"/>
        </w:rPr>
        <w:t xml:space="preserve"> may be released from biosecurity control by a </w:t>
      </w:r>
      <w:r w:rsidR="00331073">
        <w:rPr>
          <w:lang w:eastAsia="ja-JP"/>
        </w:rPr>
        <w:t>b</w:t>
      </w:r>
      <w:r>
        <w:rPr>
          <w:lang w:eastAsia="ja-JP"/>
        </w:rPr>
        <w:t xml:space="preserve">iosecurity </w:t>
      </w:r>
      <w:r w:rsidR="00331073">
        <w:rPr>
          <w:lang w:eastAsia="ja-JP"/>
        </w:rPr>
        <w:t>o</w:t>
      </w:r>
      <w:r>
        <w:rPr>
          <w:lang w:eastAsia="ja-JP"/>
        </w:rPr>
        <w:t>fficer on arrival.</w:t>
      </w:r>
    </w:p>
    <w:p w14:paraId="7D272F9B" w14:textId="53A50501" w:rsidR="00693BE0" w:rsidRDefault="005C7780" w:rsidP="00693BE0">
      <w:pPr>
        <w:rPr>
          <w:lang w:eastAsia="ja-JP"/>
        </w:rPr>
      </w:pPr>
      <w:r>
        <w:rPr>
          <w:lang w:eastAsia="ja-JP"/>
        </w:rPr>
        <w:t xml:space="preserve">Importers who </w:t>
      </w:r>
      <w:r w:rsidR="00693BE0">
        <w:rPr>
          <w:lang w:eastAsia="ja-JP"/>
        </w:rPr>
        <w:t>confirm or suspect</w:t>
      </w:r>
      <w:r>
        <w:rPr>
          <w:lang w:eastAsia="ja-JP"/>
        </w:rPr>
        <w:t xml:space="preserve"> the</w:t>
      </w:r>
      <w:r w:rsidR="00693BE0">
        <w:rPr>
          <w:lang w:eastAsia="ja-JP"/>
        </w:rPr>
        <w:t xml:space="preserve"> presence of biosecurity risk material </w:t>
      </w:r>
      <w:r w:rsidR="009E2819">
        <w:rPr>
          <w:lang w:eastAsia="ja-JP"/>
        </w:rPr>
        <w:t>in a consignment that has been</w:t>
      </w:r>
      <w:r>
        <w:rPr>
          <w:lang w:eastAsia="ja-JP"/>
        </w:rPr>
        <w:t xml:space="preserve"> release</w:t>
      </w:r>
      <w:r w:rsidR="009E2819">
        <w:rPr>
          <w:lang w:eastAsia="ja-JP"/>
        </w:rPr>
        <w:t>d</w:t>
      </w:r>
      <w:r w:rsidR="00693BE0">
        <w:rPr>
          <w:lang w:eastAsia="ja-JP"/>
        </w:rPr>
        <w:t xml:space="preserve"> from biosecurity control </w:t>
      </w:r>
      <w:r>
        <w:rPr>
          <w:lang w:eastAsia="ja-JP"/>
        </w:rPr>
        <w:t xml:space="preserve">must </w:t>
      </w:r>
      <w:r w:rsidR="009E2819">
        <w:rPr>
          <w:lang w:eastAsia="ja-JP"/>
        </w:rPr>
        <w:t xml:space="preserve">immediately report </w:t>
      </w:r>
      <w:r>
        <w:rPr>
          <w:lang w:eastAsia="ja-JP"/>
        </w:rPr>
        <w:t>their concerns</w:t>
      </w:r>
      <w:r w:rsidR="00693BE0">
        <w:rPr>
          <w:lang w:eastAsia="ja-JP"/>
        </w:rPr>
        <w:t xml:space="preserve"> to the department. </w:t>
      </w:r>
      <w:r w:rsidR="00E03B6A">
        <w:rPr>
          <w:lang w:eastAsia="ja-JP"/>
        </w:rPr>
        <w:t xml:space="preserve">Learn more about </w:t>
      </w:r>
      <w:hyperlink r:id="rId52" w:history="1">
        <w:r w:rsidR="00E03B6A" w:rsidRPr="00E03B6A">
          <w:rPr>
            <w:rStyle w:val="Hyperlink"/>
            <w:lang w:eastAsia="ja-JP"/>
          </w:rPr>
          <w:t>reporting a pest or disease of concern</w:t>
        </w:r>
      </w:hyperlink>
      <w:r w:rsidR="003A4826" w:rsidRPr="00A800D3">
        <w:rPr>
          <w:rFonts w:cstheme="minorHAnsi"/>
          <w:lang w:eastAsia="en-AU"/>
        </w:rPr>
        <w:t>.</w:t>
      </w:r>
    </w:p>
    <w:p w14:paraId="635A3CBA" w14:textId="1BCA330E" w:rsidR="00693BE0" w:rsidRPr="00283E9B" w:rsidRDefault="009E2819" w:rsidP="003F3184">
      <w:pPr>
        <w:pStyle w:val="Heading4"/>
        <w:spacing w:before="120" w:after="120"/>
      </w:pPr>
      <w:bookmarkStart w:id="85" w:name="_‘High_risk’_consignments"/>
      <w:bookmarkStart w:id="86" w:name="_Hlk154061234"/>
      <w:bookmarkEnd w:id="85"/>
      <w:r>
        <w:t>C</w:t>
      </w:r>
      <w:r w:rsidR="00693BE0" w:rsidRPr="00283E9B">
        <w:t>onsignments</w:t>
      </w:r>
      <w:r>
        <w:t>:</w:t>
      </w:r>
      <w:r w:rsidR="00693BE0" w:rsidRPr="00283E9B">
        <w:t xml:space="preserve"> </w:t>
      </w:r>
      <w:r>
        <w:t xml:space="preserve">Level </w:t>
      </w:r>
      <w:r w:rsidR="00FB5729">
        <w:t>2</w:t>
      </w:r>
      <w:r>
        <w:t xml:space="preserve"> and Level </w:t>
      </w:r>
      <w:r w:rsidR="00FB5729">
        <w:t>3</w:t>
      </w:r>
      <w:r w:rsidRPr="00283E9B">
        <w:t xml:space="preserve"> </w:t>
      </w:r>
      <w:r w:rsidR="00693BE0" w:rsidRPr="00283E9B">
        <w:t xml:space="preserve">(and </w:t>
      </w:r>
      <w:r w:rsidR="003B5FF7">
        <w:t>Level 1</w:t>
      </w:r>
      <w:r w:rsidR="00693BE0" w:rsidRPr="00283E9B">
        <w:t xml:space="preserve"> consignments randomly selected for</w:t>
      </w:r>
      <w:r w:rsidR="00553AE3" w:rsidRPr="00283E9B">
        <w:t xml:space="preserve"> </w:t>
      </w:r>
      <w:r w:rsidR="00693BE0" w:rsidRPr="00283E9B">
        <w:t>inspection)</w:t>
      </w:r>
      <w:bookmarkEnd w:id="86"/>
    </w:p>
    <w:p w14:paraId="17D8894F" w14:textId="31D382BE" w:rsidR="00693BE0" w:rsidRDefault="00FB5729" w:rsidP="00693BE0">
      <w:pPr>
        <w:rPr>
          <w:lang w:eastAsia="ja-JP"/>
        </w:rPr>
      </w:pPr>
      <w:r>
        <w:rPr>
          <w:lang w:eastAsia="ja-JP"/>
        </w:rPr>
        <w:t>If these consignments</w:t>
      </w:r>
      <w:r w:rsidR="00693BE0">
        <w:rPr>
          <w:lang w:eastAsia="ja-JP"/>
        </w:rPr>
        <w:t xml:space="preserve"> have received appropriate biosecurity directions</w:t>
      </w:r>
      <w:r w:rsidR="00C424DC">
        <w:rPr>
          <w:lang w:eastAsia="ja-JP"/>
        </w:rPr>
        <w:t>,</w:t>
      </w:r>
      <w:r w:rsidR="00693BE0">
        <w:rPr>
          <w:lang w:eastAsia="ja-JP"/>
        </w:rPr>
        <w:t xml:space="preserve"> </w:t>
      </w:r>
      <w:r>
        <w:rPr>
          <w:lang w:eastAsia="ja-JP"/>
        </w:rPr>
        <w:t xml:space="preserve">they </w:t>
      </w:r>
      <w:r w:rsidR="00693BE0">
        <w:rPr>
          <w:lang w:eastAsia="ja-JP"/>
        </w:rPr>
        <w:t xml:space="preserve">may be moved to the nominated </w:t>
      </w:r>
      <w:r>
        <w:rPr>
          <w:lang w:eastAsia="ja-JP"/>
        </w:rPr>
        <w:t>Class 1.1, 1.3, 2.2 or 2.3 Approved A</w:t>
      </w:r>
      <w:r w:rsidR="00693BE0">
        <w:rPr>
          <w:lang w:eastAsia="ja-JP"/>
        </w:rPr>
        <w:t>rrangement site to await inspection and sampling activities by the department.</w:t>
      </w:r>
    </w:p>
    <w:p w14:paraId="65F853A1" w14:textId="0C5D84AC" w:rsidR="00693BE0" w:rsidRDefault="00693BE0" w:rsidP="00B108FD">
      <w:pPr>
        <w:rPr>
          <w:lang w:eastAsia="ja-JP"/>
        </w:rPr>
      </w:pPr>
      <w:r>
        <w:rPr>
          <w:lang w:eastAsia="ja-JP"/>
        </w:rPr>
        <w:t>The fertiliser sampling inspection will include</w:t>
      </w:r>
      <w:r w:rsidR="00E03B6A">
        <w:rPr>
          <w:lang w:eastAsia="ja-JP"/>
        </w:rPr>
        <w:t xml:space="preserve"> i</w:t>
      </w:r>
      <w:r>
        <w:rPr>
          <w:lang w:eastAsia="ja-JP"/>
        </w:rPr>
        <w:t xml:space="preserve">nspection and sampling at a rate of 2.25 litres </w:t>
      </w:r>
      <w:r w:rsidR="00871C5C">
        <w:rPr>
          <w:lang w:eastAsia="ja-JP"/>
        </w:rPr>
        <w:t>per </w:t>
      </w:r>
      <w:r w:rsidR="00E03B6A">
        <w:rPr>
          <w:lang w:eastAsia="ja-JP"/>
        </w:rPr>
        <w:t>33 </w:t>
      </w:r>
      <w:r>
        <w:rPr>
          <w:lang w:eastAsia="ja-JP"/>
        </w:rPr>
        <w:t>tonnes from each container to verify that the fertiliser is free from biosecurity risk material. Fertiliser samples will be taken in equal increments from 5 separate points</w:t>
      </w:r>
      <w:r w:rsidR="00057FC2">
        <w:rPr>
          <w:lang w:eastAsia="ja-JP"/>
        </w:rPr>
        <w:t xml:space="preserve"> or </w:t>
      </w:r>
      <w:r>
        <w:rPr>
          <w:lang w:eastAsia="ja-JP"/>
        </w:rPr>
        <w:t xml:space="preserve">bags from </w:t>
      </w:r>
      <w:r w:rsidR="00871C5C">
        <w:rPr>
          <w:lang w:eastAsia="ja-JP"/>
        </w:rPr>
        <w:t>each </w:t>
      </w:r>
      <w:r>
        <w:rPr>
          <w:lang w:eastAsia="ja-JP"/>
        </w:rPr>
        <w:t>container.</w:t>
      </w:r>
    </w:p>
    <w:p w14:paraId="02AD2933" w14:textId="504BD656" w:rsidR="00693BE0" w:rsidRDefault="00693BE0" w:rsidP="00693BE0">
      <w:pPr>
        <w:rPr>
          <w:lang w:eastAsia="ja-JP"/>
        </w:rPr>
      </w:pPr>
      <w:r>
        <w:rPr>
          <w:lang w:eastAsia="ja-JP"/>
        </w:rPr>
        <w:t xml:space="preserve">If no biosecurity risk material is detected following the inspection, </w:t>
      </w:r>
      <w:r w:rsidR="00871C5C">
        <w:rPr>
          <w:lang w:eastAsia="ja-JP"/>
        </w:rPr>
        <w:t xml:space="preserve">a biosecurity officer may release </w:t>
      </w:r>
      <w:r>
        <w:rPr>
          <w:lang w:eastAsia="ja-JP"/>
        </w:rPr>
        <w:t>the consignment from biosecurity control.</w:t>
      </w:r>
    </w:p>
    <w:p w14:paraId="4812379C" w14:textId="397FD606" w:rsidR="00693BE0" w:rsidRDefault="00693BE0" w:rsidP="00693BE0">
      <w:pPr>
        <w:rPr>
          <w:lang w:eastAsia="ja-JP"/>
        </w:rPr>
      </w:pPr>
      <w:r>
        <w:rPr>
          <w:lang w:eastAsia="ja-JP"/>
        </w:rPr>
        <w:t>If biosecurity risk material is identified, the consignment will not be released</w:t>
      </w:r>
      <w:r w:rsidR="00871C5C">
        <w:rPr>
          <w:lang w:eastAsia="ja-JP"/>
        </w:rPr>
        <w:t>. T</w:t>
      </w:r>
      <w:r>
        <w:rPr>
          <w:lang w:eastAsia="ja-JP"/>
        </w:rPr>
        <w:t xml:space="preserve">he </w:t>
      </w:r>
      <w:r w:rsidR="00057FC2">
        <w:rPr>
          <w:lang w:eastAsia="ja-JP"/>
        </w:rPr>
        <w:t>b</w:t>
      </w:r>
      <w:r>
        <w:rPr>
          <w:lang w:eastAsia="ja-JP"/>
        </w:rPr>
        <w:t xml:space="preserve">iosecurity </w:t>
      </w:r>
      <w:r w:rsidR="00057FC2">
        <w:rPr>
          <w:lang w:eastAsia="ja-JP"/>
        </w:rPr>
        <w:t>o</w:t>
      </w:r>
      <w:r>
        <w:rPr>
          <w:lang w:eastAsia="ja-JP"/>
        </w:rPr>
        <w:t xml:space="preserve">fficers present will </w:t>
      </w:r>
      <w:r w:rsidRPr="00871C5C">
        <w:rPr>
          <w:lang w:eastAsia="ja-JP"/>
        </w:rPr>
        <w:t>contact the BCNCC to</w:t>
      </w:r>
      <w:r>
        <w:rPr>
          <w:lang w:eastAsia="ja-JP"/>
        </w:rPr>
        <w:t xml:space="preserve"> determine appropriate action.</w:t>
      </w:r>
    </w:p>
    <w:p w14:paraId="4DCF893E" w14:textId="5257BCF4" w:rsidR="00CC40A0" w:rsidRPr="00316246" w:rsidRDefault="00CC40A0" w:rsidP="00316246">
      <w:pPr>
        <w:pStyle w:val="Heading2"/>
      </w:pPr>
      <w:bookmarkStart w:id="87" w:name="_Toc224213133"/>
      <w:r w:rsidRPr="00316246">
        <w:lastRenderedPageBreak/>
        <w:t>Sanctions</w:t>
      </w:r>
      <w:bookmarkEnd w:id="87"/>
    </w:p>
    <w:p w14:paraId="1EC67708" w14:textId="0DC881F6" w:rsidR="00D8675B" w:rsidRDefault="00D8675B" w:rsidP="00D8675B">
      <w:pPr>
        <w:rPr>
          <w:lang w:eastAsia="ja-JP"/>
        </w:rPr>
      </w:pPr>
      <w:r>
        <w:rPr>
          <w:lang w:eastAsia="ja-JP"/>
        </w:rPr>
        <w:t>The department may impose sanctions on registered</w:t>
      </w:r>
      <w:r w:rsidR="00D214FC">
        <w:rPr>
          <w:lang w:eastAsia="ja-JP"/>
        </w:rPr>
        <w:t xml:space="preserve"> offshore</w:t>
      </w:r>
      <w:r>
        <w:rPr>
          <w:lang w:eastAsia="ja-JP"/>
        </w:rPr>
        <w:t xml:space="preserve"> entities that are found to be non-compl</w:t>
      </w:r>
      <w:r w:rsidR="00051618">
        <w:rPr>
          <w:lang w:eastAsia="ja-JP"/>
        </w:rPr>
        <w:t>ia</w:t>
      </w:r>
      <w:r>
        <w:rPr>
          <w:lang w:eastAsia="ja-JP"/>
        </w:rPr>
        <w:t>nt with the conditions of their registration agreement or are responsible, or likely responsible</w:t>
      </w:r>
      <w:r w:rsidR="00BE3873">
        <w:rPr>
          <w:lang w:eastAsia="ja-JP"/>
        </w:rPr>
        <w:t>,</w:t>
      </w:r>
      <w:r>
        <w:rPr>
          <w:lang w:eastAsia="ja-JP"/>
        </w:rPr>
        <w:t xml:space="preserve"> for non-compliant consignments.</w:t>
      </w:r>
    </w:p>
    <w:p w14:paraId="3ED1389C" w14:textId="1FFA5B6C" w:rsidR="00D8675B" w:rsidRDefault="00D7482D" w:rsidP="00D8675B">
      <w:pPr>
        <w:rPr>
          <w:lang w:eastAsia="ja-JP"/>
        </w:rPr>
      </w:pPr>
      <w:r>
        <w:rPr>
          <w:lang w:eastAsia="ja-JP"/>
        </w:rPr>
        <w:t>A r</w:t>
      </w:r>
      <w:r w:rsidR="00D8675B">
        <w:rPr>
          <w:lang w:eastAsia="ja-JP"/>
        </w:rPr>
        <w:t>egistered offshore entit</w:t>
      </w:r>
      <w:r>
        <w:rPr>
          <w:lang w:eastAsia="ja-JP"/>
        </w:rPr>
        <w:t>y</w:t>
      </w:r>
      <w:r w:rsidR="00D8675B">
        <w:rPr>
          <w:lang w:eastAsia="ja-JP"/>
        </w:rPr>
        <w:t xml:space="preserve"> may be subject to sanctions when:</w:t>
      </w:r>
    </w:p>
    <w:p w14:paraId="7B75962E" w14:textId="6291FD06" w:rsidR="00D8675B" w:rsidRDefault="00BE3873" w:rsidP="002F1A69">
      <w:pPr>
        <w:pStyle w:val="ListBullet"/>
        <w:rPr>
          <w:lang w:eastAsia="ja-JP"/>
        </w:rPr>
      </w:pPr>
      <w:r>
        <w:rPr>
          <w:lang w:eastAsia="ja-JP"/>
        </w:rPr>
        <w:t>b</w:t>
      </w:r>
      <w:r w:rsidR="00D8675B">
        <w:rPr>
          <w:lang w:eastAsia="ja-JP"/>
        </w:rPr>
        <w:t>iosecurity risk material is identified in a consignment</w:t>
      </w:r>
    </w:p>
    <w:p w14:paraId="690F56EC" w14:textId="6A312843" w:rsidR="00D8675B" w:rsidRDefault="00BE3873" w:rsidP="002F1A69">
      <w:pPr>
        <w:pStyle w:val="ListBullet"/>
        <w:rPr>
          <w:lang w:eastAsia="ja-JP"/>
        </w:rPr>
      </w:pPr>
      <w:r>
        <w:rPr>
          <w:lang w:eastAsia="ja-JP"/>
        </w:rPr>
        <w:t>n</w:t>
      </w:r>
      <w:r w:rsidR="00D8675B">
        <w:rPr>
          <w:lang w:eastAsia="ja-JP"/>
        </w:rPr>
        <w:t xml:space="preserve">on-compliance is identified during an audit or other compliance management </w:t>
      </w:r>
      <w:proofErr w:type="gramStart"/>
      <w:r w:rsidR="00D8675B">
        <w:rPr>
          <w:lang w:eastAsia="ja-JP"/>
        </w:rPr>
        <w:t>activity</w:t>
      </w:r>
      <w:proofErr w:type="gramEnd"/>
      <w:r w:rsidR="00D8675B">
        <w:rPr>
          <w:lang w:eastAsia="ja-JP"/>
        </w:rPr>
        <w:t xml:space="preserve"> and the department loses confidence in the biosecurity management practices of the registered </w:t>
      </w:r>
      <w:r w:rsidR="00D7482D">
        <w:rPr>
          <w:lang w:eastAsia="ja-JP"/>
        </w:rPr>
        <w:t>offshore </w:t>
      </w:r>
      <w:r w:rsidR="00D8675B">
        <w:rPr>
          <w:lang w:eastAsia="ja-JP"/>
        </w:rPr>
        <w:t>entity</w:t>
      </w:r>
    </w:p>
    <w:p w14:paraId="0C869173" w14:textId="5C59E700" w:rsidR="00D8675B" w:rsidRDefault="00BE3873" w:rsidP="002F1A69">
      <w:pPr>
        <w:pStyle w:val="ListBullet"/>
        <w:rPr>
          <w:lang w:eastAsia="ja-JP"/>
        </w:rPr>
      </w:pPr>
      <w:r>
        <w:rPr>
          <w:lang w:eastAsia="ja-JP"/>
        </w:rPr>
        <w:t>the</w:t>
      </w:r>
      <w:r w:rsidR="00D7482D">
        <w:rPr>
          <w:lang w:eastAsia="ja-JP"/>
        </w:rPr>
        <w:t xml:space="preserve"> entity</w:t>
      </w:r>
      <w:r w:rsidR="00D8675B">
        <w:rPr>
          <w:lang w:eastAsia="ja-JP"/>
        </w:rPr>
        <w:t xml:space="preserve"> fail</w:t>
      </w:r>
      <w:r w:rsidR="00D7482D">
        <w:rPr>
          <w:lang w:eastAsia="ja-JP"/>
        </w:rPr>
        <w:t>s</w:t>
      </w:r>
      <w:r w:rsidR="00D8675B">
        <w:rPr>
          <w:lang w:eastAsia="ja-JP"/>
        </w:rPr>
        <w:t xml:space="preserve"> to advise the department of changes to the ownership or operating details of the registered offshore entity that may affect compliance with this policy.</w:t>
      </w:r>
    </w:p>
    <w:p w14:paraId="2186A9F8" w14:textId="07754382" w:rsidR="00D8675B" w:rsidRDefault="00D7482D" w:rsidP="00D8675B">
      <w:pPr>
        <w:rPr>
          <w:lang w:eastAsia="ja-JP"/>
        </w:rPr>
      </w:pPr>
      <w:r>
        <w:rPr>
          <w:lang w:eastAsia="ja-JP"/>
        </w:rPr>
        <w:t>If</w:t>
      </w:r>
      <w:r w:rsidR="00D8675B">
        <w:rPr>
          <w:lang w:eastAsia="ja-JP"/>
        </w:rPr>
        <w:t xml:space="preserve"> sanctions are applied, </w:t>
      </w:r>
      <w:r>
        <w:rPr>
          <w:lang w:eastAsia="ja-JP"/>
        </w:rPr>
        <w:t>we</w:t>
      </w:r>
      <w:r w:rsidR="00D8675B">
        <w:rPr>
          <w:lang w:eastAsia="ja-JP"/>
        </w:rPr>
        <w:t xml:space="preserve"> will take measures to manage the potential biosecurity risk associated with</w:t>
      </w:r>
      <w:r w:rsidR="00D8675B" w:rsidRPr="00B108FD">
        <w:t xml:space="preserve"> </w:t>
      </w:r>
      <w:r w:rsidR="000577C1">
        <w:t>all</w:t>
      </w:r>
      <w:r w:rsidR="00D8675B">
        <w:rPr>
          <w:lang w:eastAsia="ja-JP"/>
        </w:rPr>
        <w:t xml:space="preserve"> consignments exported by the registered offshore entity to Australia. </w:t>
      </w:r>
      <w:r w:rsidR="004732F3">
        <w:rPr>
          <w:lang w:eastAsia="ja-JP"/>
        </w:rPr>
        <w:t>Examples of our actions may include:</w:t>
      </w:r>
    </w:p>
    <w:p w14:paraId="4633439E" w14:textId="27ADD6A2" w:rsidR="00D8675B" w:rsidRDefault="00C424DC" w:rsidP="002F1A69">
      <w:pPr>
        <w:pStyle w:val="ListBullet"/>
        <w:rPr>
          <w:lang w:eastAsia="ja-JP"/>
        </w:rPr>
      </w:pPr>
      <w:r>
        <w:rPr>
          <w:lang w:eastAsia="ja-JP"/>
        </w:rPr>
        <w:t>i</w:t>
      </w:r>
      <w:r w:rsidR="00D8675B">
        <w:rPr>
          <w:lang w:eastAsia="ja-JP"/>
        </w:rPr>
        <w:t>ncreased biosecurity intervention profiling and heightened risk ratings of future consignments of imported inorganic fertiliser exported by the affected registered offshore entity</w:t>
      </w:r>
    </w:p>
    <w:p w14:paraId="3A05493B" w14:textId="0C869D21" w:rsidR="005E115B" w:rsidRDefault="00860BDE" w:rsidP="008A7C2A">
      <w:pPr>
        <w:pStyle w:val="ListBullet"/>
        <w:rPr>
          <w:lang w:eastAsia="ja-JP"/>
        </w:rPr>
      </w:pPr>
      <w:r>
        <w:rPr>
          <w:lang w:eastAsia="ja-JP"/>
        </w:rPr>
        <w:t xml:space="preserve">where necessary, </w:t>
      </w:r>
      <w:r w:rsidR="00C424DC">
        <w:rPr>
          <w:lang w:eastAsia="ja-JP"/>
        </w:rPr>
        <w:t>a</w:t>
      </w:r>
      <w:r w:rsidR="00D8675B">
        <w:rPr>
          <w:lang w:eastAsia="ja-JP"/>
        </w:rPr>
        <w:t>dditional auditing</w:t>
      </w:r>
      <w:r w:rsidR="008A7C2A">
        <w:rPr>
          <w:lang w:eastAsia="ja-JP"/>
        </w:rPr>
        <w:t xml:space="preserve"> that may take the form of either an </w:t>
      </w:r>
      <w:r w:rsidR="005E115B">
        <w:rPr>
          <w:lang w:eastAsia="ja-JP"/>
        </w:rPr>
        <w:t>independent third-party audit</w:t>
      </w:r>
      <w:r w:rsidR="008A7C2A">
        <w:rPr>
          <w:lang w:eastAsia="ja-JP"/>
        </w:rPr>
        <w:t xml:space="preserve">, a </w:t>
      </w:r>
      <w:r w:rsidR="005E115B">
        <w:rPr>
          <w:lang w:eastAsia="ja-JP"/>
        </w:rPr>
        <w:t>virtual departmental audit</w:t>
      </w:r>
      <w:r w:rsidR="00D8675B">
        <w:rPr>
          <w:lang w:eastAsia="ja-JP"/>
        </w:rPr>
        <w:t xml:space="preserve"> </w:t>
      </w:r>
      <w:r w:rsidR="00E05212">
        <w:rPr>
          <w:lang w:eastAsia="ja-JP"/>
        </w:rPr>
        <w:t>or</w:t>
      </w:r>
      <w:r w:rsidR="008A7C2A">
        <w:rPr>
          <w:lang w:eastAsia="ja-JP"/>
        </w:rPr>
        <w:t xml:space="preserve"> an </w:t>
      </w:r>
      <w:r w:rsidR="005E115B">
        <w:rPr>
          <w:lang w:eastAsia="ja-JP"/>
        </w:rPr>
        <w:t>onsite departmental audit.</w:t>
      </w:r>
    </w:p>
    <w:p w14:paraId="590165FA" w14:textId="54AA05D4" w:rsidR="00D8675B" w:rsidRDefault="00D8675B" w:rsidP="005E115B">
      <w:pPr>
        <w:pStyle w:val="ListBullet"/>
        <w:numPr>
          <w:ilvl w:val="0"/>
          <w:numId w:val="0"/>
        </w:numPr>
        <w:rPr>
          <w:lang w:eastAsia="ja-JP"/>
        </w:rPr>
      </w:pPr>
      <w:r>
        <w:rPr>
          <w:lang w:eastAsia="ja-JP"/>
        </w:rPr>
        <w:t>Sanctions may remain in place until the department’s confidence is restored in the</w:t>
      </w:r>
      <w:r w:rsidR="00873C9A">
        <w:rPr>
          <w:lang w:eastAsia="ja-JP"/>
        </w:rPr>
        <w:t xml:space="preserve"> entity’s</w:t>
      </w:r>
      <w:r>
        <w:rPr>
          <w:lang w:eastAsia="ja-JP"/>
        </w:rPr>
        <w:t xml:space="preserve"> biosecurity management practices and commitment to compliance.</w:t>
      </w:r>
    </w:p>
    <w:p w14:paraId="25B1FB4B" w14:textId="45232476" w:rsidR="00D8675B" w:rsidRPr="00E03B6A" w:rsidRDefault="00D8675B" w:rsidP="003F3184">
      <w:pPr>
        <w:pStyle w:val="Heading3"/>
        <w:spacing w:before="120" w:after="120"/>
      </w:pPr>
      <w:bookmarkStart w:id="88" w:name="_Toc224213134"/>
      <w:r w:rsidRPr="00316246">
        <w:t>Suspension of entity registration</w:t>
      </w:r>
      <w:bookmarkEnd w:id="88"/>
    </w:p>
    <w:p w14:paraId="38022D0F" w14:textId="77777777" w:rsidR="00D8675B" w:rsidRPr="00E03B6A" w:rsidRDefault="00D8675B" w:rsidP="00D8675B">
      <w:pPr>
        <w:rPr>
          <w:lang w:eastAsia="ja-JP"/>
        </w:rPr>
      </w:pPr>
      <w:r w:rsidRPr="00E03B6A">
        <w:rPr>
          <w:lang w:eastAsia="ja-JP"/>
        </w:rPr>
        <w:t>The department may suspend an offshore entity’s registration for failure to comply with the requirements of this policy.</w:t>
      </w:r>
    </w:p>
    <w:p w14:paraId="468776DC" w14:textId="143E8FA5" w:rsidR="00D8675B" w:rsidRPr="00E03B6A" w:rsidRDefault="00E03B6A" w:rsidP="00D8675B">
      <w:pPr>
        <w:rPr>
          <w:lang w:eastAsia="ja-JP"/>
        </w:rPr>
      </w:pPr>
      <w:r>
        <w:rPr>
          <w:lang w:eastAsia="ja-JP"/>
        </w:rPr>
        <w:t xml:space="preserve">We may suspend the </w:t>
      </w:r>
      <w:r w:rsidR="00D8675B" w:rsidRPr="00E03B6A">
        <w:rPr>
          <w:lang w:eastAsia="ja-JP"/>
        </w:rPr>
        <w:t>registration of a registered</w:t>
      </w:r>
      <w:r w:rsidR="006D5547">
        <w:rPr>
          <w:lang w:eastAsia="ja-JP"/>
        </w:rPr>
        <w:t xml:space="preserve"> offshore</w:t>
      </w:r>
      <w:r w:rsidR="00D8675B" w:rsidRPr="00E03B6A">
        <w:rPr>
          <w:lang w:eastAsia="ja-JP"/>
        </w:rPr>
        <w:t xml:space="preserve"> entity when</w:t>
      </w:r>
      <w:r>
        <w:rPr>
          <w:lang w:eastAsia="ja-JP"/>
        </w:rPr>
        <w:t xml:space="preserve"> the entity</w:t>
      </w:r>
      <w:r w:rsidR="00D8675B" w:rsidRPr="00E03B6A">
        <w:rPr>
          <w:lang w:eastAsia="ja-JP"/>
        </w:rPr>
        <w:t>:</w:t>
      </w:r>
    </w:p>
    <w:p w14:paraId="55E7AAAA" w14:textId="1F01308C" w:rsidR="00D8675B" w:rsidRDefault="00D8675B" w:rsidP="0018224D">
      <w:pPr>
        <w:pStyle w:val="ListBullet"/>
        <w:rPr>
          <w:lang w:eastAsia="ja-JP"/>
        </w:rPr>
      </w:pPr>
      <w:r w:rsidRPr="00E03B6A">
        <w:rPr>
          <w:lang w:eastAsia="ja-JP"/>
        </w:rPr>
        <w:t>fails to provide records or information to the department in relation to its</w:t>
      </w:r>
      <w:r w:rsidR="00C6297A" w:rsidRPr="00E03B6A">
        <w:rPr>
          <w:lang w:eastAsia="ja-JP"/>
        </w:rPr>
        <w:t xml:space="preserve"> </w:t>
      </w:r>
      <w:r w:rsidRPr="00E03B6A">
        <w:rPr>
          <w:lang w:eastAsia="ja-JP"/>
        </w:rPr>
        <w:t>registration status, including records or information requested relating to</w:t>
      </w:r>
      <w:r>
        <w:rPr>
          <w:lang w:eastAsia="ja-JP"/>
        </w:rPr>
        <w:t xml:space="preserve"> investigations that are being undertaken into potential non-compliance</w:t>
      </w:r>
    </w:p>
    <w:p w14:paraId="338B264F" w14:textId="5043EC11" w:rsidR="00D8675B" w:rsidRDefault="00D8675B" w:rsidP="0018224D">
      <w:pPr>
        <w:pStyle w:val="ListBullet"/>
        <w:rPr>
          <w:lang w:eastAsia="ja-JP"/>
        </w:rPr>
      </w:pPr>
      <w:r>
        <w:rPr>
          <w:lang w:eastAsia="ja-JP"/>
        </w:rPr>
        <w:t>is unable or unwilling to implement adequate corrective actions to address non-compliance and/or audit outcomes</w:t>
      </w:r>
    </w:p>
    <w:p w14:paraId="7C496369" w14:textId="2107AA68" w:rsidR="00D8675B" w:rsidRDefault="00D8675B" w:rsidP="0018224D">
      <w:pPr>
        <w:pStyle w:val="ListBullet"/>
        <w:rPr>
          <w:lang w:eastAsia="ja-JP"/>
        </w:rPr>
      </w:pPr>
      <w:r>
        <w:rPr>
          <w:lang w:eastAsia="ja-JP"/>
        </w:rPr>
        <w:t>fails to comply with the auditing obligations</w:t>
      </w:r>
      <w:r w:rsidR="00A65609">
        <w:rPr>
          <w:lang w:eastAsia="ja-JP"/>
        </w:rPr>
        <w:t xml:space="preserve"> detailed in this policy</w:t>
      </w:r>
      <w:r>
        <w:rPr>
          <w:lang w:eastAsia="ja-JP"/>
        </w:rPr>
        <w:t>.</w:t>
      </w:r>
    </w:p>
    <w:p w14:paraId="6A208F94" w14:textId="02BE52D5" w:rsidR="007D1DD7" w:rsidRDefault="00E03B6A" w:rsidP="007D1DD7">
      <w:pPr>
        <w:pStyle w:val="ListBullet"/>
        <w:numPr>
          <w:ilvl w:val="0"/>
          <w:numId w:val="0"/>
        </w:numPr>
        <w:rPr>
          <w:lang w:eastAsia="ja-JP"/>
        </w:rPr>
      </w:pPr>
      <w:r w:rsidRPr="00222BA5">
        <w:rPr>
          <w:rFonts w:cstheme="minorHAnsi"/>
          <w:lang w:eastAsia="en-AU"/>
        </w:rPr>
        <w:t xml:space="preserve">All consignments from suspended offshore entities will be assessed as </w:t>
      </w:r>
      <w:r>
        <w:rPr>
          <w:rFonts w:cstheme="minorHAnsi"/>
          <w:lang w:eastAsia="en-AU"/>
        </w:rPr>
        <w:t>Level 3</w:t>
      </w:r>
      <w:r w:rsidRPr="00222BA5">
        <w:rPr>
          <w:rFonts w:cstheme="minorHAnsi"/>
          <w:lang w:eastAsia="en-AU"/>
        </w:rPr>
        <w:t>.</w:t>
      </w:r>
    </w:p>
    <w:p w14:paraId="59590CCE" w14:textId="6B721817" w:rsidR="00D8675B" w:rsidRPr="00316246" w:rsidRDefault="00D8675B" w:rsidP="003F3184">
      <w:pPr>
        <w:pStyle w:val="Heading3"/>
        <w:spacing w:before="120" w:after="120"/>
      </w:pPr>
      <w:bookmarkStart w:id="89" w:name="_Toc224213135"/>
      <w:r w:rsidRPr="00316246">
        <w:lastRenderedPageBreak/>
        <w:t>Investigation into non-complian</w:t>
      </w:r>
      <w:r w:rsidRPr="00A91885">
        <w:t xml:space="preserve">ce </w:t>
      </w:r>
      <w:r w:rsidR="00A91885" w:rsidRPr="00A91885">
        <w:t xml:space="preserve">due to </w:t>
      </w:r>
      <w:r w:rsidRPr="00A91885">
        <w:t>biosecurity contamination</w:t>
      </w:r>
      <w:bookmarkEnd w:id="89"/>
    </w:p>
    <w:p w14:paraId="1184D6A2" w14:textId="1045B719" w:rsidR="00D8675B" w:rsidRDefault="00440144" w:rsidP="00440144">
      <w:pPr>
        <w:rPr>
          <w:lang w:eastAsia="ja-JP"/>
        </w:rPr>
      </w:pPr>
      <w:r>
        <w:rPr>
          <w:lang w:eastAsia="ja-JP"/>
        </w:rPr>
        <w:t>R</w:t>
      </w:r>
      <w:r w:rsidR="00D8675B">
        <w:rPr>
          <w:lang w:eastAsia="ja-JP"/>
        </w:rPr>
        <w:t>egistered offshore entit</w:t>
      </w:r>
      <w:r>
        <w:rPr>
          <w:lang w:eastAsia="ja-JP"/>
        </w:rPr>
        <w:t>ies that</w:t>
      </w:r>
      <w:r w:rsidR="00D8675B">
        <w:rPr>
          <w:lang w:eastAsia="ja-JP"/>
        </w:rPr>
        <w:t xml:space="preserve"> </w:t>
      </w:r>
      <w:r>
        <w:rPr>
          <w:lang w:eastAsia="ja-JP"/>
        </w:rPr>
        <w:t xml:space="preserve">wish to </w:t>
      </w:r>
      <w:r w:rsidR="00FB51B3">
        <w:rPr>
          <w:lang w:eastAsia="ja-JP"/>
        </w:rPr>
        <w:t>retain their registration</w:t>
      </w:r>
      <w:r>
        <w:rPr>
          <w:lang w:eastAsia="ja-JP"/>
        </w:rPr>
        <w:t xml:space="preserve"> following a</w:t>
      </w:r>
      <w:r w:rsidR="00D8675B">
        <w:rPr>
          <w:lang w:eastAsia="ja-JP"/>
        </w:rPr>
        <w:t xml:space="preserve"> biosecurity contamination </w:t>
      </w:r>
      <w:r>
        <w:rPr>
          <w:lang w:eastAsia="ja-JP"/>
        </w:rPr>
        <w:t xml:space="preserve">incident can </w:t>
      </w:r>
      <w:r w:rsidR="003D6F74">
        <w:rPr>
          <w:lang w:eastAsia="ja-JP"/>
        </w:rPr>
        <w:t>submit</w:t>
      </w:r>
      <w:r w:rsidR="005B07C1">
        <w:rPr>
          <w:lang w:eastAsia="ja-JP"/>
        </w:rPr>
        <w:t xml:space="preserve"> </w:t>
      </w:r>
      <w:r>
        <w:rPr>
          <w:lang w:eastAsia="ja-JP"/>
        </w:rPr>
        <w:t>a non-compliance investigation report for our consideration.</w:t>
      </w:r>
    </w:p>
    <w:p w14:paraId="74D99E8F" w14:textId="7A28B450" w:rsidR="00D8675B" w:rsidRDefault="00D8675B" w:rsidP="00D8675B">
      <w:pPr>
        <w:rPr>
          <w:lang w:eastAsia="ja-JP"/>
        </w:rPr>
      </w:pPr>
      <w:r>
        <w:rPr>
          <w:lang w:eastAsia="ja-JP"/>
        </w:rPr>
        <w:t>The report must be completed in English and cover:</w:t>
      </w:r>
    </w:p>
    <w:p w14:paraId="5BA4D666" w14:textId="6C83B496" w:rsidR="00D8675B" w:rsidRDefault="00E03B6A" w:rsidP="00E15AA6">
      <w:pPr>
        <w:pStyle w:val="ListBullet"/>
        <w:rPr>
          <w:lang w:eastAsia="ja-JP"/>
        </w:rPr>
      </w:pPr>
      <w:r>
        <w:rPr>
          <w:lang w:eastAsia="ja-JP"/>
        </w:rPr>
        <w:t>v</w:t>
      </w:r>
      <w:r w:rsidR="00D8675B">
        <w:rPr>
          <w:lang w:eastAsia="ja-JP"/>
        </w:rPr>
        <w:t>erification that the entire supply chain specific to the contaminated consignment, up to the point of vessel departure, w</w:t>
      </w:r>
      <w:r w:rsidR="003D6F74">
        <w:rPr>
          <w:lang w:eastAsia="ja-JP"/>
        </w:rPr>
        <w:t>as</w:t>
      </w:r>
      <w:r w:rsidR="00D8675B">
        <w:rPr>
          <w:lang w:eastAsia="ja-JP"/>
        </w:rPr>
        <w:t xml:space="preserve"> investigated and assessment of the efficacy of each point in the supply chain was conducted</w:t>
      </w:r>
    </w:p>
    <w:p w14:paraId="5DC1EA09" w14:textId="718AFD00" w:rsidR="00D8675B" w:rsidRDefault="00E03B6A" w:rsidP="00E15AA6">
      <w:pPr>
        <w:pStyle w:val="ListBullet"/>
        <w:rPr>
          <w:lang w:eastAsia="ja-JP"/>
        </w:rPr>
      </w:pPr>
      <w:r>
        <w:rPr>
          <w:lang w:eastAsia="ja-JP"/>
        </w:rPr>
        <w:t>d</w:t>
      </w:r>
      <w:r w:rsidR="00D8675B">
        <w:rPr>
          <w:lang w:eastAsia="ja-JP"/>
        </w:rPr>
        <w:t xml:space="preserve">etails of any persons from across the supply chain </w:t>
      </w:r>
      <w:r w:rsidR="003D6F74">
        <w:rPr>
          <w:lang w:eastAsia="ja-JP"/>
        </w:rPr>
        <w:t>who</w:t>
      </w:r>
      <w:r w:rsidR="00D8675B">
        <w:rPr>
          <w:lang w:eastAsia="ja-JP"/>
        </w:rPr>
        <w:t xml:space="preserve"> were interviewed or questioned as part of the investigation and a summary of their role and input</w:t>
      </w:r>
    </w:p>
    <w:p w14:paraId="733C3315" w14:textId="5EA99066" w:rsidR="00D8675B" w:rsidRDefault="00E03B6A" w:rsidP="00E15AA6">
      <w:pPr>
        <w:pStyle w:val="ListBullet"/>
        <w:rPr>
          <w:lang w:eastAsia="ja-JP"/>
        </w:rPr>
      </w:pPr>
      <w:r>
        <w:rPr>
          <w:lang w:eastAsia="ja-JP"/>
        </w:rPr>
        <w:t>d</w:t>
      </w:r>
      <w:r w:rsidR="00D8675B">
        <w:rPr>
          <w:lang w:eastAsia="ja-JP"/>
        </w:rPr>
        <w:t>etails of any existing operating procedures covering the entire relevant supply</w:t>
      </w:r>
      <w:r w:rsidR="003D6F74">
        <w:rPr>
          <w:lang w:eastAsia="ja-JP"/>
        </w:rPr>
        <w:t>-</w:t>
      </w:r>
      <w:r w:rsidR="00D8675B">
        <w:rPr>
          <w:lang w:eastAsia="ja-JP"/>
        </w:rPr>
        <w:t>chain processes</w:t>
      </w:r>
    </w:p>
    <w:p w14:paraId="6780A855" w14:textId="0B6744A6" w:rsidR="00D8675B" w:rsidRDefault="003D6F74" w:rsidP="00E15AA6">
      <w:pPr>
        <w:pStyle w:val="ListBullet"/>
        <w:rPr>
          <w:lang w:eastAsia="ja-JP"/>
        </w:rPr>
      </w:pPr>
      <w:r>
        <w:rPr>
          <w:lang w:eastAsia="ja-JP"/>
        </w:rPr>
        <w:t>d</w:t>
      </w:r>
      <w:r w:rsidR="00D8675B">
        <w:rPr>
          <w:lang w:eastAsia="ja-JP"/>
        </w:rPr>
        <w:t xml:space="preserve">etails of </w:t>
      </w:r>
      <w:r>
        <w:rPr>
          <w:lang w:eastAsia="ja-JP"/>
        </w:rPr>
        <w:t xml:space="preserve">both </w:t>
      </w:r>
      <w:r w:rsidR="00D8675B">
        <w:rPr>
          <w:lang w:eastAsia="ja-JP"/>
        </w:rPr>
        <w:t>staff training record</w:t>
      </w:r>
      <w:r>
        <w:rPr>
          <w:lang w:eastAsia="ja-JP"/>
        </w:rPr>
        <w:t>s</w:t>
      </w:r>
      <w:r w:rsidR="00D8675B">
        <w:rPr>
          <w:lang w:eastAsia="ja-JP"/>
        </w:rPr>
        <w:t xml:space="preserve"> and the individuals delivering the training</w:t>
      </w:r>
    </w:p>
    <w:p w14:paraId="4DC6C0E2" w14:textId="501D4E0D" w:rsidR="00D8675B" w:rsidRDefault="00E03B6A" w:rsidP="00E15AA6">
      <w:pPr>
        <w:pStyle w:val="ListBullet"/>
        <w:rPr>
          <w:lang w:eastAsia="ja-JP"/>
        </w:rPr>
      </w:pPr>
      <w:r>
        <w:rPr>
          <w:lang w:eastAsia="ja-JP"/>
        </w:rPr>
        <w:t>d</w:t>
      </w:r>
      <w:r w:rsidR="00D8675B">
        <w:rPr>
          <w:lang w:eastAsia="ja-JP"/>
        </w:rPr>
        <w:t>etails of proposed</w:t>
      </w:r>
      <w:r>
        <w:rPr>
          <w:lang w:eastAsia="ja-JP"/>
        </w:rPr>
        <w:t xml:space="preserve"> or </w:t>
      </w:r>
      <w:r w:rsidR="00D8675B">
        <w:rPr>
          <w:lang w:eastAsia="ja-JP"/>
        </w:rPr>
        <w:t xml:space="preserve">implemented corrective actions to rectify any processes </w:t>
      </w:r>
      <w:r w:rsidR="003D6F74">
        <w:rPr>
          <w:lang w:eastAsia="ja-JP"/>
        </w:rPr>
        <w:t>identified as having potentially been the cause of the contamination in</w:t>
      </w:r>
      <w:r w:rsidR="00D8675B">
        <w:rPr>
          <w:lang w:eastAsia="ja-JP"/>
        </w:rPr>
        <w:t xml:space="preserve"> the supply chain</w:t>
      </w:r>
      <w:r w:rsidR="003D6F74">
        <w:rPr>
          <w:lang w:eastAsia="ja-JP"/>
        </w:rPr>
        <w:t xml:space="preserve"> (including evidence of how these actions will prevent the likelihood of further contamination incidents occurring)</w:t>
      </w:r>
    </w:p>
    <w:p w14:paraId="177A2D8D" w14:textId="77777777" w:rsidR="003D6F74" w:rsidRDefault="003D6F74" w:rsidP="00E15AA6">
      <w:pPr>
        <w:pStyle w:val="ListBullet"/>
        <w:rPr>
          <w:lang w:eastAsia="ja-JP"/>
        </w:rPr>
      </w:pPr>
      <w:r>
        <w:rPr>
          <w:lang w:eastAsia="ja-JP"/>
        </w:rPr>
        <w:t>verify compliance with the requirements of this policy and relevant biosecurity import conditions</w:t>
      </w:r>
    </w:p>
    <w:p w14:paraId="5CE28F8B" w14:textId="0F4820EB" w:rsidR="00D8675B" w:rsidRDefault="00E03B6A" w:rsidP="00E15AA6">
      <w:pPr>
        <w:pStyle w:val="ListBullet"/>
        <w:rPr>
          <w:lang w:eastAsia="ja-JP"/>
        </w:rPr>
      </w:pPr>
      <w:r>
        <w:rPr>
          <w:lang w:eastAsia="ja-JP"/>
        </w:rPr>
        <w:t>a</w:t>
      </w:r>
      <w:r w:rsidR="00D8675B">
        <w:rPr>
          <w:lang w:eastAsia="ja-JP"/>
        </w:rPr>
        <w:t>ny other requirements deemed necessary by the department to regain confidence in the registered offshore entity’s biosecurity risk management practices.</w:t>
      </w:r>
    </w:p>
    <w:p w14:paraId="720B94C5" w14:textId="0A0989D2" w:rsidR="003D6F74" w:rsidRDefault="003D6F74" w:rsidP="00D8675B">
      <w:pPr>
        <w:rPr>
          <w:lang w:eastAsia="ja-JP"/>
        </w:rPr>
      </w:pPr>
      <w:r>
        <w:rPr>
          <w:lang w:eastAsia="ja-JP"/>
        </w:rPr>
        <w:t xml:space="preserve">At the department’s discretion, the investigation may be conducted by an independent third-party or </w:t>
      </w:r>
      <w:r w:rsidRPr="003B01D5">
        <w:rPr>
          <w:lang w:eastAsia="ja-JP"/>
        </w:rPr>
        <w:t>by the department</w:t>
      </w:r>
      <w:r w:rsidRPr="00DC44F9">
        <w:rPr>
          <w:lang w:eastAsia="ja-JP"/>
        </w:rPr>
        <w:t>.</w:t>
      </w:r>
    </w:p>
    <w:p w14:paraId="7AA9A17B" w14:textId="596A76DB" w:rsidR="00D8675B" w:rsidRDefault="00E03B6A" w:rsidP="00D8675B">
      <w:pPr>
        <w:rPr>
          <w:lang w:eastAsia="ja-JP"/>
        </w:rPr>
      </w:pPr>
      <w:r>
        <w:rPr>
          <w:lang w:eastAsia="ja-JP"/>
        </w:rPr>
        <w:t>Email c</w:t>
      </w:r>
      <w:r w:rsidR="00D8675B">
        <w:rPr>
          <w:lang w:eastAsia="ja-JP"/>
        </w:rPr>
        <w:t xml:space="preserve">ompleted non-compliance investigation reports and supporting documentation in English to </w:t>
      </w:r>
      <w:r>
        <w:rPr>
          <w:lang w:eastAsia="ja-JP"/>
        </w:rPr>
        <w:t>our</w:t>
      </w:r>
      <w:r w:rsidR="00D8675B">
        <w:rPr>
          <w:lang w:eastAsia="ja-JP"/>
        </w:rPr>
        <w:t xml:space="preserve"> Sea Cargo Policy section at </w:t>
      </w:r>
      <w:hyperlink r:id="rId53" w:history="1">
        <w:r w:rsidR="00E15AA6" w:rsidRPr="00B853D3">
          <w:rPr>
            <w:rStyle w:val="Hyperlink"/>
            <w:lang w:eastAsia="ja-JP"/>
          </w:rPr>
          <w:t>SeaCargoPolicy@aff.gov.au</w:t>
        </w:r>
      </w:hyperlink>
      <w:r w:rsidR="00D8675B">
        <w:rPr>
          <w:lang w:eastAsia="ja-JP"/>
        </w:rPr>
        <w:t xml:space="preserve">. </w:t>
      </w:r>
      <w:r>
        <w:rPr>
          <w:lang w:eastAsia="ja-JP"/>
        </w:rPr>
        <w:t>We will conduct a</w:t>
      </w:r>
      <w:r w:rsidR="00D8675B">
        <w:rPr>
          <w:lang w:eastAsia="ja-JP"/>
        </w:rPr>
        <w:t xml:space="preserve"> desktop assessment to determine the suitability of the offshore registered entity to maintain its registration.</w:t>
      </w:r>
    </w:p>
    <w:p w14:paraId="58A4F1A7" w14:textId="4885F840" w:rsidR="00D8675B" w:rsidRDefault="00440144" w:rsidP="00D8675B">
      <w:pPr>
        <w:rPr>
          <w:lang w:eastAsia="ja-JP"/>
        </w:rPr>
      </w:pPr>
      <w:r>
        <w:rPr>
          <w:lang w:eastAsia="ja-JP"/>
        </w:rPr>
        <w:t>Assessment p</w:t>
      </w:r>
      <w:r w:rsidR="00D8675B">
        <w:rPr>
          <w:lang w:eastAsia="ja-JP"/>
        </w:rPr>
        <w:t xml:space="preserve">rocessing </w:t>
      </w:r>
      <w:r>
        <w:rPr>
          <w:lang w:eastAsia="ja-JP"/>
        </w:rPr>
        <w:t>takes</w:t>
      </w:r>
      <w:r w:rsidR="00D8675B">
        <w:rPr>
          <w:lang w:eastAsia="ja-JP"/>
        </w:rPr>
        <w:t xml:space="preserve"> up to</w:t>
      </w:r>
      <w:r w:rsidR="00E03B6A">
        <w:rPr>
          <w:lang w:eastAsia="ja-JP"/>
        </w:rPr>
        <w:t xml:space="preserve"> </w:t>
      </w:r>
      <w:r w:rsidR="00D8675B">
        <w:rPr>
          <w:lang w:eastAsia="ja-JP"/>
        </w:rPr>
        <w:t>6 weeks (30 working days) from receipt of the complete non-compliance investigation report.</w:t>
      </w:r>
    </w:p>
    <w:p w14:paraId="4AD78B2E" w14:textId="6F431FA3" w:rsidR="00D8675B" w:rsidRPr="00316246" w:rsidRDefault="00A164D2" w:rsidP="003F3184">
      <w:pPr>
        <w:pStyle w:val="Heading4"/>
        <w:spacing w:before="120" w:after="120"/>
      </w:pPr>
      <w:r>
        <w:t>N</w:t>
      </w:r>
      <w:r w:rsidR="00D8675B" w:rsidRPr="00316246">
        <w:t>on-compliance investigation</w:t>
      </w:r>
      <w:r>
        <w:t xml:space="preserve">: </w:t>
      </w:r>
      <w:r w:rsidRPr="00316246">
        <w:t>Satisfactory</w:t>
      </w:r>
      <w:r w:rsidR="00D8675B" w:rsidRPr="00316246">
        <w:t xml:space="preserve"> outcome</w:t>
      </w:r>
    </w:p>
    <w:p w14:paraId="77BC4EA5" w14:textId="4DF3C1B8" w:rsidR="00D8675B" w:rsidRDefault="00D8675B" w:rsidP="00D8675B">
      <w:pPr>
        <w:rPr>
          <w:lang w:eastAsia="ja-JP"/>
        </w:rPr>
      </w:pPr>
      <w:r>
        <w:rPr>
          <w:lang w:eastAsia="ja-JP"/>
        </w:rPr>
        <w:t xml:space="preserve">If </w:t>
      </w:r>
      <w:r w:rsidR="00AF6D35">
        <w:rPr>
          <w:lang w:eastAsia="ja-JP"/>
        </w:rPr>
        <w:t>we are</w:t>
      </w:r>
      <w:r>
        <w:rPr>
          <w:lang w:eastAsia="ja-JP"/>
        </w:rPr>
        <w:t xml:space="preserve"> satisfied with the outcome of </w:t>
      </w:r>
      <w:r w:rsidR="00A164D2">
        <w:rPr>
          <w:lang w:eastAsia="ja-JP"/>
        </w:rPr>
        <w:t>a</w:t>
      </w:r>
      <w:r>
        <w:rPr>
          <w:lang w:eastAsia="ja-JP"/>
        </w:rPr>
        <w:t xml:space="preserve"> non-compliance investigation report and proposed</w:t>
      </w:r>
      <w:r w:rsidR="00AF6D35">
        <w:rPr>
          <w:lang w:eastAsia="ja-JP"/>
        </w:rPr>
        <w:t xml:space="preserve"> or </w:t>
      </w:r>
      <w:r>
        <w:rPr>
          <w:lang w:eastAsia="ja-JP"/>
        </w:rPr>
        <w:t xml:space="preserve">implemented corrective actions, </w:t>
      </w:r>
      <w:r w:rsidR="00AF6D35">
        <w:rPr>
          <w:lang w:eastAsia="ja-JP"/>
        </w:rPr>
        <w:t>we</w:t>
      </w:r>
      <w:r>
        <w:rPr>
          <w:lang w:eastAsia="ja-JP"/>
        </w:rPr>
        <w:t xml:space="preserve"> will advise the registered offshore entity of the timeline and requirements for lifting any existing sanctions. This may include further verification activities on consignments exported by the </w:t>
      </w:r>
      <w:r w:rsidR="00FE6EB6">
        <w:rPr>
          <w:lang w:eastAsia="ja-JP"/>
        </w:rPr>
        <w:t>entity</w:t>
      </w:r>
      <w:r>
        <w:rPr>
          <w:lang w:eastAsia="ja-JP"/>
        </w:rPr>
        <w:t xml:space="preserve"> to verify the efficacy of any corrective actions implemented.</w:t>
      </w:r>
    </w:p>
    <w:p w14:paraId="0E21FF70" w14:textId="28E9D005" w:rsidR="00D8675B" w:rsidRPr="00316246" w:rsidRDefault="00A164D2" w:rsidP="003F3184">
      <w:pPr>
        <w:pStyle w:val="Heading4"/>
        <w:spacing w:before="120" w:after="120"/>
      </w:pPr>
      <w:r>
        <w:t>N</w:t>
      </w:r>
      <w:r w:rsidR="00D8675B" w:rsidRPr="00316246">
        <w:t>on-compliance investigation</w:t>
      </w:r>
      <w:r>
        <w:t xml:space="preserve">: </w:t>
      </w:r>
      <w:r w:rsidRPr="00316246">
        <w:t>Unsatisfactory</w:t>
      </w:r>
      <w:r w:rsidR="00D8675B" w:rsidRPr="00316246">
        <w:t xml:space="preserve"> outcome</w:t>
      </w:r>
    </w:p>
    <w:p w14:paraId="495129F4" w14:textId="62959E1F" w:rsidR="00D8675B" w:rsidRDefault="00D8675B" w:rsidP="00D8675B">
      <w:pPr>
        <w:rPr>
          <w:lang w:eastAsia="ja-JP"/>
        </w:rPr>
      </w:pPr>
      <w:r>
        <w:rPr>
          <w:lang w:eastAsia="ja-JP"/>
        </w:rPr>
        <w:t xml:space="preserve">If </w:t>
      </w:r>
      <w:r w:rsidR="00AF6D35">
        <w:rPr>
          <w:lang w:eastAsia="ja-JP"/>
        </w:rPr>
        <w:t>we are</w:t>
      </w:r>
      <w:r>
        <w:rPr>
          <w:lang w:eastAsia="ja-JP"/>
        </w:rPr>
        <w:t xml:space="preserve"> unsatisfied with the outcome of </w:t>
      </w:r>
      <w:r w:rsidR="00FE6EB6">
        <w:rPr>
          <w:lang w:eastAsia="ja-JP"/>
        </w:rPr>
        <w:t>a</w:t>
      </w:r>
      <w:r>
        <w:rPr>
          <w:lang w:eastAsia="ja-JP"/>
        </w:rPr>
        <w:t xml:space="preserve"> </w:t>
      </w:r>
      <w:r w:rsidR="00FE6EB6">
        <w:rPr>
          <w:lang w:eastAsia="ja-JP"/>
        </w:rPr>
        <w:t xml:space="preserve">non-compliance </w:t>
      </w:r>
      <w:r>
        <w:rPr>
          <w:lang w:eastAsia="ja-JP"/>
        </w:rPr>
        <w:t>investigation report or proposed</w:t>
      </w:r>
      <w:r w:rsidR="00AF6D35">
        <w:rPr>
          <w:lang w:eastAsia="ja-JP"/>
        </w:rPr>
        <w:t xml:space="preserve"> or </w:t>
      </w:r>
      <w:r>
        <w:rPr>
          <w:lang w:eastAsia="ja-JP"/>
        </w:rPr>
        <w:t xml:space="preserve">implemented corrective actions, </w:t>
      </w:r>
      <w:r w:rsidR="00AF6D35">
        <w:rPr>
          <w:lang w:eastAsia="ja-JP"/>
        </w:rPr>
        <w:t>we</w:t>
      </w:r>
      <w:r>
        <w:rPr>
          <w:lang w:eastAsia="ja-JP"/>
        </w:rPr>
        <w:t xml:space="preserve"> will work with the registered offshore entity to address these shortcomings. </w:t>
      </w:r>
      <w:r w:rsidR="009A0704">
        <w:rPr>
          <w:lang w:eastAsia="ja-JP"/>
        </w:rPr>
        <w:t>We</w:t>
      </w:r>
      <w:r>
        <w:rPr>
          <w:lang w:eastAsia="ja-JP"/>
        </w:rPr>
        <w:t xml:space="preserve"> will not lift any sanctions until </w:t>
      </w:r>
      <w:r w:rsidR="009A0704">
        <w:rPr>
          <w:lang w:eastAsia="ja-JP"/>
        </w:rPr>
        <w:t>we are</w:t>
      </w:r>
      <w:r>
        <w:rPr>
          <w:lang w:eastAsia="ja-JP"/>
        </w:rPr>
        <w:t xml:space="preserve"> satisfied that the corrective actions have </w:t>
      </w:r>
      <w:r>
        <w:rPr>
          <w:lang w:eastAsia="ja-JP"/>
        </w:rPr>
        <w:lastRenderedPageBreak/>
        <w:t xml:space="preserve">been implemented and </w:t>
      </w:r>
      <w:r w:rsidR="00FE6EB6">
        <w:rPr>
          <w:lang w:eastAsia="ja-JP"/>
        </w:rPr>
        <w:t xml:space="preserve">our </w:t>
      </w:r>
      <w:r>
        <w:rPr>
          <w:lang w:eastAsia="ja-JP"/>
        </w:rPr>
        <w:t>confidence in the biosecurity risk management practices of the registered offshore entity has been restored.</w:t>
      </w:r>
    </w:p>
    <w:p w14:paraId="49E60FEE" w14:textId="77ED8E55" w:rsidR="00691363" w:rsidRDefault="00D8675B" w:rsidP="00691363">
      <w:pPr>
        <w:rPr>
          <w:lang w:eastAsia="ja-JP"/>
        </w:rPr>
      </w:pPr>
      <w:r>
        <w:rPr>
          <w:lang w:eastAsia="ja-JP"/>
        </w:rPr>
        <w:t>If adequate corrective actions cannot be implemented and/or</w:t>
      </w:r>
      <w:r w:rsidR="00FE6EB6">
        <w:rPr>
          <w:lang w:eastAsia="ja-JP"/>
        </w:rPr>
        <w:t xml:space="preserve"> our</w:t>
      </w:r>
      <w:r>
        <w:rPr>
          <w:lang w:eastAsia="ja-JP"/>
        </w:rPr>
        <w:t xml:space="preserve"> confidence in the biosecurity risk management practices of the registered offshore entity cannot be restored within a reasonable timeframe, </w:t>
      </w:r>
      <w:r w:rsidR="009A0704">
        <w:rPr>
          <w:lang w:eastAsia="ja-JP"/>
        </w:rPr>
        <w:t xml:space="preserve">we may withdraw </w:t>
      </w:r>
      <w:r>
        <w:rPr>
          <w:lang w:eastAsia="ja-JP"/>
        </w:rPr>
        <w:t>the registration of the offshore entity.</w:t>
      </w:r>
    </w:p>
    <w:p w14:paraId="19FDFD4C" w14:textId="77777777" w:rsidR="00691363" w:rsidRPr="00316246" w:rsidRDefault="00691363" w:rsidP="00DC44F9">
      <w:pPr>
        <w:pStyle w:val="Heading4"/>
      </w:pPr>
      <w:r w:rsidRPr="00316246">
        <w:t>Reinstating registration status of suspended or withdrawn entities</w:t>
      </w:r>
    </w:p>
    <w:p w14:paraId="3FEB0C4C" w14:textId="414932A2" w:rsidR="00691363" w:rsidRDefault="00691363" w:rsidP="00691363">
      <w:pPr>
        <w:rPr>
          <w:lang w:eastAsia="ja-JP"/>
        </w:rPr>
      </w:pPr>
      <w:r>
        <w:rPr>
          <w:lang w:eastAsia="ja-JP"/>
        </w:rPr>
        <w:t>Offshore entities that have had their registration suspended or withdrawn can only seek Level 2 registration if:</w:t>
      </w:r>
    </w:p>
    <w:p w14:paraId="3743A896" w14:textId="77777777" w:rsidR="00691363" w:rsidRPr="00D36074" w:rsidRDefault="00691363" w:rsidP="00691363">
      <w:pPr>
        <w:pStyle w:val="ListBullet"/>
        <w:rPr>
          <w:lang w:eastAsia="ja-JP"/>
        </w:rPr>
      </w:pPr>
      <w:r w:rsidRPr="00D36074">
        <w:rPr>
          <w:lang w:eastAsia="ja-JP"/>
        </w:rPr>
        <w:t>any non-compliance related to the previous registration is addressed to our satisfaction</w:t>
      </w:r>
    </w:p>
    <w:p w14:paraId="2A9B5DF7" w14:textId="77777777" w:rsidR="00BB027C" w:rsidRDefault="00691363">
      <w:pPr>
        <w:pStyle w:val="ListBullet"/>
        <w:rPr>
          <w:lang w:eastAsia="ja-JP"/>
        </w:rPr>
      </w:pPr>
      <w:r w:rsidRPr="00D36074">
        <w:rPr>
          <w:lang w:eastAsia="ja-JP"/>
        </w:rPr>
        <w:t>a full Level 2 registration process is completed</w:t>
      </w:r>
      <w:r w:rsidR="00BB027C">
        <w:rPr>
          <w:lang w:eastAsia="ja-JP"/>
        </w:rPr>
        <w:t xml:space="preserve"> (see</w:t>
      </w:r>
      <w:r w:rsidR="00BB027C" w:rsidRPr="00D36074">
        <w:rPr>
          <w:lang w:eastAsia="ja-JP"/>
        </w:rPr>
        <w:t xml:space="preserve"> </w:t>
      </w:r>
      <w:hyperlink w:anchor="_Risk_management_assessment" w:history="1">
        <w:r w:rsidR="00BB027C">
          <w:rPr>
            <w:rStyle w:val="Hyperlink"/>
            <w:lang w:eastAsia="ja-JP"/>
          </w:rPr>
          <w:t>chapter 2</w:t>
        </w:r>
      </w:hyperlink>
      <w:r w:rsidR="00BB027C">
        <w:rPr>
          <w:lang w:eastAsia="ja-JP"/>
        </w:rPr>
        <w:t>)</w:t>
      </w:r>
    </w:p>
    <w:p w14:paraId="1A622503" w14:textId="75EC3D20" w:rsidR="00691363" w:rsidRPr="00D36074" w:rsidRDefault="00BB027C" w:rsidP="00DC44F9">
      <w:pPr>
        <w:pStyle w:val="ListBullet"/>
        <w:rPr>
          <w:lang w:eastAsia="ja-JP"/>
        </w:rPr>
      </w:pPr>
      <w:r>
        <w:rPr>
          <w:lang w:eastAsia="ja-JP"/>
        </w:rPr>
        <w:t xml:space="preserve">evidence that the entity has been meeting </w:t>
      </w:r>
      <w:r w:rsidR="00691363" w:rsidRPr="00DC44F9">
        <w:rPr>
          <w:lang w:eastAsia="ja-JP"/>
        </w:rPr>
        <w:t>eligibility requirements</w:t>
      </w:r>
      <w:r>
        <w:rPr>
          <w:lang w:eastAsia="ja-JP"/>
        </w:rPr>
        <w:t xml:space="preserve"> in the period since</w:t>
      </w:r>
      <w:r w:rsidR="00691363" w:rsidRPr="00DC44F9">
        <w:rPr>
          <w:lang w:eastAsia="ja-JP"/>
        </w:rPr>
        <w:t xml:space="preserve"> </w:t>
      </w:r>
      <w:r>
        <w:rPr>
          <w:lang w:eastAsia="ja-JP"/>
        </w:rPr>
        <w:t xml:space="preserve">its previous registration was </w:t>
      </w:r>
      <w:r w:rsidR="00691363" w:rsidRPr="00DC44F9">
        <w:rPr>
          <w:lang w:eastAsia="ja-JP"/>
        </w:rPr>
        <w:t>withdraw</w:t>
      </w:r>
      <w:r>
        <w:rPr>
          <w:lang w:eastAsia="ja-JP"/>
        </w:rPr>
        <w:t>n</w:t>
      </w:r>
      <w:r w:rsidR="00691363" w:rsidRPr="00DC44F9">
        <w:rPr>
          <w:lang w:eastAsia="ja-JP"/>
        </w:rPr>
        <w:t>.</w:t>
      </w:r>
    </w:p>
    <w:p w14:paraId="5AB24007" w14:textId="77777777" w:rsidR="003E4788" w:rsidRDefault="005C11E1" w:rsidP="004B501F">
      <w:pPr>
        <w:pStyle w:val="Heading2"/>
        <w:numPr>
          <w:ilvl w:val="0"/>
          <w:numId w:val="0"/>
        </w:numPr>
        <w:ind w:left="720" w:hanging="720"/>
      </w:pPr>
      <w:bookmarkStart w:id="90" w:name="_Toc224213136"/>
      <w:bookmarkEnd w:id="81"/>
      <w:r>
        <w:lastRenderedPageBreak/>
        <w:t>Glossary</w:t>
      </w:r>
      <w:bookmarkEnd w:id="90"/>
    </w:p>
    <w:p w14:paraId="2B839612" w14:textId="6572339F" w:rsidR="00796270" w:rsidRPr="00011520" w:rsidRDefault="00796270" w:rsidP="001F063E">
      <w:r>
        <w:rPr>
          <w:lang w:eastAsia="ja-JP"/>
        </w:rPr>
        <w:t xml:space="preserve">For other related terms, see the </w:t>
      </w:r>
      <w:hyperlink r:id="rId54" w:history="1">
        <w:r w:rsidRPr="00796270">
          <w:rPr>
            <w:rStyle w:val="Hyperlink"/>
            <w:lang w:eastAsia="ja-JP"/>
          </w:rPr>
          <w:t>approved arrangement glossary</w:t>
        </w:r>
      </w:hyperlink>
      <w:r w:rsidRPr="00796270">
        <w:rPr>
          <w:lang w:eastAsia="ja-JP"/>
        </w:rPr>
        <w:t>.</w:t>
      </w:r>
    </w:p>
    <w:tbl>
      <w:tblPr>
        <w:tblW w:w="5000" w:type="pct"/>
        <w:tblBorders>
          <w:top w:val="single" w:sz="6" w:space="0" w:color="auto"/>
          <w:bottom w:val="single" w:sz="4" w:space="0" w:color="auto"/>
          <w:insideH w:val="single" w:sz="4" w:space="0" w:color="auto"/>
        </w:tblBorders>
        <w:tblCellMar>
          <w:left w:w="40" w:type="dxa"/>
          <w:right w:w="40" w:type="dxa"/>
        </w:tblCellMar>
        <w:tblLook w:val="04A0" w:firstRow="1" w:lastRow="0" w:firstColumn="1" w:lastColumn="0" w:noHBand="0" w:noVBand="1"/>
      </w:tblPr>
      <w:tblGrid>
        <w:gridCol w:w="2004"/>
        <w:gridCol w:w="7066"/>
      </w:tblGrid>
      <w:tr w:rsidR="00634CBA" w14:paraId="7C8C0E65" w14:textId="77777777" w:rsidTr="008A7C2A">
        <w:trPr>
          <w:cantSplit/>
          <w:tblHeader/>
        </w:trPr>
        <w:tc>
          <w:tcPr>
            <w:tcW w:w="1105" w:type="pct"/>
            <w:tcBorders>
              <w:top w:val="single" w:sz="6" w:space="0" w:color="auto"/>
              <w:left w:val="nil"/>
              <w:bottom w:val="single" w:sz="4" w:space="0" w:color="auto"/>
              <w:right w:val="nil"/>
            </w:tcBorders>
            <w:tcMar>
              <w:top w:w="0" w:type="dxa"/>
              <w:left w:w="108" w:type="dxa"/>
              <w:bottom w:w="0" w:type="dxa"/>
              <w:right w:w="108" w:type="dxa"/>
            </w:tcMar>
            <w:hideMark/>
          </w:tcPr>
          <w:p w14:paraId="034F3EAA" w14:textId="77777777" w:rsidR="00634CBA" w:rsidRDefault="00634CBA">
            <w:pPr>
              <w:pStyle w:val="TableHeading"/>
            </w:pPr>
            <w:bookmarkStart w:id="91" w:name="Title_Glossary"/>
            <w:bookmarkEnd w:id="91"/>
            <w:r>
              <w:t>Term</w:t>
            </w:r>
          </w:p>
        </w:tc>
        <w:tc>
          <w:tcPr>
            <w:tcW w:w="3895" w:type="pct"/>
            <w:tcBorders>
              <w:top w:val="single" w:sz="6" w:space="0" w:color="auto"/>
              <w:left w:val="nil"/>
              <w:bottom w:val="single" w:sz="4" w:space="0" w:color="auto"/>
              <w:right w:val="nil"/>
            </w:tcBorders>
            <w:tcMar>
              <w:top w:w="0" w:type="dxa"/>
              <w:left w:w="108" w:type="dxa"/>
              <w:bottom w:w="0" w:type="dxa"/>
              <w:right w:w="108" w:type="dxa"/>
            </w:tcMar>
            <w:hideMark/>
          </w:tcPr>
          <w:p w14:paraId="1223A560" w14:textId="77777777" w:rsidR="00634CBA" w:rsidRDefault="00634CBA">
            <w:pPr>
              <w:pStyle w:val="TableHeading"/>
            </w:pPr>
            <w:r>
              <w:t>Definition</w:t>
            </w:r>
          </w:p>
        </w:tc>
      </w:tr>
      <w:tr w:rsidR="00634CBA" w14:paraId="664EFFB8"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hideMark/>
          </w:tcPr>
          <w:p w14:paraId="24112437" w14:textId="2C9728A6" w:rsidR="00634CBA" w:rsidRDefault="00796270">
            <w:pPr>
              <w:pStyle w:val="TableText"/>
            </w:pPr>
            <w:r>
              <w:t>a</w:t>
            </w:r>
            <w:r w:rsidR="00116D4B">
              <w:t>ctionable cargo</w:t>
            </w:r>
          </w:p>
        </w:tc>
        <w:tc>
          <w:tcPr>
            <w:tcW w:w="3895" w:type="pct"/>
            <w:tcBorders>
              <w:top w:val="single" w:sz="4" w:space="0" w:color="auto"/>
              <w:left w:val="nil"/>
              <w:bottom w:val="single" w:sz="4" w:space="0" w:color="auto"/>
              <w:right w:val="nil"/>
            </w:tcBorders>
            <w:tcMar>
              <w:top w:w="0" w:type="dxa"/>
              <w:left w:w="108" w:type="dxa"/>
              <w:bottom w:w="0" w:type="dxa"/>
              <w:right w:w="108" w:type="dxa"/>
            </w:tcMar>
            <w:hideMark/>
          </w:tcPr>
          <w:p w14:paraId="69E31A44" w14:textId="792E8E38" w:rsidR="00F47143" w:rsidRDefault="00496D7B" w:rsidP="00F47143">
            <w:pPr>
              <w:pStyle w:val="TableText"/>
            </w:pPr>
            <w:r>
              <w:t>Examples of a</w:t>
            </w:r>
            <w:r w:rsidR="00F47143">
              <w:t xml:space="preserve">ctionable </w:t>
            </w:r>
            <w:r>
              <w:t xml:space="preserve">vessel </w:t>
            </w:r>
            <w:r w:rsidR="00F47143">
              <w:t xml:space="preserve">cargo </w:t>
            </w:r>
            <w:r>
              <w:t>include</w:t>
            </w:r>
            <w:r w:rsidR="00F47143">
              <w:t xml:space="preserve"> </w:t>
            </w:r>
            <w:r>
              <w:t xml:space="preserve">the following </w:t>
            </w:r>
            <w:r w:rsidR="00F47143">
              <w:t>commodities:</w:t>
            </w:r>
          </w:p>
          <w:p w14:paraId="48738648" w14:textId="0A12FBF9" w:rsidR="00F47143" w:rsidRDefault="00F47143" w:rsidP="00EA4198">
            <w:pPr>
              <w:pStyle w:val="TableBullet1"/>
            </w:pPr>
            <w:r>
              <w:t>grains (e.g. barley, maize, oats, sorghum</w:t>
            </w:r>
            <w:r w:rsidR="00496D7B">
              <w:t xml:space="preserve"> or </w:t>
            </w:r>
            <w:r>
              <w:t>wheat)</w:t>
            </w:r>
          </w:p>
          <w:p w14:paraId="12F3615C" w14:textId="15593C3A" w:rsidR="00F47143" w:rsidRDefault="00F47143" w:rsidP="00EA4198">
            <w:pPr>
              <w:pStyle w:val="TableBullet1"/>
            </w:pPr>
            <w:r>
              <w:t>legumes (e.g. beans, lucerne, peanuts peas</w:t>
            </w:r>
            <w:r w:rsidR="00496D7B">
              <w:t xml:space="preserve"> or </w:t>
            </w:r>
            <w:r>
              <w:t>soybean</w:t>
            </w:r>
          </w:p>
          <w:p w14:paraId="1DEABACD" w14:textId="1895FF6B" w:rsidR="00F47143" w:rsidRDefault="00F47143" w:rsidP="00EA4198">
            <w:pPr>
              <w:pStyle w:val="TableBullet1"/>
            </w:pPr>
            <w:r>
              <w:t>nuts</w:t>
            </w:r>
          </w:p>
          <w:p w14:paraId="510CFCAD" w14:textId="38A9CB69" w:rsidR="00F47143" w:rsidRDefault="00F47143" w:rsidP="00EA4198">
            <w:pPr>
              <w:pStyle w:val="TableBullet1"/>
            </w:pPr>
            <w:r>
              <w:t>oilseeds (e.g</w:t>
            </w:r>
            <w:r w:rsidR="00496D7B">
              <w:t>.</w:t>
            </w:r>
            <w:r>
              <w:t xml:space="preserve"> canola, cottonseed, rapeseed</w:t>
            </w:r>
            <w:r w:rsidR="00496D7B">
              <w:t xml:space="preserve"> or</w:t>
            </w:r>
            <w:r>
              <w:t xml:space="preserve"> sunflower)</w:t>
            </w:r>
          </w:p>
          <w:p w14:paraId="7A464725" w14:textId="015208AB" w:rsidR="00F47143" w:rsidRDefault="00F47143" w:rsidP="00EA4198">
            <w:pPr>
              <w:pStyle w:val="TableBullet1"/>
            </w:pPr>
            <w:r>
              <w:t>plant</w:t>
            </w:r>
            <w:r w:rsidR="00496D7B">
              <w:t>-</w:t>
            </w:r>
            <w:r>
              <w:t xml:space="preserve"> or animal-based meals and/or stock feed in any form (e.g. canola meal, fishmeal, palm kernel expeller</w:t>
            </w:r>
            <w:r w:rsidR="00496D7B">
              <w:t xml:space="preserve"> or</w:t>
            </w:r>
            <w:r>
              <w:t xml:space="preserve"> soybean meal)</w:t>
            </w:r>
          </w:p>
          <w:p w14:paraId="75244F86" w14:textId="1133CF21" w:rsidR="00F47143" w:rsidRDefault="00F47143" w:rsidP="00EA4198">
            <w:pPr>
              <w:pStyle w:val="TableBullet1"/>
            </w:pPr>
            <w:r>
              <w:t>rice (raw, unpolished</w:t>
            </w:r>
            <w:r w:rsidR="00496D7B">
              <w:t xml:space="preserve"> or</w:t>
            </w:r>
            <w:r>
              <w:t xml:space="preserve"> with husks on), excluding white polished, milled</w:t>
            </w:r>
            <w:r w:rsidR="00496D7B">
              <w:t xml:space="preserve"> or</w:t>
            </w:r>
            <w:r>
              <w:t xml:space="preserve"> bagged</w:t>
            </w:r>
            <w:r w:rsidR="00496D7B">
              <w:t> rice</w:t>
            </w:r>
          </w:p>
          <w:p w14:paraId="0D0BB5E7" w14:textId="0B9DF28B" w:rsidR="00F47143" w:rsidRDefault="00F47143" w:rsidP="00EA4198">
            <w:pPr>
              <w:pStyle w:val="TableBullet1"/>
            </w:pPr>
            <w:r>
              <w:t xml:space="preserve">sand and river sand, excluding mineral sands </w:t>
            </w:r>
            <w:r w:rsidR="001464F4">
              <w:t>(</w:t>
            </w:r>
            <w:r>
              <w:t>e.g. rutile, ilmenite, zircon, garnet and aggregates not containing sand</w:t>
            </w:r>
            <w:r w:rsidR="001464F4">
              <w:t>)</w:t>
            </w:r>
          </w:p>
          <w:p w14:paraId="154E19E4" w14:textId="456E71E6" w:rsidR="00F47143" w:rsidRDefault="00F47143" w:rsidP="00EA4198">
            <w:pPr>
              <w:pStyle w:val="TableBullet1"/>
            </w:pPr>
            <w:r>
              <w:t>sugar cane, excluding raw</w:t>
            </w:r>
            <w:r w:rsidR="00496D7B">
              <w:t xml:space="preserve"> or </w:t>
            </w:r>
            <w:r>
              <w:t>processed sugar, bagged or bulk</w:t>
            </w:r>
          </w:p>
          <w:p w14:paraId="7043F16E" w14:textId="39057E4A" w:rsidR="00F47143" w:rsidRDefault="00F47143" w:rsidP="00EA4198">
            <w:pPr>
              <w:pStyle w:val="TableBullet1"/>
            </w:pPr>
            <w:r>
              <w:t>any other seeds.</w:t>
            </w:r>
          </w:p>
          <w:p w14:paraId="40A71EA2" w14:textId="5B31747C" w:rsidR="00634CBA" w:rsidRDefault="00F47143" w:rsidP="00F47143">
            <w:pPr>
              <w:pStyle w:val="TableText"/>
            </w:pPr>
            <w:r>
              <w:t>Logs and timber products are not considered actionable cargo. However, contaminant plant material, including leaves, weed seeds, twigs, woodchips and bark</w:t>
            </w:r>
            <w:r w:rsidR="005C7EEE">
              <w:t>,</w:t>
            </w:r>
            <w:r>
              <w:t xml:space="preserve"> are an actionable biosecurity risk material.</w:t>
            </w:r>
          </w:p>
        </w:tc>
      </w:tr>
      <w:tr w:rsidR="00634CBA" w14:paraId="301C8234"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hideMark/>
          </w:tcPr>
          <w:p w14:paraId="7FB531FF" w14:textId="134EAD44" w:rsidR="00634CBA" w:rsidRDefault="005F6583">
            <w:pPr>
              <w:pStyle w:val="TableText"/>
            </w:pPr>
            <w:r>
              <w:t>A</w:t>
            </w:r>
            <w:r w:rsidR="00880635">
              <w:t xml:space="preserve">udit </w:t>
            </w:r>
            <w:r w:rsidR="0091623C">
              <w:t xml:space="preserve">and </w:t>
            </w:r>
            <w:r>
              <w:t>A</w:t>
            </w:r>
            <w:r w:rsidR="0091623C">
              <w:t xml:space="preserve">ssurance </w:t>
            </w:r>
            <w:r>
              <w:t>B</w:t>
            </w:r>
            <w:r w:rsidR="0091623C">
              <w:t>ranch</w:t>
            </w:r>
          </w:p>
        </w:tc>
        <w:tc>
          <w:tcPr>
            <w:tcW w:w="3895" w:type="pct"/>
            <w:tcBorders>
              <w:top w:val="single" w:sz="4" w:space="0" w:color="auto"/>
              <w:left w:val="nil"/>
              <w:bottom w:val="single" w:sz="4" w:space="0" w:color="auto"/>
              <w:right w:val="nil"/>
            </w:tcBorders>
            <w:tcMar>
              <w:top w:w="0" w:type="dxa"/>
              <w:left w:w="108" w:type="dxa"/>
              <w:bottom w:w="0" w:type="dxa"/>
              <w:right w:w="108" w:type="dxa"/>
            </w:tcMar>
            <w:hideMark/>
          </w:tcPr>
          <w:p w14:paraId="654C0303" w14:textId="4F675880" w:rsidR="00634CBA" w:rsidRDefault="005F6583">
            <w:pPr>
              <w:pStyle w:val="TableText"/>
            </w:pPr>
            <w:r w:rsidRPr="005F6583">
              <w:t>Branch within the department responsible for conducting and managing audit-related services on behalf of the department.</w:t>
            </w:r>
          </w:p>
        </w:tc>
      </w:tr>
      <w:tr w:rsidR="00634CBA" w14:paraId="2E65B12B"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hideMark/>
          </w:tcPr>
          <w:p w14:paraId="50BBBEE2" w14:textId="2826119F" w:rsidR="00331073" w:rsidRDefault="00331073">
            <w:pPr>
              <w:pStyle w:val="TableText"/>
            </w:pPr>
            <w:r>
              <w:t>BICON</w:t>
            </w:r>
          </w:p>
        </w:tc>
        <w:tc>
          <w:tcPr>
            <w:tcW w:w="3895" w:type="pct"/>
            <w:tcBorders>
              <w:top w:val="single" w:sz="4" w:space="0" w:color="auto"/>
              <w:left w:val="nil"/>
              <w:bottom w:val="single" w:sz="4" w:space="0" w:color="auto"/>
              <w:right w:val="nil"/>
            </w:tcBorders>
            <w:tcMar>
              <w:top w:w="0" w:type="dxa"/>
              <w:left w:w="108" w:type="dxa"/>
              <w:bottom w:w="0" w:type="dxa"/>
              <w:right w:w="108" w:type="dxa"/>
            </w:tcMar>
            <w:hideMark/>
          </w:tcPr>
          <w:p w14:paraId="4D96D492" w14:textId="42F9B562" w:rsidR="00634CBA" w:rsidRDefault="00447003" w:rsidP="00447003">
            <w:pPr>
              <w:pStyle w:val="TableText"/>
            </w:pPr>
            <w:r>
              <w:t xml:space="preserve">The department’s </w:t>
            </w:r>
            <w:hyperlink r:id="rId55" w:history="1">
              <w:r w:rsidR="00331073">
                <w:rPr>
                  <w:rStyle w:val="Hyperlink"/>
                  <w:lang w:eastAsia="ja-JP"/>
                </w:rPr>
                <w:t>Biosecurity Import Conditions system</w:t>
              </w:r>
            </w:hyperlink>
            <w:r>
              <w:t xml:space="preserve"> </w:t>
            </w:r>
            <w:r w:rsidR="00331073">
              <w:t>lists</w:t>
            </w:r>
            <w:r>
              <w:t xml:space="preserve"> importing conditions for all commodities intended to be imported into Australian territory that </w:t>
            </w:r>
            <w:r w:rsidR="00331073">
              <w:t>could</w:t>
            </w:r>
            <w:r>
              <w:t xml:space="preserve"> pose a biosecurity risk to A</w:t>
            </w:r>
            <w:r w:rsidRPr="004A564C">
              <w:t>ustralia.</w:t>
            </w:r>
          </w:p>
        </w:tc>
      </w:tr>
      <w:tr w:rsidR="00D0571B" w14:paraId="5A18C174"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194AA4D1" w14:textId="00B03E15" w:rsidR="00D0571B" w:rsidRDefault="00331073">
            <w:pPr>
              <w:pStyle w:val="TableText"/>
            </w:pPr>
            <w:r>
              <w:t>b</w:t>
            </w:r>
            <w:r w:rsidR="00D0571B" w:rsidRPr="00D0571B">
              <w:t>iosecurity officer</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5FA1B7E5" w14:textId="044A5811" w:rsidR="00D0571B" w:rsidRDefault="00D0571B" w:rsidP="00D0571B">
            <w:pPr>
              <w:pStyle w:val="TableText"/>
            </w:pPr>
            <w:r>
              <w:t xml:space="preserve">A person who is authorised to be a biosecurity officer under section 545 of the </w:t>
            </w:r>
            <w:r w:rsidRPr="001F063E">
              <w:rPr>
                <w:rStyle w:val="Emphasis"/>
              </w:rPr>
              <w:t>Biosecurity Act 2015</w:t>
            </w:r>
            <w:r>
              <w:t>.</w:t>
            </w:r>
            <w:r w:rsidR="005C7EEE">
              <w:t xml:space="preserve"> </w:t>
            </w:r>
            <w:r w:rsidR="00FC0EEF">
              <w:t>Primarily r</w:t>
            </w:r>
            <w:r>
              <w:t xml:space="preserve">esponsible for the inspection of imported goods subject to biosecurity control </w:t>
            </w:r>
            <w:r w:rsidR="00AB257F">
              <w:t>and treatment</w:t>
            </w:r>
            <w:r>
              <w:t>, if necessary</w:t>
            </w:r>
            <w:r w:rsidR="00341BDE">
              <w:t>.</w:t>
            </w:r>
          </w:p>
        </w:tc>
      </w:tr>
      <w:tr w:rsidR="00634CBA" w14:paraId="3F2F68E4"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hideMark/>
          </w:tcPr>
          <w:p w14:paraId="0E4A8715" w14:textId="33212CA4" w:rsidR="00634CBA" w:rsidRDefault="00331073">
            <w:pPr>
              <w:pStyle w:val="TableText"/>
            </w:pPr>
            <w:r>
              <w:t>b</w:t>
            </w:r>
            <w:r w:rsidR="00E87F28">
              <w:t>iosecurity risk material</w:t>
            </w:r>
          </w:p>
        </w:tc>
        <w:tc>
          <w:tcPr>
            <w:tcW w:w="3895" w:type="pct"/>
            <w:tcBorders>
              <w:top w:val="single" w:sz="4" w:space="0" w:color="auto"/>
              <w:left w:val="nil"/>
              <w:bottom w:val="single" w:sz="4" w:space="0" w:color="auto"/>
              <w:right w:val="nil"/>
            </w:tcBorders>
            <w:tcMar>
              <w:top w:w="0" w:type="dxa"/>
              <w:left w:w="108" w:type="dxa"/>
              <w:bottom w:w="0" w:type="dxa"/>
              <w:right w:w="108" w:type="dxa"/>
            </w:tcMar>
            <w:hideMark/>
          </w:tcPr>
          <w:p w14:paraId="08E4A858" w14:textId="78E2CA35" w:rsidR="00604669" w:rsidRDefault="00604669" w:rsidP="00604669">
            <w:pPr>
              <w:pStyle w:val="TableText"/>
            </w:pPr>
            <w:r>
              <w:t xml:space="preserve">Goods </w:t>
            </w:r>
            <w:r w:rsidR="00331073">
              <w:t>that</w:t>
            </w:r>
            <w:r>
              <w:t xml:space="preserve"> have the potential to introduce into Australia an exotic </w:t>
            </w:r>
            <w:proofErr w:type="spellStart"/>
            <w:r>
              <w:t>pest</w:t>
            </w:r>
            <w:proofErr w:type="spellEnd"/>
            <w:r>
              <w:t xml:space="preserve"> or disease. This includes goods and </w:t>
            </w:r>
            <w:r w:rsidRPr="00D028E7">
              <w:t>packaging that are</w:t>
            </w:r>
            <w:r w:rsidR="00D028E7" w:rsidRPr="001F063E">
              <w:t xml:space="preserve"> contaminated</w:t>
            </w:r>
            <w:r w:rsidRPr="00D028E7">
              <w:t>, or are contaminated by, material</w:t>
            </w:r>
            <w:r>
              <w:t xml:space="preserve"> of biosecurity risk. Examples of biosecurity risks include:</w:t>
            </w:r>
          </w:p>
          <w:p w14:paraId="471AE4A0" w14:textId="2F7449AE" w:rsidR="00604669" w:rsidRDefault="00604669" w:rsidP="00EA4198">
            <w:pPr>
              <w:pStyle w:val="TableBullet1"/>
            </w:pPr>
            <w:r>
              <w:t>dead insects, animals and plants</w:t>
            </w:r>
          </w:p>
          <w:p w14:paraId="6DC1B1DA" w14:textId="427277BE" w:rsidR="00604669" w:rsidRDefault="00604669" w:rsidP="00EA4198">
            <w:pPr>
              <w:pStyle w:val="TableBullet1"/>
            </w:pPr>
            <w:r>
              <w:t>food refuse</w:t>
            </w:r>
          </w:p>
          <w:p w14:paraId="3AD0EF55" w14:textId="5031C9D0" w:rsidR="00604669" w:rsidRDefault="00604669" w:rsidP="00EA4198">
            <w:pPr>
              <w:pStyle w:val="TableBullet1"/>
            </w:pPr>
            <w:r>
              <w:t>insect and animal products (borer holes, frass</w:t>
            </w:r>
            <w:r w:rsidR="00D028E7">
              <w:t xml:space="preserve"> or </w:t>
            </w:r>
            <w:r>
              <w:t>faeces)</w:t>
            </w:r>
          </w:p>
          <w:p w14:paraId="7C7A6285" w14:textId="21180143" w:rsidR="00604669" w:rsidRDefault="00604669" w:rsidP="00EA4198">
            <w:pPr>
              <w:pStyle w:val="TableBullet1"/>
            </w:pPr>
            <w:r>
              <w:t>live insects, animals and plants</w:t>
            </w:r>
          </w:p>
          <w:p w14:paraId="7E2295ED" w14:textId="588BA405" w:rsidR="00604669" w:rsidRDefault="00604669" w:rsidP="00EA4198">
            <w:pPr>
              <w:pStyle w:val="TableBullet1"/>
            </w:pPr>
            <w:r>
              <w:t>mould</w:t>
            </w:r>
          </w:p>
          <w:p w14:paraId="0FDEB0FE" w14:textId="00203108" w:rsidR="00604669" w:rsidRDefault="00604669" w:rsidP="00EA4198">
            <w:pPr>
              <w:pStyle w:val="TableBullet1"/>
            </w:pPr>
            <w:r>
              <w:t>other detritus</w:t>
            </w:r>
          </w:p>
          <w:p w14:paraId="6D38B88B" w14:textId="184CAEE1" w:rsidR="00604669" w:rsidRDefault="00604669" w:rsidP="00EA4198">
            <w:pPr>
              <w:pStyle w:val="TableBullet1"/>
            </w:pPr>
            <w:r>
              <w:t>plant products</w:t>
            </w:r>
            <w:r w:rsidR="00D028E7">
              <w:t xml:space="preserve"> (</w:t>
            </w:r>
            <w:r>
              <w:t>e.g.</w:t>
            </w:r>
            <w:r w:rsidR="00E406A7">
              <w:t xml:space="preserve"> </w:t>
            </w:r>
            <w:r>
              <w:t>seeds, bamboo, timber and bark</w:t>
            </w:r>
            <w:r w:rsidR="00D028E7">
              <w:t>)</w:t>
            </w:r>
          </w:p>
          <w:p w14:paraId="340C9625" w14:textId="50DD9AC5" w:rsidR="00604669" w:rsidRDefault="00604669" w:rsidP="00EA4198">
            <w:pPr>
              <w:pStyle w:val="TableBullet1"/>
            </w:pPr>
            <w:r>
              <w:t>soil, dirt, clay</w:t>
            </w:r>
            <w:r w:rsidR="00D028E7">
              <w:t xml:space="preserve"> and</w:t>
            </w:r>
            <w:r>
              <w:t xml:space="preserve"> sand</w:t>
            </w:r>
          </w:p>
          <w:p w14:paraId="5C2CD68B" w14:textId="608757C6" w:rsidR="00634CBA" w:rsidRDefault="00604669" w:rsidP="001F063E">
            <w:pPr>
              <w:pStyle w:val="TableBullet1"/>
            </w:pPr>
            <w:r>
              <w:t>water, including watermarks.</w:t>
            </w:r>
          </w:p>
        </w:tc>
      </w:tr>
      <w:tr w:rsidR="00634CBA" w14:paraId="59E91FF4"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hideMark/>
          </w:tcPr>
          <w:p w14:paraId="18D7B6DE" w14:textId="20D2C32D" w:rsidR="00634CBA" w:rsidRDefault="00F70175">
            <w:pPr>
              <w:pStyle w:val="TableText"/>
            </w:pPr>
            <w:r w:rsidRPr="00F70175">
              <w:t>BCNCC</w:t>
            </w:r>
          </w:p>
        </w:tc>
        <w:tc>
          <w:tcPr>
            <w:tcW w:w="3895" w:type="pct"/>
            <w:tcBorders>
              <w:top w:val="single" w:sz="4" w:space="0" w:color="auto"/>
              <w:left w:val="nil"/>
              <w:bottom w:val="single" w:sz="4" w:space="0" w:color="auto"/>
              <w:right w:val="nil"/>
            </w:tcBorders>
            <w:tcMar>
              <w:top w:w="0" w:type="dxa"/>
              <w:left w:w="108" w:type="dxa"/>
              <w:bottom w:w="0" w:type="dxa"/>
              <w:right w:w="108" w:type="dxa"/>
            </w:tcMar>
            <w:hideMark/>
          </w:tcPr>
          <w:p w14:paraId="268F136E" w14:textId="3670940F" w:rsidR="00634CBA" w:rsidRDefault="00331073">
            <w:pPr>
              <w:pStyle w:val="TableText"/>
            </w:pPr>
            <w:r>
              <w:t xml:space="preserve">The department’s </w:t>
            </w:r>
            <w:r w:rsidRPr="00F70175">
              <w:t>Bulk Commodities National Co-ordination Centre</w:t>
            </w:r>
            <w:r>
              <w:t xml:space="preserve"> </w:t>
            </w:r>
            <w:r w:rsidR="00222535" w:rsidRPr="00222535">
              <w:t>performs assessment and operational management functions relating to vessels and associated consignments of imported bulk in-ships-hold commodities arriving in Australian territory, including inorganic fertiliser.</w:t>
            </w:r>
          </w:p>
        </w:tc>
      </w:tr>
      <w:tr w:rsidR="00634CBA" w14:paraId="126DF58B"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hideMark/>
          </w:tcPr>
          <w:p w14:paraId="5F7BA7EF" w14:textId="17ECD413" w:rsidR="00634CBA" w:rsidRDefault="00D110A2">
            <w:pPr>
              <w:pStyle w:val="TableText"/>
            </w:pPr>
            <w:r w:rsidRPr="00D110A2">
              <w:t>Cargo Operations Branch</w:t>
            </w:r>
            <w:r w:rsidR="00331073">
              <w:t xml:space="preserve"> –</w:t>
            </w:r>
            <w:r w:rsidRPr="00D110A2">
              <w:t xml:space="preserve"> Assessment</w:t>
            </w:r>
          </w:p>
        </w:tc>
        <w:tc>
          <w:tcPr>
            <w:tcW w:w="3895" w:type="pct"/>
            <w:tcBorders>
              <w:top w:val="single" w:sz="4" w:space="0" w:color="auto"/>
              <w:left w:val="nil"/>
              <w:bottom w:val="single" w:sz="4" w:space="0" w:color="auto"/>
              <w:right w:val="nil"/>
            </w:tcBorders>
            <w:tcMar>
              <w:top w:w="0" w:type="dxa"/>
              <w:left w:w="108" w:type="dxa"/>
              <w:bottom w:w="0" w:type="dxa"/>
              <w:right w:w="108" w:type="dxa"/>
            </w:tcMar>
            <w:hideMark/>
          </w:tcPr>
          <w:p w14:paraId="25E662ED" w14:textId="2102D542" w:rsidR="00634CBA" w:rsidRDefault="00657D51">
            <w:pPr>
              <w:pStyle w:val="TableText"/>
            </w:pPr>
            <w:r w:rsidRPr="00657D51">
              <w:t xml:space="preserve">Branch within the department that performs documentary assessment services and applies biosecurity directions to consignments of goods that have been referred to </w:t>
            </w:r>
            <w:r w:rsidR="00331073">
              <w:t>our</w:t>
            </w:r>
            <w:r w:rsidR="00331073" w:rsidRPr="00657D51">
              <w:t xml:space="preserve"> </w:t>
            </w:r>
            <w:r w:rsidRPr="00657D51">
              <w:t xml:space="preserve">importing systems </w:t>
            </w:r>
            <w:proofErr w:type="gramStart"/>
            <w:r w:rsidR="00D028E7">
              <w:t>as a result of</w:t>
            </w:r>
            <w:proofErr w:type="gramEnd"/>
            <w:r w:rsidRPr="00657D51">
              <w:t xml:space="preserve"> biosecurity concerns.</w:t>
            </w:r>
          </w:p>
        </w:tc>
      </w:tr>
      <w:tr w:rsidR="00634CBA" w14:paraId="4D4C8CCC"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hideMark/>
          </w:tcPr>
          <w:p w14:paraId="1F718800" w14:textId="00D35035" w:rsidR="00634CBA" w:rsidRDefault="00392B06">
            <w:pPr>
              <w:pStyle w:val="TableText"/>
            </w:pPr>
            <w:r>
              <w:t>c</w:t>
            </w:r>
            <w:r w:rsidR="005A01C4">
              <w:t>onsignment</w:t>
            </w:r>
          </w:p>
        </w:tc>
        <w:tc>
          <w:tcPr>
            <w:tcW w:w="3895" w:type="pct"/>
            <w:tcBorders>
              <w:top w:val="single" w:sz="4" w:space="0" w:color="auto"/>
              <w:left w:val="nil"/>
              <w:bottom w:val="single" w:sz="4" w:space="0" w:color="auto"/>
              <w:right w:val="nil"/>
            </w:tcBorders>
            <w:tcMar>
              <w:top w:w="0" w:type="dxa"/>
              <w:left w:w="108" w:type="dxa"/>
              <w:bottom w:w="0" w:type="dxa"/>
              <w:right w:w="108" w:type="dxa"/>
            </w:tcMar>
            <w:hideMark/>
          </w:tcPr>
          <w:p w14:paraId="617B2BCF" w14:textId="572E7BCF" w:rsidR="00634CBA" w:rsidRDefault="00392B06">
            <w:pPr>
              <w:pStyle w:val="TableText"/>
            </w:pPr>
            <w:r>
              <w:t>A</w:t>
            </w:r>
            <w:r w:rsidR="00CD60A1" w:rsidRPr="00CD60A1">
              <w:t>ny volume of goods (as defined in th</w:t>
            </w:r>
            <w:r w:rsidR="00D028E7">
              <w:t>is</w:t>
            </w:r>
            <w:r w:rsidR="00CD60A1" w:rsidRPr="00CD60A1">
              <w:t xml:space="preserve"> policy) to be imported into Australian territory. Consignments can be subject to biosecurity control under the </w:t>
            </w:r>
            <w:r w:rsidR="00CD60A1" w:rsidRPr="009E2A00">
              <w:rPr>
                <w:i/>
                <w:iCs/>
              </w:rPr>
              <w:t>Biosecurity Act 2015</w:t>
            </w:r>
            <w:r w:rsidR="00CD60A1" w:rsidRPr="00CD60A1">
              <w:t>.</w:t>
            </w:r>
          </w:p>
        </w:tc>
      </w:tr>
      <w:tr w:rsidR="00634CBA" w14:paraId="7F1B39BD"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hideMark/>
          </w:tcPr>
          <w:p w14:paraId="0CC25DD5" w14:textId="2D508F63" w:rsidR="00634CBA" w:rsidRDefault="00392B06">
            <w:pPr>
              <w:pStyle w:val="TableText"/>
            </w:pPr>
            <w:r>
              <w:lastRenderedPageBreak/>
              <w:t>c</w:t>
            </w:r>
            <w:r w:rsidR="00FC3851" w:rsidRPr="00FC3851">
              <w:t>ontainer/containerised</w:t>
            </w:r>
          </w:p>
        </w:tc>
        <w:tc>
          <w:tcPr>
            <w:tcW w:w="3895" w:type="pct"/>
            <w:tcBorders>
              <w:top w:val="single" w:sz="4" w:space="0" w:color="auto"/>
              <w:left w:val="nil"/>
              <w:bottom w:val="single" w:sz="4" w:space="0" w:color="auto"/>
              <w:right w:val="nil"/>
            </w:tcBorders>
            <w:tcMar>
              <w:top w:w="0" w:type="dxa"/>
              <w:left w:w="108" w:type="dxa"/>
              <w:bottom w:w="0" w:type="dxa"/>
              <w:right w:w="108" w:type="dxa"/>
            </w:tcMar>
            <w:hideMark/>
          </w:tcPr>
          <w:p w14:paraId="17966130" w14:textId="0699A4FB" w:rsidR="00634CBA" w:rsidRDefault="006226AB">
            <w:pPr>
              <w:pStyle w:val="TableText"/>
            </w:pPr>
            <w:r w:rsidRPr="006226AB">
              <w:t>For the purposes of inorganic fertiliser, a container means a sealed, six</w:t>
            </w:r>
            <w:r w:rsidR="00392B06">
              <w:t xml:space="preserve"> </w:t>
            </w:r>
            <w:r w:rsidRPr="006226AB">
              <w:t xml:space="preserve">hard sided shipping </w:t>
            </w:r>
            <w:proofErr w:type="gramStart"/>
            <w:r w:rsidRPr="006226AB">
              <w:t>container</w:t>
            </w:r>
            <w:proofErr w:type="gramEnd"/>
            <w:r w:rsidRPr="006226AB">
              <w:t>.</w:t>
            </w:r>
          </w:p>
        </w:tc>
      </w:tr>
      <w:tr w:rsidR="00634CBA" w14:paraId="1B602938"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hideMark/>
          </w:tcPr>
          <w:p w14:paraId="2E2BAC14" w14:textId="35CD6F81" w:rsidR="00634CBA" w:rsidRPr="000B2909" w:rsidRDefault="000B2909">
            <w:pPr>
              <w:pStyle w:val="TableText"/>
            </w:pPr>
            <w:r w:rsidRPr="00966A39">
              <w:t>e</w:t>
            </w:r>
            <w:r w:rsidR="00657FA4" w:rsidRPr="000B2909">
              <w:t xml:space="preserve">ntity </w:t>
            </w:r>
            <w:r w:rsidRPr="00966A39">
              <w:t>i</w:t>
            </w:r>
            <w:r w:rsidR="00657FA4" w:rsidRPr="000B2909">
              <w:t>dentifier</w:t>
            </w:r>
          </w:p>
        </w:tc>
        <w:tc>
          <w:tcPr>
            <w:tcW w:w="3895" w:type="pct"/>
            <w:tcBorders>
              <w:top w:val="single" w:sz="4" w:space="0" w:color="auto"/>
              <w:left w:val="nil"/>
              <w:bottom w:val="single" w:sz="4" w:space="0" w:color="auto"/>
              <w:right w:val="nil"/>
            </w:tcBorders>
            <w:tcMar>
              <w:top w:w="0" w:type="dxa"/>
              <w:left w:w="108" w:type="dxa"/>
              <w:bottom w:w="0" w:type="dxa"/>
              <w:right w:w="108" w:type="dxa"/>
            </w:tcMar>
            <w:hideMark/>
          </w:tcPr>
          <w:p w14:paraId="5C754EE2" w14:textId="42B2C0DD" w:rsidR="00634CBA" w:rsidRDefault="0016699F">
            <w:pPr>
              <w:pStyle w:val="TableText"/>
            </w:pPr>
            <w:r w:rsidRPr="0016699F">
              <w:t xml:space="preserve">The </w:t>
            </w:r>
            <w:r w:rsidR="000B2909">
              <w:t>e</w:t>
            </w:r>
            <w:r w:rsidRPr="0016699F">
              <w:t xml:space="preserve">ntity </w:t>
            </w:r>
            <w:r w:rsidR="000B2909">
              <w:t>i</w:t>
            </w:r>
            <w:r w:rsidRPr="0016699F">
              <w:t>dentifier</w:t>
            </w:r>
            <w:r w:rsidR="00BE3873">
              <w:t xml:space="preserve"> (</w:t>
            </w:r>
            <w:r w:rsidRPr="0016699F">
              <w:t>AEI</w:t>
            </w:r>
            <w:r w:rsidR="00BE3873">
              <w:t>)</w:t>
            </w:r>
            <w:r w:rsidRPr="0016699F">
              <w:t xml:space="preserve"> is a unique number assigned by the department to an entity</w:t>
            </w:r>
            <w:r w:rsidR="00D028E7">
              <w:t>. The AEI</w:t>
            </w:r>
            <w:r w:rsidRPr="0016699F">
              <w:t xml:space="preserve"> enables </w:t>
            </w:r>
            <w:r w:rsidR="00392B06">
              <w:t>us</w:t>
            </w:r>
            <w:r w:rsidRPr="0016699F">
              <w:t xml:space="preserve"> to associate that entity with specific consignments of imported goods via </w:t>
            </w:r>
            <w:r w:rsidR="00392B06">
              <w:t>our</w:t>
            </w:r>
            <w:r w:rsidRPr="0016699F">
              <w:t xml:space="preserve"> importing systems. Under the policy, the AEI is issued to registered</w:t>
            </w:r>
            <w:r w:rsidR="000C299F">
              <w:t xml:space="preserve"> Level 1</w:t>
            </w:r>
            <w:r w:rsidRPr="0016699F">
              <w:t xml:space="preserve"> entities.</w:t>
            </w:r>
          </w:p>
        </w:tc>
      </w:tr>
      <w:tr w:rsidR="00FD4A15" w14:paraId="65554B5A"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280E7C12" w14:textId="5E9DBF9E" w:rsidR="00FD4A15" w:rsidRDefault="00392B06">
            <w:pPr>
              <w:pStyle w:val="TableText"/>
            </w:pPr>
            <w:r>
              <w:t>f</w:t>
            </w:r>
            <w:r w:rsidR="00C87AA0" w:rsidRPr="00C87AA0">
              <w:t>urther processing</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68B88FF2" w14:textId="23FB1B11" w:rsidR="00CF36D9" w:rsidRDefault="00CF36D9" w:rsidP="00CF36D9">
            <w:pPr>
              <w:pStyle w:val="TableText"/>
            </w:pPr>
            <w:r>
              <w:t>Imported inorganic fertiliser that is to be processed at an appropriate approved arrangement site as part of the importation process. The act of processing the fertiliser must be sufficient to reduce the biosecurity risk of the consignment to an acceptably low level.</w:t>
            </w:r>
          </w:p>
          <w:p w14:paraId="4EBA8A37" w14:textId="0B771C72" w:rsidR="00FD4A15" w:rsidRDefault="00CF36D9" w:rsidP="00CF36D9">
            <w:pPr>
              <w:pStyle w:val="TableText"/>
            </w:pPr>
            <w:r>
              <w:t>Inorganic fertiliser imported for further processing is managed under a departmental import permit. See BICON for details.</w:t>
            </w:r>
          </w:p>
        </w:tc>
      </w:tr>
      <w:tr w:rsidR="00FD4A15" w14:paraId="07465F36"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5D9AD636" w14:textId="734A2880" w:rsidR="00FD4A15" w:rsidRDefault="00392B06">
            <w:pPr>
              <w:pStyle w:val="TableText"/>
            </w:pPr>
            <w:r>
              <w:t>g</w:t>
            </w:r>
            <w:r w:rsidR="00614649" w:rsidRPr="00614649">
              <w:t>uano</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1818B78D" w14:textId="391AFE1A" w:rsidR="00FD4A15" w:rsidRDefault="00AF5F76" w:rsidP="00392B06">
            <w:pPr>
              <w:pStyle w:val="TableText"/>
            </w:pPr>
            <w:r>
              <w:t>Mineralised rock phosphate of marine bird excrement origin or bat excrement for bat-</w:t>
            </w:r>
            <w:r w:rsidRPr="00392B06">
              <w:t>guano.</w:t>
            </w:r>
            <w:r w:rsidR="00392B06" w:rsidRPr="00966A39">
              <w:t xml:space="preserve"> </w:t>
            </w:r>
            <w:r w:rsidRPr="00392B06">
              <w:t>Non-</w:t>
            </w:r>
            <w:r>
              <w:t>mineralised guano is not considered inorganic.</w:t>
            </w:r>
          </w:p>
        </w:tc>
      </w:tr>
      <w:tr w:rsidR="00AF5F76" w14:paraId="37852FA7"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35B4275E" w14:textId="5B930E6D" w:rsidR="00AF5F76" w:rsidRDefault="00392B06">
            <w:pPr>
              <w:pStyle w:val="TableText"/>
            </w:pPr>
            <w:r>
              <w:t>i</w:t>
            </w:r>
            <w:r w:rsidR="008338DA" w:rsidRPr="008338DA">
              <w:t>ndependent</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0D19DACC" w14:textId="58C2A150" w:rsidR="00FE0179" w:rsidRDefault="00FE0179" w:rsidP="00FE0179">
            <w:pPr>
              <w:pStyle w:val="TableText"/>
            </w:pPr>
            <w:r>
              <w:t>In relation to third-party auditing, independent means that the third-party auditor and associated auditing body responsible for conducting an audit of an offshore entity</w:t>
            </w:r>
            <w:r w:rsidR="00392B06">
              <w:t xml:space="preserve"> or </w:t>
            </w:r>
            <w:r>
              <w:t>supply chain is not affiliated or employed by</w:t>
            </w:r>
            <w:r w:rsidR="00392B06">
              <w:t xml:space="preserve"> either</w:t>
            </w:r>
            <w:r>
              <w:t>:</w:t>
            </w:r>
          </w:p>
          <w:p w14:paraId="33EB8E84" w14:textId="244A6F38" w:rsidR="00FE0179" w:rsidRDefault="00FE0179" w:rsidP="00EA4198">
            <w:pPr>
              <w:pStyle w:val="TableBullet1"/>
            </w:pPr>
            <w:r>
              <w:t>the offshore entity seeking</w:t>
            </w:r>
            <w:r w:rsidR="00392B06">
              <w:t xml:space="preserve"> or </w:t>
            </w:r>
            <w:r>
              <w:t>holding registration under the policy</w:t>
            </w:r>
          </w:p>
          <w:p w14:paraId="6EC71F96" w14:textId="56998C03" w:rsidR="00FE0179" w:rsidRDefault="00FE0179" w:rsidP="00EA4198">
            <w:pPr>
              <w:pStyle w:val="TableBullet1"/>
            </w:pPr>
            <w:r>
              <w:t>the importer of the goods in Australia</w:t>
            </w:r>
          </w:p>
          <w:p w14:paraId="5B5719CA" w14:textId="7D48004A" w:rsidR="00AF5F76" w:rsidRDefault="00FE0179" w:rsidP="00EA4198">
            <w:pPr>
              <w:pStyle w:val="TableBullet1"/>
            </w:pPr>
            <w:r>
              <w:t>the department.</w:t>
            </w:r>
          </w:p>
        </w:tc>
      </w:tr>
      <w:tr w:rsidR="00EE6CCE" w14:paraId="33EDEC3F"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4C820F73" w14:textId="7B452824" w:rsidR="00EE6CCE" w:rsidRDefault="00EE6CCE">
            <w:pPr>
              <w:pStyle w:val="TableText"/>
            </w:pPr>
            <w:r>
              <w:t>Independent authorised inspector</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3497859F" w14:textId="6B246EA1" w:rsidR="00EE6CCE" w:rsidRDefault="00EE6CCE" w:rsidP="00FE0179">
            <w:pPr>
              <w:pStyle w:val="TableText"/>
            </w:pPr>
            <w:r w:rsidRPr="00EE6CCE">
              <w:t>A person who has been assessed by industry to possess the necessary qualifications, skills, experience, registration and resources to conduct goods inspections, and issue required certification</w:t>
            </w:r>
            <w:r>
              <w:t xml:space="preserve">. </w:t>
            </w:r>
            <w:r w:rsidRPr="00607649">
              <w:t>A</w:t>
            </w:r>
            <w:r>
              <w:t>n example of an a</w:t>
            </w:r>
            <w:r w:rsidRPr="00607649">
              <w:t xml:space="preserve">cceptable international standard </w:t>
            </w:r>
            <w:r>
              <w:t xml:space="preserve">is </w:t>
            </w:r>
            <w:r w:rsidRPr="00EE6CCE">
              <w:t>ISO/IEC 17020:2012</w:t>
            </w:r>
          </w:p>
        </w:tc>
      </w:tr>
      <w:tr w:rsidR="00AF5F76" w14:paraId="3D6B2B57"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68DCCA25" w14:textId="2849081D" w:rsidR="00AF5F76" w:rsidRDefault="00392B06">
            <w:pPr>
              <w:pStyle w:val="TableText"/>
            </w:pPr>
            <w:r>
              <w:t>i</w:t>
            </w:r>
            <w:r w:rsidR="0066323F" w:rsidRPr="0066323F">
              <w:t>norganic fertiliser</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63AB9F41" w14:textId="77777777" w:rsidR="007E1416" w:rsidRDefault="007E1416" w:rsidP="007E1416">
            <w:pPr>
              <w:pStyle w:val="TableText"/>
            </w:pPr>
            <w:r>
              <w:t>A fertiliser that is either chemical (results from a manufacturing process) or mined (natural, inorganic product mined from the earth).</w:t>
            </w:r>
          </w:p>
          <w:p w14:paraId="7943E9BF" w14:textId="29035C07" w:rsidR="00AF5F76" w:rsidRDefault="007E1416" w:rsidP="008F3052">
            <w:pPr>
              <w:pStyle w:val="TableText"/>
            </w:pPr>
            <w:r>
              <w:t>Inorganic fertilisers do not contain ingredients of organic, animal, plant or microbial origin.</w:t>
            </w:r>
            <w:r w:rsidR="008F3052">
              <w:t xml:space="preserve"> See </w:t>
            </w:r>
            <w:hyperlink r:id="rId56" w:history="1">
              <w:r w:rsidR="008F3052" w:rsidRPr="008F3052">
                <w:rPr>
                  <w:rStyle w:val="Hyperlink"/>
                </w:rPr>
                <w:t>chemicals and</w:t>
              </w:r>
              <w:r w:rsidRPr="008F3052">
                <w:rPr>
                  <w:rStyle w:val="Hyperlink"/>
                </w:rPr>
                <w:t xml:space="preserve"> mined fertiliser</w:t>
              </w:r>
            </w:hyperlink>
            <w:r w:rsidR="008F3052">
              <w:t>.</w:t>
            </w:r>
          </w:p>
        </w:tc>
      </w:tr>
      <w:tr w:rsidR="00AF5F76" w14:paraId="398B4452"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461BEE33" w14:textId="45CB3F49" w:rsidR="00AF5F76" w:rsidRDefault="003E1CDD">
            <w:pPr>
              <w:pStyle w:val="TableText"/>
            </w:pPr>
            <w:r>
              <w:t>Level 1</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388DF8B7" w14:textId="29ACF00B" w:rsidR="00AF5F76" w:rsidRPr="00D028E7" w:rsidRDefault="00813907">
            <w:pPr>
              <w:pStyle w:val="TableText"/>
            </w:pPr>
            <w:r w:rsidRPr="00D028E7">
              <w:t>A consignment of inorganic fertiliser that has been assessed by the department as presenting a low level of biosecurity risk to Australia and is subject to a low level of biosecurity intervention on arrival.</w:t>
            </w:r>
          </w:p>
        </w:tc>
      </w:tr>
      <w:tr w:rsidR="00D33FB8" w14:paraId="066914BA"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2241180F" w14:textId="29FF4E6A" w:rsidR="00D33FB8" w:rsidRPr="001A01CE" w:rsidRDefault="00D33FB8">
            <w:pPr>
              <w:pStyle w:val="TableText"/>
            </w:pPr>
            <w:r>
              <w:t>Level 2</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3644BF3B" w14:textId="6A81A126" w:rsidR="00D33FB8" w:rsidRPr="00D028E7" w:rsidRDefault="00D33FB8">
            <w:pPr>
              <w:pStyle w:val="TableText"/>
            </w:pPr>
            <w:r w:rsidRPr="00D028E7">
              <w:t>A consignment of inorganic fertiliser that has been assessed by the department as presenting a medium level of biosecurity risk to Australia and is subject to a medium level of biosecurity intervention on arrival.</w:t>
            </w:r>
          </w:p>
        </w:tc>
      </w:tr>
      <w:tr w:rsidR="00D33FB8" w14:paraId="00F3CF4C"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6F6CC33D" w14:textId="22C4B586" w:rsidR="00D33FB8" w:rsidRPr="001A01CE" w:rsidRDefault="00D33FB8">
            <w:pPr>
              <w:pStyle w:val="TableText"/>
            </w:pPr>
            <w:r w:rsidRPr="00D33FB8">
              <w:t xml:space="preserve">Level </w:t>
            </w:r>
            <w:r>
              <w:t>3</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3A8AFC0A" w14:textId="0A100FC4" w:rsidR="00D33FB8" w:rsidRPr="00D028E7" w:rsidRDefault="00D33FB8">
            <w:pPr>
              <w:pStyle w:val="TableText"/>
            </w:pPr>
            <w:r w:rsidRPr="00D028E7">
              <w:t>A consignment of inorganic fertiliser that has been assessed by the department as presenting a high level of biosecurity risk to Australia and is subject to a high level of biosecurity intervention on arrival.</w:t>
            </w:r>
          </w:p>
        </w:tc>
      </w:tr>
      <w:tr w:rsidR="00D33FB8" w14:paraId="669969CE"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0A9AD3B3" w14:textId="12350942" w:rsidR="00D33FB8" w:rsidRPr="00120F57" w:rsidRDefault="00D33FB8" w:rsidP="00D33FB8">
            <w:pPr>
              <w:pStyle w:val="TableText"/>
            </w:pPr>
            <w:r w:rsidRPr="003B01D5">
              <w:t>Loading sample inspection guidelines and certificate</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17BCB9D8" w14:textId="64775B74" w:rsidR="00D33FB8" w:rsidRPr="00D33FB8" w:rsidRDefault="00D33FB8" w:rsidP="00D33FB8">
            <w:pPr>
              <w:pStyle w:val="TableText"/>
            </w:pPr>
            <w:r w:rsidRPr="00D33FB8">
              <w:t xml:space="preserve">After passing inspection and addressing contamination identified during inspection for the entire consignment, </w:t>
            </w:r>
            <w:r w:rsidR="00F50605">
              <w:t>the marine surveyor</w:t>
            </w:r>
            <w:r w:rsidR="00966A39">
              <w:t xml:space="preserve"> or independent authorised inspector</w:t>
            </w:r>
            <w:r w:rsidR="00F50605">
              <w:t xml:space="preserve"> conducting the inspection must </w:t>
            </w:r>
            <w:r w:rsidR="00F50605" w:rsidRPr="00F50605">
              <w:t xml:space="preserve">issue </w:t>
            </w:r>
            <w:r w:rsidRPr="00F50605">
              <w:t>a certificate attesting to the cleanliness (freedom of biosecurity risk material) of the</w:t>
            </w:r>
            <w:r w:rsidRPr="00D33FB8">
              <w:t xml:space="preserve"> samples and thus the entire consignment of inorganic fertiliser intended for export </w:t>
            </w:r>
            <w:r w:rsidR="00EE2BC0" w:rsidRPr="00D33FB8">
              <w:t>to</w:t>
            </w:r>
            <w:r w:rsidR="00EE2BC0">
              <w:t> </w:t>
            </w:r>
            <w:r w:rsidRPr="00D33FB8">
              <w:t>Australia.</w:t>
            </w:r>
          </w:p>
          <w:p w14:paraId="70B83A17" w14:textId="4244A92F" w:rsidR="00D33FB8" w:rsidRDefault="00D33FB8" w:rsidP="00D33FB8">
            <w:pPr>
              <w:pStyle w:val="TableText"/>
            </w:pPr>
            <w:r w:rsidRPr="00D33FB8">
              <w:t>The loading sample inspection must be conducted</w:t>
            </w:r>
            <w:r w:rsidR="00CE3E1E">
              <w:t xml:space="preserve"> or </w:t>
            </w:r>
            <w:r w:rsidRPr="00D33FB8">
              <w:t>led and certified by a qualified marine surveyor</w:t>
            </w:r>
            <w:r w:rsidR="00CA581E">
              <w:t xml:space="preserve"> or qualified goods inspector</w:t>
            </w:r>
            <w:r w:rsidRPr="00D33FB8">
              <w:t>.</w:t>
            </w:r>
          </w:p>
        </w:tc>
      </w:tr>
      <w:tr w:rsidR="00E85EFF" w14:paraId="46B5EB96"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47FC71FF" w14:textId="2A9E2026" w:rsidR="00E85EFF" w:rsidRPr="003B01D5" w:rsidRDefault="00E85EFF" w:rsidP="00D33FB8">
            <w:pPr>
              <w:pStyle w:val="TableText"/>
            </w:pPr>
            <w:r>
              <w:t>manufacturer</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3AAE2B0A" w14:textId="1D443243" w:rsidR="00E85EFF" w:rsidRPr="00D33FB8" w:rsidRDefault="00E85EFF" w:rsidP="00D33FB8">
            <w:pPr>
              <w:pStyle w:val="TableText"/>
            </w:pPr>
            <w:r w:rsidRPr="00E85EFF">
              <w:t>An individual or entity that produces, formulates, processes, blends, or otherwise transforms raw or intermediate materials into a finished product, including through chemical, physical, or biological processes.</w:t>
            </w:r>
          </w:p>
        </w:tc>
      </w:tr>
      <w:tr w:rsidR="00D33FB8" w14:paraId="1B67F60F"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3A4E5F22" w14:textId="6114065E" w:rsidR="00D33FB8" w:rsidRPr="00EE2BC0" w:rsidRDefault="00D70CE8" w:rsidP="00D33FB8">
            <w:pPr>
              <w:pStyle w:val="TableText"/>
            </w:pPr>
            <w:r w:rsidRPr="00EE2BC0">
              <w:t>m</w:t>
            </w:r>
            <w:r w:rsidR="00D33FB8" w:rsidRPr="00EE2BC0">
              <w:t>arine surveyor</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6C1826CC" w14:textId="3B6DFDB2" w:rsidR="00D33FB8" w:rsidRDefault="00D33FB8" w:rsidP="00D33FB8">
            <w:pPr>
              <w:pStyle w:val="TableText"/>
            </w:pPr>
            <w:r>
              <w:t xml:space="preserve">A </w:t>
            </w:r>
            <w:r w:rsidR="00D70CE8">
              <w:t>person who</w:t>
            </w:r>
            <w:r>
              <w:t xml:space="preserve"> has been assessed by industry to possess the necessary qualifications, skills, experience, registration and resources to conduct required vessel</w:t>
            </w:r>
            <w:r w:rsidR="00D70CE8">
              <w:t xml:space="preserve"> </w:t>
            </w:r>
            <w:r w:rsidR="00EE2BC0">
              <w:t xml:space="preserve">inspections </w:t>
            </w:r>
            <w:r w:rsidR="00D70CE8">
              <w:t xml:space="preserve">or </w:t>
            </w:r>
            <w:r>
              <w:t>cleanliness and goods inspections</w:t>
            </w:r>
            <w:r w:rsidR="00EE2BC0">
              <w:t>,</w:t>
            </w:r>
            <w:r>
              <w:t xml:space="preserve"> and issue required certification.</w:t>
            </w:r>
          </w:p>
          <w:p w14:paraId="6BA45BF0" w14:textId="58D96C89" w:rsidR="00D33FB8" w:rsidRDefault="00D70CE8" w:rsidP="00D33FB8">
            <w:pPr>
              <w:pStyle w:val="TableText"/>
            </w:pPr>
            <w:r>
              <w:t xml:space="preserve">See Fertilizer Australia’s </w:t>
            </w:r>
            <w:hyperlink r:id="rId57" w:history="1">
              <w:r w:rsidRPr="00D70CE8">
                <w:rPr>
                  <w:rStyle w:val="Hyperlink"/>
                </w:rPr>
                <w:t>list of qualified marine surveyors</w:t>
              </w:r>
            </w:hyperlink>
            <w:r>
              <w:t>.</w:t>
            </w:r>
          </w:p>
        </w:tc>
      </w:tr>
      <w:tr w:rsidR="00D33FB8" w14:paraId="6C1EF1BC"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3AC1BEB9" w14:textId="4F5FAA79" w:rsidR="00D33FB8" w:rsidRPr="00EE2BC0" w:rsidRDefault="00D33FB8" w:rsidP="00BB1ABD">
            <w:pPr>
              <w:pStyle w:val="TableText"/>
              <w:keepNext/>
              <w:keepLines/>
            </w:pPr>
            <w:r w:rsidRPr="00EE2BC0">
              <w:lastRenderedPageBreak/>
              <w:t>Marine surveyor’s vessel inspection and certificate</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1B95CC0F" w14:textId="2284BB42" w:rsidR="00D70CE8" w:rsidRDefault="00D33FB8" w:rsidP="00BB1ABD">
            <w:pPr>
              <w:pStyle w:val="TableText"/>
              <w:keepNext/>
              <w:keepLines/>
            </w:pPr>
            <w:r>
              <w:t xml:space="preserve">A review of a vessel’s cargo logs to verify </w:t>
            </w:r>
            <w:r w:rsidR="00D70CE8">
              <w:t>that:</w:t>
            </w:r>
          </w:p>
          <w:p w14:paraId="5AE6945E" w14:textId="1EE79AA0" w:rsidR="00D70CE8" w:rsidRDefault="00D70CE8" w:rsidP="00BB1ABD">
            <w:pPr>
              <w:pStyle w:val="TableBullet1"/>
              <w:keepNext/>
              <w:keepLines/>
            </w:pPr>
            <w:r>
              <w:t xml:space="preserve">the vessel </w:t>
            </w:r>
            <w:r w:rsidR="00D33FB8">
              <w:t>has</w:t>
            </w:r>
            <w:r>
              <w:t xml:space="preserve"> not </w:t>
            </w:r>
            <w:r w:rsidR="00D33FB8">
              <w:t>carried actionable cargo within the required timeframe</w:t>
            </w:r>
          </w:p>
          <w:p w14:paraId="149DD128" w14:textId="77620642" w:rsidR="00D33FB8" w:rsidRDefault="00D70CE8" w:rsidP="00BB1ABD">
            <w:pPr>
              <w:pStyle w:val="TableBullet1"/>
              <w:keepNext/>
              <w:keepLines/>
            </w:pPr>
            <w:r>
              <w:t xml:space="preserve">following </w:t>
            </w:r>
            <w:r w:rsidR="00D33FB8">
              <w:t>an inspection of holds, hatches, decks and ship’s equipment</w:t>
            </w:r>
            <w:r>
              <w:t>,</w:t>
            </w:r>
            <w:r w:rsidR="00D33FB8">
              <w:t xml:space="preserve"> </w:t>
            </w:r>
            <w:r>
              <w:t xml:space="preserve">the vessel </w:t>
            </w:r>
            <w:r w:rsidR="00D33FB8">
              <w:t>is free from biosecurity risks.</w:t>
            </w:r>
          </w:p>
          <w:p w14:paraId="056DB377" w14:textId="6A73998B" w:rsidR="00D33FB8" w:rsidRDefault="00D33FB8" w:rsidP="00BB1ABD">
            <w:pPr>
              <w:pStyle w:val="TableText"/>
              <w:keepNext/>
              <w:keepLines/>
            </w:pPr>
            <w:r>
              <w:t xml:space="preserve">After passing inspection and addressing any contamination identified during the inspection, </w:t>
            </w:r>
            <w:r w:rsidR="00D70CE8">
              <w:t>the marine surveyor</w:t>
            </w:r>
            <w:r w:rsidR="00F50605">
              <w:t xml:space="preserve"> is </w:t>
            </w:r>
            <w:r w:rsidR="00F50605" w:rsidRPr="00F50605">
              <w:t>required to</w:t>
            </w:r>
            <w:r w:rsidR="00D70CE8" w:rsidRPr="00F50605">
              <w:t xml:space="preserve"> issue </w:t>
            </w:r>
            <w:r w:rsidRPr="00F50605">
              <w:t>a certificate attesting</w:t>
            </w:r>
            <w:r>
              <w:t xml:space="preserve"> to the historical and present cleanliness of the vessel, including holds, that will transport the consignment of inorganic fertiliser to Australia.</w:t>
            </w:r>
          </w:p>
          <w:p w14:paraId="35BE99CC" w14:textId="6FD66A12" w:rsidR="00D33FB8" w:rsidRDefault="00D33FB8" w:rsidP="00BB1ABD">
            <w:pPr>
              <w:pStyle w:val="TableText"/>
              <w:keepNext/>
              <w:keepLines/>
            </w:pPr>
            <w:r>
              <w:t>The marine surveyor’s vessel inspection must be conducted</w:t>
            </w:r>
            <w:r w:rsidR="00D70CE8">
              <w:t xml:space="preserve"> or</w:t>
            </w:r>
            <w:r w:rsidR="00F50605">
              <w:t xml:space="preserve"> </w:t>
            </w:r>
            <w:r>
              <w:t>led and certified by a qualified marine surveyor.</w:t>
            </w:r>
          </w:p>
        </w:tc>
      </w:tr>
      <w:tr w:rsidR="00D33FB8" w14:paraId="713339FE"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427DD11A" w14:textId="4EE4A008" w:rsidR="00D33FB8" w:rsidRDefault="00CE3E1E" w:rsidP="00D33FB8">
            <w:pPr>
              <w:pStyle w:val="TableText"/>
            </w:pPr>
            <w:r>
              <w:t>o</w:t>
            </w:r>
            <w:r w:rsidR="00D33FB8" w:rsidRPr="00647B83">
              <w:t>versight (of supply chains)</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3B1D11CD" w14:textId="18454248" w:rsidR="00D33FB8" w:rsidRDefault="00D33FB8" w:rsidP="00D33FB8">
            <w:pPr>
              <w:pStyle w:val="TableText"/>
            </w:pPr>
            <w:r>
              <w:t xml:space="preserve">Oversight by a prospective or existing registered offshore entity of the entire supply chain from the point of manufacture (single supply source) to the point of export </w:t>
            </w:r>
            <w:r w:rsidR="00EE2BC0">
              <w:t>to </w:t>
            </w:r>
            <w:r>
              <w:t>Australia.</w:t>
            </w:r>
          </w:p>
          <w:p w14:paraId="6540AF20" w14:textId="51F3736F" w:rsidR="00D33FB8" w:rsidRDefault="00D33FB8" w:rsidP="00D33FB8">
            <w:pPr>
              <w:pStyle w:val="TableText"/>
            </w:pPr>
            <w:r>
              <w:t xml:space="preserve">Offshore entities with oversight of the supply chain </w:t>
            </w:r>
            <w:r w:rsidR="00871E07">
              <w:t xml:space="preserve">must </w:t>
            </w:r>
            <w:r>
              <w:t>provide document</w:t>
            </w:r>
            <w:r w:rsidR="00871E07">
              <w:t>ed</w:t>
            </w:r>
            <w:r>
              <w:t xml:space="preserve"> evidence for each key area (e.g. source</w:t>
            </w:r>
            <w:r w:rsidR="0084489C">
              <w:t xml:space="preserve"> and </w:t>
            </w:r>
            <w:r>
              <w:t xml:space="preserve">manufacture, handling, transport, storage </w:t>
            </w:r>
            <w:r w:rsidR="00CE3E1E">
              <w:t>and</w:t>
            </w:r>
            <w:r>
              <w:t xml:space="preserve"> loading)</w:t>
            </w:r>
            <w:r w:rsidR="00871E07">
              <w:t>,</w:t>
            </w:r>
            <w:r>
              <w:t xml:space="preserve"> demonstrating how biosecurity risk is being managed at these points.</w:t>
            </w:r>
          </w:p>
          <w:p w14:paraId="6FCB9C2C" w14:textId="0885880B" w:rsidR="00D33FB8" w:rsidRDefault="00D33FB8" w:rsidP="00D33FB8">
            <w:pPr>
              <w:pStyle w:val="TableText"/>
            </w:pPr>
            <w:r>
              <w:t xml:space="preserve">Offshore entities are </w:t>
            </w:r>
            <w:r w:rsidR="0084489C">
              <w:t>not</w:t>
            </w:r>
            <w:r>
              <w:t xml:space="preserve"> required to have control</w:t>
            </w:r>
            <w:r w:rsidR="0084489C">
              <w:t xml:space="preserve"> or </w:t>
            </w:r>
            <w:r>
              <w:t>own</w:t>
            </w:r>
            <w:r w:rsidR="0084489C">
              <w:t xml:space="preserve"> or </w:t>
            </w:r>
            <w:r>
              <w:t>operate all key areas of the offshore supply chain</w:t>
            </w:r>
            <w:r w:rsidR="0084489C">
              <w:t xml:space="preserve"> –</w:t>
            </w:r>
            <w:r>
              <w:t xml:space="preserve"> at a minimum, </w:t>
            </w:r>
            <w:r w:rsidR="0084489C">
              <w:t xml:space="preserve">they must </w:t>
            </w:r>
            <w:r>
              <w:t>have documented</w:t>
            </w:r>
            <w:r w:rsidR="0084489C">
              <w:t xml:space="preserve"> or </w:t>
            </w:r>
            <w:r>
              <w:t>contracted processes in place to manage biosecurity risks.</w:t>
            </w:r>
          </w:p>
        </w:tc>
      </w:tr>
      <w:tr w:rsidR="00D33FB8" w14:paraId="1C603FA0"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60D19552" w14:textId="46EDFAAC" w:rsidR="00D33FB8" w:rsidRDefault="0084489C" w:rsidP="00D33FB8">
            <w:pPr>
              <w:pStyle w:val="TableText"/>
            </w:pPr>
            <w:r>
              <w:t>p</w:t>
            </w:r>
            <w:r w:rsidR="00D33FB8" w:rsidRPr="007E2093">
              <w:t>roduct profile</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635A5AF4" w14:textId="34C7AB35" w:rsidR="00D33FB8" w:rsidRDefault="00D33FB8" w:rsidP="00D33FB8">
            <w:pPr>
              <w:pStyle w:val="TableText"/>
            </w:pPr>
            <w:r w:rsidRPr="008957D9">
              <w:t xml:space="preserve">The set of documents </w:t>
            </w:r>
            <w:r w:rsidR="0084489C">
              <w:t xml:space="preserve">that the </w:t>
            </w:r>
            <w:r w:rsidR="0084489C" w:rsidRPr="008957D9">
              <w:t xml:space="preserve">BCNCC </w:t>
            </w:r>
            <w:r w:rsidRPr="008957D9">
              <w:t>require</w:t>
            </w:r>
            <w:r w:rsidR="0084489C">
              <w:t xml:space="preserve">s from </w:t>
            </w:r>
            <w:r w:rsidR="00FB2306">
              <w:t>importers</w:t>
            </w:r>
            <w:r w:rsidRPr="008957D9">
              <w:t xml:space="preserve"> as part of the pre-arrival assessment process for imported consignments of in-ships-hold inorganic fertiliser</w:t>
            </w:r>
            <w:r w:rsidR="0084489C">
              <w:t>.</w:t>
            </w:r>
          </w:p>
        </w:tc>
      </w:tr>
      <w:tr w:rsidR="00D33FB8" w14:paraId="54172626"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353746D0" w14:textId="0B2741A8" w:rsidR="00D33FB8" w:rsidRDefault="00EE6CCE" w:rsidP="00D33FB8">
            <w:pPr>
              <w:pStyle w:val="TableText"/>
            </w:pPr>
            <w:r>
              <w:t>r</w:t>
            </w:r>
            <w:r w:rsidRPr="00424175">
              <w:t>egistered</w:t>
            </w:r>
            <w:r>
              <w:t xml:space="preserve"> </w:t>
            </w:r>
            <w:r w:rsidRPr="00424175">
              <w:t>offshore</w:t>
            </w:r>
            <w:r w:rsidR="00D33FB8" w:rsidRPr="00424175">
              <w:t xml:space="preserve"> entity</w:t>
            </w:r>
            <w:r>
              <w:t xml:space="preserve"> </w:t>
            </w:r>
            <w:r w:rsidRPr="00EE6CCE">
              <w:t>(Level 1 and</w:t>
            </w:r>
            <w:r>
              <w:t xml:space="preserve"> Level</w:t>
            </w:r>
            <w:r w:rsidRPr="00EE6CCE">
              <w:t xml:space="preserve"> 2)</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09F23D95" w14:textId="77777777" w:rsidR="0084489C" w:rsidRDefault="00D33FB8" w:rsidP="00D33FB8">
            <w:pPr>
              <w:pStyle w:val="TableText"/>
            </w:pPr>
            <w:r w:rsidRPr="00AC01C4">
              <w:t>An offshore entity that has applied for and been assessed by the department as having</w:t>
            </w:r>
            <w:r w:rsidR="0084489C">
              <w:t>:</w:t>
            </w:r>
          </w:p>
          <w:p w14:paraId="5082D9BA" w14:textId="5558941D" w:rsidR="0084489C" w:rsidRDefault="00D33FB8" w:rsidP="00FB2306">
            <w:pPr>
              <w:pStyle w:val="TableBullet1"/>
            </w:pPr>
            <w:r w:rsidRPr="00AC01C4">
              <w:t>satisfied the registration application requirements</w:t>
            </w:r>
          </w:p>
          <w:p w14:paraId="1B697662" w14:textId="42371146" w:rsidR="0084489C" w:rsidRDefault="00D33FB8" w:rsidP="00FB2306">
            <w:pPr>
              <w:pStyle w:val="TableBullet1"/>
            </w:pPr>
            <w:r w:rsidRPr="00AC01C4">
              <w:t>acceptable biosecurity risk mitigation measures in place to ensure the biosecurity integrity of inorganic fertiliser consignments exported to Australia from a specific single supply source</w:t>
            </w:r>
          </w:p>
          <w:p w14:paraId="24A47487" w14:textId="559E841E" w:rsidR="00D33FB8" w:rsidRDefault="00D33FB8" w:rsidP="00FB2306">
            <w:pPr>
              <w:pStyle w:val="TableBullet1"/>
            </w:pPr>
            <w:r w:rsidRPr="00AC01C4">
              <w:t>committed to ongoing compliance with the registration obligations of this policy.</w:t>
            </w:r>
          </w:p>
        </w:tc>
      </w:tr>
      <w:tr w:rsidR="00D33FB8" w14:paraId="5FE2AC10"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38599FC8" w14:textId="703F98D4" w:rsidR="00D33FB8" w:rsidRDefault="00D33FB8" w:rsidP="00D33FB8">
            <w:pPr>
              <w:pStyle w:val="TableText"/>
            </w:pPr>
            <w:r w:rsidRPr="00BB73D0">
              <w:t>Sea Cargo Policy team</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61539E09" w14:textId="59E973FE" w:rsidR="00D33FB8" w:rsidRDefault="00D33FB8" w:rsidP="00D33FB8">
            <w:pPr>
              <w:pStyle w:val="TableText"/>
            </w:pPr>
            <w:r w:rsidRPr="00FD0C17">
              <w:t>A section within the department that manages policy associated with imported inorganic fertiliser.</w:t>
            </w:r>
          </w:p>
        </w:tc>
      </w:tr>
      <w:tr w:rsidR="008A7C2A" w14:paraId="5D253F6B"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253C95F1" w14:textId="27AB816A" w:rsidR="008A7C2A" w:rsidRDefault="008A7C2A" w:rsidP="008A7C2A">
            <w:pPr>
              <w:pStyle w:val="TableText"/>
            </w:pPr>
            <w:r>
              <w:t>s</w:t>
            </w:r>
            <w:r w:rsidRPr="00373911">
              <w:t xml:space="preserve">ingle supply </w:t>
            </w:r>
            <w:r w:rsidR="00EE6CCE">
              <w:t>manufacturer</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2050F720" w14:textId="52239BF5" w:rsidR="008A7C2A" w:rsidRDefault="008A7C2A" w:rsidP="008A7C2A">
            <w:pPr>
              <w:pStyle w:val="TableText"/>
            </w:pPr>
            <w:r>
              <w:t>I</w:t>
            </w:r>
            <w:r w:rsidRPr="00DC0261">
              <w:t>dentified on a per</w:t>
            </w:r>
            <w:r>
              <w:t xml:space="preserve"> </w:t>
            </w:r>
            <w:r w:rsidRPr="00DC0261">
              <w:t>manufacturer</w:t>
            </w:r>
            <w:r>
              <w:t xml:space="preserve"> </w:t>
            </w:r>
            <w:r w:rsidRPr="00DC0261">
              <w:t>basis</w:t>
            </w:r>
            <w:r>
              <w:t>. A</w:t>
            </w:r>
            <w:r w:rsidRPr="00DC0261">
              <w:t xml:space="preserve"> single supply source relates to inorganic fertiliser that has originated from a sing</w:t>
            </w:r>
            <w:r>
              <w:t>le</w:t>
            </w:r>
            <w:r w:rsidRPr="00DC0261">
              <w:t xml:space="preserve"> manufacturer.</w:t>
            </w:r>
          </w:p>
        </w:tc>
      </w:tr>
      <w:tr w:rsidR="008A7C2A" w14:paraId="4490D13B"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4B138AA0" w14:textId="410E94A3" w:rsidR="008A7C2A" w:rsidRDefault="008A7C2A" w:rsidP="008A7C2A">
            <w:pPr>
              <w:pStyle w:val="TableText"/>
            </w:pPr>
            <w:r w:rsidRPr="005D2D6D">
              <w:t>SLA</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47B9F8F6" w14:textId="3CA1B4E2" w:rsidR="008A7C2A" w:rsidRDefault="0005340D" w:rsidP="008A7C2A">
            <w:pPr>
              <w:pStyle w:val="TableText"/>
            </w:pPr>
            <w:r w:rsidRPr="0005340D">
              <w:t xml:space="preserve">Under this policy, </w:t>
            </w:r>
            <w:r w:rsidR="00876C33">
              <w:t>and in accordance with</w:t>
            </w:r>
            <w:r w:rsidR="00876C33" w:rsidRPr="0005340D">
              <w:t xml:space="preserve"> the </w:t>
            </w:r>
            <w:r w:rsidR="00876C33" w:rsidRPr="0005340D">
              <w:rPr>
                <w:i/>
                <w:iCs/>
              </w:rPr>
              <w:t>Biosecurity Act 2015</w:t>
            </w:r>
            <w:r w:rsidR="00876C33">
              <w:rPr>
                <w:i/>
                <w:iCs/>
              </w:rPr>
              <w:t xml:space="preserve">, </w:t>
            </w:r>
            <w:r w:rsidRPr="0005340D">
              <w:t>the</w:t>
            </w:r>
            <w:r w:rsidR="00876C33">
              <w:t xml:space="preserve"> department and the client enter into a</w:t>
            </w:r>
            <w:r w:rsidRPr="0005340D">
              <w:t xml:space="preserve"> </w:t>
            </w:r>
            <w:r w:rsidR="00876C33">
              <w:t>service level agreement (</w:t>
            </w:r>
            <w:r w:rsidRPr="0005340D">
              <w:t>SLA</w:t>
            </w:r>
            <w:r w:rsidR="00876C33">
              <w:t>)</w:t>
            </w:r>
            <w:r w:rsidRPr="0005340D">
              <w:t>, whereby the department provide</w:t>
            </w:r>
            <w:r w:rsidR="00B419E6">
              <w:t>s</w:t>
            </w:r>
            <w:r w:rsidRPr="0005340D">
              <w:t xml:space="preserve"> audit services for assessment of third-party audit</w:t>
            </w:r>
            <w:r w:rsidR="00FD7BFE">
              <w:t>s</w:t>
            </w:r>
            <w:r w:rsidRPr="0005340D">
              <w:t xml:space="preserve"> and/or virtual audits.</w:t>
            </w:r>
          </w:p>
        </w:tc>
      </w:tr>
      <w:tr w:rsidR="008A7C2A" w14:paraId="676CA2FD"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0A35A2CD" w14:textId="2BA3626B" w:rsidR="008A7C2A" w:rsidRDefault="008A7C2A" w:rsidP="008A7C2A">
            <w:pPr>
              <w:pStyle w:val="TableText"/>
            </w:pPr>
            <w:r>
              <w:t>s</w:t>
            </w:r>
            <w:r w:rsidRPr="001626E7">
              <w:t>ponsor</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46B34BB8" w14:textId="508EEA3D" w:rsidR="008A7C2A" w:rsidRDefault="008A7C2A" w:rsidP="008A7C2A">
            <w:pPr>
              <w:pStyle w:val="TableText"/>
            </w:pPr>
            <w:r w:rsidRPr="005B7C8D">
              <w:t>An Australian-based and registered company that provides the first point of contact and ongoing liaison point for the department for any matters relating to the registration and compliance of an offshore registered entity.</w:t>
            </w:r>
          </w:p>
        </w:tc>
      </w:tr>
      <w:tr w:rsidR="008A7C2A" w14:paraId="27EB609A"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5B8899F2" w14:textId="36037837" w:rsidR="008A7C2A" w:rsidRDefault="008A7C2A" w:rsidP="008A7C2A">
            <w:pPr>
              <w:pStyle w:val="TableText"/>
            </w:pPr>
            <w:r>
              <w:t>s</w:t>
            </w:r>
            <w:r w:rsidRPr="002963D4">
              <w:t>upply chain</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2286C975" w14:textId="6FE8631C" w:rsidR="008A7C2A" w:rsidRDefault="008A7C2A" w:rsidP="008A7C2A">
            <w:pPr>
              <w:pStyle w:val="TableText"/>
            </w:pPr>
            <w:r>
              <w:t>All offshore facilities and entities involved, from the point of manufacture and sourcing the fertiliser to the point of export to Australia. This includes the manufacturing, handling, transport, storage, container inspection and loading facilities, and entities involved in inspection and sampling procedures that are used in the preparation of the fertiliser for export to Australia.</w:t>
            </w:r>
          </w:p>
        </w:tc>
      </w:tr>
      <w:tr w:rsidR="00AB122A" w14:paraId="4CE8BF2A"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79C27837" w14:textId="1C942A3A" w:rsidR="00AB122A" w:rsidRDefault="00AB122A" w:rsidP="00AB122A">
            <w:pPr>
              <w:pStyle w:val="TableText"/>
            </w:pPr>
            <w:r>
              <w:t>t</w:t>
            </w:r>
            <w:r w:rsidRPr="009A78DE">
              <w:t>hird-party auditor</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7B24BAA0" w14:textId="77777777" w:rsidR="00AB122A" w:rsidRDefault="00AB122A" w:rsidP="00AB122A">
            <w:pPr>
              <w:pStyle w:val="TableText"/>
            </w:pPr>
            <w:r w:rsidRPr="00607649">
              <w:t>A qualified third-party auditor who</w:t>
            </w:r>
            <w:r>
              <w:t>:</w:t>
            </w:r>
          </w:p>
          <w:p w14:paraId="4B1877DF" w14:textId="77777777" w:rsidR="00AB122A" w:rsidRDefault="00AB122A" w:rsidP="00AB122A">
            <w:pPr>
              <w:pStyle w:val="TableBullet1"/>
            </w:pPr>
            <w:r w:rsidRPr="00607649">
              <w:t>is independent from the entity</w:t>
            </w:r>
            <w:r>
              <w:t xml:space="preserve"> or </w:t>
            </w:r>
            <w:r w:rsidRPr="00607649">
              <w:t>supply chain being audited, the importer and the department</w:t>
            </w:r>
          </w:p>
          <w:p w14:paraId="348AD3B6" w14:textId="04BB87A6" w:rsidR="00AB122A" w:rsidRDefault="00AB122A" w:rsidP="00AB122A">
            <w:pPr>
              <w:pStyle w:val="TableText"/>
            </w:pPr>
            <w:r w:rsidRPr="00607649">
              <w:t xml:space="preserve">holds relevant qualifications and accreditations and </w:t>
            </w:r>
            <w:r>
              <w:t>is</w:t>
            </w:r>
            <w:r w:rsidRPr="00607649">
              <w:t xml:space="preserve"> registered with an internationally recognised audit accreditation body. A</w:t>
            </w:r>
            <w:r>
              <w:t>n example of an a</w:t>
            </w:r>
            <w:r w:rsidRPr="00607649">
              <w:t xml:space="preserve">cceptable international standard </w:t>
            </w:r>
            <w:r>
              <w:t>is</w:t>
            </w:r>
            <w:r w:rsidRPr="00607649">
              <w:t xml:space="preserve"> ISO/IEC 17021-1:2015.</w:t>
            </w:r>
          </w:p>
        </w:tc>
      </w:tr>
      <w:tr w:rsidR="00AB122A" w14:paraId="2B36CE12"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tcPr>
          <w:p w14:paraId="0BE5B849" w14:textId="45090B06" w:rsidR="00AB122A" w:rsidRDefault="00AB122A" w:rsidP="00AB122A">
            <w:pPr>
              <w:pStyle w:val="TableText"/>
            </w:pPr>
            <w:r>
              <w:t>t</w:t>
            </w:r>
            <w:r w:rsidRPr="00F45CD0">
              <w:t>wenty-foot equivalent unit</w:t>
            </w:r>
          </w:p>
        </w:tc>
        <w:tc>
          <w:tcPr>
            <w:tcW w:w="3895" w:type="pct"/>
            <w:tcBorders>
              <w:top w:val="single" w:sz="4" w:space="0" w:color="auto"/>
              <w:left w:val="nil"/>
              <w:bottom w:val="single" w:sz="4" w:space="0" w:color="auto"/>
              <w:right w:val="nil"/>
            </w:tcBorders>
            <w:tcMar>
              <w:top w:w="0" w:type="dxa"/>
              <w:left w:w="108" w:type="dxa"/>
              <w:bottom w:w="0" w:type="dxa"/>
              <w:right w:w="108" w:type="dxa"/>
            </w:tcMar>
          </w:tcPr>
          <w:p w14:paraId="06DB6ED0" w14:textId="4CC5A752" w:rsidR="00AB122A" w:rsidRDefault="00AB122A" w:rsidP="00AB122A">
            <w:pPr>
              <w:pStyle w:val="TableText"/>
            </w:pPr>
            <w:r w:rsidRPr="00455B5C">
              <w:t>A sealed, six</w:t>
            </w:r>
            <w:r>
              <w:t xml:space="preserve"> </w:t>
            </w:r>
            <w:r w:rsidRPr="00455B5C">
              <w:t>hard</w:t>
            </w:r>
            <w:r>
              <w:t xml:space="preserve"> </w:t>
            </w:r>
            <w:r w:rsidRPr="00455B5C">
              <w:t xml:space="preserve">sided shipping </w:t>
            </w:r>
            <w:proofErr w:type="gramStart"/>
            <w:r w:rsidRPr="00455B5C">
              <w:t>container</w:t>
            </w:r>
            <w:proofErr w:type="gramEnd"/>
            <w:r w:rsidRPr="00455B5C">
              <w:t xml:space="preserve"> measuring </w:t>
            </w:r>
            <w:r>
              <w:t>20</w:t>
            </w:r>
            <w:r w:rsidRPr="00455B5C">
              <w:t xml:space="preserve"> feet (6.10</w:t>
            </w:r>
            <w:r>
              <w:t xml:space="preserve"> </w:t>
            </w:r>
            <w:r w:rsidRPr="00455B5C">
              <w:t>m</w:t>
            </w:r>
            <w:r>
              <w:t>etres</w:t>
            </w:r>
            <w:r w:rsidRPr="00455B5C">
              <w:t>) in length (external measurement).</w:t>
            </w:r>
          </w:p>
        </w:tc>
      </w:tr>
      <w:tr w:rsidR="00AB122A" w14:paraId="613411F0" w14:textId="77777777" w:rsidTr="008A7C2A">
        <w:tc>
          <w:tcPr>
            <w:tcW w:w="1105" w:type="pct"/>
            <w:tcBorders>
              <w:top w:val="single" w:sz="4" w:space="0" w:color="auto"/>
              <w:left w:val="nil"/>
              <w:bottom w:val="single" w:sz="4" w:space="0" w:color="auto"/>
              <w:right w:val="nil"/>
            </w:tcBorders>
            <w:tcMar>
              <w:top w:w="0" w:type="dxa"/>
              <w:left w:w="108" w:type="dxa"/>
              <w:bottom w:w="0" w:type="dxa"/>
              <w:right w:w="108" w:type="dxa"/>
            </w:tcMar>
            <w:hideMark/>
          </w:tcPr>
          <w:p w14:paraId="708C5E54" w14:textId="795B9A85" w:rsidR="00AB122A" w:rsidRDefault="00AB122A" w:rsidP="00AB122A">
            <w:pPr>
              <w:pStyle w:val="TableText"/>
            </w:pPr>
            <w:r>
              <w:lastRenderedPageBreak/>
              <w:t>u</w:t>
            </w:r>
            <w:r w:rsidRPr="005B046A">
              <w:t>nregistered</w:t>
            </w:r>
          </w:p>
        </w:tc>
        <w:tc>
          <w:tcPr>
            <w:tcW w:w="3895" w:type="pct"/>
            <w:tcBorders>
              <w:top w:val="single" w:sz="4" w:space="0" w:color="auto"/>
              <w:left w:val="nil"/>
              <w:bottom w:val="single" w:sz="4" w:space="0" w:color="auto"/>
              <w:right w:val="nil"/>
            </w:tcBorders>
            <w:tcMar>
              <w:top w:w="0" w:type="dxa"/>
              <w:left w:w="108" w:type="dxa"/>
              <w:bottom w:w="0" w:type="dxa"/>
              <w:right w:w="108" w:type="dxa"/>
            </w:tcMar>
            <w:hideMark/>
          </w:tcPr>
          <w:p w14:paraId="540BBBE5" w14:textId="483B309D" w:rsidR="00AB122A" w:rsidRDefault="00AB122A" w:rsidP="00AB122A">
            <w:pPr>
              <w:pStyle w:val="TableText"/>
            </w:pPr>
            <w:r w:rsidRPr="009522FE">
              <w:t>An offshore entity that has either not been assessed by the department for registration under this policy or has been assessed as not having met the requirements to qualify for registration.</w:t>
            </w:r>
          </w:p>
        </w:tc>
      </w:tr>
    </w:tbl>
    <w:p w14:paraId="19396A6E" w14:textId="3DE7BCC6" w:rsidR="00D22A3B" w:rsidRDefault="00D22A3B" w:rsidP="00D22A3B">
      <w:pPr>
        <w:pStyle w:val="Heading2"/>
        <w:numPr>
          <w:ilvl w:val="0"/>
          <w:numId w:val="0"/>
        </w:numPr>
        <w:ind w:left="720" w:hanging="720"/>
      </w:pPr>
      <w:bookmarkStart w:id="92" w:name="_Toc224213137"/>
      <w:r>
        <w:lastRenderedPageBreak/>
        <w:t>Document control</w:t>
      </w:r>
      <w:bookmarkEnd w:id="92"/>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992"/>
        <w:gridCol w:w="1560"/>
        <w:gridCol w:w="6518"/>
      </w:tblGrid>
      <w:tr w:rsidR="008A7C2A" w14:paraId="4F31D921" w14:textId="77777777" w:rsidTr="00767954">
        <w:trPr>
          <w:cantSplit/>
          <w:tblHeader/>
        </w:trPr>
        <w:tc>
          <w:tcPr>
            <w:tcW w:w="547" w:type="pct"/>
            <w:tcMar>
              <w:top w:w="113" w:type="dxa"/>
              <w:bottom w:w="113" w:type="dxa"/>
            </w:tcMar>
          </w:tcPr>
          <w:p w14:paraId="30C4DE67" w14:textId="77777777" w:rsidR="008A7C2A" w:rsidRDefault="008A7C2A" w:rsidP="00D22A3B">
            <w:pPr>
              <w:pStyle w:val="TableHeading"/>
              <w:keepNext w:val="0"/>
              <w:spacing w:before="0" w:after="0"/>
            </w:pPr>
            <w:bookmarkStart w:id="93" w:name="Title_Version_control"/>
            <w:bookmarkEnd w:id="93"/>
            <w:r>
              <w:t>Version</w:t>
            </w:r>
          </w:p>
        </w:tc>
        <w:tc>
          <w:tcPr>
            <w:tcW w:w="860" w:type="pct"/>
            <w:tcMar>
              <w:top w:w="113" w:type="dxa"/>
              <w:bottom w:w="113" w:type="dxa"/>
            </w:tcMar>
          </w:tcPr>
          <w:p w14:paraId="0B94D4F6" w14:textId="77777777" w:rsidR="008A7C2A" w:rsidRDefault="008A7C2A" w:rsidP="00D22A3B">
            <w:pPr>
              <w:pStyle w:val="TableHeading"/>
              <w:keepNext w:val="0"/>
              <w:spacing w:before="0" w:after="0"/>
            </w:pPr>
            <w:r>
              <w:t>Date</w:t>
            </w:r>
          </w:p>
        </w:tc>
        <w:tc>
          <w:tcPr>
            <w:tcW w:w="3593" w:type="pct"/>
            <w:tcMar>
              <w:top w:w="113" w:type="dxa"/>
              <w:bottom w:w="113" w:type="dxa"/>
            </w:tcMar>
          </w:tcPr>
          <w:p w14:paraId="67BA960A" w14:textId="77777777" w:rsidR="008A7C2A" w:rsidRDefault="008A7C2A" w:rsidP="00D22A3B">
            <w:pPr>
              <w:pStyle w:val="TableHeading"/>
              <w:keepNext w:val="0"/>
              <w:spacing w:before="0" w:after="0"/>
            </w:pPr>
            <w:r>
              <w:t>Reason for change</w:t>
            </w:r>
          </w:p>
        </w:tc>
      </w:tr>
      <w:tr w:rsidR="008A7C2A" w14:paraId="40FB720C" w14:textId="77777777" w:rsidTr="008A7C2A">
        <w:tc>
          <w:tcPr>
            <w:tcW w:w="547" w:type="pct"/>
            <w:tcMar>
              <w:top w:w="113" w:type="dxa"/>
              <w:bottom w:w="113" w:type="dxa"/>
            </w:tcMar>
          </w:tcPr>
          <w:p w14:paraId="30C580B8" w14:textId="77777777" w:rsidR="008A7C2A" w:rsidRDefault="008A7C2A" w:rsidP="00D22A3B">
            <w:pPr>
              <w:pStyle w:val="TableText"/>
              <w:spacing w:before="0" w:after="0"/>
            </w:pPr>
            <w:r w:rsidRPr="00247828">
              <w:t>1.0</w:t>
            </w:r>
          </w:p>
        </w:tc>
        <w:tc>
          <w:tcPr>
            <w:tcW w:w="860" w:type="pct"/>
            <w:tcMar>
              <w:top w:w="113" w:type="dxa"/>
              <w:bottom w:w="113" w:type="dxa"/>
            </w:tcMar>
          </w:tcPr>
          <w:p w14:paraId="23E7E724" w14:textId="77777777" w:rsidR="008A7C2A" w:rsidRDefault="008A7C2A" w:rsidP="00D22A3B">
            <w:pPr>
              <w:pStyle w:val="TableText"/>
              <w:spacing w:before="0" w:after="0"/>
            </w:pPr>
            <w:r w:rsidRPr="00DE23EE">
              <w:t>2006</w:t>
            </w:r>
          </w:p>
        </w:tc>
        <w:tc>
          <w:tcPr>
            <w:tcW w:w="3593" w:type="pct"/>
            <w:tcMar>
              <w:top w:w="113" w:type="dxa"/>
              <w:bottom w:w="113" w:type="dxa"/>
            </w:tcMar>
          </w:tcPr>
          <w:p w14:paraId="129B10D2" w14:textId="77777777" w:rsidR="008A7C2A" w:rsidRDefault="008A7C2A" w:rsidP="00D22A3B">
            <w:pPr>
              <w:pStyle w:val="TableText"/>
              <w:spacing w:before="0" w:after="0"/>
            </w:pPr>
            <w:r w:rsidRPr="001F4CEB">
              <w:t>Initial version</w:t>
            </w:r>
            <w:r>
              <w:t>.</w:t>
            </w:r>
          </w:p>
        </w:tc>
      </w:tr>
      <w:tr w:rsidR="008A7C2A" w:rsidRPr="008D2C40" w14:paraId="1DC3ACA7" w14:textId="77777777" w:rsidTr="008A7C2A">
        <w:tc>
          <w:tcPr>
            <w:tcW w:w="547" w:type="pct"/>
            <w:tcMar>
              <w:top w:w="113" w:type="dxa"/>
              <w:bottom w:w="113" w:type="dxa"/>
            </w:tcMar>
          </w:tcPr>
          <w:p w14:paraId="0ECB6404" w14:textId="77777777" w:rsidR="008A7C2A" w:rsidRDefault="008A7C2A" w:rsidP="00D22A3B">
            <w:pPr>
              <w:pStyle w:val="TableText"/>
              <w:spacing w:before="0" w:after="0"/>
            </w:pPr>
            <w:r w:rsidRPr="00247828">
              <w:t>1.1</w:t>
            </w:r>
          </w:p>
        </w:tc>
        <w:tc>
          <w:tcPr>
            <w:tcW w:w="860" w:type="pct"/>
            <w:tcMar>
              <w:top w:w="113" w:type="dxa"/>
              <w:bottom w:w="113" w:type="dxa"/>
            </w:tcMar>
          </w:tcPr>
          <w:p w14:paraId="2BC8B144" w14:textId="77777777" w:rsidR="008A7C2A" w:rsidRDefault="008A7C2A" w:rsidP="00D22A3B">
            <w:pPr>
              <w:pStyle w:val="TableText"/>
              <w:spacing w:before="0" w:after="0"/>
            </w:pPr>
            <w:r w:rsidRPr="00DE23EE">
              <w:t>2010</w:t>
            </w:r>
          </w:p>
        </w:tc>
        <w:tc>
          <w:tcPr>
            <w:tcW w:w="3593" w:type="pct"/>
            <w:tcMar>
              <w:top w:w="113" w:type="dxa"/>
              <w:bottom w:w="113" w:type="dxa"/>
            </w:tcMar>
          </w:tcPr>
          <w:p w14:paraId="4D453FF0" w14:textId="77777777" w:rsidR="008A7C2A" w:rsidRPr="008D2C40" w:rsidRDefault="008A7C2A" w:rsidP="00D22A3B">
            <w:pPr>
              <w:pStyle w:val="TableText"/>
              <w:spacing w:before="0" w:after="0"/>
            </w:pPr>
            <w:r w:rsidRPr="001F4CEB">
              <w:t>First review</w:t>
            </w:r>
            <w:r>
              <w:t>.</w:t>
            </w:r>
          </w:p>
        </w:tc>
      </w:tr>
      <w:tr w:rsidR="008A7C2A" w14:paraId="41330C9C" w14:textId="77777777" w:rsidTr="008A7C2A">
        <w:tc>
          <w:tcPr>
            <w:tcW w:w="547" w:type="pct"/>
            <w:tcMar>
              <w:top w:w="113" w:type="dxa"/>
              <w:bottom w:w="113" w:type="dxa"/>
            </w:tcMar>
          </w:tcPr>
          <w:p w14:paraId="09F89C75" w14:textId="77777777" w:rsidR="008A7C2A" w:rsidRDefault="008A7C2A" w:rsidP="00D22A3B">
            <w:pPr>
              <w:pStyle w:val="TableText"/>
              <w:spacing w:before="0" w:after="0"/>
            </w:pPr>
            <w:r w:rsidRPr="00247828">
              <w:t>2.0</w:t>
            </w:r>
          </w:p>
        </w:tc>
        <w:tc>
          <w:tcPr>
            <w:tcW w:w="860" w:type="pct"/>
            <w:tcMar>
              <w:top w:w="113" w:type="dxa"/>
              <w:bottom w:w="113" w:type="dxa"/>
            </w:tcMar>
          </w:tcPr>
          <w:p w14:paraId="2196D998" w14:textId="77777777" w:rsidR="008A7C2A" w:rsidRDefault="008A7C2A" w:rsidP="00D22A3B">
            <w:pPr>
              <w:pStyle w:val="TableText"/>
              <w:spacing w:before="0" w:after="0"/>
            </w:pPr>
            <w:r w:rsidRPr="00DE23EE">
              <w:t>2013</w:t>
            </w:r>
          </w:p>
        </w:tc>
        <w:tc>
          <w:tcPr>
            <w:tcW w:w="3593" w:type="pct"/>
            <w:tcMar>
              <w:top w:w="113" w:type="dxa"/>
              <w:bottom w:w="113" w:type="dxa"/>
            </w:tcMar>
          </w:tcPr>
          <w:p w14:paraId="332672B0" w14:textId="77777777" w:rsidR="008A7C2A" w:rsidRDefault="008A7C2A" w:rsidP="00D22A3B">
            <w:pPr>
              <w:pStyle w:val="TableText"/>
              <w:spacing w:before="0" w:after="0"/>
            </w:pPr>
            <w:r w:rsidRPr="001F4CEB">
              <w:t>Review and inclusion of DAFF offshore audit process</w:t>
            </w:r>
            <w:r>
              <w:t>.</w:t>
            </w:r>
          </w:p>
        </w:tc>
      </w:tr>
      <w:tr w:rsidR="008A7C2A" w14:paraId="39083321" w14:textId="77777777" w:rsidTr="008A7C2A">
        <w:tc>
          <w:tcPr>
            <w:tcW w:w="547" w:type="pct"/>
            <w:tcMar>
              <w:top w:w="113" w:type="dxa"/>
              <w:bottom w:w="113" w:type="dxa"/>
            </w:tcMar>
          </w:tcPr>
          <w:p w14:paraId="6200B492" w14:textId="77777777" w:rsidR="008A7C2A" w:rsidRDefault="008A7C2A" w:rsidP="00D22A3B">
            <w:pPr>
              <w:pStyle w:val="TableText"/>
              <w:spacing w:before="0" w:after="0"/>
            </w:pPr>
            <w:r w:rsidRPr="00247828">
              <w:t>3.0</w:t>
            </w:r>
          </w:p>
        </w:tc>
        <w:tc>
          <w:tcPr>
            <w:tcW w:w="860" w:type="pct"/>
            <w:tcMar>
              <w:top w:w="113" w:type="dxa"/>
              <w:bottom w:w="113" w:type="dxa"/>
            </w:tcMar>
          </w:tcPr>
          <w:p w14:paraId="501C28C5" w14:textId="77777777" w:rsidR="008A7C2A" w:rsidRDefault="008A7C2A" w:rsidP="00D22A3B">
            <w:pPr>
              <w:pStyle w:val="TableText"/>
              <w:spacing w:before="0" w:after="0"/>
            </w:pPr>
            <w:r w:rsidRPr="00DE23EE">
              <w:t>2016</w:t>
            </w:r>
          </w:p>
        </w:tc>
        <w:tc>
          <w:tcPr>
            <w:tcW w:w="3593" w:type="pct"/>
            <w:tcMar>
              <w:top w:w="113" w:type="dxa"/>
              <w:bottom w:w="113" w:type="dxa"/>
            </w:tcMar>
          </w:tcPr>
          <w:p w14:paraId="6354DE56" w14:textId="77777777" w:rsidR="008A7C2A" w:rsidRDefault="008A7C2A" w:rsidP="00D22A3B">
            <w:pPr>
              <w:pStyle w:val="TableText"/>
              <w:spacing w:before="0" w:after="0"/>
            </w:pPr>
            <w:r w:rsidRPr="001F4CEB">
              <w:t>Review and inclusion of organisational and legislative changes</w:t>
            </w:r>
            <w:r>
              <w:t>.</w:t>
            </w:r>
          </w:p>
        </w:tc>
      </w:tr>
      <w:tr w:rsidR="008A7C2A" w14:paraId="1C8D35B0" w14:textId="77777777" w:rsidTr="008A7C2A">
        <w:tc>
          <w:tcPr>
            <w:tcW w:w="547" w:type="pct"/>
            <w:tcMar>
              <w:top w:w="113" w:type="dxa"/>
              <w:bottom w:w="113" w:type="dxa"/>
            </w:tcMar>
          </w:tcPr>
          <w:p w14:paraId="11A5F8C3" w14:textId="77777777" w:rsidR="008A7C2A" w:rsidRDefault="008A7C2A" w:rsidP="00D22A3B">
            <w:pPr>
              <w:pStyle w:val="TableText"/>
              <w:spacing w:before="0" w:after="0"/>
            </w:pPr>
            <w:r w:rsidRPr="00247828">
              <w:t>4.0</w:t>
            </w:r>
          </w:p>
        </w:tc>
        <w:tc>
          <w:tcPr>
            <w:tcW w:w="860" w:type="pct"/>
            <w:tcMar>
              <w:top w:w="113" w:type="dxa"/>
              <w:bottom w:w="113" w:type="dxa"/>
            </w:tcMar>
          </w:tcPr>
          <w:p w14:paraId="27451819" w14:textId="77777777" w:rsidR="008A7C2A" w:rsidRDefault="008A7C2A" w:rsidP="00D22A3B">
            <w:pPr>
              <w:pStyle w:val="TableText"/>
              <w:spacing w:before="0" w:after="0"/>
            </w:pPr>
            <w:r w:rsidRPr="00DE23EE">
              <w:t>2017</w:t>
            </w:r>
          </w:p>
        </w:tc>
        <w:tc>
          <w:tcPr>
            <w:tcW w:w="3593" w:type="pct"/>
            <w:tcMar>
              <w:top w:w="113" w:type="dxa"/>
              <w:bottom w:w="113" w:type="dxa"/>
            </w:tcMar>
          </w:tcPr>
          <w:p w14:paraId="20BA46F5" w14:textId="77777777" w:rsidR="008A7C2A" w:rsidRDefault="008A7C2A" w:rsidP="00D22A3B">
            <w:pPr>
              <w:pStyle w:val="TableText"/>
              <w:spacing w:before="0" w:after="0"/>
            </w:pPr>
            <w:r w:rsidRPr="001F4CEB">
              <w:t xml:space="preserve">Update post 2017 </w:t>
            </w:r>
            <w:r>
              <w:t>r</w:t>
            </w:r>
            <w:r w:rsidRPr="001F4CEB">
              <w:t>eview and consultation.</w:t>
            </w:r>
          </w:p>
        </w:tc>
      </w:tr>
      <w:tr w:rsidR="008A7C2A" w14:paraId="748D25F2" w14:textId="77777777" w:rsidTr="008A7C2A">
        <w:tc>
          <w:tcPr>
            <w:tcW w:w="547" w:type="pct"/>
            <w:tcMar>
              <w:top w:w="113" w:type="dxa"/>
              <w:bottom w:w="113" w:type="dxa"/>
            </w:tcMar>
          </w:tcPr>
          <w:p w14:paraId="475B4EB6" w14:textId="77777777" w:rsidR="008A7C2A" w:rsidRDefault="008A7C2A" w:rsidP="00D22A3B">
            <w:pPr>
              <w:pStyle w:val="TableText"/>
              <w:spacing w:before="0" w:after="0"/>
            </w:pPr>
            <w:r w:rsidRPr="00247828">
              <w:t>5.0</w:t>
            </w:r>
          </w:p>
        </w:tc>
        <w:tc>
          <w:tcPr>
            <w:tcW w:w="860" w:type="pct"/>
            <w:tcMar>
              <w:top w:w="113" w:type="dxa"/>
              <w:bottom w:w="113" w:type="dxa"/>
            </w:tcMar>
          </w:tcPr>
          <w:p w14:paraId="14E7853F" w14:textId="77777777" w:rsidR="008A7C2A" w:rsidRDefault="008A7C2A" w:rsidP="00D22A3B">
            <w:pPr>
              <w:pStyle w:val="TableText"/>
              <w:spacing w:before="0" w:after="0"/>
            </w:pPr>
            <w:r w:rsidRPr="00DE23EE">
              <w:t>2019</w:t>
            </w:r>
          </w:p>
        </w:tc>
        <w:tc>
          <w:tcPr>
            <w:tcW w:w="3593" w:type="pct"/>
            <w:tcMar>
              <w:top w:w="113" w:type="dxa"/>
              <w:bottom w:w="113" w:type="dxa"/>
            </w:tcMar>
          </w:tcPr>
          <w:p w14:paraId="10EF6F4C" w14:textId="77777777" w:rsidR="008A7C2A" w:rsidRDefault="008A7C2A" w:rsidP="00D22A3B">
            <w:pPr>
              <w:pStyle w:val="TableText"/>
              <w:spacing w:before="0" w:after="0"/>
            </w:pPr>
            <w:r w:rsidRPr="001F4CEB">
              <w:t>Update to include outcomes agreed at Industry Logistics Committee, updated contact details and minor formatting edits</w:t>
            </w:r>
            <w:r>
              <w:t>.</w:t>
            </w:r>
          </w:p>
        </w:tc>
      </w:tr>
      <w:tr w:rsidR="008A7C2A" w14:paraId="53DF613E" w14:textId="77777777" w:rsidTr="008A7C2A">
        <w:tc>
          <w:tcPr>
            <w:tcW w:w="547" w:type="pct"/>
            <w:tcMar>
              <w:top w:w="113" w:type="dxa"/>
              <w:bottom w:w="113" w:type="dxa"/>
            </w:tcMar>
          </w:tcPr>
          <w:p w14:paraId="6898DABF" w14:textId="77777777" w:rsidR="008A7C2A" w:rsidRDefault="008A7C2A" w:rsidP="00D22A3B">
            <w:pPr>
              <w:pStyle w:val="TableText"/>
              <w:spacing w:before="0" w:after="0"/>
            </w:pPr>
            <w:r>
              <w:t>6.0</w:t>
            </w:r>
          </w:p>
        </w:tc>
        <w:tc>
          <w:tcPr>
            <w:tcW w:w="860" w:type="pct"/>
            <w:tcMar>
              <w:top w:w="113" w:type="dxa"/>
              <w:bottom w:w="113" w:type="dxa"/>
            </w:tcMar>
          </w:tcPr>
          <w:p w14:paraId="4B0CCDFE" w14:textId="77777777" w:rsidR="008A7C2A" w:rsidRDefault="008A7C2A" w:rsidP="00D22A3B">
            <w:pPr>
              <w:pStyle w:val="TableText"/>
              <w:spacing w:before="0" w:after="0"/>
            </w:pPr>
            <w:r w:rsidRPr="00DE23EE">
              <w:t>2023</w:t>
            </w:r>
            <w:r>
              <w:t xml:space="preserve"> </w:t>
            </w:r>
            <w:r w:rsidRPr="00062133">
              <w:t xml:space="preserve">and </w:t>
            </w:r>
            <w:r w:rsidRPr="004E3764">
              <w:t>2025</w:t>
            </w:r>
          </w:p>
        </w:tc>
        <w:tc>
          <w:tcPr>
            <w:tcW w:w="3593" w:type="pct"/>
            <w:tcMar>
              <w:top w:w="113" w:type="dxa"/>
              <w:bottom w:w="113" w:type="dxa"/>
            </w:tcMar>
          </w:tcPr>
          <w:p w14:paraId="454765BC" w14:textId="3E5008E5" w:rsidR="008A7C2A" w:rsidRDefault="008A7C2A" w:rsidP="00D22A3B">
            <w:pPr>
              <w:pStyle w:val="TableText"/>
              <w:spacing w:before="0" w:after="0"/>
            </w:pPr>
            <w:r>
              <w:t>Update post 2023 to 2025 review and consultation.</w:t>
            </w:r>
          </w:p>
        </w:tc>
      </w:tr>
    </w:tbl>
    <w:p w14:paraId="5AADE1C4" w14:textId="1DC9F9F6" w:rsidR="00634CBA" w:rsidRPr="00634CBA" w:rsidRDefault="00634CBA" w:rsidP="00D22A3B"/>
    <w:sectPr w:rsidR="00634CBA" w:rsidRPr="00634CBA" w:rsidSect="006F0DD8">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F8F38" w14:textId="77777777" w:rsidR="001255D1" w:rsidRDefault="001255D1">
      <w:r>
        <w:separator/>
      </w:r>
    </w:p>
    <w:p w14:paraId="47363587" w14:textId="77777777" w:rsidR="001255D1" w:rsidRDefault="001255D1"/>
    <w:p w14:paraId="05B06240" w14:textId="77777777" w:rsidR="001255D1" w:rsidRDefault="001255D1"/>
  </w:endnote>
  <w:endnote w:type="continuationSeparator" w:id="0">
    <w:p w14:paraId="0DB01548" w14:textId="77777777" w:rsidR="001255D1" w:rsidRDefault="001255D1">
      <w:r>
        <w:continuationSeparator/>
      </w:r>
    </w:p>
    <w:p w14:paraId="372D2A79" w14:textId="77777777" w:rsidR="001255D1" w:rsidRDefault="001255D1"/>
    <w:p w14:paraId="5AC32A17" w14:textId="77777777" w:rsidR="001255D1" w:rsidRDefault="001255D1"/>
  </w:endnote>
  <w:endnote w:type="continuationNotice" w:id="1">
    <w:p w14:paraId="0A9CE4CE" w14:textId="77777777" w:rsidR="001255D1" w:rsidRDefault="001255D1">
      <w:pPr>
        <w:pStyle w:val="Footer"/>
      </w:pPr>
    </w:p>
    <w:p w14:paraId="40026B42" w14:textId="77777777" w:rsidR="001255D1" w:rsidRDefault="001255D1"/>
    <w:p w14:paraId="37D99433" w14:textId="77777777" w:rsidR="001255D1" w:rsidRDefault="00125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F571" w14:textId="3AB5B000" w:rsidR="004F31AB" w:rsidRDefault="004F31AB">
    <w:pPr>
      <w:pStyle w:val="Footer"/>
    </w:pPr>
    <w:r>
      <w:rPr>
        <w:noProof/>
      </w:rPr>
      <mc:AlternateContent>
        <mc:Choice Requires="wps">
          <w:drawing>
            <wp:anchor distT="0" distB="0" distL="0" distR="0" simplePos="0" relativeHeight="251657728" behindDoc="0" locked="0" layoutInCell="1" allowOverlap="1" wp14:anchorId="672DCE42" wp14:editId="39F224AE">
              <wp:simplePos x="635" y="635"/>
              <wp:positionH relativeFrom="page">
                <wp:align>center</wp:align>
              </wp:positionH>
              <wp:positionV relativeFrom="page">
                <wp:align>bottom</wp:align>
              </wp:positionV>
              <wp:extent cx="551815" cy="404495"/>
              <wp:effectExtent l="0" t="0" r="635" b="0"/>
              <wp:wrapNone/>
              <wp:docPr id="8308076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28DA0C3" w14:textId="1E5D3B00" w:rsidR="004F31AB" w:rsidRPr="004F31AB" w:rsidRDefault="004F31AB" w:rsidP="004F31AB">
                          <w:pPr>
                            <w:spacing w:after="0"/>
                            <w:rPr>
                              <w:rFonts w:ascii="Calibri" w:eastAsia="Calibri" w:hAnsi="Calibri" w:cs="Calibri"/>
                              <w:noProof/>
                              <w:color w:val="FF0000"/>
                              <w:sz w:val="24"/>
                              <w:szCs w:val="24"/>
                            </w:rPr>
                          </w:pPr>
                          <w:r w:rsidRPr="004F31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2DCE42"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28DA0C3" w14:textId="1E5D3B00" w:rsidR="004F31AB" w:rsidRPr="004F31AB" w:rsidRDefault="004F31AB" w:rsidP="004F31AB">
                    <w:pPr>
                      <w:spacing w:after="0"/>
                      <w:rPr>
                        <w:rFonts w:ascii="Calibri" w:eastAsia="Calibri" w:hAnsi="Calibri" w:cs="Calibri"/>
                        <w:noProof/>
                        <w:color w:val="FF0000"/>
                        <w:sz w:val="24"/>
                        <w:szCs w:val="24"/>
                      </w:rPr>
                    </w:pPr>
                    <w:r w:rsidRPr="004F31AB">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89F5" w14:textId="6D499BF1" w:rsidR="003E4788" w:rsidRDefault="004F31AB" w:rsidP="006A578F">
    <w:pPr>
      <w:pStyle w:val="Footer"/>
      <w:spacing w:after="480"/>
    </w:pPr>
    <w:r>
      <w:rPr>
        <w:noProof/>
      </w:rPr>
      <mc:AlternateContent>
        <mc:Choice Requires="wps">
          <w:drawing>
            <wp:anchor distT="0" distB="0" distL="0" distR="0" simplePos="0" relativeHeight="251658752" behindDoc="0" locked="0" layoutInCell="1" allowOverlap="1" wp14:anchorId="3327BC95" wp14:editId="26B6E932">
              <wp:simplePos x="899770" y="10051085"/>
              <wp:positionH relativeFrom="page">
                <wp:align>center</wp:align>
              </wp:positionH>
              <wp:positionV relativeFrom="page">
                <wp:align>bottom</wp:align>
              </wp:positionV>
              <wp:extent cx="551815" cy="404495"/>
              <wp:effectExtent l="0" t="0" r="635" b="0"/>
              <wp:wrapNone/>
              <wp:docPr id="152774174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F6E1D09" w14:textId="15826E3E" w:rsidR="004F31AB" w:rsidRPr="004F31AB" w:rsidRDefault="004F31AB" w:rsidP="004F31A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27BC95"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0F6E1D09" w14:textId="15826E3E" w:rsidR="004F31AB" w:rsidRPr="004F31AB" w:rsidRDefault="004F31AB" w:rsidP="004F31AB">
                    <w:pPr>
                      <w:spacing w:after="0"/>
                      <w:rPr>
                        <w:rFonts w:ascii="Calibri" w:eastAsia="Calibri" w:hAnsi="Calibri" w:cs="Calibri"/>
                        <w:noProof/>
                        <w:color w:val="FF0000"/>
                        <w:sz w:val="24"/>
                        <w:szCs w:val="24"/>
                      </w:rPr>
                    </w:pPr>
                  </w:p>
                </w:txbxContent>
              </v:textbox>
              <w10:wrap anchorx="page" anchory="page"/>
            </v:shape>
          </w:pict>
        </mc:Fallback>
      </mc:AlternateContent>
    </w:r>
    <w:r w:rsidR="008376D9" w:rsidRPr="008376D9">
      <w:t>Department of Agriculture, Fisheries and Forestry</w:t>
    </w:r>
    <w:r w:rsidR="006A578F">
      <w:tab/>
    </w:r>
    <w:r w:rsidR="005C11E1">
      <w:fldChar w:fldCharType="begin"/>
    </w:r>
    <w:r w:rsidR="005C11E1">
      <w:instrText xml:space="preserve"> PAGE   \* MERGEFORMAT </w:instrText>
    </w:r>
    <w:r w:rsidR="005C11E1">
      <w:fldChar w:fldCharType="separate"/>
    </w:r>
    <w:r w:rsidR="00F82089">
      <w:rPr>
        <w:noProof/>
      </w:rPr>
      <w:t>8</w:t>
    </w:r>
    <w:r w:rsidR="005C11E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7618" w14:textId="2B8A6D45" w:rsidR="004F31AB" w:rsidRDefault="004F31AB">
    <w:pPr>
      <w:pStyle w:val="Footer"/>
    </w:pPr>
    <w:r>
      <w:rPr>
        <w:noProof/>
      </w:rPr>
      <mc:AlternateContent>
        <mc:Choice Requires="wps">
          <w:drawing>
            <wp:anchor distT="0" distB="0" distL="0" distR="0" simplePos="0" relativeHeight="251656704" behindDoc="0" locked="0" layoutInCell="1" allowOverlap="1" wp14:anchorId="788EC0D6" wp14:editId="6C196A07">
              <wp:simplePos x="901065" y="10281920"/>
              <wp:positionH relativeFrom="page">
                <wp:align>center</wp:align>
              </wp:positionH>
              <wp:positionV relativeFrom="page">
                <wp:align>bottom</wp:align>
              </wp:positionV>
              <wp:extent cx="551815" cy="404495"/>
              <wp:effectExtent l="0" t="0" r="635" b="0"/>
              <wp:wrapNone/>
              <wp:docPr id="12876584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9DD6477" w14:textId="39381D65" w:rsidR="004F31AB" w:rsidRPr="004F31AB" w:rsidRDefault="004F31AB" w:rsidP="004F31A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8EC0D6"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1.8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79DD6477" w14:textId="39381D65" w:rsidR="004F31AB" w:rsidRPr="004F31AB" w:rsidRDefault="004F31AB" w:rsidP="004F31AB">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BE9E" w14:textId="77777777" w:rsidR="001255D1" w:rsidRDefault="001255D1">
      <w:r>
        <w:separator/>
      </w:r>
    </w:p>
    <w:p w14:paraId="0C2897E1" w14:textId="77777777" w:rsidR="001255D1" w:rsidRDefault="001255D1"/>
    <w:p w14:paraId="0C575C79" w14:textId="77777777" w:rsidR="001255D1" w:rsidRDefault="001255D1"/>
  </w:footnote>
  <w:footnote w:type="continuationSeparator" w:id="0">
    <w:p w14:paraId="5AEB2295" w14:textId="77777777" w:rsidR="001255D1" w:rsidRDefault="001255D1">
      <w:r>
        <w:continuationSeparator/>
      </w:r>
    </w:p>
    <w:p w14:paraId="099A9EE6" w14:textId="77777777" w:rsidR="001255D1" w:rsidRDefault="001255D1"/>
    <w:p w14:paraId="0BCE9F32" w14:textId="77777777" w:rsidR="001255D1" w:rsidRDefault="001255D1"/>
  </w:footnote>
  <w:footnote w:type="continuationNotice" w:id="1">
    <w:p w14:paraId="630B817D" w14:textId="77777777" w:rsidR="001255D1" w:rsidRDefault="001255D1">
      <w:pPr>
        <w:pStyle w:val="Footer"/>
      </w:pPr>
    </w:p>
    <w:p w14:paraId="4B738714" w14:textId="77777777" w:rsidR="001255D1" w:rsidRDefault="001255D1"/>
    <w:p w14:paraId="2A11EEF9" w14:textId="77777777" w:rsidR="001255D1" w:rsidRDefault="00125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A74B" w14:textId="65ECC9BD" w:rsidR="004F31AB" w:rsidRDefault="004F31AB">
    <w:pPr>
      <w:pStyle w:val="Header"/>
    </w:pPr>
    <w:r>
      <w:rPr>
        <w:noProof/>
      </w:rPr>
      <mc:AlternateContent>
        <mc:Choice Requires="wps">
          <w:drawing>
            <wp:anchor distT="0" distB="0" distL="0" distR="0" simplePos="0" relativeHeight="251654656" behindDoc="0" locked="0" layoutInCell="1" allowOverlap="1" wp14:anchorId="4804370B" wp14:editId="1A2FE073">
              <wp:simplePos x="635" y="635"/>
              <wp:positionH relativeFrom="page">
                <wp:align>center</wp:align>
              </wp:positionH>
              <wp:positionV relativeFrom="page">
                <wp:align>top</wp:align>
              </wp:positionV>
              <wp:extent cx="551815" cy="404495"/>
              <wp:effectExtent l="0" t="0" r="635" b="14605"/>
              <wp:wrapNone/>
              <wp:docPr id="15547503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57D621B" w14:textId="76297980" w:rsidR="004F31AB" w:rsidRPr="004F31AB" w:rsidRDefault="004F31AB" w:rsidP="004F31AB">
                          <w:pPr>
                            <w:spacing w:after="0"/>
                            <w:rPr>
                              <w:rFonts w:ascii="Calibri" w:eastAsia="Calibri" w:hAnsi="Calibri" w:cs="Calibri"/>
                              <w:noProof/>
                              <w:color w:val="FF0000"/>
                              <w:sz w:val="24"/>
                              <w:szCs w:val="24"/>
                            </w:rPr>
                          </w:pPr>
                          <w:r w:rsidRPr="004F31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04370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457D621B" w14:textId="76297980" w:rsidR="004F31AB" w:rsidRPr="004F31AB" w:rsidRDefault="004F31AB" w:rsidP="004F31AB">
                    <w:pPr>
                      <w:spacing w:after="0"/>
                      <w:rPr>
                        <w:rFonts w:ascii="Calibri" w:eastAsia="Calibri" w:hAnsi="Calibri" w:cs="Calibri"/>
                        <w:noProof/>
                        <w:color w:val="FF0000"/>
                        <w:sz w:val="24"/>
                        <w:szCs w:val="24"/>
                      </w:rPr>
                    </w:pPr>
                    <w:r w:rsidRPr="004F31AB">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22D2" w14:textId="0F166E22" w:rsidR="003E4788" w:rsidRDefault="004F31AB" w:rsidP="006A578F">
    <w:pPr>
      <w:pStyle w:val="Header"/>
      <w:spacing w:before="120"/>
    </w:pPr>
    <w:r>
      <w:rPr>
        <w:noProof/>
      </w:rPr>
      <mc:AlternateContent>
        <mc:Choice Requires="wps">
          <w:drawing>
            <wp:anchor distT="0" distB="0" distL="0" distR="0" simplePos="0" relativeHeight="251655680" behindDoc="0" locked="0" layoutInCell="1" allowOverlap="1" wp14:anchorId="70760C02" wp14:editId="6F25A445">
              <wp:simplePos x="899770" y="358445"/>
              <wp:positionH relativeFrom="page">
                <wp:align>center</wp:align>
              </wp:positionH>
              <wp:positionV relativeFrom="page">
                <wp:align>top</wp:align>
              </wp:positionV>
              <wp:extent cx="551815" cy="404495"/>
              <wp:effectExtent l="0" t="0" r="635" b="14605"/>
              <wp:wrapNone/>
              <wp:docPr id="7406078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E9DEAFD" w14:textId="38CC6D1B" w:rsidR="004F31AB" w:rsidRPr="004F31AB" w:rsidRDefault="004F31AB" w:rsidP="004F31A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760C02"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4E9DEAFD" w14:textId="38CC6D1B" w:rsidR="004F31AB" w:rsidRPr="004F31AB" w:rsidRDefault="004F31AB" w:rsidP="004F31AB">
                    <w:pPr>
                      <w:spacing w:after="0"/>
                      <w:rPr>
                        <w:rFonts w:ascii="Calibri" w:eastAsia="Calibri" w:hAnsi="Calibri" w:cs="Calibri"/>
                        <w:noProof/>
                        <w:color w:val="FF0000"/>
                        <w:sz w:val="24"/>
                        <w:szCs w:val="24"/>
                      </w:rPr>
                    </w:pPr>
                  </w:p>
                </w:txbxContent>
              </v:textbox>
              <w10:wrap anchorx="page" anchory="page"/>
            </v:shape>
          </w:pict>
        </mc:Fallback>
      </mc:AlternateContent>
    </w:r>
    <w:r w:rsidR="00337656">
      <w:t>Import</w:t>
    </w:r>
    <w:r w:rsidR="004E1F87">
      <w:t xml:space="preserve">ed Inorganic Fertiliser </w:t>
    </w:r>
    <w:r w:rsidR="004E1F87" w:rsidRPr="00F94B8B">
      <w:t>Management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8E8D" w14:textId="53FA0253" w:rsidR="003E4788" w:rsidRDefault="006A578F" w:rsidP="006A578F">
    <w:pPr>
      <w:pStyle w:val="Header"/>
      <w:tabs>
        <w:tab w:val="clear" w:pos="4820"/>
        <w:tab w:val="right" w:pos="9070"/>
      </w:tabs>
      <w:jc w:val="left"/>
    </w:pPr>
    <w:r>
      <w:rPr>
        <w:noProof/>
      </w:rPr>
      <w:drawing>
        <wp:anchor distT="0" distB="0" distL="114300" distR="114300" simplePos="0" relativeHeight="251659776" behindDoc="1" locked="0" layoutInCell="1" allowOverlap="1" wp14:anchorId="399E3714" wp14:editId="0AC38184">
          <wp:simplePos x="0" y="0"/>
          <wp:positionH relativeFrom="page">
            <wp:align>right</wp:align>
          </wp:positionH>
          <wp:positionV relativeFrom="paragraph">
            <wp:posOffset>-342900</wp:posOffset>
          </wp:positionV>
          <wp:extent cx="7567200" cy="10702800"/>
          <wp:effectExtent l="0" t="0" r="0" b="3810"/>
          <wp:wrapNone/>
          <wp:docPr id="5" name="Picture 5"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1070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162E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EA23B8"/>
    <w:multiLevelType w:val="hybridMultilevel"/>
    <w:tmpl w:val="C4E4E59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056DAA"/>
    <w:multiLevelType w:val="hybridMultilevel"/>
    <w:tmpl w:val="B1E4269E"/>
    <w:lvl w:ilvl="0" w:tplc="069293A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88CDE02"/>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0E8642A"/>
    <w:multiLevelType w:val="hybridMultilevel"/>
    <w:tmpl w:val="C37AB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6C7ACE"/>
    <w:multiLevelType w:val="hybridMultilevel"/>
    <w:tmpl w:val="25D25D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AF879F3"/>
    <w:multiLevelType w:val="hybridMultilevel"/>
    <w:tmpl w:val="33B07028"/>
    <w:lvl w:ilvl="0" w:tplc="E57EC07E">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8767CB"/>
    <w:multiLevelType w:val="hybridMultilevel"/>
    <w:tmpl w:val="4036AD9C"/>
    <w:lvl w:ilvl="0" w:tplc="0C090001">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9" w15:restartNumberingAfterBreak="0">
    <w:nsid w:val="46E466EE"/>
    <w:multiLevelType w:val="hybridMultilevel"/>
    <w:tmpl w:val="08C82CE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1"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70342E"/>
    <w:multiLevelType w:val="multilevel"/>
    <w:tmpl w:val="ED2C481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3" w15:restartNumberingAfterBreak="0">
    <w:nsid w:val="5A8B541B"/>
    <w:multiLevelType w:val="multilevel"/>
    <w:tmpl w:val="CFE66628"/>
    <w:lvl w:ilvl="0">
      <w:start w:val="1"/>
      <w:numFmt w:val="bullet"/>
      <w:pStyle w:val="TableBullet1"/>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5"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6" w15:restartNumberingAfterBreak="0">
    <w:nsid w:val="72FF74E1"/>
    <w:multiLevelType w:val="hybridMultilevel"/>
    <w:tmpl w:val="7B865848"/>
    <w:lvl w:ilvl="0" w:tplc="4B0EB576">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7496035">
    <w:abstractNumId w:val="14"/>
  </w:num>
  <w:num w:numId="2" w16cid:durableId="582177553">
    <w:abstractNumId w:val="15"/>
  </w:num>
  <w:num w:numId="3" w16cid:durableId="343671981">
    <w:abstractNumId w:val="4"/>
  </w:num>
  <w:num w:numId="4" w16cid:durableId="1373312202">
    <w:abstractNumId w:val="11"/>
  </w:num>
  <w:num w:numId="5" w16cid:durableId="572471579">
    <w:abstractNumId w:val="13"/>
  </w:num>
  <w:num w:numId="6" w16cid:durableId="215288153">
    <w:abstractNumId w:val="10"/>
  </w:num>
  <w:num w:numId="7" w16cid:durableId="1595284182">
    <w:abstractNumId w:val="4"/>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4"/>
        <w:lvlText w:val="%1.%2.%3"/>
        <w:lvlJc w:val="left"/>
        <w:pPr>
          <w:ind w:left="2099" w:hanging="964"/>
        </w:pPr>
        <w:rPr>
          <w:rFonts w:hint="default"/>
        </w:rPr>
      </w:lvl>
    </w:lvlOverride>
  </w:num>
  <w:num w:numId="8" w16cid:durableId="1724519758">
    <w:abstractNumId w:val="14"/>
  </w:num>
  <w:num w:numId="9" w16cid:durableId="2018343253">
    <w:abstractNumId w:val="15"/>
  </w:num>
  <w:num w:numId="10" w16cid:durableId="535971525">
    <w:abstractNumId w:val="2"/>
  </w:num>
  <w:num w:numId="11" w16cid:durableId="653803472">
    <w:abstractNumId w:val="12"/>
  </w:num>
  <w:num w:numId="12" w16cid:durableId="1977026588">
    <w:abstractNumId w:val="3"/>
  </w:num>
  <w:num w:numId="13" w16cid:durableId="307706458">
    <w:abstractNumId w:val="8"/>
  </w:num>
  <w:num w:numId="14" w16cid:durableId="261187064">
    <w:abstractNumId w:val="5"/>
  </w:num>
  <w:num w:numId="15" w16cid:durableId="65494205">
    <w:abstractNumId w:val="9"/>
  </w:num>
  <w:num w:numId="16" w16cid:durableId="2120443175">
    <w:abstractNumId w:val="1"/>
  </w:num>
  <w:num w:numId="17" w16cid:durableId="465509668">
    <w:abstractNumId w:val="0"/>
  </w:num>
  <w:num w:numId="18" w16cid:durableId="1418746147">
    <w:abstractNumId w:val="6"/>
  </w:num>
  <w:num w:numId="19" w16cid:durableId="723987971">
    <w:abstractNumId w:val="7"/>
  </w:num>
  <w:num w:numId="20" w16cid:durableId="189851452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DA1"/>
    <w:rsid w:val="0000114B"/>
    <w:rsid w:val="0000318D"/>
    <w:rsid w:val="00011520"/>
    <w:rsid w:val="000128D9"/>
    <w:rsid w:val="000139D0"/>
    <w:rsid w:val="0001494E"/>
    <w:rsid w:val="00015CBD"/>
    <w:rsid w:val="00016882"/>
    <w:rsid w:val="000206CA"/>
    <w:rsid w:val="00024137"/>
    <w:rsid w:val="00024C8C"/>
    <w:rsid w:val="000258D5"/>
    <w:rsid w:val="00026311"/>
    <w:rsid w:val="0002643A"/>
    <w:rsid w:val="00031BF1"/>
    <w:rsid w:val="0003383F"/>
    <w:rsid w:val="000354C2"/>
    <w:rsid w:val="00040479"/>
    <w:rsid w:val="00043BD1"/>
    <w:rsid w:val="000455FB"/>
    <w:rsid w:val="00047D58"/>
    <w:rsid w:val="00050B3E"/>
    <w:rsid w:val="00051618"/>
    <w:rsid w:val="0005273C"/>
    <w:rsid w:val="0005340D"/>
    <w:rsid w:val="00054F39"/>
    <w:rsid w:val="00056D31"/>
    <w:rsid w:val="00056DEA"/>
    <w:rsid w:val="000571E7"/>
    <w:rsid w:val="000577C1"/>
    <w:rsid w:val="00057FC2"/>
    <w:rsid w:val="00061CF9"/>
    <w:rsid w:val="00062133"/>
    <w:rsid w:val="00062A10"/>
    <w:rsid w:val="00070D0E"/>
    <w:rsid w:val="000740BC"/>
    <w:rsid w:val="0008104D"/>
    <w:rsid w:val="00086BA2"/>
    <w:rsid w:val="000879FF"/>
    <w:rsid w:val="000914AD"/>
    <w:rsid w:val="000931E2"/>
    <w:rsid w:val="000932E6"/>
    <w:rsid w:val="00093507"/>
    <w:rsid w:val="00095E05"/>
    <w:rsid w:val="00096ACC"/>
    <w:rsid w:val="000A2A0E"/>
    <w:rsid w:val="000A408E"/>
    <w:rsid w:val="000B224E"/>
    <w:rsid w:val="000B2909"/>
    <w:rsid w:val="000B5FB7"/>
    <w:rsid w:val="000C020F"/>
    <w:rsid w:val="000C0305"/>
    <w:rsid w:val="000C299F"/>
    <w:rsid w:val="000C3876"/>
    <w:rsid w:val="000C6434"/>
    <w:rsid w:val="000D0B85"/>
    <w:rsid w:val="000D3FBE"/>
    <w:rsid w:val="000D44D0"/>
    <w:rsid w:val="000D4D50"/>
    <w:rsid w:val="000D7718"/>
    <w:rsid w:val="000E1959"/>
    <w:rsid w:val="000E21DE"/>
    <w:rsid w:val="000E46D7"/>
    <w:rsid w:val="000E482E"/>
    <w:rsid w:val="000E5DA7"/>
    <w:rsid w:val="000E6A98"/>
    <w:rsid w:val="000E6E3E"/>
    <w:rsid w:val="000E7D30"/>
    <w:rsid w:val="000F202E"/>
    <w:rsid w:val="000F2644"/>
    <w:rsid w:val="000F3ED5"/>
    <w:rsid w:val="000F5DA1"/>
    <w:rsid w:val="000F5E2C"/>
    <w:rsid w:val="000F7AD9"/>
    <w:rsid w:val="00101AF3"/>
    <w:rsid w:val="001061DB"/>
    <w:rsid w:val="00112554"/>
    <w:rsid w:val="00116D4B"/>
    <w:rsid w:val="00117E7E"/>
    <w:rsid w:val="0012030F"/>
    <w:rsid w:val="00120F57"/>
    <w:rsid w:val="0012270D"/>
    <w:rsid w:val="001227AD"/>
    <w:rsid w:val="001241D2"/>
    <w:rsid w:val="00124471"/>
    <w:rsid w:val="001255D1"/>
    <w:rsid w:val="001256DB"/>
    <w:rsid w:val="00126962"/>
    <w:rsid w:val="00127A75"/>
    <w:rsid w:val="0013179A"/>
    <w:rsid w:val="00133928"/>
    <w:rsid w:val="00133D45"/>
    <w:rsid w:val="00134F4B"/>
    <w:rsid w:val="0013756E"/>
    <w:rsid w:val="00137CF3"/>
    <w:rsid w:val="00137EE2"/>
    <w:rsid w:val="001400DE"/>
    <w:rsid w:val="00142762"/>
    <w:rsid w:val="00143A15"/>
    <w:rsid w:val="00145A2F"/>
    <w:rsid w:val="001464F4"/>
    <w:rsid w:val="001477CC"/>
    <w:rsid w:val="001502F8"/>
    <w:rsid w:val="0015122B"/>
    <w:rsid w:val="00155CB8"/>
    <w:rsid w:val="00155EC0"/>
    <w:rsid w:val="001626E7"/>
    <w:rsid w:val="00162892"/>
    <w:rsid w:val="001645CD"/>
    <w:rsid w:val="00164C29"/>
    <w:rsid w:val="00165551"/>
    <w:rsid w:val="0016699F"/>
    <w:rsid w:val="001720D7"/>
    <w:rsid w:val="00172DA6"/>
    <w:rsid w:val="00174A9E"/>
    <w:rsid w:val="00176D21"/>
    <w:rsid w:val="0018224D"/>
    <w:rsid w:val="00184B30"/>
    <w:rsid w:val="001856B3"/>
    <w:rsid w:val="00185A89"/>
    <w:rsid w:val="001863C3"/>
    <w:rsid w:val="00191B8C"/>
    <w:rsid w:val="00195A65"/>
    <w:rsid w:val="00196D5E"/>
    <w:rsid w:val="001A01CE"/>
    <w:rsid w:val="001A048E"/>
    <w:rsid w:val="001A0EA3"/>
    <w:rsid w:val="001A6C01"/>
    <w:rsid w:val="001B06FD"/>
    <w:rsid w:val="001B17DE"/>
    <w:rsid w:val="001B6363"/>
    <w:rsid w:val="001B7752"/>
    <w:rsid w:val="001C0B23"/>
    <w:rsid w:val="001C2A46"/>
    <w:rsid w:val="001C587F"/>
    <w:rsid w:val="001C6209"/>
    <w:rsid w:val="001C6A6D"/>
    <w:rsid w:val="001D0829"/>
    <w:rsid w:val="001D0E84"/>
    <w:rsid w:val="001D1D34"/>
    <w:rsid w:val="001D6AF9"/>
    <w:rsid w:val="001E0481"/>
    <w:rsid w:val="001E1E55"/>
    <w:rsid w:val="001E22C5"/>
    <w:rsid w:val="001F04AA"/>
    <w:rsid w:val="001F063E"/>
    <w:rsid w:val="001F18AB"/>
    <w:rsid w:val="001F3963"/>
    <w:rsid w:val="001F6895"/>
    <w:rsid w:val="001F6ABE"/>
    <w:rsid w:val="00200258"/>
    <w:rsid w:val="00200A4E"/>
    <w:rsid w:val="00200BA6"/>
    <w:rsid w:val="0020209E"/>
    <w:rsid w:val="00202317"/>
    <w:rsid w:val="002025A5"/>
    <w:rsid w:val="00207B8F"/>
    <w:rsid w:val="00207F99"/>
    <w:rsid w:val="00211A75"/>
    <w:rsid w:val="0021754F"/>
    <w:rsid w:val="00217FAB"/>
    <w:rsid w:val="00222535"/>
    <w:rsid w:val="00225201"/>
    <w:rsid w:val="00225764"/>
    <w:rsid w:val="002306F1"/>
    <w:rsid w:val="0023093D"/>
    <w:rsid w:val="00231039"/>
    <w:rsid w:val="002320D9"/>
    <w:rsid w:val="00240E89"/>
    <w:rsid w:val="00245EB6"/>
    <w:rsid w:val="002462FB"/>
    <w:rsid w:val="0024764D"/>
    <w:rsid w:val="00247AE5"/>
    <w:rsid w:val="002508F4"/>
    <w:rsid w:val="00251C9C"/>
    <w:rsid w:val="002527AE"/>
    <w:rsid w:val="00253339"/>
    <w:rsid w:val="002552AE"/>
    <w:rsid w:val="00256ED5"/>
    <w:rsid w:val="0026173C"/>
    <w:rsid w:val="0027009E"/>
    <w:rsid w:val="00270A65"/>
    <w:rsid w:val="00273600"/>
    <w:rsid w:val="0027587D"/>
    <w:rsid w:val="00275BFA"/>
    <w:rsid w:val="00275C8F"/>
    <w:rsid w:val="00276C30"/>
    <w:rsid w:val="00283A71"/>
    <w:rsid w:val="00283DDB"/>
    <w:rsid w:val="00283E9B"/>
    <w:rsid w:val="00284288"/>
    <w:rsid w:val="0029326F"/>
    <w:rsid w:val="002936DD"/>
    <w:rsid w:val="0029376B"/>
    <w:rsid w:val="002963D4"/>
    <w:rsid w:val="00297000"/>
    <w:rsid w:val="00297304"/>
    <w:rsid w:val="002A14CD"/>
    <w:rsid w:val="002A346A"/>
    <w:rsid w:val="002A3F88"/>
    <w:rsid w:val="002B01E2"/>
    <w:rsid w:val="002B2051"/>
    <w:rsid w:val="002B6342"/>
    <w:rsid w:val="002C0009"/>
    <w:rsid w:val="002C0CF7"/>
    <w:rsid w:val="002C1328"/>
    <w:rsid w:val="002C1BAC"/>
    <w:rsid w:val="002C4FAD"/>
    <w:rsid w:val="002C5356"/>
    <w:rsid w:val="002C731B"/>
    <w:rsid w:val="002D0085"/>
    <w:rsid w:val="002D433A"/>
    <w:rsid w:val="002D52F0"/>
    <w:rsid w:val="002D7EC7"/>
    <w:rsid w:val="002E0EC6"/>
    <w:rsid w:val="002E10B0"/>
    <w:rsid w:val="002E1971"/>
    <w:rsid w:val="002E24AD"/>
    <w:rsid w:val="002E5C72"/>
    <w:rsid w:val="002E7797"/>
    <w:rsid w:val="002E783C"/>
    <w:rsid w:val="002F1A69"/>
    <w:rsid w:val="002F2163"/>
    <w:rsid w:val="002F3361"/>
    <w:rsid w:val="002F3B5D"/>
    <w:rsid w:val="002F4189"/>
    <w:rsid w:val="002F45AC"/>
    <w:rsid w:val="002F5408"/>
    <w:rsid w:val="002F5689"/>
    <w:rsid w:val="002F7880"/>
    <w:rsid w:val="003043A1"/>
    <w:rsid w:val="00314DD6"/>
    <w:rsid w:val="00316246"/>
    <w:rsid w:val="00322813"/>
    <w:rsid w:val="00322D05"/>
    <w:rsid w:val="00327FBC"/>
    <w:rsid w:val="00331073"/>
    <w:rsid w:val="003348F1"/>
    <w:rsid w:val="003359C8"/>
    <w:rsid w:val="00335BF5"/>
    <w:rsid w:val="003366ED"/>
    <w:rsid w:val="00336AE9"/>
    <w:rsid w:val="0033704E"/>
    <w:rsid w:val="00337656"/>
    <w:rsid w:val="003411A7"/>
    <w:rsid w:val="0034151F"/>
    <w:rsid w:val="003416B3"/>
    <w:rsid w:val="00341BDE"/>
    <w:rsid w:val="00342947"/>
    <w:rsid w:val="00342B0B"/>
    <w:rsid w:val="00342E1D"/>
    <w:rsid w:val="00343A32"/>
    <w:rsid w:val="0034503D"/>
    <w:rsid w:val="00346C13"/>
    <w:rsid w:val="00352AE2"/>
    <w:rsid w:val="00352EAC"/>
    <w:rsid w:val="003542B9"/>
    <w:rsid w:val="0035436D"/>
    <w:rsid w:val="00356584"/>
    <w:rsid w:val="00356D95"/>
    <w:rsid w:val="00362A99"/>
    <w:rsid w:val="0036320C"/>
    <w:rsid w:val="003669C3"/>
    <w:rsid w:val="003701A6"/>
    <w:rsid w:val="00373911"/>
    <w:rsid w:val="0037412A"/>
    <w:rsid w:val="00374576"/>
    <w:rsid w:val="00377742"/>
    <w:rsid w:val="003816F8"/>
    <w:rsid w:val="003871D7"/>
    <w:rsid w:val="00392B06"/>
    <w:rsid w:val="003938F7"/>
    <w:rsid w:val="00397130"/>
    <w:rsid w:val="00397B63"/>
    <w:rsid w:val="003A12E6"/>
    <w:rsid w:val="003A2100"/>
    <w:rsid w:val="003A4826"/>
    <w:rsid w:val="003B01D5"/>
    <w:rsid w:val="003B0E9C"/>
    <w:rsid w:val="003B1CD1"/>
    <w:rsid w:val="003B2230"/>
    <w:rsid w:val="003B2B7B"/>
    <w:rsid w:val="003B2C00"/>
    <w:rsid w:val="003B2DC7"/>
    <w:rsid w:val="003B51AD"/>
    <w:rsid w:val="003B56EA"/>
    <w:rsid w:val="003B5FF7"/>
    <w:rsid w:val="003C36FE"/>
    <w:rsid w:val="003C4B1B"/>
    <w:rsid w:val="003C4BDA"/>
    <w:rsid w:val="003C4DD8"/>
    <w:rsid w:val="003C708C"/>
    <w:rsid w:val="003C7A5E"/>
    <w:rsid w:val="003C7FB2"/>
    <w:rsid w:val="003D48F9"/>
    <w:rsid w:val="003D54CE"/>
    <w:rsid w:val="003D6F74"/>
    <w:rsid w:val="003D7D50"/>
    <w:rsid w:val="003E0332"/>
    <w:rsid w:val="003E1CDD"/>
    <w:rsid w:val="003E1E6E"/>
    <w:rsid w:val="003E2913"/>
    <w:rsid w:val="003E37B7"/>
    <w:rsid w:val="003E4788"/>
    <w:rsid w:val="003E7338"/>
    <w:rsid w:val="003F00C4"/>
    <w:rsid w:val="003F077C"/>
    <w:rsid w:val="003F3184"/>
    <w:rsid w:val="003F51A0"/>
    <w:rsid w:val="004005E3"/>
    <w:rsid w:val="00400602"/>
    <w:rsid w:val="0040109D"/>
    <w:rsid w:val="0040160B"/>
    <w:rsid w:val="0040218E"/>
    <w:rsid w:val="0040412D"/>
    <w:rsid w:val="00404335"/>
    <w:rsid w:val="00404760"/>
    <w:rsid w:val="004065BD"/>
    <w:rsid w:val="004101C5"/>
    <w:rsid w:val="00413711"/>
    <w:rsid w:val="00417F0C"/>
    <w:rsid w:val="00420818"/>
    <w:rsid w:val="004211F4"/>
    <w:rsid w:val="00421786"/>
    <w:rsid w:val="00422D20"/>
    <w:rsid w:val="00423096"/>
    <w:rsid w:val="00424175"/>
    <w:rsid w:val="00425B25"/>
    <w:rsid w:val="00427327"/>
    <w:rsid w:val="00430AB2"/>
    <w:rsid w:val="00432C38"/>
    <w:rsid w:val="004332D7"/>
    <w:rsid w:val="00434A32"/>
    <w:rsid w:val="0043531F"/>
    <w:rsid w:val="00440144"/>
    <w:rsid w:val="00444CAD"/>
    <w:rsid w:val="00447003"/>
    <w:rsid w:val="00447A8F"/>
    <w:rsid w:val="00447D67"/>
    <w:rsid w:val="004502AA"/>
    <w:rsid w:val="00450404"/>
    <w:rsid w:val="004518A8"/>
    <w:rsid w:val="00453E52"/>
    <w:rsid w:val="00455B5C"/>
    <w:rsid w:val="004631BF"/>
    <w:rsid w:val="0046652C"/>
    <w:rsid w:val="004709AD"/>
    <w:rsid w:val="004730CD"/>
    <w:rsid w:val="004732F3"/>
    <w:rsid w:val="0047397D"/>
    <w:rsid w:val="0048181F"/>
    <w:rsid w:val="00482075"/>
    <w:rsid w:val="00484788"/>
    <w:rsid w:val="00487929"/>
    <w:rsid w:val="004915FF"/>
    <w:rsid w:val="00491945"/>
    <w:rsid w:val="0049371B"/>
    <w:rsid w:val="0049378A"/>
    <w:rsid w:val="004937E8"/>
    <w:rsid w:val="00494435"/>
    <w:rsid w:val="00495188"/>
    <w:rsid w:val="00495A9F"/>
    <w:rsid w:val="00496D7B"/>
    <w:rsid w:val="004A065E"/>
    <w:rsid w:val="004A0895"/>
    <w:rsid w:val="004A08D5"/>
    <w:rsid w:val="004A564C"/>
    <w:rsid w:val="004B32CA"/>
    <w:rsid w:val="004B37F3"/>
    <w:rsid w:val="004B501F"/>
    <w:rsid w:val="004C179C"/>
    <w:rsid w:val="004C429E"/>
    <w:rsid w:val="004C5579"/>
    <w:rsid w:val="004C58BD"/>
    <w:rsid w:val="004D04B2"/>
    <w:rsid w:val="004D1059"/>
    <w:rsid w:val="004D1734"/>
    <w:rsid w:val="004D26A0"/>
    <w:rsid w:val="004D29D5"/>
    <w:rsid w:val="004D5011"/>
    <w:rsid w:val="004D6161"/>
    <w:rsid w:val="004D6ABC"/>
    <w:rsid w:val="004E00F6"/>
    <w:rsid w:val="004E021D"/>
    <w:rsid w:val="004E07E8"/>
    <w:rsid w:val="004E1621"/>
    <w:rsid w:val="004E1F87"/>
    <w:rsid w:val="004E31BF"/>
    <w:rsid w:val="004E35E4"/>
    <w:rsid w:val="004E3764"/>
    <w:rsid w:val="004E5DD1"/>
    <w:rsid w:val="004F14DE"/>
    <w:rsid w:val="004F1614"/>
    <w:rsid w:val="004F31AB"/>
    <w:rsid w:val="004F7AB6"/>
    <w:rsid w:val="00501EE3"/>
    <w:rsid w:val="00504C05"/>
    <w:rsid w:val="00507099"/>
    <w:rsid w:val="0051225B"/>
    <w:rsid w:val="00513EC5"/>
    <w:rsid w:val="00515996"/>
    <w:rsid w:val="00516310"/>
    <w:rsid w:val="00517F5C"/>
    <w:rsid w:val="00520ACA"/>
    <w:rsid w:val="00522C3F"/>
    <w:rsid w:val="005242F6"/>
    <w:rsid w:val="0052682D"/>
    <w:rsid w:val="0052733D"/>
    <w:rsid w:val="00527F08"/>
    <w:rsid w:val="00531929"/>
    <w:rsid w:val="0053234F"/>
    <w:rsid w:val="00534B49"/>
    <w:rsid w:val="00536C36"/>
    <w:rsid w:val="00540FE4"/>
    <w:rsid w:val="00541FE2"/>
    <w:rsid w:val="0054385A"/>
    <w:rsid w:val="00546AE5"/>
    <w:rsid w:val="00552202"/>
    <w:rsid w:val="00553AE3"/>
    <w:rsid w:val="00555058"/>
    <w:rsid w:val="005551A2"/>
    <w:rsid w:val="005553DB"/>
    <w:rsid w:val="00555E2C"/>
    <w:rsid w:val="005602E7"/>
    <w:rsid w:val="00566A5B"/>
    <w:rsid w:val="00567220"/>
    <w:rsid w:val="00567C77"/>
    <w:rsid w:val="00567D0E"/>
    <w:rsid w:val="00570FD4"/>
    <w:rsid w:val="00571375"/>
    <w:rsid w:val="0057272C"/>
    <w:rsid w:val="00574373"/>
    <w:rsid w:val="0057635E"/>
    <w:rsid w:val="00576D36"/>
    <w:rsid w:val="005830DD"/>
    <w:rsid w:val="00584A2F"/>
    <w:rsid w:val="0058599C"/>
    <w:rsid w:val="00590534"/>
    <w:rsid w:val="005934E0"/>
    <w:rsid w:val="0059376B"/>
    <w:rsid w:val="00593E28"/>
    <w:rsid w:val="0059467C"/>
    <w:rsid w:val="00594750"/>
    <w:rsid w:val="00596ECF"/>
    <w:rsid w:val="005A01C4"/>
    <w:rsid w:val="005A3C68"/>
    <w:rsid w:val="005A40CB"/>
    <w:rsid w:val="005A4BC2"/>
    <w:rsid w:val="005A7BA2"/>
    <w:rsid w:val="005B046A"/>
    <w:rsid w:val="005B07C1"/>
    <w:rsid w:val="005B11A3"/>
    <w:rsid w:val="005B2B98"/>
    <w:rsid w:val="005B47FD"/>
    <w:rsid w:val="005B4F1E"/>
    <w:rsid w:val="005B5049"/>
    <w:rsid w:val="005B677C"/>
    <w:rsid w:val="005B7A2E"/>
    <w:rsid w:val="005B7C8D"/>
    <w:rsid w:val="005C11E1"/>
    <w:rsid w:val="005C3EF0"/>
    <w:rsid w:val="005C45AD"/>
    <w:rsid w:val="005C7780"/>
    <w:rsid w:val="005C7EEE"/>
    <w:rsid w:val="005D0AB1"/>
    <w:rsid w:val="005D1779"/>
    <w:rsid w:val="005D1ECE"/>
    <w:rsid w:val="005D2D6D"/>
    <w:rsid w:val="005D31E1"/>
    <w:rsid w:val="005D5483"/>
    <w:rsid w:val="005D5931"/>
    <w:rsid w:val="005D6DB1"/>
    <w:rsid w:val="005E0033"/>
    <w:rsid w:val="005E115B"/>
    <w:rsid w:val="005E1B4E"/>
    <w:rsid w:val="005E2127"/>
    <w:rsid w:val="005E281A"/>
    <w:rsid w:val="005E294E"/>
    <w:rsid w:val="005E29F6"/>
    <w:rsid w:val="005E663B"/>
    <w:rsid w:val="005F5B92"/>
    <w:rsid w:val="005F5EBF"/>
    <w:rsid w:val="005F6583"/>
    <w:rsid w:val="005F7DB8"/>
    <w:rsid w:val="0060001D"/>
    <w:rsid w:val="006002C7"/>
    <w:rsid w:val="006009CC"/>
    <w:rsid w:val="006015F4"/>
    <w:rsid w:val="00601DF2"/>
    <w:rsid w:val="00603571"/>
    <w:rsid w:val="00604669"/>
    <w:rsid w:val="00607649"/>
    <w:rsid w:val="00607CD1"/>
    <w:rsid w:val="00610B73"/>
    <w:rsid w:val="00612C82"/>
    <w:rsid w:val="00613F25"/>
    <w:rsid w:val="00614649"/>
    <w:rsid w:val="0062085C"/>
    <w:rsid w:val="00621D85"/>
    <w:rsid w:val="006226AB"/>
    <w:rsid w:val="00622EA7"/>
    <w:rsid w:val="00625F32"/>
    <w:rsid w:val="00626387"/>
    <w:rsid w:val="00634842"/>
    <w:rsid w:val="00634CBA"/>
    <w:rsid w:val="00635CC0"/>
    <w:rsid w:val="006363C0"/>
    <w:rsid w:val="006364DF"/>
    <w:rsid w:val="00636B9D"/>
    <w:rsid w:val="00637421"/>
    <w:rsid w:val="00637800"/>
    <w:rsid w:val="00637B61"/>
    <w:rsid w:val="006427DA"/>
    <w:rsid w:val="006434A4"/>
    <w:rsid w:val="00645E49"/>
    <w:rsid w:val="00647B83"/>
    <w:rsid w:val="006510F9"/>
    <w:rsid w:val="00653C94"/>
    <w:rsid w:val="00657D51"/>
    <w:rsid w:val="00657FA4"/>
    <w:rsid w:val="0066323F"/>
    <w:rsid w:val="00663309"/>
    <w:rsid w:val="00663AC4"/>
    <w:rsid w:val="00664024"/>
    <w:rsid w:val="006647B1"/>
    <w:rsid w:val="0066757C"/>
    <w:rsid w:val="006710EE"/>
    <w:rsid w:val="00672D3B"/>
    <w:rsid w:val="00673024"/>
    <w:rsid w:val="00674098"/>
    <w:rsid w:val="0067654C"/>
    <w:rsid w:val="006829F9"/>
    <w:rsid w:val="00684130"/>
    <w:rsid w:val="0068548A"/>
    <w:rsid w:val="00687675"/>
    <w:rsid w:val="006903EA"/>
    <w:rsid w:val="00691363"/>
    <w:rsid w:val="006916F1"/>
    <w:rsid w:val="00693BE0"/>
    <w:rsid w:val="0069538A"/>
    <w:rsid w:val="00696407"/>
    <w:rsid w:val="00696654"/>
    <w:rsid w:val="00696C91"/>
    <w:rsid w:val="00697760"/>
    <w:rsid w:val="006A1F2D"/>
    <w:rsid w:val="006A3172"/>
    <w:rsid w:val="006A32AE"/>
    <w:rsid w:val="006A578F"/>
    <w:rsid w:val="006B373A"/>
    <w:rsid w:val="006C019D"/>
    <w:rsid w:val="006C08F0"/>
    <w:rsid w:val="006C7515"/>
    <w:rsid w:val="006D0673"/>
    <w:rsid w:val="006D0990"/>
    <w:rsid w:val="006D0EE5"/>
    <w:rsid w:val="006D2419"/>
    <w:rsid w:val="006D2831"/>
    <w:rsid w:val="006D4CAB"/>
    <w:rsid w:val="006D5547"/>
    <w:rsid w:val="006D6218"/>
    <w:rsid w:val="006D7C5B"/>
    <w:rsid w:val="006E029B"/>
    <w:rsid w:val="006E1D55"/>
    <w:rsid w:val="006E1EDC"/>
    <w:rsid w:val="006E3449"/>
    <w:rsid w:val="006E47CA"/>
    <w:rsid w:val="006F0DD8"/>
    <w:rsid w:val="006F1570"/>
    <w:rsid w:val="006F2308"/>
    <w:rsid w:val="006F3487"/>
    <w:rsid w:val="006F425B"/>
    <w:rsid w:val="006F6D52"/>
    <w:rsid w:val="00701C43"/>
    <w:rsid w:val="00711531"/>
    <w:rsid w:val="007168D5"/>
    <w:rsid w:val="00723E15"/>
    <w:rsid w:val="00726CA4"/>
    <w:rsid w:val="00732867"/>
    <w:rsid w:val="00733192"/>
    <w:rsid w:val="0073335A"/>
    <w:rsid w:val="00733FDB"/>
    <w:rsid w:val="00734061"/>
    <w:rsid w:val="00736BAB"/>
    <w:rsid w:val="00737710"/>
    <w:rsid w:val="00737AA5"/>
    <w:rsid w:val="00741565"/>
    <w:rsid w:val="007417DA"/>
    <w:rsid w:val="007424C7"/>
    <w:rsid w:val="007433DD"/>
    <w:rsid w:val="00745F28"/>
    <w:rsid w:val="00746ADE"/>
    <w:rsid w:val="00747B77"/>
    <w:rsid w:val="0075002A"/>
    <w:rsid w:val="0075012A"/>
    <w:rsid w:val="00751120"/>
    <w:rsid w:val="0075163D"/>
    <w:rsid w:val="00752361"/>
    <w:rsid w:val="00756123"/>
    <w:rsid w:val="007567AD"/>
    <w:rsid w:val="00763B99"/>
    <w:rsid w:val="00763FB0"/>
    <w:rsid w:val="0076424F"/>
    <w:rsid w:val="00770BDA"/>
    <w:rsid w:val="00771F4D"/>
    <w:rsid w:val="0077399A"/>
    <w:rsid w:val="00776F2F"/>
    <w:rsid w:val="007802F8"/>
    <w:rsid w:val="00782310"/>
    <w:rsid w:val="0078304D"/>
    <w:rsid w:val="00783693"/>
    <w:rsid w:val="00785220"/>
    <w:rsid w:val="00785793"/>
    <w:rsid w:val="0078694D"/>
    <w:rsid w:val="00790EE2"/>
    <w:rsid w:val="00794604"/>
    <w:rsid w:val="0079562D"/>
    <w:rsid w:val="00796270"/>
    <w:rsid w:val="0079688F"/>
    <w:rsid w:val="007A105C"/>
    <w:rsid w:val="007A3D23"/>
    <w:rsid w:val="007A43E9"/>
    <w:rsid w:val="007B3F22"/>
    <w:rsid w:val="007B466D"/>
    <w:rsid w:val="007C055B"/>
    <w:rsid w:val="007C22E2"/>
    <w:rsid w:val="007C4FF7"/>
    <w:rsid w:val="007D0040"/>
    <w:rsid w:val="007D0237"/>
    <w:rsid w:val="007D1DD7"/>
    <w:rsid w:val="007D2937"/>
    <w:rsid w:val="007D2F13"/>
    <w:rsid w:val="007D5234"/>
    <w:rsid w:val="007D5CE8"/>
    <w:rsid w:val="007D6A2B"/>
    <w:rsid w:val="007E136A"/>
    <w:rsid w:val="007E1416"/>
    <w:rsid w:val="007E2093"/>
    <w:rsid w:val="007F1555"/>
    <w:rsid w:val="007F1AF1"/>
    <w:rsid w:val="007F7192"/>
    <w:rsid w:val="00801C8D"/>
    <w:rsid w:val="00802710"/>
    <w:rsid w:val="00804A48"/>
    <w:rsid w:val="0080690D"/>
    <w:rsid w:val="00810B64"/>
    <w:rsid w:val="00811A10"/>
    <w:rsid w:val="00813907"/>
    <w:rsid w:val="00814749"/>
    <w:rsid w:val="00814E6F"/>
    <w:rsid w:val="00814F0C"/>
    <w:rsid w:val="00816E4B"/>
    <w:rsid w:val="00816F24"/>
    <w:rsid w:val="00820E7E"/>
    <w:rsid w:val="008249B6"/>
    <w:rsid w:val="00827D86"/>
    <w:rsid w:val="008338DA"/>
    <w:rsid w:val="00836A0B"/>
    <w:rsid w:val="008376D9"/>
    <w:rsid w:val="00837C2A"/>
    <w:rsid w:val="00843795"/>
    <w:rsid w:val="0084489C"/>
    <w:rsid w:val="00844DD3"/>
    <w:rsid w:val="008450EB"/>
    <w:rsid w:val="00845F2D"/>
    <w:rsid w:val="008469EB"/>
    <w:rsid w:val="00847EB1"/>
    <w:rsid w:val="00847F0E"/>
    <w:rsid w:val="008510C4"/>
    <w:rsid w:val="008532D6"/>
    <w:rsid w:val="0085496B"/>
    <w:rsid w:val="008553EF"/>
    <w:rsid w:val="00857C4F"/>
    <w:rsid w:val="00860BDE"/>
    <w:rsid w:val="00863936"/>
    <w:rsid w:val="00865610"/>
    <w:rsid w:val="00865D55"/>
    <w:rsid w:val="00866077"/>
    <w:rsid w:val="00867E7E"/>
    <w:rsid w:val="00871C5C"/>
    <w:rsid w:val="00871E07"/>
    <w:rsid w:val="0087245C"/>
    <w:rsid w:val="0087278B"/>
    <w:rsid w:val="00872CA1"/>
    <w:rsid w:val="00873C9A"/>
    <w:rsid w:val="00875D2B"/>
    <w:rsid w:val="00876C33"/>
    <w:rsid w:val="008800E3"/>
    <w:rsid w:val="00880635"/>
    <w:rsid w:val="00882D85"/>
    <w:rsid w:val="008867C2"/>
    <w:rsid w:val="008870C7"/>
    <w:rsid w:val="008874AF"/>
    <w:rsid w:val="00891D05"/>
    <w:rsid w:val="008928E5"/>
    <w:rsid w:val="008947A9"/>
    <w:rsid w:val="008957D9"/>
    <w:rsid w:val="00895F90"/>
    <w:rsid w:val="00897D46"/>
    <w:rsid w:val="00897E07"/>
    <w:rsid w:val="008A4056"/>
    <w:rsid w:val="008A5FE3"/>
    <w:rsid w:val="008A7C2A"/>
    <w:rsid w:val="008B0151"/>
    <w:rsid w:val="008B07F5"/>
    <w:rsid w:val="008B1A0B"/>
    <w:rsid w:val="008B2C8E"/>
    <w:rsid w:val="008B2DB4"/>
    <w:rsid w:val="008B2DD2"/>
    <w:rsid w:val="008B4741"/>
    <w:rsid w:val="008B56AE"/>
    <w:rsid w:val="008B635B"/>
    <w:rsid w:val="008B68B3"/>
    <w:rsid w:val="008C0601"/>
    <w:rsid w:val="008C0A69"/>
    <w:rsid w:val="008C1F47"/>
    <w:rsid w:val="008C5F9C"/>
    <w:rsid w:val="008D0615"/>
    <w:rsid w:val="008D4C0E"/>
    <w:rsid w:val="008D52F2"/>
    <w:rsid w:val="008D7F54"/>
    <w:rsid w:val="008E46A7"/>
    <w:rsid w:val="008E59BC"/>
    <w:rsid w:val="008E63FF"/>
    <w:rsid w:val="008E6EBB"/>
    <w:rsid w:val="008F3052"/>
    <w:rsid w:val="008F35D5"/>
    <w:rsid w:val="008F4238"/>
    <w:rsid w:val="008F7716"/>
    <w:rsid w:val="009038A6"/>
    <w:rsid w:val="00904E63"/>
    <w:rsid w:val="00905A0E"/>
    <w:rsid w:val="00905F7C"/>
    <w:rsid w:val="0090661F"/>
    <w:rsid w:val="009071DA"/>
    <w:rsid w:val="00910D00"/>
    <w:rsid w:val="00911030"/>
    <w:rsid w:val="009123B1"/>
    <w:rsid w:val="0091295A"/>
    <w:rsid w:val="009129CB"/>
    <w:rsid w:val="00912B0D"/>
    <w:rsid w:val="0091355C"/>
    <w:rsid w:val="0091623C"/>
    <w:rsid w:val="009230F6"/>
    <w:rsid w:val="009237A7"/>
    <w:rsid w:val="00925C3E"/>
    <w:rsid w:val="009275C8"/>
    <w:rsid w:val="00927CB6"/>
    <w:rsid w:val="00934EAD"/>
    <w:rsid w:val="00936925"/>
    <w:rsid w:val="00937650"/>
    <w:rsid w:val="00941E6F"/>
    <w:rsid w:val="009420E5"/>
    <w:rsid w:val="009437B5"/>
    <w:rsid w:val="009437B6"/>
    <w:rsid w:val="00943FD2"/>
    <w:rsid w:val="00947604"/>
    <w:rsid w:val="00947999"/>
    <w:rsid w:val="0095055F"/>
    <w:rsid w:val="009522FE"/>
    <w:rsid w:val="00952499"/>
    <w:rsid w:val="009526D1"/>
    <w:rsid w:val="00952D8F"/>
    <w:rsid w:val="0095678F"/>
    <w:rsid w:val="00956971"/>
    <w:rsid w:val="00956B30"/>
    <w:rsid w:val="00957ECB"/>
    <w:rsid w:val="00960AB3"/>
    <w:rsid w:val="00961BD0"/>
    <w:rsid w:val="00962B3A"/>
    <w:rsid w:val="009633FB"/>
    <w:rsid w:val="00965122"/>
    <w:rsid w:val="00966A39"/>
    <w:rsid w:val="00966E01"/>
    <w:rsid w:val="009673CA"/>
    <w:rsid w:val="00970E13"/>
    <w:rsid w:val="00972D46"/>
    <w:rsid w:val="00975E96"/>
    <w:rsid w:val="009761EC"/>
    <w:rsid w:val="00981ACC"/>
    <w:rsid w:val="00981CBD"/>
    <w:rsid w:val="00982455"/>
    <w:rsid w:val="009829E3"/>
    <w:rsid w:val="0099055A"/>
    <w:rsid w:val="00990CEB"/>
    <w:rsid w:val="00993982"/>
    <w:rsid w:val="009A0658"/>
    <w:rsid w:val="009A0704"/>
    <w:rsid w:val="009A2C16"/>
    <w:rsid w:val="009A309F"/>
    <w:rsid w:val="009A767D"/>
    <w:rsid w:val="009A77A0"/>
    <w:rsid w:val="009A78DE"/>
    <w:rsid w:val="009B0729"/>
    <w:rsid w:val="009B1403"/>
    <w:rsid w:val="009B5A7B"/>
    <w:rsid w:val="009B646E"/>
    <w:rsid w:val="009B71E5"/>
    <w:rsid w:val="009B7D4D"/>
    <w:rsid w:val="009C1749"/>
    <w:rsid w:val="009C447D"/>
    <w:rsid w:val="009C6AF1"/>
    <w:rsid w:val="009C77EB"/>
    <w:rsid w:val="009D195B"/>
    <w:rsid w:val="009D5E7E"/>
    <w:rsid w:val="009D747C"/>
    <w:rsid w:val="009E0D97"/>
    <w:rsid w:val="009E1AF0"/>
    <w:rsid w:val="009E2056"/>
    <w:rsid w:val="009E2819"/>
    <w:rsid w:val="009E2911"/>
    <w:rsid w:val="009E2A00"/>
    <w:rsid w:val="009E5167"/>
    <w:rsid w:val="009E570B"/>
    <w:rsid w:val="009F09EE"/>
    <w:rsid w:val="009F0E69"/>
    <w:rsid w:val="009F18AE"/>
    <w:rsid w:val="009F46C2"/>
    <w:rsid w:val="009F7384"/>
    <w:rsid w:val="00A00E8B"/>
    <w:rsid w:val="00A04FC4"/>
    <w:rsid w:val="00A072EC"/>
    <w:rsid w:val="00A10FFF"/>
    <w:rsid w:val="00A111EE"/>
    <w:rsid w:val="00A117F1"/>
    <w:rsid w:val="00A14031"/>
    <w:rsid w:val="00A15649"/>
    <w:rsid w:val="00A15C56"/>
    <w:rsid w:val="00A164D2"/>
    <w:rsid w:val="00A168AC"/>
    <w:rsid w:val="00A20B58"/>
    <w:rsid w:val="00A241B7"/>
    <w:rsid w:val="00A27425"/>
    <w:rsid w:val="00A27D2A"/>
    <w:rsid w:val="00A41C06"/>
    <w:rsid w:val="00A43C6C"/>
    <w:rsid w:val="00A448D5"/>
    <w:rsid w:val="00A477F4"/>
    <w:rsid w:val="00A47962"/>
    <w:rsid w:val="00A506DF"/>
    <w:rsid w:val="00A50A8F"/>
    <w:rsid w:val="00A50D40"/>
    <w:rsid w:val="00A52425"/>
    <w:rsid w:val="00A53874"/>
    <w:rsid w:val="00A55322"/>
    <w:rsid w:val="00A56756"/>
    <w:rsid w:val="00A6440C"/>
    <w:rsid w:val="00A65437"/>
    <w:rsid w:val="00A65609"/>
    <w:rsid w:val="00A66EE5"/>
    <w:rsid w:val="00A673A8"/>
    <w:rsid w:val="00A74220"/>
    <w:rsid w:val="00A752F5"/>
    <w:rsid w:val="00A75B53"/>
    <w:rsid w:val="00A7700C"/>
    <w:rsid w:val="00A80096"/>
    <w:rsid w:val="00A80C14"/>
    <w:rsid w:val="00A8361C"/>
    <w:rsid w:val="00A83B3F"/>
    <w:rsid w:val="00A87B47"/>
    <w:rsid w:val="00A90F73"/>
    <w:rsid w:val="00A910AD"/>
    <w:rsid w:val="00A913B6"/>
    <w:rsid w:val="00A91885"/>
    <w:rsid w:val="00A92BC9"/>
    <w:rsid w:val="00A94027"/>
    <w:rsid w:val="00A952D5"/>
    <w:rsid w:val="00A97445"/>
    <w:rsid w:val="00A97F4A"/>
    <w:rsid w:val="00AA25A6"/>
    <w:rsid w:val="00AA2719"/>
    <w:rsid w:val="00AA2954"/>
    <w:rsid w:val="00AA4587"/>
    <w:rsid w:val="00AA4F40"/>
    <w:rsid w:val="00AB085E"/>
    <w:rsid w:val="00AB122A"/>
    <w:rsid w:val="00AB17EE"/>
    <w:rsid w:val="00AB257F"/>
    <w:rsid w:val="00AB28B5"/>
    <w:rsid w:val="00AB3153"/>
    <w:rsid w:val="00AB7CC5"/>
    <w:rsid w:val="00AC01C4"/>
    <w:rsid w:val="00AC1E2E"/>
    <w:rsid w:val="00AC3454"/>
    <w:rsid w:val="00AC554B"/>
    <w:rsid w:val="00AC66B4"/>
    <w:rsid w:val="00AC7955"/>
    <w:rsid w:val="00AD192F"/>
    <w:rsid w:val="00AD2395"/>
    <w:rsid w:val="00AD2D6D"/>
    <w:rsid w:val="00AD5001"/>
    <w:rsid w:val="00AD500B"/>
    <w:rsid w:val="00AD5845"/>
    <w:rsid w:val="00AD5A2F"/>
    <w:rsid w:val="00AD5CAE"/>
    <w:rsid w:val="00AD788D"/>
    <w:rsid w:val="00AE015B"/>
    <w:rsid w:val="00AE171C"/>
    <w:rsid w:val="00AE3780"/>
    <w:rsid w:val="00AE4163"/>
    <w:rsid w:val="00AE5E1C"/>
    <w:rsid w:val="00AE5FFC"/>
    <w:rsid w:val="00AE7D60"/>
    <w:rsid w:val="00AF0630"/>
    <w:rsid w:val="00AF0BE1"/>
    <w:rsid w:val="00AF13DF"/>
    <w:rsid w:val="00AF18A0"/>
    <w:rsid w:val="00AF37B0"/>
    <w:rsid w:val="00AF3AAF"/>
    <w:rsid w:val="00AF5F76"/>
    <w:rsid w:val="00AF6D35"/>
    <w:rsid w:val="00B0280D"/>
    <w:rsid w:val="00B04424"/>
    <w:rsid w:val="00B06F8C"/>
    <w:rsid w:val="00B108FD"/>
    <w:rsid w:val="00B12205"/>
    <w:rsid w:val="00B12639"/>
    <w:rsid w:val="00B127AC"/>
    <w:rsid w:val="00B12C85"/>
    <w:rsid w:val="00B13545"/>
    <w:rsid w:val="00B140F7"/>
    <w:rsid w:val="00B157C6"/>
    <w:rsid w:val="00B159CD"/>
    <w:rsid w:val="00B16095"/>
    <w:rsid w:val="00B16AFB"/>
    <w:rsid w:val="00B201AE"/>
    <w:rsid w:val="00B237E8"/>
    <w:rsid w:val="00B239DA"/>
    <w:rsid w:val="00B30EA8"/>
    <w:rsid w:val="00B33B14"/>
    <w:rsid w:val="00B35BA3"/>
    <w:rsid w:val="00B37F85"/>
    <w:rsid w:val="00B4071F"/>
    <w:rsid w:val="00B41811"/>
    <w:rsid w:val="00B419E6"/>
    <w:rsid w:val="00B44CC0"/>
    <w:rsid w:val="00B469AA"/>
    <w:rsid w:val="00B4798D"/>
    <w:rsid w:val="00B47B5F"/>
    <w:rsid w:val="00B50E6C"/>
    <w:rsid w:val="00B54C58"/>
    <w:rsid w:val="00B55AFA"/>
    <w:rsid w:val="00B57017"/>
    <w:rsid w:val="00B61224"/>
    <w:rsid w:val="00B637EC"/>
    <w:rsid w:val="00B66417"/>
    <w:rsid w:val="00B674E4"/>
    <w:rsid w:val="00B67E52"/>
    <w:rsid w:val="00B7224E"/>
    <w:rsid w:val="00B72DA3"/>
    <w:rsid w:val="00B731A8"/>
    <w:rsid w:val="00B73FF9"/>
    <w:rsid w:val="00B75ABF"/>
    <w:rsid w:val="00B774E6"/>
    <w:rsid w:val="00B777DB"/>
    <w:rsid w:val="00B802C2"/>
    <w:rsid w:val="00B80D40"/>
    <w:rsid w:val="00B8211E"/>
    <w:rsid w:val="00B84F1B"/>
    <w:rsid w:val="00B854C8"/>
    <w:rsid w:val="00B877CB"/>
    <w:rsid w:val="00B91977"/>
    <w:rsid w:val="00B9563C"/>
    <w:rsid w:val="00B963F3"/>
    <w:rsid w:val="00B9671C"/>
    <w:rsid w:val="00BA1B2D"/>
    <w:rsid w:val="00BA4D8A"/>
    <w:rsid w:val="00BA4D9A"/>
    <w:rsid w:val="00BA5F0D"/>
    <w:rsid w:val="00BB027C"/>
    <w:rsid w:val="00BB0310"/>
    <w:rsid w:val="00BB1ABD"/>
    <w:rsid w:val="00BB332A"/>
    <w:rsid w:val="00BB52AB"/>
    <w:rsid w:val="00BB5B62"/>
    <w:rsid w:val="00BB7315"/>
    <w:rsid w:val="00BB73D0"/>
    <w:rsid w:val="00BC065F"/>
    <w:rsid w:val="00BC1A89"/>
    <w:rsid w:val="00BC258F"/>
    <w:rsid w:val="00BD02A2"/>
    <w:rsid w:val="00BD5FE5"/>
    <w:rsid w:val="00BE0199"/>
    <w:rsid w:val="00BE1495"/>
    <w:rsid w:val="00BE3873"/>
    <w:rsid w:val="00BE44E4"/>
    <w:rsid w:val="00BF0140"/>
    <w:rsid w:val="00BF03F4"/>
    <w:rsid w:val="00BF0739"/>
    <w:rsid w:val="00BF35DF"/>
    <w:rsid w:val="00C01454"/>
    <w:rsid w:val="00C023E6"/>
    <w:rsid w:val="00C02FA1"/>
    <w:rsid w:val="00C04075"/>
    <w:rsid w:val="00C05E78"/>
    <w:rsid w:val="00C16D85"/>
    <w:rsid w:val="00C17C43"/>
    <w:rsid w:val="00C202F7"/>
    <w:rsid w:val="00C2279D"/>
    <w:rsid w:val="00C25202"/>
    <w:rsid w:val="00C25951"/>
    <w:rsid w:val="00C30F1A"/>
    <w:rsid w:val="00C32631"/>
    <w:rsid w:val="00C33DA9"/>
    <w:rsid w:val="00C340CF"/>
    <w:rsid w:val="00C344F0"/>
    <w:rsid w:val="00C40278"/>
    <w:rsid w:val="00C41816"/>
    <w:rsid w:val="00C424DC"/>
    <w:rsid w:val="00C42D57"/>
    <w:rsid w:val="00C4433D"/>
    <w:rsid w:val="00C474D4"/>
    <w:rsid w:val="00C475D8"/>
    <w:rsid w:val="00C4799E"/>
    <w:rsid w:val="00C56D93"/>
    <w:rsid w:val="00C57244"/>
    <w:rsid w:val="00C5732C"/>
    <w:rsid w:val="00C57735"/>
    <w:rsid w:val="00C60DA8"/>
    <w:rsid w:val="00C6297A"/>
    <w:rsid w:val="00C65471"/>
    <w:rsid w:val="00C65CF1"/>
    <w:rsid w:val="00C70F5F"/>
    <w:rsid w:val="00C71407"/>
    <w:rsid w:val="00C71EFE"/>
    <w:rsid w:val="00C735B1"/>
    <w:rsid w:val="00C75634"/>
    <w:rsid w:val="00C87AA0"/>
    <w:rsid w:val="00C9023F"/>
    <w:rsid w:val="00C90DF2"/>
    <w:rsid w:val="00C94577"/>
    <w:rsid w:val="00C96613"/>
    <w:rsid w:val="00C97F96"/>
    <w:rsid w:val="00CA2CA9"/>
    <w:rsid w:val="00CA3B3A"/>
    <w:rsid w:val="00CA3E54"/>
    <w:rsid w:val="00CA581E"/>
    <w:rsid w:val="00CA5C06"/>
    <w:rsid w:val="00CA6E86"/>
    <w:rsid w:val="00CA7D49"/>
    <w:rsid w:val="00CB14B5"/>
    <w:rsid w:val="00CB401F"/>
    <w:rsid w:val="00CB4F29"/>
    <w:rsid w:val="00CB4FA0"/>
    <w:rsid w:val="00CB50C6"/>
    <w:rsid w:val="00CB7B36"/>
    <w:rsid w:val="00CC02AB"/>
    <w:rsid w:val="00CC2072"/>
    <w:rsid w:val="00CC23D1"/>
    <w:rsid w:val="00CC40A0"/>
    <w:rsid w:val="00CC6F5E"/>
    <w:rsid w:val="00CC719E"/>
    <w:rsid w:val="00CD12BF"/>
    <w:rsid w:val="00CD2841"/>
    <w:rsid w:val="00CD2FC6"/>
    <w:rsid w:val="00CD58EB"/>
    <w:rsid w:val="00CD5BFF"/>
    <w:rsid w:val="00CD5F7C"/>
    <w:rsid w:val="00CD60A1"/>
    <w:rsid w:val="00CD6735"/>
    <w:rsid w:val="00CE350C"/>
    <w:rsid w:val="00CE3E1E"/>
    <w:rsid w:val="00CE54CC"/>
    <w:rsid w:val="00CE62FF"/>
    <w:rsid w:val="00CE72C4"/>
    <w:rsid w:val="00CE780B"/>
    <w:rsid w:val="00CE7E00"/>
    <w:rsid w:val="00CF22E4"/>
    <w:rsid w:val="00CF2E1C"/>
    <w:rsid w:val="00CF36D9"/>
    <w:rsid w:val="00CF7D0B"/>
    <w:rsid w:val="00D0113B"/>
    <w:rsid w:val="00D028E7"/>
    <w:rsid w:val="00D03238"/>
    <w:rsid w:val="00D0571B"/>
    <w:rsid w:val="00D05ADB"/>
    <w:rsid w:val="00D06987"/>
    <w:rsid w:val="00D110A2"/>
    <w:rsid w:val="00D11667"/>
    <w:rsid w:val="00D14D90"/>
    <w:rsid w:val="00D174AE"/>
    <w:rsid w:val="00D174EB"/>
    <w:rsid w:val="00D179DE"/>
    <w:rsid w:val="00D214FC"/>
    <w:rsid w:val="00D2266E"/>
    <w:rsid w:val="00D22A3B"/>
    <w:rsid w:val="00D24670"/>
    <w:rsid w:val="00D26648"/>
    <w:rsid w:val="00D27845"/>
    <w:rsid w:val="00D31124"/>
    <w:rsid w:val="00D33FB8"/>
    <w:rsid w:val="00D34291"/>
    <w:rsid w:val="00D35D18"/>
    <w:rsid w:val="00D36074"/>
    <w:rsid w:val="00D363AE"/>
    <w:rsid w:val="00D40F33"/>
    <w:rsid w:val="00D4364B"/>
    <w:rsid w:val="00D44308"/>
    <w:rsid w:val="00D454D2"/>
    <w:rsid w:val="00D46798"/>
    <w:rsid w:val="00D467F8"/>
    <w:rsid w:val="00D51CB7"/>
    <w:rsid w:val="00D5241D"/>
    <w:rsid w:val="00D53045"/>
    <w:rsid w:val="00D55F58"/>
    <w:rsid w:val="00D60B52"/>
    <w:rsid w:val="00D6136F"/>
    <w:rsid w:val="00D624D2"/>
    <w:rsid w:val="00D65C59"/>
    <w:rsid w:val="00D70CE8"/>
    <w:rsid w:val="00D721DE"/>
    <w:rsid w:val="00D74416"/>
    <w:rsid w:val="00D7468E"/>
    <w:rsid w:val="00D7482D"/>
    <w:rsid w:val="00D76402"/>
    <w:rsid w:val="00D77BC1"/>
    <w:rsid w:val="00D84B36"/>
    <w:rsid w:val="00D84C1B"/>
    <w:rsid w:val="00D85526"/>
    <w:rsid w:val="00D85B1A"/>
    <w:rsid w:val="00D8675B"/>
    <w:rsid w:val="00D87F2F"/>
    <w:rsid w:val="00D9096D"/>
    <w:rsid w:val="00D94E7E"/>
    <w:rsid w:val="00D976ED"/>
    <w:rsid w:val="00DA0101"/>
    <w:rsid w:val="00DA09AE"/>
    <w:rsid w:val="00DA4B62"/>
    <w:rsid w:val="00DB2662"/>
    <w:rsid w:val="00DB3C8E"/>
    <w:rsid w:val="00DB426F"/>
    <w:rsid w:val="00DB4987"/>
    <w:rsid w:val="00DB541A"/>
    <w:rsid w:val="00DB7AA4"/>
    <w:rsid w:val="00DB7B85"/>
    <w:rsid w:val="00DC0261"/>
    <w:rsid w:val="00DC2593"/>
    <w:rsid w:val="00DC44F9"/>
    <w:rsid w:val="00DC76CC"/>
    <w:rsid w:val="00DD51BC"/>
    <w:rsid w:val="00DE14CF"/>
    <w:rsid w:val="00DE26FC"/>
    <w:rsid w:val="00DE5DC4"/>
    <w:rsid w:val="00DE780F"/>
    <w:rsid w:val="00DF0496"/>
    <w:rsid w:val="00DF2C47"/>
    <w:rsid w:val="00DF435E"/>
    <w:rsid w:val="00DF49F4"/>
    <w:rsid w:val="00E01581"/>
    <w:rsid w:val="00E03B6A"/>
    <w:rsid w:val="00E05212"/>
    <w:rsid w:val="00E10B37"/>
    <w:rsid w:val="00E13190"/>
    <w:rsid w:val="00E145F5"/>
    <w:rsid w:val="00E15AA6"/>
    <w:rsid w:val="00E176F8"/>
    <w:rsid w:val="00E17859"/>
    <w:rsid w:val="00E17A75"/>
    <w:rsid w:val="00E17CDA"/>
    <w:rsid w:val="00E17E88"/>
    <w:rsid w:val="00E20149"/>
    <w:rsid w:val="00E2195B"/>
    <w:rsid w:val="00E23E9A"/>
    <w:rsid w:val="00E26877"/>
    <w:rsid w:val="00E2763C"/>
    <w:rsid w:val="00E3041D"/>
    <w:rsid w:val="00E30623"/>
    <w:rsid w:val="00E3270F"/>
    <w:rsid w:val="00E34B40"/>
    <w:rsid w:val="00E406A7"/>
    <w:rsid w:val="00E4327E"/>
    <w:rsid w:val="00E4597C"/>
    <w:rsid w:val="00E4653B"/>
    <w:rsid w:val="00E539E7"/>
    <w:rsid w:val="00E53B97"/>
    <w:rsid w:val="00E60268"/>
    <w:rsid w:val="00E63894"/>
    <w:rsid w:val="00E650C6"/>
    <w:rsid w:val="00E71BB4"/>
    <w:rsid w:val="00E723D8"/>
    <w:rsid w:val="00E84A96"/>
    <w:rsid w:val="00E85EFF"/>
    <w:rsid w:val="00E87F28"/>
    <w:rsid w:val="00E9138F"/>
    <w:rsid w:val="00E925B5"/>
    <w:rsid w:val="00E93BB7"/>
    <w:rsid w:val="00E94BF7"/>
    <w:rsid w:val="00E95B25"/>
    <w:rsid w:val="00E9617F"/>
    <w:rsid w:val="00E96335"/>
    <w:rsid w:val="00E967C6"/>
    <w:rsid w:val="00E96A01"/>
    <w:rsid w:val="00E96E36"/>
    <w:rsid w:val="00EA40E2"/>
    <w:rsid w:val="00EA4131"/>
    <w:rsid w:val="00EA4198"/>
    <w:rsid w:val="00EB0292"/>
    <w:rsid w:val="00EB0338"/>
    <w:rsid w:val="00EB08CE"/>
    <w:rsid w:val="00EB15E0"/>
    <w:rsid w:val="00EB24B9"/>
    <w:rsid w:val="00EB502F"/>
    <w:rsid w:val="00EB5500"/>
    <w:rsid w:val="00EB5A4F"/>
    <w:rsid w:val="00EB78FD"/>
    <w:rsid w:val="00EC22A9"/>
    <w:rsid w:val="00EC2C2C"/>
    <w:rsid w:val="00EC2F82"/>
    <w:rsid w:val="00EC4376"/>
    <w:rsid w:val="00ED0B35"/>
    <w:rsid w:val="00ED2711"/>
    <w:rsid w:val="00ED5B5C"/>
    <w:rsid w:val="00EE0950"/>
    <w:rsid w:val="00EE25DF"/>
    <w:rsid w:val="00EE2BC0"/>
    <w:rsid w:val="00EE3236"/>
    <w:rsid w:val="00EE39B6"/>
    <w:rsid w:val="00EE6CCE"/>
    <w:rsid w:val="00EE7496"/>
    <w:rsid w:val="00EF0763"/>
    <w:rsid w:val="00EF1777"/>
    <w:rsid w:val="00EF29D6"/>
    <w:rsid w:val="00EF4DD2"/>
    <w:rsid w:val="00EF64B4"/>
    <w:rsid w:val="00EF68C1"/>
    <w:rsid w:val="00EF6CFA"/>
    <w:rsid w:val="00EF7191"/>
    <w:rsid w:val="00EF73AD"/>
    <w:rsid w:val="00EF7FD7"/>
    <w:rsid w:val="00F04ABC"/>
    <w:rsid w:val="00F05347"/>
    <w:rsid w:val="00F106D2"/>
    <w:rsid w:val="00F11032"/>
    <w:rsid w:val="00F11C29"/>
    <w:rsid w:val="00F12C3F"/>
    <w:rsid w:val="00F145AA"/>
    <w:rsid w:val="00F17D0F"/>
    <w:rsid w:val="00F20D84"/>
    <w:rsid w:val="00F217A0"/>
    <w:rsid w:val="00F2385E"/>
    <w:rsid w:val="00F240ED"/>
    <w:rsid w:val="00F24364"/>
    <w:rsid w:val="00F25458"/>
    <w:rsid w:val="00F260DF"/>
    <w:rsid w:val="00F278F7"/>
    <w:rsid w:val="00F3013E"/>
    <w:rsid w:val="00F31603"/>
    <w:rsid w:val="00F32CCF"/>
    <w:rsid w:val="00F32D99"/>
    <w:rsid w:val="00F36566"/>
    <w:rsid w:val="00F36732"/>
    <w:rsid w:val="00F37379"/>
    <w:rsid w:val="00F4508B"/>
    <w:rsid w:val="00F45CD0"/>
    <w:rsid w:val="00F45FFA"/>
    <w:rsid w:val="00F47143"/>
    <w:rsid w:val="00F47DAB"/>
    <w:rsid w:val="00F50605"/>
    <w:rsid w:val="00F5326F"/>
    <w:rsid w:val="00F541EF"/>
    <w:rsid w:val="00F54A99"/>
    <w:rsid w:val="00F557B5"/>
    <w:rsid w:val="00F56110"/>
    <w:rsid w:val="00F563A5"/>
    <w:rsid w:val="00F5757E"/>
    <w:rsid w:val="00F62842"/>
    <w:rsid w:val="00F6442C"/>
    <w:rsid w:val="00F66455"/>
    <w:rsid w:val="00F70175"/>
    <w:rsid w:val="00F705AB"/>
    <w:rsid w:val="00F7271C"/>
    <w:rsid w:val="00F72F1A"/>
    <w:rsid w:val="00F73F40"/>
    <w:rsid w:val="00F75651"/>
    <w:rsid w:val="00F806BA"/>
    <w:rsid w:val="00F819A8"/>
    <w:rsid w:val="00F82089"/>
    <w:rsid w:val="00F82EF0"/>
    <w:rsid w:val="00F8451B"/>
    <w:rsid w:val="00F85516"/>
    <w:rsid w:val="00F85DDB"/>
    <w:rsid w:val="00F86379"/>
    <w:rsid w:val="00F8642A"/>
    <w:rsid w:val="00F92B1A"/>
    <w:rsid w:val="00F94B8B"/>
    <w:rsid w:val="00F94CB9"/>
    <w:rsid w:val="00F97A8B"/>
    <w:rsid w:val="00FA107F"/>
    <w:rsid w:val="00FA12B1"/>
    <w:rsid w:val="00FA4865"/>
    <w:rsid w:val="00FA5B3D"/>
    <w:rsid w:val="00FB061D"/>
    <w:rsid w:val="00FB15CB"/>
    <w:rsid w:val="00FB1F42"/>
    <w:rsid w:val="00FB2306"/>
    <w:rsid w:val="00FB282B"/>
    <w:rsid w:val="00FB375A"/>
    <w:rsid w:val="00FB50EC"/>
    <w:rsid w:val="00FB51B3"/>
    <w:rsid w:val="00FB5729"/>
    <w:rsid w:val="00FB5B46"/>
    <w:rsid w:val="00FC00A0"/>
    <w:rsid w:val="00FC0EEF"/>
    <w:rsid w:val="00FC3306"/>
    <w:rsid w:val="00FC33AF"/>
    <w:rsid w:val="00FC3585"/>
    <w:rsid w:val="00FC3851"/>
    <w:rsid w:val="00FC4B77"/>
    <w:rsid w:val="00FC5964"/>
    <w:rsid w:val="00FC6770"/>
    <w:rsid w:val="00FC680C"/>
    <w:rsid w:val="00FC6F13"/>
    <w:rsid w:val="00FD0C17"/>
    <w:rsid w:val="00FD211B"/>
    <w:rsid w:val="00FD4A15"/>
    <w:rsid w:val="00FD4A8F"/>
    <w:rsid w:val="00FD7821"/>
    <w:rsid w:val="00FD7BFE"/>
    <w:rsid w:val="00FE0179"/>
    <w:rsid w:val="00FE0328"/>
    <w:rsid w:val="00FE1237"/>
    <w:rsid w:val="00FE2AA9"/>
    <w:rsid w:val="00FE5B1B"/>
    <w:rsid w:val="00FE6BA3"/>
    <w:rsid w:val="00FE6EB6"/>
    <w:rsid w:val="00FF048A"/>
    <w:rsid w:val="00FF5DAA"/>
    <w:rsid w:val="00FF7138"/>
    <w:rsid w:val="00FF7398"/>
    <w:rsid w:val="00FF7B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539F5"/>
  <w15:docId w15:val="{672B0995-AA8D-4DEA-A95F-B072DF68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C2A"/>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D26648"/>
    <w:pPr>
      <w:widowControl w:val="0"/>
      <w:spacing w:before="360" w:after="100" w:afterAutospacing="1"/>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4B501F"/>
    <w:pPr>
      <w:pageBreakBefore/>
      <w:numPr>
        <w:numId w:val="7"/>
      </w:numPr>
      <w:spacing w:after="240" w:line="240" w:lineRule="auto"/>
      <w:outlineLvl w:val="1"/>
    </w:pPr>
    <w:rPr>
      <w:rFonts w:ascii="Calibri" w:eastAsiaTheme="minorEastAsia" w:hAnsi="Calibri"/>
      <w:bCs/>
      <w:sz w:val="56"/>
      <w:szCs w:val="28"/>
      <w:lang w:eastAsia="ja-JP"/>
    </w:rPr>
  </w:style>
  <w:style w:type="paragraph" w:styleId="Heading3">
    <w:name w:val="heading 3"/>
    <w:next w:val="Normal"/>
    <w:link w:val="Heading3Char"/>
    <w:uiPriority w:val="4"/>
    <w:qFormat/>
    <w:rsid w:val="0040218E"/>
    <w:pPr>
      <w:keepNext/>
      <w:keepLines/>
      <w:numPr>
        <w:ilvl w:val="1"/>
        <w:numId w:val="7"/>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40218E"/>
    <w:pPr>
      <w:keepNext/>
      <w:numPr>
        <w:ilvl w:val="2"/>
        <w:numId w:val="7"/>
      </w:numPr>
      <w:ind w:left="964"/>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40218E"/>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A117F1"/>
    <w:pPr>
      <w:keepNext/>
      <w:keepLines/>
      <w:spacing w:before="40" w:after="0"/>
      <w:outlineLvl w:val="5"/>
    </w:pPr>
    <w:rPr>
      <w:rFonts w:asciiTheme="majorHAnsi" w:eastAsiaTheme="majorEastAsia" w:hAnsiTheme="majorHAnsi"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0218E"/>
    <w:rPr>
      <w:sz w:val="20"/>
      <w:szCs w:val="20"/>
    </w:rPr>
  </w:style>
  <w:style w:type="character" w:customStyle="1" w:styleId="CommentTextChar">
    <w:name w:val="Comment Text Char"/>
    <w:basedOn w:val="DefaultParagraphFont"/>
    <w:link w:val="CommentText"/>
    <w:rsid w:val="0040218E"/>
    <w:rPr>
      <w:rFonts w:asciiTheme="minorHAnsi" w:eastAsiaTheme="minorHAnsi" w:hAnsiTheme="minorHAnsi" w:cstheme="minorBidi"/>
      <w:lang w:eastAsia="en-US"/>
    </w:rPr>
  </w:style>
  <w:style w:type="paragraph" w:styleId="Header">
    <w:name w:val="header"/>
    <w:basedOn w:val="Normal"/>
    <w:link w:val="HeaderChar"/>
    <w:uiPriority w:val="26"/>
    <w:rsid w:val="0040218E"/>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40218E"/>
    <w:rPr>
      <w:rFonts w:ascii="Calibri" w:eastAsiaTheme="minorHAnsi" w:hAnsi="Calibri" w:cstheme="minorBidi"/>
      <w:szCs w:val="22"/>
      <w:lang w:eastAsia="en-US"/>
    </w:rPr>
  </w:style>
  <w:style w:type="paragraph" w:styleId="Footer">
    <w:name w:val="footer"/>
    <w:basedOn w:val="Normal"/>
    <w:link w:val="FooterChar"/>
    <w:uiPriority w:val="27"/>
    <w:rsid w:val="0040218E"/>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40218E"/>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0218E"/>
    <w:rPr>
      <w:sz w:val="16"/>
      <w:szCs w:val="16"/>
    </w:rPr>
  </w:style>
  <w:style w:type="paragraph" w:styleId="CommentSubject">
    <w:name w:val="annotation subject"/>
    <w:basedOn w:val="CommentText"/>
    <w:next w:val="CommentText"/>
    <w:link w:val="CommentSubjectChar"/>
    <w:uiPriority w:val="99"/>
    <w:semiHidden/>
    <w:unhideWhenUsed/>
    <w:rsid w:val="0040218E"/>
    <w:rPr>
      <w:b/>
      <w:bCs/>
    </w:rPr>
  </w:style>
  <w:style w:type="character" w:customStyle="1" w:styleId="CommentSubjectChar">
    <w:name w:val="Comment Subject Char"/>
    <w:basedOn w:val="CommentTextChar"/>
    <w:link w:val="CommentSubject"/>
    <w:uiPriority w:val="99"/>
    <w:semiHidden/>
    <w:rsid w:val="0040218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0218E"/>
    <w:rPr>
      <w:rFonts w:ascii="Calibri" w:hAnsi="Calibri"/>
      <w:sz w:val="18"/>
      <w:szCs w:val="18"/>
    </w:rPr>
  </w:style>
  <w:style w:type="character" w:customStyle="1" w:styleId="BalloonTextChar">
    <w:name w:val="Balloon Text Char"/>
    <w:basedOn w:val="DefaultParagraphFont"/>
    <w:link w:val="BalloonText"/>
    <w:uiPriority w:val="99"/>
    <w:semiHidden/>
    <w:rsid w:val="0040218E"/>
    <w:rPr>
      <w:rFonts w:ascii="Calibri" w:eastAsiaTheme="minorHAnsi" w:hAnsi="Calibri" w:cstheme="minorBidi"/>
      <w:sz w:val="18"/>
      <w:szCs w:val="18"/>
      <w:lang w:eastAsia="en-US"/>
    </w:rPr>
  </w:style>
  <w:style w:type="table" w:styleId="TableGrid">
    <w:name w:val="Table Grid"/>
    <w:basedOn w:val="TableNormal"/>
    <w:uiPriority w:val="59"/>
    <w:rsid w:val="0040218E"/>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0218E"/>
    <w:rPr>
      <w:sz w:val="16"/>
    </w:rPr>
  </w:style>
  <w:style w:type="character" w:customStyle="1" w:styleId="Heading1Char">
    <w:name w:val="Heading 1 Char"/>
    <w:basedOn w:val="DefaultParagraphFont"/>
    <w:link w:val="Heading1"/>
    <w:uiPriority w:val="1"/>
    <w:rsid w:val="00D26648"/>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4B501F"/>
    <w:rPr>
      <w:rFonts w:ascii="Calibri" w:eastAsiaTheme="minorEastAsia" w:hAnsi="Calibri" w:cstheme="minorBidi"/>
      <w:bCs/>
      <w:sz w:val="56"/>
      <w:szCs w:val="28"/>
      <w:lang w:eastAsia="ja-JP"/>
    </w:rPr>
  </w:style>
  <w:style w:type="character" w:customStyle="1" w:styleId="Heading3Char">
    <w:name w:val="Heading 3 Char"/>
    <w:basedOn w:val="DefaultParagraphFont"/>
    <w:link w:val="Heading3"/>
    <w:uiPriority w:val="4"/>
    <w:rsid w:val="0040218E"/>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40218E"/>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40218E"/>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40218E"/>
    <w:pPr>
      <w:ind w:left="709" w:right="567"/>
    </w:pPr>
    <w:rPr>
      <w:iCs/>
      <w:color w:val="000000"/>
    </w:rPr>
  </w:style>
  <w:style w:type="character" w:customStyle="1" w:styleId="QuoteChar">
    <w:name w:val="Quote Char"/>
    <w:basedOn w:val="DefaultParagraphFont"/>
    <w:link w:val="Quote"/>
    <w:uiPriority w:val="18"/>
    <w:rsid w:val="0040218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0218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0218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0218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C22E2"/>
    <w:pPr>
      <w:spacing w:before="120"/>
    </w:pPr>
    <w:rPr>
      <w:b w:val="0"/>
      <w:sz w:val="56"/>
      <w:szCs w:val="56"/>
    </w:rPr>
  </w:style>
  <w:style w:type="character" w:customStyle="1" w:styleId="SubtitleChar">
    <w:name w:val="Subtitle Char"/>
    <w:basedOn w:val="DefaultParagraphFont"/>
    <w:link w:val="Subtitle"/>
    <w:uiPriority w:val="23"/>
    <w:rsid w:val="007C22E2"/>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7C22E2"/>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0218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0218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0218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0218E"/>
    <w:rPr>
      <w:color w:val="165788"/>
      <w:u w:val="single"/>
    </w:rPr>
  </w:style>
  <w:style w:type="paragraph" w:styleId="ListBullet">
    <w:name w:val="List Bullet"/>
    <w:basedOn w:val="Normal"/>
    <w:uiPriority w:val="99"/>
    <w:qFormat/>
    <w:rsid w:val="0040218E"/>
    <w:pPr>
      <w:numPr>
        <w:numId w:val="8"/>
      </w:numPr>
      <w:spacing w:before="120" w:after="120"/>
    </w:pPr>
  </w:style>
  <w:style w:type="paragraph" w:styleId="TableofFigures">
    <w:name w:val="table of figures"/>
    <w:basedOn w:val="Normal"/>
    <w:next w:val="Normal"/>
    <w:uiPriority w:val="99"/>
    <w:rsid w:val="0040218E"/>
    <w:pPr>
      <w:spacing w:before="120" w:after="120" w:line="240" w:lineRule="auto"/>
    </w:pPr>
  </w:style>
  <w:style w:type="paragraph" w:styleId="ListBullet2">
    <w:name w:val="List Bullet 2"/>
    <w:basedOn w:val="Normal"/>
    <w:uiPriority w:val="8"/>
    <w:qFormat/>
    <w:rsid w:val="0040218E"/>
    <w:pPr>
      <w:numPr>
        <w:ilvl w:val="1"/>
        <w:numId w:val="8"/>
      </w:numPr>
      <w:spacing w:before="120" w:after="120"/>
      <w:contextualSpacing/>
    </w:pPr>
  </w:style>
  <w:style w:type="paragraph" w:styleId="ListNumber">
    <w:name w:val="List Number"/>
    <w:basedOn w:val="Normal"/>
    <w:uiPriority w:val="9"/>
    <w:qFormat/>
    <w:rsid w:val="0040218E"/>
    <w:pPr>
      <w:numPr>
        <w:numId w:val="9"/>
      </w:numPr>
      <w:tabs>
        <w:tab w:val="left" w:pos="142"/>
      </w:tabs>
      <w:spacing w:before="120" w:after="120"/>
    </w:pPr>
  </w:style>
  <w:style w:type="paragraph" w:styleId="ListNumber2">
    <w:name w:val="List Number 2"/>
    <w:uiPriority w:val="10"/>
    <w:qFormat/>
    <w:rsid w:val="0040218E"/>
    <w:pPr>
      <w:numPr>
        <w:ilvl w:val="1"/>
        <w:numId w:val="9"/>
      </w:numPr>
      <w:tabs>
        <w:tab w:val="left" w:pos="567"/>
      </w:tabs>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40218E"/>
    <w:pPr>
      <w:numPr>
        <w:ilvl w:val="2"/>
        <w:numId w:val="9"/>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0218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0218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0218E"/>
    <w:pPr>
      <w:spacing w:before="60" w:after="60" w:line="240" w:lineRule="auto"/>
    </w:pPr>
    <w:rPr>
      <w:sz w:val="18"/>
    </w:rPr>
  </w:style>
  <w:style w:type="table" w:styleId="TableGrid1">
    <w:name w:val="Table Grid 1"/>
    <w:basedOn w:val="TableNormal"/>
    <w:uiPriority w:val="99"/>
    <w:semiHidden/>
    <w:unhideWhenUsed/>
    <w:rsid w:val="0040218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0218E"/>
    <w:pPr>
      <w:keepNext/>
    </w:pPr>
    <w:rPr>
      <w:b/>
    </w:rPr>
  </w:style>
  <w:style w:type="character" w:styleId="PlaceholderText">
    <w:name w:val="Placeholder Text"/>
    <w:basedOn w:val="DefaultParagraphFont"/>
    <w:uiPriority w:val="99"/>
    <w:semiHidden/>
    <w:rsid w:val="0040218E"/>
    <w:rPr>
      <w:color w:val="808080"/>
    </w:rPr>
  </w:style>
  <w:style w:type="paragraph" w:customStyle="1" w:styleId="Author">
    <w:name w:val="Author"/>
    <w:basedOn w:val="Normal"/>
    <w:next w:val="Normal"/>
    <w:uiPriority w:val="24"/>
    <w:qFormat/>
    <w:rsid w:val="0040218E"/>
    <w:pPr>
      <w:spacing w:after="60"/>
    </w:pPr>
    <w:rPr>
      <w:b/>
      <w:sz w:val="28"/>
      <w:szCs w:val="28"/>
    </w:rPr>
  </w:style>
  <w:style w:type="paragraph" w:customStyle="1" w:styleId="AuthorOrganisationAffiliation">
    <w:name w:val="Author Organisation/Affiliation"/>
    <w:basedOn w:val="Normal"/>
    <w:next w:val="Normal"/>
    <w:uiPriority w:val="25"/>
    <w:qFormat/>
    <w:rsid w:val="0040218E"/>
    <w:pPr>
      <w:spacing w:after="720"/>
    </w:pPr>
  </w:style>
  <w:style w:type="character" w:styleId="Strong">
    <w:name w:val="Strong"/>
    <w:basedOn w:val="DefaultParagraphFont"/>
    <w:uiPriority w:val="22"/>
    <w:qFormat/>
    <w:rsid w:val="0040218E"/>
    <w:rPr>
      <w:b/>
      <w:bCs/>
    </w:rPr>
  </w:style>
  <w:style w:type="paragraph" w:customStyle="1" w:styleId="Glossary">
    <w:name w:val="Glossary"/>
    <w:basedOn w:val="Normal"/>
    <w:link w:val="GlossaryChar"/>
    <w:uiPriority w:val="28"/>
    <w:semiHidden/>
    <w:locked/>
    <w:rsid w:val="0040218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0218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0218E"/>
    <w:rPr>
      <w:i/>
      <w:iCs/>
    </w:rPr>
  </w:style>
  <w:style w:type="paragraph" w:styleId="TOAHeading">
    <w:name w:val="toa heading"/>
    <w:basedOn w:val="Heading1"/>
    <w:next w:val="Normal"/>
    <w:uiPriority w:val="99"/>
    <w:semiHidden/>
    <w:unhideWhenUsed/>
    <w:rsid w:val="0040218E"/>
    <w:pPr>
      <w:spacing w:before="120"/>
    </w:pPr>
    <w:rPr>
      <w:bCs w:val="0"/>
      <w:sz w:val="24"/>
    </w:rPr>
  </w:style>
  <w:style w:type="paragraph" w:styleId="NormalWeb">
    <w:name w:val="Normal (Web)"/>
    <w:basedOn w:val="Normal"/>
    <w:uiPriority w:val="99"/>
    <w:semiHidden/>
    <w:unhideWhenUsed/>
    <w:rsid w:val="0040218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9671C"/>
    <w:pPr>
      <w:numPr>
        <w:numId w:val="6"/>
      </w:numPr>
      <w:ind w:left="357" w:hanging="357"/>
    </w:pPr>
  </w:style>
  <w:style w:type="paragraph" w:customStyle="1" w:styleId="TableBullet1">
    <w:name w:val="Table Bullet 1"/>
    <w:basedOn w:val="TableText"/>
    <w:uiPriority w:val="15"/>
    <w:qFormat/>
    <w:rsid w:val="0043531F"/>
    <w:pPr>
      <w:numPr>
        <w:numId w:val="5"/>
      </w:numPr>
    </w:pPr>
  </w:style>
  <w:style w:type="paragraph" w:styleId="DocumentMap">
    <w:name w:val="Document Map"/>
    <w:basedOn w:val="Normal"/>
    <w:link w:val="DocumentMapChar"/>
    <w:uiPriority w:val="99"/>
    <w:semiHidden/>
    <w:unhideWhenUsed/>
    <w:rsid w:val="0040218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0218E"/>
    <w:rPr>
      <w:rFonts w:ascii="Tahoma" w:eastAsiaTheme="minorHAnsi" w:hAnsi="Tahoma" w:cs="Tahoma"/>
      <w:sz w:val="16"/>
      <w:szCs w:val="16"/>
      <w:lang w:eastAsia="en-US"/>
    </w:rPr>
  </w:style>
  <w:style w:type="paragraph" w:customStyle="1" w:styleId="BoxHeading">
    <w:name w:val="Box Heading"/>
    <w:basedOn w:val="BoxText"/>
    <w:uiPriority w:val="20"/>
    <w:qFormat/>
    <w:rsid w:val="0040218E"/>
    <w:pPr>
      <w:spacing w:line="240" w:lineRule="auto"/>
    </w:pPr>
    <w:rPr>
      <w:b/>
    </w:rPr>
  </w:style>
  <w:style w:type="paragraph" w:customStyle="1" w:styleId="Securityclassification">
    <w:name w:val="Security classification"/>
    <w:basedOn w:val="Header"/>
    <w:next w:val="Header"/>
    <w:uiPriority w:val="26"/>
    <w:qFormat/>
    <w:rsid w:val="0040218E"/>
    <w:pPr>
      <w:spacing w:after="0"/>
    </w:pPr>
    <w:rPr>
      <w:b/>
      <w:color w:val="FF0000"/>
      <w:sz w:val="36"/>
      <w:szCs w:val="36"/>
    </w:rPr>
  </w:style>
  <w:style w:type="paragraph" w:customStyle="1" w:styleId="DisseminationLimitingMarker">
    <w:name w:val="Dissemination Limiting Marker"/>
    <w:basedOn w:val="Header"/>
    <w:next w:val="Header"/>
    <w:uiPriority w:val="27"/>
    <w:rsid w:val="0040218E"/>
    <w:pPr>
      <w:spacing w:after="0"/>
    </w:pPr>
    <w:rPr>
      <w:b/>
      <w:sz w:val="36"/>
      <w:szCs w:val="36"/>
    </w:rPr>
  </w:style>
  <w:style w:type="paragraph" w:styleId="FootnoteText">
    <w:name w:val="footnote text"/>
    <w:basedOn w:val="Normal"/>
    <w:link w:val="FootnoteTextChar"/>
    <w:uiPriority w:val="99"/>
    <w:unhideWhenUsed/>
    <w:rsid w:val="0040218E"/>
    <w:pPr>
      <w:spacing w:after="60" w:line="264" w:lineRule="auto"/>
    </w:pPr>
    <w:rPr>
      <w:sz w:val="20"/>
      <w:szCs w:val="20"/>
    </w:rPr>
  </w:style>
  <w:style w:type="character" w:customStyle="1" w:styleId="FootnoteTextChar">
    <w:name w:val="Footnote Text Char"/>
    <w:basedOn w:val="DefaultParagraphFont"/>
    <w:link w:val="FootnoteText"/>
    <w:uiPriority w:val="99"/>
    <w:rsid w:val="0040218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0218E"/>
    <w:rPr>
      <w:vertAlign w:val="superscript"/>
    </w:rPr>
  </w:style>
  <w:style w:type="paragraph" w:styleId="EndnoteText">
    <w:name w:val="endnote text"/>
    <w:basedOn w:val="Normal"/>
    <w:link w:val="EndnoteTextChar"/>
    <w:uiPriority w:val="99"/>
    <w:unhideWhenUsed/>
    <w:rsid w:val="0040218E"/>
    <w:pPr>
      <w:spacing w:after="60" w:line="264" w:lineRule="auto"/>
    </w:pPr>
    <w:rPr>
      <w:sz w:val="20"/>
      <w:szCs w:val="20"/>
    </w:rPr>
  </w:style>
  <w:style w:type="character" w:customStyle="1" w:styleId="EndnoteTextChar">
    <w:name w:val="Endnote Text Char"/>
    <w:basedOn w:val="DefaultParagraphFont"/>
    <w:link w:val="EndnoteText"/>
    <w:uiPriority w:val="99"/>
    <w:rsid w:val="0040218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40218E"/>
    <w:rPr>
      <w:vertAlign w:val="superscript"/>
    </w:rPr>
  </w:style>
  <w:style w:type="character" w:styleId="FollowedHyperlink">
    <w:name w:val="FollowedHyperlink"/>
    <w:basedOn w:val="DefaultParagraphFont"/>
    <w:uiPriority w:val="99"/>
    <w:semiHidden/>
    <w:unhideWhenUsed/>
    <w:rsid w:val="0040218E"/>
    <w:rPr>
      <w:color w:val="800080"/>
      <w:u w:val="single"/>
    </w:rPr>
  </w:style>
  <w:style w:type="paragraph" w:customStyle="1" w:styleId="BoxSource">
    <w:name w:val="Box Source"/>
    <w:basedOn w:val="FigureTableNoteSource"/>
    <w:uiPriority w:val="22"/>
    <w:qFormat/>
    <w:rsid w:val="0040218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0218E"/>
    <w:pPr>
      <w:numPr>
        <w:numId w:val="1"/>
      </w:numPr>
    </w:pPr>
  </w:style>
  <w:style w:type="paragraph" w:styleId="Title">
    <w:name w:val="Title"/>
    <w:basedOn w:val="Normal"/>
    <w:next w:val="Normal"/>
    <w:link w:val="TitleChar"/>
    <w:uiPriority w:val="10"/>
    <w:semiHidden/>
    <w:qFormat/>
    <w:rsid w:val="0040218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0218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40218E"/>
    <w:rPr>
      <w:rFonts w:ascii="Calibri Light" w:eastAsiaTheme="minorHAnsi" w:hAnsi="Calibri Light" w:cstheme="minorBidi"/>
      <w:sz w:val="36"/>
      <w:szCs w:val="22"/>
      <w:lang w:eastAsia="en-US"/>
    </w:rPr>
  </w:style>
  <w:style w:type="numbering" w:customStyle="1" w:styleId="Numberlist">
    <w:name w:val="Number list"/>
    <w:uiPriority w:val="99"/>
    <w:rsid w:val="0040218E"/>
    <w:pPr>
      <w:numPr>
        <w:numId w:val="2"/>
      </w:numPr>
    </w:pPr>
  </w:style>
  <w:style w:type="numbering" w:customStyle="1" w:styleId="Headinglist">
    <w:name w:val="Heading list"/>
    <w:uiPriority w:val="99"/>
    <w:rsid w:val="0040218E"/>
    <w:pPr>
      <w:numPr>
        <w:numId w:val="3"/>
      </w:numPr>
    </w:pPr>
  </w:style>
  <w:style w:type="paragraph" w:customStyle="1" w:styleId="Normalsmall">
    <w:name w:val="Normal small"/>
    <w:qFormat/>
    <w:rsid w:val="0040218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0218E"/>
    <w:pPr>
      <w:numPr>
        <w:ilvl w:val="2"/>
        <w:numId w:val="8"/>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43531F"/>
    <w:pPr>
      <w:numPr>
        <w:numId w:val="11"/>
      </w:numPr>
      <w:spacing w:before="60" w:after="60"/>
      <w:ind w:left="357" w:hanging="357"/>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0218E"/>
    <w:rPr>
      <w:i/>
      <w:iCs/>
      <w:color w:val="4F81BD" w:themeColor="accent1"/>
    </w:rPr>
  </w:style>
  <w:style w:type="paragraph" w:customStyle="1" w:styleId="TableBullet2">
    <w:name w:val="Table Bullet 2"/>
    <w:basedOn w:val="TableBullet1"/>
    <w:qFormat/>
    <w:rsid w:val="00696C91"/>
    <w:pPr>
      <w:numPr>
        <w:numId w:val="10"/>
      </w:numPr>
      <w:tabs>
        <w:tab w:val="num" w:pos="284"/>
      </w:tabs>
      <w:ind w:left="516" w:hanging="357"/>
    </w:pPr>
  </w:style>
  <w:style w:type="numbering" w:customStyle="1" w:styleId="TableBulletlist">
    <w:name w:val="Table Bullet list"/>
    <w:uiPriority w:val="99"/>
    <w:rsid w:val="0040218E"/>
    <w:pPr>
      <w:numPr>
        <w:numId w:val="4"/>
      </w:numPr>
    </w:pPr>
  </w:style>
  <w:style w:type="character" w:styleId="UnresolvedMention">
    <w:name w:val="Unresolved Mention"/>
    <w:basedOn w:val="DefaultParagraphFont"/>
    <w:uiPriority w:val="99"/>
    <w:semiHidden/>
    <w:unhideWhenUsed/>
    <w:rsid w:val="0040218E"/>
    <w:rPr>
      <w:color w:val="605E5C"/>
      <w:shd w:val="clear" w:color="auto" w:fill="E1DFDD"/>
    </w:rPr>
  </w:style>
  <w:style w:type="paragraph" w:styleId="ListParagraph">
    <w:name w:val="List Paragraph"/>
    <w:basedOn w:val="Normal"/>
    <w:uiPriority w:val="34"/>
    <w:qFormat/>
    <w:rsid w:val="0040218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A117F1"/>
    <w:rPr>
      <w:rFonts w:asciiTheme="majorHAnsi" w:eastAsiaTheme="majorEastAsia" w:hAnsiTheme="majorHAnsi" w:cstheme="majorBidi"/>
      <w:i/>
      <w:color w:val="59621D"/>
      <w:szCs w:val="22"/>
      <w:lang w:eastAsia="en-US"/>
    </w:rPr>
  </w:style>
  <w:style w:type="paragraph" w:styleId="Revision">
    <w:name w:val="Revision"/>
    <w:hidden/>
    <w:uiPriority w:val="99"/>
    <w:semiHidden/>
    <w:rsid w:val="001464F4"/>
    <w:rPr>
      <w:rFonts w:asciiTheme="minorHAnsi" w:eastAsiaTheme="minorHAnsi" w:hAnsiTheme="minorHAnsi" w:cstheme="minorBidi"/>
      <w:sz w:val="22"/>
      <w:szCs w:val="22"/>
      <w:lang w:eastAsia="en-US"/>
    </w:rPr>
  </w:style>
  <w:style w:type="paragraph" w:customStyle="1" w:styleId="TableBullet">
    <w:name w:val="Table Bullet"/>
    <w:basedOn w:val="TableText"/>
    <w:uiPriority w:val="15"/>
    <w:qFormat/>
    <w:rsid w:val="00B91977"/>
    <w:pPr>
      <w:numPr>
        <w:numId w:val="12"/>
      </w:numPr>
    </w:pPr>
    <w:rPr>
      <w:rFonts w:ascii="Cambria" w:eastAsia="Calibri" w:hAnsi="Cambria" w:cs="Times New Roman"/>
    </w:rPr>
  </w:style>
  <w:style w:type="paragraph" w:customStyle="1" w:styleId="table">
    <w:name w:val="table"/>
    <w:basedOn w:val="Normal"/>
    <w:rsid w:val="00B91977"/>
    <w:pPr>
      <w:keepLines/>
      <w:tabs>
        <w:tab w:val="left" w:pos="142"/>
        <w:tab w:val="left" w:pos="284"/>
        <w:tab w:val="left" w:pos="426"/>
        <w:tab w:val="left" w:pos="1985"/>
        <w:tab w:val="left" w:pos="2268"/>
        <w:tab w:val="left" w:pos="2552"/>
        <w:tab w:val="left" w:pos="2835"/>
      </w:tabs>
      <w:spacing w:before="80" w:after="80" w:line="240" w:lineRule="auto"/>
    </w:pPr>
    <w:rPr>
      <w:rFonts w:ascii="Palatino" w:eastAsia="Times New Roman" w:hAnsi="Palatino" w:cs="Times New Roman"/>
      <w:color w:val="000080"/>
      <w:sz w:val="20"/>
      <w:szCs w:val="20"/>
      <w:lang w:val="en-US"/>
    </w:rPr>
  </w:style>
  <w:style w:type="paragraph" w:customStyle="1" w:styleId="Picture">
    <w:name w:val="Picture"/>
    <w:basedOn w:val="NoSpacing"/>
    <w:link w:val="PictureChar"/>
    <w:qFormat/>
    <w:rsid w:val="004A0895"/>
    <w:rPr>
      <w:rFonts w:ascii="Cambria" w:eastAsia="Calibri" w:hAnsi="Cambria" w:cs="Times New Roman"/>
      <w:sz w:val="24"/>
      <w:szCs w:val="20"/>
    </w:rPr>
  </w:style>
  <w:style w:type="character" w:customStyle="1" w:styleId="PictureChar">
    <w:name w:val="Picture Char"/>
    <w:basedOn w:val="DefaultParagraphFont"/>
    <w:link w:val="Picture"/>
    <w:rsid w:val="004A0895"/>
    <w:rPr>
      <w:rFonts w:eastAsia="Calibri"/>
      <w:sz w:val="24"/>
      <w:lang w:eastAsia="en-US"/>
    </w:rPr>
  </w:style>
  <w:style w:type="paragraph" w:styleId="NoSpacing">
    <w:name w:val="No Spacing"/>
    <w:uiPriority w:val="99"/>
    <w:semiHidden/>
    <w:qFormat/>
    <w:rsid w:val="004A0895"/>
    <w:rPr>
      <w:rFonts w:asciiTheme="minorHAnsi" w:eastAsiaTheme="minorHAnsi" w:hAnsiTheme="minorHAnsi" w:cstheme="minorBidi"/>
      <w:sz w:val="22"/>
      <w:szCs w:val="22"/>
      <w:lang w:eastAsia="en-US"/>
    </w:rPr>
  </w:style>
  <w:style w:type="paragraph" w:styleId="TOC4">
    <w:name w:val="toc 4"/>
    <w:basedOn w:val="Normal"/>
    <w:next w:val="Normal"/>
    <w:autoRedefine/>
    <w:uiPriority w:val="39"/>
    <w:rsid w:val="00133D45"/>
    <w:pPr>
      <w:spacing w:after="100"/>
      <w:ind w:left="660"/>
    </w:pPr>
  </w:style>
  <w:style w:type="paragraph" w:styleId="Date">
    <w:name w:val="Date"/>
    <w:basedOn w:val="Normal"/>
    <w:next w:val="Normal"/>
    <w:link w:val="DateChar"/>
    <w:uiPriority w:val="99"/>
    <w:unhideWhenUsed/>
    <w:rsid w:val="00B06F8C"/>
    <w:pPr>
      <w:spacing w:before="120"/>
    </w:pPr>
    <w:rPr>
      <w:sz w:val="28"/>
    </w:rPr>
  </w:style>
  <w:style w:type="character" w:customStyle="1" w:styleId="DateChar">
    <w:name w:val="Date Char"/>
    <w:basedOn w:val="DefaultParagraphFont"/>
    <w:link w:val="Date"/>
    <w:uiPriority w:val="99"/>
    <w:rsid w:val="00B06F8C"/>
    <w:rPr>
      <w:rFonts w:asciiTheme="minorHAnsi" w:eastAsiaTheme="minorHAnsi" w:hAnsiTheme="minorHAnsi" w:cstheme="minorBid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273">
      <w:bodyDiv w:val="1"/>
      <w:marLeft w:val="0"/>
      <w:marRight w:val="0"/>
      <w:marTop w:val="0"/>
      <w:marBottom w:val="0"/>
      <w:divBdr>
        <w:top w:val="none" w:sz="0" w:space="0" w:color="auto"/>
        <w:left w:val="none" w:sz="0" w:space="0" w:color="auto"/>
        <w:bottom w:val="none" w:sz="0" w:space="0" w:color="auto"/>
        <w:right w:val="none" w:sz="0" w:space="0" w:color="auto"/>
      </w:divBdr>
    </w:div>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797097">
      <w:bodyDiv w:val="1"/>
      <w:marLeft w:val="0"/>
      <w:marRight w:val="0"/>
      <w:marTop w:val="0"/>
      <w:marBottom w:val="0"/>
      <w:divBdr>
        <w:top w:val="none" w:sz="0" w:space="0" w:color="auto"/>
        <w:left w:val="none" w:sz="0" w:space="0" w:color="auto"/>
        <w:bottom w:val="none" w:sz="0" w:space="0" w:color="auto"/>
        <w:right w:val="none" w:sz="0" w:space="0" w:color="auto"/>
      </w:divBdr>
    </w:div>
    <w:div w:id="656691440">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97652480">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30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griculture.gov.au/biosecurity-trade/import/goods/fertiliser/chem-mined" TargetMode="External"/><Relationship Id="rId18" Type="http://schemas.openxmlformats.org/officeDocument/2006/relationships/footer" Target="footer2.xml"/><Relationship Id="rId26" Type="http://schemas.openxmlformats.org/officeDocument/2006/relationships/hyperlink" Target="https://www.agriculture.gov.au/biosecurity-trade/policy/commonwealth-biosecurity-2030" TargetMode="External"/><Relationship Id="rId39" Type="http://schemas.openxmlformats.org/officeDocument/2006/relationships/hyperlink" Target="mailto:SeaCargoPolicy@aff.gov.au" TargetMode="External"/><Relationship Id="rId21" Type="http://schemas.openxmlformats.org/officeDocument/2006/relationships/hyperlink" Target="https://www.agriculture.gov.au/biosecurity-trade/import/goods/fertiliser/chem-mined" TargetMode="External"/><Relationship Id="rId34" Type="http://schemas.openxmlformats.org/officeDocument/2006/relationships/hyperlink" Target="https://www.agriculture.gov.au/biosecurity-trade/import/goods/fertiliser/chem-mined" TargetMode="External"/><Relationship Id="rId42" Type="http://schemas.openxmlformats.org/officeDocument/2006/relationships/hyperlink" Target="mailto:Fertiliser.Chemical@aff.gov.au" TargetMode="External"/><Relationship Id="rId47" Type="http://schemas.openxmlformats.org/officeDocument/2006/relationships/hyperlink" Target="https://www.agriculture.gov.au/biosecurity-trade/import/arrival/clearance-inspection/documentary-requirements/non-commodity_information_requirements_policy" TargetMode="External"/><Relationship Id="rId50" Type="http://schemas.openxmlformats.org/officeDocument/2006/relationships/hyperlink" Target="https://bicon.agriculture.gov.au/BiconWeb4.0?_gl=1*1hi558y*_ga*MTcxMTU3MjU2Ny4xNzEyNzkxNzU2*_ga_EFTD1N73JJ*MTcxODI0MjAzMy40OS4xLjE3MTgyNDIwNjQuMC4wLjA." TargetMode="External"/><Relationship Id="rId55" Type="http://schemas.openxmlformats.org/officeDocument/2006/relationships/hyperlink" Target="https://bicon.agriculture.gov.au/BiconWeb4.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agriculture.gov.au/biosecurity-trade/import/goods/fertiliser/chem-mined" TargetMode="External"/><Relationship Id="rId11" Type="http://schemas.openxmlformats.org/officeDocument/2006/relationships/hyperlink" Target="https://creativecommons.org/licenses/by/4.0/legalcode" TargetMode="External"/><Relationship Id="rId24" Type="http://schemas.openxmlformats.org/officeDocument/2006/relationships/hyperlink" Target="https://bicon.agriculture.gov.au/BiconWeb4.0?_gl=1*1hi558y*_ga*MTcxMTU3MjU2Ny4xNzEyNzkxNzU2*_ga_EFTD1N73JJ*MTcxODI0MjAzMy40OS4xLjE3MTgyNDIwNjQuMC4wLjA." TargetMode="External"/><Relationship Id="rId32" Type="http://schemas.openxmlformats.org/officeDocument/2006/relationships/hyperlink" Target="mailto:AuditServices@aff.gov.au" TargetMode="External"/><Relationship Id="rId37" Type="http://schemas.openxmlformats.org/officeDocument/2006/relationships/hyperlink" Target="https://bicon.agriculture.gov.au/BiconWeb4.0?_gl=1*1hi558y*_ga*MTcxMTU3MjU2Ny4xNzEyNzkxNzU2*_ga_EFTD1N73JJ*MTcxODI0MjAzMy40OS4xLjE3MTgyNDIwNjQuMC4wLjA." TargetMode="External"/><Relationship Id="rId40" Type="http://schemas.openxmlformats.org/officeDocument/2006/relationships/hyperlink" Target="https://bicon.agriculture.gov.au/BiconWeb4.0?_gl=1*1hi558y*_ga*MTcxMTU3MjU2Ny4xNzEyNzkxNzU2*_ga_EFTD1N73JJ*MTcxODI0MjAzMy40OS4xLjE3MTgyNDIwNjQuMC4wLjA." TargetMode="External"/><Relationship Id="rId45" Type="http://schemas.openxmlformats.org/officeDocument/2006/relationships/hyperlink" Target="https://bicon.agriculture.gov.au/BiconWeb4.0?_gl=1*1hi558y*_ga*MTcxMTU3MjU2Ny4xNzEyNzkxNzU2*_ga_EFTD1N73JJ*MTcxODI0MjAzMy40OS4xLjE3MTgyNDIwNjQuMC4wLjA." TargetMode="External"/><Relationship Id="rId53" Type="http://schemas.openxmlformats.org/officeDocument/2006/relationships/hyperlink" Target="mailto:SeaCargoPolicy@aff.gov.au"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publications" TargetMode="External"/><Relationship Id="rId22" Type="http://schemas.openxmlformats.org/officeDocument/2006/relationships/hyperlink" Target="https://www.agriculture.gov.au/biosecurity-trade/import/goods/fertiliser/chem-mined" TargetMode="External"/><Relationship Id="rId27" Type="http://schemas.openxmlformats.org/officeDocument/2006/relationships/image" Target="media/image3.png"/><Relationship Id="rId30" Type="http://schemas.openxmlformats.org/officeDocument/2006/relationships/hyperlink" Target="https://www.agriculture.gov.au/biosecurity-trade/import/goods/fertiliser/chem-mined" TargetMode="External"/><Relationship Id="rId35" Type="http://schemas.openxmlformats.org/officeDocument/2006/relationships/hyperlink" Target="https://www.agriculture.gov.au/biosecurity-trade/import/goods/fertiliser/chem-mined" TargetMode="External"/><Relationship Id="rId43" Type="http://schemas.openxmlformats.org/officeDocument/2006/relationships/hyperlink" Target="https://bicon.agriculture.gov.au/BiconWeb4.0?_gl=1*1hi558y*_ga*MTcxMTU3MjU2Ny4xNzEyNzkxNzU2*_ga_EFTD1N73JJ*MTcxODI0MjAzMy40OS4xLjE3MTgyNDIwNjQuMC4wLjA." TargetMode="External"/><Relationship Id="rId48" Type="http://schemas.openxmlformats.org/officeDocument/2006/relationships/hyperlink" Target="https://bicon.agriculture.gov.au/BiconWeb4.0?_gl=1*1hi558y*_ga*MTcxMTU3MjU2Ny4xNzEyNzkxNzU2*_ga_EFTD1N73JJ*MTcxODI0MjAzMy40OS4xLjE3MTgyNDIwNjQuMC4wLjA." TargetMode="External"/><Relationship Id="rId56" Type="http://schemas.openxmlformats.org/officeDocument/2006/relationships/hyperlink" Target="file:///C:\Users\JC0133\AppData\Local\Microsoft\Windows\INetCache\Content.Outlook\Q5F8S40V\Chemical%20and%20mined%20fertiliser" TargetMode="External"/><Relationship Id="rId8" Type="http://schemas.openxmlformats.org/officeDocument/2006/relationships/webSettings" Target="webSettings.xml"/><Relationship Id="rId51" Type="http://schemas.openxmlformats.org/officeDocument/2006/relationships/hyperlink" Target="https://bicon.agriculture.gov.au/BiconWeb4.0?_gl=1*1hi558y*_ga*MTcxMTU3MjU2Ny4xNzEyNzkxNzU2*_ga_EFTD1N73JJ*MTcxODI0MjAzMy40OS4xLjE3MTgyNDIwNjQuMC4wLjA."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agriculture.gov.au/about/commitment/compliance-policy" TargetMode="External"/><Relationship Id="rId33" Type="http://schemas.openxmlformats.org/officeDocument/2006/relationships/hyperlink" Target="https://www.agriculture.gov.au/biosecurity-trade/import/goods/fertiliser/chem-mined" TargetMode="External"/><Relationship Id="rId38" Type="http://schemas.openxmlformats.org/officeDocument/2006/relationships/hyperlink" Target="https://www.agriculture.gov.au/about/fees/charging-guidelines" TargetMode="External"/><Relationship Id="rId46" Type="http://schemas.openxmlformats.org/officeDocument/2006/relationships/hyperlink" Target="https://bicon.agriculture.gov.au/BiconWeb4.0?_gl=1*1hi558y*_ga*MTcxMTU3MjU2Ny4xNzEyNzkxNzU2*_ga_EFTD1N73JJ*MTcxODI0MjAzMy40OS4xLjE3MTgyNDIwNjQuMC4wLjA." TargetMode="External"/><Relationship Id="rId59"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https://www.agriculture.gov.au/biosecurity-trade/import/goods/fertiliser/chem-mined" TargetMode="External"/><Relationship Id="rId54" Type="http://schemas.openxmlformats.org/officeDocument/2006/relationships/hyperlink" Target="https://www.agriculture.gov.au/biosecurity-trade/import/arrival/arrangements/glossar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agriculture.gov.au/biosecurity-trade/import/goods/fertiliser/chem-mined" TargetMode="External"/><Relationship Id="rId28" Type="http://schemas.openxmlformats.org/officeDocument/2006/relationships/hyperlink" Target="https://www.agriculture.gov.au/biosecurity-trade/import/arrival/treatments/biosecurity-risk-treatment-guide" TargetMode="External"/><Relationship Id="rId36" Type="http://schemas.openxmlformats.org/officeDocument/2006/relationships/hyperlink" Target="mailto:AuditServices@aff.gov.au" TargetMode="External"/><Relationship Id="rId49" Type="http://schemas.openxmlformats.org/officeDocument/2006/relationships/hyperlink" Target="https://www.agriculture.gov.au/biosecurity-trade/import/goods/fertiliser/chem-mined" TargetMode="External"/><Relationship Id="rId57" Type="http://schemas.openxmlformats.org/officeDocument/2006/relationships/hyperlink" Target="https://fertilizer.org.au/about-fertilizer-australia/our-priorities-and-initiatives/fertiliser-issues/quarantine" TargetMode="External"/><Relationship Id="rId10" Type="http://schemas.openxmlformats.org/officeDocument/2006/relationships/endnotes" Target="endnotes.xml"/><Relationship Id="rId31" Type="http://schemas.openxmlformats.org/officeDocument/2006/relationships/hyperlink" Target="mailto:AuditServices@aff.gov.au" TargetMode="External"/><Relationship Id="rId44" Type="http://schemas.openxmlformats.org/officeDocument/2006/relationships/hyperlink" Target="https://www.agriculture.gov.au/biosecurity-trade/import/goods/fertiliser/chem-mined" TargetMode="External"/><Relationship Id="rId52" Type="http://schemas.openxmlformats.org/officeDocument/2006/relationships/hyperlink" Target="https://www.agriculture.gov.au/biosecurity-trade/pests-diseases-weeds/repor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D33-3B39-4665-A5E6-666D035120E9}">
  <ds:schemaRefs>
    <ds:schemaRef ds:uri="http://purl.org/dc/elements/1.1/"/>
    <ds:schemaRef ds:uri="81c01dc6-2c49-4730-b140-874c95cac377"/>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2b53c995-2120-4bc0-8922-c25044d37f65"/>
    <ds:schemaRef ds:uri="http://schemas.microsoft.com/office/infopath/2007/PartnerControls"/>
    <ds:schemaRef ds:uri="http://schemas.openxmlformats.org/package/2006/metadata/core-properties"/>
    <ds:schemaRef ds:uri="c95b51c2-b2ac-4224-a5b5-069909057829"/>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AB906D28-7772-4C1A-9DB0-B7AC53ED2899}">
  <ds:schemaRefs>
    <ds:schemaRef ds:uri="http://schemas.openxmlformats.org/officeDocument/2006/bibliography"/>
  </ds:schemaRefs>
</ds:datastoreItem>
</file>

<file path=customXml/itemProps4.xml><?xml version="1.0" encoding="utf-8"?>
<ds:datastoreItem xmlns:ds="http://schemas.openxmlformats.org/officeDocument/2006/customXml" ds:itemID="{3A8A2731-5A73-4611-A494-87C726021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559</TotalTime>
  <Pages>31</Pages>
  <Words>10296</Words>
  <Characters>58690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Imported Inorganic Fertiliser Management Policy</vt:lpstr>
    </vt:vector>
  </TitlesOfParts>
  <Company/>
  <LinksUpToDate>false</LinksUpToDate>
  <CharactersWithSpaces>68849</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Imported Inorganic Fertiliser Management Policy</dc:title>
  <dc:creator>Department of Agriculture, Fisheries and Forestry</dc:creator>
  <cp:revision>52</cp:revision>
  <cp:lastPrinted>2026-03-15T23:07:00Z</cp:lastPrinted>
  <dcterms:created xsi:type="dcterms:W3CDTF">2026-01-09T05:21:00Z</dcterms:created>
  <dcterms:modified xsi:type="dcterms:W3CDTF">2026-03-17T00:36:00Z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32645718,5cab9b63,2c24c761</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4cc01c02,31851e5a,5b0f7d2d</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2024-08-21T02:36:46Z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9822d26f-f19b-4405-9c7d-d4887c9bd951</vt:lpwstr>
  </property>
  <property fmtid="{D5CDD505-2E9C-101B-9397-08002B2CF9AE}" pid="15" name="MSIP_Label_933d8be6-3c40-4052-87a2-9c2adcba8759_ContentBits">
    <vt:lpwstr>3</vt:lpwstr>
  </property>
  <property fmtid="{D5CDD505-2E9C-101B-9397-08002B2CF9AE}" pid="16" name="MediaServiceImageTags">
    <vt:lpwstr/>
  </property>
</Properties>
</file>