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7B" w:rsidRDefault="005F3539" w:rsidP="00195ABA">
      <w:pPr>
        <w:pStyle w:val="KMHTitleAppendix"/>
        <w:pBdr>
          <w:bottom w:val="none" w:sz="0" w:space="0" w:color="auto"/>
        </w:pBdr>
        <w:tabs>
          <w:tab w:val="left" w:pos="4021"/>
          <w:tab w:val="right" w:pos="9072"/>
        </w:tabs>
        <w:spacing w:before="240"/>
      </w:pPr>
      <w:bookmarkStart w:id="0" w:name="_GoBack"/>
      <w:bookmarkEnd w:id="0"/>
      <w:r>
        <w:rPr>
          <w:noProof/>
          <w:lang w:eastAsia="en-AU"/>
        </w:rPr>
        <w:drawing>
          <wp:anchor distT="0" distB="0" distL="114300" distR="114300" simplePos="0" relativeHeight="251663872" behindDoc="1" locked="0" layoutInCell="1" allowOverlap="1">
            <wp:simplePos x="0" y="0"/>
            <wp:positionH relativeFrom="column">
              <wp:posOffset>-1086485</wp:posOffset>
            </wp:positionH>
            <wp:positionV relativeFrom="paragraph">
              <wp:posOffset>-1157293</wp:posOffset>
            </wp:positionV>
            <wp:extent cx="4371795" cy="10737042"/>
            <wp:effectExtent l="0" t="0" r="0" b="0"/>
            <wp:wrapNone/>
            <wp:docPr id="5" name="Picture 0" descr="20109 KMH Repor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9 KMH Report Cover.jpg"/>
                    <pic:cNvPicPr/>
                  </pic:nvPicPr>
                  <pic:blipFill>
                    <a:blip r:embed="rId11" cstate="print"/>
                    <a:stretch>
                      <a:fillRect/>
                    </a:stretch>
                  </pic:blipFill>
                  <pic:spPr>
                    <a:xfrm>
                      <a:off x="0" y="0"/>
                      <a:ext cx="4371795" cy="10737042"/>
                    </a:xfrm>
                    <a:prstGeom prst="rect">
                      <a:avLst/>
                    </a:prstGeom>
                  </pic:spPr>
                </pic:pic>
              </a:graphicData>
            </a:graphic>
          </wp:anchor>
        </w:drawing>
      </w:r>
    </w:p>
    <w:p w:rsidR="00195ABA" w:rsidRDefault="00195ABA" w:rsidP="00195ABA">
      <w:pPr>
        <w:pStyle w:val="KMHTitleAppendix"/>
        <w:pBdr>
          <w:bottom w:val="none" w:sz="0" w:space="0" w:color="auto"/>
        </w:pBdr>
        <w:tabs>
          <w:tab w:val="left" w:pos="4021"/>
          <w:tab w:val="right" w:pos="9072"/>
        </w:tabs>
        <w:spacing w:before="240"/>
      </w:pPr>
    </w:p>
    <w:p w:rsidR="00195ABA" w:rsidRDefault="00195ABA" w:rsidP="00195ABA">
      <w:pPr>
        <w:pStyle w:val="KMHTitleAppendix"/>
        <w:pBdr>
          <w:bottom w:val="none" w:sz="0" w:space="0" w:color="auto"/>
        </w:pBdr>
        <w:tabs>
          <w:tab w:val="left" w:pos="4021"/>
          <w:tab w:val="right" w:pos="9072"/>
        </w:tabs>
        <w:spacing w:before="240"/>
      </w:pPr>
    </w:p>
    <w:p w:rsidR="00195ABA" w:rsidRDefault="00195ABA" w:rsidP="00195ABA">
      <w:pPr>
        <w:pStyle w:val="KMHTitleAppendix"/>
        <w:pBdr>
          <w:bottom w:val="none" w:sz="0" w:space="0" w:color="auto"/>
        </w:pBdr>
        <w:tabs>
          <w:tab w:val="left" w:pos="4021"/>
          <w:tab w:val="right" w:pos="9072"/>
        </w:tabs>
        <w:spacing w:before="240"/>
      </w:pPr>
    </w:p>
    <w:p w:rsidR="00195ABA" w:rsidRDefault="00195ABA" w:rsidP="00195ABA">
      <w:pPr>
        <w:pStyle w:val="KMHTitleAppendix"/>
        <w:pBdr>
          <w:bottom w:val="none" w:sz="0" w:space="0" w:color="auto"/>
        </w:pBdr>
        <w:tabs>
          <w:tab w:val="left" w:pos="4021"/>
          <w:tab w:val="right" w:pos="9072"/>
        </w:tabs>
        <w:spacing w:before="240"/>
      </w:pPr>
    </w:p>
    <w:p w:rsidR="00195ABA" w:rsidRDefault="00195ABA" w:rsidP="00195ABA">
      <w:pPr>
        <w:pStyle w:val="KMHTitleAppendix"/>
        <w:pBdr>
          <w:bottom w:val="none" w:sz="0" w:space="0" w:color="auto"/>
        </w:pBdr>
        <w:tabs>
          <w:tab w:val="left" w:pos="4021"/>
          <w:tab w:val="right" w:pos="9072"/>
        </w:tabs>
        <w:spacing w:before="240"/>
      </w:pPr>
    </w:p>
    <w:tbl>
      <w:tblPr>
        <w:tblStyle w:val="TableGrid"/>
        <w:tblW w:w="7527" w:type="dxa"/>
        <w:tblInd w:w="1795" w:type="dxa"/>
        <w:tblBorders>
          <w:top w:val="none" w:sz="0" w:space="0" w:color="auto"/>
          <w:left w:val="none" w:sz="0" w:space="0" w:color="auto"/>
          <w:bottom w:val="single" w:sz="18" w:space="0" w:color="1D5C42"/>
          <w:right w:val="none" w:sz="0" w:space="0" w:color="auto"/>
        </w:tblBorders>
        <w:tblLook w:val="04A0"/>
      </w:tblPr>
      <w:tblGrid>
        <w:gridCol w:w="7527"/>
      </w:tblGrid>
      <w:tr w:rsidR="00195ABA" w:rsidTr="00195ABA">
        <w:tc>
          <w:tcPr>
            <w:tcW w:w="7527" w:type="dxa"/>
            <w:vAlign w:val="center"/>
          </w:tcPr>
          <w:p w:rsidR="00195ABA" w:rsidRDefault="004270DC" w:rsidP="00195ABA">
            <w:pPr>
              <w:pStyle w:val="KMHTitleAppendix"/>
              <w:pBdr>
                <w:bottom w:val="none" w:sz="0" w:space="0" w:color="auto"/>
              </w:pBdr>
              <w:tabs>
                <w:tab w:val="left" w:pos="4021"/>
                <w:tab w:val="right" w:pos="9072"/>
              </w:tabs>
              <w:spacing w:before="120" w:after="0"/>
            </w:pPr>
            <w:bookmarkStart w:id="1" w:name="OLE_LINK5"/>
            <w:bookmarkStart w:id="2" w:name="OLE_LINK6"/>
            <w:r>
              <w:t>Hazardous Waste Data Summary</w:t>
            </w:r>
            <w:r w:rsidR="008C7C61">
              <w:t xml:space="preserve"> (2010-</w:t>
            </w:r>
            <w:r w:rsidR="00134033">
              <w:t>11)</w:t>
            </w:r>
          </w:p>
        </w:tc>
      </w:tr>
    </w:tbl>
    <w:bookmarkEnd w:id="1"/>
    <w:bookmarkEnd w:id="2"/>
    <w:p w:rsidR="00560E8D" w:rsidRPr="00DF2C63" w:rsidRDefault="00140D81" w:rsidP="00195ABA">
      <w:pPr>
        <w:pStyle w:val="KMHsubtitleappendix"/>
      </w:pPr>
      <w:r>
        <w:t>Final</w:t>
      </w:r>
      <w:r w:rsidR="004270DC">
        <w:t xml:space="preserve"> Report</w:t>
      </w:r>
      <w:r w:rsidR="00134033">
        <w:t xml:space="preserve"> (revised 2014)</w:t>
      </w:r>
    </w:p>
    <w:p w:rsidR="00B630B0" w:rsidRPr="00B630B0" w:rsidRDefault="00B630B0" w:rsidP="00101EA2">
      <w:pPr>
        <w:jc w:val="right"/>
        <w:rPr>
          <w:rFonts w:cs="Arial"/>
          <w:b/>
          <w:sz w:val="28"/>
          <w:szCs w:val="28"/>
        </w:rPr>
      </w:pPr>
    </w:p>
    <w:p w:rsidR="00B630B0" w:rsidRPr="00B630B0" w:rsidRDefault="00B630B0" w:rsidP="00101EA2">
      <w:pPr>
        <w:jc w:val="right"/>
        <w:rPr>
          <w:rFonts w:cs="Arial"/>
          <w:b/>
          <w:sz w:val="28"/>
          <w:szCs w:val="28"/>
        </w:rPr>
      </w:pPr>
    </w:p>
    <w:p w:rsidR="005C057B" w:rsidRDefault="00A8721A" w:rsidP="00134033">
      <w:pPr>
        <w:spacing w:after="0" w:line="240" w:lineRule="auto"/>
        <w:jc w:val="right"/>
        <w:rPr>
          <w:b/>
          <w:sz w:val="28"/>
          <w:szCs w:val="28"/>
        </w:rPr>
      </w:pPr>
      <w:r>
        <w:rPr>
          <w:b/>
          <w:noProof/>
          <w:sz w:val="28"/>
          <w:szCs w:val="28"/>
          <w:lang w:eastAsia="en-AU"/>
        </w:rPr>
        <w:drawing>
          <wp:anchor distT="0" distB="0" distL="114300" distR="114300" simplePos="0" relativeHeight="251657728" behindDoc="0" locked="0" layoutInCell="1" allowOverlap="1">
            <wp:simplePos x="0" y="0"/>
            <wp:positionH relativeFrom="column">
              <wp:posOffset>4585335</wp:posOffset>
            </wp:positionH>
            <wp:positionV relativeFrom="paragraph">
              <wp:posOffset>9730740</wp:posOffset>
            </wp:positionV>
            <wp:extent cx="2283460" cy="560705"/>
            <wp:effectExtent l="0" t="0" r="2540" b="0"/>
            <wp:wrapNone/>
            <wp:docPr id="4" name="Picture 2" descr="KMH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HRGB"/>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3460" cy="560705"/>
                    </a:xfrm>
                    <a:prstGeom prst="rect">
                      <a:avLst/>
                    </a:prstGeom>
                    <a:noFill/>
                    <a:ln>
                      <a:noFill/>
                    </a:ln>
                  </pic:spPr>
                </pic:pic>
              </a:graphicData>
            </a:graphic>
          </wp:anchor>
        </w:drawing>
      </w:r>
      <w:r w:rsidR="004270DC">
        <w:rPr>
          <w:b/>
          <w:sz w:val="28"/>
          <w:szCs w:val="28"/>
        </w:rPr>
        <w:t>D</w:t>
      </w:r>
      <w:r w:rsidR="00062FB3">
        <w:rPr>
          <w:b/>
          <w:sz w:val="28"/>
          <w:szCs w:val="28"/>
        </w:rPr>
        <w:t xml:space="preserve">epartment of </w:t>
      </w:r>
      <w:r w:rsidR="00134033">
        <w:rPr>
          <w:b/>
          <w:sz w:val="28"/>
          <w:szCs w:val="28"/>
        </w:rPr>
        <w:t>the Environment</w:t>
      </w:r>
    </w:p>
    <w:p w:rsidR="00B630B0" w:rsidRDefault="00B630B0" w:rsidP="00101EA2">
      <w:pPr>
        <w:jc w:val="right"/>
        <w:rPr>
          <w:b/>
          <w:sz w:val="28"/>
          <w:szCs w:val="28"/>
        </w:rPr>
      </w:pPr>
    </w:p>
    <w:p w:rsidR="00516F17" w:rsidRDefault="00516F17" w:rsidP="00195ABA">
      <w:pPr>
        <w:ind w:left="1985"/>
        <w:jc w:val="right"/>
        <w:rPr>
          <w:b/>
          <w:sz w:val="28"/>
          <w:szCs w:val="28"/>
        </w:rPr>
      </w:pPr>
    </w:p>
    <w:p w:rsidR="00B630B0" w:rsidRDefault="00B630B0" w:rsidP="00101EA2">
      <w:pPr>
        <w:jc w:val="right"/>
        <w:rPr>
          <w:b/>
          <w:sz w:val="28"/>
          <w:szCs w:val="28"/>
        </w:rPr>
      </w:pPr>
    </w:p>
    <w:p w:rsidR="00560E8D" w:rsidRDefault="00134033" w:rsidP="00101EA2">
      <w:pPr>
        <w:jc w:val="right"/>
        <w:rPr>
          <w:b/>
          <w:sz w:val="28"/>
          <w:szCs w:val="28"/>
        </w:rPr>
      </w:pPr>
      <w:r>
        <w:rPr>
          <w:b/>
          <w:sz w:val="28"/>
          <w:szCs w:val="28"/>
        </w:rPr>
        <w:t xml:space="preserve">Revised </w:t>
      </w:r>
      <w:r w:rsidR="00F16FF3">
        <w:rPr>
          <w:b/>
          <w:sz w:val="28"/>
          <w:szCs w:val="28"/>
        </w:rPr>
        <w:t>June</w:t>
      </w:r>
      <w:r>
        <w:rPr>
          <w:b/>
          <w:sz w:val="28"/>
          <w:szCs w:val="28"/>
        </w:rPr>
        <w:t xml:space="preserve"> 2014</w:t>
      </w:r>
    </w:p>
    <w:p w:rsidR="00476719" w:rsidRDefault="00476719" w:rsidP="00101EA2">
      <w:pPr>
        <w:jc w:val="right"/>
        <w:rPr>
          <w:b/>
          <w:sz w:val="28"/>
          <w:szCs w:val="28"/>
        </w:rPr>
      </w:pPr>
    </w:p>
    <w:p w:rsidR="00476719" w:rsidRDefault="00476719" w:rsidP="00101EA2">
      <w:pPr>
        <w:jc w:val="right"/>
        <w:rPr>
          <w:b/>
          <w:sz w:val="28"/>
          <w:szCs w:val="28"/>
        </w:rPr>
      </w:pPr>
    </w:p>
    <w:p w:rsidR="00476719" w:rsidRDefault="005A0AB5" w:rsidP="00101EA2">
      <w:pPr>
        <w:jc w:val="right"/>
      </w:pPr>
      <w:r>
        <w:rPr>
          <w:noProof/>
          <w:lang w:eastAsia="en-AU"/>
        </w:rPr>
        <w:drawing>
          <wp:anchor distT="0" distB="0" distL="114300" distR="114300" simplePos="0" relativeHeight="251665920" behindDoc="0" locked="0" layoutInCell="1" allowOverlap="1">
            <wp:simplePos x="0" y="0"/>
            <wp:positionH relativeFrom="column">
              <wp:posOffset>3942715</wp:posOffset>
            </wp:positionH>
            <wp:positionV relativeFrom="paragraph">
              <wp:posOffset>2060575</wp:posOffset>
            </wp:positionV>
            <wp:extent cx="1748155" cy="391795"/>
            <wp:effectExtent l="0" t="0" r="4445" b="8255"/>
            <wp:wrapSquare wrapText="bothSides"/>
            <wp:docPr id="51" name="Picture 51" descr="C:\Users\Joe\Documents\A) BE projects\P459 Hazwaste reporting\Incoming info\Environ.jpg"/>
            <wp:cNvGraphicFramePr/>
            <a:graphic xmlns:a="http://schemas.openxmlformats.org/drawingml/2006/main">
              <a:graphicData uri="http://schemas.openxmlformats.org/drawingml/2006/picture">
                <pic:pic xmlns:pic="http://schemas.openxmlformats.org/drawingml/2006/picture">
                  <pic:nvPicPr>
                    <pic:cNvPr id="1" name="Picture 1" descr="C:\Users\Joe\Documents\A) BE projects\P459 Hazwaste reporting\Incoming info\Environ.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8155" cy="391795"/>
                    </a:xfrm>
                    <a:prstGeom prst="rect">
                      <a:avLst/>
                    </a:prstGeom>
                    <a:noFill/>
                    <a:ln>
                      <a:noFill/>
                    </a:ln>
                  </pic:spPr>
                </pic:pic>
              </a:graphicData>
            </a:graphic>
          </wp:anchor>
        </w:drawing>
      </w:r>
    </w:p>
    <w:p w:rsidR="00560E8D" w:rsidRDefault="00560E8D" w:rsidP="00101EA2">
      <w:pPr>
        <w:sectPr w:rsidR="00560E8D" w:rsidSect="00B25B5D">
          <w:footerReference w:type="default" r:id="rId14"/>
          <w:pgSz w:w="11907" w:h="16839" w:code="9"/>
          <w:pgMar w:top="1701" w:right="1134" w:bottom="1134" w:left="1701" w:header="567" w:footer="567" w:gutter="0"/>
          <w:pgNumType w:fmt="lowerRoman" w:start="1"/>
          <w:cols w:space="708"/>
          <w:docGrid w:linePitch="360"/>
        </w:sectPr>
      </w:pPr>
    </w:p>
    <w:p w:rsidR="005B207B" w:rsidRPr="00AA5308" w:rsidRDefault="004270DC" w:rsidP="00AA5308">
      <w:pPr>
        <w:spacing w:before="480"/>
        <w:jc w:val="left"/>
        <w:rPr>
          <w:rFonts w:cs="Arial"/>
          <w:b/>
          <w:color w:val="1D5C42"/>
          <w:sz w:val="52"/>
          <w:szCs w:val="40"/>
        </w:rPr>
      </w:pPr>
      <w:r>
        <w:rPr>
          <w:rFonts w:cs="Arial"/>
          <w:b/>
          <w:color w:val="1D5C42"/>
          <w:sz w:val="40"/>
          <w:szCs w:val="40"/>
        </w:rPr>
        <w:lastRenderedPageBreak/>
        <w:t>Hazardous Waste Data Summary</w:t>
      </w:r>
      <w:r w:rsidR="008C7C61">
        <w:rPr>
          <w:rFonts w:cs="Arial"/>
          <w:b/>
          <w:color w:val="1D5C42"/>
          <w:sz w:val="40"/>
          <w:szCs w:val="40"/>
        </w:rPr>
        <w:t xml:space="preserve"> (2010-</w:t>
      </w:r>
      <w:r w:rsidR="00134033">
        <w:rPr>
          <w:rFonts w:cs="Arial"/>
          <w:b/>
          <w:color w:val="1D5C42"/>
          <w:sz w:val="40"/>
          <w:szCs w:val="40"/>
        </w:rPr>
        <w:t>11</w:t>
      </w:r>
      <w:proofErr w:type="gramStart"/>
      <w:r w:rsidR="00134033">
        <w:rPr>
          <w:rFonts w:cs="Arial"/>
          <w:b/>
          <w:color w:val="1D5C42"/>
          <w:sz w:val="40"/>
          <w:szCs w:val="40"/>
        </w:rPr>
        <w:t>)</w:t>
      </w:r>
      <w:proofErr w:type="gramEnd"/>
      <w:r w:rsidR="00AA5308">
        <w:rPr>
          <w:rFonts w:cs="Arial"/>
          <w:b/>
          <w:color w:val="1D5C42"/>
          <w:sz w:val="40"/>
          <w:szCs w:val="40"/>
        </w:rPr>
        <w:br/>
      </w:r>
      <w:r w:rsidR="00140D81">
        <w:rPr>
          <w:color w:val="1D5C42"/>
          <w:sz w:val="28"/>
        </w:rPr>
        <w:t>Final</w:t>
      </w:r>
      <w:r>
        <w:rPr>
          <w:color w:val="1D5C42"/>
          <w:sz w:val="28"/>
        </w:rPr>
        <w:t xml:space="preserve"> Report</w:t>
      </w:r>
      <w:r w:rsidR="00134033">
        <w:rPr>
          <w:color w:val="1D5C42"/>
          <w:sz w:val="28"/>
        </w:rPr>
        <w:t xml:space="preserve"> (revised 2014)</w:t>
      </w:r>
    </w:p>
    <w:p w:rsidR="005B207B" w:rsidRPr="00206479" w:rsidRDefault="005B207B" w:rsidP="00AA5308">
      <w:pPr>
        <w:spacing w:before="480"/>
        <w:jc w:val="left"/>
        <w:rPr>
          <w:rFonts w:cs="Arial"/>
          <w:b/>
          <w:color w:val="000000"/>
          <w:szCs w:val="20"/>
        </w:rPr>
      </w:pPr>
      <w:r w:rsidRPr="00BA0C07">
        <w:t>Prepared for</w:t>
      </w:r>
      <w:r w:rsidR="00FB3BA5">
        <w:t xml:space="preserve">: </w:t>
      </w:r>
      <w:r w:rsidR="00AA5308">
        <w:br/>
      </w:r>
      <w:r w:rsidR="001D3D21">
        <w:rPr>
          <w:rFonts w:cs="Arial"/>
          <w:b/>
          <w:color w:val="000000"/>
          <w:szCs w:val="20"/>
        </w:rPr>
        <w:t xml:space="preserve">Department of </w:t>
      </w:r>
      <w:r w:rsidR="00134033">
        <w:rPr>
          <w:rFonts w:cs="Arial"/>
          <w:b/>
          <w:color w:val="000000"/>
          <w:szCs w:val="20"/>
        </w:rPr>
        <w:t>the Environment</w:t>
      </w:r>
    </w:p>
    <w:p w:rsidR="00466928" w:rsidRPr="005527CF" w:rsidRDefault="009A54F5" w:rsidP="009A54F5">
      <w:pPr>
        <w:spacing w:before="480" w:after="0"/>
        <w:jc w:val="left"/>
      </w:pPr>
      <w:r>
        <w:t>Originally p</w:t>
      </w:r>
      <w:r w:rsidR="00466928" w:rsidRPr="00BA0C07">
        <w:t xml:space="preserve">repared </w:t>
      </w:r>
      <w:r>
        <w:t xml:space="preserve">in 2013 </w:t>
      </w:r>
      <w:r w:rsidR="00466928">
        <w:t>b</w:t>
      </w:r>
      <w:r w:rsidR="00AA131D">
        <w:t xml:space="preserve">y: </w:t>
      </w:r>
      <w:r w:rsidR="00466928">
        <w:br/>
      </w:r>
      <w:bookmarkStart w:id="3" w:name="OLE_LINK7"/>
      <w:bookmarkStart w:id="4" w:name="OLE_LINK8"/>
      <w:r w:rsidR="00466928" w:rsidRPr="0070044D">
        <w:rPr>
          <w:b/>
        </w:rPr>
        <w:t>KMH Environmental</w:t>
      </w:r>
      <w:bookmarkEnd w:id="3"/>
      <w:bookmarkEnd w:id="4"/>
      <w:r w:rsidR="00466928">
        <w:br/>
        <w:t>Level 4</w:t>
      </w:r>
      <w:r w:rsidR="00466928">
        <w:br/>
        <w:t>180 Albert Road</w:t>
      </w:r>
      <w:r w:rsidR="00466928">
        <w:br/>
        <w:t>South Melbourne VIC 3205</w:t>
      </w:r>
    </w:p>
    <w:p w:rsidR="00466928" w:rsidRDefault="00466928" w:rsidP="009A54F5">
      <w:pPr>
        <w:jc w:val="left"/>
      </w:pPr>
      <w:r w:rsidRPr="005527CF">
        <w:t xml:space="preserve">Phone: </w:t>
      </w:r>
      <w:r>
        <w:tab/>
      </w:r>
      <w:r w:rsidRPr="005527CF">
        <w:t>(0</w:t>
      </w:r>
      <w:r>
        <w:t>3) 8640 6200</w:t>
      </w:r>
      <w:r>
        <w:br/>
      </w:r>
      <w:r w:rsidRPr="005527CF">
        <w:t xml:space="preserve">Fax: </w:t>
      </w:r>
      <w:r w:rsidRPr="005527CF">
        <w:tab/>
        <w:t xml:space="preserve">(02) </w:t>
      </w:r>
      <w:r>
        <w:t>8008 1600</w:t>
      </w:r>
    </w:p>
    <w:p w:rsidR="009A54F5" w:rsidRDefault="009A54F5" w:rsidP="009A54F5">
      <w:pPr>
        <w:jc w:val="left"/>
      </w:pPr>
    </w:p>
    <w:p w:rsidR="009A54F5" w:rsidRDefault="009A54F5" w:rsidP="009A54F5">
      <w:pPr>
        <w:spacing w:after="0"/>
        <w:jc w:val="left"/>
      </w:pPr>
      <w:r>
        <w:t>Revised in 2014 by:</w:t>
      </w:r>
    </w:p>
    <w:p w:rsidR="009A54F5" w:rsidRPr="009A54F5" w:rsidRDefault="009A54F5" w:rsidP="009A54F5">
      <w:pPr>
        <w:spacing w:after="0"/>
        <w:jc w:val="left"/>
        <w:rPr>
          <w:b/>
        </w:rPr>
      </w:pPr>
      <w:bookmarkStart w:id="5" w:name="OLE_LINK9"/>
      <w:bookmarkStart w:id="6" w:name="OLE_LINK10"/>
      <w:r w:rsidRPr="009A54F5">
        <w:rPr>
          <w:b/>
        </w:rPr>
        <w:t>ENVIRON Australia</w:t>
      </w:r>
    </w:p>
    <w:bookmarkEnd w:id="5"/>
    <w:bookmarkEnd w:id="6"/>
    <w:p w:rsidR="009A54F5" w:rsidRDefault="009A54F5" w:rsidP="009A54F5">
      <w:pPr>
        <w:spacing w:after="0"/>
        <w:jc w:val="left"/>
      </w:pPr>
      <w:r>
        <w:t>Level 3, 224 Queen Street</w:t>
      </w:r>
    </w:p>
    <w:p w:rsidR="009A54F5" w:rsidRDefault="009A54F5" w:rsidP="009A54F5">
      <w:pPr>
        <w:spacing w:after="0"/>
        <w:jc w:val="left"/>
      </w:pPr>
      <w:r>
        <w:t>Melbourne VIC 3000</w:t>
      </w:r>
    </w:p>
    <w:p w:rsidR="009A54F5" w:rsidRDefault="009A54F5" w:rsidP="009A54F5">
      <w:pPr>
        <w:jc w:val="left"/>
      </w:pPr>
      <w:r w:rsidRPr="005527CF">
        <w:t xml:space="preserve">Phone: </w:t>
      </w:r>
      <w:r>
        <w:tab/>
      </w:r>
      <w:r w:rsidRPr="005527CF">
        <w:t>(0</w:t>
      </w:r>
      <w:r>
        <w:t>3) 9606 1508</w:t>
      </w:r>
      <w:r>
        <w:br/>
      </w:r>
      <w:r w:rsidRPr="005527CF">
        <w:t xml:space="preserve">Fax: </w:t>
      </w:r>
      <w:r w:rsidRPr="005527CF">
        <w:tab/>
        <w:t xml:space="preserve">(02) </w:t>
      </w:r>
      <w:r>
        <w:t>9600 2493</w:t>
      </w:r>
    </w:p>
    <w:p w:rsidR="00700D68" w:rsidRPr="00D1697C" w:rsidRDefault="00700D68" w:rsidP="009A54F5">
      <w:pPr>
        <w:pStyle w:val="TableHeading"/>
        <w:tabs>
          <w:tab w:val="left" w:pos="5175"/>
        </w:tabs>
        <w:spacing w:before="840" w:line="276" w:lineRule="auto"/>
        <w:rPr>
          <w:color w:val="auto"/>
        </w:rPr>
      </w:pPr>
      <w:r w:rsidRPr="00D1697C">
        <w:rPr>
          <w:color w:val="auto"/>
        </w:rPr>
        <w:t>Document Control Log</w:t>
      </w:r>
    </w:p>
    <w:tbl>
      <w:tblPr>
        <w:tblW w:w="0" w:type="auto"/>
        <w:jc w:val="center"/>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tblPr>
      <w:tblGrid>
        <w:gridCol w:w="1355"/>
        <w:gridCol w:w="2722"/>
        <w:gridCol w:w="1134"/>
        <w:gridCol w:w="1418"/>
        <w:gridCol w:w="1276"/>
        <w:gridCol w:w="1383"/>
      </w:tblGrid>
      <w:tr w:rsidR="00726E7E" w:rsidRPr="00726E7E" w:rsidTr="00726E7E">
        <w:trPr>
          <w:cantSplit/>
          <w:trHeight w:val="340"/>
          <w:jc w:val="center"/>
        </w:trPr>
        <w:tc>
          <w:tcPr>
            <w:tcW w:w="1355" w:type="dxa"/>
            <w:tcBorders>
              <w:top w:val="single" w:sz="4" w:space="0" w:color="BFBFBF"/>
              <w:bottom w:val="single" w:sz="6" w:space="0" w:color="BFBFBF"/>
            </w:tcBorders>
            <w:shd w:val="solid" w:color="1D5C42" w:fill="1D5C42"/>
            <w:vAlign w:val="center"/>
          </w:tcPr>
          <w:p w:rsidR="00363455" w:rsidRPr="00726E7E" w:rsidRDefault="00726E7E" w:rsidP="009A54F5">
            <w:pPr>
              <w:jc w:val="center"/>
              <w:rPr>
                <w:b/>
                <w:color w:val="FFFFFF" w:themeColor="background1"/>
                <w:sz w:val="16"/>
                <w:szCs w:val="16"/>
              </w:rPr>
            </w:pPr>
            <w:r w:rsidRPr="00726E7E">
              <w:rPr>
                <w:b/>
                <w:color w:val="FFFFFF" w:themeColor="background1"/>
                <w:sz w:val="16"/>
                <w:szCs w:val="16"/>
              </w:rPr>
              <w:t>Revision No.</w:t>
            </w:r>
          </w:p>
        </w:tc>
        <w:tc>
          <w:tcPr>
            <w:tcW w:w="2722" w:type="dxa"/>
            <w:tcBorders>
              <w:top w:val="single" w:sz="4" w:space="0" w:color="BFBFBF"/>
              <w:bottom w:val="single" w:sz="6" w:space="0" w:color="BFBFBF"/>
            </w:tcBorders>
            <w:shd w:val="solid" w:color="1D5C42" w:fill="1D5C42"/>
            <w:vAlign w:val="center"/>
          </w:tcPr>
          <w:p w:rsidR="00363455" w:rsidRPr="00726E7E" w:rsidRDefault="00726E7E" w:rsidP="009A54F5">
            <w:pPr>
              <w:jc w:val="center"/>
              <w:rPr>
                <w:b/>
                <w:color w:val="FFFFFF" w:themeColor="background1"/>
                <w:sz w:val="16"/>
                <w:szCs w:val="16"/>
              </w:rPr>
            </w:pPr>
            <w:r w:rsidRPr="00726E7E">
              <w:rPr>
                <w:b/>
                <w:color w:val="FFFFFF" w:themeColor="background1"/>
                <w:sz w:val="16"/>
                <w:szCs w:val="16"/>
              </w:rPr>
              <w:t>Amendment</w:t>
            </w:r>
          </w:p>
        </w:tc>
        <w:tc>
          <w:tcPr>
            <w:tcW w:w="1134" w:type="dxa"/>
            <w:tcBorders>
              <w:top w:val="single" w:sz="4" w:space="0" w:color="BFBFBF"/>
              <w:bottom w:val="single" w:sz="6" w:space="0" w:color="BFBFBF"/>
            </w:tcBorders>
            <w:shd w:val="solid" w:color="1D5C42" w:fill="1D5C42"/>
            <w:vAlign w:val="center"/>
          </w:tcPr>
          <w:p w:rsidR="00363455" w:rsidRPr="00726E7E" w:rsidRDefault="00726E7E" w:rsidP="009A54F5">
            <w:pPr>
              <w:jc w:val="center"/>
              <w:rPr>
                <w:b/>
                <w:color w:val="FFFFFF" w:themeColor="background1"/>
                <w:sz w:val="16"/>
                <w:szCs w:val="16"/>
              </w:rPr>
            </w:pPr>
            <w:r w:rsidRPr="00726E7E">
              <w:rPr>
                <w:b/>
                <w:color w:val="FFFFFF" w:themeColor="background1"/>
                <w:sz w:val="16"/>
                <w:szCs w:val="16"/>
              </w:rPr>
              <w:t>Date</w:t>
            </w:r>
          </w:p>
        </w:tc>
        <w:tc>
          <w:tcPr>
            <w:tcW w:w="1418" w:type="dxa"/>
            <w:tcBorders>
              <w:top w:val="single" w:sz="4" w:space="0" w:color="BFBFBF"/>
              <w:bottom w:val="single" w:sz="6" w:space="0" w:color="BFBFBF"/>
            </w:tcBorders>
            <w:shd w:val="solid" w:color="1D5C42" w:fill="1D5C42"/>
            <w:vAlign w:val="center"/>
          </w:tcPr>
          <w:p w:rsidR="00363455" w:rsidRPr="00726E7E" w:rsidRDefault="00726E7E" w:rsidP="009A54F5">
            <w:pPr>
              <w:jc w:val="center"/>
              <w:rPr>
                <w:b/>
                <w:color w:val="FFFFFF" w:themeColor="background1"/>
                <w:sz w:val="16"/>
                <w:szCs w:val="16"/>
              </w:rPr>
            </w:pPr>
            <w:r w:rsidRPr="00726E7E">
              <w:rPr>
                <w:b/>
                <w:color w:val="FFFFFF" w:themeColor="background1"/>
                <w:sz w:val="16"/>
                <w:szCs w:val="16"/>
              </w:rPr>
              <w:t>Prepared By</w:t>
            </w:r>
          </w:p>
        </w:tc>
        <w:tc>
          <w:tcPr>
            <w:tcW w:w="1276" w:type="dxa"/>
            <w:tcBorders>
              <w:top w:val="single" w:sz="4" w:space="0" w:color="BFBFBF"/>
              <w:bottom w:val="single" w:sz="6" w:space="0" w:color="BFBFBF"/>
            </w:tcBorders>
            <w:shd w:val="solid" w:color="1D5C42" w:fill="1D5C42"/>
            <w:vAlign w:val="center"/>
          </w:tcPr>
          <w:p w:rsidR="00363455" w:rsidRPr="00726E7E" w:rsidRDefault="00726E7E" w:rsidP="009A54F5">
            <w:pPr>
              <w:jc w:val="center"/>
              <w:rPr>
                <w:b/>
                <w:color w:val="FFFFFF" w:themeColor="background1"/>
                <w:sz w:val="16"/>
                <w:szCs w:val="16"/>
              </w:rPr>
            </w:pPr>
            <w:r w:rsidRPr="00726E7E">
              <w:rPr>
                <w:b/>
                <w:color w:val="FFFFFF" w:themeColor="background1"/>
                <w:sz w:val="16"/>
                <w:szCs w:val="16"/>
              </w:rPr>
              <w:t>Checked By</w:t>
            </w:r>
          </w:p>
        </w:tc>
        <w:tc>
          <w:tcPr>
            <w:tcW w:w="1383" w:type="dxa"/>
            <w:tcBorders>
              <w:top w:val="single" w:sz="4" w:space="0" w:color="BFBFBF"/>
              <w:bottom w:val="single" w:sz="6" w:space="0" w:color="BFBFBF"/>
            </w:tcBorders>
            <w:shd w:val="solid" w:color="1D5C42" w:fill="1D5C42"/>
            <w:vAlign w:val="center"/>
          </w:tcPr>
          <w:p w:rsidR="00363455" w:rsidRPr="00726E7E" w:rsidRDefault="00726E7E" w:rsidP="009A54F5">
            <w:pPr>
              <w:jc w:val="center"/>
              <w:rPr>
                <w:b/>
                <w:color w:val="FFFFFF" w:themeColor="background1"/>
                <w:sz w:val="16"/>
                <w:szCs w:val="16"/>
              </w:rPr>
            </w:pPr>
            <w:r w:rsidRPr="00726E7E">
              <w:rPr>
                <w:b/>
                <w:color w:val="FFFFFF" w:themeColor="background1"/>
                <w:sz w:val="16"/>
                <w:szCs w:val="16"/>
              </w:rPr>
              <w:t>Approved By</w:t>
            </w:r>
          </w:p>
        </w:tc>
      </w:tr>
      <w:tr w:rsidR="00363455" w:rsidRPr="00726E7E" w:rsidTr="00726E7E">
        <w:trPr>
          <w:cantSplit/>
          <w:trHeight w:val="340"/>
          <w:jc w:val="center"/>
        </w:trPr>
        <w:tc>
          <w:tcPr>
            <w:tcW w:w="1355" w:type="dxa"/>
            <w:tcBorders>
              <w:top w:val="single" w:sz="6" w:space="0" w:color="BFBFBF"/>
            </w:tcBorders>
            <w:vAlign w:val="center"/>
          </w:tcPr>
          <w:p w:rsidR="00363455" w:rsidRPr="00726E7E" w:rsidRDefault="00FB3BA5" w:rsidP="009A54F5">
            <w:pPr>
              <w:jc w:val="center"/>
              <w:rPr>
                <w:sz w:val="16"/>
                <w:szCs w:val="16"/>
              </w:rPr>
            </w:pPr>
            <w:r>
              <w:rPr>
                <w:sz w:val="16"/>
                <w:szCs w:val="16"/>
              </w:rPr>
              <w:t>0</w:t>
            </w:r>
          </w:p>
        </w:tc>
        <w:tc>
          <w:tcPr>
            <w:tcW w:w="2722" w:type="dxa"/>
            <w:tcBorders>
              <w:top w:val="single" w:sz="6" w:space="0" w:color="BFBFBF"/>
            </w:tcBorders>
            <w:vAlign w:val="center"/>
          </w:tcPr>
          <w:p w:rsidR="00363455" w:rsidRPr="00726E7E" w:rsidRDefault="00FB3BA5" w:rsidP="009A54F5">
            <w:pPr>
              <w:jc w:val="center"/>
              <w:rPr>
                <w:sz w:val="16"/>
                <w:szCs w:val="16"/>
              </w:rPr>
            </w:pPr>
            <w:r>
              <w:rPr>
                <w:sz w:val="16"/>
                <w:szCs w:val="16"/>
              </w:rPr>
              <w:t>Draft Report</w:t>
            </w:r>
          </w:p>
        </w:tc>
        <w:tc>
          <w:tcPr>
            <w:tcW w:w="1134" w:type="dxa"/>
            <w:tcBorders>
              <w:top w:val="single" w:sz="6" w:space="0" w:color="BFBFBF"/>
            </w:tcBorders>
            <w:vAlign w:val="center"/>
          </w:tcPr>
          <w:p w:rsidR="00363455" w:rsidRPr="00726E7E" w:rsidRDefault="00FB3BA5" w:rsidP="009A54F5">
            <w:pPr>
              <w:jc w:val="center"/>
              <w:rPr>
                <w:sz w:val="16"/>
                <w:szCs w:val="16"/>
              </w:rPr>
            </w:pPr>
            <w:r>
              <w:rPr>
                <w:sz w:val="16"/>
                <w:szCs w:val="16"/>
              </w:rPr>
              <w:t>08.02.2013</w:t>
            </w:r>
          </w:p>
        </w:tc>
        <w:tc>
          <w:tcPr>
            <w:tcW w:w="1418" w:type="dxa"/>
            <w:tcBorders>
              <w:top w:val="single" w:sz="6" w:space="0" w:color="BFBFBF"/>
            </w:tcBorders>
            <w:vAlign w:val="center"/>
          </w:tcPr>
          <w:p w:rsidR="00363455" w:rsidRPr="00726E7E" w:rsidRDefault="00FB3BA5" w:rsidP="009A54F5">
            <w:pPr>
              <w:jc w:val="center"/>
              <w:rPr>
                <w:sz w:val="16"/>
                <w:szCs w:val="16"/>
              </w:rPr>
            </w:pPr>
            <w:r>
              <w:rPr>
                <w:sz w:val="16"/>
                <w:szCs w:val="16"/>
              </w:rPr>
              <w:t>T Bloomfield/ G Latimer</w:t>
            </w:r>
          </w:p>
        </w:tc>
        <w:tc>
          <w:tcPr>
            <w:tcW w:w="1276" w:type="dxa"/>
            <w:tcBorders>
              <w:top w:val="single" w:sz="6" w:space="0" w:color="BFBFBF"/>
            </w:tcBorders>
            <w:vAlign w:val="center"/>
          </w:tcPr>
          <w:p w:rsidR="00363455" w:rsidRPr="00726E7E" w:rsidRDefault="00FB3BA5" w:rsidP="009A54F5">
            <w:pPr>
              <w:jc w:val="center"/>
              <w:rPr>
                <w:sz w:val="16"/>
                <w:szCs w:val="16"/>
              </w:rPr>
            </w:pPr>
            <w:r>
              <w:rPr>
                <w:sz w:val="16"/>
                <w:szCs w:val="16"/>
              </w:rPr>
              <w:t>G Latimer</w:t>
            </w:r>
          </w:p>
        </w:tc>
        <w:tc>
          <w:tcPr>
            <w:tcW w:w="1383" w:type="dxa"/>
            <w:tcBorders>
              <w:top w:val="single" w:sz="6" w:space="0" w:color="BFBFBF"/>
            </w:tcBorders>
            <w:vAlign w:val="center"/>
          </w:tcPr>
          <w:p w:rsidR="00363455" w:rsidRPr="00726E7E" w:rsidRDefault="00FB3BA5" w:rsidP="009A54F5">
            <w:pPr>
              <w:jc w:val="center"/>
              <w:rPr>
                <w:sz w:val="16"/>
                <w:szCs w:val="16"/>
              </w:rPr>
            </w:pPr>
            <w:r>
              <w:rPr>
                <w:sz w:val="16"/>
                <w:szCs w:val="16"/>
              </w:rPr>
              <w:t>G Latimer</w:t>
            </w:r>
          </w:p>
        </w:tc>
      </w:tr>
      <w:tr w:rsidR="007173FC" w:rsidRPr="00726E7E" w:rsidTr="00363455">
        <w:trPr>
          <w:cantSplit/>
          <w:trHeight w:val="340"/>
          <w:jc w:val="center"/>
        </w:trPr>
        <w:tc>
          <w:tcPr>
            <w:tcW w:w="1355" w:type="dxa"/>
            <w:vAlign w:val="center"/>
          </w:tcPr>
          <w:p w:rsidR="007173FC" w:rsidRPr="00726E7E" w:rsidRDefault="000B7A8E" w:rsidP="009A54F5">
            <w:pPr>
              <w:jc w:val="center"/>
              <w:rPr>
                <w:sz w:val="16"/>
                <w:szCs w:val="16"/>
              </w:rPr>
            </w:pPr>
            <w:r>
              <w:rPr>
                <w:sz w:val="16"/>
                <w:szCs w:val="16"/>
              </w:rPr>
              <w:t>0</w:t>
            </w:r>
          </w:p>
        </w:tc>
        <w:tc>
          <w:tcPr>
            <w:tcW w:w="2722" w:type="dxa"/>
            <w:vAlign w:val="center"/>
          </w:tcPr>
          <w:p w:rsidR="007173FC" w:rsidRPr="00726E7E" w:rsidRDefault="007173FC" w:rsidP="009A54F5">
            <w:pPr>
              <w:jc w:val="center"/>
              <w:rPr>
                <w:sz w:val="16"/>
                <w:szCs w:val="16"/>
              </w:rPr>
            </w:pPr>
            <w:r>
              <w:rPr>
                <w:sz w:val="16"/>
                <w:szCs w:val="16"/>
              </w:rPr>
              <w:t>Final Report</w:t>
            </w:r>
          </w:p>
        </w:tc>
        <w:tc>
          <w:tcPr>
            <w:tcW w:w="1134" w:type="dxa"/>
            <w:vAlign w:val="center"/>
          </w:tcPr>
          <w:p w:rsidR="007173FC" w:rsidRPr="00726E7E" w:rsidRDefault="007173FC" w:rsidP="009A54F5">
            <w:pPr>
              <w:jc w:val="center"/>
              <w:rPr>
                <w:sz w:val="16"/>
                <w:szCs w:val="16"/>
              </w:rPr>
            </w:pPr>
            <w:r>
              <w:rPr>
                <w:sz w:val="16"/>
                <w:szCs w:val="16"/>
              </w:rPr>
              <w:t>26.02.2013</w:t>
            </w:r>
          </w:p>
        </w:tc>
        <w:tc>
          <w:tcPr>
            <w:tcW w:w="1418" w:type="dxa"/>
            <w:vAlign w:val="center"/>
          </w:tcPr>
          <w:p w:rsidR="007173FC" w:rsidRPr="00726E7E" w:rsidRDefault="007173FC" w:rsidP="009A54F5">
            <w:pPr>
              <w:jc w:val="center"/>
              <w:rPr>
                <w:sz w:val="16"/>
                <w:szCs w:val="16"/>
              </w:rPr>
            </w:pPr>
            <w:r>
              <w:rPr>
                <w:sz w:val="16"/>
                <w:szCs w:val="16"/>
              </w:rPr>
              <w:t>G Latimer</w:t>
            </w:r>
          </w:p>
        </w:tc>
        <w:tc>
          <w:tcPr>
            <w:tcW w:w="1276" w:type="dxa"/>
            <w:vAlign w:val="center"/>
          </w:tcPr>
          <w:p w:rsidR="007173FC" w:rsidRPr="00726E7E" w:rsidRDefault="007173FC" w:rsidP="009A54F5">
            <w:pPr>
              <w:jc w:val="center"/>
              <w:rPr>
                <w:sz w:val="16"/>
                <w:szCs w:val="16"/>
              </w:rPr>
            </w:pPr>
            <w:r>
              <w:rPr>
                <w:sz w:val="16"/>
                <w:szCs w:val="16"/>
              </w:rPr>
              <w:t>D Garner</w:t>
            </w:r>
          </w:p>
        </w:tc>
        <w:tc>
          <w:tcPr>
            <w:tcW w:w="1383" w:type="dxa"/>
            <w:vAlign w:val="center"/>
          </w:tcPr>
          <w:p w:rsidR="007173FC" w:rsidRPr="00726E7E" w:rsidRDefault="007173FC" w:rsidP="009A54F5">
            <w:pPr>
              <w:jc w:val="center"/>
              <w:rPr>
                <w:sz w:val="16"/>
                <w:szCs w:val="16"/>
              </w:rPr>
            </w:pPr>
            <w:r>
              <w:rPr>
                <w:sz w:val="16"/>
                <w:szCs w:val="16"/>
              </w:rPr>
              <w:t>G Latimer</w:t>
            </w:r>
          </w:p>
        </w:tc>
      </w:tr>
      <w:tr w:rsidR="00984564" w:rsidRPr="00726E7E" w:rsidTr="00363455">
        <w:trPr>
          <w:cantSplit/>
          <w:trHeight w:val="340"/>
          <w:jc w:val="center"/>
        </w:trPr>
        <w:tc>
          <w:tcPr>
            <w:tcW w:w="1355" w:type="dxa"/>
            <w:vAlign w:val="center"/>
          </w:tcPr>
          <w:p w:rsidR="00984564" w:rsidRPr="00726E7E" w:rsidRDefault="00984564" w:rsidP="009A54F5">
            <w:pPr>
              <w:jc w:val="center"/>
              <w:rPr>
                <w:sz w:val="16"/>
                <w:szCs w:val="16"/>
              </w:rPr>
            </w:pPr>
            <w:r>
              <w:rPr>
                <w:sz w:val="16"/>
                <w:szCs w:val="16"/>
              </w:rPr>
              <w:t>1</w:t>
            </w:r>
          </w:p>
        </w:tc>
        <w:tc>
          <w:tcPr>
            <w:tcW w:w="2722" w:type="dxa"/>
            <w:vAlign w:val="center"/>
          </w:tcPr>
          <w:p w:rsidR="00984564" w:rsidRPr="00726E7E" w:rsidRDefault="00984564" w:rsidP="009A54F5">
            <w:pPr>
              <w:jc w:val="center"/>
              <w:rPr>
                <w:sz w:val="16"/>
                <w:szCs w:val="16"/>
              </w:rPr>
            </w:pPr>
            <w:r>
              <w:rPr>
                <w:sz w:val="16"/>
                <w:szCs w:val="16"/>
              </w:rPr>
              <w:t>Final Report</w:t>
            </w:r>
          </w:p>
        </w:tc>
        <w:tc>
          <w:tcPr>
            <w:tcW w:w="1134" w:type="dxa"/>
            <w:vAlign w:val="center"/>
          </w:tcPr>
          <w:p w:rsidR="00984564" w:rsidRPr="00726E7E" w:rsidRDefault="00984564" w:rsidP="009A54F5">
            <w:pPr>
              <w:jc w:val="center"/>
              <w:rPr>
                <w:sz w:val="16"/>
                <w:szCs w:val="16"/>
              </w:rPr>
            </w:pPr>
            <w:r>
              <w:rPr>
                <w:sz w:val="16"/>
                <w:szCs w:val="16"/>
              </w:rPr>
              <w:t>26.02.2013</w:t>
            </w:r>
          </w:p>
        </w:tc>
        <w:tc>
          <w:tcPr>
            <w:tcW w:w="1418" w:type="dxa"/>
            <w:vAlign w:val="center"/>
          </w:tcPr>
          <w:p w:rsidR="00984564" w:rsidRPr="00726E7E" w:rsidRDefault="00984564" w:rsidP="009A54F5">
            <w:pPr>
              <w:jc w:val="center"/>
              <w:rPr>
                <w:sz w:val="16"/>
                <w:szCs w:val="16"/>
              </w:rPr>
            </w:pPr>
            <w:r>
              <w:rPr>
                <w:sz w:val="16"/>
                <w:szCs w:val="16"/>
              </w:rPr>
              <w:t>G Latimer</w:t>
            </w:r>
          </w:p>
        </w:tc>
        <w:tc>
          <w:tcPr>
            <w:tcW w:w="1276" w:type="dxa"/>
            <w:vAlign w:val="center"/>
          </w:tcPr>
          <w:p w:rsidR="00984564" w:rsidRPr="00726E7E" w:rsidRDefault="00984564" w:rsidP="009A54F5">
            <w:pPr>
              <w:jc w:val="center"/>
              <w:rPr>
                <w:sz w:val="16"/>
                <w:szCs w:val="16"/>
              </w:rPr>
            </w:pPr>
            <w:r>
              <w:rPr>
                <w:sz w:val="16"/>
                <w:szCs w:val="16"/>
              </w:rPr>
              <w:t>D Garner</w:t>
            </w:r>
          </w:p>
        </w:tc>
        <w:tc>
          <w:tcPr>
            <w:tcW w:w="1383" w:type="dxa"/>
            <w:vAlign w:val="center"/>
          </w:tcPr>
          <w:p w:rsidR="00984564" w:rsidRPr="00726E7E" w:rsidRDefault="00984564" w:rsidP="009A54F5">
            <w:pPr>
              <w:jc w:val="center"/>
              <w:rPr>
                <w:sz w:val="16"/>
                <w:szCs w:val="16"/>
              </w:rPr>
            </w:pPr>
            <w:r>
              <w:rPr>
                <w:sz w:val="16"/>
                <w:szCs w:val="16"/>
              </w:rPr>
              <w:t>G Latimer</w:t>
            </w:r>
          </w:p>
        </w:tc>
      </w:tr>
      <w:tr w:rsidR="00BF44E0" w:rsidRPr="00726E7E" w:rsidTr="00363455">
        <w:trPr>
          <w:cantSplit/>
          <w:trHeight w:val="340"/>
          <w:jc w:val="center"/>
        </w:trPr>
        <w:tc>
          <w:tcPr>
            <w:tcW w:w="1355" w:type="dxa"/>
            <w:vAlign w:val="center"/>
          </w:tcPr>
          <w:p w:rsidR="00BF44E0" w:rsidRPr="00726E7E" w:rsidRDefault="00BF44E0" w:rsidP="009A54F5">
            <w:pPr>
              <w:jc w:val="center"/>
              <w:rPr>
                <w:sz w:val="16"/>
                <w:szCs w:val="16"/>
              </w:rPr>
            </w:pPr>
            <w:r>
              <w:rPr>
                <w:sz w:val="16"/>
                <w:szCs w:val="16"/>
              </w:rPr>
              <w:t>2</w:t>
            </w:r>
            <w:r w:rsidR="008A0442">
              <w:rPr>
                <w:sz w:val="16"/>
                <w:szCs w:val="16"/>
              </w:rPr>
              <w:t>_0</w:t>
            </w:r>
          </w:p>
        </w:tc>
        <w:tc>
          <w:tcPr>
            <w:tcW w:w="2722" w:type="dxa"/>
            <w:vAlign w:val="center"/>
          </w:tcPr>
          <w:p w:rsidR="00BF44E0" w:rsidRPr="00726E7E" w:rsidRDefault="00BF44E0" w:rsidP="009A54F5">
            <w:pPr>
              <w:jc w:val="center"/>
              <w:rPr>
                <w:sz w:val="16"/>
                <w:szCs w:val="16"/>
              </w:rPr>
            </w:pPr>
            <w:r>
              <w:rPr>
                <w:sz w:val="16"/>
                <w:szCs w:val="16"/>
              </w:rPr>
              <w:t>Final Report</w:t>
            </w:r>
          </w:p>
        </w:tc>
        <w:tc>
          <w:tcPr>
            <w:tcW w:w="1134" w:type="dxa"/>
            <w:vAlign w:val="center"/>
          </w:tcPr>
          <w:p w:rsidR="00BF44E0" w:rsidRPr="00726E7E" w:rsidRDefault="00BF44E0" w:rsidP="009A54F5">
            <w:pPr>
              <w:jc w:val="center"/>
              <w:rPr>
                <w:sz w:val="16"/>
                <w:szCs w:val="16"/>
              </w:rPr>
            </w:pPr>
            <w:r>
              <w:rPr>
                <w:sz w:val="16"/>
                <w:szCs w:val="16"/>
              </w:rPr>
              <w:t>0</w:t>
            </w:r>
            <w:r w:rsidR="00F51E6D">
              <w:rPr>
                <w:sz w:val="16"/>
                <w:szCs w:val="16"/>
              </w:rPr>
              <w:t>7</w:t>
            </w:r>
            <w:r>
              <w:rPr>
                <w:sz w:val="16"/>
                <w:szCs w:val="16"/>
              </w:rPr>
              <w:t>.03.2013</w:t>
            </w:r>
          </w:p>
        </w:tc>
        <w:tc>
          <w:tcPr>
            <w:tcW w:w="1418" w:type="dxa"/>
            <w:vAlign w:val="center"/>
          </w:tcPr>
          <w:p w:rsidR="00BF44E0" w:rsidRPr="00726E7E" w:rsidRDefault="00BF44E0" w:rsidP="009A54F5">
            <w:pPr>
              <w:jc w:val="center"/>
              <w:rPr>
                <w:sz w:val="16"/>
                <w:szCs w:val="16"/>
              </w:rPr>
            </w:pPr>
            <w:r>
              <w:rPr>
                <w:sz w:val="16"/>
                <w:szCs w:val="16"/>
              </w:rPr>
              <w:t>G Latimer</w:t>
            </w:r>
          </w:p>
        </w:tc>
        <w:tc>
          <w:tcPr>
            <w:tcW w:w="1276" w:type="dxa"/>
            <w:vAlign w:val="center"/>
          </w:tcPr>
          <w:p w:rsidR="00BF44E0" w:rsidRPr="00726E7E" w:rsidRDefault="00BF44E0" w:rsidP="009A54F5">
            <w:pPr>
              <w:jc w:val="center"/>
              <w:rPr>
                <w:sz w:val="16"/>
                <w:szCs w:val="16"/>
              </w:rPr>
            </w:pPr>
            <w:r>
              <w:rPr>
                <w:sz w:val="16"/>
                <w:szCs w:val="16"/>
              </w:rPr>
              <w:t>D Garner</w:t>
            </w:r>
          </w:p>
        </w:tc>
        <w:tc>
          <w:tcPr>
            <w:tcW w:w="1383" w:type="dxa"/>
            <w:vAlign w:val="center"/>
          </w:tcPr>
          <w:p w:rsidR="00BF44E0" w:rsidRPr="00726E7E" w:rsidRDefault="00BF44E0" w:rsidP="009A54F5">
            <w:pPr>
              <w:jc w:val="center"/>
              <w:rPr>
                <w:sz w:val="16"/>
                <w:szCs w:val="16"/>
              </w:rPr>
            </w:pPr>
            <w:r>
              <w:rPr>
                <w:sz w:val="16"/>
                <w:szCs w:val="16"/>
              </w:rPr>
              <w:t>G Latimer</w:t>
            </w:r>
          </w:p>
        </w:tc>
      </w:tr>
      <w:tr w:rsidR="00E350AA" w:rsidRPr="00726E7E" w:rsidTr="00DF7B21">
        <w:trPr>
          <w:cantSplit/>
          <w:trHeight w:val="340"/>
          <w:jc w:val="center"/>
        </w:trPr>
        <w:tc>
          <w:tcPr>
            <w:tcW w:w="1355" w:type="dxa"/>
            <w:vAlign w:val="center"/>
          </w:tcPr>
          <w:p w:rsidR="00E350AA" w:rsidRPr="00726E7E" w:rsidRDefault="00E350AA" w:rsidP="009A54F5">
            <w:pPr>
              <w:jc w:val="center"/>
              <w:rPr>
                <w:sz w:val="16"/>
                <w:szCs w:val="16"/>
              </w:rPr>
            </w:pPr>
            <w:r>
              <w:rPr>
                <w:sz w:val="16"/>
                <w:szCs w:val="16"/>
              </w:rPr>
              <w:t>2_1</w:t>
            </w:r>
          </w:p>
        </w:tc>
        <w:tc>
          <w:tcPr>
            <w:tcW w:w="2722" w:type="dxa"/>
            <w:vAlign w:val="center"/>
          </w:tcPr>
          <w:p w:rsidR="00E350AA" w:rsidRPr="00726E7E" w:rsidRDefault="00E350AA" w:rsidP="009A54F5">
            <w:pPr>
              <w:jc w:val="center"/>
              <w:rPr>
                <w:sz w:val="16"/>
                <w:szCs w:val="16"/>
              </w:rPr>
            </w:pPr>
            <w:r>
              <w:rPr>
                <w:sz w:val="16"/>
                <w:szCs w:val="16"/>
              </w:rPr>
              <w:t>Revised Final Report</w:t>
            </w:r>
          </w:p>
        </w:tc>
        <w:tc>
          <w:tcPr>
            <w:tcW w:w="1134" w:type="dxa"/>
            <w:vAlign w:val="center"/>
          </w:tcPr>
          <w:p w:rsidR="00E350AA" w:rsidRPr="00726E7E" w:rsidRDefault="00E350AA" w:rsidP="009A54F5">
            <w:pPr>
              <w:jc w:val="center"/>
              <w:rPr>
                <w:sz w:val="16"/>
                <w:szCs w:val="16"/>
              </w:rPr>
            </w:pPr>
            <w:r>
              <w:rPr>
                <w:sz w:val="16"/>
                <w:szCs w:val="16"/>
              </w:rPr>
              <w:t>14.03.2013</w:t>
            </w:r>
          </w:p>
        </w:tc>
        <w:tc>
          <w:tcPr>
            <w:tcW w:w="1418" w:type="dxa"/>
            <w:vAlign w:val="center"/>
          </w:tcPr>
          <w:p w:rsidR="00E350AA" w:rsidRPr="00726E7E" w:rsidRDefault="00E350AA" w:rsidP="009A54F5">
            <w:pPr>
              <w:jc w:val="center"/>
              <w:rPr>
                <w:sz w:val="16"/>
                <w:szCs w:val="16"/>
              </w:rPr>
            </w:pPr>
            <w:r>
              <w:rPr>
                <w:sz w:val="16"/>
                <w:szCs w:val="16"/>
              </w:rPr>
              <w:t>G Latimer</w:t>
            </w:r>
          </w:p>
        </w:tc>
        <w:tc>
          <w:tcPr>
            <w:tcW w:w="1276" w:type="dxa"/>
            <w:vAlign w:val="center"/>
          </w:tcPr>
          <w:p w:rsidR="00E350AA" w:rsidRPr="00726E7E" w:rsidRDefault="00E350AA" w:rsidP="009A54F5">
            <w:pPr>
              <w:jc w:val="center"/>
              <w:rPr>
                <w:sz w:val="16"/>
                <w:szCs w:val="16"/>
              </w:rPr>
            </w:pPr>
            <w:r>
              <w:rPr>
                <w:sz w:val="16"/>
                <w:szCs w:val="16"/>
              </w:rPr>
              <w:t>D Garner</w:t>
            </w:r>
          </w:p>
        </w:tc>
        <w:tc>
          <w:tcPr>
            <w:tcW w:w="1383" w:type="dxa"/>
            <w:vAlign w:val="center"/>
          </w:tcPr>
          <w:p w:rsidR="00E350AA" w:rsidRPr="00726E7E" w:rsidRDefault="00E350AA" w:rsidP="009A54F5">
            <w:pPr>
              <w:jc w:val="center"/>
              <w:rPr>
                <w:sz w:val="16"/>
                <w:szCs w:val="16"/>
              </w:rPr>
            </w:pPr>
            <w:r>
              <w:rPr>
                <w:sz w:val="16"/>
                <w:szCs w:val="16"/>
              </w:rPr>
              <w:t>G Latimer</w:t>
            </w:r>
          </w:p>
        </w:tc>
      </w:tr>
      <w:tr w:rsidR="00DF7B21" w:rsidRPr="00726E7E" w:rsidTr="00363455">
        <w:trPr>
          <w:cantSplit/>
          <w:trHeight w:val="340"/>
          <w:jc w:val="center"/>
        </w:trPr>
        <w:tc>
          <w:tcPr>
            <w:tcW w:w="1355" w:type="dxa"/>
            <w:vAlign w:val="center"/>
          </w:tcPr>
          <w:p w:rsidR="00DF7B21" w:rsidRPr="00726E7E" w:rsidRDefault="00DF7B21" w:rsidP="009A54F5">
            <w:pPr>
              <w:jc w:val="center"/>
              <w:rPr>
                <w:sz w:val="16"/>
                <w:szCs w:val="16"/>
              </w:rPr>
            </w:pPr>
            <w:r>
              <w:rPr>
                <w:sz w:val="16"/>
                <w:szCs w:val="16"/>
              </w:rPr>
              <w:t>3</w:t>
            </w:r>
          </w:p>
        </w:tc>
        <w:tc>
          <w:tcPr>
            <w:tcW w:w="2722" w:type="dxa"/>
            <w:vAlign w:val="center"/>
          </w:tcPr>
          <w:p w:rsidR="00DF7B21" w:rsidRPr="00726E7E" w:rsidRDefault="00DF7B21" w:rsidP="009A54F5">
            <w:pPr>
              <w:jc w:val="center"/>
              <w:rPr>
                <w:sz w:val="16"/>
                <w:szCs w:val="16"/>
              </w:rPr>
            </w:pPr>
            <w:r>
              <w:rPr>
                <w:sz w:val="16"/>
                <w:szCs w:val="16"/>
              </w:rPr>
              <w:t>Final Report amended after State/ Territory comments</w:t>
            </w:r>
          </w:p>
        </w:tc>
        <w:tc>
          <w:tcPr>
            <w:tcW w:w="1134" w:type="dxa"/>
            <w:vAlign w:val="center"/>
          </w:tcPr>
          <w:p w:rsidR="00DF7B21" w:rsidRPr="00726E7E" w:rsidRDefault="00DF7B21" w:rsidP="009A54F5">
            <w:pPr>
              <w:jc w:val="center"/>
              <w:rPr>
                <w:sz w:val="16"/>
                <w:szCs w:val="16"/>
              </w:rPr>
            </w:pPr>
            <w:r>
              <w:rPr>
                <w:sz w:val="16"/>
                <w:szCs w:val="16"/>
              </w:rPr>
              <w:t>22.04.2013</w:t>
            </w:r>
          </w:p>
        </w:tc>
        <w:tc>
          <w:tcPr>
            <w:tcW w:w="1418" w:type="dxa"/>
            <w:vAlign w:val="center"/>
          </w:tcPr>
          <w:p w:rsidR="00DF7B21" w:rsidRPr="00726E7E" w:rsidRDefault="00DF7B21" w:rsidP="009A54F5">
            <w:pPr>
              <w:jc w:val="center"/>
              <w:rPr>
                <w:sz w:val="16"/>
                <w:szCs w:val="16"/>
              </w:rPr>
            </w:pPr>
            <w:r>
              <w:rPr>
                <w:sz w:val="16"/>
                <w:szCs w:val="16"/>
              </w:rPr>
              <w:t>G Latimer</w:t>
            </w:r>
          </w:p>
        </w:tc>
        <w:tc>
          <w:tcPr>
            <w:tcW w:w="1276" w:type="dxa"/>
            <w:vAlign w:val="center"/>
          </w:tcPr>
          <w:p w:rsidR="00DF7B21" w:rsidRPr="00726E7E" w:rsidRDefault="00DF7B21" w:rsidP="009A54F5">
            <w:pPr>
              <w:jc w:val="center"/>
              <w:rPr>
                <w:sz w:val="16"/>
                <w:szCs w:val="16"/>
              </w:rPr>
            </w:pPr>
            <w:r>
              <w:rPr>
                <w:sz w:val="16"/>
                <w:szCs w:val="16"/>
              </w:rPr>
              <w:t>G Latimer</w:t>
            </w:r>
          </w:p>
        </w:tc>
        <w:tc>
          <w:tcPr>
            <w:tcW w:w="1383" w:type="dxa"/>
            <w:vAlign w:val="center"/>
          </w:tcPr>
          <w:p w:rsidR="00DF7B21" w:rsidRPr="00726E7E" w:rsidRDefault="00DF7B21" w:rsidP="009A54F5">
            <w:pPr>
              <w:jc w:val="center"/>
              <w:rPr>
                <w:sz w:val="16"/>
                <w:szCs w:val="16"/>
              </w:rPr>
            </w:pPr>
            <w:r>
              <w:rPr>
                <w:sz w:val="16"/>
                <w:szCs w:val="16"/>
              </w:rPr>
              <w:t>G Latimer</w:t>
            </w:r>
          </w:p>
        </w:tc>
      </w:tr>
      <w:tr w:rsidR="009A54F5" w:rsidRPr="00726E7E" w:rsidTr="00363455">
        <w:trPr>
          <w:cantSplit/>
          <w:trHeight w:val="340"/>
          <w:jc w:val="center"/>
        </w:trPr>
        <w:tc>
          <w:tcPr>
            <w:tcW w:w="1355" w:type="dxa"/>
            <w:vAlign w:val="center"/>
          </w:tcPr>
          <w:p w:rsidR="009A54F5" w:rsidRDefault="009A54F5" w:rsidP="009A54F5">
            <w:pPr>
              <w:jc w:val="center"/>
              <w:rPr>
                <w:sz w:val="16"/>
                <w:szCs w:val="16"/>
              </w:rPr>
            </w:pPr>
            <w:r>
              <w:rPr>
                <w:sz w:val="16"/>
                <w:szCs w:val="16"/>
              </w:rPr>
              <w:t>4</w:t>
            </w:r>
          </w:p>
        </w:tc>
        <w:tc>
          <w:tcPr>
            <w:tcW w:w="2722" w:type="dxa"/>
            <w:vAlign w:val="center"/>
          </w:tcPr>
          <w:p w:rsidR="009A54F5" w:rsidRDefault="008C7C61" w:rsidP="009A54F5">
            <w:pPr>
              <w:jc w:val="left"/>
              <w:rPr>
                <w:sz w:val="16"/>
                <w:szCs w:val="16"/>
              </w:rPr>
            </w:pPr>
            <w:r>
              <w:rPr>
                <w:sz w:val="16"/>
                <w:szCs w:val="16"/>
              </w:rPr>
              <w:t>Adjustment of 2010-</w:t>
            </w:r>
            <w:r w:rsidR="009A54F5">
              <w:rPr>
                <w:sz w:val="16"/>
                <w:szCs w:val="16"/>
              </w:rPr>
              <w:t>11 data based on findings from the Improving Basel Reporting project, by Blue Environment/ ENVIRON/ Randell Environmental Consulting, 2014.</w:t>
            </w:r>
          </w:p>
        </w:tc>
        <w:tc>
          <w:tcPr>
            <w:tcW w:w="1134" w:type="dxa"/>
            <w:vAlign w:val="center"/>
          </w:tcPr>
          <w:p w:rsidR="009A54F5" w:rsidRDefault="00F16FF3" w:rsidP="009A54F5">
            <w:pPr>
              <w:jc w:val="center"/>
              <w:rPr>
                <w:sz w:val="16"/>
                <w:szCs w:val="16"/>
              </w:rPr>
            </w:pPr>
            <w:r>
              <w:rPr>
                <w:sz w:val="16"/>
                <w:szCs w:val="16"/>
              </w:rPr>
              <w:t>17.06</w:t>
            </w:r>
            <w:r w:rsidR="009A54F5">
              <w:rPr>
                <w:sz w:val="16"/>
                <w:szCs w:val="16"/>
              </w:rPr>
              <w:t>.2014</w:t>
            </w:r>
          </w:p>
        </w:tc>
        <w:tc>
          <w:tcPr>
            <w:tcW w:w="1418" w:type="dxa"/>
            <w:vAlign w:val="center"/>
          </w:tcPr>
          <w:p w:rsidR="009A54F5" w:rsidRPr="00726E7E" w:rsidRDefault="009A54F5" w:rsidP="009A54F5">
            <w:pPr>
              <w:jc w:val="center"/>
              <w:rPr>
                <w:sz w:val="16"/>
                <w:szCs w:val="16"/>
              </w:rPr>
            </w:pPr>
            <w:r>
              <w:rPr>
                <w:sz w:val="16"/>
                <w:szCs w:val="16"/>
              </w:rPr>
              <w:t>G Latimer</w:t>
            </w:r>
          </w:p>
        </w:tc>
        <w:tc>
          <w:tcPr>
            <w:tcW w:w="1276" w:type="dxa"/>
            <w:vAlign w:val="center"/>
          </w:tcPr>
          <w:p w:rsidR="009A54F5" w:rsidRPr="00726E7E" w:rsidRDefault="009A54F5" w:rsidP="009A54F5">
            <w:pPr>
              <w:jc w:val="center"/>
              <w:rPr>
                <w:sz w:val="16"/>
                <w:szCs w:val="16"/>
              </w:rPr>
            </w:pPr>
            <w:r>
              <w:rPr>
                <w:sz w:val="16"/>
                <w:szCs w:val="16"/>
              </w:rPr>
              <w:t>J Pickin</w:t>
            </w:r>
          </w:p>
        </w:tc>
        <w:tc>
          <w:tcPr>
            <w:tcW w:w="1383" w:type="dxa"/>
            <w:vAlign w:val="center"/>
          </w:tcPr>
          <w:p w:rsidR="009A54F5" w:rsidRPr="00726E7E" w:rsidRDefault="009A54F5" w:rsidP="009A54F5">
            <w:pPr>
              <w:jc w:val="center"/>
              <w:rPr>
                <w:sz w:val="16"/>
                <w:szCs w:val="16"/>
              </w:rPr>
            </w:pPr>
            <w:r>
              <w:rPr>
                <w:sz w:val="16"/>
                <w:szCs w:val="16"/>
              </w:rPr>
              <w:t>G Latimer</w:t>
            </w:r>
          </w:p>
        </w:tc>
      </w:tr>
    </w:tbl>
    <w:p w:rsidR="00516F17" w:rsidRDefault="00516F17" w:rsidP="00101EA2"/>
    <w:p w:rsidR="009A54F5" w:rsidRDefault="009A54F5">
      <w:pPr>
        <w:spacing w:after="0"/>
        <w:jc w:val="left"/>
        <w:rPr>
          <w:rFonts w:ascii="Arial Bold" w:hAnsi="Arial Bold"/>
          <w:b/>
          <w:color w:val="1D5C42"/>
          <w:sz w:val="40"/>
          <w:szCs w:val="40"/>
        </w:rPr>
      </w:pPr>
      <w:r>
        <w:rPr>
          <w:rFonts w:ascii="Arial Bold" w:hAnsi="Arial Bold"/>
          <w:b/>
          <w:color w:val="1D5C42"/>
          <w:sz w:val="40"/>
          <w:szCs w:val="40"/>
        </w:rPr>
        <w:br w:type="page"/>
      </w:r>
    </w:p>
    <w:p w:rsidR="0000260C" w:rsidRPr="001C0E5E" w:rsidRDefault="007477D7" w:rsidP="0061153E">
      <w:pPr>
        <w:spacing w:before="240" w:after="240"/>
        <w:jc w:val="center"/>
        <w:rPr>
          <w:rFonts w:ascii="Arial Bold" w:hAnsi="Arial Bold"/>
          <w:b/>
          <w:color w:val="1D5C42"/>
          <w:sz w:val="40"/>
          <w:szCs w:val="40"/>
        </w:rPr>
      </w:pPr>
      <w:r w:rsidRPr="001C0E5E">
        <w:rPr>
          <w:rFonts w:ascii="Arial Bold" w:hAnsi="Arial Bold"/>
          <w:b/>
          <w:color w:val="1D5C42"/>
          <w:sz w:val="40"/>
          <w:szCs w:val="40"/>
        </w:rPr>
        <w:lastRenderedPageBreak/>
        <w:t>TABLE OF CONTENTS</w:t>
      </w:r>
    </w:p>
    <w:p w:rsidR="00F16FF3" w:rsidRDefault="00C03A4D">
      <w:pPr>
        <w:pStyle w:val="TOC1"/>
        <w:tabs>
          <w:tab w:val="right" w:leader="dot" w:pos="9062"/>
        </w:tabs>
        <w:rPr>
          <w:rFonts w:asciiTheme="minorHAnsi" w:eastAsiaTheme="minorEastAsia" w:hAnsiTheme="minorHAnsi" w:cstheme="minorBidi"/>
          <w:b w:val="0"/>
          <w:bCs w:val="0"/>
          <w:noProof/>
          <w:sz w:val="22"/>
          <w:szCs w:val="22"/>
          <w:lang w:val="en-US"/>
        </w:rPr>
      </w:pPr>
      <w:r w:rsidRPr="00C03A4D">
        <w:rPr>
          <w:b w:val="0"/>
          <w:bCs w:val="0"/>
        </w:rPr>
        <w:fldChar w:fldCharType="begin"/>
      </w:r>
      <w:r w:rsidR="00C13CA1">
        <w:rPr>
          <w:b w:val="0"/>
          <w:bCs w:val="0"/>
        </w:rPr>
        <w:instrText xml:space="preserve"> TOC \h \z \t "KMH Number Heading 1,1,KMH Number heading 2,2" </w:instrText>
      </w:r>
      <w:r w:rsidRPr="00C03A4D">
        <w:rPr>
          <w:b w:val="0"/>
          <w:bCs w:val="0"/>
        </w:rPr>
        <w:fldChar w:fldCharType="separate"/>
      </w:r>
      <w:hyperlink w:anchor="_Toc390771582" w:history="1">
        <w:r w:rsidR="00F16FF3" w:rsidRPr="00BA3C74">
          <w:rPr>
            <w:rStyle w:val="Hyperlink"/>
            <w:noProof/>
          </w:rPr>
          <w:t>Glossary and Abbreviations</w:t>
        </w:r>
        <w:r w:rsidR="00F16FF3">
          <w:rPr>
            <w:noProof/>
            <w:webHidden/>
          </w:rPr>
          <w:tab/>
        </w:r>
        <w:r>
          <w:rPr>
            <w:noProof/>
            <w:webHidden/>
          </w:rPr>
          <w:fldChar w:fldCharType="begin"/>
        </w:r>
        <w:r w:rsidR="00F16FF3">
          <w:rPr>
            <w:noProof/>
            <w:webHidden/>
          </w:rPr>
          <w:instrText xml:space="preserve"> PAGEREF _Toc390771582 \h </w:instrText>
        </w:r>
        <w:r>
          <w:rPr>
            <w:noProof/>
            <w:webHidden/>
          </w:rPr>
        </w:r>
        <w:r>
          <w:rPr>
            <w:noProof/>
            <w:webHidden/>
          </w:rPr>
          <w:fldChar w:fldCharType="separate"/>
        </w:r>
        <w:r w:rsidR="004B2C72">
          <w:rPr>
            <w:noProof/>
            <w:webHidden/>
          </w:rPr>
          <w:t>iv</w:t>
        </w:r>
        <w:r>
          <w:rPr>
            <w:noProof/>
            <w:webHidden/>
          </w:rPr>
          <w:fldChar w:fldCharType="end"/>
        </w:r>
      </w:hyperlink>
    </w:p>
    <w:p w:rsidR="00F16FF3" w:rsidRDefault="00C03A4D">
      <w:pPr>
        <w:pStyle w:val="TOC1"/>
        <w:tabs>
          <w:tab w:val="right" w:leader="dot" w:pos="9062"/>
        </w:tabs>
        <w:rPr>
          <w:rFonts w:asciiTheme="minorHAnsi" w:eastAsiaTheme="minorEastAsia" w:hAnsiTheme="minorHAnsi" w:cstheme="minorBidi"/>
          <w:b w:val="0"/>
          <w:bCs w:val="0"/>
          <w:noProof/>
          <w:sz w:val="22"/>
          <w:szCs w:val="22"/>
          <w:lang w:val="en-US"/>
        </w:rPr>
      </w:pPr>
      <w:hyperlink w:anchor="_Toc390771583" w:history="1">
        <w:r w:rsidR="00F16FF3" w:rsidRPr="00BA3C74">
          <w:rPr>
            <w:rStyle w:val="Hyperlink"/>
            <w:noProof/>
          </w:rPr>
          <w:t>1.</w:t>
        </w:r>
        <w:r w:rsidR="00F16FF3">
          <w:rPr>
            <w:rFonts w:asciiTheme="minorHAnsi" w:eastAsiaTheme="minorEastAsia" w:hAnsiTheme="minorHAnsi" w:cstheme="minorBidi"/>
            <w:b w:val="0"/>
            <w:bCs w:val="0"/>
            <w:noProof/>
            <w:sz w:val="22"/>
            <w:szCs w:val="22"/>
            <w:lang w:val="en-US"/>
          </w:rPr>
          <w:tab/>
        </w:r>
        <w:r w:rsidR="00F16FF3" w:rsidRPr="00BA3C74">
          <w:rPr>
            <w:rStyle w:val="Hyperlink"/>
            <w:noProof/>
          </w:rPr>
          <w:t>Introduction</w:t>
        </w:r>
        <w:r w:rsidR="00F16FF3">
          <w:rPr>
            <w:noProof/>
            <w:webHidden/>
          </w:rPr>
          <w:tab/>
        </w:r>
        <w:r>
          <w:rPr>
            <w:noProof/>
            <w:webHidden/>
          </w:rPr>
          <w:fldChar w:fldCharType="begin"/>
        </w:r>
        <w:r w:rsidR="00F16FF3">
          <w:rPr>
            <w:noProof/>
            <w:webHidden/>
          </w:rPr>
          <w:instrText xml:space="preserve"> PAGEREF _Toc390771583 \h </w:instrText>
        </w:r>
        <w:r>
          <w:rPr>
            <w:noProof/>
            <w:webHidden/>
          </w:rPr>
        </w:r>
        <w:r>
          <w:rPr>
            <w:noProof/>
            <w:webHidden/>
          </w:rPr>
          <w:fldChar w:fldCharType="separate"/>
        </w:r>
        <w:r w:rsidR="004B2C72">
          <w:rPr>
            <w:noProof/>
            <w:webHidden/>
          </w:rPr>
          <w:t>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84" w:history="1">
        <w:r w:rsidR="00F16FF3" w:rsidRPr="00BA3C74">
          <w:rPr>
            <w:rStyle w:val="Hyperlink"/>
            <w:noProof/>
            <w:snapToGrid w:val="0"/>
            <w:w w:val="0"/>
          </w:rPr>
          <w:t>1.1.</w:t>
        </w:r>
        <w:r w:rsidR="00F16FF3">
          <w:rPr>
            <w:rFonts w:asciiTheme="minorHAnsi" w:eastAsiaTheme="minorEastAsia" w:hAnsiTheme="minorHAnsi" w:cstheme="minorBidi"/>
            <w:iCs w:val="0"/>
            <w:noProof/>
            <w:sz w:val="22"/>
            <w:szCs w:val="22"/>
            <w:lang w:val="en-US"/>
          </w:rPr>
          <w:tab/>
        </w:r>
        <w:r w:rsidR="00F16FF3" w:rsidRPr="00BA3C74">
          <w:rPr>
            <w:rStyle w:val="Hyperlink"/>
            <w:noProof/>
          </w:rPr>
          <w:t>Purpose of this report</w:t>
        </w:r>
        <w:r w:rsidR="00F16FF3">
          <w:rPr>
            <w:noProof/>
            <w:webHidden/>
          </w:rPr>
          <w:tab/>
        </w:r>
        <w:r>
          <w:rPr>
            <w:noProof/>
            <w:webHidden/>
          </w:rPr>
          <w:fldChar w:fldCharType="begin"/>
        </w:r>
        <w:r w:rsidR="00F16FF3">
          <w:rPr>
            <w:noProof/>
            <w:webHidden/>
          </w:rPr>
          <w:instrText xml:space="preserve"> PAGEREF _Toc390771584 \h </w:instrText>
        </w:r>
        <w:r>
          <w:rPr>
            <w:noProof/>
            <w:webHidden/>
          </w:rPr>
        </w:r>
        <w:r>
          <w:rPr>
            <w:noProof/>
            <w:webHidden/>
          </w:rPr>
          <w:fldChar w:fldCharType="separate"/>
        </w:r>
        <w:r w:rsidR="004B2C72">
          <w:rPr>
            <w:noProof/>
            <w:webHidden/>
          </w:rPr>
          <w:t>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85" w:history="1">
        <w:r w:rsidR="00F16FF3" w:rsidRPr="00BA3C74">
          <w:rPr>
            <w:rStyle w:val="Hyperlink"/>
            <w:noProof/>
            <w:snapToGrid w:val="0"/>
            <w:w w:val="0"/>
          </w:rPr>
          <w:t>1.2.</w:t>
        </w:r>
        <w:r w:rsidR="00F16FF3">
          <w:rPr>
            <w:rFonts w:asciiTheme="minorHAnsi" w:eastAsiaTheme="minorEastAsia" w:hAnsiTheme="minorHAnsi" w:cstheme="minorBidi"/>
            <w:iCs w:val="0"/>
            <w:noProof/>
            <w:sz w:val="22"/>
            <w:szCs w:val="22"/>
            <w:lang w:val="en-US"/>
          </w:rPr>
          <w:tab/>
        </w:r>
        <w:r w:rsidR="00F16FF3" w:rsidRPr="00BA3C74">
          <w:rPr>
            <w:rStyle w:val="Hyperlink"/>
            <w:noProof/>
          </w:rPr>
          <w:t>Scope and limitations</w:t>
        </w:r>
        <w:r w:rsidR="00F16FF3">
          <w:rPr>
            <w:noProof/>
            <w:webHidden/>
          </w:rPr>
          <w:tab/>
        </w:r>
        <w:r>
          <w:rPr>
            <w:noProof/>
            <w:webHidden/>
          </w:rPr>
          <w:fldChar w:fldCharType="begin"/>
        </w:r>
        <w:r w:rsidR="00F16FF3">
          <w:rPr>
            <w:noProof/>
            <w:webHidden/>
          </w:rPr>
          <w:instrText xml:space="preserve"> PAGEREF _Toc390771585 \h </w:instrText>
        </w:r>
        <w:r>
          <w:rPr>
            <w:noProof/>
            <w:webHidden/>
          </w:rPr>
        </w:r>
        <w:r>
          <w:rPr>
            <w:noProof/>
            <w:webHidden/>
          </w:rPr>
          <w:fldChar w:fldCharType="separate"/>
        </w:r>
        <w:r w:rsidR="004B2C72">
          <w:rPr>
            <w:noProof/>
            <w:webHidden/>
          </w:rPr>
          <w:t>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86" w:history="1">
        <w:r w:rsidR="00F16FF3" w:rsidRPr="00BA3C74">
          <w:rPr>
            <w:rStyle w:val="Hyperlink"/>
            <w:noProof/>
            <w:snapToGrid w:val="0"/>
            <w:w w:val="0"/>
          </w:rPr>
          <w:t>1.3.</w:t>
        </w:r>
        <w:r w:rsidR="00F16FF3">
          <w:rPr>
            <w:rFonts w:asciiTheme="minorHAnsi" w:eastAsiaTheme="minorEastAsia" w:hAnsiTheme="minorHAnsi" w:cstheme="minorBidi"/>
            <w:iCs w:val="0"/>
            <w:noProof/>
            <w:sz w:val="22"/>
            <w:szCs w:val="22"/>
            <w:lang w:val="en-US"/>
          </w:rPr>
          <w:tab/>
        </w:r>
        <w:r w:rsidR="00F16FF3" w:rsidRPr="00BA3C74">
          <w:rPr>
            <w:rStyle w:val="Hyperlink"/>
            <w:noProof/>
          </w:rPr>
          <w:t>Data update 2014</w:t>
        </w:r>
        <w:r w:rsidR="00F16FF3">
          <w:rPr>
            <w:noProof/>
            <w:webHidden/>
          </w:rPr>
          <w:tab/>
        </w:r>
        <w:r>
          <w:rPr>
            <w:noProof/>
            <w:webHidden/>
          </w:rPr>
          <w:fldChar w:fldCharType="begin"/>
        </w:r>
        <w:r w:rsidR="00F16FF3">
          <w:rPr>
            <w:noProof/>
            <w:webHidden/>
          </w:rPr>
          <w:instrText xml:space="preserve"> PAGEREF _Toc390771586 \h </w:instrText>
        </w:r>
        <w:r>
          <w:rPr>
            <w:noProof/>
            <w:webHidden/>
          </w:rPr>
        </w:r>
        <w:r>
          <w:rPr>
            <w:noProof/>
            <w:webHidden/>
          </w:rPr>
          <w:fldChar w:fldCharType="separate"/>
        </w:r>
        <w:r w:rsidR="004B2C72">
          <w:rPr>
            <w:noProof/>
            <w:webHidden/>
          </w:rPr>
          <w:t>2</w:t>
        </w:r>
        <w:r>
          <w:rPr>
            <w:noProof/>
            <w:webHidden/>
          </w:rPr>
          <w:fldChar w:fldCharType="end"/>
        </w:r>
      </w:hyperlink>
    </w:p>
    <w:p w:rsidR="00F16FF3" w:rsidRDefault="00C03A4D">
      <w:pPr>
        <w:pStyle w:val="TOC1"/>
        <w:tabs>
          <w:tab w:val="right" w:leader="dot" w:pos="9062"/>
        </w:tabs>
        <w:rPr>
          <w:rFonts w:asciiTheme="minorHAnsi" w:eastAsiaTheme="minorEastAsia" w:hAnsiTheme="minorHAnsi" w:cstheme="minorBidi"/>
          <w:b w:val="0"/>
          <w:bCs w:val="0"/>
          <w:noProof/>
          <w:sz w:val="22"/>
          <w:szCs w:val="22"/>
          <w:lang w:val="en-US"/>
        </w:rPr>
      </w:pPr>
      <w:hyperlink w:anchor="_Toc390771587" w:history="1">
        <w:r w:rsidR="00F16FF3" w:rsidRPr="00BA3C74">
          <w:rPr>
            <w:rStyle w:val="Hyperlink"/>
            <w:noProof/>
          </w:rPr>
          <w:t>2.</w:t>
        </w:r>
        <w:r w:rsidR="00F16FF3">
          <w:rPr>
            <w:rFonts w:asciiTheme="minorHAnsi" w:eastAsiaTheme="minorEastAsia" w:hAnsiTheme="minorHAnsi" w:cstheme="minorBidi"/>
            <w:b w:val="0"/>
            <w:bCs w:val="0"/>
            <w:noProof/>
            <w:sz w:val="22"/>
            <w:szCs w:val="22"/>
            <w:lang w:val="en-US"/>
          </w:rPr>
          <w:tab/>
        </w:r>
        <w:r w:rsidR="00F16FF3" w:rsidRPr="00BA3C74">
          <w:rPr>
            <w:rStyle w:val="Hyperlink"/>
            <w:noProof/>
          </w:rPr>
          <w:t>Key messages</w:t>
        </w:r>
        <w:r w:rsidR="00F16FF3">
          <w:rPr>
            <w:noProof/>
            <w:webHidden/>
          </w:rPr>
          <w:tab/>
        </w:r>
        <w:r>
          <w:rPr>
            <w:noProof/>
            <w:webHidden/>
          </w:rPr>
          <w:fldChar w:fldCharType="begin"/>
        </w:r>
        <w:r w:rsidR="00F16FF3">
          <w:rPr>
            <w:noProof/>
            <w:webHidden/>
          </w:rPr>
          <w:instrText xml:space="preserve"> PAGEREF _Toc390771587 \h </w:instrText>
        </w:r>
        <w:r>
          <w:rPr>
            <w:noProof/>
            <w:webHidden/>
          </w:rPr>
        </w:r>
        <w:r>
          <w:rPr>
            <w:noProof/>
            <w:webHidden/>
          </w:rPr>
          <w:fldChar w:fldCharType="separate"/>
        </w:r>
        <w:r w:rsidR="004B2C72">
          <w:rPr>
            <w:noProof/>
            <w:webHidden/>
          </w:rPr>
          <w:t>3</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88" w:history="1">
        <w:r w:rsidR="00F16FF3" w:rsidRPr="00BA3C74">
          <w:rPr>
            <w:rStyle w:val="Hyperlink"/>
            <w:noProof/>
            <w:snapToGrid w:val="0"/>
            <w:w w:val="0"/>
          </w:rPr>
          <w:t>2.1.</w:t>
        </w:r>
        <w:r w:rsidR="00F16FF3">
          <w:rPr>
            <w:rFonts w:asciiTheme="minorHAnsi" w:eastAsiaTheme="minorEastAsia" w:hAnsiTheme="minorHAnsi" w:cstheme="minorBidi"/>
            <w:iCs w:val="0"/>
            <w:noProof/>
            <w:sz w:val="22"/>
            <w:szCs w:val="22"/>
            <w:lang w:val="en-US"/>
          </w:rPr>
          <w:tab/>
        </w:r>
        <w:r w:rsidR="00F16FF3" w:rsidRPr="00BA3C74">
          <w:rPr>
            <w:rStyle w:val="Hyperlink"/>
            <w:noProof/>
          </w:rPr>
          <w:t>2010–11 National hazardous waste generation data</w:t>
        </w:r>
        <w:r w:rsidR="00F16FF3">
          <w:rPr>
            <w:noProof/>
            <w:webHidden/>
          </w:rPr>
          <w:tab/>
        </w:r>
        <w:r>
          <w:rPr>
            <w:noProof/>
            <w:webHidden/>
          </w:rPr>
          <w:fldChar w:fldCharType="begin"/>
        </w:r>
        <w:r w:rsidR="00F16FF3">
          <w:rPr>
            <w:noProof/>
            <w:webHidden/>
          </w:rPr>
          <w:instrText xml:space="preserve"> PAGEREF _Toc390771588 \h </w:instrText>
        </w:r>
        <w:r>
          <w:rPr>
            <w:noProof/>
            <w:webHidden/>
          </w:rPr>
        </w:r>
        <w:r>
          <w:rPr>
            <w:noProof/>
            <w:webHidden/>
          </w:rPr>
          <w:fldChar w:fldCharType="separate"/>
        </w:r>
        <w:r w:rsidR="004B2C72">
          <w:rPr>
            <w:noProof/>
            <w:webHidden/>
          </w:rPr>
          <w:t>3</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89" w:history="1">
        <w:r w:rsidR="00F16FF3" w:rsidRPr="00BA3C74">
          <w:rPr>
            <w:rStyle w:val="Hyperlink"/>
            <w:noProof/>
            <w:snapToGrid w:val="0"/>
            <w:w w:val="0"/>
          </w:rPr>
          <w:t>2.2.</w:t>
        </w:r>
        <w:r w:rsidR="00F16FF3">
          <w:rPr>
            <w:rFonts w:asciiTheme="minorHAnsi" w:eastAsiaTheme="minorEastAsia" w:hAnsiTheme="minorHAnsi" w:cstheme="minorBidi"/>
            <w:iCs w:val="0"/>
            <w:noProof/>
            <w:sz w:val="22"/>
            <w:szCs w:val="22"/>
            <w:lang w:val="en-US"/>
          </w:rPr>
          <w:tab/>
        </w:r>
        <w:r w:rsidR="00F16FF3" w:rsidRPr="00BA3C74">
          <w:rPr>
            <w:rStyle w:val="Hyperlink"/>
            <w:noProof/>
          </w:rPr>
          <w:t>Differences in jurisdictional approaches to hazardous waste management adversely impact data quality</w:t>
        </w:r>
        <w:r w:rsidR="00F16FF3">
          <w:rPr>
            <w:noProof/>
            <w:webHidden/>
          </w:rPr>
          <w:tab/>
        </w:r>
        <w:r>
          <w:rPr>
            <w:noProof/>
            <w:webHidden/>
          </w:rPr>
          <w:fldChar w:fldCharType="begin"/>
        </w:r>
        <w:r w:rsidR="00F16FF3">
          <w:rPr>
            <w:noProof/>
            <w:webHidden/>
          </w:rPr>
          <w:instrText xml:space="preserve"> PAGEREF _Toc390771589 \h </w:instrText>
        </w:r>
        <w:r>
          <w:rPr>
            <w:noProof/>
            <w:webHidden/>
          </w:rPr>
        </w:r>
        <w:r>
          <w:rPr>
            <w:noProof/>
            <w:webHidden/>
          </w:rPr>
          <w:fldChar w:fldCharType="separate"/>
        </w:r>
        <w:r w:rsidR="004B2C72">
          <w:rPr>
            <w:noProof/>
            <w:webHidden/>
          </w:rPr>
          <w:t>3</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90" w:history="1">
        <w:r w:rsidR="00F16FF3" w:rsidRPr="00BA3C74">
          <w:rPr>
            <w:rStyle w:val="Hyperlink"/>
            <w:noProof/>
            <w:snapToGrid w:val="0"/>
            <w:w w:val="0"/>
          </w:rPr>
          <w:t>2.3.</w:t>
        </w:r>
        <w:r w:rsidR="00F16FF3">
          <w:rPr>
            <w:rFonts w:asciiTheme="minorHAnsi" w:eastAsiaTheme="minorEastAsia" w:hAnsiTheme="minorHAnsi" w:cstheme="minorBidi"/>
            <w:iCs w:val="0"/>
            <w:noProof/>
            <w:sz w:val="22"/>
            <w:szCs w:val="22"/>
            <w:lang w:val="en-US"/>
          </w:rPr>
          <w:tab/>
        </w:r>
        <w:r w:rsidR="00F16FF3" w:rsidRPr="00BA3C74">
          <w:rPr>
            <w:rStyle w:val="Hyperlink"/>
            <w:noProof/>
          </w:rPr>
          <w:t>Major gaps exist in hazardous waste data</w:t>
        </w:r>
        <w:r w:rsidR="00F16FF3">
          <w:rPr>
            <w:noProof/>
            <w:webHidden/>
          </w:rPr>
          <w:tab/>
        </w:r>
        <w:r>
          <w:rPr>
            <w:noProof/>
            <w:webHidden/>
          </w:rPr>
          <w:fldChar w:fldCharType="begin"/>
        </w:r>
        <w:r w:rsidR="00F16FF3">
          <w:rPr>
            <w:noProof/>
            <w:webHidden/>
          </w:rPr>
          <w:instrText xml:space="preserve"> PAGEREF _Toc390771590 \h </w:instrText>
        </w:r>
        <w:r>
          <w:rPr>
            <w:noProof/>
            <w:webHidden/>
          </w:rPr>
        </w:r>
        <w:r>
          <w:rPr>
            <w:noProof/>
            <w:webHidden/>
          </w:rPr>
          <w:fldChar w:fldCharType="separate"/>
        </w:r>
        <w:r w:rsidR="004B2C72">
          <w:rPr>
            <w:noProof/>
            <w:webHidden/>
          </w:rPr>
          <w:t>3</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91" w:history="1">
        <w:r w:rsidR="00F16FF3" w:rsidRPr="00BA3C74">
          <w:rPr>
            <w:rStyle w:val="Hyperlink"/>
            <w:noProof/>
            <w:snapToGrid w:val="0"/>
            <w:w w:val="0"/>
          </w:rPr>
          <w:t>2.4.</w:t>
        </w:r>
        <w:r w:rsidR="00F16FF3">
          <w:rPr>
            <w:rFonts w:asciiTheme="minorHAnsi" w:eastAsiaTheme="minorEastAsia" w:hAnsiTheme="minorHAnsi" w:cstheme="minorBidi"/>
            <w:iCs w:val="0"/>
            <w:noProof/>
            <w:sz w:val="22"/>
            <w:szCs w:val="22"/>
            <w:lang w:val="en-US"/>
          </w:rPr>
          <w:tab/>
        </w:r>
        <w:r w:rsidR="00F16FF3" w:rsidRPr="00BA3C74">
          <w:rPr>
            <w:rStyle w:val="Hyperlink"/>
            <w:noProof/>
          </w:rPr>
          <w:t>Contaminated soil should be viewed separately in hazardous waste data analysis</w:t>
        </w:r>
        <w:r w:rsidR="00F16FF3">
          <w:rPr>
            <w:noProof/>
            <w:webHidden/>
          </w:rPr>
          <w:tab/>
        </w:r>
        <w:r>
          <w:rPr>
            <w:noProof/>
            <w:webHidden/>
          </w:rPr>
          <w:fldChar w:fldCharType="begin"/>
        </w:r>
        <w:r w:rsidR="00F16FF3">
          <w:rPr>
            <w:noProof/>
            <w:webHidden/>
          </w:rPr>
          <w:instrText xml:space="preserve"> PAGEREF _Toc390771591 \h </w:instrText>
        </w:r>
        <w:r>
          <w:rPr>
            <w:noProof/>
            <w:webHidden/>
          </w:rPr>
        </w:r>
        <w:r>
          <w:rPr>
            <w:noProof/>
            <w:webHidden/>
          </w:rPr>
          <w:fldChar w:fldCharType="separate"/>
        </w:r>
        <w:r w:rsidR="004B2C72">
          <w:rPr>
            <w:noProof/>
            <w:webHidden/>
          </w:rPr>
          <w:t>4</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92" w:history="1">
        <w:r w:rsidR="00F16FF3" w:rsidRPr="00BA3C74">
          <w:rPr>
            <w:rStyle w:val="Hyperlink"/>
            <w:noProof/>
            <w:snapToGrid w:val="0"/>
            <w:w w:val="0"/>
          </w:rPr>
          <w:t>2.5.</w:t>
        </w:r>
        <w:r w:rsidR="00F16FF3">
          <w:rPr>
            <w:rFonts w:asciiTheme="minorHAnsi" w:eastAsiaTheme="minorEastAsia" w:hAnsiTheme="minorHAnsi" w:cstheme="minorBidi"/>
            <w:iCs w:val="0"/>
            <w:noProof/>
            <w:sz w:val="22"/>
            <w:szCs w:val="22"/>
            <w:lang w:val="en-US"/>
          </w:rPr>
          <w:tab/>
        </w:r>
        <w:r w:rsidR="00F16FF3" w:rsidRPr="00BA3C74">
          <w:rPr>
            <w:rStyle w:val="Hyperlink"/>
            <w:noProof/>
          </w:rPr>
          <w:t>Less populated states appear to generate more hazardous waste per capita than more populous states</w:t>
        </w:r>
        <w:r w:rsidR="00F16FF3">
          <w:rPr>
            <w:noProof/>
            <w:webHidden/>
          </w:rPr>
          <w:tab/>
        </w:r>
        <w:r>
          <w:rPr>
            <w:noProof/>
            <w:webHidden/>
          </w:rPr>
          <w:fldChar w:fldCharType="begin"/>
        </w:r>
        <w:r w:rsidR="00F16FF3">
          <w:rPr>
            <w:noProof/>
            <w:webHidden/>
          </w:rPr>
          <w:instrText xml:space="preserve"> PAGEREF _Toc390771592 \h </w:instrText>
        </w:r>
        <w:r>
          <w:rPr>
            <w:noProof/>
            <w:webHidden/>
          </w:rPr>
        </w:r>
        <w:r>
          <w:rPr>
            <w:noProof/>
            <w:webHidden/>
          </w:rPr>
          <w:fldChar w:fldCharType="separate"/>
        </w:r>
        <w:r w:rsidR="004B2C72">
          <w:rPr>
            <w:noProof/>
            <w:webHidden/>
          </w:rPr>
          <w:t>4</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93" w:history="1">
        <w:r w:rsidR="00F16FF3" w:rsidRPr="00BA3C74">
          <w:rPr>
            <w:rStyle w:val="Hyperlink"/>
            <w:noProof/>
            <w:snapToGrid w:val="0"/>
            <w:w w:val="0"/>
          </w:rPr>
          <w:t>2.6.</w:t>
        </w:r>
        <w:r w:rsidR="00F16FF3">
          <w:rPr>
            <w:rFonts w:asciiTheme="minorHAnsi" w:eastAsiaTheme="minorEastAsia" w:hAnsiTheme="minorHAnsi" w:cstheme="minorBidi"/>
            <w:iCs w:val="0"/>
            <w:noProof/>
            <w:sz w:val="22"/>
            <w:szCs w:val="22"/>
            <w:lang w:val="en-US"/>
          </w:rPr>
          <w:tab/>
        </w:r>
        <w:r w:rsidR="00F16FF3" w:rsidRPr="00BA3C74">
          <w:rPr>
            <w:rStyle w:val="Hyperlink"/>
            <w:noProof/>
          </w:rPr>
          <w:t>Review of hazardous waste classifications and definitions could improve future data quality</w:t>
        </w:r>
        <w:r w:rsidR="00F16FF3">
          <w:rPr>
            <w:noProof/>
            <w:webHidden/>
          </w:rPr>
          <w:tab/>
        </w:r>
        <w:r>
          <w:rPr>
            <w:noProof/>
            <w:webHidden/>
          </w:rPr>
          <w:fldChar w:fldCharType="begin"/>
        </w:r>
        <w:r w:rsidR="00F16FF3">
          <w:rPr>
            <w:noProof/>
            <w:webHidden/>
          </w:rPr>
          <w:instrText xml:space="preserve"> PAGEREF _Toc390771593 \h </w:instrText>
        </w:r>
        <w:r>
          <w:rPr>
            <w:noProof/>
            <w:webHidden/>
          </w:rPr>
        </w:r>
        <w:r>
          <w:rPr>
            <w:noProof/>
            <w:webHidden/>
          </w:rPr>
          <w:fldChar w:fldCharType="separate"/>
        </w:r>
        <w:r w:rsidR="004B2C72">
          <w:rPr>
            <w:noProof/>
            <w:webHidden/>
          </w:rPr>
          <w:t>5</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94" w:history="1">
        <w:r w:rsidR="00F16FF3" w:rsidRPr="00BA3C74">
          <w:rPr>
            <w:rStyle w:val="Hyperlink"/>
            <w:noProof/>
            <w:snapToGrid w:val="0"/>
            <w:w w:val="0"/>
          </w:rPr>
          <w:t>2.7.</w:t>
        </w:r>
        <w:r w:rsidR="00F16FF3">
          <w:rPr>
            <w:rFonts w:asciiTheme="minorHAnsi" w:eastAsiaTheme="minorEastAsia" w:hAnsiTheme="minorHAnsi" w:cstheme="minorBidi"/>
            <w:iCs w:val="0"/>
            <w:noProof/>
            <w:sz w:val="22"/>
            <w:szCs w:val="22"/>
            <w:lang w:val="en-US"/>
          </w:rPr>
          <w:tab/>
        </w:r>
        <w:r w:rsidR="00F16FF3" w:rsidRPr="00BA3C74">
          <w:rPr>
            <w:rStyle w:val="Hyperlink"/>
            <w:noProof/>
          </w:rPr>
          <w:t>Clinical waste appears to be under-reported in Western Australia</w:t>
        </w:r>
        <w:r w:rsidR="00F16FF3">
          <w:rPr>
            <w:noProof/>
            <w:webHidden/>
          </w:rPr>
          <w:tab/>
        </w:r>
        <w:r>
          <w:rPr>
            <w:noProof/>
            <w:webHidden/>
          </w:rPr>
          <w:fldChar w:fldCharType="begin"/>
        </w:r>
        <w:r w:rsidR="00F16FF3">
          <w:rPr>
            <w:noProof/>
            <w:webHidden/>
          </w:rPr>
          <w:instrText xml:space="preserve"> PAGEREF _Toc390771594 \h </w:instrText>
        </w:r>
        <w:r>
          <w:rPr>
            <w:noProof/>
            <w:webHidden/>
          </w:rPr>
        </w:r>
        <w:r>
          <w:rPr>
            <w:noProof/>
            <w:webHidden/>
          </w:rPr>
          <w:fldChar w:fldCharType="separate"/>
        </w:r>
        <w:r w:rsidR="004B2C72">
          <w:rPr>
            <w:noProof/>
            <w:webHidden/>
          </w:rPr>
          <w:t>5</w:t>
        </w:r>
        <w:r>
          <w:rPr>
            <w:noProof/>
            <w:webHidden/>
          </w:rPr>
          <w:fldChar w:fldCharType="end"/>
        </w:r>
      </w:hyperlink>
    </w:p>
    <w:p w:rsidR="00F16FF3" w:rsidRDefault="00C03A4D">
      <w:pPr>
        <w:pStyle w:val="TOC1"/>
        <w:tabs>
          <w:tab w:val="right" w:leader="dot" w:pos="9062"/>
        </w:tabs>
        <w:rPr>
          <w:rFonts w:asciiTheme="minorHAnsi" w:eastAsiaTheme="minorEastAsia" w:hAnsiTheme="minorHAnsi" w:cstheme="minorBidi"/>
          <w:b w:val="0"/>
          <w:bCs w:val="0"/>
          <w:noProof/>
          <w:sz w:val="22"/>
          <w:szCs w:val="22"/>
          <w:lang w:val="en-US"/>
        </w:rPr>
      </w:pPr>
      <w:hyperlink w:anchor="_Toc390771595" w:history="1">
        <w:r w:rsidR="00F16FF3" w:rsidRPr="00BA3C74">
          <w:rPr>
            <w:rStyle w:val="Hyperlink"/>
            <w:noProof/>
          </w:rPr>
          <w:t>3.</w:t>
        </w:r>
        <w:r w:rsidR="00F16FF3">
          <w:rPr>
            <w:rFonts w:asciiTheme="minorHAnsi" w:eastAsiaTheme="minorEastAsia" w:hAnsiTheme="minorHAnsi" w:cstheme="minorBidi"/>
            <w:b w:val="0"/>
            <w:bCs w:val="0"/>
            <w:noProof/>
            <w:sz w:val="22"/>
            <w:szCs w:val="22"/>
            <w:lang w:val="en-US"/>
          </w:rPr>
          <w:tab/>
        </w:r>
        <w:r w:rsidR="00F16FF3" w:rsidRPr="00BA3C74">
          <w:rPr>
            <w:rStyle w:val="Hyperlink"/>
            <w:noProof/>
          </w:rPr>
          <w:t>Key issues observed</w:t>
        </w:r>
        <w:r w:rsidR="00F16FF3">
          <w:rPr>
            <w:noProof/>
            <w:webHidden/>
          </w:rPr>
          <w:tab/>
        </w:r>
        <w:r>
          <w:rPr>
            <w:noProof/>
            <w:webHidden/>
          </w:rPr>
          <w:fldChar w:fldCharType="begin"/>
        </w:r>
        <w:r w:rsidR="00F16FF3">
          <w:rPr>
            <w:noProof/>
            <w:webHidden/>
          </w:rPr>
          <w:instrText xml:space="preserve"> PAGEREF _Toc390771595 \h </w:instrText>
        </w:r>
        <w:r>
          <w:rPr>
            <w:noProof/>
            <w:webHidden/>
          </w:rPr>
        </w:r>
        <w:r>
          <w:rPr>
            <w:noProof/>
            <w:webHidden/>
          </w:rPr>
          <w:fldChar w:fldCharType="separate"/>
        </w:r>
        <w:r w:rsidR="004B2C72">
          <w:rPr>
            <w:noProof/>
            <w:webHidden/>
          </w:rPr>
          <w:t>6</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96" w:history="1">
        <w:r w:rsidR="00F16FF3" w:rsidRPr="00BA3C74">
          <w:rPr>
            <w:rStyle w:val="Hyperlink"/>
            <w:noProof/>
            <w:snapToGrid w:val="0"/>
            <w:w w:val="0"/>
          </w:rPr>
          <w:t>3.1.</w:t>
        </w:r>
        <w:r w:rsidR="00F16FF3">
          <w:rPr>
            <w:rFonts w:asciiTheme="minorHAnsi" w:eastAsiaTheme="minorEastAsia" w:hAnsiTheme="minorHAnsi" w:cstheme="minorBidi"/>
            <w:iCs w:val="0"/>
            <w:noProof/>
            <w:sz w:val="22"/>
            <w:szCs w:val="22"/>
            <w:lang w:val="en-US"/>
          </w:rPr>
          <w:tab/>
        </w:r>
        <w:r w:rsidR="00F16FF3" w:rsidRPr="00BA3C74">
          <w:rPr>
            <w:rStyle w:val="Hyperlink"/>
            <w:noProof/>
          </w:rPr>
          <w:t>High-level observations</w:t>
        </w:r>
        <w:r w:rsidR="00F16FF3">
          <w:rPr>
            <w:noProof/>
            <w:webHidden/>
          </w:rPr>
          <w:tab/>
        </w:r>
        <w:r>
          <w:rPr>
            <w:noProof/>
            <w:webHidden/>
          </w:rPr>
          <w:fldChar w:fldCharType="begin"/>
        </w:r>
        <w:r w:rsidR="00F16FF3">
          <w:rPr>
            <w:noProof/>
            <w:webHidden/>
          </w:rPr>
          <w:instrText xml:space="preserve"> PAGEREF _Toc390771596 \h </w:instrText>
        </w:r>
        <w:r>
          <w:rPr>
            <w:noProof/>
            <w:webHidden/>
          </w:rPr>
        </w:r>
        <w:r>
          <w:rPr>
            <w:noProof/>
            <w:webHidden/>
          </w:rPr>
          <w:fldChar w:fldCharType="separate"/>
        </w:r>
        <w:r w:rsidR="004B2C72">
          <w:rPr>
            <w:noProof/>
            <w:webHidden/>
          </w:rPr>
          <w:t>8</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97" w:history="1">
        <w:r w:rsidR="00F16FF3" w:rsidRPr="00BA3C74">
          <w:rPr>
            <w:rStyle w:val="Hyperlink"/>
            <w:noProof/>
            <w:snapToGrid w:val="0"/>
            <w:w w:val="0"/>
          </w:rPr>
          <w:t>3.2.</w:t>
        </w:r>
        <w:r w:rsidR="00F16FF3">
          <w:rPr>
            <w:rFonts w:asciiTheme="minorHAnsi" w:eastAsiaTheme="minorEastAsia" w:hAnsiTheme="minorHAnsi" w:cstheme="minorBidi"/>
            <w:iCs w:val="0"/>
            <w:noProof/>
            <w:sz w:val="22"/>
            <w:szCs w:val="22"/>
            <w:lang w:val="en-US"/>
          </w:rPr>
          <w:tab/>
        </w:r>
        <w:r w:rsidR="00F16FF3" w:rsidRPr="00BA3C74">
          <w:rPr>
            <w:rStyle w:val="Hyperlink"/>
            <w:noProof/>
          </w:rPr>
          <w:t>Detailed observations</w:t>
        </w:r>
        <w:r w:rsidR="00F16FF3">
          <w:rPr>
            <w:noProof/>
            <w:webHidden/>
          </w:rPr>
          <w:tab/>
        </w:r>
        <w:r>
          <w:rPr>
            <w:noProof/>
            <w:webHidden/>
          </w:rPr>
          <w:fldChar w:fldCharType="begin"/>
        </w:r>
        <w:r w:rsidR="00F16FF3">
          <w:rPr>
            <w:noProof/>
            <w:webHidden/>
          </w:rPr>
          <w:instrText xml:space="preserve"> PAGEREF _Toc390771597 \h </w:instrText>
        </w:r>
        <w:r>
          <w:rPr>
            <w:noProof/>
            <w:webHidden/>
          </w:rPr>
        </w:r>
        <w:r>
          <w:rPr>
            <w:noProof/>
            <w:webHidden/>
          </w:rPr>
          <w:fldChar w:fldCharType="separate"/>
        </w:r>
        <w:r w:rsidR="004B2C72">
          <w:rPr>
            <w:noProof/>
            <w:webHidden/>
          </w:rPr>
          <w:t>19</w:t>
        </w:r>
        <w:r>
          <w:rPr>
            <w:noProof/>
            <w:webHidden/>
          </w:rPr>
          <w:fldChar w:fldCharType="end"/>
        </w:r>
      </w:hyperlink>
    </w:p>
    <w:p w:rsidR="00F16FF3" w:rsidRDefault="00C03A4D">
      <w:pPr>
        <w:pStyle w:val="TOC1"/>
        <w:tabs>
          <w:tab w:val="right" w:leader="dot" w:pos="9062"/>
        </w:tabs>
        <w:rPr>
          <w:rFonts w:asciiTheme="minorHAnsi" w:eastAsiaTheme="minorEastAsia" w:hAnsiTheme="minorHAnsi" w:cstheme="minorBidi"/>
          <w:b w:val="0"/>
          <w:bCs w:val="0"/>
          <w:noProof/>
          <w:sz w:val="22"/>
          <w:szCs w:val="22"/>
          <w:lang w:val="en-US"/>
        </w:rPr>
      </w:pPr>
      <w:hyperlink w:anchor="_Toc390771598" w:history="1">
        <w:r w:rsidR="00F16FF3" w:rsidRPr="00BA3C74">
          <w:rPr>
            <w:rStyle w:val="Hyperlink"/>
            <w:noProof/>
          </w:rPr>
          <w:t>4.</w:t>
        </w:r>
        <w:r w:rsidR="00F16FF3">
          <w:rPr>
            <w:rFonts w:asciiTheme="minorHAnsi" w:eastAsiaTheme="minorEastAsia" w:hAnsiTheme="minorHAnsi" w:cstheme="minorBidi"/>
            <w:b w:val="0"/>
            <w:bCs w:val="0"/>
            <w:noProof/>
            <w:sz w:val="22"/>
            <w:szCs w:val="22"/>
            <w:lang w:val="en-US"/>
          </w:rPr>
          <w:tab/>
        </w:r>
        <w:r w:rsidR="00F16FF3" w:rsidRPr="00BA3C74">
          <w:rPr>
            <w:rStyle w:val="Hyperlink"/>
            <w:noProof/>
          </w:rPr>
          <w:t>Recommendations</w:t>
        </w:r>
        <w:r w:rsidR="00F16FF3">
          <w:rPr>
            <w:noProof/>
            <w:webHidden/>
          </w:rPr>
          <w:tab/>
        </w:r>
        <w:r>
          <w:rPr>
            <w:noProof/>
            <w:webHidden/>
          </w:rPr>
          <w:fldChar w:fldCharType="begin"/>
        </w:r>
        <w:r w:rsidR="00F16FF3">
          <w:rPr>
            <w:noProof/>
            <w:webHidden/>
          </w:rPr>
          <w:instrText xml:space="preserve"> PAGEREF _Toc390771598 \h </w:instrText>
        </w:r>
        <w:r>
          <w:rPr>
            <w:noProof/>
            <w:webHidden/>
          </w:rPr>
        </w:r>
        <w:r>
          <w:rPr>
            <w:noProof/>
            <w:webHidden/>
          </w:rPr>
          <w:fldChar w:fldCharType="separate"/>
        </w:r>
        <w:r w:rsidR="004B2C72">
          <w:rPr>
            <w:noProof/>
            <w:webHidden/>
          </w:rPr>
          <w:t>21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599" w:history="1">
        <w:r w:rsidR="00F16FF3" w:rsidRPr="00BA3C74">
          <w:rPr>
            <w:rStyle w:val="Hyperlink"/>
            <w:noProof/>
            <w:snapToGrid w:val="0"/>
            <w:w w:val="0"/>
          </w:rPr>
          <w:t>4.1.</w:t>
        </w:r>
        <w:r w:rsidR="00F16FF3">
          <w:rPr>
            <w:rFonts w:asciiTheme="minorHAnsi" w:eastAsiaTheme="minorEastAsia" w:hAnsiTheme="minorHAnsi" w:cstheme="minorBidi"/>
            <w:iCs w:val="0"/>
            <w:noProof/>
            <w:sz w:val="22"/>
            <w:szCs w:val="22"/>
            <w:lang w:val="en-US"/>
          </w:rPr>
          <w:tab/>
        </w:r>
        <w:r w:rsidR="00F16FF3" w:rsidRPr="00BA3C74">
          <w:rPr>
            <w:rStyle w:val="Hyperlink"/>
            <w:noProof/>
          </w:rPr>
          <w:t>Detailed review of this report by state and territory agencies</w:t>
        </w:r>
        <w:r w:rsidR="00F16FF3">
          <w:rPr>
            <w:noProof/>
            <w:webHidden/>
          </w:rPr>
          <w:tab/>
        </w:r>
        <w:r>
          <w:rPr>
            <w:noProof/>
            <w:webHidden/>
          </w:rPr>
          <w:fldChar w:fldCharType="begin"/>
        </w:r>
        <w:r w:rsidR="00F16FF3">
          <w:rPr>
            <w:noProof/>
            <w:webHidden/>
          </w:rPr>
          <w:instrText xml:space="preserve"> PAGEREF _Toc390771599 \h </w:instrText>
        </w:r>
        <w:r>
          <w:rPr>
            <w:noProof/>
            <w:webHidden/>
          </w:rPr>
        </w:r>
        <w:r>
          <w:rPr>
            <w:noProof/>
            <w:webHidden/>
          </w:rPr>
          <w:fldChar w:fldCharType="separate"/>
        </w:r>
        <w:r w:rsidR="004B2C72">
          <w:rPr>
            <w:noProof/>
            <w:webHidden/>
          </w:rPr>
          <w:t>21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600" w:history="1">
        <w:r w:rsidR="00F16FF3" w:rsidRPr="00BA3C74">
          <w:rPr>
            <w:rStyle w:val="Hyperlink"/>
            <w:noProof/>
            <w:snapToGrid w:val="0"/>
            <w:w w:val="0"/>
          </w:rPr>
          <w:t>4.2.</w:t>
        </w:r>
        <w:r w:rsidR="00F16FF3">
          <w:rPr>
            <w:rFonts w:asciiTheme="minorHAnsi" w:eastAsiaTheme="minorEastAsia" w:hAnsiTheme="minorHAnsi" w:cstheme="minorBidi"/>
            <w:iCs w:val="0"/>
            <w:noProof/>
            <w:sz w:val="22"/>
            <w:szCs w:val="22"/>
            <w:lang w:val="en-US"/>
          </w:rPr>
          <w:tab/>
        </w:r>
        <w:r w:rsidR="00F16FF3" w:rsidRPr="00BA3C74">
          <w:rPr>
            <w:rStyle w:val="Hyperlink"/>
            <w:noProof/>
          </w:rPr>
          <w:t>More detailed investigation to fill key data gaps</w:t>
        </w:r>
        <w:r w:rsidR="00F16FF3">
          <w:rPr>
            <w:noProof/>
            <w:webHidden/>
          </w:rPr>
          <w:tab/>
        </w:r>
        <w:r>
          <w:rPr>
            <w:noProof/>
            <w:webHidden/>
          </w:rPr>
          <w:fldChar w:fldCharType="begin"/>
        </w:r>
        <w:r w:rsidR="00F16FF3">
          <w:rPr>
            <w:noProof/>
            <w:webHidden/>
          </w:rPr>
          <w:instrText xml:space="preserve"> PAGEREF _Toc390771600 \h </w:instrText>
        </w:r>
        <w:r>
          <w:rPr>
            <w:noProof/>
            <w:webHidden/>
          </w:rPr>
        </w:r>
        <w:r>
          <w:rPr>
            <w:noProof/>
            <w:webHidden/>
          </w:rPr>
          <w:fldChar w:fldCharType="separate"/>
        </w:r>
        <w:r w:rsidR="004B2C72">
          <w:rPr>
            <w:noProof/>
            <w:webHidden/>
          </w:rPr>
          <w:t>21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601" w:history="1">
        <w:r w:rsidR="00F16FF3" w:rsidRPr="00BA3C74">
          <w:rPr>
            <w:rStyle w:val="Hyperlink"/>
            <w:noProof/>
            <w:snapToGrid w:val="0"/>
            <w:w w:val="0"/>
          </w:rPr>
          <w:t>4.3.</w:t>
        </w:r>
        <w:r w:rsidR="00F16FF3">
          <w:rPr>
            <w:rFonts w:asciiTheme="minorHAnsi" w:eastAsiaTheme="minorEastAsia" w:hAnsiTheme="minorHAnsi" w:cstheme="minorBidi"/>
            <w:iCs w:val="0"/>
            <w:noProof/>
            <w:sz w:val="22"/>
            <w:szCs w:val="22"/>
            <w:lang w:val="en-US"/>
          </w:rPr>
          <w:tab/>
        </w:r>
        <w:r w:rsidR="00F16FF3" w:rsidRPr="00BA3C74">
          <w:rPr>
            <w:rStyle w:val="Hyperlink"/>
            <w:noProof/>
          </w:rPr>
          <w:t xml:space="preserve">Update report with </w:t>
        </w:r>
        <w:r w:rsidR="00F16FF3" w:rsidRPr="00BA3C74">
          <w:rPr>
            <w:rStyle w:val="Hyperlink"/>
            <w:i/>
            <w:noProof/>
          </w:rPr>
          <w:t>Waste and Recycling in Australia 2012</w:t>
        </w:r>
        <w:r w:rsidR="00F16FF3">
          <w:rPr>
            <w:noProof/>
            <w:webHidden/>
          </w:rPr>
          <w:tab/>
        </w:r>
        <w:r>
          <w:rPr>
            <w:noProof/>
            <w:webHidden/>
          </w:rPr>
          <w:fldChar w:fldCharType="begin"/>
        </w:r>
        <w:r w:rsidR="00F16FF3">
          <w:rPr>
            <w:noProof/>
            <w:webHidden/>
          </w:rPr>
          <w:instrText xml:space="preserve"> PAGEREF _Toc390771601 \h </w:instrText>
        </w:r>
        <w:r>
          <w:rPr>
            <w:noProof/>
            <w:webHidden/>
          </w:rPr>
        </w:r>
        <w:r>
          <w:rPr>
            <w:noProof/>
            <w:webHidden/>
          </w:rPr>
          <w:fldChar w:fldCharType="separate"/>
        </w:r>
        <w:r w:rsidR="004B2C72">
          <w:rPr>
            <w:noProof/>
            <w:webHidden/>
          </w:rPr>
          <w:t>21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602" w:history="1">
        <w:r w:rsidR="00F16FF3" w:rsidRPr="00BA3C74">
          <w:rPr>
            <w:rStyle w:val="Hyperlink"/>
            <w:noProof/>
            <w:snapToGrid w:val="0"/>
            <w:w w:val="0"/>
          </w:rPr>
          <w:t>4.4.</w:t>
        </w:r>
        <w:r w:rsidR="00F16FF3">
          <w:rPr>
            <w:rFonts w:asciiTheme="minorHAnsi" w:eastAsiaTheme="minorEastAsia" w:hAnsiTheme="minorHAnsi" w:cstheme="minorBidi"/>
            <w:iCs w:val="0"/>
            <w:noProof/>
            <w:sz w:val="22"/>
            <w:szCs w:val="22"/>
            <w:lang w:val="en-US"/>
          </w:rPr>
          <w:tab/>
        </w:r>
        <w:r w:rsidR="00F16FF3" w:rsidRPr="00BA3C74">
          <w:rPr>
            <w:rStyle w:val="Hyperlink"/>
            <w:noProof/>
          </w:rPr>
          <w:t>Classification/policy framework review</w:t>
        </w:r>
        <w:r w:rsidR="00F16FF3">
          <w:rPr>
            <w:noProof/>
            <w:webHidden/>
          </w:rPr>
          <w:tab/>
        </w:r>
        <w:r>
          <w:rPr>
            <w:noProof/>
            <w:webHidden/>
          </w:rPr>
          <w:fldChar w:fldCharType="begin"/>
        </w:r>
        <w:r w:rsidR="00F16FF3">
          <w:rPr>
            <w:noProof/>
            <w:webHidden/>
          </w:rPr>
          <w:instrText xml:space="preserve"> PAGEREF _Toc390771602 \h </w:instrText>
        </w:r>
        <w:r>
          <w:rPr>
            <w:noProof/>
            <w:webHidden/>
          </w:rPr>
        </w:r>
        <w:r>
          <w:rPr>
            <w:noProof/>
            <w:webHidden/>
          </w:rPr>
          <w:fldChar w:fldCharType="separate"/>
        </w:r>
        <w:r w:rsidR="004B2C72">
          <w:rPr>
            <w:noProof/>
            <w:webHidden/>
          </w:rPr>
          <w:t>21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603" w:history="1">
        <w:r w:rsidR="00F16FF3" w:rsidRPr="00BA3C74">
          <w:rPr>
            <w:rStyle w:val="Hyperlink"/>
            <w:noProof/>
            <w:snapToGrid w:val="0"/>
            <w:w w:val="0"/>
          </w:rPr>
          <w:t>4.5.</w:t>
        </w:r>
        <w:r w:rsidR="00F16FF3">
          <w:rPr>
            <w:rFonts w:asciiTheme="minorHAnsi" w:eastAsiaTheme="minorEastAsia" w:hAnsiTheme="minorHAnsi" w:cstheme="minorBidi"/>
            <w:iCs w:val="0"/>
            <w:noProof/>
            <w:sz w:val="22"/>
            <w:szCs w:val="22"/>
            <w:lang w:val="en-US"/>
          </w:rPr>
          <w:tab/>
        </w:r>
        <w:r w:rsidR="00F16FF3" w:rsidRPr="00BA3C74">
          <w:rPr>
            <w:rStyle w:val="Hyperlink"/>
            <w:noProof/>
          </w:rPr>
          <w:t>Investigate clinical waste data</w:t>
        </w:r>
        <w:r w:rsidR="00F16FF3">
          <w:rPr>
            <w:noProof/>
            <w:webHidden/>
          </w:rPr>
          <w:tab/>
        </w:r>
        <w:r>
          <w:rPr>
            <w:noProof/>
            <w:webHidden/>
          </w:rPr>
          <w:fldChar w:fldCharType="begin"/>
        </w:r>
        <w:r w:rsidR="00F16FF3">
          <w:rPr>
            <w:noProof/>
            <w:webHidden/>
          </w:rPr>
          <w:instrText xml:space="preserve"> PAGEREF _Toc390771603 \h </w:instrText>
        </w:r>
        <w:r>
          <w:rPr>
            <w:noProof/>
            <w:webHidden/>
          </w:rPr>
        </w:r>
        <w:r>
          <w:rPr>
            <w:noProof/>
            <w:webHidden/>
          </w:rPr>
          <w:fldChar w:fldCharType="separate"/>
        </w:r>
        <w:r w:rsidR="004B2C72">
          <w:rPr>
            <w:noProof/>
            <w:webHidden/>
          </w:rPr>
          <w:t>21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604" w:history="1">
        <w:r w:rsidR="00F16FF3" w:rsidRPr="00BA3C74">
          <w:rPr>
            <w:rStyle w:val="Hyperlink"/>
            <w:noProof/>
            <w:snapToGrid w:val="0"/>
            <w:w w:val="0"/>
          </w:rPr>
          <w:t>4.6.</w:t>
        </w:r>
        <w:r w:rsidR="00F16FF3">
          <w:rPr>
            <w:rFonts w:asciiTheme="minorHAnsi" w:eastAsiaTheme="minorEastAsia" w:hAnsiTheme="minorHAnsi" w:cstheme="minorBidi"/>
            <w:iCs w:val="0"/>
            <w:noProof/>
            <w:sz w:val="22"/>
            <w:szCs w:val="22"/>
            <w:lang w:val="en-US"/>
          </w:rPr>
          <w:tab/>
        </w:r>
        <w:r w:rsidR="00F16FF3" w:rsidRPr="00BA3C74">
          <w:rPr>
            <w:rStyle w:val="Hyperlink"/>
            <w:noProof/>
          </w:rPr>
          <w:t>Co-operative Commonwealth/state data analysis project opportunities</w:t>
        </w:r>
        <w:r w:rsidR="00F16FF3">
          <w:rPr>
            <w:noProof/>
            <w:webHidden/>
          </w:rPr>
          <w:tab/>
        </w:r>
        <w:r>
          <w:rPr>
            <w:noProof/>
            <w:webHidden/>
          </w:rPr>
          <w:fldChar w:fldCharType="begin"/>
        </w:r>
        <w:r w:rsidR="00F16FF3">
          <w:rPr>
            <w:noProof/>
            <w:webHidden/>
          </w:rPr>
          <w:instrText xml:space="preserve"> PAGEREF _Toc390771604 \h </w:instrText>
        </w:r>
        <w:r>
          <w:rPr>
            <w:noProof/>
            <w:webHidden/>
          </w:rPr>
        </w:r>
        <w:r>
          <w:rPr>
            <w:noProof/>
            <w:webHidden/>
          </w:rPr>
          <w:fldChar w:fldCharType="separate"/>
        </w:r>
        <w:r w:rsidR="004B2C72">
          <w:rPr>
            <w:noProof/>
            <w:webHidden/>
          </w:rPr>
          <w:t>21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605" w:history="1">
        <w:r w:rsidR="00F16FF3" w:rsidRPr="00BA3C74">
          <w:rPr>
            <w:rStyle w:val="Hyperlink"/>
            <w:noProof/>
            <w:snapToGrid w:val="0"/>
            <w:w w:val="0"/>
          </w:rPr>
          <w:t>4.7.</w:t>
        </w:r>
        <w:r w:rsidR="00F16FF3">
          <w:rPr>
            <w:rFonts w:asciiTheme="minorHAnsi" w:eastAsiaTheme="minorEastAsia" w:hAnsiTheme="minorHAnsi" w:cstheme="minorBidi"/>
            <w:iCs w:val="0"/>
            <w:noProof/>
            <w:sz w:val="22"/>
            <w:szCs w:val="22"/>
            <w:lang w:val="en-US"/>
          </w:rPr>
          <w:tab/>
        </w:r>
        <w:r w:rsidR="00F16FF3" w:rsidRPr="00BA3C74">
          <w:rPr>
            <w:rStyle w:val="Hyperlink"/>
            <w:noProof/>
          </w:rPr>
          <w:t>Further work on the hazardous component of C&amp;I waste</w:t>
        </w:r>
        <w:r w:rsidR="00F16FF3">
          <w:rPr>
            <w:noProof/>
            <w:webHidden/>
          </w:rPr>
          <w:tab/>
        </w:r>
        <w:r>
          <w:rPr>
            <w:noProof/>
            <w:webHidden/>
          </w:rPr>
          <w:fldChar w:fldCharType="begin"/>
        </w:r>
        <w:r w:rsidR="00F16FF3">
          <w:rPr>
            <w:noProof/>
            <w:webHidden/>
          </w:rPr>
          <w:instrText xml:space="preserve"> PAGEREF _Toc390771605 \h </w:instrText>
        </w:r>
        <w:r>
          <w:rPr>
            <w:noProof/>
            <w:webHidden/>
          </w:rPr>
        </w:r>
        <w:r>
          <w:rPr>
            <w:noProof/>
            <w:webHidden/>
          </w:rPr>
          <w:fldChar w:fldCharType="separate"/>
        </w:r>
        <w:r w:rsidR="004B2C72">
          <w:rPr>
            <w:noProof/>
            <w:webHidden/>
          </w:rPr>
          <w:t>21</w:t>
        </w:r>
        <w:r>
          <w:rPr>
            <w:noProof/>
            <w:webHidden/>
          </w:rPr>
          <w:fldChar w:fldCharType="end"/>
        </w:r>
      </w:hyperlink>
    </w:p>
    <w:p w:rsidR="00F16FF3" w:rsidRDefault="00C03A4D">
      <w:pPr>
        <w:pStyle w:val="TOC2"/>
        <w:rPr>
          <w:rFonts w:asciiTheme="minorHAnsi" w:eastAsiaTheme="minorEastAsia" w:hAnsiTheme="minorHAnsi" w:cstheme="minorBidi"/>
          <w:iCs w:val="0"/>
          <w:noProof/>
          <w:sz w:val="22"/>
          <w:szCs w:val="22"/>
          <w:lang w:val="en-US"/>
        </w:rPr>
      </w:pPr>
      <w:hyperlink w:anchor="_Toc390771606" w:history="1">
        <w:r w:rsidR="00F16FF3" w:rsidRPr="00BA3C74">
          <w:rPr>
            <w:rStyle w:val="Hyperlink"/>
            <w:noProof/>
            <w:snapToGrid w:val="0"/>
            <w:w w:val="0"/>
          </w:rPr>
          <w:t>4.8.</w:t>
        </w:r>
        <w:r w:rsidR="00F16FF3">
          <w:rPr>
            <w:rFonts w:asciiTheme="minorHAnsi" w:eastAsiaTheme="minorEastAsia" w:hAnsiTheme="minorHAnsi" w:cstheme="minorBidi"/>
            <w:iCs w:val="0"/>
            <w:noProof/>
            <w:sz w:val="22"/>
            <w:szCs w:val="22"/>
            <w:lang w:val="en-US"/>
          </w:rPr>
          <w:tab/>
        </w:r>
        <w:r w:rsidR="00F16FF3" w:rsidRPr="00BA3C74">
          <w:rPr>
            <w:rStyle w:val="Hyperlink"/>
            <w:noProof/>
          </w:rPr>
          <w:t>Establish a replicable hazardous waste data collection methodology</w:t>
        </w:r>
        <w:r w:rsidR="00F16FF3">
          <w:rPr>
            <w:noProof/>
            <w:webHidden/>
          </w:rPr>
          <w:tab/>
        </w:r>
        <w:r>
          <w:rPr>
            <w:noProof/>
            <w:webHidden/>
          </w:rPr>
          <w:fldChar w:fldCharType="begin"/>
        </w:r>
        <w:r w:rsidR="00F16FF3">
          <w:rPr>
            <w:noProof/>
            <w:webHidden/>
          </w:rPr>
          <w:instrText xml:space="preserve"> PAGEREF _Toc390771606 \h </w:instrText>
        </w:r>
        <w:r>
          <w:rPr>
            <w:noProof/>
            <w:webHidden/>
          </w:rPr>
        </w:r>
        <w:r>
          <w:rPr>
            <w:noProof/>
            <w:webHidden/>
          </w:rPr>
          <w:fldChar w:fldCharType="separate"/>
        </w:r>
        <w:r w:rsidR="004B2C72">
          <w:rPr>
            <w:noProof/>
            <w:webHidden/>
          </w:rPr>
          <w:t>22</w:t>
        </w:r>
        <w:r>
          <w:rPr>
            <w:noProof/>
            <w:webHidden/>
          </w:rPr>
          <w:fldChar w:fldCharType="end"/>
        </w:r>
      </w:hyperlink>
    </w:p>
    <w:p w:rsidR="00221D2E" w:rsidRDefault="00C03A4D" w:rsidP="00101EA2">
      <w:pPr>
        <w:rPr>
          <w:b/>
          <w:bCs/>
          <w:szCs w:val="20"/>
        </w:rPr>
      </w:pPr>
      <w:r>
        <w:rPr>
          <w:b/>
          <w:bCs/>
          <w:szCs w:val="20"/>
        </w:rPr>
        <w:fldChar w:fldCharType="end"/>
      </w:r>
    </w:p>
    <w:p w:rsidR="00256B07" w:rsidRDefault="00256B07">
      <w:pPr>
        <w:spacing w:after="0"/>
        <w:jc w:val="left"/>
        <w:rPr>
          <w:b/>
          <w:sz w:val="28"/>
          <w:szCs w:val="28"/>
        </w:rPr>
      </w:pPr>
      <w:r>
        <w:rPr>
          <w:b/>
          <w:sz w:val="28"/>
          <w:szCs w:val="28"/>
        </w:rPr>
        <w:br w:type="page"/>
      </w:r>
    </w:p>
    <w:p w:rsidR="006B5843" w:rsidRPr="006B5843" w:rsidRDefault="006B5843" w:rsidP="00101EA2">
      <w:pPr>
        <w:jc w:val="center"/>
        <w:rPr>
          <w:b/>
          <w:sz w:val="28"/>
          <w:szCs w:val="28"/>
        </w:rPr>
      </w:pPr>
      <w:r w:rsidRPr="006B5843">
        <w:rPr>
          <w:b/>
          <w:sz w:val="28"/>
          <w:szCs w:val="28"/>
        </w:rPr>
        <w:lastRenderedPageBreak/>
        <w:t>FIGURES</w:t>
      </w:r>
    </w:p>
    <w:p w:rsidR="00E44EB1" w:rsidRDefault="00C03A4D">
      <w:pPr>
        <w:pStyle w:val="TableofFigures"/>
        <w:tabs>
          <w:tab w:val="right" w:leader="dot" w:pos="9062"/>
        </w:tabs>
        <w:rPr>
          <w:rFonts w:asciiTheme="minorHAnsi" w:eastAsiaTheme="minorEastAsia" w:hAnsiTheme="minorHAnsi" w:cstheme="minorBidi"/>
          <w:bCs w:val="0"/>
          <w:noProof/>
          <w:sz w:val="22"/>
          <w:szCs w:val="22"/>
          <w:lang w:eastAsia="en-AU"/>
        </w:rPr>
      </w:pPr>
      <w:r>
        <w:rPr>
          <w:noProof/>
        </w:rPr>
        <w:fldChar w:fldCharType="begin"/>
      </w:r>
      <w:r w:rsidR="00EB468B">
        <w:rPr>
          <w:noProof/>
        </w:rPr>
        <w:instrText xml:space="preserve"> TOC \h \z \c "Figure" </w:instrText>
      </w:r>
      <w:r>
        <w:rPr>
          <w:noProof/>
        </w:rPr>
        <w:fldChar w:fldCharType="separate"/>
      </w:r>
      <w:hyperlink w:anchor="_Toc350441368" w:history="1">
        <w:r w:rsidR="00E44EB1" w:rsidRPr="00A421F8">
          <w:rPr>
            <w:rStyle w:val="Hyperlink"/>
            <w:noProof/>
          </w:rPr>
          <w:t>Figure 1</w:t>
        </w:r>
        <w:r w:rsidR="00174C60">
          <w:rPr>
            <w:rStyle w:val="Hyperlink"/>
            <w:noProof/>
          </w:rPr>
          <w:t>—</w:t>
        </w:r>
        <w:r w:rsidR="00E44EB1" w:rsidRPr="00A421F8">
          <w:rPr>
            <w:rStyle w:val="Hyperlink"/>
            <w:noProof/>
          </w:rPr>
          <w:t xml:space="preserve">Tracked hazardous waste generated by jurisdictions in </w:t>
        </w:r>
        <w:r w:rsidR="00460043">
          <w:rPr>
            <w:rStyle w:val="Hyperlink"/>
            <w:noProof/>
          </w:rPr>
          <w:t>2010–11</w:t>
        </w:r>
        <w:r w:rsidR="00E44EB1">
          <w:rPr>
            <w:noProof/>
            <w:webHidden/>
          </w:rPr>
          <w:tab/>
        </w:r>
        <w:r>
          <w:rPr>
            <w:noProof/>
            <w:webHidden/>
          </w:rPr>
          <w:fldChar w:fldCharType="begin"/>
        </w:r>
        <w:r w:rsidR="00E44EB1">
          <w:rPr>
            <w:noProof/>
            <w:webHidden/>
          </w:rPr>
          <w:instrText xml:space="preserve"> PAGEREF _Toc350441368 \h </w:instrText>
        </w:r>
        <w:r>
          <w:rPr>
            <w:noProof/>
            <w:webHidden/>
          </w:rPr>
        </w:r>
        <w:r>
          <w:rPr>
            <w:noProof/>
            <w:webHidden/>
          </w:rPr>
          <w:fldChar w:fldCharType="separate"/>
        </w:r>
        <w:r w:rsidR="004B2C72">
          <w:rPr>
            <w:noProof/>
            <w:webHidden/>
          </w:rPr>
          <w:t>9</w:t>
        </w:r>
        <w:r>
          <w:rPr>
            <w:noProof/>
            <w:webHidden/>
          </w:rPr>
          <w:fldChar w:fldCharType="end"/>
        </w:r>
      </w:hyperlink>
    </w:p>
    <w:p w:rsidR="00E44EB1" w:rsidRDefault="00C03A4D">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69" w:history="1">
        <w:r w:rsidR="00E44EB1" w:rsidRPr="00A421F8">
          <w:rPr>
            <w:rStyle w:val="Hyperlink"/>
            <w:noProof/>
          </w:rPr>
          <w:t>Figure 2</w:t>
        </w:r>
        <w:r w:rsidR="00174C60">
          <w:rPr>
            <w:rStyle w:val="Hyperlink"/>
            <w:noProof/>
          </w:rPr>
          <w:t>—</w:t>
        </w:r>
        <w:r w:rsidR="00E44EB1" w:rsidRPr="00A421F8">
          <w:rPr>
            <w:rStyle w:val="Hyperlink"/>
            <w:noProof/>
          </w:rPr>
          <w:t xml:space="preserve">Normalised hazardous waste generated by jurisdiction in </w:t>
        </w:r>
        <w:r w:rsidR="00460043">
          <w:rPr>
            <w:rStyle w:val="Hyperlink"/>
            <w:noProof/>
          </w:rPr>
          <w:t>2010–11</w:t>
        </w:r>
        <w:r w:rsidR="00E44EB1">
          <w:rPr>
            <w:noProof/>
            <w:webHidden/>
          </w:rPr>
          <w:tab/>
        </w:r>
        <w:r>
          <w:rPr>
            <w:noProof/>
            <w:webHidden/>
          </w:rPr>
          <w:fldChar w:fldCharType="begin"/>
        </w:r>
        <w:r w:rsidR="00E44EB1">
          <w:rPr>
            <w:noProof/>
            <w:webHidden/>
          </w:rPr>
          <w:instrText xml:space="preserve"> PAGEREF _Toc350441369 \h </w:instrText>
        </w:r>
        <w:r>
          <w:rPr>
            <w:noProof/>
            <w:webHidden/>
          </w:rPr>
        </w:r>
        <w:r>
          <w:rPr>
            <w:noProof/>
            <w:webHidden/>
          </w:rPr>
          <w:fldChar w:fldCharType="separate"/>
        </w:r>
        <w:r w:rsidR="004B2C72">
          <w:rPr>
            <w:noProof/>
            <w:webHidden/>
          </w:rPr>
          <w:t>12</w:t>
        </w:r>
        <w:r>
          <w:rPr>
            <w:noProof/>
            <w:webHidden/>
          </w:rPr>
          <w:fldChar w:fldCharType="end"/>
        </w:r>
      </w:hyperlink>
    </w:p>
    <w:p w:rsidR="00E44EB1" w:rsidRDefault="00C03A4D">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70" w:history="1">
        <w:r w:rsidR="00E44EB1" w:rsidRPr="00A421F8">
          <w:rPr>
            <w:rStyle w:val="Hyperlink"/>
            <w:noProof/>
          </w:rPr>
          <w:t>Figure 3</w:t>
        </w:r>
        <w:r w:rsidR="00174C60">
          <w:rPr>
            <w:rStyle w:val="Hyperlink"/>
            <w:noProof/>
          </w:rPr>
          <w:t>—</w:t>
        </w:r>
        <w:r w:rsidR="00E44EB1" w:rsidRPr="00A421F8">
          <w:rPr>
            <w:rStyle w:val="Hyperlink"/>
            <w:noProof/>
          </w:rPr>
          <w:t xml:space="preserve">Normalised hazardous waste generated by jurisdiction in </w:t>
        </w:r>
        <w:r w:rsidR="00460043">
          <w:rPr>
            <w:rStyle w:val="Hyperlink"/>
            <w:noProof/>
          </w:rPr>
          <w:t>2010–11</w:t>
        </w:r>
        <w:r w:rsidR="00E44EB1" w:rsidRPr="00A421F8">
          <w:rPr>
            <w:rStyle w:val="Hyperlink"/>
            <w:noProof/>
          </w:rPr>
          <w:t xml:space="preserve"> (excluding contaminated soils)</w:t>
        </w:r>
        <w:r w:rsidR="00E44EB1">
          <w:rPr>
            <w:noProof/>
            <w:webHidden/>
          </w:rPr>
          <w:tab/>
        </w:r>
        <w:r>
          <w:rPr>
            <w:noProof/>
            <w:webHidden/>
          </w:rPr>
          <w:fldChar w:fldCharType="begin"/>
        </w:r>
        <w:r w:rsidR="00E44EB1">
          <w:rPr>
            <w:noProof/>
            <w:webHidden/>
          </w:rPr>
          <w:instrText xml:space="preserve"> PAGEREF _Toc350441370 \h </w:instrText>
        </w:r>
        <w:r>
          <w:rPr>
            <w:noProof/>
            <w:webHidden/>
          </w:rPr>
        </w:r>
        <w:r>
          <w:rPr>
            <w:noProof/>
            <w:webHidden/>
          </w:rPr>
          <w:fldChar w:fldCharType="separate"/>
        </w:r>
        <w:r w:rsidR="004B2C72">
          <w:rPr>
            <w:noProof/>
            <w:webHidden/>
          </w:rPr>
          <w:t>15</w:t>
        </w:r>
        <w:r>
          <w:rPr>
            <w:noProof/>
            <w:webHidden/>
          </w:rPr>
          <w:fldChar w:fldCharType="end"/>
        </w:r>
      </w:hyperlink>
    </w:p>
    <w:p w:rsidR="00E44EB1" w:rsidRDefault="00C03A4D">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71" w:history="1">
        <w:r w:rsidR="00E44EB1" w:rsidRPr="00A421F8">
          <w:rPr>
            <w:rStyle w:val="Hyperlink"/>
            <w:noProof/>
          </w:rPr>
          <w:t>Figure 4</w:t>
        </w:r>
        <w:r w:rsidR="00174C60">
          <w:rPr>
            <w:rStyle w:val="Hyperlink"/>
            <w:noProof/>
          </w:rPr>
          <w:t>—</w:t>
        </w:r>
        <w:r w:rsidR="00E44EB1" w:rsidRPr="00A421F8">
          <w:rPr>
            <w:rStyle w:val="Hyperlink"/>
            <w:noProof/>
          </w:rPr>
          <w:t xml:space="preserve">Normalised hazardous waste generation per capita in </w:t>
        </w:r>
        <w:r w:rsidR="00460043">
          <w:rPr>
            <w:rStyle w:val="Hyperlink"/>
            <w:noProof/>
          </w:rPr>
          <w:t>2010–11</w:t>
        </w:r>
        <w:r w:rsidR="00E44EB1" w:rsidRPr="00A421F8">
          <w:rPr>
            <w:rStyle w:val="Hyperlink"/>
            <w:noProof/>
          </w:rPr>
          <w:t xml:space="preserve"> (excluding contaminated soils)</w:t>
        </w:r>
        <w:r w:rsidR="00E44EB1">
          <w:rPr>
            <w:noProof/>
            <w:webHidden/>
          </w:rPr>
          <w:tab/>
        </w:r>
        <w:r>
          <w:rPr>
            <w:noProof/>
            <w:webHidden/>
          </w:rPr>
          <w:fldChar w:fldCharType="begin"/>
        </w:r>
        <w:r w:rsidR="00E44EB1">
          <w:rPr>
            <w:noProof/>
            <w:webHidden/>
          </w:rPr>
          <w:instrText xml:space="preserve"> PAGEREF _Toc350441371 \h </w:instrText>
        </w:r>
        <w:r>
          <w:rPr>
            <w:noProof/>
            <w:webHidden/>
          </w:rPr>
        </w:r>
        <w:r>
          <w:rPr>
            <w:noProof/>
            <w:webHidden/>
          </w:rPr>
          <w:fldChar w:fldCharType="separate"/>
        </w:r>
        <w:r w:rsidR="004B2C72">
          <w:rPr>
            <w:noProof/>
            <w:webHidden/>
          </w:rPr>
          <w:t>16</w:t>
        </w:r>
        <w:r>
          <w:rPr>
            <w:noProof/>
            <w:webHidden/>
          </w:rPr>
          <w:fldChar w:fldCharType="end"/>
        </w:r>
      </w:hyperlink>
    </w:p>
    <w:p w:rsidR="00E44EB1" w:rsidRDefault="00C03A4D">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72" w:history="1">
        <w:r w:rsidR="00E44EB1" w:rsidRPr="00A421F8">
          <w:rPr>
            <w:rStyle w:val="Hyperlink"/>
            <w:noProof/>
          </w:rPr>
          <w:t>Figure 5</w:t>
        </w:r>
        <w:r w:rsidR="00174C60">
          <w:rPr>
            <w:rStyle w:val="Hyperlink"/>
            <w:noProof/>
          </w:rPr>
          <w:t>—</w:t>
        </w:r>
        <w:r w:rsidR="00E44EB1" w:rsidRPr="00A421F8">
          <w:rPr>
            <w:rStyle w:val="Hyperlink"/>
            <w:noProof/>
          </w:rPr>
          <w:t xml:space="preserve">Normalised hazardous waste generation per capita in </w:t>
        </w:r>
        <w:r w:rsidR="00460043">
          <w:rPr>
            <w:rStyle w:val="Hyperlink"/>
            <w:noProof/>
          </w:rPr>
          <w:t>2010–11</w:t>
        </w:r>
        <w:r w:rsidR="00E44EB1" w:rsidRPr="00A421F8">
          <w:rPr>
            <w:rStyle w:val="Hyperlink"/>
            <w:noProof/>
          </w:rPr>
          <w:t xml:space="preserve"> (including contaminated soils)</w:t>
        </w:r>
        <w:r w:rsidR="00E44EB1">
          <w:rPr>
            <w:noProof/>
            <w:webHidden/>
          </w:rPr>
          <w:tab/>
        </w:r>
        <w:r>
          <w:rPr>
            <w:noProof/>
            <w:webHidden/>
          </w:rPr>
          <w:fldChar w:fldCharType="begin"/>
        </w:r>
        <w:r w:rsidR="00E44EB1">
          <w:rPr>
            <w:noProof/>
            <w:webHidden/>
          </w:rPr>
          <w:instrText xml:space="preserve"> PAGEREF _Toc350441372 \h </w:instrText>
        </w:r>
        <w:r>
          <w:rPr>
            <w:noProof/>
            <w:webHidden/>
          </w:rPr>
        </w:r>
        <w:r>
          <w:rPr>
            <w:noProof/>
            <w:webHidden/>
          </w:rPr>
          <w:fldChar w:fldCharType="separate"/>
        </w:r>
        <w:r w:rsidR="004B2C72">
          <w:rPr>
            <w:noProof/>
            <w:webHidden/>
          </w:rPr>
          <w:t>16</w:t>
        </w:r>
        <w:r>
          <w:rPr>
            <w:noProof/>
            <w:webHidden/>
          </w:rPr>
          <w:fldChar w:fldCharType="end"/>
        </w:r>
      </w:hyperlink>
    </w:p>
    <w:p w:rsidR="00544325" w:rsidRPr="00544325" w:rsidRDefault="00C03A4D" w:rsidP="00FB3BA5">
      <w:pPr>
        <w:pStyle w:val="TableofFigures"/>
        <w:tabs>
          <w:tab w:val="left" w:pos="1418"/>
          <w:tab w:val="right" w:pos="9062"/>
        </w:tabs>
        <w:spacing w:line="276" w:lineRule="auto"/>
        <w:jc w:val="center"/>
        <w:rPr>
          <w:b/>
          <w:sz w:val="28"/>
          <w:szCs w:val="28"/>
        </w:rPr>
      </w:pPr>
      <w:r>
        <w:rPr>
          <w:noProof/>
        </w:rPr>
        <w:fldChar w:fldCharType="end"/>
      </w:r>
      <w:r w:rsidR="00544325" w:rsidRPr="00544325">
        <w:rPr>
          <w:b/>
          <w:sz w:val="28"/>
          <w:szCs w:val="28"/>
        </w:rPr>
        <w:t>TABLES</w:t>
      </w:r>
    </w:p>
    <w:p w:rsidR="00E44EB1" w:rsidRDefault="00C03A4D">
      <w:pPr>
        <w:pStyle w:val="TableofFigures"/>
        <w:tabs>
          <w:tab w:val="right" w:leader="dot" w:pos="9062"/>
        </w:tabs>
        <w:rPr>
          <w:rFonts w:asciiTheme="minorHAnsi" w:eastAsiaTheme="minorEastAsia" w:hAnsiTheme="minorHAnsi" w:cstheme="minorBidi"/>
          <w:bCs w:val="0"/>
          <w:noProof/>
          <w:sz w:val="22"/>
          <w:szCs w:val="22"/>
          <w:lang w:eastAsia="en-AU"/>
        </w:rPr>
      </w:pPr>
      <w:r w:rsidRPr="00C03A4D">
        <w:rPr>
          <w:noProof/>
        </w:rPr>
        <w:fldChar w:fldCharType="begin"/>
      </w:r>
      <w:r w:rsidR="00EB468B">
        <w:rPr>
          <w:noProof/>
        </w:rPr>
        <w:instrText xml:space="preserve"> TOC \h \z \c "Table" </w:instrText>
      </w:r>
      <w:r w:rsidRPr="00C03A4D">
        <w:rPr>
          <w:noProof/>
        </w:rPr>
        <w:fldChar w:fldCharType="separate"/>
      </w:r>
      <w:hyperlink w:anchor="_Toc350441373" w:history="1">
        <w:r w:rsidR="00E44EB1" w:rsidRPr="000A2DDA">
          <w:rPr>
            <w:rStyle w:val="Hyperlink"/>
            <w:noProof/>
          </w:rPr>
          <w:t>Table 1</w:t>
        </w:r>
        <w:r w:rsidR="00174C60">
          <w:rPr>
            <w:rStyle w:val="Hyperlink"/>
            <w:noProof/>
          </w:rPr>
          <w:t>—</w:t>
        </w:r>
        <w:r w:rsidR="00E44EB1" w:rsidRPr="000A2DDA">
          <w:rPr>
            <w:rStyle w:val="Hyperlink"/>
            <w:noProof/>
          </w:rPr>
          <w:t xml:space="preserve">Major waste generation data observations and discrepancies (tracked data only) in </w:t>
        </w:r>
        <w:r w:rsidR="00460043">
          <w:rPr>
            <w:rStyle w:val="Hyperlink"/>
            <w:noProof/>
          </w:rPr>
          <w:t>2010–11</w:t>
        </w:r>
        <w:r w:rsidR="00E44EB1">
          <w:rPr>
            <w:noProof/>
            <w:webHidden/>
          </w:rPr>
          <w:tab/>
        </w:r>
        <w:r>
          <w:rPr>
            <w:noProof/>
            <w:webHidden/>
          </w:rPr>
          <w:fldChar w:fldCharType="begin"/>
        </w:r>
        <w:r w:rsidR="00E44EB1">
          <w:rPr>
            <w:noProof/>
            <w:webHidden/>
          </w:rPr>
          <w:instrText xml:space="preserve"> PAGEREF _Toc350441373 \h </w:instrText>
        </w:r>
        <w:r>
          <w:rPr>
            <w:noProof/>
            <w:webHidden/>
          </w:rPr>
        </w:r>
        <w:r>
          <w:rPr>
            <w:noProof/>
            <w:webHidden/>
          </w:rPr>
          <w:fldChar w:fldCharType="separate"/>
        </w:r>
        <w:r w:rsidR="004B2C72">
          <w:rPr>
            <w:noProof/>
            <w:webHidden/>
          </w:rPr>
          <w:t>7</w:t>
        </w:r>
        <w:r>
          <w:rPr>
            <w:noProof/>
            <w:webHidden/>
          </w:rPr>
          <w:fldChar w:fldCharType="end"/>
        </w:r>
      </w:hyperlink>
    </w:p>
    <w:p w:rsidR="00E44EB1" w:rsidRDefault="00C03A4D">
      <w:pPr>
        <w:pStyle w:val="TableofFigures"/>
        <w:tabs>
          <w:tab w:val="right" w:leader="dot" w:pos="9062"/>
        </w:tabs>
        <w:rPr>
          <w:rFonts w:asciiTheme="minorHAnsi" w:eastAsiaTheme="minorEastAsia" w:hAnsiTheme="minorHAnsi" w:cstheme="minorBidi"/>
          <w:bCs w:val="0"/>
          <w:noProof/>
          <w:sz w:val="22"/>
          <w:szCs w:val="22"/>
          <w:lang w:eastAsia="en-AU"/>
        </w:rPr>
      </w:pPr>
      <w:hyperlink w:anchor="_Toc350441374" w:history="1">
        <w:r w:rsidR="00E44EB1" w:rsidRPr="000A2DDA">
          <w:rPr>
            <w:rStyle w:val="Hyperlink"/>
            <w:noProof/>
          </w:rPr>
          <w:t>Table 2</w:t>
        </w:r>
        <w:r w:rsidR="00174C60">
          <w:rPr>
            <w:rStyle w:val="Hyperlink"/>
            <w:noProof/>
          </w:rPr>
          <w:t>—</w:t>
        </w:r>
        <w:r w:rsidR="00E44EB1" w:rsidRPr="000A2DDA">
          <w:rPr>
            <w:rStyle w:val="Hyperlink"/>
            <w:noProof/>
          </w:rPr>
          <w:t xml:space="preserve">Major waste generation data observations in </w:t>
        </w:r>
        <w:r w:rsidR="00460043">
          <w:rPr>
            <w:rStyle w:val="Hyperlink"/>
            <w:noProof/>
          </w:rPr>
          <w:t>2010–11</w:t>
        </w:r>
        <w:r w:rsidR="00E44EB1" w:rsidRPr="000A2DDA">
          <w:rPr>
            <w:rStyle w:val="Hyperlink"/>
            <w:noProof/>
          </w:rPr>
          <w:t>, after normalisation</w:t>
        </w:r>
        <w:r w:rsidR="00E44EB1">
          <w:rPr>
            <w:noProof/>
            <w:webHidden/>
          </w:rPr>
          <w:tab/>
        </w:r>
        <w:r>
          <w:rPr>
            <w:noProof/>
            <w:webHidden/>
          </w:rPr>
          <w:fldChar w:fldCharType="begin"/>
        </w:r>
        <w:r w:rsidR="00E44EB1">
          <w:rPr>
            <w:noProof/>
            <w:webHidden/>
          </w:rPr>
          <w:instrText xml:space="preserve"> PAGEREF _Toc350441374 \h </w:instrText>
        </w:r>
        <w:r>
          <w:rPr>
            <w:noProof/>
            <w:webHidden/>
          </w:rPr>
        </w:r>
        <w:r>
          <w:rPr>
            <w:noProof/>
            <w:webHidden/>
          </w:rPr>
          <w:fldChar w:fldCharType="separate"/>
        </w:r>
        <w:r w:rsidR="004B2C72">
          <w:rPr>
            <w:noProof/>
            <w:webHidden/>
          </w:rPr>
          <w:t>13</w:t>
        </w:r>
        <w:r>
          <w:rPr>
            <w:noProof/>
            <w:webHidden/>
          </w:rPr>
          <w:fldChar w:fldCharType="end"/>
        </w:r>
      </w:hyperlink>
    </w:p>
    <w:p w:rsidR="007173FC" w:rsidRDefault="00C03A4D" w:rsidP="00C524E0">
      <w:pPr>
        <w:spacing w:before="360"/>
        <w:jc w:val="center"/>
        <w:rPr>
          <w:b/>
          <w:caps/>
          <w:sz w:val="28"/>
          <w:szCs w:val="28"/>
        </w:rPr>
      </w:pPr>
      <w:r>
        <w:rPr>
          <w:noProof/>
        </w:rPr>
        <w:fldChar w:fldCharType="end"/>
      </w:r>
      <w:r w:rsidR="007173FC" w:rsidRPr="007173FC">
        <w:rPr>
          <w:b/>
          <w:caps/>
          <w:sz w:val="28"/>
          <w:szCs w:val="28"/>
        </w:rPr>
        <w:t xml:space="preserve"> </w:t>
      </w:r>
      <w:r w:rsidR="007173FC" w:rsidRPr="00CC7758">
        <w:rPr>
          <w:b/>
          <w:caps/>
          <w:sz w:val="28"/>
          <w:szCs w:val="28"/>
        </w:rPr>
        <w:t>Appendi</w:t>
      </w:r>
      <w:r w:rsidR="0040590A">
        <w:rPr>
          <w:b/>
          <w:caps/>
          <w:sz w:val="28"/>
          <w:szCs w:val="28"/>
        </w:rPr>
        <w:t>CES</w:t>
      </w:r>
    </w:p>
    <w:p w:rsidR="007173FC" w:rsidRPr="00FE2606" w:rsidRDefault="007173FC" w:rsidP="007173FC">
      <w:pPr>
        <w:spacing w:after="200"/>
        <w:rPr>
          <w:bCs/>
          <w:szCs w:val="20"/>
        </w:rPr>
      </w:pPr>
    </w:p>
    <w:p w:rsidR="007173FC" w:rsidRDefault="007173FC" w:rsidP="007173FC">
      <w:pPr>
        <w:spacing w:after="200"/>
        <w:rPr>
          <w:bCs/>
          <w:szCs w:val="20"/>
        </w:rPr>
      </w:pPr>
      <w:r w:rsidRPr="00FE2606">
        <w:rPr>
          <w:bCs/>
          <w:szCs w:val="20"/>
        </w:rPr>
        <w:t>Appendix A</w:t>
      </w:r>
      <w:r w:rsidR="00174C60">
        <w:rPr>
          <w:bCs/>
          <w:szCs w:val="20"/>
        </w:rPr>
        <w:t>—</w:t>
      </w:r>
      <w:r w:rsidR="00F45B73" w:rsidRPr="00BF44E0">
        <w:rPr>
          <w:bCs/>
          <w:i/>
          <w:szCs w:val="20"/>
        </w:rPr>
        <w:t>Hazardous Waste Data Assessment</w:t>
      </w:r>
      <w:r>
        <w:rPr>
          <w:bCs/>
          <w:szCs w:val="20"/>
        </w:rPr>
        <w:t xml:space="preserve"> </w:t>
      </w:r>
    </w:p>
    <w:p w:rsidR="0040590A" w:rsidRDefault="00E44EB1" w:rsidP="00E44EB1">
      <w:pPr>
        <w:spacing w:after="200"/>
        <w:rPr>
          <w:bCs/>
          <w:szCs w:val="20"/>
        </w:rPr>
      </w:pPr>
      <w:r>
        <w:rPr>
          <w:bCs/>
          <w:szCs w:val="20"/>
        </w:rPr>
        <w:t>Appendix B</w:t>
      </w:r>
      <w:r w:rsidR="00174C60">
        <w:rPr>
          <w:bCs/>
          <w:szCs w:val="20"/>
        </w:rPr>
        <w:t>—</w:t>
      </w:r>
      <w:r w:rsidRPr="00E44EB1">
        <w:rPr>
          <w:bCs/>
          <w:szCs w:val="20"/>
        </w:rPr>
        <w:t xml:space="preserve">Revised (Normalised) National </w:t>
      </w:r>
      <w:r w:rsidR="00460043">
        <w:rPr>
          <w:bCs/>
          <w:szCs w:val="20"/>
        </w:rPr>
        <w:t>2010–11</w:t>
      </w:r>
      <w:r w:rsidRPr="00E44EB1">
        <w:rPr>
          <w:bCs/>
          <w:szCs w:val="20"/>
        </w:rPr>
        <w:t xml:space="preserve"> Hazardous Waste Data</w:t>
      </w:r>
      <w:r w:rsidR="00460043">
        <w:rPr>
          <w:bCs/>
          <w:szCs w:val="20"/>
        </w:rPr>
        <w:t>—</w:t>
      </w:r>
      <w:r>
        <w:rPr>
          <w:bCs/>
          <w:szCs w:val="20"/>
        </w:rPr>
        <w:t>b</w:t>
      </w:r>
      <w:r w:rsidRPr="00E44EB1">
        <w:rPr>
          <w:bCs/>
          <w:szCs w:val="20"/>
        </w:rPr>
        <w:t>y Jurisdiction</w:t>
      </w:r>
    </w:p>
    <w:p w:rsidR="00E44EB1" w:rsidRPr="00FE2606" w:rsidRDefault="00E44EB1" w:rsidP="00E44EB1">
      <w:pPr>
        <w:spacing w:after="200"/>
        <w:rPr>
          <w:bCs/>
          <w:szCs w:val="20"/>
        </w:rPr>
      </w:pPr>
      <w:r>
        <w:rPr>
          <w:bCs/>
          <w:szCs w:val="20"/>
        </w:rPr>
        <w:t>Appendix C</w:t>
      </w:r>
      <w:r w:rsidR="00174C60">
        <w:rPr>
          <w:bCs/>
          <w:szCs w:val="20"/>
        </w:rPr>
        <w:t>—</w:t>
      </w:r>
      <w:r w:rsidRPr="00E44EB1">
        <w:rPr>
          <w:bCs/>
          <w:szCs w:val="20"/>
        </w:rPr>
        <w:t xml:space="preserve">Revised (Normalised) National </w:t>
      </w:r>
      <w:r w:rsidR="00460043">
        <w:rPr>
          <w:bCs/>
          <w:szCs w:val="20"/>
        </w:rPr>
        <w:t>2010–11</w:t>
      </w:r>
      <w:r w:rsidRPr="00E44EB1">
        <w:rPr>
          <w:bCs/>
          <w:szCs w:val="20"/>
        </w:rPr>
        <w:t xml:space="preserve"> Hazardous Waste Data</w:t>
      </w:r>
      <w:r w:rsidR="00460043">
        <w:rPr>
          <w:bCs/>
          <w:szCs w:val="20"/>
        </w:rPr>
        <w:t>—</w:t>
      </w:r>
      <w:r>
        <w:rPr>
          <w:bCs/>
          <w:szCs w:val="20"/>
        </w:rPr>
        <w:t>b</w:t>
      </w:r>
      <w:r w:rsidRPr="00E44EB1">
        <w:rPr>
          <w:bCs/>
          <w:szCs w:val="20"/>
        </w:rPr>
        <w:t xml:space="preserve">y </w:t>
      </w:r>
      <w:r>
        <w:rPr>
          <w:bCs/>
          <w:szCs w:val="20"/>
        </w:rPr>
        <w:t>Waste Code</w:t>
      </w:r>
    </w:p>
    <w:p w:rsidR="00221D2E" w:rsidRDefault="00221D2E" w:rsidP="00101EA2">
      <w:pPr>
        <w:pStyle w:val="TableofFigures"/>
        <w:tabs>
          <w:tab w:val="left" w:pos="1418"/>
          <w:tab w:val="right" w:pos="9062"/>
        </w:tabs>
        <w:spacing w:line="276" w:lineRule="auto"/>
        <w:rPr>
          <w:noProof/>
        </w:rPr>
      </w:pPr>
    </w:p>
    <w:p w:rsidR="007173FC" w:rsidRDefault="007173FC">
      <w:pPr>
        <w:spacing w:after="0"/>
        <w:jc w:val="left"/>
        <w:rPr>
          <w:rFonts w:cs="Arial"/>
          <w:b/>
          <w:color w:val="1D5C42"/>
          <w:sz w:val="40"/>
          <w:szCs w:val="28"/>
          <w:highlight w:val="yellow"/>
        </w:rPr>
      </w:pPr>
      <w:bookmarkStart w:id="7" w:name="_Toc346553188"/>
      <w:r>
        <w:rPr>
          <w:highlight w:val="yellow"/>
        </w:rPr>
        <w:br w:type="page"/>
      </w:r>
    </w:p>
    <w:p w:rsidR="00566EBB" w:rsidRPr="00180D64" w:rsidRDefault="00566EBB" w:rsidP="00566EBB">
      <w:pPr>
        <w:pStyle w:val="KMHNumberHeading1"/>
        <w:numPr>
          <w:ilvl w:val="0"/>
          <w:numId w:val="0"/>
        </w:numPr>
        <w:jc w:val="center"/>
      </w:pPr>
      <w:bookmarkStart w:id="8" w:name="_Toc390771582"/>
      <w:r w:rsidRPr="001221BE">
        <w:lastRenderedPageBreak/>
        <w:t>Glossary and Abbreviations</w:t>
      </w:r>
      <w:bookmarkEnd w:id="7"/>
      <w:bookmarkEnd w:id="8"/>
    </w:p>
    <w:tbl>
      <w:tblPr>
        <w:tblW w:w="0" w:type="auto"/>
        <w:tblLook w:val="0000"/>
      </w:tblPr>
      <w:tblGrid>
        <w:gridCol w:w="2518"/>
        <w:gridCol w:w="6390"/>
      </w:tblGrid>
      <w:tr w:rsidR="005444C0" w:rsidRPr="00172562" w:rsidTr="001221BE">
        <w:tc>
          <w:tcPr>
            <w:tcW w:w="2518" w:type="dxa"/>
          </w:tcPr>
          <w:p w:rsidR="005444C0" w:rsidRDefault="005444C0" w:rsidP="007173FC">
            <w:pPr>
              <w:spacing w:before="120"/>
              <w:rPr>
                <w:rFonts w:cs="Arial"/>
                <w:szCs w:val="20"/>
              </w:rPr>
            </w:pPr>
            <w:r>
              <w:rPr>
                <w:rFonts w:cs="Arial"/>
                <w:szCs w:val="20"/>
              </w:rPr>
              <w:t>Basel Convention</w:t>
            </w:r>
          </w:p>
        </w:tc>
        <w:tc>
          <w:tcPr>
            <w:tcW w:w="6390" w:type="dxa"/>
          </w:tcPr>
          <w:p w:rsidR="005444C0" w:rsidRDefault="00F45B73" w:rsidP="005444C0">
            <w:pPr>
              <w:spacing w:before="120"/>
              <w:rPr>
                <w:rFonts w:cs="Arial"/>
                <w:szCs w:val="20"/>
              </w:rPr>
            </w:pPr>
            <w:r w:rsidRPr="00BF44E0">
              <w:rPr>
                <w:rFonts w:cs="Arial"/>
                <w:i/>
                <w:szCs w:val="20"/>
              </w:rPr>
              <w:t>The Basel Convention on the Control of Transboundary Movements of Hazardous Wastes and their Disposal</w:t>
            </w:r>
            <w:r w:rsidR="005444C0">
              <w:rPr>
                <w:rFonts w:cs="Arial"/>
                <w:szCs w:val="20"/>
              </w:rPr>
              <w:t xml:space="preserve">.  </w:t>
            </w:r>
            <w:r w:rsidR="005444C0" w:rsidRPr="005444C0">
              <w:rPr>
                <w:rFonts w:cs="Arial"/>
                <w:szCs w:val="20"/>
              </w:rPr>
              <w:t>The Convention puts an onus on exporting countries to ensure that hazardous wastes are managed in an environmentally sound m</w:t>
            </w:r>
            <w:r w:rsidR="005444C0">
              <w:rPr>
                <w:rFonts w:cs="Arial"/>
                <w:szCs w:val="20"/>
              </w:rPr>
              <w:t>anner in the country of import.</w:t>
            </w:r>
          </w:p>
        </w:tc>
      </w:tr>
      <w:tr w:rsidR="00566EBB" w:rsidRPr="00172562" w:rsidTr="001221BE">
        <w:tc>
          <w:tcPr>
            <w:tcW w:w="2518" w:type="dxa"/>
          </w:tcPr>
          <w:p w:rsidR="00566EBB" w:rsidRPr="00172562" w:rsidRDefault="00566EBB" w:rsidP="007173FC">
            <w:pPr>
              <w:spacing w:before="120"/>
              <w:rPr>
                <w:rFonts w:cs="Arial"/>
                <w:szCs w:val="20"/>
              </w:rPr>
            </w:pPr>
            <w:r>
              <w:rPr>
                <w:rFonts w:cs="Arial"/>
                <w:szCs w:val="20"/>
              </w:rPr>
              <w:t>C&amp;D</w:t>
            </w:r>
          </w:p>
        </w:tc>
        <w:tc>
          <w:tcPr>
            <w:tcW w:w="6390" w:type="dxa"/>
          </w:tcPr>
          <w:p w:rsidR="00566EBB" w:rsidRPr="00172562" w:rsidRDefault="00566EBB" w:rsidP="007173FC">
            <w:pPr>
              <w:spacing w:before="120"/>
              <w:rPr>
                <w:rFonts w:cs="Arial"/>
                <w:szCs w:val="20"/>
              </w:rPr>
            </w:pPr>
            <w:r>
              <w:rPr>
                <w:rFonts w:cs="Arial"/>
                <w:szCs w:val="20"/>
              </w:rPr>
              <w:t>Construction and Demolition (waste)</w:t>
            </w:r>
          </w:p>
        </w:tc>
      </w:tr>
      <w:tr w:rsidR="00566EBB" w:rsidRPr="00172562" w:rsidTr="001221BE">
        <w:tc>
          <w:tcPr>
            <w:tcW w:w="2518" w:type="dxa"/>
          </w:tcPr>
          <w:p w:rsidR="00566EBB" w:rsidRPr="00172562" w:rsidRDefault="00566EBB" w:rsidP="007173FC">
            <w:pPr>
              <w:spacing w:before="120"/>
              <w:rPr>
                <w:rFonts w:cs="Arial"/>
                <w:szCs w:val="20"/>
              </w:rPr>
            </w:pPr>
            <w:r>
              <w:rPr>
                <w:rFonts w:cs="Arial"/>
                <w:szCs w:val="20"/>
              </w:rPr>
              <w:t>C&amp;I</w:t>
            </w:r>
          </w:p>
        </w:tc>
        <w:tc>
          <w:tcPr>
            <w:tcW w:w="6390" w:type="dxa"/>
          </w:tcPr>
          <w:p w:rsidR="00566EBB" w:rsidRPr="00172562" w:rsidRDefault="00566EBB" w:rsidP="007173FC">
            <w:pPr>
              <w:spacing w:before="120"/>
              <w:rPr>
                <w:rFonts w:cs="Arial"/>
                <w:szCs w:val="20"/>
              </w:rPr>
            </w:pPr>
            <w:r>
              <w:rPr>
                <w:rFonts w:cs="Arial"/>
                <w:szCs w:val="20"/>
              </w:rPr>
              <w:t>Commercial and Industrial (waste)</w:t>
            </w:r>
          </w:p>
        </w:tc>
      </w:tr>
      <w:tr w:rsidR="002952FD" w:rsidRPr="00172562" w:rsidTr="001221BE">
        <w:tc>
          <w:tcPr>
            <w:tcW w:w="2518" w:type="dxa"/>
          </w:tcPr>
          <w:p w:rsidR="002952FD" w:rsidRDefault="002952FD" w:rsidP="00711293">
            <w:pPr>
              <w:spacing w:before="120"/>
              <w:rPr>
                <w:rFonts w:cs="Arial"/>
                <w:szCs w:val="20"/>
              </w:rPr>
            </w:pPr>
            <w:r>
              <w:rPr>
                <w:rFonts w:cs="Arial"/>
                <w:szCs w:val="20"/>
              </w:rPr>
              <w:t>Companion report</w:t>
            </w:r>
          </w:p>
        </w:tc>
        <w:tc>
          <w:tcPr>
            <w:tcW w:w="6390" w:type="dxa"/>
          </w:tcPr>
          <w:p w:rsidR="002952FD" w:rsidRDefault="002952FD" w:rsidP="0003068E">
            <w:pPr>
              <w:spacing w:before="120"/>
              <w:rPr>
                <w:rFonts w:cs="Arial"/>
                <w:szCs w:val="20"/>
              </w:rPr>
            </w:pPr>
            <w:r>
              <w:rPr>
                <w:rFonts w:cs="Arial"/>
                <w:szCs w:val="20"/>
              </w:rPr>
              <w:t>This report</w:t>
            </w:r>
            <w:r w:rsidR="0003068E">
              <w:rPr>
                <w:rFonts w:cs="Arial"/>
                <w:szCs w:val="20"/>
              </w:rPr>
              <w:t xml:space="preserve">—the </w:t>
            </w:r>
            <w:r w:rsidR="00F45B73" w:rsidRPr="00BF44E0">
              <w:rPr>
                <w:i/>
                <w:szCs w:val="20"/>
              </w:rPr>
              <w:t>Hazardous Waste Data Summary</w:t>
            </w:r>
            <w:r w:rsidR="0003068E">
              <w:rPr>
                <w:szCs w:val="20"/>
              </w:rPr>
              <w:t>—</w:t>
            </w:r>
            <w:r>
              <w:rPr>
                <w:rFonts w:cs="Arial"/>
                <w:szCs w:val="20"/>
              </w:rPr>
              <w:t>as a companion to the Data Report</w:t>
            </w:r>
          </w:p>
        </w:tc>
      </w:tr>
      <w:tr w:rsidR="00711293" w:rsidRPr="00172562" w:rsidTr="001221BE">
        <w:tc>
          <w:tcPr>
            <w:tcW w:w="2518" w:type="dxa"/>
          </w:tcPr>
          <w:p w:rsidR="00711293" w:rsidRDefault="00711293" w:rsidP="00711293">
            <w:pPr>
              <w:spacing w:before="120"/>
              <w:rPr>
                <w:rFonts w:cs="Arial"/>
                <w:szCs w:val="20"/>
              </w:rPr>
            </w:pPr>
            <w:r>
              <w:rPr>
                <w:rFonts w:cs="Arial"/>
                <w:szCs w:val="20"/>
              </w:rPr>
              <w:t>Controlled Waste</w:t>
            </w:r>
          </w:p>
        </w:tc>
        <w:tc>
          <w:tcPr>
            <w:tcW w:w="6390" w:type="dxa"/>
          </w:tcPr>
          <w:p w:rsidR="00711293" w:rsidRPr="001221BE" w:rsidRDefault="004734AD" w:rsidP="0003068E">
            <w:pPr>
              <w:spacing w:before="120"/>
              <w:rPr>
                <w:rFonts w:cs="Arial"/>
                <w:szCs w:val="20"/>
              </w:rPr>
            </w:pPr>
            <w:r>
              <w:rPr>
                <w:rFonts w:cs="Arial"/>
                <w:szCs w:val="20"/>
              </w:rPr>
              <w:t xml:space="preserve">Waste that falls under the control of the </w:t>
            </w:r>
            <w:r w:rsidR="00711293" w:rsidRPr="001221BE">
              <w:rPr>
                <w:rFonts w:cs="Arial"/>
                <w:szCs w:val="20"/>
              </w:rPr>
              <w:t xml:space="preserve">Controlled Waste </w:t>
            </w:r>
            <w:r w:rsidR="0003068E">
              <w:rPr>
                <w:rFonts w:cs="Arial"/>
                <w:szCs w:val="20"/>
              </w:rPr>
              <w:t>National Environment Protection Measure</w:t>
            </w:r>
            <w:r w:rsidR="00CE542E">
              <w:rPr>
                <w:rFonts w:cs="Arial"/>
                <w:szCs w:val="20"/>
              </w:rPr>
              <w:t>.</w:t>
            </w:r>
            <w:r>
              <w:rPr>
                <w:rFonts w:cs="Arial"/>
                <w:szCs w:val="20"/>
              </w:rPr>
              <w:t xml:space="preserve">  Generally equivalent to hazardous waste, although definitional differences of the latter exist across jurisdictions</w:t>
            </w:r>
          </w:p>
        </w:tc>
      </w:tr>
      <w:tr w:rsidR="00711293" w:rsidRPr="00172562" w:rsidTr="001221BE">
        <w:tc>
          <w:tcPr>
            <w:tcW w:w="2518" w:type="dxa"/>
          </w:tcPr>
          <w:p w:rsidR="00711293" w:rsidRDefault="00711293" w:rsidP="007173FC">
            <w:pPr>
              <w:spacing w:before="120"/>
              <w:rPr>
                <w:rFonts w:cs="Arial"/>
                <w:szCs w:val="20"/>
              </w:rPr>
            </w:pPr>
            <w:r>
              <w:rPr>
                <w:rFonts w:cs="Arial"/>
                <w:szCs w:val="20"/>
              </w:rPr>
              <w:t>Controlled Waste NEPM</w:t>
            </w:r>
          </w:p>
        </w:tc>
        <w:tc>
          <w:tcPr>
            <w:tcW w:w="6390" w:type="dxa"/>
          </w:tcPr>
          <w:p w:rsidR="00711293" w:rsidRPr="00C6005F" w:rsidRDefault="00711293" w:rsidP="0003068E">
            <w:pPr>
              <w:spacing w:before="120"/>
              <w:rPr>
                <w:rFonts w:cs="Arial"/>
                <w:szCs w:val="20"/>
              </w:rPr>
            </w:pPr>
            <w:r w:rsidRPr="001221BE">
              <w:rPr>
                <w:rFonts w:cs="Arial"/>
                <w:szCs w:val="20"/>
              </w:rPr>
              <w:t>National Environment Protection (Movement of Controlled Waste between States and</w:t>
            </w:r>
            <w:r>
              <w:rPr>
                <w:rFonts w:cs="Arial"/>
                <w:szCs w:val="20"/>
              </w:rPr>
              <w:t xml:space="preserve"> </w:t>
            </w:r>
            <w:r w:rsidRPr="001221BE">
              <w:rPr>
                <w:rFonts w:cs="Arial"/>
                <w:szCs w:val="20"/>
              </w:rPr>
              <w:t>Territories) Measure.</w:t>
            </w:r>
          </w:p>
        </w:tc>
      </w:tr>
      <w:tr w:rsidR="002952FD" w:rsidRPr="00172562" w:rsidTr="001221BE">
        <w:tc>
          <w:tcPr>
            <w:tcW w:w="2518" w:type="dxa"/>
          </w:tcPr>
          <w:p w:rsidR="002952FD" w:rsidRDefault="002952FD" w:rsidP="007173FC">
            <w:pPr>
              <w:spacing w:before="120"/>
              <w:rPr>
                <w:rFonts w:cs="Arial"/>
                <w:szCs w:val="20"/>
              </w:rPr>
            </w:pPr>
            <w:r>
              <w:rPr>
                <w:rFonts w:cs="Arial"/>
                <w:szCs w:val="20"/>
              </w:rPr>
              <w:t>Data report</w:t>
            </w:r>
          </w:p>
        </w:tc>
        <w:tc>
          <w:tcPr>
            <w:tcW w:w="6390" w:type="dxa"/>
          </w:tcPr>
          <w:p w:rsidR="002952FD" w:rsidRDefault="00F45B73" w:rsidP="0003068E">
            <w:pPr>
              <w:spacing w:before="120"/>
              <w:rPr>
                <w:rFonts w:cs="Arial"/>
                <w:szCs w:val="20"/>
              </w:rPr>
            </w:pPr>
            <w:r w:rsidRPr="00BF44E0">
              <w:rPr>
                <w:i/>
              </w:rPr>
              <w:t>Hazardous Waste Data Assessment</w:t>
            </w:r>
            <w:r w:rsidR="0003068E">
              <w:t xml:space="preserve">, </w:t>
            </w:r>
            <w:r w:rsidR="002952FD">
              <w:t>Appendix A to this report</w:t>
            </w:r>
          </w:p>
        </w:tc>
      </w:tr>
      <w:tr w:rsidR="00711293" w:rsidRPr="00172562" w:rsidTr="001221BE">
        <w:tc>
          <w:tcPr>
            <w:tcW w:w="2518" w:type="dxa"/>
          </w:tcPr>
          <w:p w:rsidR="00711293" w:rsidRDefault="00711293" w:rsidP="007173FC">
            <w:pPr>
              <w:spacing w:before="120"/>
              <w:rPr>
                <w:rFonts w:cs="Arial"/>
                <w:szCs w:val="20"/>
              </w:rPr>
            </w:pPr>
            <w:r>
              <w:rPr>
                <w:rFonts w:cs="Arial"/>
                <w:szCs w:val="20"/>
              </w:rPr>
              <w:t>EfW</w:t>
            </w:r>
          </w:p>
        </w:tc>
        <w:tc>
          <w:tcPr>
            <w:tcW w:w="6390" w:type="dxa"/>
          </w:tcPr>
          <w:p w:rsidR="00711293" w:rsidRPr="00C6005F" w:rsidRDefault="00711293" w:rsidP="007173FC">
            <w:pPr>
              <w:spacing w:before="120"/>
              <w:rPr>
                <w:rFonts w:cs="Arial"/>
                <w:szCs w:val="20"/>
              </w:rPr>
            </w:pPr>
            <w:r>
              <w:rPr>
                <w:rFonts w:cs="Arial"/>
                <w:szCs w:val="20"/>
              </w:rPr>
              <w:t>Energy from Waste</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t>Hazardous waste</w:t>
            </w:r>
          </w:p>
        </w:tc>
        <w:tc>
          <w:tcPr>
            <w:tcW w:w="6390" w:type="dxa"/>
          </w:tcPr>
          <w:p w:rsidR="00711293" w:rsidRPr="00C6005F" w:rsidRDefault="00711293" w:rsidP="007173FC">
            <w:pPr>
              <w:spacing w:before="120"/>
              <w:rPr>
                <w:rFonts w:cs="Arial"/>
                <w:szCs w:val="20"/>
              </w:rPr>
            </w:pPr>
            <w:r w:rsidRPr="00C6005F">
              <w:rPr>
                <w:rFonts w:cs="Arial"/>
                <w:szCs w:val="20"/>
              </w:rPr>
              <w:t xml:space="preserve">A hazardous waste, as defined in the Australian Government’s </w:t>
            </w:r>
            <w:r w:rsidRPr="00DD0DFA">
              <w:rPr>
                <w:rFonts w:cs="Arial"/>
                <w:i/>
                <w:szCs w:val="20"/>
              </w:rPr>
              <w:t xml:space="preserve">National Waste Policy: Less </w:t>
            </w:r>
            <w:r>
              <w:rPr>
                <w:rFonts w:cs="Arial"/>
                <w:i/>
                <w:szCs w:val="20"/>
              </w:rPr>
              <w:t>w</w:t>
            </w:r>
            <w:r w:rsidRPr="00DD0DFA">
              <w:rPr>
                <w:rFonts w:cs="Arial"/>
                <w:i/>
                <w:szCs w:val="20"/>
              </w:rPr>
              <w:t xml:space="preserve">aste, </w:t>
            </w:r>
            <w:r>
              <w:rPr>
                <w:rFonts w:cs="Arial"/>
                <w:i/>
                <w:szCs w:val="20"/>
              </w:rPr>
              <w:t>m</w:t>
            </w:r>
            <w:r w:rsidRPr="00DD0DFA">
              <w:rPr>
                <w:rFonts w:cs="Arial"/>
                <w:i/>
                <w:szCs w:val="20"/>
              </w:rPr>
              <w:t xml:space="preserve">ore </w:t>
            </w:r>
            <w:r>
              <w:rPr>
                <w:rFonts w:cs="Arial"/>
                <w:i/>
                <w:szCs w:val="20"/>
              </w:rPr>
              <w:t>r</w:t>
            </w:r>
            <w:r w:rsidRPr="00DD0DFA">
              <w:rPr>
                <w:rFonts w:cs="Arial"/>
                <w:i/>
                <w:szCs w:val="20"/>
              </w:rPr>
              <w:t xml:space="preserve">esources </w:t>
            </w:r>
            <w:r w:rsidRPr="00C6005F">
              <w:rPr>
                <w:rFonts w:cs="Arial"/>
                <w:szCs w:val="20"/>
              </w:rPr>
              <w:t xml:space="preserve">(2009), is a substance or object that exhibits hazardous characteristics, is no longer fit for its intended use and requires disposal. </w:t>
            </w:r>
          </w:p>
          <w:p w:rsidR="00711293" w:rsidRPr="00C6005F" w:rsidRDefault="00711293" w:rsidP="007173FC">
            <w:pPr>
              <w:spacing w:before="120"/>
              <w:rPr>
                <w:rFonts w:cs="Arial"/>
                <w:szCs w:val="20"/>
              </w:rPr>
            </w:pPr>
            <w:r w:rsidRPr="00C6005F">
              <w:rPr>
                <w:rFonts w:cs="Arial"/>
                <w:szCs w:val="20"/>
              </w:rPr>
              <w:t xml:space="preserve">Hazardous waste means: </w:t>
            </w:r>
          </w:p>
          <w:p w:rsidR="00711293" w:rsidRPr="00C6005F" w:rsidRDefault="00711293" w:rsidP="007173FC">
            <w:pPr>
              <w:spacing w:before="120"/>
              <w:rPr>
                <w:rFonts w:cs="Arial"/>
                <w:szCs w:val="20"/>
              </w:rPr>
            </w:pPr>
            <w:r w:rsidRPr="00C6005F">
              <w:rPr>
                <w:rFonts w:cs="Arial"/>
                <w:szCs w:val="20"/>
              </w:rPr>
              <w:t xml:space="preserve">(a) waste prescribed by the regulations, where the waste has any of the characteristics mentioned in Annex III to the Basel Convention; or </w:t>
            </w:r>
          </w:p>
          <w:p w:rsidR="00711293" w:rsidRPr="00C6005F" w:rsidRDefault="00711293" w:rsidP="007173FC">
            <w:pPr>
              <w:spacing w:before="120"/>
              <w:rPr>
                <w:rFonts w:cs="Arial"/>
                <w:szCs w:val="20"/>
              </w:rPr>
            </w:pPr>
            <w:r w:rsidRPr="00C6005F">
              <w:rPr>
                <w:rFonts w:cs="Arial"/>
                <w:szCs w:val="20"/>
              </w:rPr>
              <w:t xml:space="preserve">(b) wastes covered by paragraph 1(a) of Article 1 of the Basel Convention; or </w:t>
            </w:r>
          </w:p>
          <w:p w:rsidR="00711293" w:rsidRPr="00C6005F" w:rsidRDefault="00711293" w:rsidP="007173FC">
            <w:pPr>
              <w:spacing w:before="120"/>
              <w:rPr>
                <w:rFonts w:cs="Arial"/>
                <w:szCs w:val="20"/>
              </w:rPr>
            </w:pPr>
            <w:r w:rsidRPr="00C6005F">
              <w:rPr>
                <w:rFonts w:cs="Arial"/>
                <w:szCs w:val="20"/>
              </w:rPr>
              <w:t xml:space="preserve">(c) household waste; or </w:t>
            </w:r>
          </w:p>
          <w:p w:rsidR="00711293" w:rsidRPr="00172562" w:rsidRDefault="00711293" w:rsidP="007173FC">
            <w:pPr>
              <w:spacing w:before="120"/>
              <w:rPr>
                <w:rFonts w:cs="Arial"/>
                <w:szCs w:val="20"/>
              </w:rPr>
            </w:pPr>
            <w:r w:rsidRPr="00C6005F">
              <w:rPr>
                <w:rFonts w:cs="Arial"/>
                <w:szCs w:val="20"/>
              </w:rPr>
              <w:t xml:space="preserve">(d) </w:t>
            </w:r>
            <w:proofErr w:type="gramStart"/>
            <w:r w:rsidRPr="00C6005F">
              <w:rPr>
                <w:rFonts w:cs="Arial"/>
                <w:szCs w:val="20"/>
              </w:rPr>
              <w:t>residues</w:t>
            </w:r>
            <w:proofErr w:type="gramEnd"/>
            <w:r w:rsidRPr="00C6005F">
              <w:rPr>
                <w:rFonts w:cs="Arial"/>
                <w:szCs w:val="20"/>
              </w:rPr>
              <w:t xml:space="preserve"> arising from the incineration of household waste; but does not include wastes covered by paragraph 4 of Article 1 of the Basel Convention.</w:t>
            </w:r>
          </w:p>
        </w:tc>
      </w:tr>
      <w:tr w:rsidR="00711293" w:rsidRPr="00205C1C" w:rsidTr="001221BE">
        <w:tc>
          <w:tcPr>
            <w:tcW w:w="2518" w:type="dxa"/>
          </w:tcPr>
          <w:p w:rsidR="00711293" w:rsidRDefault="00711293" w:rsidP="007173FC">
            <w:pPr>
              <w:spacing w:before="120"/>
              <w:rPr>
                <w:rFonts w:cs="Arial"/>
                <w:szCs w:val="20"/>
              </w:rPr>
            </w:pPr>
            <w:r>
              <w:rPr>
                <w:rFonts w:cs="Arial"/>
                <w:szCs w:val="20"/>
              </w:rPr>
              <w:t>Interstate data</w:t>
            </w:r>
          </w:p>
        </w:tc>
        <w:tc>
          <w:tcPr>
            <w:tcW w:w="6390" w:type="dxa"/>
          </w:tcPr>
          <w:p w:rsidR="00711293" w:rsidRDefault="00711293" w:rsidP="007B0316">
            <w:pPr>
              <w:spacing w:before="120"/>
              <w:rPr>
                <w:rFonts w:cs="Arial"/>
                <w:szCs w:val="20"/>
              </w:rPr>
            </w:pPr>
            <w:r>
              <w:rPr>
                <w:rFonts w:cs="Arial"/>
                <w:szCs w:val="20"/>
              </w:rPr>
              <w:t xml:space="preserve">Data collected about hazardous waste generated </w:t>
            </w:r>
            <w:r w:rsidR="007B0316">
              <w:rPr>
                <w:rFonts w:cs="Arial"/>
                <w:szCs w:val="20"/>
              </w:rPr>
              <w:t xml:space="preserve">in </w:t>
            </w:r>
            <w:r>
              <w:rPr>
                <w:rFonts w:cs="Arial"/>
                <w:szCs w:val="20"/>
              </w:rPr>
              <w:t>one jurisdiction and treated in another, through cross-border transport under the Controlled Waste NEPM</w:t>
            </w:r>
          </w:p>
        </w:tc>
      </w:tr>
      <w:tr w:rsidR="00711293" w:rsidRPr="00205C1C" w:rsidTr="001221BE">
        <w:tc>
          <w:tcPr>
            <w:tcW w:w="2518" w:type="dxa"/>
          </w:tcPr>
          <w:p w:rsidR="00711293" w:rsidRPr="00205C1C" w:rsidRDefault="00711293" w:rsidP="007173FC">
            <w:pPr>
              <w:spacing w:before="120"/>
              <w:rPr>
                <w:rFonts w:cs="Arial"/>
                <w:szCs w:val="20"/>
              </w:rPr>
            </w:pPr>
            <w:r>
              <w:rPr>
                <w:rFonts w:cs="Arial"/>
                <w:szCs w:val="20"/>
              </w:rPr>
              <w:t>Intrastate data</w:t>
            </w:r>
          </w:p>
        </w:tc>
        <w:tc>
          <w:tcPr>
            <w:tcW w:w="6390" w:type="dxa"/>
          </w:tcPr>
          <w:p w:rsidR="00711293" w:rsidRDefault="00711293" w:rsidP="00711293">
            <w:pPr>
              <w:spacing w:before="120"/>
              <w:rPr>
                <w:rFonts w:cs="Arial"/>
                <w:szCs w:val="20"/>
              </w:rPr>
            </w:pPr>
            <w:r w:rsidRPr="00711293">
              <w:rPr>
                <w:rFonts w:cs="Arial"/>
                <w:szCs w:val="20"/>
              </w:rPr>
              <w:t xml:space="preserve">Data collected </w:t>
            </w:r>
            <w:r>
              <w:rPr>
                <w:rFonts w:cs="Arial"/>
                <w:szCs w:val="20"/>
              </w:rPr>
              <w:t>about hazardous waste generated, transported and treated within the one jurisdiction</w:t>
            </w:r>
          </w:p>
        </w:tc>
      </w:tr>
      <w:tr w:rsidR="00711293" w:rsidRPr="00205C1C" w:rsidTr="001221BE">
        <w:tc>
          <w:tcPr>
            <w:tcW w:w="2518" w:type="dxa"/>
          </w:tcPr>
          <w:p w:rsidR="00711293" w:rsidRPr="00205C1C" w:rsidRDefault="00711293" w:rsidP="007173FC">
            <w:pPr>
              <w:spacing w:before="120"/>
              <w:rPr>
                <w:rFonts w:cs="Arial"/>
                <w:szCs w:val="20"/>
              </w:rPr>
            </w:pPr>
            <w:r w:rsidRPr="00205C1C">
              <w:rPr>
                <w:rFonts w:cs="Arial"/>
                <w:szCs w:val="20"/>
              </w:rPr>
              <w:t>Liquid waste</w:t>
            </w:r>
          </w:p>
        </w:tc>
        <w:tc>
          <w:tcPr>
            <w:tcW w:w="6390" w:type="dxa"/>
          </w:tcPr>
          <w:p w:rsidR="00711293" w:rsidRPr="00205C1C" w:rsidRDefault="00711293" w:rsidP="00711293">
            <w:pPr>
              <w:pStyle w:val="Default"/>
              <w:spacing w:before="120" w:after="120"/>
              <w:rPr>
                <w:rFonts w:ascii="Arial" w:hAnsi="Arial" w:cs="Arial"/>
                <w:sz w:val="20"/>
                <w:szCs w:val="20"/>
              </w:rPr>
            </w:pPr>
            <w:r>
              <w:rPr>
                <w:rFonts w:ascii="Arial" w:hAnsi="Arial" w:cs="Arial"/>
                <w:sz w:val="20"/>
                <w:szCs w:val="20"/>
              </w:rPr>
              <w:t>A</w:t>
            </w:r>
            <w:r w:rsidRPr="00205C1C">
              <w:rPr>
                <w:rFonts w:ascii="Arial" w:hAnsi="Arial" w:cs="Arial"/>
                <w:sz w:val="20"/>
                <w:szCs w:val="20"/>
              </w:rPr>
              <w:t xml:space="preserve">ny waste that: </w:t>
            </w:r>
          </w:p>
          <w:p w:rsidR="00711293" w:rsidRPr="00205C1C" w:rsidRDefault="00F77BB8" w:rsidP="00205C1C">
            <w:pPr>
              <w:pStyle w:val="Default"/>
              <w:spacing w:before="120" w:after="120"/>
              <w:rPr>
                <w:rFonts w:ascii="Arial" w:hAnsi="Arial" w:cs="Arial"/>
                <w:sz w:val="20"/>
                <w:szCs w:val="20"/>
              </w:rPr>
            </w:pPr>
            <w:r>
              <w:rPr>
                <w:rFonts w:cs="Arial"/>
                <w:szCs w:val="20"/>
              </w:rPr>
              <w:lastRenderedPageBreak/>
              <w:t>(a</w:t>
            </w:r>
            <w:r w:rsidRPr="00C6005F">
              <w:rPr>
                <w:rFonts w:cs="Arial"/>
                <w:szCs w:val="20"/>
              </w:rPr>
              <w:t xml:space="preserve">) </w:t>
            </w:r>
            <w:r w:rsidR="00711293" w:rsidRPr="00205C1C">
              <w:rPr>
                <w:rFonts w:ascii="Arial" w:hAnsi="Arial" w:cs="Arial"/>
                <w:sz w:val="20"/>
                <w:szCs w:val="20"/>
              </w:rPr>
              <w:t xml:space="preserve">has an angle of repose of less than </w:t>
            </w:r>
            <w:r w:rsidR="006A2C4E">
              <w:rPr>
                <w:rFonts w:ascii="Arial" w:hAnsi="Arial" w:cs="Arial"/>
                <w:sz w:val="20"/>
                <w:szCs w:val="20"/>
              </w:rPr>
              <w:t>five</w:t>
            </w:r>
            <w:r w:rsidR="00711293" w:rsidRPr="00205C1C">
              <w:rPr>
                <w:rFonts w:ascii="Arial" w:hAnsi="Arial" w:cs="Arial"/>
                <w:sz w:val="20"/>
                <w:szCs w:val="20"/>
              </w:rPr>
              <w:t xml:space="preserve"> degrees above horizontal, or </w:t>
            </w:r>
          </w:p>
          <w:p w:rsidR="00711293" w:rsidRPr="00205C1C" w:rsidRDefault="00F77BB8" w:rsidP="00205C1C">
            <w:pPr>
              <w:pStyle w:val="Default"/>
              <w:spacing w:before="120" w:after="120"/>
              <w:rPr>
                <w:rFonts w:ascii="Arial" w:hAnsi="Arial" w:cs="Arial"/>
                <w:sz w:val="20"/>
                <w:szCs w:val="20"/>
              </w:rPr>
            </w:pPr>
            <w:r w:rsidRPr="00C6005F">
              <w:rPr>
                <w:rFonts w:cs="Arial"/>
                <w:szCs w:val="20"/>
              </w:rPr>
              <w:t>(</w:t>
            </w:r>
            <w:r>
              <w:rPr>
                <w:rFonts w:cs="Arial"/>
                <w:szCs w:val="20"/>
              </w:rPr>
              <w:t>b</w:t>
            </w:r>
            <w:r w:rsidRPr="00C6005F">
              <w:rPr>
                <w:rFonts w:cs="Arial"/>
                <w:szCs w:val="20"/>
              </w:rPr>
              <w:t xml:space="preserve">) </w:t>
            </w:r>
            <w:r w:rsidR="00711293" w:rsidRPr="00205C1C">
              <w:rPr>
                <w:rFonts w:ascii="Arial" w:hAnsi="Arial" w:cs="Arial"/>
                <w:sz w:val="20"/>
                <w:szCs w:val="20"/>
              </w:rPr>
              <w:t xml:space="preserve">becomes free-flowing at or below 60 degrees Celsius or when it is transported, or </w:t>
            </w:r>
          </w:p>
          <w:p w:rsidR="00711293" w:rsidRPr="00205C1C" w:rsidRDefault="00F77BB8" w:rsidP="00F77BB8">
            <w:pPr>
              <w:spacing w:before="120"/>
              <w:rPr>
                <w:rFonts w:cs="Arial"/>
                <w:szCs w:val="20"/>
              </w:rPr>
            </w:pPr>
            <w:r>
              <w:rPr>
                <w:rFonts w:cs="Arial"/>
                <w:szCs w:val="20"/>
              </w:rPr>
              <w:t>(</w:t>
            </w:r>
            <w:proofErr w:type="gramStart"/>
            <w:r>
              <w:rPr>
                <w:rFonts w:cs="Arial"/>
                <w:szCs w:val="20"/>
              </w:rPr>
              <w:t>c</w:t>
            </w:r>
            <w:proofErr w:type="gramEnd"/>
            <w:r w:rsidRPr="00C6005F">
              <w:rPr>
                <w:rFonts w:cs="Arial"/>
                <w:szCs w:val="20"/>
              </w:rPr>
              <w:t xml:space="preserve">) </w:t>
            </w:r>
            <w:r w:rsidR="00711293" w:rsidRPr="00205C1C">
              <w:rPr>
                <w:rFonts w:cs="Arial"/>
                <w:szCs w:val="20"/>
              </w:rPr>
              <w:t>is generally not capable of being picked up by a spade or shovel.</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lastRenderedPageBreak/>
              <w:t>MSW</w:t>
            </w:r>
          </w:p>
        </w:tc>
        <w:tc>
          <w:tcPr>
            <w:tcW w:w="6390" w:type="dxa"/>
          </w:tcPr>
          <w:p w:rsidR="00711293" w:rsidRPr="00172562" w:rsidRDefault="00711293" w:rsidP="007173FC">
            <w:pPr>
              <w:spacing w:before="120"/>
              <w:rPr>
                <w:rFonts w:cs="Arial"/>
                <w:szCs w:val="20"/>
              </w:rPr>
            </w:pPr>
            <w:r>
              <w:rPr>
                <w:rFonts w:cs="Arial"/>
                <w:szCs w:val="20"/>
              </w:rPr>
              <w:t>Municipal Solid Waste</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t>NEPC</w:t>
            </w:r>
          </w:p>
        </w:tc>
        <w:tc>
          <w:tcPr>
            <w:tcW w:w="6390" w:type="dxa"/>
          </w:tcPr>
          <w:p w:rsidR="00711293" w:rsidRPr="00172562" w:rsidRDefault="00711293" w:rsidP="007173FC">
            <w:pPr>
              <w:spacing w:before="120"/>
              <w:rPr>
                <w:rFonts w:cs="Arial"/>
                <w:szCs w:val="20"/>
              </w:rPr>
            </w:pPr>
            <w:r>
              <w:rPr>
                <w:rFonts w:cs="Arial"/>
                <w:szCs w:val="20"/>
              </w:rPr>
              <w:t>National Environment Protection Council</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t>NEPM</w:t>
            </w:r>
          </w:p>
        </w:tc>
        <w:tc>
          <w:tcPr>
            <w:tcW w:w="6390" w:type="dxa"/>
          </w:tcPr>
          <w:p w:rsidR="00711293" w:rsidRPr="00172562" w:rsidRDefault="00711293" w:rsidP="007173FC">
            <w:pPr>
              <w:spacing w:before="120"/>
              <w:rPr>
                <w:rFonts w:cs="Arial"/>
                <w:szCs w:val="20"/>
              </w:rPr>
            </w:pPr>
            <w:r>
              <w:rPr>
                <w:rFonts w:cs="Arial"/>
                <w:szCs w:val="20"/>
              </w:rPr>
              <w:t>National Environment Protection Measure</w:t>
            </w:r>
          </w:p>
        </w:tc>
      </w:tr>
      <w:tr w:rsidR="00711293" w:rsidRPr="00172562" w:rsidTr="001221BE">
        <w:tc>
          <w:tcPr>
            <w:tcW w:w="2518" w:type="dxa"/>
          </w:tcPr>
          <w:p w:rsidR="00711293" w:rsidRDefault="00711293" w:rsidP="001221BE">
            <w:pPr>
              <w:spacing w:before="120"/>
              <w:rPr>
                <w:rFonts w:cs="Arial"/>
                <w:szCs w:val="20"/>
              </w:rPr>
            </w:pPr>
            <w:r>
              <w:rPr>
                <w:rFonts w:cs="Arial"/>
                <w:szCs w:val="20"/>
              </w:rPr>
              <w:t>Non-tracked data</w:t>
            </w:r>
          </w:p>
        </w:tc>
        <w:tc>
          <w:tcPr>
            <w:tcW w:w="6390" w:type="dxa"/>
          </w:tcPr>
          <w:p w:rsidR="00711293" w:rsidRDefault="00711293" w:rsidP="00A2445D">
            <w:pPr>
              <w:spacing w:before="120"/>
              <w:rPr>
                <w:rFonts w:cs="Arial"/>
                <w:szCs w:val="20"/>
              </w:rPr>
            </w:pPr>
            <w:r>
              <w:rPr>
                <w:rFonts w:cs="Arial"/>
                <w:szCs w:val="20"/>
              </w:rPr>
              <w:t xml:space="preserve">Hazardous waste not collected under the arrangements of a </w:t>
            </w:r>
            <w:r w:rsidR="004734AD">
              <w:rPr>
                <w:rFonts w:cs="Arial"/>
                <w:szCs w:val="20"/>
              </w:rPr>
              <w:t xml:space="preserve">formal </w:t>
            </w:r>
            <w:r w:rsidR="00A2445D">
              <w:rPr>
                <w:rFonts w:cs="Arial"/>
                <w:szCs w:val="20"/>
              </w:rPr>
              <w:t>t</w:t>
            </w:r>
            <w:r>
              <w:rPr>
                <w:rFonts w:cs="Arial"/>
                <w:szCs w:val="20"/>
              </w:rPr>
              <w:t xml:space="preserve">racking </w:t>
            </w:r>
            <w:r w:rsidR="00A2445D">
              <w:rPr>
                <w:rFonts w:cs="Arial"/>
                <w:szCs w:val="20"/>
              </w:rPr>
              <w:t>s</w:t>
            </w:r>
            <w:r>
              <w:rPr>
                <w:rFonts w:cs="Arial"/>
                <w:szCs w:val="20"/>
              </w:rPr>
              <w:t xml:space="preserve">ystem.  </w:t>
            </w:r>
            <w:r w:rsidR="004734AD">
              <w:rPr>
                <w:rFonts w:cs="Arial"/>
                <w:szCs w:val="20"/>
              </w:rPr>
              <w:t xml:space="preserve">This may include </w:t>
            </w:r>
            <w:r w:rsidRPr="00711293">
              <w:rPr>
                <w:rFonts w:cs="Arial"/>
                <w:szCs w:val="20"/>
              </w:rPr>
              <w:t>material with no arrangement for any kind of tracking or measurement</w:t>
            </w:r>
            <w:r w:rsidR="004734AD">
              <w:rPr>
                <w:rFonts w:cs="Arial"/>
                <w:szCs w:val="20"/>
              </w:rPr>
              <w:t xml:space="preserve"> as well as </w:t>
            </w:r>
            <w:r w:rsidR="004734AD" w:rsidRPr="004734AD">
              <w:rPr>
                <w:rFonts w:cs="Arial"/>
                <w:szCs w:val="20"/>
              </w:rPr>
              <w:t>material tracked, measured, estimated or otherwise covered by parallel or shadow systems</w:t>
            </w:r>
            <w:r w:rsidRPr="00711293">
              <w:rPr>
                <w:rFonts w:cs="Arial"/>
                <w:szCs w:val="20"/>
              </w:rPr>
              <w:t>.</w:t>
            </w:r>
          </w:p>
        </w:tc>
      </w:tr>
      <w:tr w:rsidR="00711293" w:rsidRPr="00172562" w:rsidTr="001221BE">
        <w:tc>
          <w:tcPr>
            <w:tcW w:w="2518" w:type="dxa"/>
          </w:tcPr>
          <w:p w:rsidR="00711293" w:rsidRDefault="00711293" w:rsidP="001221BE">
            <w:pPr>
              <w:spacing w:before="120"/>
              <w:rPr>
                <w:rFonts w:cs="Arial"/>
                <w:szCs w:val="20"/>
              </w:rPr>
            </w:pPr>
            <w:r>
              <w:rPr>
                <w:rFonts w:cs="Arial"/>
                <w:szCs w:val="20"/>
              </w:rPr>
              <w:t>R</w:t>
            </w:r>
            <w:r w:rsidRPr="001221BE">
              <w:rPr>
                <w:rFonts w:cs="Arial"/>
                <w:szCs w:val="20"/>
              </w:rPr>
              <w:t>ecovery of energy</w:t>
            </w:r>
          </w:p>
        </w:tc>
        <w:tc>
          <w:tcPr>
            <w:tcW w:w="6390" w:type="dxa"/>
          </w:tcPr>
          <w:p w:rsidR="00711293" w:rsidRDefault="00711293" w:rsidP="007173FC">
            <w:pPr>
              <w:spacing w:before="120"/>
              <w:rPr>
                <w:rFonts w:cs="Arial"/>
                <w:szCs w:val="20"/>
              </w:rPr>
            </w:pPr>
            <w:r>
              <w:rPr>
                <w:rFonts w:cs="Arial"/>
                <w:szCs w:val="20"/>
              </w:rPr>
              <w:t>(</w:t>
            </w:r>
            <w:proofErr w:type="gramStart"/>
            <w:r w:rsidRPr="001221BE">
              <w:rPr>
                <w:rFonts w:cs="Arial"/>
                <w:szCs w:val="20"/>
              </w:rPr>
              <w:t>from</w:t>
            </w:r>
            <w:proofErr w:type="gramEnd"/>
            <w:r w:rsidRPr="001221BE">
              <w:rPr>
                <w:rFonts w:cs="Arial"/>
                <w:szCs w:val="20"/>
              </w:rPr>
              <w:t xml:space="preserve"> solid waste</w:t>
            </w:r>
            <w:r>
              <w:rPr>
                <w:rFonts w:cs="Arial"/>
                <w:szCs w:val="20"/>
              </w:rPr>
              <w:t>)</w:t>
            </w:r>
            <w:r w:rsidRPr="001221BE">
              <w:rPr>
                <w:rFonts w:cs="Arial"/>
                <w:szCs w:val="20"/>
              </w:rPr>
              <w:t xml:space="preserve"> is the process of recovering the energy that is embodied in solid wastes. The amount of solid waste recovered by recovery of energy processes is net of any materials recycled and/or disposed</w:t>
            </w:r>
            <w:r w:rsidR="00E90617">
              <w:rPr>
                <w:rFonts w:cs="Arial"/>
                <w:szCs w:val="20"/>
              </w:rPr>
              <w:t>.</w:t>
            </w:r>
          </w:p>
        </w:tc>
      </w:tr>
      <w:tr w:rsidR="00711293" w:rsidRPr="00172562" w:rsidTr="00B86B40">
        <w:tc>
          <w:tcPr>
            <w:tcW w:w="2518" w:type="dxa"/>
          </w:tcPr>
          <w:p w:rsidR="00711293" w:rsidRDefault="00711293" w:rsidP="00B86B40">
            <w:pPr>
              <w:spacing w:before="120"/>
              <w:rPr>
                <w:rFonts w:cs="Arial"/>
                <w:szCs w:val="20"/>
              </w:rPr>
            </w:pPr>
            <w:r>
              <w:rPr>
                <w:rFonts w:cs="Arial"/>
                <w:szCs w:val="20"/>
              </w:rPr>
              <w:t>R</w:t>
            </w:r>
            <w:r w:rsidRPr="001221BE">
              <w:rPr>
                <w:rFonts w:cs="Arial"/>
                <w:szCs w:val="20"/>
              </w:rPr>
              <w:t>ecycling</w:t>
            </w:r>
          </w:p>
        </w:tc>
        <w:tc>
          <w:tcPr>
            <w:tcW w:w="6390" w:type="dxa"/>
          </w:tcPr>
          <w:p w:rsidR="00711293" w:rsidRPr="00172562" w:rsidRDefault="00711293" w:rsidP="00B86B40">
            <w:pPr>
              <w:spacing w:before="120"/>
              <w:rPr>
                <w:rFonts w:cs="Arial"/>
                <w:szCs w:val="20"/>
              </w:rPr>
            </w:pPr>
            <w:r>
              <w:rPr>
                <w:rFonts w:cs="Arial"/>
                <w:szCs w:val="20"/>
              </w:rPr>
              <w:t>A</w:t>
            </w:r>
            <w:r w:rsidRPr="001221BE">
              <w:rPr>
                <w:rFonts w:cs="Arial"/>
                <w:szCs w:val="20"/>
              </w:rPr>
              <w:t xml:space="preserve"> series of activities by which solid wastes are collected, sorted, processed (including composting), and converted into raw materials to be used in the production of new products</w:t>
            </w:r>
            <w:r w:rsidR="00E90617">
              <w:rPr>
                <w:rFonts w:cs="Arial"/>
                <w:szCs w:val="20"/>
              </w:rPr>
              <w:t>.</w:t>
            </w:r>
          </w:p>
        </w:tc>
      </w:tr>
      <w:tr w:rsidR="00711293" w:rsidRPr="00172562" w:rsidTr="001221BE">
        <w:tc>
          <w:tcPr>
            <w:tcW w:w="2518" w:type="dxa"/>
          </w:tcPr>
          <w:p w:rsidR="00711293" w:rsidRDefault="00711293" w:rsidP="002B1D40">
            <w:pPr>
              <w:spacing w:before="120"/>
              <w:rPr>
                <w:rFonts w:cs="Arial"/>
                <w:szCs w:val="20"/>
              </w:rPr>
            </w:pPr>
            <w:r>
              <w:rPr>
                <w:rFonts w:cs="Arial"/>
                <w:szCs w:val="20"/>
              </w:rPr>
              <w:t>R</w:t>
            </w:r>
            <w:r w:rsidRPr="002B1D40">
              <w:rPr>
                <w:rFonts w:cs="Arial"/>
                <w:szCs w:val="20"/>
              </w:rPr>
              <w:t>esource recovery</w:t>
            </w:r>
          </w:p>
        </w:tc>
        <w:tc>
          <w:tcPr>
            <w:tcW w:w="6390" w:type="dxa"/>
          </w:tcPr>
          <w:p w:rsidR="00711293" w:rsidRDefault="00711293" w:rsidP="007173FC">
            <w:pPr>
              <w:spacing w:before="120"/>
              <w:rPr>
                <w:rFonts w:cs="Arial"/>
                <w:szCs w:val="20"/>
              </w:rPr>
            </w:pPr>
            <w:r>
              <w:rPr>
                <w:rFonts w:cs="Arial"/>
                <w:szCs w:val="20"/>
              </w:rPr>
              <w:t>T</w:t>
            </w:r>
            <w:r w:rsidRPr="002B1D40">
              <w:rPr>
                <w:rFonts w:cs="Arial"/>
                <w:szCs w:val="20"/>
              </w:rPr>
              <w:t xml:space="preserve">he sum of materials sent to recycling and energy recovery facilities minus contaminants/residual wastes sent to disposal. </w:t>
            </w:r>
            <w:r>
              <w:rPr>
                <w:rFonts w:cs="Arial"/>
                <w:szCs w:val="20"/>
              </w:rPr>
              <w:t xml:space="preserve"> </w:t>
            </w:r>
            <w:r w:rsidRPr="002B1D40">
              <w:rPr>
                <w:rFonts w:cs="Arial"/>
                <w:szCs w:val="20"/>
              </w:rPr>
              <w:t>Resource recovery = recycling + recovery of energy</w:t>
            </w:r>
            <w:r w:rsidR="00E90617">
              <w:rPr>
                <w:rFonts w:cs="Arial"/>
                <w:szCs w:val="20"/>
              </w:rPr>
              <w:t>.</w:t>
            </w:r>
          </w:p>
        </w:tc>
      </w:tr>
      <w:tr w:rsidR="00711293" w:rsidRPr="00172562" w:rsidTr="001221BE">
        <w:tc>
          <w:tcPr>
            <w:tcW w:w="2518" w:type="dxa"/>
          </w:tcPr>
          <w:p w:rsidR="00711293" w:rsidRDefault="00711293" w:rsidP="007173FC">
            <w:pPr>
              <w:spacing w:before="120"/>
              <w:rPr>
                <w:rFonts w:cs="Arial"/>
                <w:szCs w:val="20"/>
              </w:rPr>
            </w:pPr>
            <w:r>
              <w:rPr>
                <w:rFonts w:cs="Arial"/>
                <w:szCs w:val="20"/>
              </w:rPr>
              <w:t>Reuse</w:t>
            </w:r>
          </w:p>
        </w:tc>
        <w:tc>
          <w:tcPr>
            <w:tcW w:w="6390" w:type="dxa"/>
          </w:tcPr>
          <w:p w:rsidR="00711293" w:rsidRPr="00172562" w:rsidRDefault="00711293" w:rsidP="007173FC">
            <w:pPr>
              <w:spacing w:before="120"/>
              <w:rPr>
                <w:rFonts w:cs="Arial"/>
                <w:szCs w:val="20"/>
              </w:rPr>
            </w:pPr>
            <w:r>
              <w:rPr>
                <w:rFonts w:cs="Arial"/>
                <w:szCs w:val="20"/>
              </w:rPr>
              <w:t>T</w:t>
            </w:r>
            <w:r w:rsidRPr="001221BE">
              <w:rPr>
                <w:rFonts w:cs="Arial"/>
                <w:szCs w:val="20"/>
              </w:rPr>
              <w:t>he use of products or materials for the same or a different purpose without reprocessing or remanufacture. These products or materials may also be repaired to extend their use.</w:t>
            </w:r>
          </w:p>
        </w:tc>
      </w:tr>
      <w:tr w:rsidR="00711293" w:rsidRPr="00172562" w:rsidTr="001221BE">
        <w:tc>
          <w:tcPr>
            <w:tcW w:w="2518" w:type="dxa"/>
          </w:tcPr>
          <w:p w:rsidR="00711293" w:rsidRDefault="00711293" w:rsidP="00205C1C">
            <w:pPr>
              <w:spacing w:before="120"/>
              <w:rPr>
                <w:rFonts w:cs="Arial"/>
                <w:szCs w:val="20"/>
              </w:rPr>
            </w:pPr>
            <w:r>
              <w:rPr>
                <w:rFonts w:cs="Arial"/>
                <w:szCs w:val="20"/>
              </w:rPr>
              <w:t>Solid waste</w:t>
            </w:r>
          </w:p>
        </w:tc>
        <w:tc>
          <w:tcPr>
            <w:tcW w:w="6390" w:type="dxa"/>
          </w:tcPr>
          <w:p w:rsidR="00711293" w:rsidRPr="00205C1C" w:rsidRDefault="00711293" w:rsidP="00205C1C">
            <w:pPr>
              <w:spacing w:before="120" w:line="240" w:lineRule="auto"/>
              <w:rPr>
                <w:rFonts w:cs="Arial"/>
                <w:szCs w:val="20"/>
              </w:rPr>
            </w:pPr>
            <w:r>
              <w:rPr>
                <w:rFonts w:cs="Arial"/>
                <w:szCs w:val="20"/>
              </w:rPr>
              <w:t>Any w</w:t>
            </w:r>
            <w:r w:rsidRPr="00205C1C">
              <w:rPr>
                <w:rFonts w:cs="Arial"/>
                <w:szCs w:val="20"/>
              </w:rPr>
              <w:t xml:space="preserve">aste that: </w:t>
            </w:r>
          </w:p>
          <w:p w:rsidR="00711293" w:rsidRPr="00205C1C" w:rsidRDefault="00E90617" w:rsidP="00205C1C">
            <w:pPr>
              <w:spacing w:before="120" w:line="240" w:lineRule="exact"/>
              <w:rPr>
                <w:rFonts w:cs="Arial"/>
                <w:szCs w:val="20"/>
              </w:rPr>
            </w:pPr>
            <w:r w:rsidRPr="00C6005F">
              <w:rPr>
                <w:rFonts w:cs="Arial"/>
                <w:szCs w:val="20"/>
              </w:rPr>
              <w:t>(</w:t>
            </w:r>
            <w:r>
              <w:rPr>
                <w:rFonts w:cs="Arial"/>
                <w:szCs w:val="20"/>
              </w:rPr>
              <w:t>a</w:t>
            </w:r>
            <w:r w:rsidRPr="00C6005F">
              <w:rPr>
                <w:rFonts w:cs="Arial"/>
                <w:szCs w:val="20"/>
              </w:rPr>
              <w:t xml:space="preserve">) </w:t>
            </w:r>
            <w:r w:rsidR="00711293" w:rsidRPr="00205C1C">
              <w:rPr>
                <w:rFonts w:cs="Arial"/>
                <w:szCs w:val="20"/>
              </w:rPr>
              <w:t xml:space="preserve">has an angle of repose of greater than </w:t>
            </w:r>
            <w:r w:rsidR="006A2C4E">
              <w:rPr>
                <w:rFonts w:cs="Arial"/>
                <w:szCs w:val="20"/>
              </w:rPr>
              <w:t>five</w:t>
            </w:r>
            <w:r w:rsidR="00711293" w:rsidRPr="00205C1C">
              <w:rPr>
                <w:rFonts w:cs="Arial"/>
                <w:szCs w:val="20"/>
              </w:rPr>
              <w:t xml:space="preserve"> degrees above horizontal, or </w:t>
            </w:r>
          </w:p>
          <w:p w:rsidR="00711293" w:rsidRPr="00205C1C" w:rsidRDefault="00E90617" w:rsidP="00205C1C">
            <w:pPr>
              <w:spacing w:before="120" w:line="240" w:lineRule="exact"/>
              <w:rPr>
                <w:rFonts w:cs="Arial"/>
                <w:szCs w:val="20"/>
              </w:rPr>
            </w:pPr>
            <w:r w:rsidRPr="00C6005F">
              <w:rPr>
                <w:rFonts w:cs="Arial"/>
                <w:szCs w:val="20"/>
              </w:rPr>
              <w:t>(</w:t>
            </w:r>
            <w:r>
              <w:rPr>
                <w:rFonts w:cs="Arial"/>
                <w:szCs w:val="20"/>
              </w:rPr>
              <w:t>b</w:t>
            </w:r>
            <w:r w:rsidRPr="00C6005F">
              <w:rPr>
                <w:rFonts w:cs="Arial"/>
                <w:szCs w:val="20"/>
              </w:rPr>
              <w:t xml:space="preserve">) </w:t>
            </w:r>
            <w:r>
              <w:rPr>
                <w:rFonts w:cs="Arial"/>
                <w:szCs w:val="20"/>
              </w:rPr>
              <w:t xml:space="preserve"> </w:t>
            </w:r>
            <w:r w:rsidR="00711293" w:rsidRPr="00205C1C">
              <w:rPr>
                <w:rFonts w:cs="Arial"/>
                <w:szCs w:val="20"/>
              </w:rPr>
              <w:t xml:space="preserve">does not become free-flowing at or below 60 degrees Celsius or when it is transported, or </w:t>
            </w:r>
          </w:p>
          <w:p w:rsidR="00711293" w:rsidRDefault="00E90617" w:rsidP="00E90617">
            <w:pPr>
              <w:spacing w:before="120" w:line="240" w:lineRule="exact"/>
              <w:rPr>
                <w:rFonts w:cs="Arial"/>
                <w:szCs w:val="20"/>
              </w:rPr>
            </w:pPr>
            <w:r w:rsidRPr="00C6005F">
              <w:rPr>
                <w:rFonts w:cs="Arial"/>
                <w:szCs w:val="20"/>
              </w:rPr>
              <w:t>(</w:t>
            </w:r>
            <w:proofErr w:type="gramStart"/>
            <w:r>
              <w:rPr>
                <w:rFonts w:cs="Arial"/>
                <w:szCs w:val="20"/>
              </w:rPr>
              <w:t>c</w:t>
            </w:r>
            <w:proofErr w:type="gramEnd"/>
            <w:r w:rsidRPr="00C6005F">
              <w:rPr>
                <w:rFonts w:cs="Arial"/>
                <w:szCs w:val="20"/>
              </w:rPr>
              <w:t xml:space="preserve">) </w:t>
            </w:r>
            <w:r>
              <w:rPr>
                <w:rFonts w:cs="Arial"/>
                <w:szCs w:val="20"/>
              </w:rPr>
              <w:t xml:space="preserve"> </w:t>
            </w:r>
            <w:r w:rsidR="00711293" w:rsidRPr="00205C1C">
              <w:rPr>
                <w:rFonts w:cs="Arial"/>
                <w:szCs w:val="20"/>
              </w:rPr>
              <w:t>is generally capable of being picked up by a spade or shovel.</w:t>
            </w:r>
          </w:p>
        </w:tc>
      </w:tr>
      <w:tr w:rsidR="00711293" w:rsidRPr="00172562" w:rsidTr="001221BE">
        <w:tc>
          <w:tcPr>
            <w:tcW w:w="2518" w:type="dxa"/>
          </w:tcPr>
          <w:p w:rsidR="00711293" w:rsidRDefault="00711293" w:rsidP="00205C1C">
            <w:pPr>
              <w:spacing w:before="120"/>
              <w:rPr>
                <w:rFonts w:cs="Arial"/>
                <w:szCs w:val="20"/>
              </w:rPr>
            </w:pPr>
            <w:r>
              <w:rPr>
                <w:rFonts w:cs="Arial"/>
                <w:szCs w:val="20"/>
              </w:rPr>
              <w:t>S</w:t>
            </w:r>
            <w:r w:rsidRPr="00205C1C">
              <w:rPr>
                <w:rFonts w:cs="Arial"/>
                <w:szCs w:val="20"/>
              </w:rPr>
              <w:t>olid waste disposal</w:t>
            </w:r>
          </w:p>
        </w:tc>
        <w:tc>
          <w:tcPr>
            <w:tcW w:w="6390" w:type="dxa"/>
          </w:tcPr>
          <w:p w:rsidR="00711293" w:rsidRPr="00172562" w:rsidRDefault="00711293" w:rsidP="00205C1C">
            <w:pPr>
              <w:spacing w:before="120"/>
              <w:rPr>
                <w:rFonts w:cs="Arial"/>
                <w:szCs w:val="20"/>
              </w:rPr>
            </w:pPr>
            <w:r>
              <w:rPr>
                <w:rFonts w:cs="Arial"/>
                <w:szCs w:val="20"/>
              </w:rPr>
              <w:t>S</w:t>
            </w:r>
            <w:r w:rsidRPr="00205C1C">
              <w:rPr>
                <w:rFonts w:cs="Arial"/>
                <w:szCs w:val="20"/>
              </w:rPr>
              <w:t>olid waste that is deposited in a landfill net of recovery of energy.</w:t>
            </w:r>
          </w:p>
        </w:tc>
      </w:tr>
      <w:tr w:rsidR="00711293" w:rsidRPr="00172562" w:rsidTr="001221BE">
        <w:tc>
          <w:tcPr>
            <w:tcW w:w="2518" w:type="dxa"/>
          </w:tcPr>
          <w:p w:rsidR="00711293" w:rsidRPr="00172562" w:rsidRDefault="00711293" w:rsidP="007173FC">
            <w:pPr>
              <w:spacing w:before="120"/>
              <w:rPr>
                <w:rFonts w:cs="Arial"/>
                <w:szCs w:val="20"/>
              </w:rPr>
            </w:pPr>
            <w:r>
              <w:rPr>
                <w:rFonts w:cs="Arial"/>
                <w:szCs w:val="20"/>
              </w:rPr>
              <w:t>Tracked data</w:t>
            </w:r>
          </w:p>
        </w:tc>
        <w:tc>
          <w:tcPr>
            <w:tcW w:w="6390" w:type="dxa"/>
          </w:tcPr>
          <w:p w:rsidR="00711293" w:rsidRPr="00172562" w:rsidRDefault="00711293" w:rsidP="00A44E52">
            <w:pPr>
              <w:spacing w:before="120"/>
              <w:rPr>
                <w:rFonts w:cs="Arial"/>
                <w:szCs w:val="20"/>
              </w:rPr>
            </w:pPr>
            <w:r>
              <w:rPr>
                <w:rFonts w:cs="Arial"/>
                <w:szCs w:val="20"/>
              </w:rPr>
              <w:t xml:space="preserve">Hazardous waste collected under the arrangements of a </w:t>
            </w:r>
            <w:r w:rsidR="00A44E52">
              <w:rPr>
                <w:rFonts w:cs="Arial"/>
                <w:szCs w:val="20"/>
              </w:rPr>
              <w:t>t</w:t>
            </w:r>
            <w:r>
              <w:rPr>
                <w:rFonts w:cs="Arial"/>
                <w:szCs w:val="20"/>
              </w:rPr>
              <w:t xml:space="preserve">racking </w:t>
            </w:r>
            <w:r w:rsidR="00A44E52">
              <w:rPr>
                <w:rFonts w:cs="Arial"/>
                <w:szCs w:val="20"/>
              </w:rPr>
              <w:t>s</w:t>
            </w:r>
            <w:r>
              <w:rPr>
                <w:rFonts w:cs="Arial"/>
                <w:szCs w:val="20"/>
              </w:rPr>
              <w:t>ystem</w:t>
            </w:r>
          </w:p>
        </w:tc>
      </w:tr>
      <w:tr w:rsidR="00711293" w:rsidRPr="00172562" w:rsidTr="001221BE">
        <w:tc>
          <w:tcPr>
            <w:tcW w:w="2518" w:type="dxa"/>
          </w:tcPr>
          <w:p w:rsidR="00711293" w:rsidRDefault="00711293" w:rsidP="00737992">
            <w:pPr>
              <w:spacing w:before="120"/>
            </w:pPr>
            <w:r>
              <w:t xml:space="preserve">Tracking </w:t>
            </w:r>
            <w:r w:rsidR="00F15C2E">
              <w:t>s</w:t>
            </w:r>
            <w:r>
              <w:t>ystem</w:t>
            </w:r>
          </w:p>
        </w:tc>
        <w:tc>
          <w:tcPr>
            <w:tcW w:w="6390" w:type="dxa"/>
          </w:tcPr>
          <w:p w:rsidR="00711293" w:rsidRDefault="00711293" w:rsidP="00711293">
            <w:pPr>
              <w:spacing w:before="120"/>
            </w:pPr>
            <w:r>
              <w:t>Jurisdiction-based hazardous waste tracking systems, which are in place in New South Wales, Queensland, South Australia, Western Australia and Victoria. These tracking systems can be either online, paper-based, or a combination of both these mechanisms.</w:t>
            </w:r>
          </w:p>
        </w:tc>
      </w:tr>
      <w:tr w:rsidR="00711293" w:rsidRPr="00172562" w:rsidTr="001221BE">
        <w:tc>
          <w:tcPr>
            <w:tcW w:w="2518" w:type="dxa"/>
          </w:tcPr>
          <w:p w:rsidR="00711293" w:rsidRDefault="00711293" w:rsidP="00737992">
            <w:pPr>
              <w:spacing w:before="120"/>
            </w:pPr>
            <w:r>
              <w:lastRenderedPageBreak/>
              <w:t>Treatment</w:t>
            </w:r>
          </w:p>
        </w:tc>
        <w:tc>
          <w:tcPr>
            <w:tcW w:w="6390" w:type="dxa"/>
          </w:tcPr>
          <w:p w:rsidR="00711293" w:rsidRDefault="00711293" w:rsidP="003B5099">
            <w:pPr>
              <w:spacing w:before="120"/>
            </w:pPr>
            <w:r>
              <w:t>T</w:t>
            </w:r>
            <w:r w:rsidRPr="00205C1C">
              <w:t>reatment of waste is the removal, reduction or immobili</w:t>
            </w:r>
            <w:r w:rsidR="003B5099">
              <w:t>s</w:t>
            </w:r>
            <w:r w:rsidRPr="00205C1C">
              <w:t>ation of a hazardous characteristic to enable the waste to be reused, recycled, sent to an EfW facility or disposed.</w:t>
            </w:r>
          </w:p>
        </w:tc>
      </w:tr>
      <w:tr w:rsidR="00711293" w:rsidRPr="00172562" w:rsidTr="001221BE">
        <w:tc>
          <w:tcPr>
            <w:tcW w:w="2518" w:type="dxa"/>
          </w:tcPr>
          <w:p w:rsidR="00711293" w:rsidRDefault="00711293" w:rsidP="00737992">
            <w:pPr>
              <w:spacing w:before="120"/>
            </w:pPr>
            <w:r>
              <w:t>Waste</w:t>
            </w:r>
          </w:p>
        </w:tc>
        <w:tc>
          <w:tcPr>
            <w:tcW w:w="6390" w:type="dxa"/>
          </w:tcPr>
          <w:p w:rsidR="00711293" w:rsidRDefault="00711293" w:rsidP="00205C1C">
            <w:pPr>
              <w:spacing w:before="120"/>
            </w:pPr>
            <w:r>
              <w:t>(F</w:t>
            </w:r>
            <w:r w:rsidRPr="00205C1C">
              <w:t>or data collation purposes) is materials or products that are unwanted or have been discarded, rejected or abandoned. Waste includes materials or products that are recycled, converted to energy, or disposed. Materials and products that are reused (for their original or another purpose without reprocessing) are not solid waste because they remain in use.</w:t>
            </w:r>
          </w:p>
        </w:tc>
      </w:tr>
      <w:tr w:rsidR="00711293" w:rsidRPr="00172562" w:rsidTr="001221BE">
        <w:tc>
          <w:tcPr>
            <w:tcW w:w="2518" w:type="dxa"/>
          </w:tcPr>
          <w:p w:rsidR="00711293" w:rsidRDefault="00711293" w:rsidP="00737992">
            <w:pPr>
              <w:spacing w:before="120"/>
              <w:rPr>
                <w:rFonts w:cs="Arial"/>
                <w:szCs w:val="20"/>
              </w:rPr>
            </w:pPr>
            <w:r>
              <w:t>Waste Code</w:t>
            </w:r>
          </w:p>
        </w:tc>
        <w:tc>
          <w:tcPr>
            <w:tcW w:w="6390" w:type="dxa"/>
          </w:tcPr>
          <w:p w:rsidR="00711293" w:rsidRPr="00172562" w:rsidRDefault="00711293" w:rsidP="001C00F0">
            <w:pPr>
              <w:spacing w:before="120"/>
              <w:rPr>
                <w:rFonts w:cs="Arial"/>
                <w:szCs w:val="20"/>
              </w:rPr>
            </w:pPr>
            <w:r>
              <w:t>Three</w:t>
            </w:r>
            <w:r w:rsidR="001C00F0">
              <w:t>-</w:t>
            </w:r>
            <w:r>
              <w:t xml:space="preserve">digit code typically used by jurisdictions to describe </w:t>
            </w:r>
            <w:r w:rsidR="001C00F0">
              <w:t>NEPM-</w:t>
            </w:r>
            <w:r>
              <w:t xml:space="preserve">listed wastes.  These are </w:t>
            </w:r>
            <w:r w:rsidR="000304AC">
              <w:t>also referred</w:t>
            </w:r>
            <w:r>
              <w:t xml:space="preserve"> to as </w:t>
            </w:r>
            <w:r w:rsidR="001C00F0">
              <w:t>’</w:t>
            </w:r>
            <w:r>
              <w:t>NEPM codes</w:t>
            </w:r>
            <w:r w:rsidR="001C00F0">
              <w:t>’</w:t>
            </w:r>
            <w:r>
              <w:t xml:space="preserve"> although it is noted that the actual codes do not appear in the NEPM itself.</w:t>
            </w:r>
          </w:p>
        </w:tc>
      </w:tr>
      <w:tr w:rsidR="00711293" w:rsidRPr="00172562" w:rsidTr="001221BE">
        <w:tc>
          <w:tcPr>
            <w:tcW w:w="2518" w:type="dxa"/>
          </w:tcPr>
          <w:p w:rsidR="00711293" w:rsidRDefault="00711293" w:rsidP="001221BE">
            <w:pPr>
              <w:spacing w:before="120"/>
            </w:pPr>
            <w:r>
              <w:t>Waste generation</w:t>
            </w:r>
          </w:p>
        </w:tc>
        <w:tc>
          <w:tcPr>
            <w:tcW w:w="6390" w:type="dxa"/>
          </w:tcPr>
          <w:p w:rsidR="00711293" w:rsidRDefault="00711293" w:rsidP="001C00F0">
            <w:pPr>
              <w:spacing w:before="120"/>
            </w:pPr>
            <w:r>
              <w:t>Typically, w</w:t>
            </w:r>
            <w:r w:rsidRPr="002B1D40">
              <w:t>aste generation = resource recovery (recycling + energy recovery) + disposal</w:t>
            </w:r>
            <w:r>
              <w:t>.  For the purposes of this report however, waste generation means what has been reported</w:t>
            </w:r>
            <w:r w:rsidR="001C00F0">
              <w:t xml:space="preserve"> by jurisdictional data providers</w:t>
            </w:r>
            <w:r>
              <w:t xml:space="preserve"> as waste generation</w:t>
            </w:r>
            <w:r w:rsidR="001C00F0">
              <w:t>.</w:t>
            </w:r>
            <w:r>
              <w:t xml:space="preserve"> </w:t>
            </w:r>
          </w:p>
        </w:tc>
      </w:tr>
      <w:tr w:rsidR="00711293" w:rsidRPr="00172562" w:rsidTr="001221BE">
        <w:tc>
          <w:tcPr>
            <w:tcW w:w="2518" w:type="dxa"/>
          </w:tcPr>
          <w:p w:rsidR="00711293" w:rsidRPr="00172562" w:rsidRDefault="00711293" w:rsidP="001221BE">
            <w:pPr>
              <w:spacing w:before="120"/>
              <w:rPr>
                <w:rFonts w:cs="Arial"/>
                <w:szCs w:val="20"/>
              </w:rPr>
            </w:pPr>
            <w:r>
              <w:t>W</w:t>
            </w:r>
            <w:r w:rsidRPr="001221BE">
              <w:t>aste reuse</w:t>
            </w:r>
          </w:p>
        </w:tc>
        <w:tc>
          <w:tcPr>
            <w:tcW w:w="6390" w:type="dxa"/>
          </w:tcPr>
          <w:p w:rsidR="00711293" w:rsidRPr="002B1D40" w:rsidRDefault="00711293" w:rsidP="001C00F0">
            <w:pPr>
              <w:spacing w:before="120"/>
            </w:pPr>
            <w:r>
              <w:t>T</w:t>
            </w:r>
            <w:r w:rsidRPr="001221BE">
              <w:t xml:space="preserve">he reuse of a product </w:t>
            </w:r>
            <w:r w:rsidR="001C00F0">
              <w:t>or</w:t>
            </w:r>
            <w:r w:rsidRPr="001221BE">
              <w:t xml:space="preserve"> material that has entered a waste management facility (e.g. the sale of goods from a landfill or transfer station ‘tip shop’) for the same or a different purpose. These products or materials may also be repaired to extend their use.</w:t>
            </w:r>
          </w:p>
        </w:tc>
      </w:tr>
      <w:tr w:rsidR="00711293" w:rsidRPr="00172562" w:rsidTr="001221BE">
        <w:tc>
          <w:tcPr>
            <w:tcW w:w="2518" w:type="dxa"/>
          </w:tcPr>
          <w:p w:rsidR="00711293" w:rsidRDefault="00711293" w:rsidP="001221BE">
            <w:pPr>
              <w:spacing w:before="120"/>
            </w:pPr>
          </w:p>
        </w:tc>
        <w:tc>
          <w:tcPr>
            <w:tcW w:w="6390" w:type="dxa"/>
          </w:tcPr>
          <w:p w:rsidR="00711293" w:rsidRDefault="00711293" w:rsidP="001D16B5">
            <w:pPr>
              <w:spacing w:before="120"/>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Default="00711293" w:rsidP="001221BE"/>
          <w:p w:rsidR="00711293" w:rsidRPr="00172562" w:rsidRDefault="00711293" w:rsidP="002B1D40">
            <w:pPr>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r w:rsidR="00711293" w:rsidRPr="00172562" w:rsidTr="001221BE">
        <w:tc>
          <w:tcPr>
            <w:tcW w:w="2518" w:type="dxa"/>
          </w:tcPr>
          <w:p w:rsidR="00711293" w:rsidRPr="00172562" w:rsidRDefault="00711293" w:rsidP="007173FC">
            <w:pPr>
              <w:spacing w:before="120"/>
              <w:rPr>
                <w:rFonts w:cs="Arial"/>
                <w:szCs w:val="20"/>
              </w:rPr>
            </w:pPr>
          </w:p>
        </w:tc>
        <w:tc>
          <w:tcPr>
            <w:tcW w:w="6390" w:type="dxa"/>
          </w:tcPr>
          <w:p w:rsidR="00711293" w:rsidRPr="00172562" w:rsidRDefault="00711293" w:rsidP="007173FC">
            <w:pPr>
              <w:spacing w:before="120"/>
              <w:rPr>
                <w:rFonts w:cs="Arial"/>
                <w:szCs w:val="20"/>
              </w:rPr>
            </w:pPr>
          </w:p>
        </w:tc>
      </w:tr>
    </w:tbl>
    <w:p w:rsidR="00AB3096" w:rsidRDefault="00AB3096" w:rsidP="00101EA2">
      <w:pPr>
        <w:spacing w:after="200"/>
        <w:rPr>
          <w:bCs/>
          <w:szCs w:val="20"/>
        </w:rPr>
        <w:sectPr w:rsidR="00AB3096" w:rsidSect="00B25B5D">
          <w:footerReference w:type="default" r:id="rId15"/>
          <w:pgSz w:w="11907" w:h="16839" w:code="9"/>
          <w:pgMar w:top="1701" w:right="1134" w:bottom="1134" w:left="1701" w:header="567" w:footer="567" w:gutter="0"/>
          <w:pgNumType w:fmt="lowerRoman" w:start="1"/>
          <w:cols w:space="708"/>
          <w:docGrid w:linePitch="360"/>
        </w:sectPr>
      </w:pPr>
    </w:p>
    <w:p w:rsidR="00D93BDC" w:rsidRDefault="00D93BDC" w:rsidP="00D93BDC">
      <w:pPr>
        <w:pStyle w:val="KMHNumberHeading1"/>
      </w:pPr>
      <w:bookmarkStart w:id="9" w:name="_Toc340658784"/>
      <w:bookmarkStart w:id="10" w:name="_Toc390771583"/>
      <w:r w:rsidRPr="00C13CA1">
        <w:lastRenderedPageBreak/>
        <w:t>Introduction</w:t>
      </w:r>
      <w:bookmarkEnd w:id="9"/>
      <w:bookmarkEnd w:id="10"/>
    </w:p>
    <w:p w:rsidR="002600FC" w:rsidRPr="0097266D" w:rsidRDefault="002600FC" w:rsidP="002600FC">
      <w:r>
        <w:t>This</w:t>
      </w:r>
      <w:r w:rsidR="00327DC5">
        <w:t xml:space="preserve"> report—the </w:t>
      </w:r>
      <w:r w:rsidR="00F45B73" w:rsidRPr="00BF44E0">
        <w:rPr>
          <w:i/>
        </w:rPr>
        <w:t>Hazardous Waste Data Summary</w:t>
      </w:r>
      <w:r w:rsidR="00AA0548">
        <w:rPr>
          <w:i/>
        </w:rPr>
        <w:t xml:space="preserve"> </w:t>
      </w:r>
      <w:r w:rsidR="00F45B73" w:rsidRPr="00BF44E0">
        <w:t>(the Summary Report)</w:t>
      </w:r>
      <w:r w:rsidR="00327DC5">
        <w:t>—</w:t>
      </w:r>
      <w:r>
        <w:t>is a companion report to the</w:t>
      </w:r>
      <w:r w:rsidR="00327DC5">
        <w:t xml:space="preserve"> </w:t>
      </w:r>
      <w:r w:rsidR="00F45B73" w:rsidRPr="00BF44E0">
        <w:rPr>
          <w:i/>
        </w:rPr>
        <w:t>Hazardous Waste Data Assessment</w:t>
      </w:r>
      <w:r w:rsidR="00327DC5">
        <w:t xml:space="preserve"> (the Data Report)—a</w:t>
      </w:r>
      <w:r w:rsidR="00267E07">
        <w:t xml:space="preserve"> data investigation, assessment and compilation report</w:t>
      </w:r>
      <w:r>
        <w:t xml:space="preserve"> prepared for </w:t>
      </w:r>
      <w:r w:rsidR="00327DC5">
        <w:t xml:space="preserve">the Department of Sustainability, Environment, Water, Population and Communities </w:t>
      </w:r>
      <w:r w:rsidR="00267E07">
        <w:t>by KMH Environmental Pty Ltd.  The Data Report is Appendix A to this report.</w:t>
      </w:r>
    </w:p>
    <w:p w:rsidR="00D93BDC" w:rsidRDefault="004270DC" w:rsidP="00D93BDC">
      <w:pPr>
        <w:pStyle w:val="KMHNumberheading20"/>
        <w:spacing w:line="276" w:lineRule="auto"/>
      </w:pPr>
      <w:bookmarkStart w:id="11" w:name="_Toc390771584"/>
      <w:r>
        <w:t xml:space="preserve">Purpose of this </w:t>
      </w:r>
      <w:r w:rsidR="00174C60">
        <w:t>r</w:t>
      </w:r>
      <w:r>
        <w:t>eport</w:t>
      </w:r>
      <w:bookmarkEnd w:id="11"/>
    </w:p>
    <w:p w:rsidR="00DD37E2" w:rsidRDefault="002600FC" w:rsidP="00F52D38">
      <w:r>
        <w:t>The purpose of this companion report is to provide further interpretation</w:t>
      </w:r>
      <w:r w:rsidR="00444E3A">
        <w:t xml:space="preserve">, </w:t>
      </w:r>
      <w:r>
        <w:t xml:space="preserve">analysis </w:t>
      </w:r>
      <w:r w:rsidR="00444E3A">
        <w:t xml:space="preserve">and, where appropriate, augmentation </w:t>
      </w:r>
      <w:r>
        <w:t xml:space="preserve">of the data </w:t>
      </w:r>
      <w:r w:rsidR="00AA0548">
        <w:t>presented at</w:t>
      </w:r>
      <w:r>
        <w:t xml:space="preserve"> </w:t>
      </w:r>
      <w:r w:rsidR="009E3181">
        <w:t>Appendix A</w:t>
      </w:r>
      <w:r>
        <w:t xml:space="preserve">.  </w:t>
      </w:r>
    </w:p>
    <w:p w:rsidR="00DD37E2" w:rsidRDefault="00DD37E2" w:rsidP="00DD37E2">
      <w:r>
        <w:t xml:space="preserve">Where the </w:t>
      </w:r>
      <w:r w:rsidR="009E3181">
        <w:t xml:space="preserve">Data Report </w:t>
      </w:r>
      <w:r>
        <w:t xml:space="preserve">acts as the </w:t>
      </w:r>
      <w:r w:rsidR="00444E3A">
        <w:t>underpinning</w:t>
      </w:r>
      <w:r>
        <w:t xml:space="preserve"> data source, </w:t>
      </w:r>
      <w:r w:rsidR="00AA0548">
        <w:t>the Summary R</w:t>
      </w:r>
      <w:r>
        <w:t>eport acts as a complementary analytical commentary piece</w:t>
      </w:r>
      <w:r w:rsidR="00AA0548">
        <w:t xml:space="preserve"> which</w:t>
      </w:r>
      <w:r w:rsidR="008345EE">
        <w:t xml:space="preserve"> </w:t>
      </w:r>
      <w:r>
        <w:t>draw</w:t>
      </w:r>
      <w:r w:rsidR="00AA0548">
        <w:t>s</w:t>
      </w:r>
      <w:r>
        <w:t xml:space="preserve"> out headline messages about hazardous waste generation and management in Australia.</w:t>
      </w:r>
    </w:p>
    <w:p w:rsidR="004270DC" w:rsidRDefault="004270DC" w:rsidP="00D93BDC">
      <w:pPr>
        <w:pStyle w:val="KMHNumberheading20"/>
        <w:spacing w:line="276" w:lineRule="auto"/>
      </w:pPr>
      <w:bookmarkStart w:id="12" w:name="_Toc390771585"/>
      <w:r>
        <w:t xml:space="preserve">Scope and </w:t>
      </w:r>
      <w:r w:rsidR="00174C60">
        <w:t>l</w:t>
      </w:r>
      <w:r>
        <w:t>imitations</w:t>
      </w:r>
      <w:bookmarkEnd w:id="12"/>
    </w:p>
    <w:p w:rsidR="001A73F0" w:rsidRDefault="001A73F0" w:rsidP="001A73F0">
      <w:r>
        <w:t>The scope of th</w:t>
      </w:r>
      <w:r w:rsidR="002615CF">
        <w:t>e Summary R</w:t>
      </w:r>
      <w:r>
        <w:t>eport is to interrogate hazardous waste data</w:t>
      </w:r>
      <w:r w:rsidR="00444E3A">
        <w:t xml:space="preserve"> collected from jurisdictional tracking systems in Appendix A</w:t>
      </w:r>
      <w:r>
        <w:t xml:space="preserve"> to identify:</w:t>
      </w:r>
    </w:p>
    <w:p w:rsidR="001A73F0" w:rsidRDefault="001A73F0" w:rsidP="001A73F0">
      <w:pPr>
        <w:pStyle w:val="KMHBulletLevel1"/>
      </w:pPr>
      <w:r>
        <w:t>apparent anomalies</w:t>
      </w:r>
    </w:p>
    <w:p w:rsidR="001A73F0" w:rsidRDefault="001A73F0" w:rsidP="001A73F0">
      <w:pPr>
        <w:pStyle w:val="KMHBulletLevel1"/>
      </w:pPr>
      <w:r>
        <w:t xml:space="preserve">quality and coverage issues </w:t>
      </w:r>
    </w:p>
    <w:p w:rsidR="001A73F0" w:rsidRDefault="001A73F0" w:rsidP="001A73F0">
      <w:pPr>
        <w:pStyle w:val="KMHBulletLevel1"/>
      </w:pPr>
      <w:r>
        <w:t>possible errors or omissions</w:t>
      </w:r>
    </w:p>
    <w:p w:rsidR="001A73F0" w:rsidRDefault="001A73F0" w:rsidP="001A73F0">
      <w:pPr>
        <w:pStyle w:val="KMHBulletLevel1"/>
      </w:pPr>
      <w:r>
        <w:t>jurisdictional inconsistencies and irregularities with respect to data tracking and classification</w:t>
      </w:r>
    </w:p>
    <w:p w:rsidR="001A73F0" w:rsidRDefault="001A73F0" w:rsidP="001A73F0">
      <w:pPr>
        <w:pStyle w:val="KMHBulletLevel1"/>
      </w:pPr>
      <w:r>
        <w:t>comparative issues that suggest different approaches in different jurisdictions</w:t>
      </w:r>
      <w:r w:rsidR="008345EE">
        <w:t xml:space="preserve"> </w:t>
      </w:r>
    </w:p>
    <w:p w:rsidR="001A73F0" w:rsidRDefault="001A73F0" w:rsidP="001A73F0">
      <w:pPr>
        <w:pStyle w:val="KMHBulletLevel1"/>
      </w:pPr>
      <w:proofErr w:type="gramStart"/>
      <w:r>
        <w:t>pertinent</w:t>
      </w:r>
      <w:proofErr w:type="gramEnd"/>
      <w:r>
        <w:t xml:space="preserve"> observations that suggest a trend in hazardous waste management.  </w:t>
      </w:r>
    </w:p>
    <w:p w:rsidR="001A73F0" w:rsidRDefault="001A73F0" w:rsidP="001A73F0">
      <w:pPr>
        <w:pStyle w:val="KMHBulletLevel1"/>
        <w:numPr>
          <w:ilvl w:val="0"/>
          <w:numId w:val="0"/>
        </w:numPr>
        <w:spacing w:after="0"/>
      </w:pPr>
    </w:p>
    <w:p w:rsidR="001A73F0" w:rsidRDefault="001A73F0" w:rsidP="001A73F0">
      <w:pPr>
        <w:pStyle w:val="KMHBulletLevel1"/>
        <w:numPr>
          <w:ilvl w:val="0"/>
          <w:numId w:val="0"/>
        </w:numPr>
      </w:pPr>
      <w:r>
        <w:t>Having identified the issues, this report aims to extract key themes, messages and overarching meaning, by applying KMH’s specialised knowledge in the area of hazardous waste management in Australia.</w:t>
      </w:r>
    </w:p>
    <w:p w:rsidR="009A2BAD" w:rsidRDefault="001A73F0" w:rsidP="00B73D23">
      <w:r>
        <w:t xml:space="preserve">The assumptions, </w:t>
      </w:r>
      <w:r w:rsidR="009A2BAD">
        <w:t xml:space="preserve">possible </w:t>
      </w:r>
      <w:r>
        <w:t xml:space="preserve">explanations, reasoning and </w:t>
      </w:r>
      <w:r w:rsidR="009A2BAD">
        <w:t xml:space="preserve">potential conclusions drawn in this report </w:t>
      </w:r>
      <w:r w:rsidR="008345EE">
        <w:t>are</w:t>
      </w:r>
      <w:r w:rsidR="009A2BAD">
        <w:t xml:space="preserve"> limited by the extent of </w:t>
      </w:r>
      <w:r w:rsidR="0050289E">
        <w:t xml:space="preserve">available data and collective knowledge of </w:t>
      </w:r>
      <w:r w:rsidR="009A2BAD">
        <w:t xml:space="preserve">the report’s authors and </w:t>
      </w:r>
      <w:r w:rsidR="008345EE">
        <w:t>other collaborators</w:t>
      </w:r>
      <w:r w:rsidR="0050289E">
        <w:t>. Much of the opinion expressed in the report is based on the authors’ experience and knowledge of the hazardous waste industry</w:t>
      </w:r>
      <w:r w:rsidR="00C03ACD">
        <w:t xml:space="preserve">. </w:t>
      </w:r>
    </w:p>
    <w:p w:rsidR="00B73D23" w:rsidRDefault="008345EE" w:rsidP="00B73D23">
      <w:r>
        <w:t>A</w:t>
      </w:r>
      <w:r w:rsidR="00C03ACD">
        <w:t>ny</w:t>
      </w:r>
      <w:r w:rsidR="0050289E">
        <w:t xml:space="preserve"> interpretative advice </w:t>
      </w:r>
      <w:r>
        <w:t xml:space="preserve">based on the analysis and opinions expressed in this report </w:t>
      </w:r>
      <w:r w:rsidR="0050289E">
        <w:t xml:space="preserve">should </w:t>
      </w:r>
      <w:r>
        <w:t xml:space="preserve">first </w:t>
      </w:r>
      <w:r w:rsidR="0050289E">
        <w:t xml:space="preserve">be verified with the relevant </w:t>
      </w:r>
      <w:r>
        <w:t>s</w:t>
      </w:r>
      <w:r w:rsidR="0050289E">
        <w:t>tate</w:t>
      </w:r>
      <w:r w:rsidR="009A2BAD">
        <w:t xml:space="preserve"> </w:t>
      </w:r>
      <w:r>
        <w:t>or t</w:t>
      </w:r>
      <w:r w:rsidR="009A2BAD">
        <w:t>erritory hazardous waste management</w:t>
      </w:r>
      <w:r w:rsidR="0086054E">
        <w:t xml:space="preserve"> </w:t>
      </w:r>
      <w:r w:rsidR="009A2BAD">
        <w:t>agenc</w:t>
      </w:r>
      <w:r>
        <w:t>y</w:t>
      </w:r>
      <w:r w:rsidR="009A2BAD">
        <w:t xml:space="preserve"> </w:t>
      </w:r>
      <w:r w:rsidR="0086054E">
        <w:t>before being relied upon as factually correct</w:t>
      </w:r>
      <w:r w:rsidR="0050289E">
        <w:t xml:space="preserve">. </w:t>
      </w:r>
    </w:p>
    <w:p w:rsidR="009A2BAD" w:rsidRDefault="009A2BAD" w:rsidP="00B73D23">
      <w:r>
        <w:t>Due to the extensive gaps in treatment/disposal data</w:t>
      </w:r>
      <w:r w:rsidR="002728F1">
        <w:t>—</w:t>
      </w:r>
      <w:r>
        <w:t>for some jurisdictions there is no information available at the destination end</w:t>
      </w:r>
      <w:r w:rsidR="002728F1">
        <w:t>—</w:t>
      </w:r>
      <w:r>
        <w:t>and the potential for double</w:t>
      </w:r>
      <w:r w:rsidR="002728F1">
        <w:t>-</w:t>
      </w:r>
      <w:r>
        <w:t xml:space="preserve">counting where wastes undergo primary treatment before secondary </w:t>
      </w:r>
      <w:r w:rsidR="00964F2F">
        <w:t>treatment/disposal, t</w:t>
      </w:r>
      <w:r>
        <w:t xml:space="preserve">his report focuses primarily on </w:t>
      </w:r>
      <w:r w:rsidR="00964F2F">
        <w:t xml:space="preserve">analysis of </w:t>
      </w:r>
      <w:r>
        <w:t>waste quantities generated, imported and exported</w:t>
      </w:r>
      <w:r w:rsidR="00964F2F">
        <w:t>.</w:t>
      </w:r>
    </w:p>
    <w:p w:rsidR="00256B07" w:rsidRDefault="00256B07">
      <w:pPr>
        <w:spacing w:after="0"/>
        <w:jc w:val="left"/>
        <w:rPr>
          <w:rFonts w:cs="Arial"/>
          <w:b/>
          <w:color w:val="1D5C42"/>
          <w:sz w:val="24"/>
          <w:szCs w:val="24"/>
        </w:rPr>
      </w:pPr>
      <w:r>
        <w:br w:type="page"/>
      </w:r>
    </w:p>
    <w:p w:rsidR="005A0AB5" w:rsidRDefault="005A0AB5" w:rsidP="00256B07">
      <w:pPr>
        <w:pStyle w:val="KMHNumberheading20"/>
        <w:shd w:val="clear" w:color="auto" w:fill="FFFFFF" w:themeFill="background1"/>
        <w:spacing w:line="276" w:lineRule="auto"/>
      </w:pPr>
      <w:bookmarkStart w:id="13" w:name="_Toc390771586"/>
      <w:r>
        <w:lastRenderedPageBreak/>
        <w:t>Data update 2014</w:t>
      </w:r>
      <w:bookmarkEnd w:id="13"/>
    </w:p>
    <w:p w:rsidR="00256B07" w:rsidRDefault="00256B07" w:rsidP="00256B07">
      <w:pPr>
        <w:shd w:val="clear" w:color="auto" w:fill="FFFFFF" w:themeFill="background1"/>
        <w:jc w:val="left"/>
      </w:pPr>
      <w:r>
        <w:t xml:space="preserve">In November 2013, the Department of Environment (DoE) engaged Blue Environment Pty Ltd in association with </w:t>
      </w:r>
      <w:r w:rsidR="00265F78">
        <w:t>ENVIRON</w:t>
      </w:r>
      <w:r>
        <w:t xml:space="preserve"> Pty Ltd and Randell Environmental Consulting Pty Ltd (REC) to deliver a project called </w:t>
      </w:r>
      <w:r w:rsidRPr="00256B07">
        <w:rPr>
          <w:i/>
        </w:rPr>
        <w:t>Improving Australia's reporting on hazardous waste under the Basel Convention</w:t>
      </w:r>
      <w:r>
        <w:t>.  Amongst other things, this project collected and collated national ha</w:t>
      </w:r>
      <w:r w:rsidR="008C7C61">
        <w:t>zardous waste data for the 2011-</w:t>
      </w:r>
      <w:r>
        <w:t xml:space="preserve">12 financial and 2012 calendar years. </w:t>
      </w:r>
    </w:p>
    <w:p w:rsidR="00256B07" w:rsidRDefault="00256B07" w:rsidP="00256B07">
      <w:pPr>
        <w:shd w:val="clear" w:color="auto" w:fill="FFFFFF" w:themeFill="background1"/>
        <w:jc w:val="left"/>
      </w:pPr>
      <w:r>
        <w:t>As a result of this work a number of new data sources, classification decisions and estimation approaches were adopted, many of wh</w:t>
      </w:r>
      <w:r w:rsidR="008C7C61">
        <w:t>ich were applicable to the 2010-</w:t>
      </w:r>
      <w:r>
        <w:t>11 data set presented in this report.  C</w:t>
      </w:r>
      <w:r w:rsidR="008C7C61">
        <w:t>onsequently the underlying 2010-</w:t>
      </w:r>
      <w:r>
        <w:t>11 data for this report has been updated, result</w:t>
      </w:r>
      <w:r w:rsidR="00AA131D">
        <w:t>ing in the following changes for this revision:</w:t>
      </w:r>
    </w:p>
    <w:p w:rsidR="00256B07" w:rsidRDefault="00256B07" w:rsidP="00C078A7">
      <w:pPr>
        <w:pStyle w:val="KMHBulletLevel1"/>
        <w:shd w:val="clear" w:color="auto" w:fill="FFFFFF" w:themeFill="background1"/>
        <w:spacing w:after="60"/>
        <w:ind w:hangingChars="180"/>
        <w:contextualSpacing w:val="0"/>
      </w:pPr>
      <w:r>
        <w:t xml:space="preserve">Sewage sludge and residues </w:t>
      </w:r>
      <w:r w:rsidR="00AA131D">
        <w:t xml:space="preserve">was classified as “K130” but is now </w:t>
      </w:r>
      <w:r>
        <w:t>incorporated into N205</w:t>
      </w:r>
      <w:r w:rsidR="00AA131D">
        <w:t xml:space="preserve"> (</w:t>
      </w:r>
      <w:r w:rsidR="00AA131D" w:rsidRPr="00016652">
        <w:rPr>
          <w:color w:val="000000"/>
          <w:szCs w:val="20"/>
        </w:rPr>
        <w:t>Residues from industrial waste treatment/disposal operations</w:t>
      </w:r>
      <w:r>
        <w:t>)</w:t>
      </w:r>
      <w:r w:rsidR="00AA131D">
        <w:t>.  E</w:t>
      </w:r>
      <w:r>
        <w:t xml:space="preserve">stimates of biosolids data from the </w:t>
      </w:r>
      <w:r w:rsidRPr="00A97CF1">
        <w:t xml:space="preserve">Australian </w:t>
      </w:r>
      <w:r>
        <w:t>and</w:t>
      </w:r>
      <w:r w:rsidRPr="00A97CF1">
        <w:t xml:space="preserve"> New Zealand Biosolids Partnership (</w:t>
      </w:r>
      <w:hyperlink r:id="rId16" w:history="1">
        <w:r w:rsidRPr="00FC4AD2">
          <w:rPr>
            <w:rStyle w:val="Hyperlink"/>
          </w:rPr>
          <w:t>http://www.biosolids.com.au/bs-australia.php</w:t>
        </w:r>
      </w:hyperlink>
      <w:r w:rsidRPr="00A97CF1">
        <w:t>)</w:t>
      </w:r>
      <w:r>
        <w:t xml:space="preserve"> </w:t>
      </w:r>
      <w:r w:rsidR="00AA131D">
        <w:t>were aggregated for NSW/ACT and WA/NT, but are now split out into all individual states and territories</w:t>
      </w:r>
      <w:r>
        <w:t>.</w:t>
      </w:r>
    </w:p>
    <w:p w:rsidR="00256B07" w:rsidRPr="00975CFF" w:rsidRDefault="00256B07" w:rsidP="00C078A7">
      <w:pPr>
        <w:pStyle w:val="KMHBulletLevel1"/>
        <w:shd w:val="clear" w:color="auto" w:fill="FFFFFF" w:themeFill="background1"/>
        <w:spacing w:after="60"/>
        <w:ind w:hangingChars="180"/>
        <w:contextualSpacing w:val="0"/>
        <w:rPr>
          <w:i/>
        </w:rPr>
      </w:pPr>
      <w:r>
        <w:t>Contaminated soils (N119/N120/N121)—data for New South Wales and Queensland w</w:t>
      </w:r>
      <w:r w:rsidR="00223D33">
        <w:t>as</w:t>
      </w:r>
      <w:r>
        <w:t xml:space="preserve"> replaced by estimates from </w:t>
      </w:r>
      <w:r w:rsidRPr="00975CFF">
        <w:rPr>
          <w:i/>
        </w:rPr>
        <w:t>Waste Generation and Resource Recovery in Australia, Reporting Period 2010/11  (WGRRA 2014)</w:t>
      </w:r>
    </w:p>
    <w:p w:rsidR="00256B07" w:rsidRDefault="00256B07" w:rsidP="00C078A7">
      <w:pPr>
        <w:pStyle w:val="KMHBulletLevel1"/>
        <w:shd w:val="clear" w:color="auto" w:fill="FFFFFF" w:themeFill="background1"/>
        <w:spacing w:after="60"/>
        <w:ind w:hangingChars="180"/>
        <w:contextualSpacing w:val="0"/>
      </w:pPr>
      <w:r>
        <w:t>Asbestos (N220)—data for New South Wales</w:t>
      </w:r>
      <w:r w:rsidDel="00173F35">
        <w:t xml:space="preserve"> </w:t>
      </w:r>
      <w:r>
        <w:t xml:space="preserve">was replaced by estimates from </w:t>
      </w:r>
      <w:r w:rsidRPr="00975CFF">
        <w:rPr>
          <w:i/>
        </w:rPr>
        <w:t>Waste Generation and Resource Recovery in Australia, Reporting Period 2010/11  (WGRRA 2014)</w:t>
      </w:r>
      <w:r>
        <w:t>.</w:t>
      </w:r>
    </w:p>
    <w:p w:rsidR="00256B07" w:rsidRDefault="00256B07" w:rsidP="00C078A7">
      <w:pPr>
        <w:pStyle w:val="KMHBulletLevel1"/>
        <w:shd w:val="clear" w:color="auto" w:fill="FFFFFF" w:themeFill="background1"/>
        <w:spacing w:after="60"/>
        <w:ind w:hangingChars="180"/>
        <w:contextualSpacing w:val="0"/>
      </w:pPr>
      <w:r>
        <w:t>Asbestos (N220)—data for Western Australia</w:t>
      </w:r>
      <w:r w:rsidDel="00173F35">
        <w:t xml:space="preserve"> </w:t>
      </w:r>
      <w:r>
        <w:t xml:space="preserve">was provided by a national average derived estimate from </w:t>
      </w:r>
      <w:r w:rsidRPr="00B602E9">
        <w:rPr>
          <w:i/>
        </w:rPr>
        <w:t>Improving Australia's reporting on hazardous waste under the Basel Convention (2014)</w:t>
      </w:r>
      <w:r>
        <w:t xml:space="preserve">.  It is noted that this data estimate </w:t>
      </w:r>
      <w:r w:rsidR="008C7C61">
        <w:t>pertains to the 2011-</w:t>
      </w:r>
      <w:r>
        <w:t>12 reporting year, but since there was no data provided by Western Austr</w:t>
      </w:r>
      <w:r w:rsidR="008C7C61">
        <w:t>alia’s tracking system for 2010-</w:t>
      </w:r>
      <w:r>
        <w:t>11 this is the best available information.</w:t>
      </w:r>
    </w:p>
    <w:p w:rsidR="00256B07" w:rsidRDefault="00256B07" w:rsidP="00C078A7">
      <w:pPr>
        <w:pStyle w:val="KMHBulletLevel1"/>
        <w:shd w:val="clear" w:color="auto" w:fill="FFFFFF" w:themeFill="background1"/>
        <w:spacing w:after="60"/>
        <w:ind w:hangingChars="180"/>
        <w:contextualSpacing w:val="0"/>
      </w:pPr>
      <w:r>
        <w:t xml:space="preserve">While tyres were not counted in the original HWDA reports, tonnages for Tyres (T140) have been added for all jurisdictions based on the figures estimated in </w:t>
      </w:r>
      <w:r w:rsidRPr="00B602E9">
        <w:t xml:space="preserve">Table 2 of Hyder Consulting (2012) </w:t>
      </w:r>
      <w:r w:rsidRPr="00B602E9">
        <w:rPr>
          <w:i/>
        </w:rPr>
        <w:t>Study into Domestic and International Fate of End- of-Life Tyres</w:t>
      </w:r>
      <w:r w:rsidRPr="00B602E9">
        <w:t xml:space="preserve">, prepared for COAG, available from: </w:t>
      </w:r>
      <w:hyperlink r:id="rId17" w:history="1">
        <w:r w:rsidRPr="0044773C">
          <w:rPr>
            <w:rStyle w:val="Hyperlink"/>
          </w:rPr>
          <w:t>http://www.scew.gov.au/resource/study-domestic-and-international-fate-end-life-tyres-final-report</w:t>
        </w:r>
      </w:hyperlink>
    </w:p>
    <w:p w:rsidR="00256B07" w:rsidRPr="007132BE" w:rsidRDefault="00256B07" w:rsidP="00C078A7">
      <w:pPr>
        <w:pStyle w:val="KMHBulletLevel1"/>
        <w:shd w:val="clear" w:color="auto" w:fill="FFFFFF" w:themeFill="background1"/>
        <w:spacing w:after="60"/>
        <w:ind w:hangingChars="180"/>
        <w:contextualSpacing w:val="0"/>
      </w:pPr>
      <w:r>
        <w:t xml:space="preserve">Since Industrial Washwaters (NEPM Code L) is not explicitly collected by most jurisdictions it </w:t>
      </w:r>
      <w:r w:rsidR="008C7C61">
        <w:t>has been removed from the 2010-</w:t>
      </w:r>
      <w:r>
        <w:t>11 data set.</w:t>
      </w:r>
    </w:p>
    <w:p w:rsidR="00223D33" w:rsidRDefault="00256B07" w:rsidP="00C078A7">
      <w:pPr>
        <w:pStyle w:val="KMHBulletLevel1"/>
        <w:shd w:val="clear" w:color="auto" w:fill="FFFFFF" w:themeFill="background1"/>
        <w:spacing w:after="60"/>
        <w:ind w:hangingChars="180"/>
        <w:contextualSpacing w:val="0"/>
      </w:pPr>
      <w:r>
        <w:t xml:space="preserve">These changes </w:t>
      </w:r>
      <w:r w:rsidR="00223D33">
        <w:t>have been applied to:</w:t>
      </w:r>
    </w:p>
    <w:p w:rsidR="00223D33" w:rsidRDefault="00223D33" w:rsidP="00C078A7">
      <w:pPr>
        <w:pStyle w:val="KMHBulletLevel1"/>
        <w:numPr>
          <w:ilvl w:val="2"/>
          <w:numId w:val="11"/>
        </w:numPr>
        <w:shd w:val="clear" w:color="auto" w:fill="FFFFFF" w:themeFill="background1"/>
        <w:spacing w:after="60"/>
        <w:ind w:left="720"/>
        <w:contextualSpacing w:val="0"/>
      </w:pPr>
      <w:r>
        <w:t>national hazardous waste generation data estimates quoted throughout the report</w:t>
      </w:r>
    </w:p>
    <w:p w:rsidR="00223D33" w:rsidRDefault="00223D33" w:rsidP="00C078A7">
      <w:pPr>
        <w:pStyle w:val="KMHBulletLevel1"/>
        <w:numPr>
          <w:ilvl w:val="2"/>
          <w:numId w:val="11"/>
        </w:numPr>
        <w:shd w:val="clear" w:color="auto" w:fill="FFFFFF" w:themeFill="background1"/>
        <w:spacing w:after="60"/>
        <w:ind w:left="720"/>
        <w:contextualSpacing w:val="0"/>
      </w:pPr>
      <w:r>
        <w:t>Figure 2</w:t>
      </w:r>
    </w:p>
    <w:p w:rsidR="00223D33" w:rsidRDefault="00223D33" w:rsidP="00C078A7">
      <w:pPr>
        <w:pStyle w:val="KMHBulletLevel1"/>
        <w:numPr>
          <w:ilvl w:val="2"/>
          <w:numId w:val="11"/>
        </w:numPr>
        <w:shd w:val="clear" w:color="auto" w:fill="FFFFFF" w:themeFill="background1"/>
        <w:spacing w:after="60"/>
        <w:ind w:left="720"/>
        <w:contextualSpacing w:val="0"/>
      </w:pPr>
      <w:r>
        <w:t>Table 2</w:t>
      </w:r>
    </w:p>
    <w:p w:rsidR="00223D33" w:rsidRDefault="00223D33" w:rsidP="00C078A7">
      <w:pPr>
        <w:pStyle w:val="KMHBulletLevel1"/>
        <w:numPr>
          <w:ilvl w:val="2"/>
          <w:numId w:val="11"/>
        </w:numPr>
        <w:shd w:val="clear" w:color="auto" w:fill="FFFFFF" w:themeFill="background1"/>
        <w:ind w:left="720"/>
        <w:contextualSpacing w:val="0"/>
      </w:pPr>
      <w:proofErr w:type="gramStart"/>
      <w:r>
        <w:t>data</w:t>
      </w:r>
      <w:proofErr w:type="gramEnd"/>
      <w:r>
        <w:t xml:space="preserve"> provided at Appendices B and</w:t>
      </w:r>
      <w:r w:rsidR="00256B07">
        <w:t xml:space="preserve"> C.</w:t>
      </w:r>
    </w:p>
    <w:p w:rsidR="00223D33" w:rsidRDefault="00223D33" w:rsidP="00C078A7">
      <w:pPr>
        <w:pStyle w:val="KMHBulletLevel1"/>
        <w:spacing w:after="60"/>
        <w:ind w:hangingChars="180"/>
        <w:contextualSpacing w:val="0"/>
      </w:pPr>
      <w:r>
        <w:t xml:space="preserve">Due to the context of the </w:t>
      </w:r>
      <w:r w:rsidR="00C078A7">
        <w:t xml:space="preserve">corresponding report section </w:t>
      </w:r>
      <w:r>
        <w:t xml:space="preserve">discussion </w:t>
      </w:r>
      <w:r w:rsidR="00C078A7">
        <w:t>t</w:t>
      </w:r>
      <w:r>
        <w:t xml:space="preserve">hese changes have </w:t>
      </w:r>
      <w:r w:rsidRPr="00C078A7">
        <w:rPr>
          <w:u w:val="single"/>
        </w:rPr>
        <w:t>not</w:t>
      </w:r>
      <w:r>
        <w:t xml:space="preserve"> been applied to</w:t>
      </w:r>
      <w:r w:rsidR="00C078A7">
        <w:t xml:space="preserve"> data presented in</w:t>
      </w:r>
      <w:r>
        <w:t>:</w:t>
      </w:r>
    </w:p>
    <w:p w:rsidR="00223D33" w:rsidRDefault="00223D33" w:rsidP="00C078A7">
      <w:pPr>
        <w:pStyle w:val="KMHBulletLevel1"/>
        <w:numPr>
          <w:ilvl w:val="2"/>
          <w:numId w:val="11"/>
        </w:numPr>
        <w:shd w:val="clear" w:color="auto" w:fill="FFFFFF" w:themeFill="background1"/>
        <w:spacing w:after="60"/>
        <w:ind w:left="720"/>
        <w:contextualSpacing w:val="0"/>
      </w:pPr>
      <w:r>
        <w:t>Table 1 and Figure 1, as these relate specifically to “tracked” data, which has not changed</w:t>
      </w:r>
      <w:r w:rsidR="00C078A7">
        <w:t xml:space="preserve"> and</w:t>
      </w:r>
    </w:p>
    <w:p w:rsidR="00BE566D" w:rsidRDefault="00223D33" w:rsidP="00C078A7">
      <w:pPr>
        <w:pStyle w:val="KMHBulletLevel1"/>
        <w:numPr>
          <w:ilvl w:val="2"/>
          <w:numId w:val="11"/>
        </w:numPr>
        <w:shd w:val="clear" w:color="auto" w:fill="FFFFFF" w:themeFill="background1"/>
        <w:spacing w:after="60"/>
        <w:ind w:left="720"/>
        <w:contextualSpacing w:val="0"/>
      </w:pPr>
      <w:r>
        <w:t>Figures 3, 4 and 5, which exist to illustrate the discussion points made throughout section 3.1.2 on data interpretation issues</w:t>
      </w:r>
      <w:r w:rsidR="00C078A7">
        <w:t>.</w:t>
      </w:r>
    </w:p>
    <w:p w:rsidR="00BE566D" w:rsidRDefault="00BE566D" w:rsidP="00BE566D">
      <w:pPr>
        <w:pStyle w:val="KMHBulletLevel1"/>
        <w:numPr>
          <w:ilvl w:val="0"/>
          <w:numId w:val="0"/>
        </w:numPr>
        <w:shd w:val="clear" w:color="auto" w:fill="FFFFFF" w:themeFill="background1"/>
        <w:spacing w:after="60"/>
        <w:contextualSpacing w:val="0"/>
      </w:pPr>
    </w:p>
    <w:p w:rsidR="001D62E9" w:rsidRPr="00256B07" w:rsidRDefault="00BE566D" w:rsidP="00BE566D">
      <w:pPr>
        <w:shd w:val="clear" w:color="auto" w:fill="FFFFFF" w:themeFill="background1"/>
        <w:jc w:val="left"/>
      </w:pPr>
      <w:r>
        <w:t>No other changes have been made to the originally submitted KMH report.</w:t>
      </w:r>
      <w:r w:rsidR="001D62E9">
        <w:br w:type="page"/>
      </w:r>
    </w:p>
    <w:p w:rsidR="007173FC" w:rsidRDefault="00174C60" w:rsidP="007173FC">
      <w:pPr>
        <w:pStyle w:val="KMHNumberHeading1"/>
      </w:pPr>
      <w:bookmarkStart w:id="14" w:name="_Toc390771587"/>
      <w:r>
        <w:lastRenderedPageBreak/>
        <w:t>Key m</w:t>
      </w:r>
      <w:r w:rsidR="007173FC">
        <w:t>essages</w:t>
      </w:r>
      <w:bookmarkEnd w:id="14"/>
    </w:p>
    <w:p w:rsidR="007173FC" w:rsidRDefault="007173FC" w:rsidP="007173FC">
      <w:r>
        <w:t>The process of data analysis, evaluation and expert review and discussion has drawn out the following key messages regarding hazardous waste reported as generated by jurisdiction</w:t>
      </w:r>
      <w:r w:rsidR="002728F1">
        <w:t>s</w:t>
      </w:r>
      <w:r>
        <w:t xml:space="preserve"> across Australia in 2011.</w:t>
      </w:r>
    </w:p>
    <w:p w:rsidR="00AC5178" w:rsidRDefault="00460043" w:rsidP="00AC5178">
      <w:pPr>
        <w:pStyle w:val="KMHNumberheading20"/>
      </w:pPr>
      <w:bookmarkStart w:id="15" w:name="_Toc390771588"/>
      <w:r>
        <w:t>2010–11</w:t>
      </w:r>
      <w:r w:rsidR="00AC5178">
        <w:t xml:space="preserve"> National hazardous waste generation data</w:t>
      </w:r>
      <w:bookmarkEnd w:id="15"/>
    </w:p>
    <w:p w:rsidR="00AC5178" w:rsidRDefault="00AC5178" w:rsidP="00C078A7">
      <w:pPr>
        <w:shd w:val="clear" w:color="auto" w:fill="FFFFFF" w:themeFill="background1"/>
      </w:pPr>
      <w:r>
        <w:t xml:space="preserve">The national totals estimated for hazardous waste generation in Australia in </w:t>
      </w:r>
      <w:r w:rsidR="00460043">
        <w:t>2010–11</w:t>
      </w:r>
      <w:r>
        <w:t xml:space="preserve"> are:</w:t>
      </w:r>
    </w:p>
    <w:p w:rsidR="00AC5178" w:rsidRDefault="00460043" w:rsidP="00C078A7">
      <w:pPr>
        <w:pStyle w:val="ListParagraph"/>
        <w:numPr>
          <w:ilvl w:val="0"/>
          <w:numId w:val="37"/>
        </w:numPr>
        <w:shd w:val="clear" w:color="auto" w:fill="FFFFFF" w:themeFill="background1"/>
      </w:pPr>
      <w:r>
        <w:t>t</w:t>
      </w:r>
      <w:r w:rsidR="00AC5178">
        <w:t xml:space="preserve">otal hazardous waste generated within </w:t>
      </w:r>
      <w:r w:rsidR="00111D94">
        <w:t>s</w:t>
      </w:r>
      <w:r w:rsidR="00AC5178">
        <w:t>tate/</w:t>
      </w:r>
      <w:r w:rsidR="00111D94">
        <w:t>t</w:t>
      </w:r>
      <w:r w:rsidR="00AC5178">
        <w:t xml:space="preserve">erritory = </w:t>
      </w:r>
      <w:r w:rsidR="00C078A7">
        <w:t>5,941,663</w:t>
      </w:r>
      <w:r w:rsidR="00AC5178">
        <w:t xml:space="preserve"> tonnes</w:t>
      </w:r>
    </w:p>
    <w:p w:rsidR="00AC5178" w:rsidRDefault="00460043" w:rsidP="00C078A7">
      <w:pPr>
        <w:pStyle w:val="ListParagraph"/>
        <w:numPr>
          <w:ilvl w:val="0"/>
          <w:numId w:val="37"/>
        </w:numPr>
        <w:shd w:val="clear" w:color="auto" w:fill="FFFFFF" w:themeFill="background1"/>
      </w:pPr>
      <w:r>
        <w:t>t</w:t>
      </w:r>
      <w:r w:rsidR="00AC5178">
        <w:t xml:space="preserve">otal hazardous waste sent across </w:t>
      </w:r>
      <w:r w:rsidR="00111D94">
        <w:t>s</w:t>
      </w:r>
      <w:r w:rsidR="00AC5178">
        <w:t>tate/</w:t>
      </w:r>
      <w:r w:rsidR="00111D94">
        <w:t>t</w:t>
      </w:r>
      <w:r w:rsidR="00AC5178">
        <w:t xml:space="preserve">erritory borders = </w:t>
      </w:r>
      <w:r w:rsidR="00AC5178" w:rsidRPr="00F10F9B">
        <w:t>92,921</w:t>
      </w:r>
      <w:r w:rsidR="00AC5178">
        <w:t xml:space="preserve"> tonnes</w:t>
      </w:r>
    </w:p>
    <w:p w:rsidR="00AC5178" w:rsidRDefault="00460043" w:rsidP="00C078A7">
      <w:pPr>
        <w:pStyle w:val="ListParagraph"/>
        <w:numPr>
          <w:ilvl w:val="0"/>
          <w:numId w:val="37"/>
        </w:numPr>
        <w:shd w:val="clear" w:color="auto" w:fill="FFFFFF" w:themeFill="background1"/>
      </w:pPr>
      <w:r>
        <w:t>h</w:t>
      </w:r>
      <w:r w:rsidR="00AC5178">
        <w:t xml:space="preserve">azardous waste generated from MSW stream = </w:t>
      </w:r>
      <w:r w:rsidR="00AC5178" w:rsidRPr="0064258F">
        <w:t>301,836</w:t>
      </w:r>
      <w:r w:rsidR="00AC5178">
        <w:t xml:space="preserve"> tonnes</w:t>
      </w:r>
    </w:p>
    <w:p w:rsidR="00AC5178" w:rsidRPr="00AC5178" w:rsidRDefault="00460043" w:rsidP="00C078A7">
      <w:pPr>
        <w:pStyle w:val="ListParagraph"/>
        <w:numPr>
          <w:ilvl w:val="0"/>
          <w:numId w:val="37"/>
        </w:numPr>
        <w:shd w:val="clear" w:color="auto" w:fill="FFFFFF" w:themeFill="background1"/>
        <w:rPr>
          <w:rFonts w:eastAsia="Times New Roman" w:cs="Arial"/>
          <w:b/>
          <w:bCs/>
          <w:color w:val="000000"/>
          <w:sz w:val="18"/>
          <w:szCs w:val="18"/>
          <w:lang w:eastAsia="en-AU"/>
        </w:rPr>
      </w:pPr>
      <w:proofErr w:type="gramStart"/>
      <w:r>
        <w:t>t</w:t>
      </w:r>
      <w:r w:rsidR="00AC5178">
        <w:t>herefore</w:t>
      </w:r>
      <w:proofErr w:type="gramEnd"/>
      <w:r w:rsidR="00AC5178">
        <w:t xml:space="preserve"> total hazardous waste generated in Australia in </w:t>
      </w:r>
      <w:r>
        <w:t>2010–11</w:t>
      </w:r>
      <w:r w:rsidR="00AC5178">
        <w:t xml:space="preserve"> = </w:t>
      </w:r>
      <w:r w:rsidR="00802100" w:rsidRPr="00802100">
        <w:rPr>
          <w:rFonts w:eastAsia="Times New Roman" w:cs="Arial"/>
          <w:b/>
          <w:bCs/>
          <w:color w:val="000000"/>
          <w:szCs w:val="20"/>
          <w:lang w:eastAsia="en-AU"/>
        </w:rPr>
        <w:t>6,</w:t>
      </w:r>
      <w:r w:rsidR="00C078A7">
        <w:rPr>
          <w:rFonts w:eastAsia="Times New Roman" w:cs="Arial"/>
          <w:b/>
          <w:bCs/>
          <w:color w:val="000000"/>
          <w:szCs w:val="20"/>
          <w:lang w:eastAsia="en-AU"/>
        </w:rPr>
        <w:t>336</w:t>
      </w:r>
      <w:r w:rsidR="00802100" w:rsidRPr="00802100">
        <w:rPr>
          <w:rFonts w:eastAsia="Times New Roman" w:cs="Arial"/>
          <w:b/>
          <w:bCs/>
          <w:color w:val="000000"/>
          <w:szCs w:val="20"/>
          <w:lang w:eastAsia="en-AU"/>
        </w:rPr>
        <w:t>,</w:t>
      </w:r>
      <w:r w:rsidR="00C078A7">
        <w:rPr>
          <w:rFonts w:eastAsia="Times New Roman" w:cs="Arial"/>
          <w:b/>
          <w:bCs/>
          <w:color w:val="000000"/>
          <w:szCs w:val="20"/>
          <w:lang w:eastAsia="en-AU"/>
        </w:rPr>
        <w:t>390</w:t>
      </w:r>
      <w:r w:rsidR="00802100" w:rsidRPr="00802100">
        <w:rPr>
          <w:rFonts w:eastAsia="Times New Roman" w:cs="Arial"/>
          <w:b/>
          <w:bCs/>
          <w:color w:val="000000"/>
          <w:szCs w:val="20"/>
          <w:lang w:eastAsia="en-AU"/>
        </w:rPr>
        <w:t xml:space="preserve"> tonnes</w:t>
      </w:r>
      <w:r>
        <w:rPr>
          <w:rFonts w:eastAsia="Times New Roman" w:cs="Arial"/>
          <w:b/>
          <w:bCs/>
          <w:color w:val="000000"/>
          <w:szCs w:val="20"/>
          <w:lang w:eastAsia="en-AU"/>
        </w:rPr>
        <w:t>.</w:t>
      </w:r>
    </w:p>
    <w:p w:rsidR="007173FC" w:rsidRDefault="007173FC" w:rsidP="007173FC">
      <w:pPr>
        <w:pStyle w:val="KMHNumberheading20"/>
      </w:pPr>
      <w:bookmarkStart w:id="16" w:name="_Toc390771589"/>
      <w:r>
        <w:t>Differences in jurisdictional approaches to hazardous waste management adversely impact data quality</w:t>
      </w:r>
      <w:bookmarkEnd w:id="16"/>
    </w:p>
    <w:p w:rsidR="007173FC" w:rsidRDefault="007173FC" w:rsidP="007173FC">
      <w:r>
        <w:t>There are fundamental differences in the way jurisdictions manage hazardous wastes.  Inconsistencies in waste classification, regulation, data collection, waste tracking systems, management priorities and the resourcing of hazardous waste management have a marked effect on data quality.</w:t>
      </w:r>
    </w:p>
    <w:p w:rsidR="007173FC" w:rsidRDefault="007173FC" w:rsidP="007173FC">
      <w:r>
        <w:t xml:space="preserve">For the most part the </w:t>
      </w:r>
      <w:r w:rsidR="0024312B">
        <w:t>s</w:t>
      </w:r>
      <w:r>
        <w:t xml:space="preserve">tates and </w:t>
      </w:r>
      <w:r w:rsidR="0024312B">
        <w:t>t</w:t>
      </w:r>
      <w:r>
        <w:t>erritories use the NEPM waste categorisation codes and descriptions</w:t>
      </w:r>
      <w:r w:rsidR="0024312B">
        <w:t>. T</w:t>
      </w:r>
      <w:r>
        <w:t>here are</w:t>
      </w:r>
      <w:r w:rsidR="0024312B">
        <w:t>, however,</w:t>
      </w:r>
      <w:r>
        <w:t xml:space="preserve"> several instances where the waste descriptions vary from the NEPM description and this can make it difficult to match corresponding waste types across jurisdictions.</w:t>
      </w:r>
    </w:p>
    <w:p w:rsidR="007173FC" w:rsidRDefault="007173FC" w:rsidP="007173FC">
      <w:r>
        <w:t xml:space="preserve">Jurisdictions do not collect hazardous waste data for the sake of annual collation and analysis.  Rather they are at various points in their history of managing the risks to human health and the environment posed by hazardous waste, primarily through ‘cradle to grave’ tracking of road transport movement of these wastes on a consignment by consignment basis, from </w:t>
      </w:r>
      <w:r w:rsidR="0024312B">
        <w:t xml:space="preserve">point of </w:t>
      </w:r>
      <w:r>
        <w:t xml:space="preserve">generation </w:t>
      </w:r>
      <w:r w:rsidR="0024312B">
        <w:t>to</w:t>
      </w:r>
      <w:r>
        <w:t xml:space="preserve"> treatment destination.  As a consequence of this focus, a jurisdiction’s purpose for the data supplied by the waste consignment has essentially been met once </w:t>
      </w:r>
      <w:r w:rsidR="0024312B">
        <w:t xml:space="preserve">the </w:t>
      </w:r>
      <w:r>
        <w:t>transaction has been successfully and verifiably completed.  There is a different perspective between those managing the tracking of waste movements and those looking for strategic messages and information from analysis of the sum of this data.</w:t>
      </w:r>
    </w:p>
    <w:p w:rsidR="007173FC" w:rsidRDefault="007173FC" w:rsidP="007173FC">
      <w:r>
        <w:t>Although the general approach to classification and management across jurisdictions is very consistent, historically evolved differences make data collection, collation and comparison difficult.  These inconsistencies lead to large gaps in data which could, on the surface at least, lead to misleading conclusions about comparative waste management across Australia.</w:t>
      </w:r>
    </w:p>
    <w:p w:rsidR="004B774B" w:rsidRDefault="004B774B" w:rsidP="007173FC">
      <w:r>
        <w:t xml:space="preserve">The inability to access </w:t>
      </w:r>
      <w:r w:rsidR="005B33EB">
        <w:t xml:space="preserve">detailed </w:t>
      </w:r>
      <w:r>
        <w:t xml:space="preserve">data on hazardous waste quantities in Australia, at least in the public domain, </w:t>
      </w:r>
      <w:r w:rsidR="005B33EB">
        <w:t>contributes to a lack of awareness of these differences, which in turn provides no impetus to improve data quality.</w:t>
      </w:r>
    </w:p>
    <w:p w:rsidR="007173FC" w:rsidRDefault="007173FC" w:rsidP="007173FC">
      <w:pPr>
        <w:pStyle w:val="KMHNumberheading20"/>
      </w:pPr>
      <w:bookmarkStart w:id="17" w:name="_Toc390771590"/>
      <w:r>
        <w:t>Major gaps exist in hazardous waste data</w:t>
      </w:r>
      <w:bookmarkEnd w:id="17"/>
    </w:p>
    <w:p w:rsidR="007173FC" w:rsidRDefault="007173FC" w:rsidP="007173FC">
      <w:r>
        <w:t>As a result of the inconsistent approaches above, s</w:t>
      </w:r>
      <w:r w:rsidRPr="004B2E3D">
        <w:t>ignific</w:t>
      </w:r>
      <w:r>
        <w:t>ant data gaps exist within state waste tracking systems. The following key data gaps were observed:</w:t>
      </w:r>
    </w:p>
    <w:p w:rsidR="007173FC" w:rsidRDefault="0024312B" w:rsidP="007173FC">
      <w:pPr>
        <w:pStyle w:val="ListParagraph"/>
        <w:numPr>
          <w:ilvl w:val="0"/>
          <w:numId w:val="21"/>
        </w:numPr>
      </w:pPr>
      <w:r>
        <w:t xml:space="preserve">The </w:t>
      </w:r>
      <w:r w:rsidR="007173FC">
        <w:t>Australian Capital Territory, Northern Territory and Tasmania do not track intrastate hazardous waste movements, leaving only interstate data available for this study.</w:t>
      </w:r>
    </w:p>
    <w:p w:rsidR="007173FC" w:rsidRDefault="007173FC" w:rsidP="007173FC">
      <w:pPr>
        <w:pStyle w:val="ListParagraph"/>
        <w:numPr>
          <w:ilvl w:val="0"/>
          <w:numId w:val="21"/>
        </w:numPr>
      </w:pPr>
      <w:r>
        <w:t>Western Australia and South Australia do not report any disposal or treatment information at all.  This constrains analysis to the waste generation end of the data.</w:t>
      </w:r>
    </w:p>
    <w:p w:rsidR="007173FC" w:rsidRDefault="007173FC" w:rsidP="007173FC">
      <w:pPr>
        <w:pStyle w:val="ListParagraph"/>
        <w:numPr>
          <w:ilvl w:val="0"/>
          <w:numId w:val="21"/>
        </w:numPr>
      </w:pPr>
      <w:r>
        <w:lastRenderedPageBreak/>
        <w:t xml:space="preserve">South Australia cannot differentiate between waste </w:t>
      </w:r>
      <w:r w:rsidRPr="004B2E3D">
        <w:t>movements with</w:t>
      </w:r>
      <w:r>
        <w:t>in</w:t>
      </w:r>
      <w:r w:rsidRPr="004B2E3D">
        <w:t xml:space="preserve"> the state and those exported as </w:t>
      </w:r>
      <w:r>
        <w:t xml:space="preserve">both sets of </w:t>
      </w:r>
      <w:r w:rsidRPr="004B2E3D">
        <w:t xml:space="preserve">data </w:t>
      </w:r>
      <w:r>
        <w:t>use</w:t>
      </w:r>
      <w:r w:rsidRPr="004B2E3D">
        <w:t xml:space="preserve"> certificate numbers </w:t>
      </w:r>
      <w:r>
        <w:t>with the same prefix.</w:t>
      </w:r>
    </w:p>
    <w:p w:rsidR="007173FC" w:rsidRDefault="007173FC" w:rsidP="007173FC">
      <w:pPr>
        <w:pStyle w:val="ListParagraph"/>
        <w:numPr>
          <w:ilvl w:val="0"/>
          <w:numId w:val="21"/>
        </w:numPr>
      </w:pPr>
      <w:r>
        <w:t>Key waste streams, such as contaminated soil, asbestos, sewage sludge/biosolids, septic tank pump</w:t>
      </w:r>
      <w:r w:rsidR="0024312B">
        <w:t>-</w:t>
      </w:r>
      <w:r>
        <w:t>out liquid and grease trap waste are not captured in some states due to classification and/or tracking differences.</w:t>
      </w:r>
    </w:p>
    <w:p w:rsidR="007173FC" w:rsidRDefault="007173FC" w:rsidP="007173FC">
      <w:pPr>
        <w:pStyle w:val="ListParagraph"/>
        <w:numPr>
          <w:ilvl w:val="0"/>
          <w:numId w:val="21"/>
        </w:numPr>
      </w:pPr>
      <w:r>
        <w:t>Further wastes such as waste oils, batteries and clinical wastes are subject to exemption from tracking in New South Wales and therefore absent from New South Wales tracking data.</w:t>
      </w:r>
    </w:p>
    <w:p w:rsidR="007173FC" w:rsidRDefault="007173FC" w:rsidP="007173FC">
      <w:pPr>
        <w:pStyle w:val="ListParagraph"/>
        <w:numPr>
          <w:ilvl w:val="0"/>
          <w:numId w:val="21"/>
        </w:numPr>
      </w:pPr>
      <w:r>
        <w:t xml:space="preserve">Similarly, exemption systems apply in Victoria and Queensland, generally to reduce regulatory red tape and thus encourage </w:t>
      </w:r>
      <w:r w:rsidR="0024312B">
        <w:t>reuse</w:t>
      </w:r>
      <w:r>
        <w:t xml:space="preserve"> and recycling.  These systems usually exempt the requirement for use of waste transport certificates for the particular wastes covered.  This could leave significant hazardous waste tonnages uncounted and filling these data gaps can be complicated when such exemptions apply to one-off projects, wastes or operators only.</w:t>
      </w:r>
    </w:p>
    <w:p w:rsidR="007173FC" w:rsidRDefault="007173FC" w:rsidP="007173FC">
      <w:r>
        <w:t>These gaps in recorded or tracked data must be clearly recognised and a process of normalisation applied to allow a fairer comparison across jurisdictions.</w:t>
      </w:r>
    </w:p>
    <w:p w:rsidR="007173FC" w:rsidRDefault="007173FC" w:rsidP="007173FC">
      <w:pPr>
        <w:pStyle w:val="KMHNumberheading20"/>
      </w:pPr>
      <w:bookmarkStart w:id="18" w:name="_Toc390771591"/>
      <w:r>
        <w:t>Contaminated soil should be viewed separately in hazardous waste data analysis</w:t>
      </w:r>
      <w:bookmarkEnd w:id="18"/>
    </w:p>
    <w:p w:rsidR="007173FC" w:rsidRDefault="007173FC" w:rsidP="007173FC">
      <w:r>
        <w:t xml:space="preserve">Contaminated soil is a special case in the assessment of hazardous waste data.  It is a result of construction and development (including demolition) activities that require the excavation of contaminated material.  The level of contamination is an historical legacy issue, whereas the quantity produced in any given year fluctuates with the level of development activity in contaminant prone geographical areas.  </w:t>
      </w:r>
    </w:p>
    <w:p w:rsidR="007173FC" w:rsidRDefault="007173FC" w:rsidP="007173FC">
      <w:r>
        <w:t>These drivers are quite different from virtually all other hazardous waste categories, perhaps with the exception of asbestos, which exhibits similar drivers.  Other wastes are more directly related to consumption patterns, and therefore reflect current rather than historical activity.  Contaminated soil quantities are large and can vary widely from year to year, which overwhelms all other waste data and introduces the potential for misleading messages to be concluded from the data around trends and broader waste producer behaviours.</w:t>
      </w:r>
    </w:p>
    <w:p w:rsidR="007173FC" w:rsidRDefault="007173FC" w:rsidP="007173FC">
      <w:r>
        <w:t xml:space="preserve">To provide a picture of hazardous waste without this large, sporadic and unpredictable influence, contaminated soil quantities were excised from the data, to provide a truer comparison between jurisdictions. </w:t>
      </w:r>
    </w:p>
    <w:p w:rsidR="007173FC" w:rsidRDefault="007173FC" w:rsidP="007173FC">
      <w:pPr>
        <w:pStyle w:val="KMHNumberheading20"/>
      </w:pPr>
      <w:bookmarkStart w:id="19" w:name="_Toc390771592"/>
      <w:r>
        <w:t xml:space="preserve">Less populated </w:t>
      </w:r>
      <w:r w:rsidR="00A0130F">
        <w:t>s</w:t>
      </w:r>
      <w:r>
        <w:t xml:space="preserve">tates appear to generate more hazardous waste per capita than more populous </w:t>
      </w:r>
      <w:r w:rsidR="00A0130F">
        <w:t>s</w:t>
      </w:r>
      <w:r>
        <w:t>tates</w:t>
      </w:r>
      <w:bookmarkEnd w:id="19"/>
    </w:p>
    <w:p w:rsidR="007173FC" w:rsidRDefault="007173FC" w:rsidP="007173FC">
      <w:r>
        <w:t xml:space="preserve">After normalisation of key waste types across jurisdictions and the removal of contaminated soils, hazardous waste generation per capita was plotted (see Figure 4).  </w:t>
      </w:r>
    </w:p>
    <w:p w:rsidR="007173FC" w:rsidRDefault="007173FC" w:rsidP="007173FC">
      <w:r>
        <w:t xml:space="preserve">Western Australia is the largest producer of hazardous waste on a per capita basis followed sequentially by Queensland, South Australia, New South Wales and Victoria. </w:t>
      </w:r>
    </w:p>
    <w:p w:rsidR="007173FC" w:rsidRDefault="007173FC" w:rsidP="007173FC">
      <w:r>
        <w:t>While the data is subject to a range of uncertainty, factors at play that may influence these per capita findings could be:</w:t>
      </w:r>
    </w:p>
    <w:p w:rsidR="007173FC" w:rsidRDefault="007173FC" w:rsidP="007173FC">
      <w:pPr>
        <w:pStyle w:val="ListParagraph"/>
        <w:numPr>
          <w:ilvl w:val="0"/>
          <w:numId w:val="26"/>
        </w:numPr>
      </w:pPr>
      <w:r>
        <w:t>Stronger regulatory approaches around hazardous waste in the larger states (e.g. New South Wales and Victoria)</w:t>
      </w:r>
      <w:r w:rsidR="00A0130F">
        <w:t>.</w:t>
      </w:r>
    </w:p>
    <w:p w:rsidR="007173FC" w:rsidRDefault="007173FC" w:rsidP="007173FC">
      <w:pPr>
        <w:pStyle w:val="ListParagraph"/>
        <w:numPr>
          <w:ilvl w:val="0"/>
          <w:numId w:val="26"/>
        </w:numPr>
      </w:pPr>
      <w:r>
        <w:t>Drivers specific to each state, such as the scarcity of hazardous waste landfill space in Victoria</w:t>
      </w:r>
      <w:r w:rsidR="00A0130F">
        <w:t xml:space="preserve">—there is </w:t>
      </w:r>
      <w:r>
        <w:t>only one hazardous waste landfill</w:t>
      </w:r>
      <w:r w:rsidR="00A0130F">
        <w:t xml:space="preserve"> in that state—giving rise to an imperative to pursue alternative treatment options, such as reuse and recycling.</w:t>
      </w:r>
    </w:p>
    <w:p w:rsidR="007173FC" w:rsidRDefault="007173FC" w:rsidP="007173FC">
      <w:pPr>
        <w:pStyle w:val="ListParagraph"/>
        <w:numPr>
          <w:ilvl w:val="0"/>
          <w:numId w:val="26"/>
        </w:numPr>
      </w:pPr>
      <w:r>
        <w:lastRenderedPageBreak/>
        <w:t>Economies of scale in the larger states such as Victoria and New South Wales, which could lead to greater economic drivers for the establishment of hazardous waste reuse and recycling markets, or better onsite resource recovery practices</w:t>
      </w:r>
      <w:r w:rsidR="004147AF">
        <w:t>.</w:t>
      </w:r>
    </w:p>
    <w:p w:rsidR="007173FC" w:rsidRDefault="007173FC" w:rsidP="007173FC">
      <w:pPr>
        <w:pStyle w:val="ListParagraph"/>
        <w:numPr>
          <w:ilvl w:val="0"/>
          <w:numId w:val="26"/>
        </w:numPr>
      </w:pPr>
      <w:r>
        <w:t>Western Australian data may be influenced to a small degree by the fly in/fly out component of mining sector employees, estimated to be approximately 50,000</w:t>
      </w:r>
      <w:r>
        <w:rPr>
          <w:rStyle w:val="FootnoteReference"/>
        </w:rPr>
        <w:footnoteReference w:id="1"/>
      </w:r>
      <w:r>
        <w:t>.  These workers do not officially reside in Western Australia but contribute through their working presence to waste and, by extension, hazardous waste generation in the state</w:t>
      </w:r>
      <w:r w:rsidR="00E5405C">
        <w:t>.</w:t>
      </w:r>
    </w:p>
    <w:p w:rsidR="007173FC" w:rsidRDefault="007173FC" w:rsidP="007173FC">
      <w:pPr>
        <w:pStyle w:val="ListParagraph"/>
        <w:numPr>
          <w:ilvl w:val="0"/>
          <w:numId w:val="26"/>
        </w:numPr>
      </w:pPr>
      <w:r>
        <w:t>Western Australia, Queensland and to a lesser extent South Australia have a greater share of mine processing facilities, which may contribute disproportionately to categories such as alkaline waste (C) and Inorganics Chemical wastes (D)</w:t>
      </w:r>
      <w:r w:rsidR="00460043">
        <w:t>.</w:t>
      </w:r>
    </w:p>
    <w:p w:rsidR="007173FC" w:rsidRDefault="007173FC" w:rsidP="007173FC">
      <w:r>
        <w:t>W</w:t>
      </w:r>
      <w:r w:rsidR="00E5405C">
        <w:t xml:space="preserve">estern </w:t>
      </w:r>
      <w:r>
        <w:t>A</w:t>
      </w:r>
      <w:r w:rsidR="00E5405C">
        <w:t>ustralia</w:t>
      </w:r>
      <w:r>
        <w:t xml:space="preserve"> is notable in that it is the only state where asbestos data could not be identified</w:t>
      </w:r>
      <w:r w:rsidR="002E6714">
        <w:t xml:space="preserve">. </w:t>
      </w:r>
      <w:r>
        <w:t xml:space="preserve"> </w:t>
      </w:r>
      <w:r w:rsidR="00177591">
        <w:t xml:space="preserve"> </w:t>
      </w:r>
      <w:r>
        <w:t>The volumes observed in some states suggest it could be a waste that may contribute significantly to the current Western Australia total per capita.</w:t>
      </w:r>
    </w:p>
    <w:p w:rsidR="007173FC" w:rsidRDefault="007173FC" w:rsidP="007173FC">
      <w:pPr>
        <w:pStyle w:val="KMHNumberheading20"/>
      </w:pPr>
      <w:bookmarkStart w:id="20" w:name="_Toc390771593"/>
      <w:r>
        <w:t>Review of hazardous waste classifications and definitions could improve future data quality</w:t>
      </w:r>
      <w:bookmarkEnd w:id="20"/>
    </w:p>
    <w:p w:rsidR="007173FC" w:rsidRDefault="007173FC" w:rsidP="007173FC">
      <w:r>
        <w:t>It may be appropriate to review the Controlled Waste NEPM as a benchmark for hazardous waste classification in Australia, with a view to:</w:t>
      </w:r>
    </w:p>
    <w:p w:rsidR="007173FC" w:rsidRDefault="007173FC" w:rsidP="007173FC">
      <w:pPr>
        <w:pStyle w:val="ListParagraph"/>
        <w:numPr>
          <w:ilvl w:val="0"/>
          <w:numId w:val="30"/>
        </w:numPr>
      </w:pPr>
      <w:r>
        <w:t>determining whether new wastes should be added, either as separate codes or explicitly included in existing classifications</w:t>
      </w:r>
      <w:r w:rsidR="00B25F43">
        <w:t xml:space="preserve"> </w:t>
      </w:r>
    </w:p>
    <w:p w:rsidR="007173FC" w:rsidRDefault="007173FC" w:rsidP="007173FC">
      <w:pPr>
        <w:pStyle w:val="ListParagraph"/>
        <w:numPr>
          <w:ilvl w:val="0"/>
          <w:numId w:val="30"/>
        </w:numPr>
      </w:pPr>
      <w:proofErr w:type="gramStart"/>
      <w:r>
        <w:t>determining</w:t>
      </w:r>
      <w:proofErr w:type="gramEnd"/>
      <w:r>
        <w:t xml:space="preserve"> whether existing wastes should be removed or better clarified.</w:t>
      </w:r>
    </w:p>
    <w:p w:rsidR="007173FC" w:rsidRDefault="007173FC" w:rsidP="007173FC">
      <w:r>
        <w:t xml:space="preserve">Such a review should be undertaken with a clear understanding of the practicalities and implications for waste tracking and </w:t>
      </w:r>
      <w:r w:rsidR="00FF718F">
        <w:t>licensing</w:t>
      </w:r>
      <w:r>
        <w:t xml:space="preserve"> regimes.</w:t>
      </w:r>
    </w:p>
    <w:p w:rsidR="007173FC" w:rsidRDefault="007173FC" w:rsidP="007173FC">
      <w:r>
        <w:t xml:space="preserve">Waste management options and other key waste terminology should be clearly defined and understood across all jurisdictions, </w:t>
      </w:r>
      <w:r w:rsidR="00B25F43">
        <w:t>t</w:t>
      </w:r>
      <w:r>
        <w:t xml:space="preserve">o ensure data can be more comparable.  Examples include </w:t>
      </w:r>
      <w:r w:rsidR="0024312B">
        <w:t>reuse</w:t>
      </w:r>
      <w:r>
        <w:t xml:space="preserve"> (in a waste oil context) and whether a clearly definable hazardous waste that is managed onsite should be considered eligible for inclusion in a data compilation project such as this.</w:t>
      </w:r>
    </w:p>
    <w:p w:rsidR="007173FC" w:rsidRDefault="007173FC" w:rsidP="007173FC">
      <w:pPr>
        <w:pStyle w:val="KMHNumberheading20"/>
      </w:pPr>
      <w:bookmarkStart w:id="21" w:name="_Toc390771594"/>
      <w:r>
        <w:t>Clinical waste appears to be under-reported in W</w:t>
      </w:r>
      <w:r w:rsidR="003261D0">
        <w:t xml:space="preserve">estern </w:t>
      </w:r>
      <w:r>
        <w:t>A</w:t>
      </w:r>
      <w:r w:rsidR="003261D0">
        <w:t>ustralia</w:t>
      </w:r>
      <w:bookmarkEnd w:id="21"/>
    </w:p>
    <w:p w:rsidR="00DE290F" w:rsidRDefault="007173FC" w:rsidP="007173FC">
      <w:pPr>
        <w:rPr>
          <w:szCs w:val="20"/>
        </w:rPr>
      </w:pPr>
      <w:r w:rsidRPr="0019259B">
        <w:rPr>
          <w:szCs w:val="20"/>
        </w:rPr>
        <w:t xml:space="preserve">Clinical </w:t>
      </w:r>
      <w:r w:rsidR="00964B46">
        <w:rPr>
          <w:szCs w:val="20"/>
        </w:rPr>
        <w:t>and</w:t>
      </w:r>
      <w:r w:rsidRPr="0019259B">
        <w:rPr>
          <w:szCs w:val="20"/>
        </w:rPr>
        <w:t xml:space="preserve"> related wastes (R100) appear to be under-reported in Western Australia, compared to generation figures observed for other states.  </w:t>
      </w:r>
      <w:r w:rsidR="00DE290F">
        <w:rPr>
          <w:szCs w:val="20"/>
        </w:rPr>
        <w:t xml:space="preserve">It is noted </w:t>
      </w:r>
      <w:r w:rsidR="00DE290F">
        <w:rPr>
          <w:rFonts w:cs="Arial"/>
          <w:szCs w:val="20"/>
        </w:rPr>
        <w:t>that a controlled waste tracking form is only required in Western Australia when the total vehicle load is 200 kilograms or more, which could account for part of this apparent discrepancy.</w:t>
      </w:r>
    </w:p>
    <w:p w:rsidR="007173FC" w:rsidRPr="0019259B" w:rsidRDefault="007173FC" w:rsidP="007173FC">
      <w:pPr>
        <w:rPr>
          <w:szCs w:val="20"/>
        </w:rPr>
      </w:pPr>
      <w:r w:rsidRPr="0019259B">
        <w:rPr>
          <w:szCs w:val="20"/>
        </w:rPr>
        <w:t xml:space="preserve">There are </w:t>
      </w:r>
      <w:r>
        <w:rPr>
          <w:szCs w:val="20"/>
        </w:rPr>
        <w:t>s</w:t>
      </w:r>
      <w:r w:rsidRPr="0019259B">
        <w:rPr>
          <w:szCs w:val="20"/>
        </w:rPr>
        <w:t>tate</w:t>
      </w:r>
      <w:r w:rsidR="00964B46">
        <w:rPr>
          <w:szCs w:val="20"/>
        </w:rPr>
        <w:t>-</w:t>
      </w:r>
      <w:r w:rsidRPr="0019259B">
        <w:rPr>
          <w:szCs w:val="20"/>
        </w:rPr>
        <w:t>by</w:t>
      </w:r>
      <w:r w:rsidR="00964B46">
        <w:rPr>
          <w:szCs w:val="20"/>
        </w:rPr>
        <w:t>-</w:t>
      </w:r>
      <w:r>
        <w:rPr>
          <w:szCs w:val="20"/>
        </w:rPr>
        <w:t>s</w:t>
      </w:r>
      <w:r w:rsidRPr="0019259B">
        <w:rPr>
          <w:szCs w:val="20"/>
        </w:rPr>
        <w:t>tate differences in allowable treatment practices</w:t>
      </w:r>
      <w:r w:rsidR="00DE290F">
        <w:rPr>
          <w:szCs w:val="20"/>
        </w:rPr>
        <w:t xml:space="preserve"> and</w:t>
      </w:r>
      <w:r w:rsidRPr="0019259B">
        <w:rPr>
          <w:szCs w:val="20"/>
        </w:rPr>
        <w:t xml:space="preserve"> large price differentials for these treatments</w:t>
      </w:r>
      <w:r w:rsidR="00DE290F">
        <w:rPr>
          <w:szCs w:val="20"/>
        </w:rPr>
        <w:t>.  In New South Wales for example</w:t>
      </w:r>
      <w:r w:rsidRPr="0019259B">
        <w:rPr>
          <w:szCs w:val="20"/>
        </w:rPr>
        <w:t>,</w:t>
      </w:r>
      <w:r w:rsidR="00DE290F">
        <w:rPr>
          <w:szCs w:val="20"/>
        </w:rPr>
        <w:t xml:space="preserve"> clinical wastes are not subject to the formal </w:t>
      </w:r>
      <w:r w:rsidR="00E41ADA">
        <w:rPr>
          <w:szCs w:val="20"/>
        </w:rPr>
        <w:t xml:space="preserve">(intrastate) </w:t>
      </w:r>
      <w:r w:rsidR="00DE290F">
        <w:rPr>
          <w:szCs w:val="20"/>
        </w:rPr>
        <w:t>tracking system</w:t>
      </w:r>
      <w:r w:rsidR="00E41ADA">
        <w:rPr>
          <w:szCs w:val="20"/>
        </w:rPr>
        <w:t>, although interstate movements of these wastes are required to be tracked.</w:t>
      </w:r>
    </w:p>
    <w:p w:rsidR="007173FC" w:rsidRPr="00C2337A" w:rsidRDefault="007173FC" w:rsidP="007173FC"/>
    <w:p w:rsidR="007173FC" w:rsidRDefault="007173FC" w:rsidP="007173FC">
      <w:pPr>
        <w:spacing w:after="0"/>
        <w:jc w:val="left"/>
        <w:rPr>
          <w:rFonts w:cs="Arial"/>
          <w:b/>
          <w:color w:val="1D5C42"/>
          <w:sz w:val="40"/>
          <w:szCs w:val="28"/>
        </w:rPr>
      </w:pPr>
      <w:r>
        <w:br w:type="page"/>
      </w:r>
    </w:p>
    <w:p w:rsidR="00267E07" w:rsidRDefault="004270DC" w:rsidP="009E3181">
      <w:pPr>
        <w:pStyle w:val="KMHNumberHeading1"/>
      </w:pPr>
      <w:bookmarkStart w:id="22" w:name="_Toc390771595"/>
      <w:r>
        <w:lastRenderedPageBreak/>
        <w:t xml:space="preserve">Key </w:t>
      </w:r>
      <w:r w:rsidR="00174C60">
        <w:t>i</w:t>
      </w:r>
      <w:r>
        <w:t xml:space="preserve">ssues </w:t>
      </w:r>
      <w:r w:rsidR="00174C60">
        <w:t>o</w:t>
      </w:r>
      <w:r>
        <w:t>bserved</w:t>
      </w:r>
      <w:bookmarkEnd w:id="22"/>
    </w:p>
    <w:p w:rsidR="00267E07" w:rsidRDefault="009E3181" w:rsidP="00FA1DBA">
      <w:pPr>
        <w:spacing w:after="0"/>
      </w:pPr>
      <w:r>
        <w:t>This section takes an in depth look at hazardous waste data collected for the Data Report</w:t>
      </w:r>
      <w:r w:rsidR="00460043">
        <w:t xml:space="preserve"> (Appendix A)</w:t>
      </w:r>
      <w:r>
        <w:t>, with a view to identifying key issues and discussing the possible causal factors behind these issues.</w:t>
      </w:r>
    </w:p>
    <w:p w:rsidR="009E3181" w:rsidRDefault="009E3181" w:rsidP="00FA1DBA">
      <w:pPr>
        <w:spacing w:after="0"/>
      </w:pPr>
    </w:p>
    <w:p w:rsidR="00F56018" w:rsidRDefault="009E3181" w:rsidP="00FA1DBA">
      <w:pPr>
        <w:spacing w:after="0"/>
      </w:pPr>
      <w:r>
        <w:t xml:space="preserve">The entire dataset has been scrutinised, both at the primary waste code level (designated by the alphabetical description) and the underlying alpha-numeric level.  Despite this large volume of data, many of the key issues can be identified by focusing </w:t>
      </w:r>
      <w:r w:rsidR="00F56018">
        <w:t xml:space="preserve">on a comparative analysis of the top two or three </w:t>
      </w:r>
      <w:r w:rsidR="00D1430A">
        <w:t xml:space="preserve">(alphabetical level) </w:t>
      </w:r>
      <w:r w:rsidR="00F56018">
        <w:t>waste codes for each of the jurisdictions.</w:t>
      </w:r>
    </w:p>
    <w:p w:rsidR="00F56018" w:rsidRDefault="00F56018" w:rsidP="00FA1DBA">
      <w:pPr>
        <w:spacing w:after="0"/>
      </w:pPr>
    </w:p>
    <w:p w:rsidR="00964F2F" w:rsidRDefault="00C03A4D" w:rsidP="00FA1DBA">
      <w:pPr>
        <w:spacing w:after="0"/>
      </w:pPr>
      <w:r>
        <w:fldChar w:fldCharType="begin"/>
      </w:r>
      <w:r w:rsidR="0086054E">
        <w:instrText xml:space="preserve"> REF _Ref347845331 \h </w:instrText>
      </w:r>
      <w:r>
        <w:fldChar w:fldCharType="separate"/>
      </w:r>
      <w:r w:rsidR="004B2C72">
        <w:t xml:space="preserve">Table </w:t>
      </w:r>
      <w:r w:rsidR="004B2C72">
        <w:rPr>
          <w:noProof/>
        </w:rPr>
        <w:t>1</w:t>
      </w:r>
      <w:r>
        <w:fldChar w:fldCharType="end"/>
      </w:r>
      <w:r w:rsidR="0086054E">
        <w:t xml:space="preserve"> </w:t>
      </w:r>
      <w:r w:rsidR="00B73D23">
        <w:t xml:space="preserve">provides a summary of </w:t>
      </w:r>
      <w:r w:rsidR="00964F2F">
        <w:t xml:space="preserve">some of </w:t>
      </w:r>
      <w:r w:rsidR="00B73D23">
        <w:t>the</w:t>
      </w:r>
      <w:r w:rsidR="00FA1DBA">
        <w:t xml:space="preserve"> key issues observed</w:t>
      </w:r>
      <w:r w:rsidR="00964F2F">
        <w:t xml:space="preserve"> in the compiled hazardous waste data, in terms of the major wastes (by quantity) generated </w:t>
      </w:r>
      <w:r w:rsidR="00964B46">
        <w:t xml:space="preserve">by </w:t>
      </w:r>
      <w:r w:rsidR="00964F2F">
        <w:t>those states where hazardous wastes are tracked</w:t>
      </w:r>
      <w:r w:rsidR="00FA1DBA">
        <w:t xml:space="preserve">. </w:t>
      </w:r>
      <w:r w:rsidR="00964F2F">
        <w:t>These states</w:t>
      </w:r>
      <w:r w:rsidR="00964B46">
        <w:t>,</w:t>
      </w:r>
      <w:r w:rsidR="00964F2F">
        <w:t xml:space="preserve"> coincidently</w:t>
      </w:r>
      <w:r w:rsidR="00964B46">
        <w:t>,</w:t>
      </w:r>
      <w:r w:rsidR="00964F2F">
        <w:t xml:space="preserve"> are the </w:t>
      </w:r>
      <w:r w:rsidR="00FB3BA5">
        <w:t>five</w:t>
      </w:r>
      <w:r w:rsidR="00964F2F">
        <w:t xml:space="preserve"> largest by population.</w:t>
      </w:r>
      <w:r w:rsidR="00D1430A">
        <w:t xml:space="preserve">  The exception is </w:t>
      </w:r>
      <w:r w:rsidR="00706550">
        <w:t>clinical and related waste, which is not high in tonnage in the context of jurisdictional totals, but warrants particular attention as discussed in Section 3.2.</w:t>
      </w:r>
    </w:p>
    <w:p w:rsidR="00011694" w:rsidRDefault="00011694" w:rsidP="00FA1DBA">
      <w:pPr>
        <w:spacing w:after="0"/>
      </w:pPr>
    </w:p>
    <w:p w:rsidR="00D1430A" w:rsidRDefault="00B86B40" w:rsidP="00FA1DBA">
      <w:pPr>
        <w:spacing w:after="0"/>
      </w:pPr>
      <w:r>
        <w:t>W</w:t>
      </w:r>
      <w:r w:rsidR="00D1430A">
        <w:t xml:space="preserve">astes </w:t>
      </w:r>
      <w:r>
        <w:t xml:space="preserve">reported in Table 1 </w:t>
      </w:r>
      <w:r w:rsidR="00D1430A">
        <w:t xml:space="preserve">have been broken down to the detailed alphanumeric waste code level, to allow a better understanding of what </w:t>
      </w:r>
      <w:r>
        <w:t xml:space="preserve">generation </w:t>
      </w:r>
      <w:r w:rsidR="00D1430A">
        <w:t xml:space="preserve">activities may lie behind </w:t>
      </w:r>
      <w:r w:rsidR="00706550">
        <w:t>the reported numbers</w:t>
      </w:r>
      <w:r w:rsidR="00964B46">
        <w:t>,</w:t>
      </w:r>
      <w:r w:rsidR="00706550">
        <w:t xml:space="preserve"> and also </w:t>
      </w:r>
      <w:r w:rsidR="00964B46">
        <w:t xml:space="preserve">to </w:t>
      </w:r>
      <w:r w:rsidR="00706550">
        <w:t>provide for more meaningful comparison between jurisdictions.  This table is used for much of the comparative discussion of issues in Section 3.1 and 3.2, although observations drawn from other data (such as import/export figures) are also discussed.  The latter data, as with all waste generation, import, export and treatment data, was gathered as part of the Data Report at Appendix A.</w:t>
      </w:r>
    </w:p>
    <w:p w:rsidR="00964F2F" w:rsidRDefault="00964F2F" w:rsidP="00FA1DBA">
      <w:pPr>
        <w:spacing w:after="0"/>
      </w:pPr>
    </w:p>
    <w:p w:rsidR="00732DD1" w:rsidRDefault="00011694" w:rsidP="00732DD1">
      <w:r>
        <w:t xml:space="preserve">Table 1 deliberately focuses on tracked data only at a first pass, </w:t>
      </w:r>
      <w:r w:rsidR="00B86B40">
        <w:t>which</w:t>
      </w:r>
      <w:r>
        <w:t xml:space="preserve"> highlight</w:t>
      </w:r>
      <w:r w:rsidR="00B86B40">
        <w:t>s</w:t>
      </w:r>
      <w:r>
        <w:t xml:space="preserve"> high</w:t>
      </w:r>
      <w:r w:rsidR="00B33B82">
        <w:t>-</w:t>
      </w:r>
      <w:r>
        <w:t>order inconsistencies, in terms of what is tracked as hazardous waste within jurisdictions.  The table highlights:</w:t>
      </w:r>
    </w:p>
    <w:p w:rsidR="00011694" w:rsidRDefault="00B33B82" w:rsidP="00BF44E0">
      <w:pPr>
        <w:pStyle w:val="ListParagraph"/>
        <w:numPr>
          <w:ilvl w:val="0"/>
          <w:numId w:val="33"/>
        </w:numPr>
        <w:spacing w:after="0"/>
        <w:ind w:left="714" w:hanging="357"/>
      </w:pPr>
      <w:r>
        <w:t>w</w:t>
      </w:r>
      <w:r w:rsidR="00991062">
        <w:t xml:space="preserve">aste data </w:t>
      </w:r>
      <w:r w:rsidR="00425766">
        <w:t xml:space="preserve">known to be </w:t>
      </w:r>
      <w:r w:rsidR="00991062">
        <w:t xml:space="preserve">missing </w:t>
      </w:r>
      <w:r w:rsidR="00011694">
        <w:t>from tracking systems</w:t>
      </w:r>
      <w:r w:rsidR="00991062">
        <w:t xml:space="preserve"> but still likely to be generated in that jurisdiction</w:t>
      </w:r>
      <w:r w:rsidR="00011694">
        <w:t xml:space="preserve"> (highlighted in yellow)</w:t>
      </w:r>
    </w:p>
    <w:p w:rsidR="00991062" w:rsidRDefault="00991062" w:rsidP="00BF44E0">
      <w:pPr>
        <w:pStyle w:val="ListParagraph"/>
        <w:numPr>
          <w:ilvl w:val="0"/>
          <w:numId w:val="33"/>
        </w:numPr>
        <w:spacing w:after="0"/>
        <w:ind w:left="714" w:hanging="357"/>
      </w:pPr>
      <w:r>
        <w:t>values that appear unusually high when compared to other jurisdictions’ data (highlighted in green)</w:t>
      </w:r>
    </w:p>
    <w:p w:rsidR="00991062" w:rsidRDefault="00991062" w:rsidP="00BF44E0">
      <w:pPr>
        <w:pStyle w:val="ListParagraph"/>
        <w:numPr>
          <w:ilvl w:val="0"/>
          <w:numId w:val="33"/>
        </w:numPr>
        <w:spacing w:after="0"/>
        <w:ind w:left="714" w:hanging="357"/>
      </w:pPr>
      <w:proofErr w:type="gramStart"/>
      <w:r>
        <w:t>values</w:t>
      </w:r>
      <w:proofErr w:type="gramEnd"/>
      <w:r>
        <w:t xml:space="preserve"> that appear unusually low when compared to other jurisdictions’ data (highlighted in orange).</w:t>
      </w:r>
    </w:p>
    <w:p w:rsidR="00732DD1" w:rsidRDefault="00732DD1" w:rsidP="00732DD1">
      <w:pPr>
        <w:spacing w:after="0"/>
      </w:pPr>
    </w:p>
    <w:p w:rsidR="00393D8A" w:rsidRDefault="00732DD1" w:rsidP="00732DD1">
      <w:pPr>
        <w:spacing w:after="0"/>
      </w:pPr>
      <w:r>
        <w:t xml:space="preserve">There are a number of waste codes not reported by some jurisdictions, as evidenced by the </w:t>
      </w:r>
      <w:r w:rsidR="004E4EA0">
        <w:t>dash (-)</w:t>
      </w:r>
      <w:r>
        <w:t xml:space="preserve"> symbol in many entries in Table 1.  The ‘dashed’ entries highlighted in yellow are known cases where wastes are not officially tracked, such as </w:t>
      </w:r>
      <w:r w:rsidR="00393D8A">
        <w:t xml:space="preserve">wastes specifically exempt from tracking in a particular jurisdiction.  Actual reported </w:t>
      </w:r>
      <w:r w:rsidR="00B86B40">
        <w:t>tonnages</w:t>
      </w:r>
      <w:r w:rsidR="00393D8A">
        <w:t xml:space="preserve"> </w:t>
      </w:r>
      <w:r w:rsidR="00B86B40">
        <w:t xml:space="preserve">located </w:t>
      </w:r>
      <w:r w:rsidR="00393D8A">
        <w:t>in yellow highlighted entries indicates a known data gap</w:t>
      </w:r>
      <w:r w:rsidR="00B86B40">
        <w:t>,</w:t>
      </w:r>
      <w:r w:rsidR="00393D8A">
        <w:t xml:space="preserve"> where </w:t>
      </w:r>
      <w:r w:rsidR="00B86B40">
        <w:t>a</w:t>
      </w:r>
      <w:r w:rsidR="00393D8A">
        <w:t xml:space="preserve"> small amount of waste has been reported via the tracking system, even though such reporting is not required in that jurisdiction.  This is discussed using the contaminated soil example in Section 3.1.2.</w:t>
      </w:r>
    </w:p>
    <w:p w:rsidR="00393D8A" w:rsidRDefault="00393D8A" w:rsidP="00732DD1">
      <w:pPr>
        <w:spacing w:after="0"/>
      </w:pPr>
    </w:p>
    <w:p w:rsidR="00991062" w:rsidRDefault="00393D8A" w:rsidP="00732DD1">
      <w:pPr>
        <w:spacing w:after="0"/>
      </w:pPr>
      <w:r>
        <w:t xml:space="preserve">Section 3.1.2 attempts to fill these gaps where possible, </w:t>
      </w:r>
      <w:r w:rsidR="004E4EA0">
        <w:t xml:space="preserve">using </w:t>
      </w:r>
      <w:r>
        <w:t xml:space="preserve">other data sources, and presents </w:t>
      </w:r>
      <w:r w:rsidRPr="0018416C">
        <w:t xml:space="preserve">the results in terms of ‘normalised’ data in Table </w:t>
      </w:r>
      <w:r w:rsidR="0018416C" w:rsidRPr="0018416C">
        <w:t>2</w:t>
      </w:r>
      <w:r w:rsidRPr="0018416C">
        <w:t xml:space="preserve"> (Section 3.1.2).</w:t>
      </w:r>
    </w:p>
    <w:p w:rsidR="00706550" w:rsidRDefault="00706550" w:rsidP="00FA1DBA">
      <w:pPr>
        <w:spacing w:after="0"/>
      </w:pPr>
    </w:p>
    <w:p w:rsidR="000E0D25" w:rsidRDefault="00B86B40">
      <w:pPr>
        <w:spacing w:after="0"/>
        <w:jc w:val="left"/>
      </w:pPr>
      <w:r>
        <w:t>The other dashes reported in Table 1 are likely to be cases where that particular waste is not generated within a jurisdiction.</w:t>
      </w:r>
      <w:r w:rsidR="000E0D25">
        <w:br w:type="page"/>
      </w:r>
    </w:p>
    <w:p w:rsidR="0086054E" w:rsidRDefault="0086054E" w:rsidP="0086054E">
      <w:pPr>
        <w:pStyle w:val="Caption"/>
      </w:pPr>
      <w:bookmarkStart w:id="23" w:name="_Ref347845331"/>
      <w:bookmarkStart w:id="24" w:name="_Toc350441373"/>
      <w:r>
        <w:lastRenderedPageBreak/>
        <w:t xml:space="preserve">Table </w:t>
      </w:r>
      <w:r w:rsidR="00C03A4D">
        <w:fldChar w:fldCharType="begin"/>
      </w:r>
      <w:r w:rsidR="00945DDB">
        <w:instrText xml:space="preserve"> SEQ Table \* ARABIC </w:instrText>
      </w:r>
      <w:r w:rsidR="00C03A4D">
        <w:fldChar w:fldCharType="separate"/>
      </w:r>
      <w:r w:rsidR="004B2C72">
        <w:rPr>
          <w:noProof/>
        </w:rPr>
        <w:t>1</w:t>
      </w:r>
      <w:r w:rsidR="00C03A4D">
        <w:rPr>
          <w:noProof/>
        </w:rPr>
        <w:fldChar w:fldCharType="end"/>
      </w:r>
      <w:bookmarkEnd w:id="23"/>
      <w:r w:rsidR="00174C60">
        <w:rPr>
          <w:noProof/>
        </w:rPr>
        <w:t>—</w:t>
      </w:r>
      <w:r w:rsidR="00425766">
        <w:t>Major waste</w:t>
      </w:r>
      <w:r>
        <w:t xml:space="preserve"> </w:t>
      </w:r>
      <w:r w:rsidR="00425766">
        <w:t xml:space="preserve">generation </w:t>
      </w:r>
      <w:r>
        <w:t>data observations</w:t>
      </w:r>
      <w:r w:rsidR="00425766">
        <w:t xml:space="preserve"> </w:t>
      </w:r>
      <w:r w:rsidR="004E4EA0">
        <w:t>and</w:t>
      </w:r>
      <w:r w:rsidR="00425766">
        <w:t xml:space="preserve"> discrepancies (tracked data only)</w:t>
      </w:r>
      <w:r w:rsidR="002B7EEC">
        <w:t xml:space="preserve"> in </w:t>
      </w:r>
      <w:bookmarkEnd w:id="24"/>
      <w:r w:rsidR="00460043">
        <w:t>2010–11</w:t>
      </w:r>
    </w:p>
    <w:tbl>
      <w:tblPr>
        <w:tblW w:w="9809" w:type="dxa"/>
        <w:tblInd w:w="93" w:type="dxa"/>
        <w:tblLook w:val="04A0"/>
      </w:tblPr>
      <w:tblGrid>
        <w:gridCol w:w="4126"/>
        <w:gridCol w:w="851"/>
        <w:gridCol w:w="1134"/>
        <w:gridCol w:w="1132"/>
        <w:gridCol w:w="906"/>
        <w:gridCol w:w="901"/>
        <w:gridCol w:w="901"/>
      </w:tblGrid>
      <w:tr w:rsidR="00DC760A" w:rsidRPr="00A06B57" w:rsidTr="00BF44E0">
        <w:trPr>
          <w:trHeight w:val="300"/>
          <w:tblHeader/>
        </w:trPr>
        <w:tc>
          <w:tcPr>
            <w:tcW w:w="4977" w:type="dxa"/>
            <w:gridSpan w:val="2"/>
            <w:tcBorders>
              <w:top w:val="single" w:sz="4" w:space="0" w:color="auto"/>
              <w:left w:val="single" w:sz="4" w:space="0" w:color="auto"/>
              <w:bottom w:val="single" w:sz="4" w:space="0" w:color="auto"/>
              <w:right w:val="single" w:sz="4" w:space="0" w:color="auto"/>
            </w:tcBorders>
            <w:shd w:val="clear" w:color="000000" w:fill="1D5C42"/>
            <w:noWrap/>
            <w:vAlign w:val="center"/>
          </w:tcPr>
          <w:p w:rsidR="00DC760A" w:rsidRPr="00A06B57" w:rsidRDefault="00DC760A" w:rsidP="00A44AF3">
            <w:pPr>
              <w:spacing w:after="0" w:line="240" w:lineRule="auto"/>
              <w:jc w:val="center"/>
              <w:rPr>
                <w:rFonts w:eastAsia="Times New Roman" w:cs="Arial"/>
                <w:b/>
                <w:bCs/>
                <w:color w:val="FFFFFF"/>
                <w:sz w:val="16"/>
                <w:szCs w:val="16"/>
                <w:lang w:eastAsia="en-AU"/>
              </w:rPr>
            </w:pPr>
            <w:r w:rsidRPr="00A06B57">
              <w:rPr>
                <w:rFonts w:eastAsia="Times New Roman" w:cs="Arial"/>
                <w:b/>
                <w:bCs/>
                <w:color w:val="FFFFFF"/>
                <w:sz w:val="16"/>
                <w:szCs w:val="16"/>
                <w:lang w:eastAsia="en-AU"/>
              </w:rPr>
              <w:t xml:space="preserve">Major </w:t>
            </w:r>
            <w:r w:rsidR="00A44AF3">
              <w:rPr>
                <w:rFonts w:eastAsia="Times New Roman" w:cs="Arial"/>
                <w:b/>
                <w:bCs/>
                <w:color w:val="FFFFFF"/>
                <w:sz w:val="16"/>
                <w:szCs w:val="16"/>
                <w:lang w:eastAsia="en-AU"/>
              </w:rPr>
              <w:t>w</w:t>
            </w:r>
            <w:r w:rsidRPr="00A06B57">
              <w:rPr>
                <w:rFonts w:eastAsia="Times New Roman" w:cs="Arial"/>
                <w:b/>
                <w:bCs/>
                <w:color w:val="FFFFFF"/>
                <w:sz w:val="16"/>
                <w:szCs w:val="16"/>
                <w:lang w:eastAsia="en-AU"/>
              </w:rPr>
              <w:t>aste generated</w:t>
            </w:r>
          </w:p>
        </w:tc>
        <w:tc>
          <w:tcPr>
            <w:tcW w:w="4832" w:type="dxa"/>
            <w:gridSpan w:val="5"/>
            <w:tcBorders>
              <w:top w:val="single" w:sz="4" w:space="0" w:color="auto"/>
              <w:left w:val="single" w:sz="4" w:space="0" w:color="auto"/>
              <w:bottom w:val="single" w:sz="4" w:space="0" w:color="auto"/>
              <w:right w:val="single" w:sz="4" w:space="0" w:color="auto"/>
            </w:tcBorders>
            <w:shd w:val="clear" w:color="000000" w:fill="1D5C42"/>
            <w:noWrap/>
            <w:vAlign w:val="center"/>
          </w:tcPr>
          <w:p w:rsidR="00DC760A" w:rsidRPr="00A06B57" w:rsidRDefault="00DC760A" w:rsidP="00DC760A">
            <w:pPr>
              <w:spacing w:after="0" w:line="240" w:lineRule="auto"/>
              <w:jc w:val="center"/>
              <w:rPr>
                <w:rFonts w:eastAsia="Times New Roman" w:cs="Arial"/>
                <w:b/>
                <w:bCs/>
                <w:color w:val="FFFFFF"/>
                <w:sz w:val="16"/>
                <w:szCs w:val="16"/>
                <w:lang w:eastAsia="en-AU"/>
              </w:rPr>
            </w:pPr>
            <w:r w:rsidRPr="00A06B57">
              <w:rPr>
                <w:rFonts w:eastAsia="Times New Roman" w:cs="Arial"/>
                <w:b/>
                <w:bCs/>
                <w:color w:val="FFFFFF"/>
                <w:sz w:val="16"/>
                <w:szCs w:val="16"/>
                <w:lang w:eastAsia="en-AU"/>
              </w:rPr>
              <w:t xml:space="preserve">Major waste producing </w:t>
            </w:r>
            <w:r w:rsidR="004E4EA0">
              <w:rPr>
                <w:rFonts w:eastAsia="Times New Roman" w:cs="Arial"/>
                <w:b/>
                <w:bCs/>
                <w:color w:val="FFFFFF"/>
                <w:sz w:val="16"/>
                <w:szCs w:val="16"/>
                <w:lang w:eastAsia="en-AU"/>
              </w:rPr>
              <w:t>s</w:t>
            </w:r>
            <w:r w:rsidRPr="00A06B57">
              <w:rPr>
                <w:rFonts w:eastAsia="Times New Roman" w:cs="Arial"/>
                <w:b/>
                <w:bCs/>
                <w:color w:val="FFFFFF"/>
                <w:sz w:val="16"/>
                <w:szCs w:val="16"/>
                <w:lang w:eastAsia="en-AU"/>
              </w:rPr>
              <w:t>tates (tonnes)</w:t>
            </w:r>
          </w:p>
        </w:tc>
      </w:tr>
      <w:tr w:rsidR="00FA1DBA" w:rsidRPr="00A06B57" w:rsidTr="00BF44E0">
        <w:trPr>
          <w:trHeight w:val="300"/>
          <w:tblHeader/>
        </w:trPr>
        <w:tc>
          <w:tcPr>
            <w:tcW w:w="4126"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964F2F"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 xml:space="preserve">NEPM </w:t>
            </w:r>
            <w:r w:rsidR="00A44AF3">
              <w:rPr>
                <w:rFonts w:eastAsia="Times New Roman" w:cs="Arial"/>
                <w:b/>
                <w:bCs/>
                <w:color w:val="FFFFFF"/>
                <w:sz w:val="16"/>
                <w:szCs w:val="16"/>
                <w:lang w:eastAsia="en-AU"/>
              </w:rPr>
              <w:t>w</w:t>
            </w:r>
            <w:r w:rsidR="00A06B57" w:rsidRPr="00A06B57">
              <w:rPr>
                <w:rFonts w:eastAsia="Times New Roman" w:cs="Arial"/>
                <w:b/>
                <w:bCs/>
                <w:color w:val="FFFFFF"/>
                <w:sz w:val="16"/>
                <w:szCs w:val="16"/>
                <w:lang w:eastAsia="en-AU"/>
              </w:rPr>
              <w:t xml:space="preserve">aste </w:t>
            </w:r>
            <w:r w:rsidR="00A44AF3">
              <w:rPr>
                <w:rFonts w:eastAsia="Times New Roman" w:cs="Arial"/>
                <w:b/>
                <w:bCs/>
                <w:color w:val="FFFFFF"/>
                <w:sz w:val="16"/>
                <w:szCs w:val="16"/>
                <w:lang w:eastAsia="en-AU"/>
              </w:rPr>
              <w:t>d</w:t>
            </w:r>
            <w:r w:rsidR="00A06B57" w:rsidRPr="00A06B57">
              <w:rPr>
                <w:rFonts w:eastAsia="Times New Roman" w:cs="Arial"/>
                <w:b/>
                <w:bCs/>
                <w:color w:val="FFFFFF"/>
                <w:sz w:val="16"/>
                <w:szCs w:val="16"/>
                <w:lang w:eastAsia="en-AU"/>
              </w:rPr>
              <w:t>escription</w:t>
            </w:r>
          </w:p>
        </w:tc>
        <w:tc>
          <w:tcPr>
            <w:tcW w:w="851"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737992" w:rsidP="00737992">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Waste</w:t>
            </w:r>
            <w:r w:rsidR="00A06B57" w:rsidRPr="00A06B57">
              <w:rPr>
                <w:rFonts w:eastAsia="Times New Roman" w:cs="Arial"/>
                <w:b/>
                <w:bCs/>
                <w:color w:val="FFFFFF"/>
                <w:sz w:val="16"/>
                <w:szCs w:val="16"/>
                <w:lang w:eastAsia="en-AU"/>
              </w:rPr>
              <w:t xml:space="preserve"> Code</w:t>
            </w:r>
          </w:p>
        </w:tc>
        <w:tc>
          <w:tcPr>
            <w:tcW w:w="1134"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New South Wales</w:t>
            </w:r>
          </w:p>
        </w:tc>
        <w:tc>
          <w:tcPr>
            <w:tcW w:w="990"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Queensland</w:t>
            </w:r>
          </w:p>
        </w:tc>
        <w:tc>
          <w:tcPr>
            <w:tcW w:w="906"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Victoria</w:t>
            </w:r>
          </w:p>
        </w:tc>
        <w:tc>
          <w:tcPr>
            <w:tcW w:w="901"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Western Australia</w:t>
            </w:r>
          </w:p>
        </w:tc>
        <w:tc>
          <w:tcPr>
            <w:tcW w:w="901" w:type="dxa"/>
            <w:tcBorders>
              <w:top w:val="single" w:sz="4" w:space="0" w:color="auto"/>
              <w:left w:val="single" w:sz="4" w:space="0" w:color="auto"/>
              <w:bottom w:val="single" w:sz="4" w:space="0" w:color="auto"/>
              <w:right w:val="single" w:sz="4" w:space="0" w:color="auto"/>
            </w:tcBorders>
            <w:shd w:val="clear" w:color="000000" w:fill="1D5C42"/>
            <w:noWrap/>
            <w:vAlign w:val="center"/>
            <w:hideMark/>
          </w:tcPr>
          <w:p w:rsidR="00A06B57" w:rsidRPr="00A06B57" w:rsidRDefault="004E4EA0" w:rsidP="005E1CF6">
            <w:pPr>
              <w:spacing w:after="0" w:line="240" w:lineRule="auto"/>
              <w:jc w:val="center"/>
              <w:rPr>
                <w:rFonts w:eastAsia="Times New Roman" w:cs="Arial"/>
                <w:b/>
                <w:bCs/>
                <w:color w:val="FFFFFF"/>
                <w:sz w:val="16"/>
                <w:szCs w:val="16"/>
                <w:lang w:eastAsia="en-AU"/>
              </w:rPr>
            </w:pPr>
            <w:r>
              <w:rPr>
                <w:rFonts w:eastAsia="Times New Roman" w:cs="Arial"/>
                <w:b/>
                <w:bCs/>
                <w:color w:val="FFFFFF"/>
                <w:sz w:val="16"/>
                <w:szCs w:val="16"/>
                <w:lang w:eastAsia="en-AU"/>
              </w:rPr>
              <w:t>South Australia</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Inorganic chemicals</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D</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Arsenic and arsenic compounds</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D130</w:t>
            </w:r>
          </w:p>
        </w:tc>
        <w:tc>
          <w:tcPr>
            <w:tcW w:w="1134" w:type="dxa"/>
            <w:tcBorders>
              <w:top w:val="nil"/>
              <w:left w:val="nil"/>
              <w:bottom w:val="single" w:sz="4" w:space="0" w:color="auto"/>
              <w:right w:val="single" w:sz="4" w:space="0" w:color="auto"/>
            </w:tcBorders>
            <w:shd w:val="clear" w:color="auto" w:fill="auto"/>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777</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13</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120</w:t>
            </w:r>
          </w:p>
        </w:tc>
        <w:tc>
          <w:tcPr>
            <w:tcW w:w="901" w:type="dxa"/>
            <w:tcBorders>
              <w:top w:val="nil"/>
              <w:left w:val="nil"/>
              <w:bottom w:val="single" w:sz="4" w:space="0" w:color="auto"/>
              <w:right w:val="single" w:sz="4" w:space="0" w:color="auto"/>
            </w:tcBorders>
            <w:shd w:val="clear" w:color="000000" w:fill="92D05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108</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752</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Lead and lead compounds</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D220</w:t>
            </w:r>
          </w:p>
        </w:tc>
        <w:tc>
          <w:tcPr>
            <w:tcW w:w="1134"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701</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480</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935</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817</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836</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Zinc compounds</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D230</w:t>
            </w:r>
          </w:p>
        </w:tc>
        <w:tc>
          <w:tcPr>
            <w:tcW w:w="1134" w:type="dxa"/>
            <w:tcBorders>
              <w:top w:val="nil"/>
              <w:left w:val="nil"/>
              <w:bottom w:val="single" w:sz="4" w:space="0" w:color="auto"/>
              <w:right w:val="single" w:sz="4" w:space="0" w:color="auto"/>
            </w:tcBorders>
            <w:shd w:val="clear" w:color="auto" w:fill="FFFF00"/>
            <w:noWrap/>
            <w:vAlign w:val="center"/>
            <w:hideMark/>
          </w:tcPr>
          <w:p w:rsidR="00A06B57" w:rsidRPr="00D1430A" w:rsidRDefault="00A06B57" w:rsidP="00DC760A">
            <w:pPr>
              <w:spacing w:after="0" w:line="240" w:lineRule="auto"/>
              <w:jc w:val="right"/>
              <w:rPr>
                <w:rFonts w:eastAsia="Times New Roman" w:cs="Arial"/>
                <w:color w:val="000000"/>
                <w:sz w:val="16"/>
                <w:szCs w:val="16"/>
                <w:lang w:eastAsia="en-AU"/>
              </w:rPr>
            </w:pPr>
            <w:r w:rsidRPr="00D1430A">
              <w:rPr>
                <w:rFonts w:eastAsia="Times New Roman" w:cs="Arial"/>
                <w:color w:val="000000"/>
                <w:sz w:val="16"/>
                <w:szCs w:val="16"/>
                <w:lang w:eastAsia="en-AU"/>
              </w:rPr>
              <w:t>0</w:t>
            </w:r>
            <w:r w:rsidR="00D1430A" w:rsidRPr="00D1430A">
              <w:rPr>
                <w:rFonts w:eastAsia="Times New Roman" w:cs="Arial"/>
                <w:color w:val="000000"/>
                <w:sz w:val="16"/>
                <w:szCs w:val="16"/>
                <w:lang w:eastAsia="en-AU"/>
              </w:rPr>
              <w:t>.72</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514</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175</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607</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147</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Non-toxic salts (e.g. sodium chloride, calcium chloride)</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D300</w:t>
            </w:r>
          </w:p>
        </w:tc>
        <w:tc>
          <w:tcPr>
            <w:tcW w:w="1134"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611</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33</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626</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w:t>
            </w:r>
            <w:r w:rsidR="00FF718F">
              <w:rPr>
                <w:rFonts w:eastAsia="Times New Roman" w:cs="Arial"/>
                <w:color w:val="000000"/>
                <w:sz w:val="16"/>
                <w:szCs w:val="16"/>
                <w:lang w:eastAsia="en-AU"/>
              </w:rPr>
              <w:t>,0</w:t>
            </w:r>
            <w:r w:rsidRPr="00A06B57">
              <w:rPr>
                <w:rFonts w:eastAsia="Times New Roman" w:cs="Arial"/>
                <w:color w:val="000000"/>
                <w:sz w:val="16"/>
                <w:szCs w:val="16"/>
                <w:lang w:eastAsia="en-AU"/>
              </w:rPr>
              <w:t>48</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341</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447</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Oils, hydrocarbons, emulsions</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J</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FA1DBA" w:rsidRPr="00A06B57" w:rsidTr="00BF44E0">
        <w:trPr>
          <w:trHeight w:val="495"/>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Waste oils unfit for their original intended use (lubricating, hydraulic)</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J100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64</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554</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86</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404</w:t>
            </w:r>
          </w:p>
        </w:tc>
        <w:tc>
          <w:tcPr>
            <w:tcW w:w="906" w:type="dxa"/>
            <w:tcBorders>
              <w:top w:val="nil"/>
              <w:left w:val="nil"/>
              <w:bottom w:val="single" w:sz="4" w:space="0" w:color="auto"/>
              <w:right w:val="single" w:sz="4" w:space="0" w:color="auto"/>
            </w:tcBorders>
            <w:shd w:val="clear" w:color="000000" w:fill="FCD5B4"/>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750</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72</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316</w:t>
            </w:r>
          </w:p>
        </w:tc>
        <w:tc>
          <w:tcPr>
            <w:tcW w:w="901" w:type="dxa"/>
            <w:tcBorders>
              <w:top w:val="nil"/>
              <w:left w:val="nil"/>
              <w:bottom w:val="single" w:sz="4" w:space="0" w:color="auto"/>
              <w:right w:val="single" w:sz="4" w:space="0" w:color="auto"/>
            </w:tcBorders>
            <w:shd w:val="clear" w:color="auto" w:fill="FFFF00"/>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423</w:t>
            </w:r>
          </w:p>
        </w:tc>
      </w:tr>
      <w:tr w:rsidR="00FA1DBA" w:rsidRPr="00A06B57" w:rsidTr="00BF44E0">
        <w:trPr>
          <w:trHeight w:val="583"/>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Waste oils and water mixtures or emulsions, and hydrocarbon and water mixtures or emulsions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J120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369</w:t>
            </w:r>
          </w:p>
        </w:tc>
        <w:tc>
          <w:tcPr>
            <w:tcW w:w="990" w:type="dxa"/>
            <w:tcBorders>
              <w:top w:val="nil"/>
              <w:left w:val="nil"/>
              <w:bottom w:val="single" w:sz="4" w:space="0" w:color="auto"/>
              <w:right w:val="single" w:sz="4" w:space="0" w:color="auto"/>
            </w:tcBorders>
            <w:shd w:val="clear" w:color="000000" w:fill="92D05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149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720</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786</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737</w:t>
            </w:r>
          </w:p>
        </w:tc>
        <w:tc>
          <w:tcPr>
            <w:tcW w:w="901" w:type="dxa"/>
            <w:tcBorders>
              <w:top w:val="nil"/>
              <w:left w:val="nil"/>
              <w:bottom w:val="single" w:sz="4" w:space="0" w:color="auto"/>
              <w:right w:val="single" w:sz="4" w:space="0" w:color="auto"/>
            </w:tcBorders>
            <w:shd w:val="clear" w:color="auto" w:fill="FFFF0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605</w:t>
            </w:r>
          </w:p>
        </w:tc>
      </w:tr>
      <w:tr w:rsidR="00FA1DBA" w:rsidRPr="00A06B57" w:rsidTr="00BF44E0">
        <w:trPr>
          <w:trHeight w:val="563"/>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Triple interceptor waste and stormwater contaminated with oil or hydrocarbons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J130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008</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13</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129</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Putrescible/organic wastes</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K</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FA1DBA" w:rsidRPr="00A06B57" w:rsidTr="00BF44E0">
        <w:trPr>
          <w:trHeight w:val="529"/>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Animal effluent and</w:t>
            </w:r>
            <w:r w:rsidR="00FA1DBA">
              <w:rPr>
                <w:rFonts w:eastAsia="Times New Roman" w:cs="Arial"/>
                <w:color w:val="000000"/>
                <w:sz w:val="16"/>
                <w:szCs w:val="16"/>
                <w:lang w:eastAsia="en-AU"/>
              </w:rPr>
              <w:t xml:space="preserve"> residues</w:t>
            </w:r>
            <w:r w:rsidR="00A44AF3">
              <w:rPr>
                <w:rFonts w:eastAsia="Times New Roman" w:cs="Arial"/>
                <w:color w:val="000000"/>
                <w:sz w:val="16"/>
                <w:szCs w:val="16"/>
                <w:lang w:eastAsia="en-AU"/>
              </w:rPr>
              <w:t xml:space="preserve"> (e.g. </w:t>
            </w:r>
            <w:r w:rsidR="00FA1DBA">
              <w:rPr>
                <w:rFonts w:eastAsia="Times New Roman" w:cs="Arial"/>
                <w:color w:val="000000"/>
                <w:sz w:val="16"/>
                <w:szCs w:val="16"/>
                <w:lang w:eastAsia="en-AU"/>
              </w:rPr>
              <w:t xml:space="preserve">abattoir wastes, poultry </w:t>
            </w:r>
            <w:r w:rsidRPr="00A06B57">
              <w:rPr>
                <w:rFonts w:eastAsia="Times New Roman" w:cs="Arial"/>
                <w:color w:val="000000"/>
                <w:sz w:val="16"/>
                <w:szCs w:val="16"/>
                <w:lang w:eastAsia="en-AU"/>
              </w:rPr>
              <w:t>wastes, fish and shellfish wastes</w:t>
            </w:r>
            <w:r w:rsidR="00A44AF3">
              <w:rPr>
                <w:rFonts w:eastAsia="Times New Roman" w:cs="Arial"/>
                <w:color w:val="000000"/>
                <w:sz w:val="16"/>
                <w:szCs w:val="16"/>
                <w:lang w:eastAsia="en-AU"/>
              </w:rPr>
              <w:t>)</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K100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45</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780</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33</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685</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530</w:t>
            </w:r>
          </w:p>
        </w:tc>
        <w:tc>
          <w:tcPr>
            <w:tcW w:w="901"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Grease trap waste</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K110/ K120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117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529</w:t>
            </w:r>
          </w:p>
        </w:tc>
        <w:tc>
          <w:tcPr>
            <w:tcW w:w="906" w:type="dxa"/>
            <w:tcBorders>
              <w:top w:val="nil"/>
              <w:left w:val="nil"/>
              <w:bottom w:val="single" w:sz="4" w:space="0" w:color="auto"/>
              <w:right w:val="single" w:sz="4" w:space="0" w:color="auto"/>
            </w:tcBorders>
            <w:shd w:val="clear" w:color="000000" w:fill="FFFFFF"/>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503</w:t>
            </w:r>
          </w:p>
        </w:tc>
        <w:tc>
          <w:tcPr>
            <w:tcW w:w="901" w:type="dxa"/>
            <w:tcBorders>
              <w:top w:val="nil"/>
              <w:left w:val="nil"/>
              <w:bottom w:val="single" w:sz="4" w:space="0" w:color="auto"/>
              <w:right w:val="single" w:sz="4" w:space="0" w:color="auto"/>
            </w:tcBorders>
            <w:shd w:val="clear" w:color="000000" w:fill="FFFFFF"/>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534</w:t>
            </w:r>
          </w:p>
        </w:tc>
        <w:tc>
          <w:tcPr>
            <w:tcW w:w="901"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527"/>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Sewage sludge and residues including nightsoil and septic tank sludge</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K130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525</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802</w:t>
            </w:r>
          </w:p>
        </w:tc>
        <w:tc>
          <w:tcPr>
            <w:tcW w:w="906"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390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356</w:t>
            </w:r>
          </w:p>
        </w:tc>
        <w:tc>
          <w:tcPr>
            <w:tcW w:w="901"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563"/>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Food and beverage processing wastes, including animal and vegetable oils and derivatives</w:t>
            </w:r>
          </w:p>
        </w:tc>
        <w:tc>
          <w:tcPr>
            <w:tcW w:w="85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K200</w:t>
            </w:r>
          </w:p>
        </w:tc>
        <w:tc>
          <w:tcPr>
            <w:tcW w:w="1134" w:type="dxa"/>
            <w:tcBorders>
              <w:top w:val="nil"/>
              <w:left w:val="nil"/>
              <w:bottom w:val="single" w:sz="4" w:space="0" w:color="auto"/>
              <w:right w:val="single" w:sz="4" w:space="0" w:color="auto"/>
            </w:tcBorders>
            <w:shd w:val="clear" w:color="auto" w:fill="FBD4B4" w:themeFill="accent6" w:themeFillTint="66"/>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68</w:t>
            </w:r>
          </w:p>
        </w:tc>
        <w:tc>
          <w:tcPr>
            <w:tcW w:w="990"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51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341</w:t>
            </w:r>
          </w:p>
        </w:tc>
        <w:tc>
          <w:tcPr>
            <w:tcW w:w="906"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347</w:t>
            </w:r>
          </w:p>
        </w:tc>
        <w:tc>
          <w:tcPr>
            <w:tcW w:w="901" w:type="dxa"/>
            <w:tcBorders>
              <w:top w:val="nil"/>
              <w:left w:val="nil"/>
              <w:bottom w:val="single" w:sz="4" w:space="0" w:color="auto"/>
              <w:right w:val="single" w:sz="4" w:space="0" w:color="auto"/>
            </w:tcBorders>
            <w:shd w:val="clear" w:color="auto" w:fill="auto"/>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45</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697</w:t>
            </w:r>
          </w:p>
        </w:tc>
        <w:tc>
          <w:tcPr>
            <w:tcW w:w="901"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Solid/sludge wastes requiring special handling</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left"/>
              <w:rPr>
                <w:rFonts w:eastAsia="Times New Roman" w:cs="Arial"/>
                <w:b/>
                <w:bCs/>
                <w:color w:val="000000"/>
                <w:sz w:val="16"/>
                <w:szCs w:val="16"/>
                <w:lang w:eastAsia="en-AU"/>
              </w:rPr>
            </w:pPr>
            <w:r w:rsidRPr="00A06B57">
              <w:rPr>
                <w:rFonts w:eastAsia="Times New Roman" w:cs="Arial"/>
                <w:b/>
                <w:bCs/>
                <w:color w:val="000000"/>
                <w:sz w:val="16"/>
                <w:szCs w:val="16"/>
                <w:lang w:eastAsia="en-AU"/>
              </w:rPr>
              <w:t>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FA1DB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Contaminated soils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N119, N120, N121</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21</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885</w:t>
            </w:r>
          </w:p>
        </w:tc>
        <w:tc>
          <w:tcPr>
            <w:tcW w:w="990" w:type="dxa"/>
            <w:tcBorders>
              <w:top w:val="nil"/>
              <w:left w:val="nil"/>
              <w:bottom w:val="single" w:sz="4" w:space="0" w:color="auto"/>
              <w:right w:val="single" w:sz="4" w:space="0" w:color="auto"/>
            </w:tcBorders>
            <w:shd w:val="clear" w:color="000000" w:fill="FFFF0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569</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407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596</w:t>
            </w:r>
          </w:p>
        </w:tc>
        <w:tc>
          <w:tcPr>
            <w:tcW w:w="901" w:type="dxa"/>
            <w:tcBorders>
              <w:top w:val="nil"/>
              <w:left w:val="nil"/>
              <w:bottom w:val="single" w:sz="4" w:space="0" w:color="auto"/>
              <w:right w:val="single" w:sz="4" w:space="0" w:color="auto"/>
            </w:tcBorders>
            <w:shd w:val="clear" w:color="000000" w:fill="FCD5B4"/>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7</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671</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219</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322</w:t>
            </w:r>
          </w:p>
        </w:tc>
      </w:tr>
      <w:tr w:rsidR="00FA1DBA" w:rsidRPr="00A06B57" w:rsidTr="00BF44E0">
        <w:trPr>
          <w:trHeight w:val="481"/>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Prescribed waste residues in bags or containers not specified under N100 and N105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N110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14</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783</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418"/>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Industrial waste treatment plant residues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N205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90" w:type="dxa"/>
            <w:tcBorders>
              <w:top w:val="nil"/>
              <w:left w:val="nil"/>
              <w:bottom w:val="single" w:sz="4" w:space="0" w:color="auto"/>
              <w:right w:val="single" w:sz="4" w:space="0" w:color="auto"/>
            </w:tcBorders>
            <w:shd w:val="clear" w:color="000000" w:fill="92D050"/>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83</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345</w:t>
            </w:r>
          </w:p>
        </w:tc>
        <w:tc>
          <w:tcPr>
            <w:tcW w:w="906"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971</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r>
      <w:tr w:rsidR="00FA1DBA" w:rsidRPr="00A06B57" w:rsidTr="00BF44E0">
        <w:trPr>
          <w:trHeight w:val="411"/>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06B57" w:rsidRPr="00A06B57" w:rsidRDefault="00A06B57" w:rsidP="00A44AF3">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Asbestos</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DC760A">
            <w:pPr>
              <w:spacing w:after="0" w:line="240" w:lineRule="auto"/>
              <w:jc w:val="left"/>
              <w:rPr>
                <w:rFonts w:eastAsia="Times New Roman" w:cs="Arial"/>
                <w:color w:val="000000"/>
                <w:sz w:val="16"/>
                <w:szCs w:val="16"/>
                <w:lang w:eastAsia="en-AU"/>
              </w:rPr>
            </w:pPr>
            <w:r w:rsidRPr="00A06B57">
              <w:rPr>
                <w:rFonts w:eastAsia="Times New Roman" w:cs="Arial"/>
                <w:color w:val="000000"/>
                <w:sz w:val="16"/>
                <w:szCs w:val="16"/>
                <w:lang w:eastAsia="en-AU"/>
              </w:rPr>
              <w:t>N220</w:t>
            </w:r>
          </w:p>
        </w:tc>
        <w:tc>
          <w:tcPr>
            <w:tcW w:w="1134" w:type="dxa"/>
            <w:tcBorders>
              <w:top w:val="nil"/>
              <w:left w:val="nil"/>
              <w:bottom w:val="single" w:sz="4" w:space="0" w:color="auto"/>
              <w:right w:val="single" w:sz="4" w:space="0" w:color="auto"/>
            </w:tcBorders>
            <w:shd w:val="clear" w:color="000000" w:fill="FFFF00"/>
            <w:noWrap/>
            <w:vAlign w:val="center"/>
            <w:hideMark/>
          </w:tcPr>
          <w:p w:rsidR="00A06B57" w:rsidRPr="00A06B57" w:rsidRDefault="00A06B57" w:rsidP="00DC760A">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42</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100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162</w:t>
            </w:r>
          </w:p>
        </w:tc>
        <w:tc>
          <w:tcPr>
            <w:tcW w:w="906" w:type="dxa"/>
            <w:tcBorders>
              <w:top w:val="nil"/>
              <w:left w:val="nil"/>
              <w:bottom w:val="single" w:sz="4" w:space="0" w:color="auto"/>
              <w:right w:val="single" w:sz="4" w:space="0" w:color="auto"/>
            </w:tcBorders>
            <w:shd w:val="clear" w:color="auto" w:fill="FBD4B4" w:themeFill="accent6" w:themeFillTint="66"/>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40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964</w:t>
            </w:r>
          </w:p>
        </w:tc>
        <w:tc>
          <w:tcPr>
            <w:tcW w:w="901" w:type="dxa"/>
            <w:tcBorders>
              <w:top w:val="nil"/>
              <w:left w:val="nil"/>
              <w:bottom w:val="single" w:sz="4" w:space="0" w:color="auto"/>
              <w:right w:val="single" w:sz="4" w:space="0" w:color="auto"/>
            </w:tcBorders>
            <w:shd w:val="clear" w:color="auto" w:fill="FFFF00"/>
            <w:noWrap/>
            <w:vAlign w:val="center"/>
            <w:hideMark/>
          </w:tcPr>
          <w:p w:rsidR="00A06B57" w:rsidRPr="00A06B57" w:rsidRDefault="00D1430A" w:rsidP="00DC760A">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w:t>
            </w:r>
          </w:p>
        </w:tc>
        <w:tc>
          <w:tcPr>
            <w:tcW w:w="901" w:type="dxa"/>
            <w:tcBorders>
              <w:top w:val="nil"/>
              <w:left w:val="nil"/>
              <w:bottom w:val="single" w:sz="4" w:space="0" w:color="auto"/>
              <w:right w:val="single" w:sz="4" w:space="0" w:color="auto"/>
            </w:tcBorders>
            <w:shd w:val="clear" w:color="auto" w:fill="FFFFFF" w:themeFill="background1"/>
            <w:noWrap/>
            <w:vAlign w:val="center"/>
            <w:hideMark/>
          </w:tcPr>
          <w:p w:rsidR="00A06B57" w:rsidRPr="00A06B57" w:rsidRDefault="00A06B57" w:rsidP="00FF718F">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20</w:t>
            </w:r>
            <w:r w:rsidR="00FF718F">
              <w:rPr>
                <w:rFonts w:eastAsia="Times New Roman" w:cs="Arial"/>
                <w:color w:val="000000"/>
                <w:sz w:val="16"/>
                <w:szCs w:val="16"/>
                <w:lang w:eastAsia="en-AU"/>
              </w:rPr>
              <w:t>,</w:t>
            </w:r>
            <w:r w:rsidRPr="00A06B57">
              <w:rPr>
                <w:rFonts w:eastAsia="Times New Roman" w:cs="Arial"/>
                <w:color w:val="000000"/>
                <w:sz w:val="16"/>
                <w:szCs w:val="16"/>
                <w:lang w:eastAsia="en-AU"/>
              </w:rPr>
              <w:t>101</w:t>
            </w:r>
          </w:p>
        </w:tc>
      </w:tr>
      <w:tr w:rsidR="00D1430A" w:rsidRPr="00A06B57" w:rsidTr="00BF44E0">
        <w:trPr>
          <w:trHeight w:val="300"/>
        </w:trPr>
        <w:tc>
          <w:tcPr>
            <w:tcW w:w="4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left"/>
              <w:rPr>
                <w:rFonts w:eastAsia="Times New Roman" w:cs="Arial"/>
                <w:b/>
                <w:bCs/>
                <w:color w:val="000000"/>
                <w:sz w:val="16"/>
                <w:szCs w:val="16"/>
                <w:lang w:eastAsia="en-AU"/>
              </w:rPr>
            </w:pPr>
            <w:r w:rsidRPr="00D1430A">
              <w:rPr>
                <w:rFonts w:eastAsia="Times New Roman" w:cs="Arial"/>
                <w:b/>
                <w:bCs/>
                <w:color w:val="000000"/>
                <w:sz w:val="16"/>
                <w:szCs w:val="16"/>
                <w:lang w:eastAsia="en-AU"/>
              </w:rPr>
              <w:t>Clinical and pharmaceutical wastes</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left"/>
              <w:rPr>
                <w:rFonts w:eastAsia="Times New Roman" w:cs="Arial"/>
                <w:b/>
                <w:bCs/>
                <w:color w:val="000000"/>
                <w:sz w:val="16"/>
                <w:szCs w:val="16"/>
                <w:lang w:eastAsia="en-AU"/>
              </w:rPr>
            </w:pPr>
            <w:r>
              <w:rPr>
                <w:rFonts w:eastAsia="Times New Roman" w:cs="Arial"/>
                <w:b/>
                <w:bCs/>
                <w:color w:val="000000"/>
                <w:sz w:val="16"/>
                <w:szCs w:val="16"/>
                <w:lang w:eastAsia="en-AU"/>
              </w:rPr>
              <w:t>R</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6"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c>
          <w:tcPr>
            <w:tcW w:w="901" w:type="dxa"/>
            <w:tcBorders>
              <w:top w:val="nil"/>
              <w:left w:val="nil"/>
              <w:bottom w:val="single" w:sz="4" w:space="0" w:color="auto"/>
              <w:right w:val="single" w:sz="4" w:space="0" w:color="auto"/>
            </w:tcBorders>
            <w:shd w:val="clear" w:color="auto" w:fill="D9D9D9" w:themeFill="background1" w:themeFillShade="D9"/>
            <w:noWrap/>
            <w:vAlign w:val="center"/>
            <w:hideMark/>
          </w:tcPr>
          <w:p w:rsidR="00D1430A" w:rsidRPr="00A06B57" w:rsidRDefault="00D1430A" w:rsidP="00B86B40">
            <w:pPr>
              <w:spacing w:after="0" w:line="240" w:lineRule="auto"/>
              <w:jc w:val="right"/>
              <w:rPr>
                <w:rFonts w:eastAsia="Times New Roman" w:cs="Arial"/>
                <w:color w:val="000000"/>
                <w:sz w:val="16"/>
                <w:szCs w:val="16"/>
                <w:lang w:eastAsia="en-AU"/>
              </w:rPr>
            </w:pPr>
            <w:r w:rsidRPr="00A06B57">
              <w:rPr>
                <w:rFonts w:eastAsia="Times New Roman" w:cs="Arial"/>
                <w:color w:val="000000"/>
                <w:sz w:val="16"/>
                <w:szCs w:val="16"/>
                <w:lang w:eastAsia="en-AU"/>
              </w:rPr>
              <w:t> </w:t>
            </w:r>
          </w:p>
        </w:tc>
      </w:tr>
      <w:tr w:rsidR="00D1430A" w:rsidRPr="00A06B57" w:rsidTr="00BF44E0">
        <w:trPr>
          <w:trHeight w:val="495"/>
        </w:trPr>
        <w:tc>
          <w:tcPr>
            <w:tcW w:w="4126" w:type="dxa"/>
            <w:tcBorders>
              <w:top w:val="nil"/>
              <w:left w:val="single" w:sz="4" w:space="0" w:color="auto"/>
              <w:bottom w:val="single" w:sz="4" w:space="0" w:color="auto"/>
              <w:right w:val="single" w:sz="4" w:space="0" w:color="auto"/>
            </w:tcBorders>
            <w:shd w:val="clear" w:color="auto" w:fill="FFFFFF" w:themeFill="background1"/>
            <w:noWrap/>
            <w:vAlign w:val="center"/>
          </w:tcPr>
          <w:p w:rsidR="00D1430A" w:rsidRPr="00A06B57" w:rsidRDefault="00D1430A" w:rsidP="00B86B40">
            <w:pPr>
              <w:spacing w:after="0" w:line="240" w:lineRule="auto"/>
              <w:jc w:val="left"/>
              <w:rPr>
                <w:rFonts w:eastAsia="Times New Roman" w:cs="Arial"/>
                <w:color w:val="000000"/>
                <w:sz w:val="16"/>
                <w:szCs w:val="16"/>
                <w:lang w:eastAsia="en-AU"/>
              </w:rPr>
            </w:pPr>
            <w:r w:rsidRPr="00D1430A">
              <w:rPr>
                <w:rFonts w:eastAsia="Times New Roman" w:cs="Arial"/>
                <w:color w:val="000000"/>
                <w:sz w:val="16"/>
                <w:szCs w:val="16"/>
                <w:lang w:eastAsia="en-AU"/>
              </w:rPr>
              <w:t>Clinical and related</w:t>
            </w:r>
            <w:r>
              <w:rPr>
                <w:rFonts w:eastAsia="Times New Roman" w:cs="Arial"/>
                <w:color w:val="000000"/>
                <w:sz w:val="16"/>
                <w:szCs w:val="16"/>
                <w:lang w:eastAsia="en-AU"/>
              </w:rPr>
              <w:t xml:space="preserve"> wastes, NOS (biomedical waste)</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D1430A" w:rsidRPr="00A06B57" w:rsidRDefault="00D1430A" w:rsidP="00D1430A">
            <w:pPr>
              <w:spacing w:after="0" w:line="240" w:lineRule="auto"/>
              <w:jc w:val="left"/>
              <w:rPr>
                <w:rFonts w:eastAsia="Times New Roman" w:cs="Arial"/>
                <w:color w:val="000000"/>
                <w:sz w:val="16"/>
                <w:szCs w:val="16"/>
                <w:lang w:eastAsia="en-AU"/>
              </w:rPr>
            </w:pPr>
            <w:r>
              <w:rPr>
                <w:rFonts w:eastAsia="Times New Roman" w:cs="Arial"/>
                <w:color w:val="000000"/>
                <w:sz w:val="16"/>
                <w:szCs w:val="16"/>
                <w:lang w:eastAsia="en-AU"/>
              </w:rPr>
              <w:t>R100</w:t>
            </w:r>
          </w:p>
        </w:tc>
        <w:tc>
          <w:tcPr>
            <w:tcW w:w="1134" w:type="dxa"/>
            <w:tcBorders>
              <w:top w:val="nil"/>
              <w:left w:val="nil"/>
              <w:bottom w:val="single" w:sz="4" w:space="0" w:color="auto"/>
              <w:right w:val="single" w:sz="4" w:space="0" w:color="auto"/>
            </w:tcBorders>
            <w:shd w:val="clear" w:color="auto" w:fill="FFFF00"/>
            <w:noWrap/>
            <w:vAlign w:val="center"/>
          </w:tcPr>
          <w:p w:rsidR="00D1430A" w:rsidRPr="00A06B57" w:rsidRDefault="00D1430A" w:rsidP="00B86B40">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216</w:t>
            </w:r>
          </w:p>
        </w:tc>
        <w:tc>
          <w:tcPr>
            <w:tcW w:w="990" w:type="dxa"/>
            <w:tcBorders>
              <w:top w:val="nil"/>
              <w:left w:val="nil"/>
              <w:bottom w:val="single" w:sz="4" w:space="0" w:color="auto"/>
              <w:right w:val="single" w:sz="4" w:space="0" w:color="auto"/>
            </w:tcBorders>
            <w:shd w:val="clear" w:color="auto" w:fill="FFFFFF" w:themeFill="background1"/>
            <w:noWrap/>
            <w:vAlign w:val="center"/>
          </w:tcPr>
          <w:p w:rsidR="00D1430A" w:rsidRPr="00A06B57" w:rsidRDefault="00D1430A" w:rsidP="00FF718F">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17</w:t>
            </w:r>
            <w:r w:rsidR="00FF718F">
              <w:rPr>
                <w:rFonts w:eastAsia="Times New Roman" w:cs="Arial"/>
                <w:color w:val="000000"/>
                <w:sz w:val="16"/>
                <w:szCs w:val="16"/>
                <w:lang w:eastAsia="en-AU"/>
              </w:rPr>
              <w:t>,</w:t>
            </w:r>
            <w:r>
              <w:rPr>
                <w:rFonts w:eastAsia="Times New Roman" w:cs="Arial"/>
                <w:color w:val="000000"/>
                <w:sz w:val="16"/>
                <w:szCs w:val="16"/>
                <w:lang w:eastAsia="en-AU"/>
              </w:rPr>
              <w:t>744</w:t>
            </w:r>
          </w:p>
        </w:tc>
        <w:tc>
          <w:tcPr>
            <w:tcW w:w="906" w:type="dxa"/>
            <w:tcBorders>
              <w:top w:val="nil"/>
              <w:left w:val="nil"/>
              <w:bottom w:val="single" w:sz="4" w:space="0" w:color="auto"/>
              <w:right w:val="single" w:sz="4" w:space="0" w:color="auto"/>
            </w:tcBorders>
            <w:shd w:val="clear" w:color="auto" w:fill="FFFFFF" w:themeFill="background1"/>
            <w:noWrap/>
            <w:vAlign w:val="center"/>
          </w:tcPr>
          <w:p w:rsidR="00D1430A" w:rsidRPr="00A06B57" w:rsidRDefault="00D1430A" w:rsidP="00FF718F">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9</w:t>
            </w:r>
            <w:r w:rsidR="00FF718F">
              <w:rPr>
                <w:rFonts w:eastAsia="Times New Roman" w:cs="Arial"/>
                <w:color w:val="000000"/>
                <w:sz w:val="16"/>
                <w:szCs w:val="16"/>
                <w:lang w:eastAsia="en-AU"/>
              </w:rPr>
              <w:t>,</w:t>
            </w:r>
            <w:r>
              <w:rPr>
                <w:rFonts w:eastAsia="Times New Roman" w:cs="Arial"/>
                <w:color w:val="000000"/>
                <w:sz w:val="16"/>
                <w:szCs w:val="16"/>
                <w:lang w:eastAsia="en-AU"/>
              </w:rPr>
              <w:t>272</w:t>
            </w:r>
          </w:p>
        </w:tc>
        <w:tc>
          <w:tcPr>
            <w:tcW w:w="901" w:type="dxa"/>
            <w:tcBorders>
              <w:top w:val="nil"/>
              <w:left w:val="nil"/>
              <w:bottom w:val="single" w:sz="4" w:space="0" w:color="auto"/>
              <w:right w:val="single" w:sz="4" w:space="0" w:color="auto"/>
            </w:tcBorders>
            <w:shd w:val="clear" w:color="auto" w:fill="FBD4B4" w:themeFill="accent6" w:themeFillTint="66"/>
            <w:noWrap/>
            <w:vAlign w:val="center"/>
          </w:tcPr>
          <w:p w:rsidR="00D1430A" w:rsidRPr="00A06B57" w:rsidRDefault="00D1430A" w:rsidP="00FF718F">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2</w:t>
            </w:r>
            <w:r w:rsidR="00FF718F">
              <w:rPr>
                <w:rFonts w:eastAsia="Times New Roman" w:cs="Arial"/>
                <w:color w:val="000000"/>
                <w:sz w:val="16"/>
                <w:szCs w:val="16"/>
                <w:lang w:eastAsia="en-AU"/>
              </w:rPr>
              <w:t>,</w:t>
            </w:r>
            <w:r>
              <w:rPr>
                <w:rFonts w:eastAsia="Times New Roman" w:cs="Arial"/>
                <w:color w:val="000000"/>
                <w:sz w:val="16"/>
                <w:szCs w:val="16"/>
                <w:lang w:eastAsia="en-AU"/>
              </w:rPr>
              <w:t>837</w:t>
            </w:r>
          </w:p>
        </w:tc>
        <w:tc>
          <w:tcPr>
            <w:tcW w:w="901" w:type="dxa"/>
            <w:tcBorders>
              <w:top w:val="nil"/>
              <w:left w:val="nil"/>
              <w:bottom w:val="single" w:sz="4" w:space="0" w:color="auto"/>
              <w:right w:val="single" w:sz="4" w:space="0" w:color="auto"/>
            </w:tcBorders>
            <w:shd w:val="clear" w:color="auto" w:fill="FFFFFF" w:themeFill="background1"/>
            <w:noWrap/>
            <w:vAlign w:val="center"/>
          </w:tcPr>
          <w:p w:rsidR="00D1430A" w:rsidRPr="00A06B57" w:rsidRDefault="00D1430A" w:rsidP="00FF718F">
            <w:pPr>
              <w:spacing w:after="0" w:line="240" w:lineRule="auto"/>
              <w:jc w:val="right"/>
              <w:rPr>
                <w:rFonts w:eastAsia="Times New Roman" w:cs="Arial"/>
                <w:color w:val="000000"/>
                <w:sz w:val="16"/>
                <w:szCs w:val="16"/>
                <w:lang w:eastAsia="en-AU"/>
              </w:rPr>
            </w:pPr>
            <w:r>
              <w:rPr>
                <w:rFonts w:eastAsia="Times New Roman" w:cs="Arial"/>
                <w:color w:val="000000"/>
                <w:sz w:val="16"/>
                <w:szCs w:val="16"/>
                <w:lang w:eastAsia="en-AU"/>
              </w:rPr>
              <w:t>15</w:t>
            </w:r>
            <w:r w:rsidR="00FF718F">
              <w:rPr>
                <w:rFonts w:eastAsia="Times New Roman" w:cs="Arial"/>
                <w:color w:val="000000"/>
                <w:sz w:val="16"/>
                <w:szCs w:val="16"/>
                <w:lang w:eastAsia="en-AU"/>
              </w:rPr>
              <w:t>,</w:t>
            </w:r>
            <w:r>
              <w:rPr>
                <w:rFonts w:eastAsia="Times New Roman" w:cs="Arial"/>
                <w:color w:val="000000"/>
                <w:sz w:val="16"/>
                <w:szCs w:val="16"/>
                <w:lang w:eastAsia="en-AU"/>
              </w:rPr>
              <w:t>067</w:t>
            </w:r>
          </w:p>
        </w:tc>
      </w:tr>
    </w:tbl>
    <w:p w:rsidR="00706550" w:rsidRPr="00706550" w:rsidRDefault="00C74DDF" w:rsidP="00706550">
      <w:pPr>
        <w:spacing w:before="120"/>
        <w:rPr>
          <w:sz w:val="16"/>
        </w:rPr>
      </w:pPr>
      <w:bookmarkStart w:id="25" w:name="_Ref347757475"/>
      <w:r>
        <w:rPr>
          <w:sz w:val="16"/>
        </w:rPr>
        <w:t>Legend</w:t>
      </w:r>
      <w:r w:rsidR="00706550" w:rsidRPr="00706550">
        <w:rPr>
          <w:sz w:val="16"/>
        </w:rPr>
        <w:t>:</w:t>
      </w:r>
    </w:p>
    <w:p w:rsidR="00706550" w:rsidRPr="00706550" w:rsidRDefault="00706550" w:rsidP="00706550">
      <w:pPr>
        <w:pStyle w:val="KMHBulletLevel1"/>
        <w:rPr>
          <w:sz w:val="16"/>
        </w:rPr>
      </w:pPr>
      <w:r w:rsidRPr="00706550">
        <w:rPr>
          <w:sz w:val="16"/>
          <w:shd w:val="clear" w:color="auto" w:fill="FFFF00"/>
        </w:rPr>
        <w:t>Yellow</w:t>
      </w:r>
      <w:r w:rsidRPr="00706550">
        <w:rPr>
          <w:sz w:val="16"/>
        </w:rPr>
        <w:t xml:space="preserve"> = </w:t>
      </w:r>
      <w:r w:rsidR="00425766">
        <w:rPr>
          <w:sz w:val="16"/>
        </w:rPr>
        <w:t xml:space="preserve">Known </w:t>
      </w:r>
      <w:r w:rsidRPr="00706550">
        <w:rPr>
          <w:sz w:val="16"/>
        </w:rPr>
        <w:t>gaps in tracked data that need to be filled by other estimation methods to allow worthwhile comparison across the waste code</w:t>
      </w:r>
    </w:p>
    <w:p w:rsidR="00706550" w:rsidRPr="00706550" w:rsidRDefault="00706550" w:rsidP="00706550">
      <w:pPr>
        <w:pStyle w:val="KMHBulletLevel1"/>
        <w:rPr>
          <w:sz w:val="16"/>
        </w:rPr>
      </w:pPr>
      <w:r w:rsidRPr="00706550">
        <w:rPr>
          <w:sz w:val="16"/>
          <w:shd w:val="clear" w:color="auto" w:fill="92D050"/>
        </w:rPr>
        <w:t>Green</w:t>
      </w:r>
      <w:r w:rsidRPr="00706550">
        <w:rPr>
          <w:sz w:val="16"/>
        </w:rPr>
        <w:t xml:space="preserve"> = Tonnages that appear unusually high when compared to other jurisdictions’ data</w:t>
      </w:r>
    </w:p>
    <w:p w:rsidR="00706550" w:rsidRPr="00706550" w:rsidRDefault="00706550" w:rsidP="00706550">
      <w:pPr>
        <w:pStyle w:val="KMHBulletLevel1"/>
        <w:rPr>
          <w:sz w:val="16"/>
        </w:rPr>
      </w:pPr>
      <w:r w:rsidRPr="00706550">
        <w:rPr>
          <w:sz w:val="16"/>
          <w:shd w:val="clear" w:color="auto" w:fill="FBD4B4" w:themeFill="accent6" w:themeFillTint="66"/>
        </w:rPr>
        <w:t>Orange</w:t>
      </w:r>
      <w:r w:rsidRPr="00706550">
        <w:rPr>
          <w:sz w:val="16"/>
        </w:rPr>
        <w:t xml:space="preserve"> = Tonnages that appear unusually low when compared to other jurisdictions’ data</w:t>
      </w:r>
    </w:p>
    <w:p w:rsidR="00B86B40" w:rsidRPr="007D7184" w:rsidRDefault="007D7184" w:rsidP="007D7184">
      <w:pPr>
        <w:spacing w:after="0"/>
        <w:jc w:val="left"/>
        <w:rPr>
          <w:rFonts w:cs="Arial"/>
          <w:b/>
          <w:color w:val="1D5C42"/>
          <w:szCs w:val="24"/>
        </w:rPr>
      </w:pPr>
      <w:r w:rsidRPr="007D7184">
        <w:rPr>
          <w:sz w:val="16"/>
        </w:rPr>
        <w:t>-</w:t>
      </w:r>
      <w:r w:rsidRPr="007D7184">
        <w:rPr>
          <w:sz w:val="16"/>
        </w:rPr>
        <w:tab/>
        <w:t>Not reported</w:t>
      </w:r>
      <w:r w:rsidR="0030267E">
        <w:rPr>
          <w:sz w:val="16"/>
        </w:rPr>
        <w:t>.</w:t>
      </w:r>
      <w:r w:rsidR="00B86B40" w:rsidRPr="007D7184">
        <w:rPr>
          <w:sz w:val="16"/>
        </w:rPr>
        <w:br w:type="page"/>
      </w:r>
    </w:p>
    <w:p w:rsidR="004270DC" w:rsidRDefault="004270DC" w:rsidP="004270DC">
      <w:pPr>
        <w:pStyle w:val="KMHNumberheading20"/>
      </w:pPr>
      <w:bookmarkStart w:id="26" w:name="_Toc390771596"/>
      <w:r>
        <w:lastRenderedPageBreak/>
        <w:t>High</w:t>
      </w:r>
      <w:r w:rsidR="0030267E">
        <w:t>-</w:t>
      </w:r>
      <w:r w:rsidR="00174C60">
        <w:t>level o</w:t>
      </w:r>
      <w:r>
        <w:t>bservations</w:t>
      </w:r>
      <w:bookmarkEnd w:id="25"/>
      <w:bookmarkEnd w:id="26"/>
    </w:p>
    <w:p w:rsidR="00EB468B" w:rsidRDefault="00EB468B" w:rsidP="00EB468B">
      <w:r>
        <w:t>The following high</w:t>
      </w:r>
      <w:r w:rsidR="0030267E">
        <w:t>-</w:t>
      </w:r>
      <w:r>
        <w:t>level observations focus on trends, inconsistencies</w:t>
      </w:r>
      <w:r w:rsidR="00964F2F">
        <w:t xml:space="preserve"> and</w:t>
      </w:r>
      <w:r>
        <w:t xml:space="preserve"> data gaps that are applicable across a number of jurisdictions and/or waste categories. More detailed observations referencing specific waste types </w:t>
      </w:r>
      <w:r w:rsidR="00960361">
        <w:t>and</w:t>
      </w:r>
      <w:r>
        <w:t xml:space="preserve"> individual points of interest follow in Section </w:t>
      </w:r>
      <w:r w:rsidR="00C03A4D">
        <w:fldChar w:fldCharType="begin"/>
      </w:r>
      <w:r>
        <w:instrText xml:space="preserve"> REF _Ref347757569 \r \h </w:instrText>
      </w:r>
      <w:r w:rsidR="00C03A4D">
        <w:fldChar w:fldCharType="separate"/>
      </w:r>
      <w:r w:rsidR="004B2C72">
        <w:t>3.2</w:t>
      </w:r>
      <w:r w:rsidR="00C03A4D">
        <w:fldChar w:fldCharType="end"/>
      </w:r>
      <w:r w:rsidR="00595A3F">
        <w:t>.</w:t>
      </w:r>
    </w:p>
    <w:p w:rsidR="00595A3F" w:rsidRDefault="00A21F18" w:rsidP="00EB468B">
      <w:r>
        <w:t>Once identified, these observations were then sorted into three distinct types of issue</w:t>
      </w:r>
      <w:r w:rsidR="00595A3F">
        <w:t>:</w:t>
      </w:r>
    </w:p>
    <w:p w:rsidR="00595A3F" w:rsidRDefault="00595A3F" w:rsidP="00595A3F">
      <w:pPr>
        <w:pStyle w:val="ListParagraph"/>
        <w:numPr>
          <w:ilvl w:val="0"/>
          <w:numId w:val="24"/>
        </w:numPr>
      </w:pPr>
      <w:r>
        <w:t>Data Quality (Q)</w:t>
      </w:r>
    </w:p>
    <w:p w:rsidR="00595A3F" w:rsidRDefault="00595A3F" w:rsidP="00595A3F">
      <w:pPr>
        <w:pStyle w:val="ListParagraph"/>
        <w:numPr>
          <w:ilvl w:val="0"/>
          <w:numId w:val="24"/>
        </w:numPr>
      </w:pPr>
      <w:r>
        <w:t>Data Interpretation (I)</w:t>
      </w:r>
    </w:p>
    <w:p w:rsidR="00595A3F" w:rsidRDefault="00595A3F" w:rsidP="00595A3F">
      <w:pPr>
        <w:pStyle w:val="ListParagraph"/>
        <w:numPr>
          <w:ilvl w:val="0"/>
          <w:numId w:val="24"/>
        </w:numPr>
      </w:pPr>
      <w:r>
        <w:t>Policy (P) Implications.</w:t>
      </w:r>
    </w:p>
    <w:p w:rsidR="004270DC" w:rsidRDefault="00174C60" w:rsidP="004270DC">
      <w:pPr>
        <w:pStyle w:val="KMHNumberHeading3"/>
      </w:pPr>
      <w:r>
        <w:t>Data quality (Q) i</w:t>
      </w:r>
      <w:r w:rsidR="004270DC">
        <w:t xml:space="preserve">ssues </w:t>
      </w:r>
    </w:p>
    <w:p w:rsidR="004270DC" w:rsidRPr="001D62E9" w:rsidRDefault="004270DC" w:rsidP="004270DC">
      <w:pPr>
        <w:rPr>
          <w:b/>
        </w:rPr>
      </w:pPr>
      <w:r w:rsidRPr="001D62E9">
        <w:rPr>
          <w:b/>
        </w:rPr>
        <w:t>Q1. Waste classification inconsistencies</w:t>
      </w:r>
    </w:p>
    <w:p w:rsidR="00695956" w:rsidRDefault="00960361" w:rsidP="004270DC">
      <w:r>
        <w:t xml:space="preserve">For the most part the </w:t>
      </w:r>
      <w:r w:rsidR="0030267E">
        <w:t>s</w:t>
      </w:r>
      <w:r>
        <w:t xml:space="preserve">tates and </w:t>
      </w:r>
      <w:r w:rsidR="0030267E">
        <w:t>t</w:t>
      </w:r>
      <w:r>
        <w:t>erritories use the NEPM waste categorisation codes and descriptions</w:t>
      </w:r>
      <w:r w:rsidR="0030267E">
        <w:t>.  T</w:t>
      </w:r>
      <w:r>
        <w:t>here are</w:t>
      </w:r>
      <w:r w:rsidR="0030267E">
        <w:t>, howeve</w:t>
      </w:r>
      <w:r w:rsidR="00984564">
        <w:t>r</w:t>
      </w:r>
      <w:r w:rsidR="0030267E">
        <w:t>,</w:t>
      </w:r>
      <w:r>
        <w:t xml:space="preserve"> several instances where the waste descriptions vary from the NEPM description and this can make it difficult to match corresponding waste types across jurisdictions. </w:t>
      </w:r>
    </w:p>
    <w:p w:rsidR="00582B80" w:rsidRDefault="00C03ACD" w:rsidP="004270DC">
      <w:r w:rsidRPr="00C03ACD">
        <w:t>Western Australia, for example,</w:t>
      </w:r>
      <w:r>
        <w:t xml:space="preserve"> uses its own waste classification system which differs from the NEPM </w:t>
      </w:r>
      <w:r w:rsidR="00695956">
        <w:t>waste category classifications</w:t>
      </w:r>
      <w:r w:rsidR="008B67C3">
        <w:t>, whereas Queensland appears to have the closest alignment with NEPM categories</w:t>
      </w:r>
      <w:r w:rsidR="00695956">
        <w:t>.</w:t>
      </w:r>
      <w:r w:rsidR="008B67C3">
        <w:t xml:space="preserve">  Other states such as Victoria make isolated departures in the way </w:t>
      </w:r>
      <w:r w:rsidR="0030267E">
        <w:t xml:space="preserve">that </w:t>
      </w:r>
      <w:r w:rsidR="00692B6D">
        <w:t>hazardous waste</w:t>
      </w:r>
      <w:r w:rsidR="0030267E">
        <w:t xml:space="preserve"> is classified</w:t>
      </w:r>
      <w:r w:rsidR="00692B6D">
        <w:t xml:space="preserve">, based on historical reasons. </w:t>
      </w:r>
    </w:p>
    <w:p w:rsidR="004270DC" w:rsidRPr="001D62E9" w:rsidRDefault="004270DC" w:rsidP="004270DC">
      <w:pPr>
        <w:rPr>
          <w:b/>
        </w:rPr>
      </w:pPr>
      <w:r w:rsidRPr="001D62E9">
        <w:rPr>
          <w:b/>
        </w:rPr>
        <w:t>Q2. Waste tracking inconsistencies</w:t>
      </w:r>
    </w:p>
    <w:p w:rsidR="00695956" w:rsidRDefault="001F4D34" w:rsidP="004270DC">
      <w:r>
        <w:t xml:space="preserve">In addition to the classification differences in Q1, the </w:t>
      </w:r>
      <w:r w:rsidR="008B67C3">
        <w:t>differen</w:t>
      </w:r>
      <w:r>
        <w:t>t</w:t>
      </w:r>
      <w:r w:rsidR="00692B6D">
        <w:t xml:space="preserve"> application of </w:t>
      </w:r>
      <w:r w:rsidR="008B67C3">
        <w:t xml:space="preserve">tracking systems for hazardous waste </w:t>
      </w:r>
      <w:r>
        <w:t>transport from one jurisdiction to the next also leads to major gaps in data</w:t>
      </w:r>
      <w:r w:rsidR="00695956">
        <w:t>.  This may be because the particular waste is not actually classified as ha</w:t>
      </w:r>
      <w:r w:rsidR="008B67C3">
        <w:t>zardous in that jurisdiction, or</w:t>
      </w:r>
      <w:r w:rsidR="00695956">
        <w:t xml:space="preserve"> it may be that historical or other management arrangements apply, which make official tracking unnecessary.</w:t>
      </w:r>
      <w:r w:rsidR="008B67C3">
        <w:t xml:space="preserve">  Lastly</w:t>
      </w:r>
      <w:r w:rsidR="004210B5">
        <w:t>,</w:t>
      </w:r>
      <w:r w:rsidR="008B67C3">
        <w:t xml:space="preserve"> some jurisdictions do not have a hazardous waste tracking system at all, outside of NEPM requirements across borders.</w:t>
      </w:r>
    </w:p>
    <w:p w:rsidR="001A05F6" w:rsidRDefault="00582B80" w:rsidP="004270DC">
      <w:r>
        <w:t>The data shows</w:t>
      </w:r>
      <w:r w:rsidRPr="00582B80">
        <w:t xml:space="preserve"> several </w:t>
      </w:r>
      <w:r>
        <w:t>clear inconsistencies with regard to the wastes that are tracked by each jurisdiction</w:t>
      </w:r>
      <w:r w:rsidR="001A05F6">
        <w:t>:</w:t>
      </w:r>
    </w:p>
    <w:p w:rsidR="001A05F6" w:rsidRDefault="001A05F6" w:rsidP="00BF44E0">
      <w:pPr>
        <w:pStyle w:val="ListParagraph"/>
        <w:numPr>
          <w:ilvl w:val="0"/>
          <w:numId w:val="36"/>
        </w:numPr>
        <w:ind w:left="771" w:hanging="357"/>
      </w:pPr>
      <w:r>
        <w:t>T</w:t>
      </w:r>
      <w:r w:rsidR="004210B5">
        <w:t xml:space="preserve">he </w:t>
      </w:r>
      <w:r w:rsidR="00566EBB">
        <w:t xml:space="preserve">Australian Capital Territory, Northern Territory </w:t>
      </w:r>
      <w:r w:rsidR="008B67C3">
        <w:t>and Tasmania do not have a formal intrastate tracking system</w:t>
      </w:r>
      <w:r>
        <w:t>.  T</w:t>
      </w:r>
      <w:r w:rsidR="00DF6190">
        <w:t xml:space="preserve">hey only record interstate data for controlled (hazardous) wastes in/out according to the NEPM.  </w:t>
      </w:r>
      <w:r w:rsidR="00460043">
        <w:t>T</w:t>
      </w:r>
      <w:r w:rsidR="00DF6190">
        <w:t>hese jurisdictions</w:t>
      </w:r>
      <w:r>
        <w:t xml:space="preserve"> </w:t>
      </w:r>
      <w:r w:rsidR="00460043">
        <w:t xml:space="preserve">therefore </w:t>
      </w:r>
      <w:r>
        <w:t>underestimate hazardous waste production, because it can be assumed that some hazardous wastes will be dealt with within borders but are not captured by any form of tracking</w:t>
      </w:r>
      <w:r w:rsidR="00460043">
        <w:t>.</w:t>
      </w:r>
    </w:p>
    <w:p w:rsidR="001A05F6" w:rsidRDefault="001A05F6" w:rsidP="00BF44E0">
      <w:pPr>
        <w:pStyle w:val="ListParagraph"/>
        <w:numPr>
          <w:ilvl w:val="0"/>
          <w:numId w:val="36"/>
        </w:numPr>
        <w:ind w:left="771" w:hanging="357"/>
      </w:pPr>
      <w:r w:rsidRPr="001A05F6">
        <w:t>New South Wales is a good example of a jurisdiction that, in the main, tracks hazardous waste in line with the NEPM, but does not include significant waste streams under its tracking system</w:t>
      </w:r>
      <w:r w:rsidR="00460043">
        <w:t>. This is</w:t>
      </w:r>
      <w:r w:rsidRPr="001A05F6">
        <w:t xml:space="preserve"> due to a combination of historical reasons and specific waste exemptions from tracking, the latter being used as a regulatory incentive mechanism to encourage reuse and recycling options.  The</w:t>
      </w:r>
      <w:r>
        <w:t>se</w:t>
      </w:r>
      <w:r w:rsidRPr="001A05F6">
        <w:t xml:space="preserve"> major inconsistencies </w:t>
      </w:r>
      <w:r w:rsidR="00111D94">
        <w:t>and/</w:t>
      </w:r>
      <w:r w:rsidRPr="001A05F6">
        <w:t xml:space="preserve">or gaps are dealt with specifically in section </w:t>
      </w:r>
      <w:r>
        <w:t>3</w:t>
      </w:r>
      <w:r w:rsidR="00EE1719">
        <w:t>.1.2</w:t>
      </w:r>
      <w:r w:rsidR="000304AC">
        <w:t>.</w:t>
      </w:r>
    </w:p>
    <w:p w:rsidR="00D5777F" w:rsidRDefault="00EE1719" w:rsidP="00BF44E0">
      <w:pPr>
        <w:pStyle w:val="ListParagraph"/>
        <w:numPr>
          <w:ilvl w:val="0"/>
          <w:numId w:val="36"/>
        </w:numPr>
      </w:pPr>
      <w:r>
        <w:t>Queensland does track most of the NEPM waste codes (as described in Q1) but has both a very large inclusion (</w:t>
      </w:r>
      <w:r w:rsidRPr="00A45CF4">
        <w:t>sewage sludge and residues including nightsoil and se</w:t>
      </w:r>
      <w:r w:rsidRPr="00EE1719">
        <w:t>ptic tank sludge</w:t>
      </w:r>
      <w:r>
        <w:t xml:space="preserve">) and exclusion (contaminated soil), relative to many other </w:t>
      </w:r>
      <w:r w:rsidR="00111D94">
        <w:t>s</w:t>
      </w:r>
      <w:r>
        <w:t>tates.  The consequences of these inconsistencies are described in sections 3.1.2 I2 and 3.1.2 I1 respectively)</w:t>
      </w:r>
      <w:r w:rsidR="00111D94">
        <w:t>.</w:t>
      </w:r>
    </w:p>
    <w:p w:rsidR="00DF6190" w:rsidRDefault="00D5777F" w:rsidP="00BF44E0">
      <w:pPr>
        <w:pStyle w:val="ListParagraph"/>
        <w:numPr>
          <w:ilvl w:val="0"/>
          <w:numId w:val="36"/>
        </w:numPr>
      </w:pPr>
      <w:r>
        <w:t>South Australia, Western Australia and to a lesser extent Victoria</w:t>
      </w:r>
      <w:r w:rsidR="00111D94">
        <w:t>,</w:t>
      </w:r>
      <w:r>
        <w:t xml:space="preserve"> also omit key wastes that are included in the NEPM from their respective </w:t>
      </w:r>
      <w:r w:rsidR="00111D94">
        <w:t>s</w:t>
      </w:r>
      <w:r>
        <w:t>tate tracking systems.</w:t>
      </w:r>
    </w:p>
    <w:p w:rsidR="00DF6190" w:rsidRDefault="00C03A4D">
      <w:r>
        <w:lastRenderedPageBreak/>
        <w:fldChar w:fldCharType="begin"/>
      </w:r>
      <w:r w:rsidR="00A45CF4">
        <w:instrText xml:space="preserve"> REF _Ref347837072 \h </w:instrText>
      </w:r>
      <w:r>
        <w:fldChar w:fldCharType="separate"/>
      </w:r>
      <w:r w:rsidR="004B2C72">
        <w:t xml:space="preserve">Figure </w:t>
      </w:r>
      <w:r w:rsidR="004B2C72">
        <w:rPr>
          <w:noProof/>
        </w:rPr>
        <w:t>1</w:t>
      </w:r>
      <w:r>
        <w:fldChar w:fldCharType="end"/>
      </w:r>
      <w:r w:rsidR="00D5777F">
        <w:t xml:space="preserve"> p</w:t>
      </w:r>
      <w:r w:rsidR="00B62102">
        <w:t>lot</w:t>
      </w:r>
      <w:r w:rsidR="00D5777F">
        <w:t xml:space="preserve">s all jurisdictions’ available tracking system </w:t>
      </w:r>
      <w:r w:rsidR="00B62102">
        <w:t>data</w:t>
      </w:r>
      <w:r w:rsidR="00A45CF4">
        <w:t xml:space="preserve">, noting that the inconsistencies above have the impact of </w:t>
      </w:r>
      <w:r w:rsidR="00B62102">
        <w:t>misrepresent</w:t>
      </w:r>
      <w:r w:rsidR="00A45CF4">
        <w:t xml:space="preserve">ing </w:t>
      </w:r>
      <w:r w:rsidR="00B62102">
        <w:t>the actual waste generated in each jurisdiction</w:t>
      </w:r>
      <w:r w:rsidR="00A45CF4">
        <w:t>, which has particular consequences when comparing data between jurisdictions</w:t>
      </w:r>
      <w:r w:rsidR="00B62102">
        <w:t>.</w:t>
      </w:r>
      <w:r w:rsidR="00984564">
        <w:t xml:space="preserve"> </w:t>
      </w:r>
    </w:p>
    <w:p w:rsidR="006A203B" w:rsidRDefault="006A203B" w:rsidP="004270DC">
      <w:pPr>
        <w:rPr>
          <w:u w:val="single"/>
        </w:rPr>
      </w:pPr>
      <w:r w:rsidRPr="006A203B">
        <w:rPr>
          <w:noProof/>
          <w:lang w:eastAsia="en-AU"/>
        </w:rPr>
        <w:drawing>
          <wp:inline distT="0" distB="0" distL="0" distR="0">
            <wp:extent cx="5860112" cy="2172088"/>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0112" cy="2172088"/>
                    </a:xfrm>
                    <a:prstGeom prst="rect">
                      <a:avLst/>
                    </a:prstGeom>
                    <a:noFill/>
                  </pic:spPr>
                </pic:pic>
              </a:graphicData>
            </a:graphic>
          </wp:inline>
        </w:drawing>
      </w:r>
    </w:p>
    <w:p w:rsidR="006A203B" w:rsidRDefault="006A203B" w:rsidP="006A203B">
      <w:pPr>
        <w:pStyle w:val="Caption"/>
        <w:rPr>
          <w:u w:val="single"/>
        </w:rPr>
      </w:pPr>
      <w:bookmarkStart w:id="27" w:name="_Ref347837072"/>
      <w:bookmarkStart w:id="28" w:name="_Toc350441368"/>
      <w:r>
        <w:t xml:space="preserve">Figure </w:t>
      </w:r>
      <w:r w:rsidR="00C03A4D">
        <w:fldChar w:fldCharType="begin"/>
      </w:r>
      <w:r w:rsidR="00945DDB">
        <w:instrText xml:space="preserve"> SEQ Figure \* ARABIC </w:instrText>
      </w:r>
      <w:r w:rsidR="00C03A4D">
        <w:fldChar w:fldCharType="separate"/>
      </w:r>
      <w:r w:rsidR="004B2C72">
        <w:rPr>
          <w:noProof/>
        </w:rPr>
        <w:t>1</w:t>
      </w:r>
      <w:r w:rsidR="00C03A4D">
        <w:rPr>
          <w:noProof/>
        </w:rPr>
        <w:fldChar w:fldCharType="end"/>
      </w:r>
      <w:bookmarkEnd w:id="27"/>
      <w:r>
        <w:t xml:space="preserve"> Tracked hazardous waste </w:t>
      </w:r>
      <w:r w:rsidR="00021847">
        <w:t xml:space="preserve">generated by </w:t>
      </w:r>
      <w:r>
        <w:t>jurisdiction</w:t>
      </w:r>
      <w:r w:rsidR="00566EBB">
        <w:t xml:space="preserve">s in </w:t>
      </w:r>
      <w:bookmarkEnd w:id="28"/>
      <w:r w:rsidR="00460043">
        <w:t>2010–11</w:t>
      </w:r>
    </w:p>
    <w:p w:rsidR="004270DC" w:rsidRPr="001D62E9" w:rsidRDefault="00174C60" w:rsidP="004270DC">
      <w:pPr>
        <w:rPr>
          <w:b/>
        </w:rPr>
      </w:pPr>
      <w:r>
        <w:rPr>
          <w:b/>
        </w:rPr>
        <w:t>Q3. Data g</w:t>
      </w:r>
      <w:r w:rsidR="004270DC" w:rsidRPr="001D62E9">
        <w:rPr>
          <w:b/>
        </w:rPr>
        <w:t>aps</w:t>
      </w:r>
    </w:p>
    <w:p w:rsidR="004B2E3D" w:rsidRDefault="00760316" w:rsidP="004270DC">
      <w:r>
        <w:t>As a result of the inconsistent approaches outlined in Q1 and Q2, s</w:t>
      </w:r>
      <w:r w:rsidR="004B2E3D" w:rsidRPr="004B2E3D">
        <w:t>ignific</w:t>
      </w:r>
      <w:r w:rsidR="004B2E3D">
        <w:t xml:space="preserve">ant data gaps </w:t>
      </w:r>
      <w:r w:rsidR="00566EBB">
        <w:t>exist</w:t>
      </w:r>
      <w:r>
        <w:t xml:space="preserve"> </w:t>
      </w:r>
      <w:r w:rsidR="004B2E3D">
        <w:t xml:space="preserve">within </w:t>
      </w:r>
      <w:r w:rsidR="000010EE">
        <w:t xml:space="preserve">jurisdictional </w:t>
      </w:r>
      <w:r w:rsidR="004B2E3D">
        <w:t>waste tracking systems, particularly for disposal and treatment of waste. The following key data gaps were observed:</w:t>
      </w:r>
    </w:p>
    <w:p w:rsidR="005A209B" w:rsidRDefault="008C72D2" w:rsidP="004B2E3D">
      <w:pPr>
        <w:pStyle w:val="ListParagraph"/>
        <w:numPr>
          <w:ilvl w:val="0"/>
          <w:numId w:val="21"/>
        </w:numPr>
      </w:pPr>
      <w:r>
        <w:t>A</w:t>
      </w:r>
      <w:r w:rsidR="00760316">
        <w:t>s</w:t>
      </w:r>
      <w:r>
        <w:t xml:space="preserve"> discussed above, </w:t>
      </w:r>
      <w:r w:rsidR="000010EE">
        <w:t xml:space="preserve">the </w:t>
      </w:r>
      <w:r w:rsidR="009977A4">
        <w:t>Australian Capital Territory</w:t>
      </w:r>
      <w:r w:rsidR="00566EBB">
        <w:t xml:space="preserve">, Northern Territory </w:t>
      </w:r>
      <w:r w:rsidR="005A209B">
        <w:t>and Tasmania do not track intrastate hazardous waste movements therefore a significant lack of data exists for these jurisdictions.</w:t>
      </w:r>
    </w:p>
    <w:p w:rsidR="004B2E3D" w:rsidRDefault="004B2E3D" w:rsidP="004B2E3D">
      <w:pPr>
        <w:pStyle w:val="ListParagraph"/>
        <w:numPr>
          <w:ilvl w:val="0"/>
          <w:numId w:val="21"/>
        </w:numPr>
      </w:pPr>
      <w:r>
        <w:t>S</w:t>
      </w:r>
      <w:r w:rsidR="00566EBB">
        <w:t xml:space="preserve">outh </w:t>
      </w:r>
      <w:r>
        <w:t>A</w:t>
      </w:r>
      <w:r w:rsidR="00566EBB">
        <w:t>ustralia</w:t>
      </w:r>
      <w:r w:rsidR="005A209B">
        <w:t xml:space="preserve"> </w:t>
      </w:r>
      <w:r>
        <w:t xml:space="preserve">is not able to report the disposal or treatment route for its hazardous waste. It is not entirely clear why this is the </w:t>
      </w:r>
      <w:r w:rsidR="009977A4">
        <w:t>case</w:t>
      </w:r>
      <w:r w:rsidR="000010EE">
        <w:t>, although</w:t>
      </w:r>
      <w:r>
        <w:t xml:space="preserve"> discussi</w:t>
      </w:r>
      <w:r w:rsidR="00760316">
        <w:t xml:space="preserve">on with </w:t>
      </w:r>
      <w:r w:rsidR="000010EE">
        <w:t xml:space="preserve">Environment Protection Authority </w:t>
      </w:r>
      <w:r w:rsidR="00760316">
        <w:t>S</w:t>
      </w:r>
      <w:r w:rsidR="00566EBB">
        <w:t xml:space="preserve">outh </w:t>
      </w:r>
      <w:r w:rsidR="00760316">
        <w:t>A</w:t>
      </w:r>
      <w:r w:rsidR="00566EBB">
        <w:t>ustralia</w:t>
      </w:r>
      <w:r w:rsidR="000010EE">
        <w:t xml:space="preserve"> </w:t>
      </w:r>
      <w:r w:rsidR="00760316">
        <w:t>indicates that</w:t>
      </w:r>
      <w:r>
        <w:t xml:space="preserve"> it </w:t>
      </w:r>
      <w:r w:rsidR="00760316">
        <w:t xml:space="preserve">is </w:t>
      </w:r>
      <w:r>
        <w:t xml:space="preserve">a result of </w:t>
      </w:r>
      <w:r w:rsidR="000010EE">
        <w:t xml:space="preserve">disparity in the recording systems employed by </w:t>
      </w:r>
      <w:r>
        <w:t>individual depots</w:t>
      </w:r>
      <w:r w:rsidR="000010EE">
        <w:t xml:space="preserve">. </w:t>
      </w:r>
      <w:r>
        <w:t xml:space="preserve"> </w:t>
      </w:r>
    </w:p>
    <w:p w:rsidR="004B2E3D" w:rsidRDefault="00566EBB" w:rsidP="00BF0949">
      <w:pPr>
        <w:pStyle w:val="ListParagraph"/>
        <w:numPr>
          <w:ilvl w:val="0"/>
          <w:numId w:val="21"/>
        </w:numPr>
      </w:pPr>
      <w:r>
        <w:t>South Australia</w:t>
      </w:r>
      <w:r w:rsidR="004B2E3D">
        <w:t xml:space="preserve"> cannot differentiate between waste </w:t>
      </w:r>
      <w:r w:rsidR="004B2E3D" w:rsidRPr="004B2E3D">
        <w:t>movements with</w:t>
      </w:r>
      <w:r w:rsidR="00BF0949">
        <w:t>in</w:t>
      </w:r>
      <w:r w:rsidR="004B2E3D" w:rsidRPr="004B2E3D">
        <w:t xml:space="preserve"> the state and those exported as </w:t>
      </w:r>
      <w:r w:rsidR="004B2E3D">
        <w:t xml:space="preserve">both sets of </w:t>
      </w:r>
      <w:r w:rsidR="004B2E3D" w:rsidRPr="004B2E3D">
        <w:t xml:space="preserve">data </w:t>
      </w:r>
      <w:r w:rsidR="004B2E3D">
        <w:t>use</w:t>
      </w:r>
      <w:r w:rsidR="004B2E3D" w:rsidRPr="004B2E3D">
        <w:t xml:space="preserve"> certificate numbers </w:t>
      </w:r>
      <w:r w:rsidR="004B2E3D">
        <w:t>with the same prefix.</w:t>
      </w:r>
    </w:p>
    <w:p w:rsidR="00760316" w:rsidRDefault="00760316" w:rsidP="00BF0949">
      <w:pPr>
        <w:pStyle w:val="ListParagraph"/>
        <w:numPr>
          <w:ilvl w:val="0"/>
          <w:numId w:val="21"/>
        </w:numPr>
      </w:pPr>
      <w:r>
        <w:t xml:space="preserve">Like </w:t>
      </w:r>
      <w:r w:rsidR="00566EBB">
        <w:t>South Australia</w:t>
      </w:r>
      <w:r>
        <w:t xml:space="preserve">, </w:t>
      </w:r>
      <w:r w:rsidR="00566EBB">
        <w:t>Western Australia</w:t>
      </w:r>
      <w:r>
        <w:t xml:space="preserve"> does not report any treatment/disposal information</w:t>
      </w:r>
      <w:r w:rsidR="00111D94">
        <w:t>.</w:t>
      </w:r>
      <w:r>
        <w:t xml:space="preserve">  </w:t>
      </w:r>
    </w:p>
    <w:p w:rsidR="001C6BDE" w:rsidRDefault="00760316" w:rsidP="00BF0949">
      <w:pPr>
        <w:pStyle w:val="ListParagraph"/>
        <w:numPr>
          <w:ilvl w:val="0"/>
          <w:numId w:val="21"/>
        </w:numPr>
      </w:pPr>
      <w:r>
        <w:t>Key waste streams, such as contaminated soil, asbestos, sewage sludge</w:t>
      </w:r>
      <w:r w:rsidR="001C6BDE">
        <w:t>/biosolids</w:t>
      </w:r>
      <w:r>
        <w:t>, septic tank pump</w:t>
      </w:r>
      <w:r w:rsidR="000010EE">
        <w:t>-</w:t>
      </w:r>
      <w:r>
        <w:t>out liquid</w:t>
      </w:r>
      <w:r w:rsidR="001C6BDE">
        <w:t xml:space="preserve"> and grease trap waste are not captured in some states due to classification and/or tracking differences.</w:t>
      </w:r>
    </w:p>
    <w:p w:rsidR="00760316" w:rsidRDefault="001C6BDE" w:rsidP="00BF0949">
      <w:pPr>
        <w:pStyle w:val="ListParagraph"/>
        <w:numPr>
          <w:ilvl w:val="0"/>
          <w:numId w:val="21"/>
        </w:numPr>
      </w:pPr>
      <w:r>
        <w:t xml:space="preserve">Waste oils, batteries, clinical and other wastes are subject to exemption from tracking in </w:t>
      </w:r>
      <w:r w:rsidR="00566EBB">
        <w:t>New South Wales</w:t>
      </w:r>
      <w:r>
        <w:t xml:space="preserve"> and therefore absent from </w:t>
      </w:r>
      <w:r w:rsidR="00586B37">
        <w:t>New South Wales</w:t>
      </w:r>
      <w:r>
        <w:t xml:space="preserve"> data.</w:t>
      </w:r>
    </w:p>
    <w:p w:rsidR="004270DC" w:rsidRPr="001D62E9" w:rsidRDefault="004270DC" w:rsidP="004270DC">
      <w:pPr>
        <w:rPr>
          <w:b/>
        </w:rPr>
      </w:pPr>
      <w:r w:rsidRPr="001D62E9">
        <w:rPr>
          <w:b/>
        </w:rPr>
        <w:t>Q4. Double counting</w:t>
      </w:r>
      <w:r w:rsidR="00BB7AFE">
        <w:rPr>
          <w:b/>
        </w:rPr>
        <w:t xml:space="preserve"> in treatment and disposal processes</w:t>
      </w:r>
    </w:p>
    <w:p w:rsidR="00C70FF1" w:rsidRDefault="00C70FF1" w:rsidP="004270DC">
      <w:r>
        <w:t>There is a risk of double counting of wastes where either:</w:t>
      </w:r>
    </w:p>
    <w:p w:rsidR="001C6BDE" w:rsidRDefault="00C70FF1" w:rsidP="00E40E38">
      <w:pPr>
        <w:pStyle w:val="KMHBulletLevel1"/>
      </w:pPr>
      <w:r>
        <w:t>The waste category includes two forms of the same waste material</w:t>
      </w:r>
      <w:r w:rsidR="00E40E38">
        <w:t xml:space="preserve"> from different stages of a treatment process</w:t>
      </w:r>
      <w:r w:rsidR="001C6BDE">
        <w:t xml:space="preserve">, </w:t>
      </w:r>
      <w:r w:rsidR="00696ADB">
        <w:t>for example:</w:t>
      </w:r>
    </w:p>
    <w:p w:rsidR="00C70FF1" w:rsidRDefault="00696ADB" w:rsidP="001C6BDE">
      <w:pPr>
        <w:pStyle w:val="KMHBulletLevel1"/>
        <w:numPr>
          <w:ilvl w:val="1"/>
          <w:numId w:val="11"/>
        </w:numPr>
      </w:pPr>
      <w:r>
        <w:t>s</w:t>
      </w:r>
      <w:r w:rsidR="00E40E38">
        <w:t>ewage sludge and residues (K130) which</w:t>
      </w:r>
      <w:r>
        <w:t>,</w:t>
      </w:r>
      <w:r w:rsidR="00E40E38">
        <w:t xml:space="preserve"> </w:t>
      </w:r>
      <w:r w:rsidR="001C6BDE">
        <w:t>by definition</w:t>
      </w:r>
      <w:r>
        <w:t>,</w:t>
      </w:r>
      <w:r w:rsidR="001C6BDE">
        <w:t xml:space="preserve"> could include</w:t>
      </w:r>
      <w:r w:rsidR="00E40E38">
        <w:t xml:space="preserve"> both septic tank </w:t>
      </w:r>
      <w:r w:rsidR="001C6BDE">
        <w:t>pump</w:t>
      </w:r>
      <w:r>
        <w:t>-</w:t>
      </w:r>
      <w:r w:rsidR="001C6BDE">
        <w:t>out liquid taken by truck before the wastewater treatment process</w:t>
      </w:r>
      <w:r w:rsidR="00E40E38">
        <w:t xml:space="preserve"> and biosolids </w:t>
      </w:r>
      <w:r w:rsidR="001C6BDE">
        <w:t xml:space="preserve">taken as an output </w:t>
      </w:r>
      <w:r w:rsidR="00E40E38">
        <w:t>from sewage treatment</w:t>
      </w:r>
      <w:r>
        <w:t xml:space="preserve"> </w:t>
      </w:r>
    </w:p>
    <w:p w:rsidR="00696ADB" w:rsidRDefault="00696ADB" w:rsidP="00696ADB">
      <w:pPr>
        <w:pStyle w:val="KMHBulletLevel1"/>
        <w:numPr>
          <w:ilvl w:val="0"/>
          <w:numId w:val="0"/>
        </w:numPr>
        <w:ind w:left="1080"/>
      </w:pPr>
      <w:proofErr w:type="gramStart"/>
      <w:r>
        <w:t>or</w:t>
      </w:r>
      <w:proofErr w:type="gramEnd"/>
    </w:p>
    <w:p w:rsidR="001C6BDE" w:rsidRDefault="00696ADB" w:rsidP="001C6BDE">
      <w:pPr>
        <w:pStyle w:val="KMHBulletLevel1"/>
        <w:numPr>
          <w:ilvl w:val="1"/>
          <w:numId w:val="11"/>
        </w:numPr>
      </w:pPr>
      <w:proofErr w:type="gramStart"/>
      <w:r>
        <w:t>t</w:t>
      </w:r>
      <w:r w:rsidR="001C6BDE">
        <w:t>ransport</w:t>
      </w:r>
      <w:proofErr w:type="gramEnd"/>
      <w:r w:rsidR="001C6BDE">
        <w:t xml:space="preserve"> of a waste to a treatment process to reduce its hazard, and then subsequent transport of the same waste</w:t>
      </w:r>
      <w:r>
        <w:t>,</w:t>
      </w:r>
      <w:r w:rsidR="001C6BDE">
        <w:t xml:space="preserve"> possibl</w:t>
      </w:r>
      <w:r>
        <w:t>y</w:t>
      </w:r>
      <w:r w:rsidR="001C6BDE">
        <w:t xml:space="preserve"> reduced or increased in volume, in a less hazardous state to another </w:t>
      </w:r>
      <w:r w:rsidR="002979D5">
        <w:t>outcome, such as landfill.</w:t>
      </w:r>
    </w:p>
    <w:p w:rsidR="00E40E38" w:rsidRDefault="00E40E38" w:rsidP="00E40E38">
      <w:pPr>
        <w:pStyle w:val="KMHBulletLevel1"/>
      </w:pPr>
      <w:r>
        <w:lastRenderedPageBreak/>
        <w:t>The waste is transported for storage during a particular reporting period and subsequently transported for treatment/disposal during the next reporting period.</w:t>
      </w:r>
    </w:p>
    <w:p w:rsidR="00E40E38" w:rsidRPr="00C70FF1" w:rsidRDefault="00CB62B6" w:rsidP="00293EB3">
      <w:r>
        <w:t>I</w:t>
      </w:r>
      <w:r w:rsidR="00E40E38">
        <w:t>t is not possible to identify exactly where double</w:t>
      </w:r>
      <w:r>
        <w:t>-</w:t>
      </w:r>
      <w:r w:rsidR="00E40E38">
        <w:t>countin</w:t>
      </w:r>
      <w:r w:rsidR="00293EB3">
        <w:t>g has occurred, more that it is considered to be a possibility due to the way in which waste is tracked and recorded.</w:t>
      </w:r>
      <w:r w:rsidR="002979D5">
        <w:t xml:space="preserve">  This is an important reason why the interpretation focus of this report is on the waste generation data.</w:t>
      </w:r>
    </w:p>
    <w:p w:rsidR="004270DC" w:rsidRPr="00F32CE0" w:rsidRDefault="004270DC" w:rsidP="004270DC">
      <w:pPr>
        <w:rPr>
          <w:b/>
        </w:rPr>
      </w:pPr>
      <w:r w:rsidRPr="00F32CE0">
        <w:rPr>
          <w:b/>
        </w:rPr>
        <w:t>Q5. Data irregularities (</w:t>
      </w:r>
      <w:r w:rsidR="00BB7AFE">
        <w:rPr>
          <w:b/>
        </w:rPr>
        <w:t>generated waste</w:t>
      </w:r>
      <w:r w:rsidRPr="00F32CE0">
        <w:rPr>
          <w:b/>
        </w:rPr>
        <w:t xml:space="preserve"> </w:t>
      </w:r>
      <w:r w:rsidR="00CB62B6">
        <w:rPr>
          <w:b/>
        </w:rPr>
        <w:t>versus</w:t>
      </w:r>
      <w:r w:rsidRPr="00F32CE0">
        <w:rPr>
          <w:b/>
        </w:rPr>
        <w:t xml:space="preserve"> treated</w:t>
      </w:r>
      <w:r w:rsidR="00F52D38" w:rsidRPr="00F32CE0">
        <w:rPr>
          <w:b/>
        </w:rPr>
        <w:t xml:space="preserve"> </w:t>
      </w:r>
      <w:r w:rsidR="00BB7AFE">
        <w:rPr>
          <w:b/>
        </w:rPr>
        <w:t xml:space="preserve">waste </w:t>
      </w:r>
      <w:r w:rsidR="00F52D38" w:rsidRPr="00F32CE0">
        <w:rPr>
          <w:b/>
        </w:rPr>
        <w:t xml:space="preserve">anomalies) </w:t>
      </w:r>
    </w:p>
    <w:p w:rsidR="00293EB3" w:rsidRPr="00293EB3" w:rsidRDefault="00293EB3" w:rsidP="004270DC">
      <w:r>
        <w:t xml:space="preserve">There are a number of instances where the quantity of waste </w:t>
      </w:r>
      <w:r w:rsidR="00BB7AFE">
        <w:t>generated</w:t>
      </w:r>
      <w:r>
        <w:t xml:space="preserve"> and the quantity of waste exported or disposed/treated differ significantly for a particular waste category.   </w:t>
      </w:r>
      <w:r w:rsidR="003D1BE3">
        <w:t>These irregularities are potentially due to errors caused by either double</w:t>
      </w:r>
      <w:r w:rsidR="00825916">
        <w:t>-</w:t>
      </w:r>
      <w:r w:rsidR="003D1BE3">
        <w:t>counting (see Q4. above) or data recording errors.</w:t>
      </w:r>
      <w:r w:rsidR="00BF0949">
        <w:t xml:space="preserve"> </w:t>
      </w:r>
    </w:p>
    <w:p w:rsidR="004270DC" w:rsidRDefault="00F52D38" w:rsidP="004270DC">
      <w:pPr>
        <w:pStyle w:val="KMHNumberHeading3"/>
      </w:pPr>
      <w:bookmarkStart w:id="29" w:name="_Toc231628828"/>
      <w:bookmarkEnd w:id="29"/>
      <w:r>
        <w:t>Dat</w:t>
      </w:r>
      <w:r w:rsidR="00174C60">
        <w:t>a interpretation (I) i</w:t>
      </w:r>
      <w:r>
        <w:t>ssues</w:t>
      </w:r>
    </w:p>
    <w:p w:rsidR="002979D5" w:rsidRPr="002979D5" w:rsidRDefault="002979D5" w:rsidP="00F52D38">
      <w:r>
        <w:t xml:space="preserve">The quality issues mentioned above have been used to explore </w:t>
      </w:r>
      <w:r w:rsidR="007A71B9">
        <w:t xml:space="preserve">how data interpretation across jurisdictions could be improved, through a process of normalisation.  This section identifies each issue or key data gap, and attempts to fill these gaps or otherwise address these issues, so a more considered interpretation can </w:t>
      </w:r>
      <w:r w:rsidR="007A71B9" w:rsidRPr="00F70E1D">
        <w:t>be made.</w:t>
      </w:r>
      <w:r w:rsidR="007C6A3A" w:rsidRPr="00F70E1D">
        <w:t xml:space="preserve">  Because of the lack of any data outside of interstate movements for </w:t>
      </w:r>
      <w:r w:rsidR="00825916">
        <w:t xml:space="preserve">the Australian Capital Territory, Northern Territory </w:t>
      </w:r>
      <w:r w:rsidR="007C6A3A" w:rsidRPr="00F70E1D">
        <w:t>and Tasmania, these jurisdictions have been removed from the normalisation process.</w:t>
      </w:r>
    </w:p>
    <w:p w:rsidR="00F52D38" w:rsidRPr="001D62E9" w:rsidRDefault="00F52D38" w:rsidP="00F52D38">
      <w:pPr>
        <w:rPr>
          <w:b/>
        </w:rPr>
      </w:pPr>
      <w:r w:rsidRPr="001D62E9">
        <w:rPr>
          <w:b/>
        </w:rPr>
        <w:t>I1. Contaminated soils</w:t>
      </w:r>
    </w:p>
    <w:p w:rsidR="00BF0949" w:rsidRDefault="003D1BE3" w:rsidP="00F52D38">
      <w:r>
        <w:t xml:space="preserve">Contaminated soil is an example of a waste with </w:t>
      </w:r>
      <w:r w:rsidR="004A6BCB">
        <w:t>several</w:t>
      </w:r>
      <w:r>
        <w:t xml:space="preserve"> different classifications </w:t>
      </w:r>
      <w:r w:rsidR="002979D5">
        <w:t xml:space="preserve">and tracking obligations </w:t>
      </w:r>
      <w:r>
        <w:t xml:space="preserve">depending on the jurisdiction in which it is generated. This has a large impact on the hazardous waste totals for each jurisdiction as contaminated soils make up a significant proportion of hazardous waste in </w:t>
      </w:r>
      <w:r w:rsidR="002979D5">
        <w:t>all</w:t>
      </w:r>
      <w:r>
        <w:t xml:space="preserve"> jurisdictions. </w:t>
      </w:r>
    </w:p>
    <w:p w:rsidR="00983AAC" w:rsidRDefault="00983AAC" w:rsidP="00983AAC">
      <w:r>
        <w:t xml:space="preserve">Tracking data is present for contaminated soils in all states where tracking systems exist.  </w:t>
      </w:r>
      <w:r w:rsidR="003062A9">
        <w:t>That being said, c</w:t>
      </w:r>
      <w:r>
        <w:t xml:space="preserve">ontaminated soils are </w:t>
      </w:r>
      <w:r w:rsidR="001C0D17">
        <w:t xml:space="preserve">not required to be tracked for intrastate movements </w:t>
      </w:r>
      <w:r>
        <w:t xml:space="preserve">in </w:t>
      </w:r>
      <w:r w:rsidR="00E41ADA">
        <w:t>New South Wales</w:t>
      </w:r>
      <w:r>
        <w:t xml:space="preserve"> and Queensland</w:t>
      </w:r>
      <w:r w:rsidR="00825916">
        <w:t>.  T</w:t>
      </w:r>
      <w:r>
        <w:t>he</w:t>
      </w:r>
      <w:r w:rsidR="00B168E7">
        <w:t xml:space="preserve"> very low</w:t>
      </w:r>
      <w:r>
        <w:t xml:space="preserve"> figures </w:t>
      </w:r>
      <w:r w:rsidR="00825916">
        <w:t>at</w:t>
      </w:r>
      <w:r>
        <w:t xml:space="preserve"> Table 1 for these states </w:t>
      </w:r>
      <w:r w:rsidR="00825916">
        <w:t xml:space="preserve">may </w:t>
      </w:r>
      <w:r>
        <w:t xml:space="preserve">represent either mistakes in classification or use of transport certification in that particular state beyond legal requirements. </w:t>
      </w:r>
    </w:p>
    <w:p w:rsidR="00235D89" w:rsidRDefault="00E41ADA" w:rsidP="00E41ADA">
      <w:r w:rsidRPr="00E41ADA">
        <w:t>W</w:t>
      </w:r>
      <w:r>
        <w:t xml:space="preserve">estern Australia is the other State with very low reported tonnages for contaminated soil. </w:t>
      </w:r>
      <w:r w:rsidR="00235D89">
        <w:t xml:space="preserve"> While</w:t>
      </w:r>
      <w:r>
        <w:t xml:space="preserve"> </w:t>
      </w:r>
      <w:r w:rsidR="00235D89">
        <w:t>W</w:t>
      </w:r>
      <w:r w:rsidRPr="00E41ADA">
        <w:t xml:space="preserve">A </w:t>
      </w:r>
      <w:r w:rsidRPr="00235D89">
        <w:t>does</w:t>
      </w:r>
      <w:r w:rsidRPr="00E41ADA">
        <w:t xml:space="preserve"> track some types of contaminated soils</w:t>
      </w:r>
      <w:r w:rsidR="00235D89">
        <w:t xml:space="preserve">, this </w:t>
      </w:r>
      <w:r w:rsidRPr="00E41ADA">
        <w:t xml:space="preserve">tracking is dependent on the level of and types of contamination. </w:t>
      </w:r>
      <w:r w:rsidR="00235D89">
        <w:t xml:space="preserve">  </w:t>
      </w:r>
      <w:r w:rsidRPr="00E41ADA">
        <w:t>Contaminated soils that meet a Class I, II or III landfill disposal (</w:t>
      </w:r>
      <w:r w:rsidRPr="00E41ADA">
        <w:rPr>
          <w:i/>
          <w:iCs/>
        </w:rPr>
        <w:t>as per the WA Landfill Classification and Waste Definitions 1996 document</w:t>
      </w:r>
      <w:r w:rsidRPr="00E41ADA">
        <w:t xml:space="preserve">) are not tracked. </w:t>
      </w:r>
      <w:r w:rsidR="00235D89">
        <w:t xml:space="preserve"> This may explain the very low generation figures for WA.  However the authors note that soils classified as suitable for Class I, II or III landfill in WA</w:t>
      </w:r>
      <w:r w:rsidR="00031747">
        <w:t>, based on the contaminant threshold values in the aforementioned classification document,</w:t>
      </w:r>
      <w:r w:rsidR="00235D89">
        <w:t xml:space="preserve"> would not necessarily </w:t>
      </w:r>
      <w:r w:rsidR="00031747">
        <w:t>be classified as hazardous elsewhere either (for example Victoria), and hence would also not be tracked.</w:t>
      </w:r>
    </w:p>
    <w:p w:rsidR="00983AAC" w:rsidRDefault="00983AAC" w:rsidP="00983AAC">
      <w:r>
        <w:t xml:space="preserve">In </w:t>
      </w:r>
      <w:r w:rsidR="00031747">
        <w:t>practice</w:t>
      </w:r>
      <w:r>
        <w:t xml:space="preserve">, contaminated soils are </w:t>
      </w:r>
      <w:r w:rsidR="00031747">
        <w:t xml:space="preserve">primarily </w:t>
      </w:r>
      <w:r>
        <w:t>tracked as hazardous wastes in Victoria and S</w:t>
      </w:r>
      <w:r w:rsidR="00BB7AFE">
        <w:t xml:space="preserve">outh </w:t>
      </w:r>
      <w:r>
        <w:t>A</w:t>
      </w:r>
      <w:r w:rsidR="00BB7AFE">
        <w:t>ustralia</w:t>
      </w:r>
      <w:r>
        <w:t>.</w:t>
      </w:r>
    </w:p>
    <w:p w:rsidR="00F52D38" w:rsidRPr="001D62E9" w:rsidRDefault="00F52D38" w:rsidP="00F52D38">
      <w:pPr>
        <w:rPr>
          <w:b/>
        </w:rPr>
      </w:pPr>
      <w:r w:rsidRPr="001D62E9">
        <w:rPr>
          <w:b/>
        </w:rPr>
        <w:t>I2. Sewage/septic sludge</w:t>
      </w:r>
    </w:p>
    <w:p w:rsidR="000530EF" w:rsidRDefault="002979D5" w:rsidP="00F52D38">
      <w:r>
        <w:t>The s</w:t>
      </w:r>
      <w:r w:rsidR="000530EF">
        <w:t>ewage sludge and residues (including nightsoil and septic tank sludge)</w:t>
      </w:r>
      <w:r w:rsidR="00A25DC7">
        <w:t xml:space="preserve"> </w:t>
      </w:r>
      <w:r w:rsidR="0045609D">
        <w:t xml:space="preserve">waste category </w:t>
      </w:r>
      <w:r>
        <w:t xml:space="preserve">could </w:t>
      </w:r>
      <w:r w:rsidR="0045609D">
        <w:t xml:space="preserve">include both septic tank </w:t>
      </w:r>
      <w:r>
        <w:t>pump</w:t>
      </w:r>
      <w:r w:rsidR="00111D94">
        <w:t>-</w:t>
      </w:r>
      <w:r>
        <w:t xml:space="preserve">out waste </w:t>
      </w:r>
      <w:r w:rsidR="0045609D">
        <w:t xml:space="preserve">and </w:t>
      </w:r>
      <w:r>
        <w:t>sludge/</w:t>
      </w:r>
      <w:r w:rsidR="0045609D">
        <w:t xml:space="preserve">biosolids from sewage treatment which may lead to double-counting </w:t>
      </w:r>
      <w:r>
        <w:t>as described in Q4</w:t>
      </w:r>
      <w:r w:rsidR="0045609D">
        <w:t xml:space="preserve">. </w:t>
      </w:r>
      <w:r>
        <w:t>Like contaminated soil, t</w:t>
      </w:r>
      <w:r w:rsidR="0045609D">
        <w:t>his waste</w:t>
      </w:r>
      <w:r>
        <w:t xml:space="preserve"> can make a massive contribution to hazardous waste in a jurisdiction, but</w:t>
      </w:r>
      <w:r w:rsidR="0045609D">
        <w:t xml:space="preserve"> is only tracked as hazardous in two states (Queensland and W</w:t>
      </w:r>
      <w:r w:rsidR="00BB7AFE">
        <w:t xml:space="preserve">estern </w:t>
      </w:r>
      <w:r w:rsidR="0045609D">
        <w:t>A</w:t>
      </w:r>
      <w:r w:rsidR="00BB7AFE">
        <w:t>ustralia</w:t>
      </w:r>
      <w:r w:rsidR="0045609D">
        <w:t>) and therefore presents a</w:t>
      </w:r>
      <w:r>
        <w:t xml:space="preserve"> large anomaly in</w:t>
      </w:r>
      <w:r w:rsidR="0045609D">
        <w:t xml:space="preserve"> data </w:t>
      </w:r>
      <w:r>
        <w:t xml:space="preserve">comparison </w:t>
      </w:r>
      <w:r w:rsidR="0045609D">
        <w:t>between the jurisdictions.</w:t>
      </w:r>
    </w:p>
    <w:p w:rsidR="002979D5" w:rsidRPr="000530EF" w:rsidRDefault="002979D5" w:rsidP="00F52D38">
      <w:r>
        <w:t>To further complicate the overall picture (yet simplify the situation within state), W</w:t>
      </w:r>
      <w:r w:rsidR="00BB7AFE">
        <w:t xml:space="preserve">estern </w:t>
      </w:r>
      <w:r>
        <w:t>A</w:t>
      </w:r>
      <w:r w:rsidR="00BB7AFE">
        <w:t>ustralia</w:t>
      </w:r>
      <w:r>
        <w:t xml:space="preserve"> data separates these categories out as different categories.</w:t>
      </w:r>
    </w:p>
    <w:p w:rsidR="00F52D38" w:rsidRDefault="00F52D38" w:rsidP="00F52D38">
      <w:pPr>
        <w:rPr>
          <w:b/>
        </w:rPr>
      </w:pPr>
      <w:r w:rsidRPr="001D62E9">
        <w:rPr>
          <w:b/>
        </w:rPr>
        <w:lastRenderedPageBreak/>
        <w:t>I4. Asbestos</w:t>
      </w:r>
    </w:p>
    <w:p w:rsidR="007A71B9" w:rsidRDefault="003062A9" w:rsidP="00F52D38">
      <w:r>
        <w:t>A</w:t>
      </w:r>
      <w:r w:rsidR="007A71B9">
        <w:t xml:space="preserve">sbestos is not tracked in </w:t>
      </w:r>
      <w:r w:rsidR="00BB7AFE">
        <w:t>Western Australia or New South Wales</w:t>
      </w:r>
      <w:r w:rsidR="007A71B9">
        <w:t>.</w:t>
      </w:r>
    </w:p>
    <w:p w:rsidR="006E522B" w:rsidRDefault="006E522B" w:rsidP="00F52D38">
      <w:r>
        <w:t xml:space="preserve">Asbestos data volumes can also be somewhat misleading because it can be a </w:t>
      </w:r>
      <w:r w:rsidRPr="006E522B">
        <w:t>discrete material</w:t>
      </w:r>
      <w:r>
        <w:t>, a minor contaminant</w:t>
      </w:r>
      <w:r w:rsidRPr="006E522B">
        <w:t xml:space="preserve"> in a ‘clean’ stream (such as from specialised building removal processes), as well as </w:t>
      </w:r>
      <w:r>
        <w:t>a larger component</w:t>
      </w:r>
      <w:r w:rsidRPr="006E522B">
        <w:t xml:space="preserve"> in mixtures (e.g. mixed demolition wastes that contain asbestos).</w:t>
      </w:r>
      <w:r>
        <w:t xml:space="preserve">  Where tracking data is available for asbestos</w:t>
      </w:r>
      <w:r w:rsidR="003062A9">
        <w:t>,</w:t>
      </w:r>
      <w:r>
        <w:t xml:space="preserve"> it gives no indication of the level of asbestos in the waste.</w:t>
      </w:r>
    </w:p>
    <w:p w:rsidR="00F70E1D" w:rsidRPr="00F70E1D" w:rsidRDefault="00F70E1D" w:rsidP="00F52D38">
      <w:pPr>
        <w:rPr>
          <w:b/>
        </w:rPr>
      </w:pPr>
      <w:r w:rsidRPr="00F70E1D">
        <w:rPr>
          <w:b/>
        </w:rPr>
        <w:t>I5. Other putrescible organics</w:t>
      </w:r>
    </w:p>
    <w:p w:rsidR="00F70E1D" w:rsidRPr="007A71B9" w:rsidRDefault="00BB7AFE" w:rsidP="00F52D38">
      <w:r>
        <w:t xml:space="preserve">New South Wales and South Australia </w:t>
      </w:r>
      <w:r w:rsidR="00F70E1D">
        <w:t>do not track grease trap waste (K110/K120) and anim</w:t>
      </w:r>
      <w:r>
        <w:t>al effluent and residues (K100)</w:t>
      </w:r>
      <w:r w:rsidR="00F70E1D">
        <w:t>.</w:t>
      </w:r>
    </w:p>
    <w:p w:rsidR="00F52D38" w:rsidRPr="001D62E9" w:rsidRDefault="00F52D38" w:rsidP="00F52D38">
      <w:pPr>
        <w:rPr>
          <w:b/>
        </w:rPr>
      </w:pPr>
      <w:r w:rsidRPr="001D62E9">
        <w:rPr>
          <w:b/>
        </w:rPr>
        <w:t>I</w:t>
      </w:r>
      <w:r w:rsidR="00F70E1D">
        <w:rPr>
          <w:b/>
        </w:rPr>
        <w:t>6</w:t>
      </w:r>
      <w:r w:rsidRPr="001D62E9">
        <w:rPr>
          <w:b/>
        </w:rPr>
        <w:t xml:space="preserve">. Filling state </w:t>
      </w:r>
      <w:r w:rsidR="00851FE7">
        <w:rPr>
          <w:b/>
        </w:rPr>
        <w:t>versus</w:t>
      </w:r>
      <w:r w:rsidRPr="001D62E9">
        <w:rPr>
          <w:b/>
        </w:rPr>
        <w:t xml:space="preserve"> state data gaps (‘normalisation’)</w:t>
      </w:r>
    </w:p>
    <w:p w:rsidR="00992CC4" w:rsidRDefault="00501769">
      <w:pPr>
        <w:spacing w:after="100"/>
      </w:pPr>
      <w:r w:rsidRPr="00501769">
        <w:t>In</w:t>
      </w:r>
      <w:r>
        <w:t xml:space="preserve"> order to more accurately determine the total hazardous waste generated by each jurisdiction it is necessary to fill the data gaps that exist within the tracked waste data. For the purpose of this report this gap filling</w:t>
      </w:r>
      <w:r w:rsidR="00851FE7">
        <w:t xml:space="preserve"> process</w:t>
      </w:r>
      <w:r w:rsidR="00111D94">
        <w:t xml:space="preserve"> is referred to</w:t>
      </w:r>
      <w:r>
        <w:t xml:space="preserve"> as ‘normalisation’. </w:t>
      </w:r>
    </w:p>
    <w:p w:rsidR="00992CC4" w:rsidRDefault="00501769">
      <w:pPr>
        <w:spacing w:after="100"/>
      </w:pPr>
      <w:r w:rsidRPr="00983AAC">
        <w:t>Normalising the data involves obtaining hazardou</w:t>
      </w:r>
      <w:r w:rsidR="008524A9" w:rsidRPr="00983AAC">
        <w:t xml:space="preserve">s waste data from other </w:t>
      </w:r>
      <w:r w:rsidR="00B168E7">
        <w:t xml:space="preserve">published </w:t>
      </w:r>
      <w:r w:rsidR="008524A9" w:rsidRPr="00983AAC">
        <w:t>sources</w:t>
      </w:r>
      <w:r w:rsidR="00021847">
        <w:t>.</w:t>
      </w:r>
    </w:p>
    <w:p w:rsidR="00992CC4" w:rsidRDefault="00021847" w:rsidP="00C078A7">
      <w:pPr>
        <w:shd w:val="clear" w:color="auto" w:fill="FFFFFF" w:themeFill="background1"/>
        <w:spacing w:after="100"/>
      </w:pPr>
      <w:r>
        <w:t xml:space="preserve">Missing asbestos and contaminated soils data has been ‘filled’ using estimates quoted in </w:t>
      </w:r>
      <w:r w:rsidR="00F45B73" w:rsidRPr="00BF44E0">
        <w:rPr>
          <w:i/>
        </w:rPr>
        <w:t xml:space="preserve">Waste and </w:t>
      </w:r>
      <w:r w:rsidR="00F45B73" w:rsidRPr="00C078A7">
        <w:rPr>
          <w:i/>
        </w:rPr>
        <w:t>Recycling in Australia 2011</w:t>
      </w:r>
      <w:r w:rsidR="00B168E7" w:rsidRPr="00C078A7">
        <w:rPr>
          <w:vertAlign w:val="superscript"/>
        </w:rPr>
        <w:footnoteReference w:id="2"/>
      </w:r>
      <w:r w:rsidR="00554938" w:rsidRPr="00C078A7">
        <w:t xml:space="preserve"> as well as the recent publication </w:t>
      </w:r>
      <w:r w:rsidR="00554938" w:rsidRPr="00C078A7">
        <w:rPr>
          <w:i/>
        </w:rPr>
        <w:t>Improving Australia's reporting on hazardous waste under the Basel Convention</w:t>
      </w:r>
      <w:r w:rsidR="00554938" w:rsidRPr="00C078A7">
        <w:t xml:space="preserve"> (Blue Environment, ENVIRON, Randell Environmental Consulting, 2014).</w:t>
      </w:r>
    </w:p>
    <w:p w:rsidR="00992CC4" w:rsidRDefault="00F32CE0">
      <w:pPr>
        <w:spacing w:after="100"/>
      </w:pPr>
      <w:r>
        <w:t>Where data is not available or does not exist, estimates based on population have been made</w:t>
      </w:r>
      <w:r w:rsidR="007A71B9">
        <w:t xml:space="preserve">, if population is a </w:t>
      </w:r>
      <w:r w:rsidR="007C6A3A">
        <w:t>conceivable</w:t>
      </w:r>
      <w:r w:rsidR="007A71B9">
        <w:t xml:space="preserve"> surrogate</w:t>
      </w:r>
      <w:r w:rsidR="007C6A3A">
        <w:t xml:space="preserve"> for the generation of that waste</w:t>
      </w:r>
      <w:r>
        <w:t xml:space="preserve">. For example, in the case of </w:t>
      </w:r>
      <w:r w:rsidR="00277A3D">
        <w:t>grease trap waste (K110/K120) there is no data available</w:t>
      </w:r>
      <w:r w:rsidR="007C6A3A">
        <w:t xml:space="preserve"> for </w:t>
      </w:r>
      <w:r w:rsidR="00BB7AFE">
        <w:t xml:space="preserve">New South Wales or South Australia </w:t>
      </w:r>
      <w:r w:rsidR="007C6A3A">
        <w:t xml:space="preserve">as it is neither </w:t>
      </w:r>
      <w:r w:rsidR="00277A3D">
        <w:t xml:space="preserve">tracked internally </w:t>
      </w:r>
      <w:r w:rsidR="007C6A3A">
        <w:t>n</w:t>
      </w:r>
      <w:r w:rsidR="00277A3D">
        <w:t>or recorded in other systems</w:t>
      </w:r>
      <w:r w:rsidR="00CA6CF5">
        <w:t>.  However it could conceivably be assumed that grease trap, which is largely a retail food industry waste, would be a function of population</w:t>
      </w:r>
      <w:r w:rsidR="00277A3D">
        <w:t xml:space="preserve">. </w:t>
      </w:r>
    </w:p>
    <w:p w:rsidR="00992CC4" w:rsidRDefault="00277A3D">
      <w:pPr>
        <w:spacing w:after="100"/>
      </w:pPr>
      <w:r>
        <w:t xml:space="preserve">By using an average per capita value for Victoria, </w:t>
      </w:r>
      <w:r w:rsidR="00BB7AFE">
        <w:t>Western Australia and Queensland, an estimate of the grease trap waste produced in New South Wales and South Australia</w:t>
      </w:r>
      <w:r>
        <w:t xml:space="preserve"> has been calculated. Similar estimates have been determined for animal effluent and residues (K100).</w:t>
      </w:r>
    </w:p>
    <w:p w:rsidR="00992CC4" w:rsidRDefault="0045609D">
      <w:pPr>
        <w:spacing w:after="100"/>
      </w:pPr>
      <w:r>
        <w:t>Due to several jurisdictions not tracking sewage sludge and residues data</w:t>
      </w:r>
      <w:r w:rsidR="007C6A3A">
        <w:t xml:space="preserve">, </w:t>
      </w:r>
      <w:r>
        <w:t>this category has been replaced with biosolids data for each jurisdiction</w:t>
      </w:r>
      <w:r w:rsidR="007C6A3A">
        <w:t>, sourced from the Australian and New Zealand Biosolids Partnership website (</w:t>
      </w:r>
      <w:hyperlink r:id="rId19" w:history="1">
        <w:r w:rsidR="007C6A3A">
          <w:rPr>
            <w:rStyle w:val="Hyperlink"/>
          </w:rPr>
          <w:t>http://www.biosolids.com.au/bs-australia.php</w:t>
        </w:r>
      </w:hyperlink>
      <w:r w:rsidR="007C6A3A">
        <w:rPr>
          <w:color w:val="000000"/>
        </w:rPr>
        <w:t>)</w:t>
      </w:r>
      <w:r>
        <w:t xml:space="preserve">. </w:t>
      </w:r>
      <w:r w:rsidR="007C6A3A">
        <w:t xml:space="preserve">Because of </w:t>
      </w:r>
      <w:r w:rsidR="00506F3E">
        <w:t xml:space="preserve">the </w:t>
      </w:r>
      <w:r w:rsidR="007C6A3A">
        <w:t>dual nature of wastes that could fit under this code (septic tank pump</w:t>
      </w:r>
      <w:r w:rsidR="00D64DFA">
        <w:t>-</w:t>
      </w:r>
      <w:r w:rsidR="007C6A3A">
        <w:t>out waste and post</w:t>
      </w:r>
      <w:r w:rsidR="00111D94">
        <w:t>-</w:t>
      </w:r>
      <w:r w:rsidR="007C6A3A">
        <w:t>treatment sludge/biosolids removal)</w:t>
      </w:r>
      <w:r w:rsidR="00D64DFA">
        <w:t>,</w:t>
      </w:r>
      <w:r w:rsidR="007C6A3A">
        <w:t xml:space="preserve"> </w:t>
      </w:r>
      <w:r w:rsidR="00506F3E">
        <w:t>biosolids data i</w:t>
      </w:r>
      <w:r w:rsidR="007C6A3A">
        <w:t xml:space="preserve">s a </w:t>
      </w:r>
      <w:r w:rsidR="00506F3E">
        <w:t xml:space="preserve">more reliable method </w:t>
      </w:r>
      <w:r w:rsidR="007C6A3A">
        <w:t>for all jurisdictions</w:t>
      </w:r>
      <w:r w:rsidR="00506F3E">
        <w:t xml:space="preserve"> than tracking.  Consequentially, all data used in the normalisation process for this category has been taken from this source.</w:t>
      </w:r>
    </w:p>
    <w:p w:rsidR="00992CC4" w:rsidRDefault="0045609D">
      <w:pPr>
        <w:spacing w:after="100"/>
      </w:pPr>
      <w:r>
        <w:t xml:space="preserve">This has also eliminated any potential double-counting impacts caused by septic tank sludge and treated sewage sludge both being listed under the same category (refer to I2). </w:t>
      </w:r>
    </w:p>
    <w:p w:rsidR="00992CC4" w:rsidRDefault="00B86B40">
      <w:pPr>
        <w:spacing w:after="100"/>
      </w:pPr>
      <w:r>
        <w:t>The results of normalising</w:t>
      </w:r>
      <w:r w:rsidR="002B7EEC">
        <w:t>,</w:t>
      </w:r>
      <w:r>
        <w:t xml:space="preserve"> through the filling of key data gaps</w:t>
      </w:r>
      <w:r w:rsidR="002B7EEC">
        <w:t>,</w:t>
      </w:r>
      <w:r>
        <w:t xml:space="preserve"> are </w:t>
      </w:r>
      <w:r w:rsidR="002B7EEC">
        <w:t>depicted</w:t>
      </w:r>
      <w:r w:rsidR="00111D94">
        <w:t xml:space="preserve"> graphically</w:t>
      </w:r>
      <w:r w:rsidR="002B7EEC">
        <w:t xml:space="preserve"> </w:t>
      </w:r>
      <w:r w:rsidR="00BD7EAB">
        <w:t xml:space="preserve">for the major </w:t>
      </w:r>
      <w:r w:rsidR="00111D94">
        <w:t>s</w:t>
      </w:r>
      <w:r w:rsidR="00BD7EAB">
        <w:t xml:space="preserve">tates </w:t>
      </w:r>
      <w:r w:rsidR="00111D94">
        <w:t>at</w:t>
      </w:r>
      <w:r>
        <w:t xml:space="preserve"> </w:t>
      </w:r>
      <w:r w:rsidR="002B7EEC">
        <w:t>Figure</w:t>
      </w:r>
      <w:r>
        <w:t xml:space="preserve"> 2</w:t>
      </w:r>
      <w:r w:rsidR="002B7EEC">
        <w:t xml:space="preserve"> below</w:t>
      </w:r>
      <w:r>
        <w:t xml:space="preserve">, and </w:t>
      </w:r>
      <w:r w:rsidR="002B7EEC">
        <w:t>detailed</w:t>
      </w:r>
      <w:r>
        <w:t xml:space="preserve"> in </w:t>
      </w:r>
      <w:r w:rsidR="00444424">
        <w:t>Table</w:t>
      </w:r>
      <w:r>
        <w:t xml:space="preserve"> 2 </w:t>
      </w:r>
      <w:r w:rsidR="002B7EEC">
        <w:t>overleaf</w:t>
      </w:r>
      <w:r>
        <w:t>.</w:t>
      </w:r>
    </w:p>
    <w:p w:rsidR="00992CC4" w:rsidRDefault="00BD7EAB">
      <w:pPr>
        <w:spacing w:after="100"/>
      </w:pPr>
      <w:r>
        <w:t xml:space="preserve">The complete data set for </w:t>
      </w:r>
      <w:r w:rsidRPr="00AC5178">
        <w:rPr>
          <w:u w:val="single"/>
        </w:rPr>
        <w:t>all jurisdictions</w:t>
      </w:r>
      <w:r>
        <w:t>,</w:t>
      </w:r>
      <w:r w:rsidRPr="00BD7EAB">
        <w:t xml:space="preserve"> </w:t>
      </w:r>
      <w:r>
        <w:t>after normalisation, is provided at Appendices B and C, which tabulate national waste data by jurisdiction and waste code respectively.  Appendix C also incorporates estimates of hazardous waste likely to be present in the municipal solid waste (MSW) stream.</w:t>
      </w:r>
    </w:p>
    <w:p w:rsidR="00992CC4" w:rsidRDefault="0064258F">
      <w:pPr>
        <w:spacing w:after="100"/>
      </w:pPr>
      <w:r>
        <w:t>Table 1</w:t>
      </w:r>
      <w:r w:rsidR="00174C60">
        <w:t>4</w:t>
      </w:r>
      <w:r>
        <w:t xml:space="preserve"> of the Data Report </w:t>
      </w:r>
      <w:r w:rsidR="00111D94">
        <w:t xml:space="preserve">at </w:t>
      </w:r>
      <w:r>
        <w:t xml:space="preserve">Appendix A shows that the total hazardous waste generated in Australia, derived from interstate and intrastate tracking systems, is </w:t>
      </w:r>
      <w:r w:rsidRPr="0064258F">
        <w:t>4,097,047</w:t>
      </w:r>
      <w:r>
        <w:t xml:space="preserve"> tonnes, with an additional </w:t>
      </w:r>
      <w:r w:rsidRPr="0064258F">
        <w:t>301,836</w:t>
      </w:r>
      <w:r>
        <w:t xml:space="preserve"> tonnes estimated to be present outside of these systems in MSW.</w:t>
      </w:r>
    </w:p>
    <w:p w:rsidR="00992CC4" w:rsidRDefault="0064258F">
      <w:pPr>
        <w:spacing w:after="100"/>
      </w:pPr>
      <w:r>
        <w:lastRenderedPageBreak/>
        <w:t xml:space="preserve">Given the data improvements from normalisation, it is recommended that the data in Appendices B and C should be used over the totals collated in the Data Report, as they are a more robust estimate of national totals of hazardous waste generation.  Consequently the national totals for hazardous waste generation in </w:t>
      </w:r>
      <w:r w:rsidR="00460043">
        <w:t>2010–11</w:t>
      </w:r>
      <w:r>
        <w:t xml:space="preserve"> become:</w:t>
      </w:r>
    </w:p>
    <w:p w:rsidR="00992CC4" w:rsidRPr="005A0AB5" w:rsidRDefault="00111D94" w:rsidP="00C078A7">
      <w:pPr>
        <w:pStyle w:val="ListParagraph"/>
        <w:numPr>
          <w:ilvl w:val="0"/>
          <w:numId w:val="37"/>
        </w:numPr>
        <w:shd w:val="clear" w:color="auto" w:fill="FFFFFF" w:themeFill="background1"/>
        <w:spacing w:after="100"/>
      </w:pPr>
      <w:r w:rsidRPr="005A0AB5">
        <w:t>t</w:t>
      </w:r>
      <w:r w:rsidR="0064258F" w:rsidRPr="005A0AB5">
        <w:t xml:space="preserve">otal hazardous waste generated </w:t>
      </w:r>
      <w:r w:rsidR="00F10F9B" w:rsidRPr="005A0AB5">
        <w:t xml:space="preserve">within </w:t>
      </w:r>
      <w:r w:rsidRPr="005A0AB5">
        <w:t>s</w:t>
      </w:r>
      <w:r w:rsidR="00F10F9B" w:rsidRPr="005A0AB5">
        <w:t>tate/</w:t>
      </w:r>
      <w:r w:rsidRPr="005A0AB5">
        <w:t>t</w:t>
      </w:r>
      <w:r w:rsidR="00F10F9B" w:rsidRPr="005A0AB5">
        <w:t xml:space="preserve">erritory = </w:t>
      </w:r>
      <w:r w:rsidR="00DB7B56" w:rsidRPr="005A0AB5">
        <w:t>5,941,663</w:t>
      </w:r>
      <w:r w:rsidR="00F10F9B" w:rsidRPr="005A0AB5">
        <w:t xml:space="preserve"> tonnes</w:t>
      </w:r>
    </w:p>
    <w:p w:rsidR="00F10F9B" w:rsidRPr="005A0AB5" w:rsidRDefault="00111D94" w:rsidP="00C078A7">
      <w:pPr>
        <w:pStyle w:val="ListParagraph"/>
        <w:numPr>
          <w:ilvl w:val="0"/>
          <w:numId w:val="37"/>
        </w:numPr>
        <w:shd w:val="clear" w:color="auto" w:fill="FFFFFF" w:themeFill="background1"/>
      </w:pPr>
      <w:r w:rsidRPr="005A0AB5">
        <w:t>t</w:t>
      </w:r>
      <w:r w:rsidR="00F10F9B" w:rsidRPr="005A0AB5">
        <w:t xml:space="preserve">otal hazardous waste sent across </w:t>
      </w:r>
      <w:r w:rsidRPr="005A0AB5">
        <w:t>s</w:t>
      </w:r>
      <w:r w:rsidR="00F10F9B" w:rsidRPr="005A0AB5">
        <w:t>tate/</w:t>
      </w:r>
      <w:r w:rsidRPr="005A0AB5">
        <w:t>t</w:t>
      </w:r>
      <w:r w:rsidR="00F10F9B" w:rsidRPr="005A0AB5">
        <w:t>erritory borders = 92,921 tonnes</w:t>
      </w:r>
    </w:p>
    <w:p w:rsidR="00F10F9B" w:rsidRPr="005A0AB5" w:rsidRDefault="00111D94" w:rsidP="00C078A7">
      <w:pPr>
        <w:pStyle w:val="ListParagraph"/>
        <w:numPr>
          <w:ilvl w:val="0"/>
          <w:numId w:val="37"/>
        </w:numPr>
        <w:shd w:val="clear" w:color="auto" w:fill="FFFFFF" w:themeFill="background1"/>
      </w:pPr>
      <w:r w:rsidRPr="005A0AB5">
        <w:t>h</w:t>
      </w:r>
      <w:r w:rsidR="00F10F9B" w:rsidRPr="005A0AB5">
        <w:t>azardous waste generated</w:t>
      </w:r>
      <w:r w:rsidR="00AC5178" w:rsidRPr="005A0AB5">
        <w:t xml:space="preserve"> from MSW stream</w:t>
      </w:r>
      <w:r w:rsidR="00F10F9B" w:rsidRPr="005A0AB5">
        <w:t xml:space="preserve"> = </w:t>
      </w:r>
      <w:r w:rsidR="00AC5178" w:rsidRPr="005A0AB5">
        <w:t>301,836</w:t>
      </w:r>
      <w:r w:rsidR="00F10F9B" w:rsidRPr="005A0AB5">
        <w:t xml:space="preserve"> tonnes</w:t>
      </w:r>
    </w:p>
    <w:p w:rsidR="00111D94" w:rsidRPr="005A0AB5" w:rsidRDefault="00AC5178" w:rsidP="00C078A7">
      <w:pPr>
        <w:pStyle w:val="ListParagraph"/>
        <w:numPr>
          <w:ilvl w:val="0"/>
          <w:numId w:val="37"/>
        </w:numPr>
        <w:shd w:val="clear" w:color="auto" w:fill="FFFFFF" w:themeFill="background1"/>
        <w:rPr>
          <w:rFonts w:eastAsia="Times New Roman" w:cs="Arial"/>
          <w:b/>
          <w:bCs/>
          <w:color w:val="000000"/>
          <w:sz w:val="18"/>
          <w:szCs w:val="18"/>
          <w:lang w:eastAsia="en-AU"/>
        </w:rPr>
      </w:pPr>
      <w:r w:rsidRPr="005A0AB5">
        <w:t xml:space="preserve">Therefore total hazardous waste generated in Australia in </w:t>
      </w:r>
      <w:r w:rsidR="00460043" w:rsidRPr="005A0AB5">
        <w:t>2010–11</w:t>
      </w:r>
      <w:r w:rsidRPr="005A0AB5">
        <w:t xml:space="preserve"> = </w:t>
      </w:r>
      <w:r w:rsidR="00802100" w:rsidRPr="005A0AB5">
        <w:rPr>
          <w:rFonts w:eastAsia="Times New Roman" w:cs="Arial"/>
          <w:b/>
          <w:bCs/>
          <w:color w:val="000000"/>
          <w:szCs w:val="20"/>
          <w:lang w:eastAsia="en-AU"/>
        </w:rPr>
        <w:t>6,</w:t>
      </w:r>
      <w:r w:rsidR="00F67CDC">
        <w:rPr>
          <w:rFonts w:eastAsia="Times New Roman" w:cs="Arial"/>
          <w:b/>
          <w:bCs/>
          <w:color w:val="000000"/>
          <w:szCs w:val="20"/>
          <w:lang w:eastAsia="en-AU"/>
        </w:rPr>
        <w:t>336</w:t>
      </w:r>
      <w:r w:rsidR="00802100" w:rsidRPr="005A0AB5">
        <w:rPr>
          <w:rFonts w:eastAsia="Times New Roman" w:cs="Arial"/>
          <w:b/>
          <w:bCs/>
          <w:color w:val="000000"/>
          <w:szCs w:val="20"/>
          <w:lang w:eastAsia="en-AU"/>
        </w:rPr>
        <w:t>,</w:t>
      </w:r>
      <w:r w:rsidR="00F67CDC">
        <w:rPr>
          <w:rFonts w:eastAsia="Times New Roman" w:cs="Arial"/>
          <w:b/>
          <w:bCs/>
          <w:color w:val="000000"/>
          <w:szCs w:val="20"/>
          <w:lang w:eastAsia="en-AU"/>
        </w:rPr>
        <w:t>420</w:t>
      </w:r>
      <w:r w:rsidR="00802100" w:rsidRPr="005A0AB5">
        <w:rPr>
          <w:rFonts w:eastAsia="Times New Roman" w:cs="Arial"/>
          <w:b/>
          <w:bCs/>
          <w:color w:val="000000"/>
          <w:szCs w:val="20"/>
          <w:lang w:eastAsia="en-AU"/>
        </w:rPr>
        <w:t xml:space="preserve"> tonnes</w:t>
      </w:r>
      <w:r w:rsidR="00111D94" w:rsidRPr="005A0AB5">
        <w:rPr>
          <w:rFonts w:eastAsia="Times New Roman" w:cs="Arial"/>
          <w:b/>
          <w:bCs/>
          <w:color w:val="000000"/>
          <w:szCs w:val="20"/>
          <w:lang w:eastAsia="en-AU"/>
        </w:rPr>
        <w:t>.</w:t>
      </w:r>
    </w:p>
    <w:p w:rsidR="00992CC4" w:rsidRDefault="00992CC4" w:rsidP="00C078A7">
      <w:pPr>
        <w:shd w:val="clear" w:color="auto" w:fill="FFFFFF" w:themeFill="background1"/>
        <w:ind w:left="360"/>
        <w:rPr>
          <w:rFonts w:eastAsia="Times New Roman" w:cs="Arial"/>
          <w:b/>
          <w:bCs/>
          <w:color w:val="000000"/>
          <w:sz w:val="18"/>
          <w:szCs w:val="18"/>
          <w:lang w:eastAsia="en-AU"/>
        </w:rPr>
      </w:pPr>
    </w:p>
    <w:p w:rsidR="00CE590B" w:rsidRDefault="003D510A" w:rsidP="00F52D38">
      <w:r>
        <w:rPr>
          <w:noProof/>
          <w:lang w:eastAsia="en-AU"/>
        </w:rPr>
        <w:drawing>
          <wp:inline distT="0" distB="0" distL="0" distR="0">
            <wp:extent cx="5760720" cy="3463818"/>
            <wp:effectExtent l="0" t="0" r="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E590B" w:rsidRPr="00CE590B" w:rsidRDefault="00CE590B" w:rsidP="00CE590B">
      <w:pPr>
        <w:pStyle w:val="Caption"/>
      </w:pPr>
      <w:bookmarkStart w:id="30" w:name="_Ref347992775"/>
      <w:bookmarkStart w:id="31" w:name="_Toc350441369"/>
      <w:r>
        <w:t xml:space="preserve">Figure </w:t>
      </w:r>
      <w:r w:rsidR="00C03A4D">
        <w:fldChar w:fldCharType="begin"/>
      </w:r>
      <w:r w:rsidR="00945DDB">
        <w:instrText xml:space="preserve"> SEQ Figure \* ARABIC </w:instrText>
      </w:r>
      <w:r w:rsidR="00C03A4D">
        <w:fldChar w:fldCharType="separate"/>
      </w:r>
      <w:r w:rsidR="004B2C72">
        <w:rPr>
          <w:noProof/>
        </w:rPr>
        <w:t>2</w:t>
      </w:r>
      <w:r w:rsidR="00C03A4D">
        <w:rPr>
          <w:noProof/>
        </w:rPr>
        <w:fldChar w:fldCharType="end"/>
      </w:r>
      <w:bookmarkEnd w:id="30"/>
      <w:r w:rsidR="00174C60">
        <w:rPr>
          <w:noProof/>
        </w:rPr>
        <w:t>—</w:t>
      </w:r>
      <w:r w:rsidRPr="00983AAC">
        <w:t xml:space="preserve">Normalised hazardous waste </w:t>
      </w:r>
      <w:r w:rsidR="00021847">
        <w:t xml:space="preserve">generated by </w:t>
      </w:r>
      <w:r w:rsidRPr="00983AAC">
        <w:t>jurisdiction</w:t>
      </w:r>
      <w:r w:rsidR="00BB7AFE">
        <w:t xml:space="preserve"> in </w:t>
      </w:r>
      <w:bookmarkEnd w:id="31"/>
      <w:r w:rsidR="00460043">
        <w:t>2010–11</w:t>
      </w:r>
    </w:p>
    <w:p w:rsidR="002B7EEC" w:rsidRDefault="002B7EEC" w:rsidP="00F52D38">
      <w:pPr>
        <w:rPr>
          <w:b/>
        </w:rPr>
      </w:pPr>
    </w:p>
    <w:p w:rsidR="003A2E00" w:rsidRDefault="003A2E00">
      <w:pPr>
        <w:spacing w:after="0"/>
        <w:jc w:val="left"/>
        <w:sectPr w:rsidR="003A2E00" w:rsidSect="00B25B5D">
          <w:headerReference w:type="default" r:id="rId21"/>
          <w:headerReference w:type="first" r:id="rId22"/>
          <w:footerReference w:type="first" r:id="rId23"/>
          <w:pgSz w:w="11907" w:h="16839" w:code="9"/>
          <w:pgMar w:top="1701" w:right="1134" w:bottom="1134" w:left="1701" w:header="567" w:footer="567" w:gutter="0"/>
          <w:pgNumType w:start="1"/>
          <w:cols w:space="708"/>
          <w:docGrid w:linePitch="360"/>
        </w:sectPr>
      </w:pPr>
    </w:p>
    <w:p w:rsidR="002B7EEC" w:rsidRDefault="002B7EEC" w:rsidP="00C078A7">
      <w:pPr>
        <w:pStyle w:val="Caption"/>
        <w:shd w:val="clear" w:color="auto" w:fill="FFFFFF" w:themeFill="background1"/>
      </w:pPr>
      <w:bookmarkStart w:id="32" w:name="_Toc350441374"/>
      <w:r>
        <w:lastRenderedPageBreak/>
        <w:t xml:space="preserve">Table </w:t>
      </w:r>
      <w:r w:rsidR="00C03A4D">
        <w:fldChar w:fldCharType="begin"/>
      </w:r>
      <w:r>
        <w:instrText xml:space="preserve"> SEQ Table \* ARABIC </w:instrText>
      </w:r>
      <w:r w:rsidR="00C03A4D">
        <w:fldChar w:fldCharType="separate"/>
      </w:r>
      <w:r w:rsidR="004B2C72">
        <w:rPr>
          <w:noProof/>
        </w:rPr>
        <w:t>2</w:t>
      </w:r>
      <w:r w:rsidR="00C03A4D">
        <w:rPr>
          <w:noProof/>
        </w:rPr>
        <w:fldChar w:fldCharType="end"/>
      </w:r>
      <w:r w:rsidR="00174C60">
        <w:rPr>
          <w:noProof/>
        </w:rPr>
        <w:t>—</w:t>
      </w:r>
      <w:r>
        <w:t xml:space="preserve">Major waste generation data observations in </w:t>
      </w:r>
      <w:r w:rsidR="00460043">
        <w:t>2010–11</w:t>
      </w:r>
      <w:r w:rsidR="00444424">
        <w:t>, after normalisation</w:t>
      </w:r>
      <w:bookmarkEnd w:id="32"/>
    </w:p>
    <w:tbl>
      <w:tblPr>
        <w:tblW w:w="13065" w:type="dxa"/>
        <w:tblInd w:w="93" w:type="dxa"/>
        <w:tblLook w:val="04A0"/>
      </w:tblPr>
      <w:tblGrid>
        <w:gridCol w:w="5955"/>
        <w:gridCol w:w="1080"/>
        <w:gridCol w:w="1350"/>
        <w:gridCol w:w="1132"/>
        <w:gridCol w:w="879"/>
        <w:gridCol w:w="1409"/>
        <w:gridCol w:w="1260"/>
      </w:tblGrid>
      <w:tr w:rsidR="003A2E00" w:rsidRPr="00B03DC0" w:rsidTr="003A2E00">
        <w:trPr>
          <w:trHeight w:val="315"/>
        </w:trPr>
        <w:tc>
          <w:tcPr>
            <w:tcW w:w="7035" w:type="dxa"/>
            <w:gridSpan w:val="2"/>
            <w:tcBorders>
              <w:top w:val="single" w:sz="8" w:space="0" w:color="auto"/>
              <w:left w:val="single" w:sz="8" w:space="0" w:color="auto"/>
              <w:bottom w:val="single" w:sz="8" w:space="0" w:color="auto"/>
              <w:right w:val="single" w:sz="8" w:space="0" w:color="000000"/>
            </w:tcBorders>
            <w:shd w:val="clear" w:color="000000" w:fill="1D5C42"/>
            <w:noWrap/>
            <w:vAlign w:val="center"/>
            <w:hideMark/>
          </w:tcPr>
          <w:p w:rsidR="003A2E00" w:rsidRPr="00B03DC0" w:rsidRDefault="003A2E00" w:rsidP="003A2E00">
            <w:pPr>
              <w:spacing w:after="0" w:line="240" w:lineRule="auto"/>
              <w:jc w:val="center"/>
              <w:rPr>
                <w:rFonts w:eastAsia="Times New Roman" w:cs="Arial"/>
                <w:b/>
                <w:bCs/>
                <w:color w:val="FFFFFF"/>
                <w:sz w:val="16"/>
                <w:szCs w:val="16"/>
              </w:rPr>
            </w:pPr>
            <w:r w:rsidRPr="00B03DC0">
              <w:rPr>
                <w:rFonts w:eastAsia="Times New Roman" w:cs="Arial"/>
                <w:b/>
                <w:bCs/>
                <w:color w:val="FFFFFF"/>
                <w:sz w:val="16"/>
                <w:szCs w:val="16"/>
              </w:rPr>
              <w:t>Major waste generated</w:t>
            </w:r>
          </w:p>
        </w:tc>
        <w:tc>
          <w:tcPr>
            <w:tcW w:w="6030" w:type="dxa"/>
            <w:gridSpan w:val="5"/>
            <w:tcBorders>
              <w:top w:val="single" w:sz="8" w:space="0" w:color="auto"/>
              <w:left w:val="nil"/>
              <w:bottom w:val="single" w:sz="8" w:space="0" w:color="auto"/>
              <w:right w:val="single" w:sz="8" w:space="0" w:color="000000"/>
            </w:tcBorders>
            <w:shd w:val="clear" w:color="000000" w:fill="1D5C42"/>
            <w:noWrap/>
            <w:vAlign w:val="center"/>
            <w:hideMark/>
          </w:tcPr>
          <w:p w:rsidR="003A2E00" w:rsidRPr="00B03DC0" w:rsidRDefault="003A2E00" w:rsidP="003A2E00">
            <w:pPr>
              <w:spacing w:after="0" w:line="240" w:lineRule="auto"/>
              <w:jc w:val="center"/>
              <w:rPr>
                <w:rFonts w:eastAsia="Times New Roman" w:cs="Arial"/>
                <w:b/>
                <w:bCs/>
                <w:color w:val="FFFFFF"/>
                <w:sz w:val="16"/>
                <w:szCs w:val="16"/>
              </w:rPr>
            </w:pPr>
            <w:r w:rsidRPr="00B03DC0">
              <w:rPr>
                <w:rFonts w:eastAsia="Times New Roman" w:cs="Arial"/>
                <w:b/>
                <w:bCs/>
                <w:color w:val="FFFFFF"/>
                <w:sz w:val="16"/>
                <w:szCs w:val="16"/>
              </w:rPr>
              <w:t>Major waste producing states (tonnes)</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1D5C42"/>
            <w:noWrap/>
            <w:vAlign w:val="center"/>
            <w:hideMark/>
          </w:tcPr>
          <w:p w:rsidR="003A2E00" w:rsidRPr="00B03DC0" w:rsidRDefault="003A2E00" w:rsidP="003A2E00">
            <w:pPr>
              <w:spacing w:after="0" w:line="240" w:lineRule="auto"/>
              <w:jc w:val="center"/>
              <w:rPr>
                <w:rFonts w:eastAsia="Times New Roman" w:cs="Arial"/>
                <w:b/>
                <w:bCs/>
                <w:color w:val="FFFFFF"/>
                <w:sz w:val="16"/>
                <w:szCs w:val="16"/>
              </w:rPr>
            </w:pPr>
            <w:r w:rsidRPr="00B03DC0">
              <w:rPr>
                <w:rFonts w:eastAsia="Times New Roman" w:cs="Arial"/>
                <w:b/>
                <w:bCs/>
                <w:color w:val="FFFFFF"/>
                <w:sz w:val="16"/>
                <w:szCs w:val="16"/>
              </w:rPr>
              <w:t>NEPM Waste description</w:t>
            </w:r>
          </w:p>
        </w:tc>
        <w:tc>
          <w:tcPr>
            <w:tcW w:w="1080" w:type="dxa"/>
            <w:tcBorders>
              <w:top w:val="nil"/>
              <w:left w:val="nil"/>
              <w:bottom w:val="single" w:sz="8" w:space="0" w:color="auto"/>
              <w:right w:val="single" w:sz="8" w:space="0" w:color="auto"/>
            </w:tcBorders>
            <w:shd w:val="clear" w:color="000000" w:fill="1D5C42"/>
            <w:noWrap/>
            <w:vAlign w:val="center"/>
            <w:hideMark/>
          </w:tcPr>
          <w:p w:rsidR="003A2E00" w:rsidRPr="00B03DC0" w:rsidRDefault="003A2E00" w:rsidP="003A2E00">
            <w:pPr>
              <w:spacing w:after="0" w:line="240" w:lineRule="auto"/>
              <w:jc w:val="center"/>
              <w:rPr>
                <w:rFonts w:eastAsia="Times New Roman" w:cs="Arial"/>
                <w:b/>
                <w:bCs/>
                <w:color w:val="FFFFFF"/>
                <w:sz w:val="16"/>
                <w:szCs w:val="16"/>
              </w:rPr>
            </w:pPr>
            <w:r w:rsidRPr="00B03DC0">
              <w:rPr>
                <w:rFonts w:eastAsia="Times New Roman" w:cs="Arial"/>
                <w:b/>
                <w:bCs/>
                <w:color w:val="FFFFFF"/>
                <w:sz w:val="16"/>
                <w:szCs w:val="16"/>
              </w:rPr>
              <w:t>Waste code</w:t>
            </w:r>
          </w:p>
        </w:tc>
        <w:tc>
          <w:tcPr>
            <w:tcW w:w="1350" w:type="dxa"/>
            <w:tcBorders>
              <w:top w:val="nil"/>
              <w:left w:val="nil"/>
              <w:bottom w:val="single" w:sz="8" w:space="0" w:color="auto"/>
              <w:right w:val="single" w:sz="8" w:space="0" w:color="auto"/>
            </w:tcBorders>
            <w:shd w:val="clear" w:color="000000" w:fill="1D5C42"/>
            <w:noWrap/>
            <w:vAlign w:val="center"/>
            <w:hideMark/>
          </w:tcPr>
          <w:p w:rsidR="003A2E00" w:rsidRPr="00B03DC0" w:rsidRDefault="003A2E00" w:rsidP="003A2E00">
            <w:pPr>
              <w:spacing w:after="0" w:line="240" w:lineRule="auto"/>
              <w:jc w:val="center"/>
              <w:rPr>
                <w:rFonts w:eastAsia="Times New Roman" w:cs="Arial"/>
                <w:b/>
                <w:bCs/>
                <w:color w:val="FFFFFF"/>
                <w:sz w:val="16"/>
                <w:szCs w:val="16"/>
              </w:rPr>
            </w:pPr>
            <w:r w:rsidRPr="00B03DC0">
              <w:rPr>
                <w:rFonts w:eastAsia="Times New Roman" w:cs="Arial"/>
                <w:b/>
                <w:bCs/>
                <w:color w:val="FFFFFF"/>
                <w:sz w:val="16"/>
                <w:szCs w:val="16"/>
              </w:rPr>
              <w:t>New South Wales</w:t>
            </w:r>
          </w:p>
        </w:tc>
        <w:tc>
          <w:tcPr>
            <w:tcW w:w="1132" w:type="dxa"/>
            <w:tcBorders>
              <w:top w:val="nil"/>
              <w:left w:val="nil"/>
              <w:bottom w:val="single" w:sz="8" w:space="0" w:color="auto"/>
              <w:right w:val="single" w:sz="8" w:space="0" w:color="auto"/>
            </w:tcBorders>
            <w:shd w:val="clear" w:color="000000" w:fill="1D5C42"/>
            <w:noWrap/>
            <w:vAlign w:val="center"/>
            <w:hideMark/>
          </w:tcPr>
          <w:p w:rsidR="003A2E00" w:rsidRPr="00B03DC0" w:rsidRDefault="003A2E00" w:rsidP="003A2E00">
            <w:pPr>
              <w:spacing w:after="0" w:line="240" w:lineRule="auto"/>
              <w:jc w:val="center"/>
              <w:rPr>
                <w:rFonts w:eastAsia="Times New Roman" w:cs="Arial"/>
                <w:b/>
                <w:bCs/>
                <w:color w:val="FFFFFF"/>
                <w:sz w:val="16"/>
                <w:szCs w:val="16"/>
              </w:rPr>
            </w:pPr>
            <w:r w:rsidRPr="00B03DC0">
              <w:rPr>
                <w:rFonts w:eastAsia="Times New Roman" w:cs="Arial"/>
                <w:b/>
                <w:bCs/>
                <w:color w:val="FFFFFF"/>
                <w:sz w:val="16"/>
                <w:szCs w:val="16"/>
              </w:rPr>
              <w:t>Queensland</w:t>
            </w:r>
          </w:p>
        </w:tc>
        <w:tc>
          <w:tcPr>
            <w:tcW w:w="879" w:type="dxa"/>
            <w:tcBorders>
              <w:top w:val="nil"/>
              <w:left w:val="nil"/>
              <w:bottom w:val="single" w:sz="8" w:space="0" w:color="auto"/>
              <w:right w:val="single" w:sz="8" w:space="0" w:color="auto"/>
            </w:tcBorders>
            <w:shd w:val="clear" w:color="000000" w:fill="1D5C42"/>
            <w:noWrap/>
            <w:vAlign w:val="center"/>
            <w:hideMark/>
          </w:tcPr>
          <w:p w:rsidR="003A2E00" w:rsidRPr="00B03DC0" w:rsidRDefault="003A2E00" w:rsidP="003A2E00">
            <w:pPr>
              <w:spacing w:after="0" w:line="240" w:lineRule="auto"/>
              <w:jc w:val="center"/>
              <w:rPr>
                <w:rFonts w:eastAsia="Times New Roman" w:cs="Arial"/>
                <w:b/>
                <w:bCs/>
                <w:color w:val="FFFFFF"/>
                <w:sz w:val="16"/>
                <w:szCs w:val="16"/>
              </w:rPr>
            </w:pPr>
            <w:r w:rsidRPr="00B03DC0">
              <w:rPr>
                <w:rFonts w:eastAsia="Times New Roman" w:cs="Arial"/>
                <w:b/>
                <w:bCs/>
                <w:color w:val="FFFFFF"/>
                <w:sz w:val="16"/>
                <w:szCs w:val="16"/>
              </w:rPr>
              <w:t>Victoria</w:t>
            </w:r>
          </w:p>
        </w:tc>
        <w:tc>
          <w:tcPr>
            <w:tcW w:w="1409" w:type="dxa"/>
            <w:tcBorders>
              <w:top w:val="nil"/>
              <w:left w:val="nil"/>
              <w:bottom w:val="single" w:sz="8" w:space="0" w:color="auto"/>
              <w:right w:val="single" w:sz="8" w:space="0" w:color="auto"/>
            </w:tcBorders>
            <w:shd w:val="clear" w:color="000000" w:fill="1D5C42"/>
            <w:noWrap/>
            <w:vAlign w:val="center"/>
            <w:hideMark/>
          </w:tcPr>
          <w:p w:rsidR="003A2E00" w:rsidRPr="00B03DC0" w:rsidRDefault="003A2E00" w:rsidP="003A2E00">
            <w:pPr>
              <w:spacing w:after="0" w:line="240" w:lineRule="auto"/>
              <w:jc w:val="center"/>
              <w:rPr>
                <w:rFonts w:eastAsia="Times New Roman" w:cs="Arial"/>
                <w:b/>
                <w:bCs/>
                <w:color w:val="FFFFFF"/>
                <w:sz w:val="16"/>
                <w:szCs w:val="16"/>
              </w:rPr>
            </w:pPr>
            <w:r w:rsidRPr="00B03DC0">
              <w:rPr>
                <w:rFonts w:eastAsia="Times New Roman" w:cs="Arial"/>
                <w:b/>
                <w:bCs/>
                <w:color w:val="FFFFFF"/>
                <w:sz w:val="16"/>
                <w:szCs w:val="16"/>
              </w:rPr>
              <w:t>Western Australia</w:t>
            </w:r>
          </w:p>
        </w:tc>
        <w:tc>
          <w:tcPr>
            <w:tcW w:w="1260" w:type="dxa"/>
            <w:tcBorders>
              <w:top w:val="nil"/>
              <w:left w:val="nil"/>
              <w:bottom w:val="single" w:sz="8" w:space="0" w:color="auto"/>
              <w:right w:val="single" w:sz="8" w:space="0" w:color="auto"/>
            </w:tcBorders>
            <w:shd w:val="clear" w:color="000000" w:fill="1D5C42"/>
            <w:noWrap/>
            <w:vAlign w:val="center"/>
            <w:hideMark/>
          </w:tcPr>
          <w:p w:rsidR="003A2E00" w:rsidRPr="00B03DC0" w:rsidRDefault="003A2E00" w:rsidP="003A2E00">
            <w:pPr>
              <w:spacing w:after="0" w:line="240" w:lineRule="auto"/>
              <w:jc w:val="center"/>
              <w:rPr>
                <w:rFonts w:eastAsia="Times New Roman" w:cs="Arial"/>
                <w:b/>
                <w:bCs/>
                <w:color w:val="FFFFFF"/>
                <w:sz w:val="16"/>
                <w:szCs w:val="16"/>
              </w:rPr>
            </w:pPr>
            <w:r w:rsidRPr="00B03DC0">
              <w:rPr>
                <w:rFonts w:eastAsia="Times New Roman" w:cs="Arial"/>
                <w:b/>
                <w:bCs/>
                <w:color w:val="FFFFFF"/>
                <w:sz w:val="16"/>
                <w:szCs w:val="16"/>
              </w:rPr>
              <w:t>South Australia</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Inorganic chemicals</w:t>
            </w:r>
          </w:p>
        </w:tc>
        <w:tc>
          <w:tcPr>
            <w:tcW w:w="108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D</w:t>
            </w:r>
          </w:p>
        </w:tc>
        <w:tc>
          <w:tcPr>
            <w:tcW w:w="135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132"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87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40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26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Arsenic and arsenic compounds</w:t>
            </w:r>
          </w:p>
        </w:tc>
        <w:tc>
          <w:tcPr>
            <w:tcW w:w="108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D130</w:t>
            </w:r>
          </w:p>
        </w:tc>
        <w:tc>
          <w:tcPr>
            <w:tcW w:w="135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w:t>
            </w:r>
          </w:p>
        </w:tc>
        <w:tc>
          <w:tcPr>
            <w:tcW w:w="1132"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777.00</w:t>
            </w:r>
          </w:p>
        </w:tc>
        <w:tc>
          <w:tcPr>
            <w:tcW w:w="87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13.00</w:t>
            </w:r>
          </w:p>
        </w:tc>
        <w:tc>
          <w:tcPr>
            <w:tcW w:w="140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120.00</w:t>
            </w:r>
          </w:p>
        </w:tc>
        <w:tc>
          <w:tcPr>
            <w:tcW w:w="126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108 752</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Lead and lead compounds</w:t>
            </w:r>
          </w:p>
        </w:tc>
        <w:tc>
          <w:tcPr>
            <w:tcW w:w="108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D220</w:t>
            </w:r>
          </w:p>
        </w:tc>
        <w:tc>
          <w:tcPr>
            <w:tcW w:w="135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17 701</w:t>
            </w:r>
          </w:p>
        </w:tc>
        <w:tc>
          <w:tcPr>
            <w:tcW w:w="1132"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9 480</w:t>
            </w:r>
          </w:p>
        </w:tc>
        <w:tc>
          <w:tcPr>
            <w:tcW w:w="87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4 935</w:t>
            </w:r>
          </w:p>
        </w:tc>
        <w:tc>
          <w:tcPr>
            <w:tcW w:w="140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817.00</w:t>
            </w:r>
          </w:p>
        </w:tc>
        <w:tc>
          <w:tcPr>
            <w:tcW w:w="126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1 836</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Zinc compounds</w:t>
            </w:r>
          </w:p>
        </w:tc>
        <w:tc>
          <w:tcPr>
            <w:tcW w:w="108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D230</w:t>
            </w:r>
          </w:p>
        </w:tc>
        <w:tc>
          <w:tcPr>
            <w:tcW w:w="135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0.72</w:t>
            </w:r>
          </w:p>
        </w:tc>
        <w:tc>
          <w:tcPr>
            <w:tcW w:w="1132"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514.00</w:t>
            </w:r>
          </w:p>
        </w:tc>
        <w:tc>
          <w:tcPr>
            <w:tcW w:w="87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175.00</w:t>
            </w:r>
          </w:p>
        </w:tc>
        <w:tc>
          <w:tcPr>
            <w:tcW w:w="140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607.00</w:t>
            </w:r>
          </w:p>
        </w:tc>
        <w:tc>
          <w:tcPr>
            <w:tcW w:w="126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147.00</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Non-toxic salts (e.g. sodium chloride, calcium chloride)</w:t>
            </w:r>
          </w:p>
        </w:tc>
        <w:tc>
          <w:tcPr>
            <w:tcW w:w="108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D300</w:t>
            </w:r>
          </w:p>
        </w:tc>
        <w:tc>
          <w:tcPr>
            <w:tcW w:w="135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11 611</w:t>
            </w:r>
          </w:p>
        </w:tc>
        <w:tc>
          <w:tcPr>
            <w:tcW w:w="1132"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33 626</w:t>
            </w:r>
          </w:p>
        </w:tc>
        <w:tc>
          <w:tcPr>
            <w:tcW w:w="87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1 048</w:t>
            </w:r>
          </w:p>
        </w:tc>
        <w:tc>
          <w:tcPr>
            <w:tcW w:w="140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6 341</w:t>
            </w:r>
          </w:p>
        </w:tc>
        <w:tc>
          <w:tcPr>
            <w:tcW w:w="126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447.00</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Oils, hydrocarbons, emulsions</w:t>
            </w:r>
          </w:p>
        </w:tc>
        <w:tc>
          <w:tcPr>
            <w:tcW w:w="108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J</w:t>
            </w:r>
          </w:p>
        </w:tc>
        <w:tc>
          <w:tcPr>
            <w:tcW w:w="135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132"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87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40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26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Waste oils unfit for their original intended use (lubricating, hydraulic)</w:t>
            </w:r>
          </w:p>
        </w:tc>
        <w:tc>
          <w:tcPr>
            <w:tcW w:w="108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J100</w:t>
            </w:r>
          </w:p>
        </w:tc>
        <w:tc>
          <w:tcPr>
            <w:tcW w:w="135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64 554</w:t>
            </w:r>
          </w:p>
        </w:tc>
        <w:tc>
          <w:tcPr>
            <w:tcW w:w="1132"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86 404</w:t>
            </w:r>
          </w:p>
        </w:tc>
        <w:tc>
          <w:tcPr>
            <w:tcW w:w="87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10 750</w:t>
            </w:r>
          </w:p>
        </w:tc>
        <w:tc>
          <w:tcPr>
            <w:tcW w:w="140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72 316</w:t>
            </w:r>
          </w:p>
        </w:tc>
        <w:tc>
          <w:tcPr>
            <w:tcW w:w="126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423.00</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Waste oils and water mixtures or emulsions, and hydrocarbon and water mixtures or emulsions</w:t>
            </w:r>
          </w:p>
        </w:tc>
        <w:tc>
          <w:tcPr>
            <w:tcW w:w="108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J120</w:t>
            </w:r>
          </w:p>
        </w:tc>
        <w:tc>
          <w:tcPr>
            <w:tcW w:w="135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39 369</w:t>
            </w:r>
          </w:p>
        </w:tc>
        <w:tc>
          <w:tcPr>
            <w:tcW w:w="1132"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149 720</w:t>
            </w:r>
          </w:p>
        </w:tc>
        <w:tc>
          <w:tcPr>
            <w:tcW w:w="87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57 786</w:t>
            </w:r>
          </w:p>
        </w:tc>
        <w:tc>
          <w:tcPr>
            <w:tcW w:w="140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49 737</w:t>
            </w:r>
          </w:p>
        </w:tc>
        <w:tc>
          <w:tcPr>
            <w:tcW w:w="126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6 605</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Triple interceptor waste and stormwater contaminated with oil or hydrocarbons</w:t>
            </w:r>
          </w:p>
        </w:tc>
        <w:tc>
          <w:tcPr>
            <w:tcW w:w="108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J130</w:t>
            </w:r>
          </w:p>
        </w:tc>
        <w:tc>
          <w:tcPr>
            <w:tcW w:w="135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w:t>
            </w:r>
          </w:p>
        </w:tc>
        <w:tc>
          <w:tcPr>
            <w:tcW w:w="1132"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w:t>
            </w:r>
          </w:p>
        </w:tc>
        <w:tc>
          <w:tcPr>
            <w:tcW w:w="87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29 008</w:t>
            </w:r>
          </w:p>
        </w:tc>
        <w:tc>
          <w:tcPr>
            <w:tcW w:w="140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13 129</w:t>
            </w:r>
          </w:p>
        </w:tc>
        <w:tc>
          <w:tcPr>
            <w:tcW w:w="126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Putrescible/organic wastes</w:t>
            </w:r>
          </w:p>
        </w:tc>
        <w:tc>
          <w:tcPr>
            <w:tcW w:w="108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K</w:t>
            </w:r>
          </w:p>
        </w:tc>
        <w:tc>
          <w:tcPr>
            <w:tcW w:w="135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132"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87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40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26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Animal effluent and residues (e.g. abattoir wastes, poultry wastes, fish and shellfish wastes)</w:t>
            </w:r>
          </w:p>
        </w:tc>
        <w:tc>
          <w:tcPr>
            <w:tcW w:w="108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K100</w:t>
            </w:r>
          </w:p>
        </w:tc>
        <w:tc>
          <w:tcPr>
            <w:tcW w:w="1350" w:type="dxa"/>
            <w:tcBorders>
              <w:top w:val="nil"/>
              <w:left w:val="nil"/>
              <w:bottom w:val="single" w:sz="8" w:space="0" w:color="auto"/>
              <w:right w:val="single" w:sz="8" w:space="0" w:color="auto"/>
            </w:tcBorders>
            <w:shd w:val="clear" w:color="000000" w:fill="CCC0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48 058</w:t>
            </w:r>
          </w:p>
        </w:tc>
        <w:tc>
          <w:tcPr>
            <w:tcW w:w="1132"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45 780</w:t>
            </w:r>
          </w:p>
        </w:tc>
        <w:tc>
          <w:tcPr>
            <w:tcW w:w="87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33 685</w:t>
            </w:r>
          </w:p>
        </w:tc>
        <w:tc>
          <w:tcPr>
            <w:tcW w:w="140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8 530</w:t>
            </w:r>
          </w:p>
        </w:tc>
        <w:tc>
          <w:tcPr>
            <w:tcW w:w="1260" w:type="dxa"/>
            <w:tcBorders>
              <w:top w:val="nil"/>
              <w:left w:val="nil"/>
              <w:bottom w:val="single" w:sz="8" w:space="0" w:color="auto"/>
              <w:right w:val="single" w:sz="8" w:space="0" w:color="auto"/>
            </w:tcBorders>
            <w:shd w:val="clear" w:color="000000" w:fill="CCC0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10 940</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Grease trap waste</w:t>
            </w:r>
          </w:p>
        </w:tc>
        <w:tc>
          <w:tcPr>
            <w:tcW w:w="108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K110/ K120</w:t>
            </w:r>
          </w:p>
        </w:tc>
        <w:tc>
          <w:tcPr>
            <w:tcW w:w="1350" w:type="dxa"/>
            <w:tcBorders>
              <w:top w:val="nil"/>
              <w:left w:val="nil"/>
              <w:bottom w:val="single" w:sz="8" w:space="0" w:color="auto"/>
              <w:right w:val="single" w:sz="8" w:space="0" w:color="auto"/>
            </w:tcBorders>
            <w:shd w:val="clear" w:color="000000" w:fill="CCC0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172 646</w:t>
            </w:r>
          </w:p>
        </w:tc>
        <w:tc>
          <w:tcPr>
            <w:tcW w:w="1132"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117 529</w:t>
            </w:r>
          </w:p>
        </w:tc>
        <w:tc>
          <w:tcPr>
            <w:tcW w:w="87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89 503</w:t>
            </w:r>
          </w:p>
        </w:tc>
        <w:tc>
          <w:tcPr>
            <w:tcW w:w="140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67 534</w:t>
            </w:r>
          </w:p>
        </w:tc>
        <w:tc>
          <w:tcPr>
            <w:tcW w:w="1260" w:type="dxa"/>
            <w:tcBorders>
              <w:top w:val="nil"/>
              <w:left w:val="nil"/>
              <w:bottom w:val="single" w:sz="8" w:space="0" w:color="auto"/>
              <w:right w:val="single" w:sz="8" w:space="0" w:color="auto"/>
            </w:tcBorders>
            <w:shd w:val="clear" w:color="000000" w:fill="CCC0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39 301</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Food and beverage processing wastes, including animal and vegetable oils and derivatives</w:t>
            </w:r>
          </w:p>
        </w:tc>
        <w:tc>
          <w:tcPr>
            <w:tcW w:w="1080"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K200</w:t>
            </w:r>
          </w:p>
        </w:tc>
        <w:tc>
          <w:tcPr>
            <w:tcW w:w="135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68.00</w:t>
            </w:r>
          </w:p>
        </w:tc>
        <w:tc>
          <w:tcPr>
            <w:tcW w:w="1132"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51 341</w:t>
            </w:r>
          </w:p>
        </w:tc>
        <w:tc>
          <w:tcPr>
            <w:tcW w:w="87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41 347</w:t>
            </w:r>
          </w:p>
        </w:tc>
        <w:tc>
          <w:tcPr>
            <w:tcW w:w="1409" w:type="dxa"/>
            <w:tcBorders>
              <w:top w:val="nil"/>
              <w:left w:val="nil"/>
              <w:bottom w:val="single" w:sz="8" w:space="0" w:color="auto"/>
              <w:right w:val="single" w:sz="8" w:space="0" w:color="auto"/>
            </w:tcBorders>
            <w:shd w:val="clear" w:color="auto" w:fill="auto"/>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45 697</w:t>
            </w:r>
          </w:p>
        </w:tc>
        <w:tc>
          <w:tcPr>
            <w:tcW w:w="126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Solid/sludge wastes requiring special handling</w:t>
            </w:r>
          </w:p>
        </w:tc>
        <w:tc>
          <w:tcPr>
            <w:tcW w:w="108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N</w:t>
            </w:r>
          </w:p>
        </w:tc>
        <w:tc>
          <w:tcPr>
            <w:tcW w:w="135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132"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87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40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26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Contaminated soils</w:t>
            </w:r>
          </w:p>
        </w:tc>
        <w:tc>
          <w:tcPr>
            <w:tcW w:w="108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N119, N120, N121</w:t>
            </w:r>
          </w:p>
        </w:tc>
        <w:tc>
          <w:tcPr>
            <w:tcW w:w="1350" w:type="dxa"/>
            <w:tcBorders>
              <w:top w:val="nil"/>
              <w:left w:val="nil"/>
              <w:bottom w:val="single" w:sz="8" w:space="0" w:color="auto"/>
              <w:right w:val="single" w:sz="8" w:space="0" w:color="auto"/>
            </w:tcBorders>
            <w:shd w:val="clear" w:color="000000" w:fill="CCC0D9"/>
            <w:noWrap/>
            <w:vAlign w:val="center"/>
            <w:hideMark/>
          </w:tcPr>
          <w:p w:rsidR="003A2E00" w:rsidRPr="00B03DC0" w:rsidRDefault="00554938" w:rsidP="003A2E00">
            <w:pPr>
              <w:spacing w:after="0" w:line="240" w:lineRule="auto"/>
              <w:jc w:val="right"/>
              <w:rPr>
                <w:rFonts w:eastAsia="Times New Roman" w:cs="Arial"/>
                <w:color w:val="000000"/>
                <w:sz w:val="16"/>
                <w:szCs w:val="16"/>
              </w:rPr>
            </w:pPr>
            <w:r>
              <w:rPr>
                <w:rFonts w:eastAsia="Times New Roman" w:cs="Arial"/>
                <w:color w:val="000000"/>
                <w:sz w:val="16"/>
                <w:szCs w:val="16"/>
              </w:rPr>
              <w:t>504,500</w:t>
            </w:r>
          </w:p>
        </w:tc>
        <w:tc>
          <w:tcPr>
            <w:tcW w:w="1132" w:type="dxa"/>
            <w:tcBorders>
              <w:top w:val="nil"/>
              <w:left w:val="nil"/>
              <w:bottom w:val="single" w:sz="8" w:space="0" w:color="auto"/>
              <w:right w:val="single" w:sz="8" w:space="0" w:color="auto"/>
            </w:tcBorders>
            <w:shd w:val="clear" w:color="000000" w:fill="CCC0D9"/>
            <w:noWrap/>
            <w:vAlign w:val="center"/>
            <w:hideMark/>
          </w:tcPr>
          <w:p w:rsidR="003A2E00" w:rsidRPr="00B03DC0" w:rsidRDefault="00554938" w:rsidP="003A2E00">
            <w:pPr>
              <w:spacing w:after="0" w:line="240" w:lineRule="auto"/>
              <w:jc w:val="right"/>
              <w:rPr>
                <w:rFonts w:eastAsia="Times New Roman" w:cs="Arial"/>
                <w:color w:val="000000"/>
                <w:sz w:val="16"/>
                <w:szCs w:val="16"/>
              </w:rPr>
            </w:pPr>
            <w:r>
              <w:rPr>
                <w:rFonts w:eastAsia="Times New Roman" w:cs="Arial"/>
                <w:color w:val="000000"/>
                <w:sz w:val="16"/>
                <w:szCs w:val="16"/>
              </w:rPr>
              <w:t>216,854</w:t>
            </w:r>
          </w:p>
        </w:tc>
        <w:tc>
          <w:tcPr>
            <w:tcW w:w="87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407 596</w:t>
            </w:r>
          </w:p>
        </w:tc>
        <w:tc>
          <w:tcPr>
            <w:tcW w:w="140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7 671</w:t>
            </w:r>
          </w:p>
        </w:tc>
        <w:tc>
          <w:tcPr>
            <w:tcW w:w="126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219 322</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Prescribed waste residues in bags or containers not specified under N100 and N105</w:t>
            </w:r>
          </w:p>
        </w:tc>
        <w:tc>
          <w:tcPr>
            <w:tcW w:w="108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N110</w:t>
            </w:r>
          </w:p>
        </w:tc>
        <w:tc>
          <w:tcPr>
            <w:tcW w:w="135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w:t>
            </w:r>
          </w:p>
        </w:tc>
        <w:tc>
          <w:tcPr>
            <w:tcW w:w="1132"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14.00</w:t>
            </w:r>
          </w:p>
        </w:tc>
        <w:tc>
          <w:tcPr>
            <w:tcW w:w="87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10 783</w:t>
            </w:r>
          </w:p>
        </w:tc>
        <w:tc>
          <w:tcPr>
            <w:tcW w:w="140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w:t>
            </w:r>
          </w:p>
        </w:tc>
        <w:tc>
          <w:tcPr>
            <w:tcW w:w="126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Industrial waste treatment plant residues (inc. Sewage sludge/ residues)</w:t>
            </w:r>
          </w:p>
        </w:tc>
        <w:tc>
          <w:tcPr>
            <w:tcW w:w="108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N205</w:t>
            </w:r>
          </w:p>
        </w:tc>
        <w:tc>
          <w:tcPr>
            <w:tcW w:w="1350" w:type="dxa"/>
            <w:tcBorders>
              <w:top w:val="nil"/>
              <w:left w:val="nil"/>
              <w:bottom w:val="single" w:sz="8" w:space="0" w:color="auto"/>
              <w:right w:val="single" w:sz="8" w:space="0" w:color="auto"/>
            </w:tcBorders>
            <w:shd w:val="clear" w:color="000000" w:fill="CCC0D9"/>
            <w:noWrap/>
            <w:vAlign w:val="center"/>
            <w:hideMark/>
          </w:tcPr>
          <w:p w:rsidR="003A2E00" w:rsidRPr="00B03DC0" w:rsidRDefault="00554938" w:rsidP="00554938">
            <w:pPr>
              <w:spacing w:after="0" w:line="240" w:lineRule="auto"/>
              <w:jc w:val="right"/>
              <w:rPr>
                <w:rFonts w:eastAsia="Times New Roman" w:cs="Arial"/>
                <w:color w:val="000000"/>
                <w:sz w:val="16"/>
                <w:szCs w:val="16"/>
              </w:rPr>
            </w:pPr>
            <w:r>
              <w:rPr>
                <w:rFonts w:eastAsia="Times New Roman" w:cs="Arial"/>
                <w:color w:val="000000"/>
                <w:sz w:val="16"/>
                <w:szCs w:val="16"/>
              </w:rPr>
              <w:t>320,657</w:t>
            </w:r>
          </w:p>
        </w:tc>
        <w:tc>
          <w:tcPr>
            <w:tcW w:w="1132" w:type="dxa"/>
            <w:tcBorders>
              <w:top w:val="nil"/>
              <w:left w:val="nil"/>
              <w:bottom w:val="single" w:sz="8" w:space="0" w:color="auto"/>
              <w:right w:val="single" w:sz="8" w:space="0" w:color="auto"/>
            </w:tcBorders>
            <w:shd w:val="clear" w:color="000000" w:fill="CCC0D9"/>
            <w:noWrap/>
            <w:vAlign w:val="center"/>
            <w:hideMark/>
          </w:tcPr>
          <w:p w:rsidR="003A2E00" w:rsidRPr="00B03DC0" w:rsidRDefault="00554938" w:rsidP="003A2E00">
            <w:pPr>
              <w:spacing w:after="0" w:line="240" w:lineRule="auto"/>
              <w:jc w:val="right"/>
              <w:rPr>
                <w:rFonts w:eastAsia="Times New Roman" w:cs="Arial"/>
                <w:color w:val="000000"/>
                <w:sz w:val="16"/>
                <w:szCs w:val="16"/>
              </w:rPr>
            </w:pPr>
            <w:r>
              <w:rPr>
                <w:rFonts w:eastAsia="Times New Roman" w:cs="Arial"/>
                <w:color w:val="000000"/>
                <w:sz w:val="16"/>
                <w:szCs w:val="16"/>
              </w:rPr>
              <w:t>324,533</w:t>
            </w:r>
          </w:p>
        </w:tc>
        <w:tc>
          <w:tcPr>
            <w:tcW w:w="879" w:type="dxa"/>
            <w:tcBorders>
              <w:top w:val="nil"/>
              <w:left w:val="nil"/>
              <w:bottom w:val="single" w:sz="8" w:space="0" w:color="auto"/>
              <w:right w:val="single" w:sz="8" w:space="0" w:color="auto"/>
            </w:tcBorders>
            <w:shd w:val="clear" w:color="000000" w:fill="CCC0D9"/>
            <w:noWrap/>
            <w:vAlign w:val="center"/>
            <w:hideMark/>
          </w:tcPr>
          <w:p w:rsidR="003A2E00" w:rsidRPr="00B03DC0" w:rsidRDefault="00554938" w:rsidP="00554938">
            <w:pPr>
              <w:spacing w:after="0" w:line="240" w:lineRule="auto"/>
              <w:jc w:val="right"/>
              <w:rPr>
                <w:rFonts w:eastAsia="Times New Roman" w:cs="Arial"/>
                <w:color w:val="000000"/>
                <w:sz w:val="16"/>
                <w:szCs w:val="16"/>
              </w:rPr>
            </w:pPr>
            <w:r>
              <w:rPr>
                <w:rFonts w:eastAsia="Times New Roman" w:cs="Arial"/>
                <w:color w:val="000000"/>
                <w:sz w:val="16"/>
                <w:szCs w:val="16"/>
              </w:rPr>
              <w:t>415,</w:t>
            </w:r>
            <w:r w:rsidR="003A2E00" w:rsidRPr="00B03DC0">
              <w:rPr>
                <w:rFonts w:eastAsia="Times New Roman" w:cs="Arial"/>
                <w:color w:val="000000"/>
                <w:sz w:val="16"/>
                <w:szCs w:val="16"/>
              </w:rPr>
              <w:t>40</w:t>
            </w:r>
            <w:r>
              <w:rPr>
                <w:rFonts w:eastAsia="Times New Roman" w:cs="Arial"/>
                <w:color w:val="000000"/>
                <w:sz w:val="16"/>
                <w:szCs w:val="16"/>
              </w:rPr>
              <w:t>2</w:t>
            </w:r>
          </w:p>
        </w:tc>
        <w:tc>
          <w:tcPr>
            <w:tcW w:w="1409" w:type="dxa"/>
            <w:tcBorders>
              <w:top w:val="nil"/>
              <w:left w:val="nil"/>
              <w:bottom w:val="single" w:sz="8" w:space="0" w:color="auto"/>
              <w:right w:val="single" w:sz="8" w:space="0" w:color="auto"/>
            </w:tcBorders>
            <w:shd w:val="clear" w:color="000000" w:fill="CCC0D9"/>
            <w:noWrap/>
            <w:vAlign w:val="center"/>
            <w:hideMark/>
          </w:tcPr>
          <w:p w:rsidR="003A2E00" w:rsidRPr="00B03DC0" w:rsidRDefault="00554938" w:rsidP="003A2E00">
            <w:pPr>
              <w:spacing w:after="0" w:line="240" w:lineRule="auto"/>
              <w:jc w:val="right"/>
              <w:rPr>
                <w:rFonts w:eastAsia="Times New Roman" w:cs="Arial"/>
                <w:color w:val="000000"/>
                <w:sz w:val="16"/>
                <w:szCs w:val="16"/>
              </w:rPr>
            </w:pPr>
            <w:r>
              <w:rPr>
                <w:rFonts w:eastAsia="Times New Roman" w:cs="Arial"/>
                <w:color w:val="000000"/>
                <w:sz w:val="16"/>
                <w:szCs w:val="16"/>
              </w:rPr>
              <w:t>112,832</w:t>
            </w:r>
          </w:p>
        </w:tc>
        <w:tc>
          <w:tcPr>
            <w:tcW w:w="1260" w:type="dxa"/>
            <w:tcBorders>
              <w:top w:val="nil"/>
              <w:left w:val="nil"/>
              <w:bottom w:val="single" w:sz="8" w:space="0" w:color="auto"/>
              <w:right w:val="single" w:sz="8" w:space="0" w:color="auto"/>
            </w:tcBorders>
            <w:shd w:val="clear" w:color="000000" w:fill="CCC0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106 222</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Asbestos</w:t>
            </w:r>
          </w:p>
        </w:tc>
        <w:tc>
          <w:tcPr>
            <w:tcW w:w="108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N220</w:t>
            </w:r>
          </w:p>
        </w:tc>
        <w:tc>
          <w:tcPr>
            <w:tcW w:w="1350" w:type="dxa"/>
            <w:tcBorders>
              <w:top w:val="nil"/>
              <w:left w:val="nil"/>
              <w:bottom w:val="single" w:sz="8" w:space="0" w:color="auto"/>
              <w:right w:val="single" w:sz="8" w:space="0" w:color="auto"/>
            </w:tcBorders>
            <w:shd w:val="clear" w:color="000000" w:fill="CCC0D9"/>
            <w:noWrap/>
            <w:vAlign w:val="center"/>
            <w:hideMark/>
          </w:tcPr>
          <w:p w:rsidR="003A2E00" w:rsidRPr="00B03DC0" w:rsidRDefault="00554938" w:rsidP="003A2E00">
            <w:pPr>
              <w:spacing w:after="0" w:line="240" w:lineRule="auto"/>
              <w:jc w:val="right"/>
              <w:rPr>
                <w:rFonts w:eastAsia="Times New Roman" w:cs="Arial"/>
                <w:color w:val="000000"/>
                <w:sz w:val="16"/>
                <w:szCs w:val="16"/>
              </w:rPr>
            </w:pPr>
            <w:r>
              <w:rPr>
                <w:rFonts w:eastAsia="Times New Roman" w:cs="Arial"/>
                <w:color w:val="000000"/>
                <w:sz w:val="16"/>
                <w:szCs w:val="16"/>
              </w:rPr>
              <w:t>199,000</w:t>
            </w:r>
          </w:p>
        </w:tc>
        <w:tc>
          <w:tcPr>
            <w:tcW w:w="1132"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100 162</w:t>
            </w:r>
          </w:p>
        </w:tc>
        <w:tc>
          <w:tcPr>
            <w:tcW w:w="87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40 964</w:t>
            </w:r>
          </w:p>
        </w:tc>
        <w:tc>
          <w:tcPr>
            <w:tcW w:w="1409" w:type="dxa"/>
            <w:tcBorders>
              <w:top w:val="nil"/>
              <w:left w:val="nil"/>
              <w:bottom w:val="single" w:sz="8" w:space="0" w:color="auto"/>
              <w:right w:val="single" w:sz="8" w:space="0" w:color="auto"/>
            </w:tcBorders>
            <w:shd w:val="clear" w:color="000000" w:fill="FFFFFF"/>
            <w:noWrap/>
            <w:vAlign w:val="center"/>
            <w:hideMark/>
          </w:tcPr>
          <w:p w:rsidR="003A2E00" w:rsidRPr="00B03DC0" w:rsidRDefault="00554938" w:rsidP="003A2E00">
            <w:pPr>
              <w:spacing w:after="0" w:line="240" w:lineRule="auto"/>
              <w:jc w:val="right"/>
              <w:rPr>
                <w:rFonts w:eastAsia="Times New Roman" w:cs="Arial"/>
                <w:color w:val="000000"/>
                <w:sz w:val="16"/>
                <w:szCs w:val="16"/>
              </w:rPr>
            </w:pPr>
            <w:r>
              <w:rPr>
                <w:rFonts w:eastAsia="Times New Roman" w:cs="Arial"/>
                <w:color w:val="000000"/>
                <w:sz w:val="16"/>
                <w:szCs w:val="16"/>
              </w:rPr>
              <w:t>50,198</w:t>
            </w:r>
          </w:p>
        </w:tc>
        <w:tc>
          <w:tcPr>
            <w:tcW w:w="126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20 101</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Clinical and pharmaceutical wastes</w:t>
            </w:r>
          </w:p>
        </w:tc>
        <w:tc>
          <w:tcPr>
            <w:tcW w:w="108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R</w:t>
            </w:r>
          </w:p>
        </w:tc>
        <w:tc>
          <w:tcPr>
            <w:tcW w:w="135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132"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87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40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26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Clinical and related wastes, NOS (biomedical waste)</w:t>
            </w:r>
          </w:p>
        </w:tc>
        <w:tc>
          <w:tcPr>
            <w:tcW w:w="108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R100</w:t>
            </w:r>
          </w:p>
        </w:tc>
        <w:tc>
          <w:tcPr>
            <w:tcW w:w="135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216.00</w:t>
            </w:r>
          </w:p>
        </w:tc>
        <w:tc>
          <w:tcPr>
            <w:tcW w:w="1132"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17 744</w:t>
            </w:r>
          </w:p>
        </w:tc>
        <w:tc>
          <w:tcPr>
            <w:tcW w:w="87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9 272</w:t>
            </w:r>
          </w:p>
        </w:tc>
        <w:tc>
          <w:tcPr>
            <w:tcW w:w="1409"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2 837</w:t>
            </w:r>
          </w:p>
        </w:tc>
        <w:tc>
          <w:tcPr>
            <w:tcW w:w="126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15 067</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Miscellaneous</w:t>
            </w:r>
          </w:p>
        </w:tc>
        <w:tc>
          <w:tcPr>
            <w:tcW w:w="108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rPr>
                <w:rFonts w:eastAsia="Times New Roman" w:cs="Arial"/>
                <w:b/>
                <w:bCs/>
                <w:color w:val="000000"/>
                <w:sz w:val="16"/>
                <w:szCs w:val="16"/>
              </w:rPr>
            </w:pPr>
            <w:r w:rsidRPr="00B03DC0">
              <w:rPr>
                <w:rFonts w:eastAsia="Times New Roman" w:cs="Arial"/>
                <w:b/>
                <w:bCs/>
                <w:color w:val="000000"/>
                <w:sz w:val="16"/>
                <w:szCs w:val="16"/>
              </w:rPr>
              <w:t>T</w:t>
            </w:r>
          </w:p>
        </w:tc>
        <w:tc>
          <w:tcPr>
            <w:tcW w:w="135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132"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87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409"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c>
          <w:tcPr>
            <w:tcW w:w="1260" w:type="dxa"/>
            <w:tcBorders>
              <w:top w:val="nil"/>
              <w:left w:val="nil"/>
              <w:bottom w:val="single" w:sz="8" w:space="0" w:color="auto"/>
              <w:right w:val="single" w:sz="8" w:space="0" w:color="auto"/>
            </w:tcBorders>
            <w:shd w:val="clear" w:color="000000" w:fill="D9D9D9"/>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 </w:t>
            </w:r>
          </w:p>
        </w:tc>
      </w:tr>
      <w:tr w:rsidR="003A2E00" w:rsidRPr="00B03DC0" w:rsidTr="003A2E00">
        <w:trPr>
          <w:trHeight w:val="315"/>
        </w:trPr>
        <w:tc>
          <w:tcPr>
            <w:tcW w:w="5955" w:type="dxa"/>
            <w:tcBorders>
              <w:top w:val="nil"/>
              <w:left w:val="single" w:sz="8" w:space="0" w:color="auto"/>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Tyres</w:t>
            </w:r>
          </w:p>
        </w:tc>
        <w:tc>
          <w:tcPr>
            <w:tcW w:w="1080" w:type="dxa"/>
            <w:tcBorders>
              <w:top w:val="nil"/>
              <w:left w:val="nil"/>
              <w:bottom w:val="single" w:sz="8" w:space="0" w:color="auto"/>
              <w:right w:val="single" w:sz="8" w:space="0" w:color="auto"/>
            </w:tcBorders>
            <w:shd w:val="clear" w:color="000000" w:fill="FFFFFF"/>
            <w:noWrap/>
            <w:vAlign w:val="center"/>
            <w:hideMark/>
          </w:tcPr>
          <w:p w:rsidR="003A2E00" w:rsidRPr="00B03DC0" w:rsidRDefault="003A2E00" w:rsidP="003A2E00">
            <w:pPr>
              <w:spacing w:after="0" w:line="240" w:lineRule="auto"/>
              <w:rPr>
                <w:rFonts w:eastAsia="Times New Roman" w:cs="Arial"/>
                <w:color w:val="000000"/>
                <w:sz w:val="16"/>
                <w:szCs w:val="16"/>
              </w:rPr>
            </w:pPr>
            <w:r w:rsidRPr="00B03DC0">
              <w:rPr>
                <w:rFonts w:eastAsia="Times New Roman" w:cs="Arial"/>
                <w:color w:val="000000"/>
                <w:sz w:val="16"/>
                <w:szCs w:val="16"/>
              </w:rPr>
              <w:t>T140</w:t>
            </w:r>
          </w:p>
        </w:tc>
        <w:tc>
          <w:tcPr>
            <w:tcW w:w="1350" w:type="dxa"/>
            <w:tcBorders>
              <w:top w:val="nil"/>
              <w:left w:val="nil"/>
              <w:bottom w:val="single" w:sz="8" w:space="0" w:color="auto"/>
              <w:right w:val="single" w:sz="8" w:space="0" w:color="auto"/>
            </w:tcBorders>
            <w:shd w:val="clear" w:color="000000" w:fill="CCC0DA"/>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100,968</w:t>
            </w:r>
          </w:p>
        </w:tc>
        <w:tc>
          <w:tcPr>
            <w:tcW w:w="1132" w:type="dxa"/>
            <w:tcBorders>
              <w:top w:val="nil"/>
              <w:left w:val="nil"/>
              <w:bottom w:val="single" w:sz="8" w:space="0" w:color="auto"/>
              <w:right w:val="single" w:sz="8" w:space="0" w:color="auto"/>
            </w:tcBorders>
            <w:shd w:val="clear" w:color="000000" w:fill="CCC0DA"/>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88,055</w:t>
            </w:r>
          </w:p>
        </w:tc>
        <w:tc>
          <w:tcPr>
            <w:tcW w:w="879" w:type="dxa"/>
            <w:tcBorders>
              <w:top w:val="nil"/>
              <w:left w:val="nil"/>
              <w:bottom w:val="single" w:sz="8" w:space="0" w:color="auto"/>
              <w:right w:val="single" w:sz="8" w:space="0" w:color="auto"/>
            </w:tcBorders>
            <w:shd w:val="clear" w:color="000000" w:fill="CCC0DA"/>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84,113</w:t>
            </w:r>
          </w:p>
        </w:tc>
        <w:tc>
          <w:tcPr>
            <w:tcW w:w="1409" w:type="dxa"/>
            <w:tcBorders>
              <w:top w:val="nil"/>
              <w:left w:val="nil"/>
              <w:bottom w:val="single" w:sz="8" w:space="0" w:color="auto"/>
              <w:right w:val="single" w:sz="8" w:space="0" w:color="auto"/>
            </w:tcBorders>
            <w:shd w:val="clear" w:color="000000" w:fill="CCC0DA"/>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67,269</w:t>
            </w:r>
          </w:p>
        </w:tc>
        <w:tc>
          <w:tcPr>
            <w:tcW w:w="1260" w:type="dxa"/>
            <w:tcBorders>
              <w:top w:val="nil"/>
              <w:left w:val="nil"/>
              <w:bottom w:val="single" w:sz="8" w:space="0" w:color="auto"/>
              <w:right w:val="single" w:sz="8" w:space="0" w:color="auto"/>
            </w:tcBorders>
            <w:shd w:val="clear" w:color="000000" w:fill="CCC0DA"/>
            <w:noWrap/>
            <w:vAlign w:val="center"/>
            <w:hideMark/>
          </w:tcPr>
          <w:p w:rsidR="003A2E00" w:rsidRPr="00B03DC0" w:rsidRDefault="003A2E00" w:rsidP="003A2E00">
            <w:pPr>
              <w:spacing w:after="0" w:line="240" w:lineRule="auto"/>
              <w:jc w:val="right"/>
              <w:rPr>
                <w:rFonts w:eastAsia="Times New Roman" w:cs="Arial"/>
                <w:color w:val="000000"/>
                <w:sz w:val="16"/>
                <w:szCs w:val="16"/>
              </w:rPr>
            </w:pPr>
            <w:r w:rsidRPr="00B03DC0">
              <w:rPr>
                <w:rFonts w:eastAsia="Times New Roman" w:cs="Arial"/>
                <w:color w:val="000000"/>
                <w:sz w:val="16"/>
                <w:szCs w:val="16"/>
              </w:rPr>
              <w:t>28,785</w:t>
            </w:r>
          </w:p>
        </w:tc>
      </w:tr>
    </w:tbl>
    <w:p w:rsidR="003A2E00" w:rsidRDefault="003A2E00" w:rsidP="003A2E00"/>
    <w:p w:rsidR="003A2E00" w:rsidRPr="003A2E00" w:rsidRDefault="003A2E00" w:rsidP="003A2E00"/>
    <w:p w:rsidR="003A2E00" w:rsidRPr="003A2E00" w:rsidRDefault="003A2E00" w:rsidP="003A2E00">
      <w:pPr>
        <w:pStyle w:val="KMHBulletLevel1"/>
        <w:numPr>
          <w:ilvl w:val="0"/>
          <w:numId w:val="0"/>
        </w:numPr>
        <w:spacing w:before="120"/>
        <w:ind w:left="360"/>
        <w:contextualSpacing w:val="0"/>
        <w:rPr>
          <w:sz w:val="16"/>
        </w:rPr>
      </w:pPr>
    </w:p>
    <w:p w:rsidR="002B7EEC" w:rsidRPr="00706550" w:rsidRDefault="007D7184" w:rsidP="007D7184">
      <w:pPr>
        <w:pStyle w:val="KMHBulletLevel1"/>
        <w:spacing w:before="120"/>
        <w:contextualSpacing w:val="0"/>
        <w:rPr>
          <w:sz w:val="16"/>
        </w:rPr>
      </w:pPr>
      <w:r w:rsidRPr="007D7184">
        <w:rPr>
          <w:sz w:val="16"/>
          <w:shd w:val="clear" w:color="auto" w:fill="CCC0D9" w:themeFill="accent4" w:themeFillTint="66"/>
        </w:rPr>
        <w:t>Purple</w:t>
      </w:r>
      <w:r w:rsidR="002B7EEC" w:rsidRPr="007D7184">
        <w:rPr>
          <w:sz w:val="16"/>
          <w:shd w:val="clear" w:color="auto" w:fill="CCC0D9" w:themeFill="accent4" w:themeFillTint="66"/>
        </w:rPr>
        <w:t xml:space="preserve"> </w:t>
      </w:r>
      <w:r w:rsidR="002B7EEC" w:rsidRPr="00706550">
        <w:rPr>
          <w:sz w:val="16"/>
        </w:rPr>
        <w:t xml:space="preserve">= </w:t>
      </w:r>
      <w:r>
        <w:rPr>
          <w:sz w:val="16"/>
        </w:rPr>
        <w:t>Quantities estimated from other sources (as described in Section 3.1.2, I6) used to fill gaps in tracked data</w:t>
      </w:r>
    </w:p>
    <w:p w:rsidR="002B7EEC" w:rsidRDefault="009C55DC" w:rsidP="00F52D38">
      <w:pPr>
        <w:rPr>
          <w:sz w:val="16"/>
        </w:rPr>
      </w:pPr>
      <w:r>
        <w:rPr>
          <w:sz w:val="16"/>
        </w:rPr>
        <w:t>*</w:t>
      </w:r>
      <w:r w:rsidR="007D7184" w:rsidRPr="007D7184">
        <w:rPr>
          <w:sz w:val="16"/>
        </w:rPr>
        <w:t>*</w:t>
      </w:r>
      <w:r w:rsidR="007D7184" w:rsidRPr="007D7184">
        <w:rPr>
          <w:sz w:val="16"/>
        </w:rPr>
        <w:tab/>
      </w:r>
      <w:r w:rsidR="007D7184">
        <w:rPr>
          <w:sz w:val="16"/>
        </w:rPr>
        <w:t xml:space="preserve">Insufficient information </w:t>
      </w:r>
      <w:r>
        <w:rPr>
          <w:sz w:val="16"/>
        </w:rPr>
        <w:t>available to fill gap</w:t>
      </w:r>
    </w:p>
    <w:p w:rsidR="007D7184" w:rsidRPr="007D7184" w:rsidRDefault="007D7184" w:rsidP="00F52D38">
      <w:pPr>
        <w:rPr>
          <w:sz w:val="16"/>
        </w:rPr>
      </w:pPr>
      <w:r w:rsidRPr="007D7184">
        <w:rPr>
          <w:sz w:val="16"/>
        </w:rPr>
        <w:t>-</w:t>
      </w:r>
      <w:r w:rsidRPr="007D7184">
        <w:rPr>
          <w:sz w:val="16"/>
        </w:rPr>
        <w:tab/>
        <w:t>Not reported</w:t>
      </w:r>
    </w:p>
    <w:p w:rsidR="002B7EEC" w:rsidRDefault="002B7EEC" w:rsidP="00F52D38">
      <w:pPr>
        <w:rPr>
          <w:b/>
        </w:rPr>
      </w:pPr>
    </w:p>
    <w:p w:rsidR="003A2E00" w:rsidRDefault="003A2E00">
      <w:pPr>
        <w:spacing w:after="0"/>
        <w:jc w:val="left"/>
        <w:rPr>
          <w:b/>
        </w:rPr>
        <w:sectPr w:rsidR="003A2E00" w:rsidSect="003D510A">
          <w:pgSz w:w="16839" w:h="11907" w:orient="landscape" w:code="9"/>
          <w:pgMar w:top="1701" w:right="1701" w:bottom="1134" w:left="1134" w:header="567" w:footer="567" w:gutter="0"/>
          <w:cols w:space="708"/>
          <w:docGrid w:linePitch="360"/>
        </w:sectPr>
      </w:pPr>
    </w:p>
    <w:p w:rsidR="00F52D38" w:rsidRPr="001D62E9" w:rsidRDefault="00F52D38" w:rsidP="00F52D38">
      <w:pPr>
        <w:rPr>
          <w:b/>
        </w:rPr>
      </w:pPr>
      <w:r w:rsidRPr="001D62E9">
        <w:rPr>
          <w:b/>
        </w:rPr>
        <w:lastRenderedPageBreak/>
        <w:t>I6. Impact of contaminated soils on waste totals</w:t>
      </w:r>
    </w:p>
    <w:p w:rsidR="00786908" w:rsidRDefault="00506F3E" w:rsidP="00F52D38">
      <w:r>
        <w:t xml:space="preserve">Contaminated soil is a special case in the assessment of hazardous waste data.  It is </w:t>
      </w:r>
      <w:r w:rsidR="005F77D0">
        <w:t>a result of construction and development</w:t>
      </w:r>
      <w:r>
        <w:t xml:space="preserve"> </w:t>
      </w:r>
      <w:r w:rsidR="00727CC0">
        <w:t>(including d</w:t>
      </w:r>
      <w:r>
        <w:t>emolition</w:t>
      </w:r>
      <w:r w:rsidR="00727CC0">
        <w:t>)</w:t>
      </w:r>
      <w:r w:rsidR="005F77D0">
        <w:t xml:space="preserve"> activities that require the excavation of contaminated material. </w:t>
      </w:r>
      <w:r>
        <w:t xml:space="preserve"> The level of contamination is an historical legacy issue, whereas the quantity produced in any given year fluctuates with the level of development activity in contaminant prone </w:t>
      </w:r>
      <w:r w:rsidR="00727CC0">
        <w:t xml:space="preserve">geographical </w:t>
      </w:r>
      <w:r>
        <w:t xml:space="preserve">areas.  </w:t>
      </w:r>
      <w:r w:rsidR="00670504">
        <w:t>Influences such as economic climate, industry growth and demographic changes can all impact on the am</w:t>
      </w:r>
      <w:r w:rsidR="00727CC0">
        <w:t>ount of development undertaken.</w:t>
      </w:r>
    </w:p>
    <w:p w:rsidR="00506F3E" w:rsidRDefault="00727CC0" w:rsidP="00F52D38">
      <w:r>
        <w:t>T</w:t>
      </w:r>
      <w:r w:rsidR="00506F3E">
        <w:t>hese drivers are quite different</w:t>
      </w:r>
      <w:r>
        <w:t xml:space="preserve"> from virtually all other hazardous waste categories, perhaps with the exception of asbestos, which exhibits similar drivers.  Other wastes are more directly related to </w:t>
      </w:r>
      <w:r w:rsidR="00BC49C9">
        <w:t xml:space="preserve">current activities </w:t>
      </w:r>
      <w:r>
        <w:t>and therefore strategies to tackle their reduction can tap into consumption behaviours, including efficiencies and resource recovery.  Conversely</w:t>
      </w:r>
      <w:r w:rsidR="00BB7AFE">
        <w:t>,</w:t>
      </w:r>
      <w:r>
        <w:t xml:space="preserve"> contaminated soil quantities can vary widely from year to year due to factors unrelated to </w:t>
      </w:r>
      <w:r w:rsidR="00BC49C9">
        <w:t>the activity that caused the contamination</w:t>
      </w:r>
      <w:r>
        <w:t>, which overwhelms all other waste data and introduces the potential for misleading messages to be concluded from the data around trend and broader waste producer behaviours.</w:t>
      </w:r>
    </w:p>
    <w:p w:rsidR="00893626" w:rsidRPr="00893626" w:rsidRDefault="00021847" w:rsidP="00F52D38">
      <w:r>
        <w:t>To provide a picture of hazardous waste without this large, sporadic and unpredictable influence, contaminated soil quantities have been excised from Figure 2 to provide a truer comparison between jurisdictions.  This is depicted in</w:t>
      </w:r>
      <w:r w:rsidR="00CA6CF5">
        <w:t xml:space="preserve"> </w:t>
      </w:r>
      <w:r w:rsidR="00C03A4D" w:rsidRPr="00893626">
        <w:fldChar w:fldCharType="begin"/>
      </w:r>
      <w:r w:rsidR="00893626" w:rsidRPr="00893626">
        <w:instrText xml:space="preserve"> REF _Ref347841330 \h </w:instrText>
      </w:r>
      <w:r w:rsidR="00C03A4D" w:rsidRPr="00893626">
        <w:fldChar w:fldCharType="separate"/>
      </w:r>
      <w:r w:rsidR="004B2C72">
        <w:t xml:space="preserve">Figure </w:t>
      </w:r>
      <w:r w:rsidR="004B2C72">
        <w:rPr>
          <w:noProof/>
        </w:rPr>
        <w:t>3</w:t>
      </w:r>
      <w:r w:rsidR="00C03A4D" w:rsidRPr="00893626">
        <w:fldChar w:fldCharType="end"/>
      </w:r>
      <w:r w:rsidR="00893626" w:rsidRPr="00893626">
        <w:t xml:space="preserve"> below</w:t>
      </w:r>
      <w:r w:rsidR="00CA6CF5">
        <w:t>, which</w:t>
      </w:r>
      <w:r w:rsidR="00893626">
        <w:t xml:space="preserve"> </w:t>
      </w:r>
      <w:r w:rsidR="002D61D6">
        <w:t xml:space="preserve">shows the </w:t>
      </w:r>
      <w:r w:rsidR="00786908">
        <w:t xml:space="preserve">normalised </w:t>
      </w:r>
      <w:r w:rsidR="00893626">
        <w:t>hazardous wast</w:t>
      </w:r>
      <w:r w:rsidR="00786908">
        <w:t>e totals</w:t>
      </w:r>
      <w:r w:rsidR="002D61D6">
        <w:t xml:space="preserve"> for each jurisdiction</w:t>
      </w:r>
      <w:r w:rsidR="00A472CC">
        <w:t>,</w:t>
      </w:r>
      <w:r w:rsidR="002D61D6">
        <w:t xml:space="preserve"> contaminated soils</w:t>
      </w:r>
      <w:r w:rsidR="00A472CC">
        <w:t xml:space="preserve"> excluded</w:t>
      </w:r>
      <w:r w:rsidR="002D61D6">
        <w:t xml:space="preserve">. </w:t>
      </w:r>
    </w:p>
    <w:p w:rsidR="00CE590B" w:rsidRPr="00893626" w:rsidRDefault="00983AAC" w:rsidP="00F52D38">
      <w:r>
        <w:rPr>
          <w:noProof/>
          <w:lang w:eastAsia="en-AU"/>
        </w:rPr>
        <w:drawing>
          <wp:inline distT="0" distB="0" distL="0" distR="0">
            <wp:extent cx="5759355" cy="349776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603" cy="3496091"/>
                    </a:xfrm>
                    <a:prstGeom prst="rect">
                      <a:avLst/>
                    </a:prstGeom>
                    <a:noFill/>
                  </pic:spPr>
                </pic:pic>
              </a:graphicData>
            </a:graphic>
          </wp:inline>
        </w:drawing>
      </w:r>
    </w:p>
    <w:p w:rsidR="00893626" w:rsidRPr="00F52D38" w:rsidRDefault="00893626" w:rsidP="00893626">
      <w:pPr>
        <w:pStyle w:val="Caption"/>
        <w:rPr>
          <w:u w:val="single"/>
        </w:rPr>
      </w:pPr>
      <w:bookmarkStart w:id="33" w:name="_Ref347841330"/>
      <w:bookmarkStart w:id="34" w:name="_Toc350441370"/>
      <w:r>
        <w:t xml:space="preserve">Figure </w:t>
      </w:r>
      <w:r w:rsidR="00C03A4D">
        <w:fldChar w:fldCharType="begin"/>
      </w:r>
      <w:r w:rsidR="00945DDB">
        <w:instrText xml:space="preserve"> SEQ Figure \* ARABIC </w:instrText>
      </w:r>
      <w:r w:rsidR="00C03A4D">
        <w:fldChar w:fldCharType="separate"/>
      </w:r>
      <w:r w:rsidR="004B2C72">
        <w:rPr>
          <w:noProof/>
        </w:rPr>
        <w:t>3</w:t>
      </w:r>
      <w:r w:rsidR="00C03A4D">
        <w:rPr>
          <w:noProof/>
        </w:rPr>
        <w:fldChar w:fldCharType="end"/>
      </w:r>
      <w:bookmarkEnd w:id="33"/>
      <w:r w:rsidR="00174C60">
        <w:rPr>
          <w:noProof/>
        </w:rPr>
        <w:t>—N</w:t>
      </w:r>
      <w:r w:rsidR="00BB7AFE">
        <w:t>ormalised</w:t>
      </w:r>
      <w:r>
        <w:t xml:space="preserve"> hazardous waste </w:t>
      </w:r>
      <w:r w:rsidR="00021847">
        <w:t>generated by</w:t>
      </w:r>
      <w:r>
        <w:t xml:space="preserve"> jurisdiction</w:t>
      </w:r>
      <w:r w:rsidR="00BB7AFE">
        <w:t xml:space="preserve"> in </w:t>
      </w:r>
      <w:r w:rsidR="00460043">
        <w:t>2010–11</w:t>
      </w:r>
      <w:r>
        <w:t xml:space="preserve"> (ex</w:t>
      </w:r>
      <w:r w:rsidR="00F971E2">
        <w:t>cluding</w:t>
      </w:r>
      <w:r w:rsidR="0018416C">
        <w:t xml:space="preserve"> c</w:t>
      </w:r>
      <w:r>
        <w:t>ontaminated soils)</w:t>
      </w:r>
      <w:bookmarkEnd w:id="34"/>
    </w:p>
    <w:p w:rsidR="009C55DC" w:rsidRDefault="009C55DC">
      <w:pPr>
        <w:spacing w:after="0"/>
        <w:jc w:val="left"/>
        <w:rPr>
          <w:b/>
        </w:rPr>
      </w:pPr>
      <w:r>
        <w:rPr>
          <w:b/>
        </w:rPr>
        <w:br w:type="page"/>
      </w:r>
    </w:p>
    <w:p w:rsidR="00F52D38" w:rsidRPr="001D62E9" w:rsidRDefault="00F52D38" w:rsidP="00F52D38">
      <w:pPr>
        <w:rPr>
          <w:b/>
        </w:rPr>
      </w:pPr>
      <w:r w:rsidRPr="001D62E9">
        <w:rPr>
          <w:b/>
        </w:rPr>
        <w:lastRenderedPageBreak/>
        <w:t>I7. Per capita comparison</w:t>
      </w:r>
    </w:p>
    <w:p w:rsidR="00992CC4" w:rsidRDefault="001412D5">
      <w:pPr>
        <w:spacing w:after="60"/>
      </w:pPr>
      <w:r>
        <w:t>H</w:t>
      </w:r>
      <w:r w:rsidR="004763B4">
        <w:t>a</w:t>
      </w:r>
      <w:r w:rsidR="002D762C">
        <w:t>zardous waste generated per capita for each jurisdiction</w:t>
      </w:r>
      <w:r w:rsidR="004763B4">
        <w:t xml:space="preserve">, </w:t>
      </w:r>
      <w:r>
        <w:t xml:space="preserve">normalised and </w:t>
      </w:r>
      <w:r w:rsidR="004763B4">
        <w:t xml:space="preserve">excluding contaminated soils, is shown in </w:t>
      </w:r>
      <w:r w:rsidR="00C03A4D" w:rsidRPr="002D762C">
        <w:fldChar w:fldCharType="begin"/>
      </w:r>
      <w:r w:rsidR="004763B4" w:rsidRPr="002D762C">
        <w:instrText xml:space="preserve"> REF _Ref347903943 \h </w:instrText>
      </w:r>
      <w:r w:rsidR="00C03A4D" w:rsidRPr="002D762C">
        <w:fldChar w:fldCharType="separate"/>
      </w:r>
      <w:r w:rsidR="004B2C72">
        <w:t xml:space="preserve">Figure </w:t>
      </w:r>
      <w:r w:rsidR="004B2C72">
        <w:rPr>
          <w:noProof/>
        </w:rPr>
        <w:t>4</w:t>
      </w:r>
      <w:r w:rsidR="00C03A4D" w:rsidRPr="002D762C">
        <w:fldChar w:fldCharType="end"/>
      </w:r>
      <w:r w:rsidR="002D762C">
        <w:t xml:space="preserve">. </w:t>
      </w:r>
      <w:r w:rsidR="004763B4">
        <w:t>For comparison</w:t>
      </w:r>
      <w:r>
        <w:t xml:space="preserve"> purposes</w:t>
      </w:r>
      <w:r w:rsidR="004763B4">
        <w:t>, Figure 5</w:t>
      </w:r>
      <w:r>
        <w:t xml:space="preserve"> shows the same normalised per capita analysis, but with contaminated soils retained.</w:t>
      </w:r>
    </w:p>
    <w:p w:rsidR="003F32CD" w:rsidRDefault="00983AAC" w:rsidP="00F52D38">
      <w:r>
        <w:rPr>
          <w:noProof/>
          <w:lang w:eastAsia="en-AU"/>
        </w:rPr>
        <w:drawing>
          <wp:inline distT="0" distB="0" distL="0" distR="0">
            <wp:extent cx="5820770" cy="3421402"/>
            <wp:effectExtent l="0" t="0" r="889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2255" cy="3422275"/>
                    </a:xfrm>
                    <a:prstGeom prst="rect">
                      <a:avLst/>
                    </a:prstGeom>
                    <a:noFill/>
                  </pic:spPr>
                </pic:pic>
              </a:graphicData>
            </a:graphic>
          </wp:inline>
        </w:drawing>
      </w:r>
    </w:p>
    <w:p w:rsidR="00CF74E6" w:rsidRDefault="00CF74E6" w:rsidP="001412D5">
      <w:pPr>
        <w:pStyle w:val="Caption"/>
        <w:spacing w:after="120"/>
      </w:pPr>
      <w:bookmarkStart w:id="35" w:name="_Ref347903943"/>
      <w:bookmarkStart w:id="36" w:name="_Toc350441371"/>
      <w:r>
        <w:t xml:space="preserve">Figure </w:t>
      </w:r>
      <w:r w:rsidR="00C03A4D">
        <w:fldChar w:fldCharType="begin"/>
      </w:r>
      <w:r w:rsidR="00945DDB">
        <w:instrText xml:space="preserve"> SEQ Figure \* ARABIC </w:instrText>
      </w:r>
      <w:r w:rsidR="00C03A4D">
        <w:fldChar w:fldCharType="separate"/>
      </w:r>
      <w:r w:rsidR="004B2C72">
        <w:rPr>
          <w:noProof/>
        </w:rPr>
        <w:t>4</w:t>
      </w:r>
      <w:r w:rsidR="00C03A4D">
        <w:rPr>
          <w:noProof/>
        </w:rPr>
        <w:fldChar w:fldCharType="end"/>
      </w:r>
      <w:bookmarkEnd w:id="35"/>
      <w:r w:rsidR="00174C60">
        <w:rPr>
          <w:noProof/>
        </w:rPr>
        <w:t>—</w:t>
      </w:r>
      <w:r w:rsidR="00BB7AFE">
        <w:t>Normalised h</w:t>
      </w:r>
      <w:r>
        <w:t>azardous waste generation</w:t>
      </w:r>
      <w:r w:rsidR="00F971E2">
        <w:t xml:space="preserve"> per </w:t>
      </w:r>
      <w:r>
        <w:t xml:space="preserve">capita </w:t>
      </w:r>
      <w:r w:rsidR="00B178AA">
        <w:t xml:space="preserve">in </w:t>
      </w:r>
      <w:r w:rsidR="00460043">
        <w:t>2010–11</w:t>
      </w:r>
      <w:r w:rsidR="0018416C">
        <w:t xml:space="preserve"> (ex</w:t>
      </w:r>
      <w:r w:rsidR="00F971E2">
        <w:t>cluding</w:t>
      </w:r>
      <w:r w:rsidR="0018416C">
        <w:t xml:space="preserve"> contaminated soils)</w:t>
      </w:r>
      <w:bookmarkEnd w:id="36"/>
    </w:p>
    <w:p w:rsidR="004763B4" w:rsidRDefault="004763B4">
      <w:pPr>
        <w:spacing w:after="0"/>
        <w:jc w:val="left"/>
      </w:pPr>
      <w:r>
        <w:rPr>
          <w:noProof/>
          <w:lang w:eastAsia="en-AU"/>
        </w:rPr>
        <w:drawing>
          <wp:inline distT="0" distB="0" distL="0" distR="0">
            <wp:extent cx="5688280" cy="3906981"/>
            <wp:effectExtent l="0" t="0" r="825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763B4" w:rsidRDefault="004763B4" w:rsidP="004763B4">
      <w:pPr>
        <w:pStyle w:val="Caption"/>
        <w:spacing w:after="0"/>
      </w:pPr>
    </w:p>
    <w:p w:rsidR="004763B4" w:rsidRDefault="004763B4" w:rsidP="004763B4">
      <w:pPr>
        <w:pStyle w:val="Caption"/>
      </w:pPr>
      <w:bookmarkStart w:id="37" w:name="_Toc350441372"/>
      <w:r>
        <w:t xml:space="preserve">Figure </w:t>
      </w:r>
      <w:r w:rsidR="00C03A4D">
        <w:fldChar w:fldCharType="begin"/>
      </w:r>
      <w:r>
        <w:instrText xml:space="preserve"> SEQ Figure \* ARABIC </w:instrText>
      </w:r>
      <w:r w:rsidR="00C03A4D">
        <w:fldChar w:fldCharType="separate"/>
      </w:r>
      <w:r w:rsidR="004B2C72">
        <w:rPr>
          <w:noProof/>
        </w:rPr>
        <w:t>5</w:t>
      </w:r>
      <w:r w:rsidR="00C03A4D">
        <w:rPr>
          <w:noProof/>
        </w:rPr>
        <w:fldChar w:fldCharType="end"/>
      </w:r>
      <w:r w:rsidR="00174C60">
        <w:rPr>
          <w:noProof/>
        </w:rPr>
        <w:t>—</w:t>
      </w:r>
      <w:r>
        <w:t xml:space="preserve">Normalised hazardous waste generation per capita in </w:t>
      </w:r>
      <w:r w:rsidR="00460043">
        <w:t>2010–11</w:t>
      </w:r>
      <w:r w:rsidR="00F971E2">
        <w:t xml:space="preserve"> (including contaminated soils)</w:t>
      </w:r>
      <w:bookmarkEnd w:id="37"/>
    </w:p>
    <w:p w:rsidR="002D762C" w:rsidRDefault="001412D5" w:rsidP="002D762C">
      <w:r>
        <w:lastRenderedPageBreak/>
        <w:t xml:space="preserve">With reference to Figure 4, </w:t>
      </w:r>
      <w:r w:rsidR="005F77D0">
        <w:t xml:space="preserve">Western Australia is </w:t>
      </w:r>
      <w:r w:rsidR="002D762C">
        <w:t>the largest producer of hazardous waste on a per capita basis</w:t>
      </w:r>
      <w:r w:rsidR="002E145C">
        <w:t xml:space="preserve">, </w:t>
      </w:r>
      <w:r w:rsidR="002D762C">
        <w:t>followed sequentially by Queensland, South Australia</w:t>
      </w:r>
      <w:r w:rsidR="005F77D0">
        <w:t>, N</w:t>
      </w:r>
      <w:r w:rsidR="00B178AA">
        <w:t xml:space="preserve">ew </w:t>
      </w:r>
      <w:r w:rsidR="005F77D0">
        <w:t>S</w:t>
      </w:r>
      <w:r w:rsidR="00B178AA">
        <w:t xml:space="preserve">outh </w:t>
      </w:r>
      <w:r w:rsidR="005F77D0">
        <w:t>W</w:t>
      </w:r>
      <w:r w:rsidR="00B178AA">
        <w:t>ales</w:t>
      </w:r>
      <w:r w:rsidR="005F77D0">
        <w:t xml:space="preserve"> and Victoria. It is interesting to note that this trend differs considerably from that of the total waste generation figures.</w:t>
      </w:r>
    </w:p>
    <w:p w:rsidR="00CA6CF5" w:rsidRDefault="00475132" w:rsidP="002D762C">
      <w:r>
        <w:t xml:space="preserve">While the data is subject to a range of </w:t>
      </w:r>
      <w:r w:rsidR="002825F7">
        <w:t>uncertainty</w:t>
      </w:r>
      <w:r>
        <w:t>, f</w:t>
      </w:r>
      <w:r w:rsidR="00CA6CF5">
        <w:t>actors that may influence these findings could be:</w:t>
      </w:r>
    </w:p>
    <w:p w:rsidR="002825F7" w:rsidRDefault="002825F7" w:rsidP="00CA6CF5">
      <w:pPr>
        <w:pStyle w:val="ListParagraph"/>
        <w:numPr>
          <w:ilvl w:val="0"/>
          <w:numId w:val="26"/>
        </w:numPr>
      </w:pPr>
      <w:r>
        <w:t xml:space="preserve">Stronger regulatory approaches around hazardous waste in the larger states (e.g. </w:t>
      </w:r>
      <w:r w:rsidR="00B178AA">
        <w:t>New South Wales</w:t>
      </w:r>
      <w:r>
        <w:t xml:space="preserve"> and Victoria)</w:t>
      </w:r>
      <w:r w:rsidR="002E145C">
        <w:t>.</w:t>
      </w:r>
    </w:p>
    <w:p w:rsidR="002825F7" w:rsidRDefault="00EB257E" w:rsidP="00EB257E">
      <w:pPr>
        <w:pStyle w:val="ListParagraph"/>
        <w:numPr>
          <w:ilvl w:val="0"/>
          <w:numId w:val="26"/>
        </w:numPr>
      </w:pPr>
      <w:r>
        <w:t>Drivers specific to each state, such as the scarcity of hazardous waste landfill space in Victoria—there is only one hazardous waste landfill in that state—giving rise to an imperative to pursue alternative treatment options, such as reuse and recycling.</w:t>
      </w:r>
    </w:p>
    <w:p w:rsidR="00475132" w:rsidRDefault="00475132" w:rsidP="002825F7">
      <w:pPr>
        <w:pStyle w:val="ListParagraph"/>
        <w:numPr>
          <w:ilvl w:val="0"/>
          <w:numId w:val="26"/>
        </w:numPr>
      </w:pPr>
      <w:r>
        <w:t xml:space="preserve">Economies of scale in the larger states such as Victoria and </w:t>
      </w:r>
      <w:r w:rsidR="00B178AA">
        <w:t>New South Wales</w:t>
      </w:r>
      <w:r>
        <w:t>, which could lead to greater economic drivers for the establishment of hazardous waste reuse and recycling markets, or better onsite resource recovery practices</w:t>
      </w:r>
      <w:r w:rsidR="002E145C">
        <w:t>.</w:t>
      </w:r>
    </w:p>
    <w:p w:rsidR="00CA6CF5" w:rsidRDefault="002825F7" w:rsidP="00CA6CF5">
      <w:pPr>
        <w:pStyle w:val="ListParagraph"/>
        <w:numPr>
          <w:ilvl w:val="0"/>
          <w:numId w:val="26"/>
        </w:numPr>
      </w:pPr>
      <w:r>
        <w:t>Western Australi</w:t>
      </w:r>
      <w:r w:rsidR="00475132">
        <w:t xml:space="preserve">an data may be influenced to a small </w:t>
      </w:r>
      <w:r>
        <w:t>degree by the fly in/fly out component of mining sector employees, estimated to be approximately 50,000</w:t>
      </w:r>
      <w:r>
        <w:rPr>
          <w:rStyle w:val="FootnoteReference"/>
        </w:rPr>
        <w:footnoteReference w:id="3"/>
      </w:r>
      <w:r>
        <w:t>.</w:t>
      </w:r>
      <w:r w:rsidR="00475132">
        <w:t xml:space="preserve">  These workers do not officially reside in </w:t>
      </w:r>
      <w:r w:rsidR="00B178AA">
        <w:t>Western Australia</w:t>
      </w:r>
      <w:r w:rsidR="00475132">
        <w:t xml:space="preserve"> but contribute through their working presence to waste and, by extension, hazardous waste generation in the state</w:t>
      </w:r>
      <w:r w:rsidR="002E145C">
        <w:t>.</w:t>
      </w:r>
    </w:p>
    <w:p w:rsidR="00D37EC8" w:rsidRDefault="00D37EC8" w:rsidP="00CA6CF5">
      <w:pPr>
        <w:pStyle w:val="ListParagraph"/>
        <w:numPr>
          <w:ilvl w:val="0"/>
          <w:numId w:val="26"/>
        </w:numPr>
      </w:pPr>
      <w:r>
        <w:t>Western Australia, Queensland and to a lesser extent South Australia have a greater share of mine processing facilities, which may contribute disproportionately to categories such as alkaline waste (C) and Inorganic Chemical wastes (D)</w:t>
      </w:r>
      <w:r w:rsidR="002E145C">
        <w:t>.</w:t>
      </w:r>
    </w:p>
    <w:p w:rsidR="00475132" w:rsidRDefault="00B178AA" w:rsidP="00CA6CF5">
      <w:pPr>
        <w:pStyle w:val="ListParagraph"/>
        <w:numPr>
          <w:ilvl w:val="0"/>
          <w:numId w:val="26"/>
        </w:numPr>
      </w:pPr>
      <w:r>
        <w:t>Western Australia</w:t>
      </w:r>
      <w:r w:rsidR="00475132">
        <w:t xml:space="preserve"> is notable in that it is the only state where asbestos data could not be identified.  The volumes observed in some states suggest it could be a waste that may contribute significantly to the current </w:t>
      </w:r>
      <w:r>
        <w:t>Western Australia</w:t>
      </w:r>
      <w:r w:rsidR="00475132">
        <w:t xml:space="preserve"> total per capita. </w:t>
      </w:r>
    </w:p>
    <w:p w:rsidR="001412D5" w:rsidRPr="002D762C" w:rsidRDefault="001412D5" w:rsidP="00653B3A">
      <w:r>
        <w:t xml:space="preserve">Similarly, Western Australia </w:t>
      </w:r>
      <w:r w:rsidR="00653B3A">
        <w:t xml:space="preserve">tracking </w:t>
      </w:r>
      <w:r>
        <w:t xml:space="preserve">data reports very low tonnages for contaminated soils, compared to the other four states.  For example, it is 40% larger by population than South Australia, yet reported 30 times less contaminated soil than South Australia in 2013.  </w:t>
      </w:r>
      <w:r w:rsidR="00653B3A">
        <w:t>T</w:t>
      </w:r>
      <w:r>
        <w:t xml:space="preserve">his figure may be a perfectly legitimate example of the </w:t>
      </w:r>
      <w:r w:rsidR="00653B3A">
        <w:t xml:space="preserve">highly variable </w:t>
      </w:r>
      <w:r>
        <w:t xml:space="preserve">factors influencing contaminated soil generation </w:t>
      </w:r>
      <w:r w:rsidR="00653B3A">
        <w:t xml:space="preserve">as </w:t>
      </w:r>
      <w:r>
        <w:t xml:space="preserve">outlined in Section </w:t>
      </w:r>
      <w:r w:rsidR="00653B3A">
        <w:t>I6, or it may be grossly under</w:t>
      </w:r>
      <w:r w:rsidR="002E145C">
        <w:t>-</w:t>
      </w:r>
      <w:r w:rsidR="00653B3A">
        <w:t>reported.  Either way, this is an illustration of the shortcomings of including contaminated soils in hazardous waste data analysis.</w:t>
      </w:r>
    </w:p>
    <w:p w:rsidR="00F52D38" w:rsidRDefault="00174C60" w:rsidP="00F52D38">
      <w:pPr>
        <w:pStyle w:val="KMHNumberHeading3"/>
      </w:pPr>
      <w:r>
        <w:t>Policy (P) i</w:t>
      </w:r>
      <w:r w:rsidR="00F52D38">
        <w:t>mplications</w:t>
      </w:r>
    </w:p>
    <w:p w:rsidR="00F52D38" w:rsidRPr="001D62E9" w:rsidRDefault="00F52D38" w:rsidP="00F52D38">
      <w:pPr>
        <w:rPr>
          <w:b/>
        </w:rPr>
      </w:pPr>
      <w:r w:rsidRPr="001D62E9">
        <w:rPr>
          <w:b/>
        </w:rPr>
        <w:t>P1. Purpose and use of data by jurisdictions</w:t>
      </w:r>
    </w:p>
    <w:p w:rsidR="001E3A1B" w:rsidRDefault="00133A19" w:rsidP="00F52D38">
      <w:r>
        <w:t xml:space="preserve">Data tracking is </w:t>
      </w:r>
      <w:r w:rsidR="005F77D0">
        <w:t>predominantly driven by the need</w:t>
      </w:r>
      <w:r>
        <w:t xml:space="preserve"> to meet regulatory requirements around the transport of hazardous wastes. </w:t>
      </w:r>
      <w:r w:rsidR="001E3A1B">
        <w:t>These are in place to manage risks posed by the transport of hazardous wastes and to ensure that the wastes are managed and disposed of in an environmentally acceptable and safe manner.  Tracking data provided by jurisdictions for this study is a collation of individual pieces of data collected from a waste transport certificate, which details the quantities and characteristics of a single truck load of waste carried on public roads.</w:t>
      </w:r>
    </w:p>
    <w:p w:rsidR="001E3A1B" w:rsidRDefault="001E3A1B" w:rsidP="00F52D38">
      <w:r>
        <w:t>At the broadest level, a jurisdiction’s needs for safe and environmentally sound movement of a hazardous waste consignment have been met once the transaction is complete and verified as satisfactorily received by the end treatment operator.  Because of this transactional focus, jurisdictions typically do not use this data to for strategic purposes, such as characterising waste management trends and assessing priorities and future waste policy considerations based on underlying data.</w:t>
      </w:r>
    </w:p>
    <w:p w:rsidR="00EB257E" w:rsidRDefault="00F52D38" w:rsidP="001E3A1B">
      <w:pPr>
        <w:rPr>
          <w:b/>
        </w:rPr>
      </w:pPr>
      <w:r w:rsidRPr="001D62E9">
        <w:rPr>
          <w:b/>
        </w:rPr>
        <w:t>P2. Classification anomalies</w:t>
      </w:r>
      <w:r w:rsidR="00EB257E">
        <w:rPr>
          <w:b/>
        </w:rPr>
        <w:t xml:space="preserve">: </w:t>
      </w:r>
      <w:r w:rsidR="001E3A1B">
        <w:rPr>
          <w:b/>
        </w:rPr>
        <w:t>non</w:t>
      </w:r>
      <w:r w:rsidR="00EB257E">
        <w:rPr>
          <w:b/>
        </w:rPr>
        <w:t>-</w:t>
      </w:r>
      <w:r w:rsidR="001E3A1B">
        <w:rPr>
          <w:b/>
        </w:rPr>
        <w:t>recorded wastes</w:t>
      </w:r>
    </w:p>
    <w:p w:rsidR="001E3A1B" w:rsidRPr="00EB257E" w:rsidRDefault="00EB257E" w:rsidP="001E3A1B">
      <w:pPr>
        <w:rPr>
          <w:b/>
        </w:rPr>
      </w:pPr>
      <w:r>
        <w:t>T</w:t>
      </w:r>
      <w:r w:rsidR="001E3A1B">
        <w:t xml:space="preserve">here are examples where the classification system used by the Controlled Waste NEPM (and within jurisdictional classification approaches) may not include wastes that, in other contexts, could be </w:t>
      </w:r>
      <w:r w:rsidR="001E3A1B">
        <w:lastRenderedPageBreak/>
        <w:t>deemed to be hazardous.  For example e-waste and compact fluorescent light bulbs (CFL) are waste streams of increasing concern, with some of that concern borne out of the heavy metal (or other chemical) contaminants that exist in these materials.  It is an open question as to why a material with a hazard-related concern, such as mercury in CFL or other heavy metals in printed circuit boards, is not managed as a hazardous waste from a transport perspective.</w:t>
      </w:r>
    </w:p>
    <w:p w:rsidR="00F52D38" w:rsidRDefault="00F52D38" w:rsidP="00F52D38">
      <w:pPr>
        <w:rPr>
          <w:b/>
        </w:rPr>
      </w:pPr>
      <w:r w:rsidRPr="001D62E9">
        <w:rPr>
          <w:b/>
        </w:rPr>
        <w:t>P3. When is a hazardous waste a hazardous waste?</w:t>
      </w:r>
    </w:p>
    <w:p w:rsidR="001E3A1B" w:rsidRDefault="001E3A1B" w:rsidP="00F52D38">
      <w:r>
        <w:t xml:space="preserve">As discussed in P1 above, at the jurisdictional level, hazardous waste management and classification </w:t>
      </w:r>
      <w:r w:rsidR="000D1082">
        <w:t>is built around the risks associated its transport.  In other words, in terms of tracking data, a hazardous waste is not deemed to be a hazardous waste until it is loaded onto a truck for treatment off</w:t>
      </w:r>
      <w:r w:rsidR="00EB257E">
        <w:t>-</w:t>
      </w:r>
      <w:r w:rsidR="000D1082">
        <w:t>site.</w:t>
      </w:r>
    </w:p>
    <w:p w:rsidR="000D1082" w:rsidRDefault="000D1082" w:rsidP="00F52D38">
      <w:r>
        <w:t>Consequently</w:t>
      </w:r>
      <w:r w:rsidR="00EB257E">
        <w:t>,</w:t>
      </w:r>
      <w:r>
        <w:t xml:space="preserve"> this raises an issue regarding the hidden aspect of hazardous waste.  Is a waste hazardous because of its inherent characteristics, where it is generated on</w:t>
      </w:r>
      <w:r w:rsidR="00EB257E">
        <w:t>-</w:t>
      </w:r>
      <w:r>
        <w:t>site, or is it only hazardous when</w:t>
      </w:r>
      <w:r w:rsidR="00322714">
        <w:t xml:space="preserve"> it is collected by a truck</w:t>
      </w:r>
      <w:r w:rsidR="00B178AA">
        <w:t xml:space="preserve"> </w:t>
      </w:r>
      <w:r w:rsidR="00322714">
        <w:t>when</w:t>
      </w:r>
      <w:r>
        <w:t xml:space="preserve"> those inherent characteristics have the potential to cause harm off</w:t>
      </w:r>
      <w:r w:rsidR="00EB257E">
        <w:t>-</w:t>
      </w:r>
      <w:r>
        <w:t xml:space="preserve">site?  </w:t>
      </w:r>
    </w:p>
    <w:p w:rsidR="000D1082" w:rsidRDefault="000D1082" w:rsidP="00F52D38">
      <w:r>
        <w:t>Arguably there are mechanisms in place onsite to manage risks posed by a hazardous material, but these relate primarily to workplace health and safety.</w:t>
      </w:r>
    </w:p>
    <w:p w:rsidR="00322714" w:rsidRPr="001E3A1B" w:rsidRDefault="00DB08DD" w:rsidP="00F52D38">
      <w:r>
        <w:t>A substantial quantity of h</w:t>
      </w:r>
      <w:r w:rsidR="00322714">
        <w:t xml:space="preserve">azardous waste </w:t>
      </w:r>
      <w:r>
        <w:t xml:space="preserve">is </w:t>
      </w:r>
      <w:r w:rsidR="00322714">
        <w:t>generated and managed on</w:t>
      </w:r>
      <w:r w:rsidR="00EB257E">
        <w:t>-</w:t>
      </w:r>
      <w:r w:rsidR="00322714">
        <w:t xml:space="preserve">site in industrial </w:t>
      </w:r>
      <w:r w:rsidR="00F16FF3">
        <w:t>settings that do</w:t>
      </w:r>
      <w:r w:rsidR="00322714">
        <w:t xml:space="preserve"> not appear in waste tracking data.  As an example</w:t>
      </w:r>
      <w:r>
        <w:t>,</w:t>
      </w:r>
      <w:r w:rsidR="00322714">
        <w:t xml:space="preserve"> fly ash</w:t>
      </w:r>
      <w:r>
        <w:t xml:space="preserve">, which typically contains levels of heavy metals that classify it as a hazardous waste, is identified through tracking data as </w:t>
      </w:r>
      <w:r w:rsidR="00857B3D">
        <w:t xml:space="preserve">having been </w:t>
      </w:r>
      <w:r>
        <w:t xml:space="preserve">produced at a rate of </w:t>
      </w:r>
      <w:r w:rsidR="003B606C">
        <w:t>6,450</w:t>
      </w:r>
      <w:r>
        <w:t>t across the states of Victoria, N</w:t>
      </w:r>
      <w:r w:rsidR="00B178AA">
        <w:t>ew South Wales</w:t>
      </w:r>
      <w:r>
        <w:t>, Queensland, South Australia and Western Australia in 2011.  However, actual quantities of fly ash generated from coal</w:t>
      </w:r>
      <w:r w:rsidR="00857B3D">
        <w:t>-</w:t>
      </w:r>
      <w:r>
        <w:t xml:space="preserve">fired electricity generation in Australia, which are largely managed onsite and therefore not deemed a hazardous waste for the purpose of this study, are likely to dwarf </w:t>
      </w:r>
      <w:r w:rsidR="003B606C">
        <w:t>6,450t</w:t>
      </w:r>
      <w:r>
        <w:t xml:space="preserve"> by approximately three orders of magnitude.</w:t>
      </w:r>
    </w:p>
    <w:p w:rsidR="00F52D38" w:rsidRDefault="00F52D38" w:rsidP="00F52D38">
      <w:pPr>
        <w:rPr>
          <w:b/>
        </w:rPr>
      </w:pPr>
      <w:r w:rsidRPr="001D62E9">
        <w:rPr>
          <w:b/>
        </w:rPr>
        <w:t>P4. Definitional questions</w:t>
      </w:r>
    </w:p>
    <w:p w:rsidR="00053E42" w:rsidRDefault="00E845CF" w:rsidP="00F52D38">
      <w:r>
        <w:t xml:space="preserve">This report has previously discussed definitional issues regarding hazardous waste classification, such as whether some materials should be added to the classifications list and whether some existing classifications should be removed or are sufficiently clearly defined.  The </w:t>
      </w:r>
      <w:r w:rsidR="00053E42">
        <w:t xml:space="preserve">Victorian </w:t>
      </w:r>
      <w:r>
        <w:t>data identified in this study highlights a particular issue wh</w:t>
      </w:r>
      <w:r w:rsidR="00053E42">
        <w:t xml:space="preserve">ich opens up the definition of </w:t>
      </w:r>
      <w:r w:rsidR="0024312B">
        <w:t>reuse</w:t>
      </w:r>
      <w:r w:rsidR="00053E42">
        <w:t xml:space="preserve"> for debate.</w:t>
      </w:r>
    </w:p>
    <w:p w:rsidR="00945DDB" w:rsidRDefault="00435106" w:rsidP="00F52D38">
      <w:r>
        <w:t xml:space="preserve">Victoria is the only state that has supplied </w:t>
      </w:r>
      <w:r w:rsidR="0024312B">
        <w:t>reuse</w:t>
      </w:r>
      <w:r>
        <w:t xml:space="preserve"> tonnage data, in addition to energy recovery, recycling, storage, treatment and disposal (landfill).  Over 7% of all reported hazardous waste in Victoria has undergone </w:t>
      </w:r>
      <w:r w:rsidR="0024312B">
        <w:t>reuse</w:t>
      </w:r>
      <w:r w:rsidR="00F07B2C">
        <w:t>,</w:t>
      </w:r>
      <w:r>
        <w:t xml:space="preserve"> primarily made up of oil</w:t>
      </w:r>
      <w:r w:rsidR="00053E42">
        <w:t>, paint, solvent and animal wastes.</w:t>
      </w:r>
    </w:p>
    <w:p w:rsidR="00053E42" w:rsidRDefault="00053E42" w:rsidP="00053E42">
      <w:r>
        <w:t>Victorian data for</w:t>
      </w:r>
      <w:r w:rsidR="00632415">
        <w:t xml:space="preserve"> the ‘J’ code oils, hydrocarbons and emulsions, made up mostly of </w:t>
      </w:r>
      <w:r>
        <w:t>waste oil (J100) and waste oil/water mixtures (J120)</w:t>
      </w:r>
      <w:r w:rsidR="00632415">
        <w:t>,</w:t>
      </w:r>
      <w:r>
        <w:t xml:space="preserve"> is primarily classified as having undergone the </w:t>
      </w:r>
      <w:r w:rsidR="0024312B">
        <w:t>reuse</w:t>
      </w:r>
      <w:r>
        <w:t xml:space="preserve"> management option, with much less reported against the recycling management option.  </w:t>
      </w:r>
      <w:r w:rsidR="00632415">
        <w:t xml:space="preserve">For example, of the </w:t>
      </w:r>
      <w:r w:rsidR="00A43514">
        <w:t>104,795t</w:t>
      </w:r>
      <w:r w:rsidR="00632415">
        <w:t xml:space="preserve"> of J waste generated in Victoria, 31</w:t>
      </w:r>
      <w:r w:rsidR="00310F1B">
        <w:t>,</w:t>
      </w:r>
      <w:r w:rsidR="00632415">
        <w:t xml:space="preserve">707t is reported as </w:t>
      </w:r>
      <w:r w:rsidR="0024312B">
        <w:t>reuse</w:t>
      </w:r>
      <w:r w:rsidR="00632415">
        <w:t>d while only 5</w:t>
      </w:r>
      <w:r w:rsidR="00310F1B">
        <w:t>,</w:t>
      </w:r>
      <w:r w:rsidR="00632415">
        <w:t>502t is reported as recycled.</w:t>
      </w:r>
    </w:p>
    <w:p w:rsidR="00632415" w:rsidRDefault="00632415" w:rsidP="00053E42">
      <w:r>
        <w:t xml:space="preserve">In the </w:t>
      </w:r>
      <w:r w:rsidR="00EB257E">
        <w:t>Data Report</w:t>
      </w:r>
      <w:r>
        <w:t xml:space="preserve">, </w:t>
      </w:r>
      <w:r w:rsidRPr="00632415">
        <w:rPr>
          <w:i/>
        </w:rPr>
        <w:t>Hazardous Waste Data Assessment</w:t>
      </w:r>
      <w:r w:rsidR="00EB257E">
        <w:rPr>
          <w:i/>
        </w:rPr>
        <w:t xml:space="preserve"> </w:t>
      </w:r>
      <w:r w:rsidR="00EB257E">
        <w:t>(Appendix A)</w:t>
      </w:r>
      <w:r>
        <w:t xml:space="preserve">, </w:t>
      </w:r>
      <w:proofErr w:type="gramStart"/>
      <w:r w:rsidR="0024312B">
        <w:t>reuse</w:t>
      </w:r>
      <w:proofErr w:type="gramEnd"/>
      <w:r>
        <w:t xml:space="preserve"> has been defined as:</w:t>
      </w:r>
    </w:p>
    <w:p w:rsidR="00632415" w:rsidRPr="00F44DA1" w:rsidRDefault="00632415" w:rsidP="00632415">
      <w:pPr>
        <w:ind w:left="720" w:hanging="720"/>
        <w:rPr>
          <w:i/>
          <w:szCs w:val="20"/>
        </w:rPr>
      </w:pPr>
      <w:r w:rsidRPr="00F44DA1">
        <w:rPr>
          <w:i/>
          <w:szCs w:val="20"/>
        </w:rPr>
        <w:tab/>
      </w:r>
      <w:proofErr w:type="gramStart"/>
      <w:r w:rsidR="0009051C">
        <w:rPr>
          <w:i/>
          <w:szCs w:val="20"/>
        </w:rPr>
        <w:t>T</w:t>
      </w:r>
      <w:r w:rsidRPr="00F44DA1">
        <w:rPr>
          <w:i/>
          <w:szCs w:val="20"/>
        </w:rPr>
        <w:t>he use of products or materials for the same or a different purpose without reprocessing or remanufacture.</w:t>
      </w:r>
      <w:proofErr w:type="gramEnd"/>
      <w:r w:rsidRPr="00F44DA1">
        <w:rPr>
          <w:i/>
          <w:szCs w:val="20"/>
        </w:rPr>
        <w:t xml:space="preserve"> These products or materials may also be repaired to extend their use.</w:t>
      </w:r>
    </w:p>
    <w:p w:rsidR="00053E42" w:rsidRDefault="00632415" w:rsidP="00053E42">
      <w:r>
        <w:t xml:space="preserve">The </w:t>
      </w:r>
      <w:r w:rsidR="00E64757">
        <w:t xml:space="preserve">question relevant to </w:t>
      </w:r>
      <w:r>
        <w:t xml:space="preserve">this Victorian waste oil </w:t>
      </w:r>
      <w:r w:rsidR="0024312B">
        <w:t>reuse</w:t>
      </w:r>
      <w:r>
        <w:t xml:space="preserve"> data is whether the </w:t>
      </w:r>
      <w:r w:rsidR="00385ACB">
        <w:t xml:space="preserve">‘cleaning’ of the waste oil, to enable it to be fit for its original (or similar) purpose, constitutes reprocessing or should be considered as a kind of refurbishment or repair activity.  The former interpretation describes recycling while the latter describes </w:t>
      </w:r>
      <w:r w:rsidR="0024312B">
        <w:t>reuse</w:t>
      </w:r>
      <w:r w:rsidR="00385ACB">
        <w:t>.</w:t>
      </w:r>
    </w:p>
    <w:p w:rsidR="00385ACB" w:rsidRDefault="00385ACB" w:rsidP="00053E42">
      <w:r>
        <w:t>A helpful example is a wooden pallet</w:t>
      </w:r>
      <w:r w:rsidR="0009051C">
        <w:t>—</w:t>
      </w:r>
      <w:r>
        <w:t xml:space="preserve">if </w:t>
      </w:r>
      <w:r w:rsidR="0009051C">
        <w:t xml:space="preserve">the pallet </w:t>
      </w:r>
      <w:r>
        <w:t xml:space="preserve">is simply repaired and used again it is deemed </w:t>
      </w:r>
      <w:r w:rsidR="00E64757">
        <w:t xml:space="preserve">to be </w:t>
      </w:r>
      <w:r w:rsidR="0024312B">
        <w:t>reuse</w:t>
      </w:r>
      <w:r>
        <w:t xml:space="preserve">d, but if it is </w:t>
      </w:r>
      <w:r w:rsidRPr="00E64757">
        <w:t>disassembled and shredded for the value of its materials, this is considered to be recycling.</w:t>
      </w:r>
    </w:p>
    <w:p w:rsidR="00053E42" w:rsidRPr="00DB08DD" w:rsidRDefault="00385ACB" w:rsidP="00F52D38">
      <w:r>
        <w:lastRenderedPageBreak/>
        <w:t xml:space="preserve">It would seem reasonable that the treatment of waste oil to enable it to be used for its original (or similar) purpose would constitute recycling rather than reuse.  </w:t>
      </w:r>
      <w:r w:rsidR="00FD02D4">
        <w:t xml:space="preserve">An examination of what form of processing occurs to the tonnages tracked under the </w:t>
      </w:r>
      <w:r w:rsidR="0024312B">
        <w:t>reuse</w:t>
      </w:r>
      <w:r w:rsidR="00FD02D4">
        <w:t xml:space="preserve"> heading would inform the appropriate management option classification.</w:t>
      </w:r>
    </w:p>
    <w:p w:rsidR="00A778B1" w:rsidRDefault="00174C60" w:rsidP="00A778B1">
      <w:pPr>
        <w:pStyle w:val="KMHNumberheading20"/>
      </w:pPr>
      <w:bookmarkStart w:id="38" w:name="_Ref347757569"/>
      <w:bookmarkStart w:id="39" w:name="_Toc390771597"/>
      <w:r>
        <w:t>Detailed o</w:t>
      </w:r>
      <w:r w:rsidR="00A778B1">
        <w:t>bservations</w:t>
      </w:r>
      <w:bookmarkEnd w:id="38"/>
      <w:bookmarkEnd w:id="39"/>
    </w:p>
    <w:p w:rsidR="00B41AC7" w:rsidRDefault="00D37EC8" w:rsidP="00B41AC7">
      <w:r w:rsidRPr="00D37EC8">
        <w:t xml:space="preserve">Some more detailed observations focussing on key waste categories and perceived irregularities in waste figures are listed and discussed in the following table, with a view to exploring possible </w:t>
      </w:r>
      <w:r w:rsidR="00B178AA">
        <w:t xml:space="preserve">contributing factors.  These </w:t>
      </w:r>
      <w:r>
        <w:t xml:space="preserve">suggestions </w:t>
      </w:r>
      <w:r w:rsidR="003D1276">
        <w:t xml:space="preserve">are </w:t>
      </w:r>
      <w:r>
        <w:t>based on the expertise and experience of the authors in the area of hazardous waste</w:t>
      </w:r>
      <w:r w:rsidR="003D1276">
        <w:t xml:space="preserve"> and</w:t>
      </w:r>
      <w:r>
        <w:t xml:space="preserve"> should be viewed as professional opinion only</w:t>
      </w:r>
      <w:r w:rsidR="003D1276">
        <w:t xml:space="preserve">. The suggestion are presented here </w:t>
      </w:r>
      <w:r>
        <w:t>as a means of generating discussion and further enquiry.</w:t>
      </w:r>
    </w:p>
    <w:tbl>
      <w:tblPr>
        <w:tblStyle w:val="TableGrid"/>
        <w:tblW w:w="0" w:type="auto"/>
        <w:tblLook w:val="04A0"/>
      </w:tblPr>
      <w:tblGrid>
        <w:gridCol w:w="4644"/>
        <w:gridCol w:w="4644"/>
      </w:tblGrid>
      <w:tr w:rsidR="00B41AC7" w:rsidRPr="00F3490E" w:rsidTr="00B41AC7">
        <w:tc>
          <w:tcPr>
            <w:tcW w:w="4644" w:type="dxa"/>
            <w:shd w:val="clear" w:color="auto" w:fill="1D5C42"/>
          </w:tcPr>
          <w:p w:rsidR="00B41AC7" w:rsidRPr="00F3490E" w:rsidRDefault="00B41AC7" w:rsidP="00B178AA">
            <w:pPr>
              <w:spacing w:before="120"/>
              <w:jc w:val="center"/>
              <w:rPr>
                <w:b/>
                <w:color w:val="FFFFFF" w:themeColor="background1"/>
                <w:sz w:val="18"/>
                <w:szCs w:val="18"/>
              </w:rPr>
            </w:pPr>
            <w:r w:rsidRPr="00F3490E">
              <w:rPr>
                <w:b/>
                <w:color w:val="FFFFFF" w:themeColor="background1"/>
                <w:sz w:val="18"/>
                <w:szCs w:val="18"/>
              </w:rPr>
              <w:t>Observation</w:t>
            </w:r>
          </w:p>
        </w:tc>
        <w:tc>
          <w:tcPr>
            <w:tcW w:w="4644" w:type="dxa"/>
            <w:shd w:val="clear" w:color="auto" w:fill="1D5C42"/>
          </w:tcPr>
          <w:p w:rsidR="00B41AC7" w:rsidRPr="00F3490E" w:rsidRDefault="002B0527" w:rsidP="00B178AA">
            <w:pPr>
              <w:spacing w:before="120"/>
              <w:jc w:val="center"/>
              <w:rPr>
                <w:b/>
                <w:color w:val="FFFFFF" w:themeColor="background1"/>
                <w:sz w:val="18"/>
                <w:szCs w:val="18"/>
              </w:rPr>
            </w:pPr>
            <w:r>
              <w:rPr>
                <w:b/>
                <w:color w:val="FFFFFF" w:themeColor="background1"/>
                <w:sz w:val="18"/>
                <w:szCs w:val="18"/>
              </w:rPr>
              <w:t xml:space="preserve">Potential </w:t>
            </w:r>
            <w:r w:rsidR="00B178AA">
              <w:rPr>
                <w:b/>
                <w:color w:val="FFFFFF" w:themeColor="background1"/>
                <w:sz w:val="18"/>
                <w:szCs w:val="18"/>
              </w:rPr>
              <w:t>contributing factors</w:t>
            </w:r>
          </w:p>
        </w:tc>
      </w:tr>
      <w:tr w:rsidR="00B41AC7" w:rsidRPr="00F3490E" w:rsidTr="00F3490E">
        <w:trPr>
          <w:trHeight w:val="767"/>
        </w:trPr>
        <w:tc>
          <w:tcPr>
            <w:tcW w:w="4644" w:type="dxa"/>
          </w:tcPr>
          <w:p w:rsidR="00B41AC7" w:rsidRPr="00F3490E" w:rsidRDefault="00B41AC7" w:rsidP="00B178AA">
            <w:pPr>
              <w:spacing w:before="120"/>
              <w:rPr>
                <w:sz w:val="18"/>
                <w:szCs w:val="18"/>
              </w:rPr>
            </w:pPr>
            <w:r w:rsidRPr="00F3490E">
              <w:rPr>
                <w:sz w:val="18"/>
                <w:szCs w:val="18"/>
              </w:rPr>
              <w:t xml:space="preserve">Waste oil </w:t>
            </w:r>
            <w:r w:rsidR="00FD02D4">
              <w:rPr>
                <w:sz w:val="18"/>
                <w:szCs w:val="18"/>
              </w:rPr>
              <w:t xml:space="preserve">(J100) </w:t>
            </w:r>
            <w:r w:rsidRPr="00F3490E">
              <w:rPr>
                <w:sz w:val="18"/>
                <w:szCs w:val="18"/>
              </w:rPr>
              <w:t xml:space="preserve">quantities </w:t>
            </w:r>
            <w:r w:rsidR="00FD02D4">
              <w:rPr>
                <w:sz w:val="18"/>
                <w:szCs w:val="18"/>
              </w:rPr>
              <w:t xml:space="preserve">reported </w:t>
            </w:r>
            <w:r w:rsidR="0058764F">
              <w:rPr>
                <w:sz w:val="18"/>
                <w:szCs w:val="18"/>
              </w:rPr>
              <w:t xml:space="preserve">for Victoria </w:t>
            </w:r>
            <w:r w:rsidRPr="00F3490E">
              <w:rPr>
                <w:sz w:val="18"/>
                <w:szCs w:val="18"/>
              </w:rPr>
              <w:t>a</w:t>
            </w:r>
            <w:r w:rsidR="00B178AA">
              <w:rPr>
                <w:sz w:val="18"/>
                <w:szCs w:val="18"/>
              </w:rPr>
              <w:t>ppear</w:t>
            </w:r>
            <w:r w:rsidRPr="00F3490E">
              <w:rPr>
                <w:sz w:val="18"/>
                <w:szCs w:val="18"/>
              </w:rPr>
              <w:t xml:space="preserve"> low </w:t>
            </w:r>
            <w:r w:rsidR="00B178AA">
              <w:rPr>
                <w:sz w:val="18"/>
                <w:szCs w:val="18"/>
              </w:rPr>
              <w:t>(</w:t>
            </w:r>
            <w:r w:rsidR="00A43514">
              <w:rPr>
                <w:sz w:val="18"/>
                <w:szCs w:val="18"/>
              </w:rPr>
              <w:t>10,750t</w:t>
            </w:r>
            <w:r w:rsidR="00B178AA">
              <w:rPr>
                <w:sz w:val="18"/>
                <w:szCs w:val="18"/>
              </w:rPr>
              <w:t xml:space="preserve">), compared to </w:t>
            </w:r>
            <w:r w:rsidRPr="00F3490E">
              <w:rPr>
                <w:sz w:val="18"/>
                <w:szCs w:val="18"/>
              </w:rPr>
              <w:t>Queensland</w:t>
            </w:r>
            <w:r w:rsidR="00FD02D4">
              <w:rPr>
                <w:sz w:val="18"/>
                <w:szCs w:val="18"/>
              </w:rPr>
              <w:t xml:space="preserve"> (86</w:t>
            </w:r>
            <w:r w:rsidR="00310F1B">
              <w:rPr>
                <w:sz w:val="18"/>
                <w:szCs w:val="18"/>
              </w:rPr>
              <w:t>,</w:t>
            </w:r>
            <w:r w:rsidR="00FD02D4">
              <w:rPr>
                <w:sz w:val="18"/>
                <w:szCs w:val="18"/>
              </w:rPr>
              <w:t>404t)</w:t>
            </w:r>
            <w:r w:rsidR="0058764F">
              <w:rPr>
                <w:sz w:val="18"/>
                <w:szCs w:val="18"/>
              </w:rPr>
              <w:t xml:space="preserve">, </w:t>
            </w:r>
            <w:r w:rsidR="00B178AA">
              <w:rPr>
                <w:sz w:val="18"/>
                <w:szCs w:val="18"/>
              </w:rPr>
              <w:t xml:space="preserve">Western Australia </w:t>
            </w:r>
            <w:r w:rsidR="0058764F">
              <w:rPr>
                <w:sz w:val="18"/>
                <w:szCs w:val="18"/>
              </w:rPr>
              <w:t>(72</w:t>
            </w:r>
            <w:r w:rsidR="00310F1B">
              <w:rPr>
                <w:sz w:val="18"/>
                <w:szCs w:val="18"/>
              </w:rPr>
              <w:t>,</w:t>
            </w:r>
            <w:r w:rsidR="0058764F">
              <w:rPr>
                <w:sz w:val="18"/>
                <w:szCs w:val="18"/>
              </w:rPr>
              <w:t>316t), and even New South Wales (64</w:t>
            </w:r>
            <w:r w:rsidR="00310F1B">
              <w:rPr>
                <w:sz w:val="18"/>
                <w:szCs w:val="18"/>
              </w:rPr>
              <w:t>,</w:t>
            </w:r>
            <w:r w:rsidR="0058764F">
              <w:rPr>
                <w:sz w:val="18"/>
                <w:szCs w:val="18"/>
              </w:rPr>
              <w:t>554t), considering that non-hazardous waste oils in New South Wales are exempt from tracking</w:t>
            </w:r>
            <w:r w:rsidRPr="00F3490E">
              <w:rPr>
                <w:sz w:val="18"/>
                <w:szCs w:val="18"/>
              </w:rPr>
              <w:t xml:space="preserve">. </w:t>
            </w:r>
          </w:p>
          <w:p w:rsidR="00B41AC7" w:rsidRPr="00F3490E" w:rsidRDefault="00B41AC7" w:rsidP="00B178AA">
            <w:pPr>
              <w:spacing w:before="120"/>
              <w:rPr>
                <w:sz w:val="18"/>
                <w:szCs w:val="18"/>
              </w:rPr>
            </w:pPr>
          </w:p>
        </w:tc>
        <w:tc>
          <w:tcPr>
            <w:tcW w:w="4644" w:type="dxa"/>
          </w:tcPr>
          <w:p w:rsidR="00B41AC7" w:rsidRDefault="00FD02D4" w:rsidP="00B178AA">
            <w:pPr>
              <w:spacing w:before="120"/>
              <w:rPr>
                <w:sz w:val="18"/>
                <w:szCs w:val="18"/>
              </w:rPr>
            </w:pPr>
            <w:r>
              <w:rPr>
                <w:sz w:val="18"/>
                <w:szCs w:val="18"/>
              </w:rPr>
              <w:t xml:space="preserve">The Victorian legislative framework stipulates that </w:t>
            </w:r>
            <w:r w:rsidR="006D2DAE">
              <w:rPr>
                <w:sz w:val="18"/>
                <w:szCs w:val="18"/>
              </w:rPr>
              <w:t xml:space="preserve">used </w:t>
            </w:r>
            <w:r>
              <w:rPr>
                <w:sz w:val="18"/>
                <w:szCs w:val="18"/>
              </w:rPr>
              <w:t>oil filters (J170)</w:t>
            </w:r>
            <w:r w:rsidR="006D2DAE">
              <w:rPr>
                <w:sz w:val="18"/>
                <w:szCs w:val="18"/>
              </w:rPr>
              <w:t xml:space="preserve"> are prohibited from landfill and must be reused or recycled, through the value of the metal casing, cardboard filters and used oil.  There is also the ability within this framework for transporters to gain an exemption for the use of waste transport certificates for transport of some wastes, where it is destined for reuse or recycling.  This </w:t>
            </w:r>
            <w:r w:rsidR="0058764F">
              <w:rPr>
                <w:sz w:val="18"/>
                <w:szCs w:val="18"/>
              </w:rPr>
              <w:t xml:space="preserve">exemption </w:t>
            </w:r>
            <w:r w:rsidR="006D2DAE">
              <w:rPr>
                <w:sz w:val="18"/>
                <w:szCs w:val="18"/>
              </w:rPr>
              <w:t>approach also applies</w:t>
            </w:r>
            <w:r w:rsidR="0058764F">
              <w:rPr>
                <w:sz w:val="18"/>
                <w:szCs w:val="18"/>
              </w:rPr>
              <w:t xml:space="preserve"> to various wastes</w:t>
            </w:r>
            <w:r w:rsidR="006D2DAE">
              <w:rPr>
                <w:sz w:val="18"/>
                <w:szCs w:val="18"/>
              </w:rPr>
              <w:t xml:space="preserve"> in other jurisdictions.</w:t>
            </w:r>
          </w:p>
          <w:p w:rsidR="006D2DAE" w:rsidRPr="00F3490E" w:rsidRDefault="006D2DAE" w:rsidP="00B178AA">
            <w:pPr>
              <w:spacing w:before="120"/>
              <w:rPr>
                <w:sz w:val="18"/>
                <w:szCs w:val="18"/>
              </w:rPr>
            </w:pPr>
            <w:r>
              <w:rPr>
                <w:sz w:val="18"/>
                <w:szCs w:val="18"/>
              </w:rPr>
              <w:t>One explanation for the low tonnage reported is that the waste oil, in many cases having come from used oil filters, is being transported under an exemption and therefore not identified by the tracking system.</w:t>
            </w:r>
          </w:p>
        </w:tc>
      </w:tr>
      <w:tr w:rsidR="00B41AC7" w:rsidRPr="00F3490E" w:rsidTr="00B41AC7">
        <w:tc>
          <w:tcPr>
            <w:tcW w:w="4644" w:type="dxa"/>
          </w:tcPr>
          <w:p w:rsidR="00B41AC7" w:rsidRPr="00F3490E" w:rsidRDefault="00B41AC7" w:rsidP="00B178AA">
            <w:pPr>
              <w:spacing w:before="120"/>
              <w:rPr>
                <w:sz w:val="18"/>
                <w:szCs w:val="18"/>
              </w:rPr>
            </w:pPr>
            <w:r w:rsidRPr="00F3490E">
              <w:rPr>
                <w:sz w:val="18"/>
                <w:szCs w:val="18"/>
              </w:rPr>
              <w:t xml:space="preserve">Asbestos </w:t>
            </w:r>
            <w:r w:rsidR="006D2DAE">
              <w:rPr>
                <w:sz w:val="18"/>
                <w:szCs w:val="18"/>
              </w:rPr>
              <w:t xml:space="preserve">(N220) </w:t>
            </w:r>
            <w:r w:rsidRPr="00F3490E">
              <w:rPr>
                <w:sz w:val="18"/>
                <w:szCs w:val="18"/>
              </w:rPr>
              <w:t>generation in Victoria</w:t>
            </w:r>
            <w:r w:rsidR="006D2DAE">
              <w:rPr>
                <w:sz w:val="18"/>
                <w:szCs w:val="18"/>
              </w:rPr>
              <w:t xml:space="preserve"> (</w:t>
            </w:r>
            <w:r w:rsidR="00A43514">
              <w:rPr>
                <w:sz w:val="18"/>
                <w:szCs w:val="18"/>
              </w:rPr>
              <w:t>40,964</w:t>
            </w:r>
            <w:r w:rsidR="006D2DAE">
              <w:rPr>
                <w:sz w:val="18"/>
                <w:szCs w:val="18"/>
              </w:rPr>
              <w:t>t)</w:t>
            </w:r>
            <w:r w:rsidRPr="00F3490E">
              <w:rPr>
                <w:sz w:val="18"/>
                <w:szCs w:val="18"/>
              </w:rPr>
              <w:t xml:space="preserve"> is much lower than for other comparable states such as NSW</w:t>
            </w:r>
            <w:r w:rsidR="006D2DAE">
              <w:rPr>
                <w:sz w:val="18"/>
                <w:szCs w:val="18"/>
              </w:rPr>
              <w:t xml:space="preserve"> (</w:t>
            </w:r>
            <w:r w:rsidR="00186129">
              <w:rPr>
                <w:sz w:val="18"/>
                <w:szCs w:val="18"/>
              </w:rPr>
              <w:t>434</w:t>
            </w:r>
            <w:r w:rsidR="00310F1B">
              <w:rPr>
                <w:sz w:val="18"/>
                <w:szCs w:val="18"/>
              </w:rPr>
              <w:t>,</w:t>
            </w:r>
            <w:r w:rsidR="00186129">
              <w:rPr>
                <w:sz w:val="18"/>
                <w:szCs w:val="18"/>
              </w:rPr>
              <w:t>900t</w:t>
            </w:r>
            <w:r w:rsidR="00A04EFF">
              <w:rPr>
                <w:sz w:val="18"/>
                <w:szCs w:val="18"/>
              </w:rPr>
              <w:t>—</w:t>
            </w:r>
            <w:r w:rsidR="00186129">
              <w:rPr>
                <w:sz w:val="18"/>
                <w:szCs w:val="18"/>
              </w:rPr>
              <w:t xml:space="preserve">sourced from estimates </w:t>
            </w:r>
            <w:r w:rsidR="00A04EFF">
              <w:rPr>
                <w:sz w:val="18"/>
                <w:szCs w:val="18"/>
              </w:rPr>
              <w:t>in</w:t>
            </w:r>
            <w:r w:rsidR="00186129">
              <w:rPr>
                <w:sz w:val="18"/>
                <w:szCs w:val="18"/>
              </w:rPr>
              <w:t xml:space="preserve"> </w:t>
            </w:r>
            <w:r w:rsidR="00F45B73" w:rsidRPr="00BF44E0">
              <w:rPr>
                <w:i/>
                <w:sz w:val="18"/>
                <w:szCs w:val="18"/>
              </w:rPr>
              <w:t>Waste and Recycling in Australia 2011</w:t>
            </w:r>
            <w:r w:rsidR="00186129">
              <w:rPr>
                <w:sz w:val="18"/>
                <w:szCs w:val="18"/>
              </w:rPr>
              <w:t>.</w:t>
            </w:r>
          </w:p>
          <w:p w:rsidR="00B41AC7" w:rsidRPr="00F3490E" w:rsidRDefault="00B41AC7" w:rsidP="00B178AA">
            <w:pPr>
              <w:spacing w:before="120"/>
              <w:rPr>
                <w:sz w:val="18"/>
                <w:szCs w:val="18"/>
              </w:rPr>
            </w:pPr>
          </w:p>
        </w:tc>
        <w:tc>
          <w:tcPr>
            <w:tcW w:w="4644" w:type="dxa"/>
          </w:tcPr>
          <w:p w:rsidR="00B41AC7" w:rsidRDefault="00186129" w:rsidP="00B178AA">
            <w:pPr>
              <w:spacing w:before="120"/>
              <w:rPr>
                <w:sz w:val="18"/>
                <w:szCs w:val="18"/>
              </w:rPr>
            </w:pPr>
            <w:r>
              <w:rPr>
                <w:sz w:val="18"/>
                <w:szCs w:val="18"/>
              </w:rPr>
              <w:t xml:space="preserve">Asbestos tonnages for </w:t>
            </w:r>
            <w:r w:rsidR="00A04EFF">
              <w:rPr>
                <w:sz w:val="18"/>
                <w:szCs w:val="18"/>
              </w:rPr>
              <w:t xml:space="preserve">New South Wales </w:t>
            </w:r>
            <w:r>
              <w:rPr>
                <w:sz w:val="18"/>
                <w:szCs w:val="18"/>
              </w:rPr>
              <w:t xml:space="preserve">are difficult to obtain, because this waste is not tracked.  The asbestos estimate from </w:t>
            </w:r>
            <w:r w:rsidR="00F45B73" w:rsidRPr="00BF44E0">
              <w:rPr>
                <w:i/>
                <w:sz w:val="18"/>
                <w:szCs w:val="18"/>
              </w:rPr>
              <w:t>Waste and Recycling in Australia 2011</w:t>
            </w:r>
            <w:r>
              <w:rPr>
                <w:sz w:val="18"/>
                <w:szCs w:val="18"/>
              </w:rPr>
              <w:t xml:space="preserve"> was taken from a single waste audit data point and projected for the entire state.  This method is likely to have high uncertainties and low accuracy.</w:t>
            </w:r>
          </w:p>
          <w:p w:rsidR="00186129" w:rsidRPr="00F3490E" w:rsidRDefault="00186129" w:rsidP="00A04EFF">
            <w:pPr>
              <w:spacing w:before="120"/>
              <w:rPr>
                <w:sz w:val="18"/>
                <w:szCs w:val="18"/>
              </w:rPr>
            </w:pPr>
            <w:r>
              <w:rPr>
                <w:sz w:val="18"/>
                <w:szCs w:val="18"/>
              </w:rPr>
              <w:t>In addition, there may be instances in Victoria where movements of asbestos are occurring untracked</w:t>
            </w:r>
            <w:r w:rsidR="00A04EFF">
              <w:rPr>
                <w:sz w:val="18"/>
                <w:szCs w:val="18"/>
              </w:rPr>
              <w:t xml:space="preserve"> as a result of </w:t>
            </w:r>
            <w:r>
              <w:rPr>
                <w:sz w:val="18"/>
                <w:szCs w:val="18"/>
              </w:rPr>
              <w:t xml:space="preserve">confusion in the industry between the </w:t>
            </w:r>
            <w:proofErr w:type="gramStart"/>
            <w:r>
              <w:rPr>
                <w:sz w:val="18"/>
                <w:szCs w:val="18"/>
              </w:rPr>
              <w:t>requirement</w:t>
            </w:r>
            <w:proofErr w:type="gramEnd"/>
            <w:r>
              <w:rPr>
                <w:sz w:val="18"/>
                <w:szCs w:val="18"/>
              </w:rPr>
              <w:t xml:space="preserve"> for waste transport certificates for collections undertaken by commercial contractors versus domestic loads which do not require certificates. </w:t>
            </w:r>
          </w:p>
        </w:tc>
      </w:tr>
      <w:tr w:rsidR="00B41AC7" w:rsidRPr="00F3490E" w:rsidTr="00B41AC7">
        <w:tc>
          <w:tcPr>
            <w:tcW w:w="4644" w:type="dxa"/>
          </w:tcPr>
          <w:p w:rsidR="00690896" w:rsidRDefault="00690896" w:rsidP="00B178AA">
            <w:pPr>
              <w:spacing w:before="120"/>
              <w:rPr>
                <w:sz w:val="18"/>
                <w:szCs w:val="18"/>
              </w:rPr>
            </w:pPr>
            <w:r>
              <w:rPr>
                <w:sz w:val="18"/>
                <w:szCs w:val="18"/>
              </w:rPr>
              <w:t xml:space="preserve">Clinical </w:t>
            </w:r>
            <w:r w:rsidR="00A04EFF">
              <w:rPr>
                <w:sz w:val="18"/>
                <w:szCs w:val="18"/>
              </w:rPr>
              <w:t>and</w:t>
            </w:r>
            <w:r>
              <w:rPr>
                <w:sz w:val="18"/>
                <w:szCs w:val="18"/>
              </w:rPr>
              <w:t xml:space="preserve"> related wastes (R100) appear to be under-reported in </w:t>
            </w:r>
            <w:r w:rsidR="00A04EFF">
              <w:rPr>
                <w:sz w:val="18"/>
                <w:szCs w:val="18"/>
              </w:rPr>
              <w:t>Western Australia</w:t>
            </w:r>
            <w:r>
              <w:rPr>
                <w:sz w:val="18"/>
                <w:szCs w:val="18"/>
              </w:rPr>
              <w:t>.</w:t>
            </w:r>
          </w:p>
          <w:p w:rsidR="00B41AC7" w:rsidRPr="00F3490E" w:rsidRDefault="00B41AC7" w:rsidP="00B178AA">
            <w:pPr>
              <w:spacing w:before="120"/>
              <w:rPr>
                <w:sz w:val="18"/>
                <w:szCs w:val="18"/>
              </w:rPr>
            </w:pPr>
          </w:p>
        </w:tc>
        <w:tc>
          <w:tcPr>
            <w:tcW w:w="4644" w:type="dxa"/>
          </w:tcPr>
          <w:p w:rsidR="00B41AC7" w:rsidRDefault="00FC0ED7" w:rsidP="00B178AA">
            <w:pPr>
              <w:spacing w:before="120"/>
              <w:rPr>
                <w:sz w:val="18"/>
                <w:szCs w:val="18"/>
              </w:rPr>
            </w:pPr>
            <w:r>
              <w:rPr>
                <w:sz w:val="18"/>
                <w:szCs w:val="18"/>
              </w:rPr>
              <w:t xml:space="preserve">Clinical </w:t>
            </w:r>
            <w:r w:rsidR="00A04EFF">
              <w:rPr>
                <w:sz w:val="18"/>
                <w:szCs w:val="18"/>
              </w:rPr>
              <w:t>and</w:t>
            </w:r>
            <w:r w:rsidR="00F2648A">
              <w:rPr>
                <w:sz w:val="18"/>
                <w:szCs w:val="18"/>
              </w:rPr>
              <w:t xml:space="preserve"> related </w:t>
            </w:r>
            <w:r>
              <w:rPr>
                <w:sz w:val="18"/>
                <w:szCs w:val="18"/>
              </w:rPr>
              <w:t xml:space="preserve">wastes </w:t>
            </w:r>
            <w:r w:rsidR="00F2648A">
              <w:rPr>
                <w:sz w:val="18"/>
                <w:szCs w:val="18"/>
              </w:rPr>
              <w:t xml:space="preserve">(R100) </w:t>
            </w:r>
            <w:r>
              <w:rPr>
                <w:sz w:val="18"/>
                <w:szCs w:val="18"/>
              </w:rPr>
              <w:t>reported by the major states are:</w:t>
            </w:r>
          </w:p>
          <w:p w:rsidR="00FC0ED7" w:rsidRDefault="00A04EFF" w:rsidP="00B178AA">
            <w:pPr>
              <w:spacing w:before="120"/>
              <w:rPr>
                <w:sz w:val="18"/>
                <w:szCs w:val="18"/>
              </w:rPr>
            </w:pPr>
            <w:r>
              <w:rPr>
                <w:sz w:val="18"/>
                <w:szCs w:val="18"/>
              </w:rPr>
              <w:t xml:space="preserve">Western Australia: </w:t>
            </w:r>
            <w:r w:rsidR="00FC0ED7">
              <w:rPr>
                <w:sz w:val="18"/>
                <w:szCs w:val="18"/>
              </w:rPr>
              <w:t>2</w:t>
            </w:r>
            <w:r w:rsidR="00310F1B">
              <w:rPr>
                <w:sz w:val="18"/>
                <w:szCs w:val="18"/>
              </w:rPr>
              <w:t>,</w:t>
            </w:r>
            <w:r w:rsidR="00FC0ED7">
              <w:rPr>
                <w:sz w:val="18"/>
                <w:szCs w:val="18"/>
              </w:rPr>
              <w:t>837t</w:t>
            </w:r>
            <w:r w:rsidR="001E7432">
              <w:rPr>
                <w:sz w:val="18"/>
                <w:szCs w:val="18"/>
              </w:rPr>
              <w:t>; South</w:t>
            </w:r>
            <w:r>
              <w:rPr>
                <w:sz w:val="18"/>
                <w:szCs w:val="18"/>
              </w:rPr>
              <w:t xml:space="preserve"> Australia:</w:t>
            </w:r>
            <w:r w:rsidR="00FC0ED7">
              <w:rPr>
                <w:sz w:val="18"/>
                <w:szCs w:val="18"/>
              </w:rPr>
              <w:t xml:space="preserve"> 15</w:t>
            </w:r>
            <w:r w:rsidR="00310F1B">
              <w:rPr>
                <w:sz w:val="18"/>
                <w:szCs w:val="18"/>
              </w:rPr>
              <w:t>,</w:t>
            </w:r>
            <w:r w:rsidR="00FC0ED7">
              <w:rPr>
                <w:sz w:val="18"/>
                <w:szCs w:val="18"/>
              </w:rPr>
              <w:t>067t</w:t>
            </w:r>
            <w:r>
              <w:rPr>
                <w:sz w:val="18"/>
                <w:szCs w:val="18"/>
              </w:rPr>
              <w:t>;</w:t>
            </w:r>
            <w:r w:rsidR="00FC0ED7">
              <w:rPr>
                <w:sz w:val="18"/>
                <w:szCs w:val="18"/>
              </w:rPr>
              <w:t xml:space="preserve"> </w:t>
            </w:r>
            <w:r>
              <w:rPr>
                <w:sz w:val="18"/>
                <w:szCs w:val="18"/>
              </w:rPr>
              <w:t xml:space="preserve">Queensland: </w:t>
            </w:r>
            <w:r w:rsidR="00FC0ED7">
              <w:rPr>
                <w:sz w:val="18"/>
                <w:szCs w:val="18"/>
              </w:rPr>
              <w:t>17</w:t>
            </w:r>
            <w:r w:rsidR="00310F1B">
              <w:rPr>
                <w:sz w:val="18"/>
                <w:szCs w:val="18"/>
              </w:rPr>
              <w:t>,</w:t>
            </w:r>
            <w:r w:rsidR="00FC0ED7">
              <w:rPr>
                <w:sz w:val="18"/>
                <w:szCs w:val="18"/>
              </w:rPr>
              <w:t>744t</w:t>
            </w:r>
            <w:r>
              <w:rPr>
                <w:sz w:val="18"/>
                <w:szCs w:val="18"/>
              </w:rPr>
              <w:t>;</w:t>
            </w:r>
            <w:r w:rsidR="00FC0ED7">
              <w:rPr>
                <w:sz w:val="18"/>
                <w:szCs w:val="18"/>
              </w:rPr>
              <w:t xml:space="preserve"> </w:t>
            </w:r>
            <w:r>
              <w:rPr>
                <w:sz w:val="18"/>
                <w:szCs w:val="18"/>
              </w:rPr>
              <w:t>Victoria:</w:t>
            </w:r>
            <w:r w:rsidR="00FC0ED7">
              <w:rPr>
                <w:sz w:val="18"/>
                <w:szCs w:val="18"/>
              </w:rPr>
              <w:t xml:space="preserve"> 9</w:t>
            </w:r>
            <w:r w:rsidR="00310F1B">
              <w:rPr>
                <w:sz w:val="18"/>
                <w:szCs w:val="18"/>
              </w:rPr>
              <w:t>,</w:t>
            </w:r>
            <w:r w:rsidR="00FC0ED7">
              <w:rPr>
                <w:sz w:val="18"/>
                <w:szCs w:val="18"/>
              </w:rPr>
              <w:t>272t</w:t>
            </w:r>
            <w:r>
              <w:rPr>
                <w:sz w:val="18"/>
                <w:szCs w:val="18"/>
              </w:rPr>
              <w:t xml:space="preserve">; and New South Wales: </w:t>
            </w:r>
            <w:r w:rsidR="00F2648A">
              <w:rPr>
                <w:sz w:val="18"/>
                <w:szCs w:val="18"/>
              </w:rPr>
              <w:t>216t.</w:t>
            </w:r>
          </w:p>
          <w:p w:rsidR="00F2648A" w:rsidRDefault="00F2648A" w:rsidP="00B178AA">
            <w:pPr>
              <w:spacing w:before="120"/>
              <w:rPr>
                <w:sz w:val="18"/>
                <w:szCs w:val="18"/>
              </w:rPr>
            </w:pPr>
            <w:r>
              <w:rPr>
                <w:sz w:val="18"/>
                <w:szCs w:val="18"/>
              </w:rPr>
              <w:t xml:space="preserve">Noting that this category is exempt from waste tracking in </w:t>
            </w:r>
            <w:r w:rsidR="00A04EFF">
              <w:rPr>
                <w:sz w:val="18"/>
                <w:szCs w:val="18"/>
              </w:rPr>
              <w:t>New South Wales</w:t>
            </w:r>
            <w:r>
              <w:rPr>
                <w:sz w:val="18"/>
                <w:szCs w:val="18"/>
              </w:rPr>
              <w:t xml:space="preserve">, </w:t>
            </w:r>
            <w:r w:rsidR="00690896">
              <w:rPr>
                <w:sz w:val="18"/>
                <w:szCs w:val="18"/>
              </w:rPr>
              <w:t xml:space="preserve">leading to the low figure reported in that state, </w:t>
            </w:r>
            <w:r>
              <w:rPr>
                <w:sz w:val="18"/>
                <w:szCs w:val="18"/>
              </w:rPr>
              <w:t xml:space="preserve">the </w:t>
            </w:r>
            <w:r w:rsidR="00A04EFF">
              <w:rPr>
                <w:sz w:val="18"/>
                <w:szCs w:val="18"/>
              </w:rPr>
              <w:t xml:space="preserve">Western Australia </w:t>
            </w:r>
            <w:r>
              <w:rPr>
                <w:sz w:val="18"/>
                <w:szCs w:val="18"/>
              </w:rPr>
              <w:t>figure in particular appears to be unusually low.</w:t>
            </w:r>
            <w:r w:rsidR="00CE1AFB">
              <w:rPr>
                <w:sz w:val="18"/>
                <w:szCs w:val="18"/>
              </w:rPr>
              <w:t xml:space="preserve">  </w:t>
            </w:r>
            <w:r w:rsidR="00A04EFF">
              <w:rPr>
                <w:sz w:val="18"/>
                <w:szCs w:val="18"/>
              </w:rPr>
              <w:t xml:space="preserve">Western Australia </w:t>
            </w:r>
            <w:r w:rsidR="00CE1AFB">
              <w:rPr>
                <w:sz w:val="18"/>
                <w:szCs w:val="18"/>
              </w:rPr>
              <w:t xml:space="preserve">data shows </w:t>
            </w:r>
            <w:r w:rsidR="00A04EFF">
              <w:rPr>
                <w:sz w:val="18"/>
                <w:szCs w:val="18"/>
              </w:rPr>
              <w:t xml:space="preserve">that </w:t>
            </w:r>
            <w:r w:rsidR="00CE1AFB">
              <w:rPr>
                <w:sz w:val="18"/>
                <w:szCs w:val="18"/>
              </w:rPr>
              <w:t>zero tonnes of R100 were exported in 2011.</w:t>
            </w:r>
          </w:p>
          <w:p w:rsidR="00690896" w:rsidRDefault="00690896" w:rsidP="00B178AA">
            <w:pPr>
              <w:spacing w:before="120"/>
              <w:rPr>
                <w:sz w:val="18"/>
                <w:szCs w:val="18"/>
              </w:rPr>
            </w:pPr>
            <w:r>
              <w:rPr>
                <w:sz w:val="18"/>
                <w:szCs w:val="18"/>
              </w:rPr>
              <w:t xml:space="preserve">In </w:t>
            </w:r>
            <w:r w:rsidR="00A04EFF">
              <w:rPr>
                <w:sz w:val="18"/>
                <w:szCs w:val="18"/>
              </w:rPr>
              <w:t xml:space="preserve">Western Australia </w:t>
            </w:r>
            <w:r w:rsidR="006D2FAE">
              <w:rPr>
                <w:sz w:val="18"/>
                <w:szCs w:val="18"/>
              </w:rPr>
              <w:t xml:space="preserve">and </w:t>
            </w:r>
            <w:r>
              <w:rPr>
                <w:sz w:val="18"/>
                <w:szCs w:val="18"/>
              </w:rPr>
              <w:t xml:space="preserve">Victoria, clinical </w:t>
            </w:r>
            <w:r w:rsidR="00A04EFF">
              <w:rPr>
                <w:sz w:val="18"/>
                <w:szCs w:val="18"/>
              </w:rPr>
              <w:t>and</w:t>
            </w:r>
            <w:r>
              <w:rPr>
                <w:sz w:val="18"/>
                <w:szCs w:val="18"/>
              </w:rPr>
              <w:t xml:space="preserve"> related </w:t>
            </w:r>
            <w:r>
              <w:rPr>
                <w:sz w:val="18"/>
                <w:szCs w:val="18"/>
              </w:rPr>
              <w:lastRenderedPageBreak/>
              <w:t>wastes can only legally be treated using incineration due to the nature of the hazard inherent to this waste category.  However in</w:t>
            </w:r>
            <w:r w:rsidR="006D2FAE">
              <w:rPr>
                <w:sz w:val="18"/>
                <w:szCs w:val="18"/>
              </w:rPr>
              <w:t xml:space="preserve"> </w:t>
            </w:r>
            <w:r w:rsidR="00A04EFF">
              <w:rPr>
                <w:sz w:val="18"/>
                <w:szCs w:val="18"/>
              </w:rPr>
              <w:t>New South Wales</w:t>
            </w:r>
            <w:r w:rsidR="00CE1AFB">
              <w:rPr>
                <w:sz w:val="18"/>
                <w:szCs w:val="18"/>
              </w:rPr>
              <w:t xml:space="preserve">, other forms of treatment, such as sterilisation methods, are accepted by environmental regulators.  Anecdotal evidence suggests that </w:t>
            </w:r>
            <w:r w:rsidR="006D2FAE">
              <w:rPr>
                <w:sz w:val="18"/>
                <w:szCs w:val="18"/>
              </w:rPr>
              <w:t xml:space="preserve">in </w:t>
            </w:r>
            <w:r w:rsidR="00A04EFF">
              <w:rPr>
                <w:sz w:val="18"/>
                <w:szCs w:val="18"/>
              </w:rPr>
              <w:t>New South Wales</w:t>
            </w:r>
            <w:r w:rsidR="006D2FAE">
              <w:rPr>
                <w:sz w:val="18"/>
                <w:szCs w:val="18"/>
              </w:rPr>
              <w:t xml:space="preserve">, </w:t>
            </w:r>
            <w:r w:rsidR="00CE1AFB">
              <w:rPr>
                <w:sz w:val="18"/>
                <w:szCs w:val="18"/>
              </w:rPr>
              <w:t xml:space="preserve">some sterilisation services for this waste type </w:t>
            </w:r>
            <w:r w:rsidR="006D2FAE">
              <w:rPr>
                <w:sz w:val="18"/>
                <w:szCs w:val="18"/>
              </w:rPr>
              <w:t xml:space="preserve">can be provided at </w:t>
            </w:r>
            <w:r w:rsidR="00CE1AFB">
              <w:rPr>
                <w:sz w:val="18"/>
                <w:szCs w:val="18"/>
              </w:rPr>
              <w:t xml:space="preserve">half the </w:t>
            </w:r>
            <w:r w:rsidR="006D2FAE">
              <w:rPr>
                <w:sz w:val="18"/>
                <w:szCs w:val="18"/>
              </w:rPr>
              <w:t>cost</w:t>
            </w:r>
            <w:r w:rsidR="00CE1AFB">
              <w:rPr>
                <w:sz w:val="18"/>
                <w:szCs w:val="18"/>
              </w:rPr>
              <w:t xml:space="preserve"> or less of incineration.</w:t>
            </w:r>
          </w:p>
          <w:p w:rsidR="00CE1AFB" w:rsidRDefault="00CE1AFB" w:rsidP="00B178AA">
            <w:pPr>
              <w:spacing w:before="120"/>
              <w:rPr>
                <w:sz w:val="18"/>
                <w:szCs w:val="18"/>
              </w:rPr>
            </w:pPr>
            <w:r>
              <w:rPr>
                <w:sz w:val="18"/>
                <w:szCs w:val="18"/>
              </w:rPr>
              <w:t xml:space="preserve">This large economic disparity </w:t>
            </w:r>
            <w:r w:rsidR="006D2FAE">
              <w:rPr>
                <w:sz w:val="18"/>
                <w:szCs w:val="18"/>
              </w:rPr>
              <w:t xml:space="preserve">could make interstate transport of clinical </w:t>
            </w:r>
            <w:r w:rsidR="00206E9A">
              <w:rPr>
                <w:sz w:val="18"/>
                <w:szCs w:val="18"/>
              </w:rPr>
              <w:t>and</w:t>
            </w:r>
            <w:r w:rsidR="006D2FAE">
              <w:rPr>
                <w:sz w:val="18"/>
                <w:szCs w:val="18"/>
              </w:rPr>
              <w:t xml:space="preserve"> related wastes followed by interstate treatment competitive against intrastate incineration.  However, </w:t>
            </w:r>
            <w:r w:rsidR="00C06CFF">
              <w:rPr>
                <w:sz w:val="18"/>
                <w:szCs w:val="18"/>
              </w:rPr>
              <w:t>there is no</w:t>
            </w:r>
            <w:r w:rsidR="006D2FAE">
              <w:rPr>
                <w:sz w:val="18"/>
                <w:szCs w:val="18"/>
              </w:rPr>
              <w:t xml:space="preserve"> export data</w:t>
            </w:r>
            <w:r w:rsidR="00C06CFF">
              <w:rPr>
                <w:sz w:val="18"/>
                <w:szCs w:val="18"/>
              </w:rPr>
              <w:t xml:space="preserve"> reported</w:t>
            </w:r>
            <w:r w:rsidR="006D2FAE">
              <w:rPr>
                <w:sz w:val="18"/>
                <w:szCs w:val="18"/>
              </w:rPr>
              <w:t xml:space="preserve"> from </w:t>
            </w:r>
            <w:r w:rsidR="00206E9A">
              <w:rPr>
                <w:sz w:val="18"/>
                <w:szCs w:val="18"/>
              </w:rPr>
              <w:t xml:space="preserve">Western Australia </w:t>
            </w:r>
            <w:r w:rsidR="00C06CFF">
              <w:rPr>
                <w:sz w:val="18"/>
                <w:szCs w:val="18"/>
              </w:rPr>
              <w:t>for</w:t>
            </w:r>
            <w:r w:rsidR="006D2FAE">
              <w:rPr>
                <w:sz w:val="18"/>
                <w:szCs w:val="18"/>
              </w:rPr>
              <w:t xml:space="preserve"> this waste.  </w:t>
            </w:r>
          </w:p>
          <w:p w:rsidR="00DC3979" w:rsidRPr="00F3490E" w:rsidRDefault="00C06CFF" w:rsidP="00C06CFF">
            <w:pPr>
              <w:spacing w:before="120"/>
              <w:rPr>
                <w:sz w:val="18"/>
                <w:szCs w:val="18"/>
              </w:rPr>
            </w:pPr>
            <w:r>
              <w:rPr>
                <w:sz w:val="18"/>
                <w:szCs w:val="18"/>
              </w:rPr>
              <w:t>If clinical waste was imported into NSW from other jurisdictions, t</w:t>
            </w:r>
            <w:r w:rsidR="00DC3979">
              <w:rPr>
                <w:sz w:val="18"/>
                <w:szCs w:val="18"/>
              </w:rPr>
              <w:t xml:space="preserve">he fact that these wastes are exempt from intrastate tracking in </w:t>
            </w:r>
            <w:r w:rsidR="00206E9A">
              <w:rPr>
                <w:sz w:val="18"/>
                <w:szCs w:val="18"/>
              </w:rPr>
              <w:t>New South Wales</w:t>
            </w:r>
            <w:r w:rsidR="00DC3979">
              <w:rPr>
                <w:sz w:val="18"/>
                <w:szCs w:val="18"/>
              </w:rPr>
              <w:t xml:space="preserve">, but not from interstate tracking under the NEPM, could reasonably have caused confusion over the requirements that apply to wastes entering </w:t>
            </w:r>
            <w:r w:rsidR="00206E9A">
              <w:rPr>
                <w:sz w:val="18"/>
                <w:szCs w:val="18"/>
              </w:rPr>
              <w:t>New South Wales</w:t>
            </w:r>
            <w:r w:rsidR="00DC3979">
              <w:rPr>
                <w:sz w:val="18"/>
                <w:szCs w:val="18"/>
              </w:rPr>
              <w:t>, resulting in  non-reporting within the industry.</w:t>
            </w:r>
          </w:p>
        </w:tc>
      </w:tr>
      <w:tr w:rsidR="00B41AC7" w:rsidRPr="00F3490E" w:rsidTr="00B41AC7">
        <w:tc>
          <w:tcPr>
            <w:tcW w:w="4644" w:type="dxa"/>
          </w:tcPr>
          <w:p w:rsidR="00B41AC7" w:rsidRPr="00F3490E" w:rsidRDefault="00206E9A" w:rsidP="00B178AA">
            <w:pPr>
              <w:spacing w:before="120"/>
              <w:rPr>
                <w:sz w:val="18"/>
                <w:szCs w:val="18"/>
              </w:rPr>
            </w:pPr>
            <w:r>
              <w:rPr>
                <w:sz w:val="18"/>
                <w:szCs w:val="18"/>
              </w:rPr>
              <w:lastRenderedPageBreak/>
              <w:t>South Australia</w:t>
            </w:r>
            <w:r w:rsidRPr="00F3490E">
              <w:rPr>
                <w:sz w:val="18"/>
                <w:szCs w:val="18"/>
              </w:rPr>
              <w:t xml:space="preserve"> </w:t>
            </w:r>
            <w:r w:rsidR="00B41AC7" w:rsidRPr="00F3490E">
              <w:rPr>
                <w:sz w:val="18"/>
                <w:szCs w:val="18"/>
              </w:rPr>
              <w:t>imports</w:t>
            </w:r>
            <w:r w:rsidR="00DC3979">
              <w:rPr>
                <w:sz w:val="18"/>
                <w:szCs w:val="18"/>
              </w:rPr>
              <w:t xml:space="preserve"> a significant quantity</w:t>
            </w:r>
            <w:r w:rsidR="00B41AC7" w:rsidRPr="00F3490E">
              <w:rPr>
                <w:sz w:val="18"/>
                <w:szCs w:val="18"/>
              </w:rPr>
              <w:t xml:space="preserve"> </w:t>
            </w:r>
            <w:r w:rsidR="00DC3979">
              <w:rPr>
                <w:sz w:val="18"/>
                <w:szCs w:val="18"/>
              </w:rPr>
              <w:t>(</w:t>
            </w:r>
            <w:r w:rsidR="00A43514">
              <w:rPr>
                <w:sz w:val="18"/>
                <w:szCs w:val="18"/>
              </w:rPr>
              <w:t>19,786t</w:t>
            </w:r>
            <w:r w:rsidR="00DC3979">
              <w:rPr>
                <w:sz w:val="18"/>
                <w:szCs w:val="18"/>
              </w:rPr>
              <w:t>)</w:t>
            </w:r>
            <w:r w:rsidR="00B41AC7" w:rsidRPr="00F3490E">
              <w:rPr>
                <w:sz w:val="18"/>
                <w:szCs w:val="18"/>
              </w:rPr>
              <w:t xml:space="preserve"> of zinc </w:t>
            </w:r>
            <w:r w:rsidR="00DC3979">
              <w:rPr>
                <w:sz w:val="18"/>
                <w:szCs w:val="18"/>
              </w:rPr>
              <w:t>compounds (D230)</w:t>
            </w:r>
            <w:r w:rsidR="00B41AC7" w:rsidRPr="00F3490E">
              <w:rPr>
                <w:sz w:val="18"/>
                <w:szCs w:val="18"/>
              </w:rPr>
              <w:t>. Why?</w:t>
            </w:r>
          </w:p>
          <w:p w:rsidR="00B41AC7" w:rsidRPr="00F3490E" w:rsidRDefault="00B41AC7" w:rsidP="00B178AA">
            <w:pPr>
              <w:spacing w:before="120"/>
              <w:rPr>
                <w:sz w:val="18"/>
                <w:szCs w:val="18"/>
              </w:rPr>
            </w:pPr>
          </w:p>
        </w:tc>
        <w:tc>
          <w:tcPr>
            <w:tcW w:w="4644" w:type="dxa"/>
          </w:tcPr>
          <w:p w:rsidR="00B41AC7" w:rsidRPr="00F3490E" w:rsidRDefault="00B41AC7" w:rsidP="00B178AA">
            <w:pPr>
              <w:spacing w:before="120"/>
              <w:rPr>
                <w:sz w:val="18"/>
                <w:szCs w:val="18"/>
              </w:rPr>
            </w:pPr>
            <w:r w:rsidRPr="00F3490E">
              <w:rPr>
                <w:sz w:val="18"/>
                <w:szCs w:val="18"/>
              </w:rPr>
              <w:t xml:space="preserve">This is likely to be ‘dross’ waste from </w:t>
            </w:r>
            <w:r w:rsidR="00DC3979">
              <w:rPr>
                <w:sz w:val="18"/>
                <w:szCs w:val="18"/>
              </w:rPr>
              <w:t xml:space="preserve">a number of </w:t>
            </w:r>
            <w:r w:rsidRPr="00F3490E">
              <w:rPr>
                <w:sz w:val="18"/>
                <w:szCs w:val="18"/>
              </w:rPr>
              <w:t>galvanis</w:t>
            </w:r>
            <w:r w:rsidR="00DC3979">
              <w:rPr>
                <w:sz w:val="18"/>
                <w:szCs w:val="18"/>
              </w:rPr>
              <w:t>ing plants,</w:t>
            </w:r>
            <w:r w:rsidRPr="00F3490E">
              <w:rPr>
                <w:sz w:val="18"/>
                <w:szCs w:val="18"/>
              </w:rPr>
              <w:t xml:space="preserve"> as there is a zinc smelter at </w:t>
            </w:r>
            <w:proofErr w:type="spellStart"/>
            <w:r w:rsidRPr="00F3490E">
              <w:rPr>
                <w:sz w:val="18"/>
                <w:szCs w:val="18"/>
              </w:rPr>
              <w:t>Nyrstar’s</w:t>
            </w:r>
            <w:proofErr w:type="spellEnd"/>
            <w:r w:rsidRPr="00F3490E">
              <w:rPr>
                <w:sz w:val="18"/>
                <w:szCs w:val="18"/>
              </w:rPr>
              <w:t xml:space="preserve"> Port Pirie lead zinc plant. Both primary and secondary zinc materials are used as feedstock in the smelter.</w:t>
            </w:r>
          </w:p>
        </w:tc>
      </w:tr>
      <w:tr w:rsidR="00B41AC7" w:rsidRPr="00F3490E" w:rsidTr="00B41AC7">
        <w:tc>
          <w:tcPr>
            <w:tcW w:w="4644" w:type="dxa"/>
          </w:tcPr>
          <w:p w:rsidR="00B41AC7" w:rsidRPr="00F3490E" w:rsidRDefault="00206E9A" w:rsidP="00B178AA">
            <w:pPr>
              <w:spacing w:before="120"/>
              <w:rPr>
                <w:sz w:val="18"/>
                <w:szCs w:val="18"/>
              </w:rPr>
            </w:pPr>
            <w:r>
              <w:rPr>
                <w:sz w:val="18"/>
                <w:szCs w:val="18"/>
              </w:rPr>
              <w:t>South Australia</w:t>
            </w:r>
            <w:r w:rsidRPr="00F3490E">
              <w:rPr>
                <w:sz w:val="18"/>
                <w:szCs w:val="18"/>
              </w:rPr>
              <w:t xml:space="preserve"> </w:t>
            </w:r>
            <w:r w:rsidR="00B41AC7" w:rsidRPr="00F3490E">
              <w:rPr>
                <w:sz w:val="18"/>
                <w:szCs w:val="18"/>
              </w:rPr>
              <w:t xml:space="preserve">generates </w:t>
            </w:r>
            <w:r w:rsidR="00A43514">
              <w:rPr>
                <w:sz w:val="18"/>
                <w:szCs w:val="18"/>
              </w:rPr>
              <w:t>108,752</w:t>
            </w:r>
            <w:r w:rsidR="00942BAA">
              <w:rPr>
                <w:sz w:val="18"/>
                <w:szCs w:val="18"/>
              </w:rPr>
              <w:t>t</w:t>
            </w:r>
            <w:r w:rsidR="00B41AC7" w:rsidRPr="00F3490E">
              <w:rPr>
                <w:sz w:val="18"/>
                <w:szCs w:val="18"/>
              </w:rPr>
              <w:t xml:space="preserve"> of arsenic (D130) waste. </w:t>
            </w:r>
            <w:r w:rsidR="00F85FD7">
              <w:rPr>
                <w:sz w:val="18"/>
                <w:szCs w:val="18"/>
              </w:rPr>
              <w:t>This figure seems unreasonably high.</w:t>
            </w:r>
          </w:p>
          <w:p w:rsidR="00B41AC7" w:rsidRPr="00F3490E" w:rsidRDefault="00B41AC7" w:rsidP="00B178AA">
            <w:pPr>
              <w:spacing w:before="120"/>
              <w:rPr>
                <w:sz w:val="18"/>
                <w:szCs w:val="18"/>
              </w:rPr>
            </w:pPr>
          </w:p>
        </w:tc>
        <w:tc>
          <w:tcPr>
            <w:tcW w:w="4644" w:type="dxa"/>
          </w:tcPr>
          <w:p w:rsidR="00B41AC7" w:rsidRPr="00F3490E" w:rsidRDefault="00F3490E" w:rsidP="00206E9A">
            <w:pPr>
              <w:spacing w:before="120"/>
              <w:rPr>
                <w:sz w:val="18"/>
                <w:szCs w:val="18"/>
              </w:rPr>
            </w:pPr>
            <w:r w:rsidRPr="00F3490E">
              <w:rPr>
                <w:sz w:val="18"/>
                <w:szCs w:val="18"/>
              </w:rPr>
              <w:t xml:space="preserve">Arsenic is a by-product of the lead/zinc smelting process undertaken at Port Pirie. We believe that such a high figure </w:t>
            </w:r>
            <w:r w:rsidR="00F85FD7">
              <w:rPr>
                <w:sz w:val="18"/>
                <w:szCs w:val="18"/>
              </w:rPr>
              <w:t>may be due to an error in reporting</w:t>
            </w:r>
            <w:r w:rsidR="001E7432">
              <w:rPr>
                <w:sz w:val="18"/>
                <w:szCs w:val="18"/>
              </w:rPr>
              <w:t>, potentially</w:t>
            </w:r>
            <w:r w:rsidR="00F85FD7">
              <w:rPr>
                <w:sz w:val="18"/>
                <w:szCs w:val="18"/>
              </w:rPr>
              <w:t xml:space="preserve"> of an order of </w:t>
            </w:r>
            <w:r w:rsidRPr="00F3490E">
              <w:rPr>
                <w:sz w:val="18"/>
                <w:szCs w:val="18"/>
              </w:rPr>
              <w:t>magnitude.</w:t>
            </w:r>
          </w:p>
        </w:tc>
      </w:tr>
      <w:tr w:rsidR="00B41AC7" w:rsidRPr="00F3490E" w:rsidTr="00B41AC7">
        <w:tc>
          <w:tcPr>
            <w:tcW w:w="4644" w:type="dxa"/>
          </w:tcPr>
          <w:p w:rsidR="00B41AC7" w:rsidRPr="00F3490E" w:rsidRDefault="00B41AC7" w:rsidP="00A43514">
            <w:pPr>
              <w:spacing w:before="120"/>
              <w:rPr>
                <w:sz w:val="18"/>
                <w:szCs w:val="18"/>
              </w:rPr>
            </w:pPr>
            <w:r w:rsidRPr="00F3490E">
              <w:rPr>
                <w:sz w:val="18"/>
                <w:szCs w:val="18"/>
              </w:rPr>
              <w:t>Why do</w:t>
            </w:r>
            <w:r w:rsidR="00F85FD7">
              <w:rPr>
                <w:sz w:val="18"/>
                <w:szCs w:val="18"/>
              </w:rPr>
              <w:t xml:space="preserve">es </w:t>
            </w:r>
            <w:r w:rsidRPr="00F3490E">
              <w:rPr>
                <w:sz w:val="18"/>
                <w:szCs w:val="18"/>
              </w:rPr>
              <w:t>Vic</w:t>
            </w:r>
            <w:r w:rsidR="00F85FD7">
              <w:rPr>
                <w:sz w:val="18"/>
                <w:szCs w:val="18"/>
              </w:rPr>
              <w:t>toria</w:t>
            </w:r>
            <w:r w:rsidRPr="00F3490E">
              <w:rPr>
                <w:sz w:val="18"/>
                <w:szCs w:val="18"/>
              </w:rPr>
              <w:t xml:space="preserve"> import </w:t>
            </w:r>
            <w:r w:rsidR="00F85FD7">
              <w:rPr>
                <w:sz w:val="18"/>
                <w:szCs w:val="18"/>
              </w:rPr>
              <w:t>and export a similar amount of inorganic chemicals (category D) (</w:t>
            </w:r>
            <w:r w:rsidR="00A43514">
              <w:rPr>
                <w:sz w:val="18"/>
                <w:szCs w:val="18"/>
              </w:rPr>
              <w:t>20,858t</w:t>
            </w:r>
            <w:r w:rsidR="00F85FD7">
              <w:rPr>
                <w:sz w:val="18"/>
                <w:szCs w:val="18"/>
              </w:rPr>
              <w:t xml:space="preserve"> and </w:t>
            </w:r>
            <w:r w:rsidR="00A43514">
              <w:rPr>
                <w:sz w:val="18"/>
                <w:szCs w:val="18"/>
              </w:rPr>
              <w:t>18,010t</w:t>
            </w:r>
            <w:r w:rsidR="00F85FD7">
              <w:rPr>
                <w:sz w:val="18"/>
                <w:szCs w:val="18"/>
              </w:rPr>
              <w:t xml:space="preserve"> respectively)?</w:t>
            </w:r>
          </w:p>
        </w:tc>
        <w:tc>
          <w:tcPr>
            <w:tcW w:w="4644" w:type="dxa"/>
          </w:tcPr>
          <w:p w:rsidR="007A443C" w:rsidRPr="00F3490E" w:rsidRDefault="00F3490E" w:rsidP="00942BAA">
            <w:pPr>
              <w:spacing w:before="120"/>
              <w:rPr>
                <w:sz w:val="18"/>
                <w:szCs w:val="18"/>
              </w:rPr>
            </w:pPr>
            <w:r w:rsidRPr="00F3490E">
              <w:rPr>
                <w:sz w:val="18"/>
                <w:szCs w:val="18"/>
              </w:rPr>
              <w:t xml:space="preserve">Looking more closely at the individual waste types within the Category D wastes reveals that the types of waste imported </w:t>
            </w:r>
            <w:r w:rsidR="00F85FD7">
              <w:rPr>
                <w:sz w:val="18"/>
                <w:szCs w:val="18"/>
              </w:rPr>
              <w:t xml:space="preserve">are different to those exported.  The two major export wastes are zinc compounds (likely to be destined for </w:t>
            </w:r>
            <w:r w:rsidR="00206E9A">
              <w:rPr>
                <w:sz w:val="18"/>
                <w:szCs w:val="18"/>
              </w:rPr>
              <w:t xml:space="preserve">South Australia’s </w:t>
            </w:r>
            <w:r w:rsidR="00F85FD7">
              <w:rPr>
                <w:sz w:val="18"/>
                <w:szCs w:val="18"/>
              </w:rPr>
              <w:t xml:space="preserve">Port Pirie </w:t>
            </w:r>
            <w:r w:rsidR="007A443C">
              <w:rPr>
                <w:sz w:val="18"/>
                <w:szCs w:val="18"/>
              </w:rPr>
              <w:t xml:space="preserve">lead zinc smelter) and non-toxic salts which appear to be destined for </w:t>
            </w:r>
            <w:r w:rsidR="00942BAA">
              <w:rPr>
                <w:sz w:val="18"/>
                <w:szCs w:val="18"/>
              </w:rPr>
              <w:t>New South Wales</w:t>
            </w:r>
            <w:r w:rsidR="007A443C">
              <w:rPr>
                <w:sz w:val="18"/>
                <w:szCs w:val="18"/>
              </w:rPr>
              <w:t>.</w:t>
            </w:r>
            <w:r w:rsidR="00942BAA">
              <w:rPr>
                <w:sz w:val="18"/>
                <w:szCs w:val="18"/>
              </w:rPr>
              <w:t xml:space="preserve"> </w:t>
            </w:r>
            <w:r w:rsidR="007A443C">
              <w:rPr>
                <w:sz w:val="18"/>
                <w:szCs w:val="18"/>
              </w:rPr>
              <w:t xml:space="preserve">In terms of imports, the major waste is lead </w:t>
            </w:r>
            <w:r w:rsidR="00942BAA">
              <w:rPr>
                <w:sz w:val="18"/>
                <w:szCs w:val="18"/>
              </w:rPr>
              <w:t>and</w:t>
            </w:r>
            <w:r w:rsidR="007A443C">
              <w:rPr>
                <w:sz w:val="18"/>
                <w:szCs w:val="18"/>
              </w:rPr>
              <w:t xml:space="preserve"> lead compounds.</w:t>
            </w:r>
          </w:p>
        </w:tc>
      </w:tr>
      <w:tr w:rsidR="00B41AC7" w:rsidRPr="00F3490E" w:rsidTr="00B41AC7">
        <w:tc>
          <w:tcPr>
            <w:tcW w:w="4644" w:type="dxa"/>
          </w:tcPr>
          <w:p w:rsidR="00B41AC7" w:rsidRPr="00F3490E" w:rsidRDefault="007A443C" w:rsidP="00A43514">
            <w:pPr>
              <w:spacing w:before="120"/>
              <w:rPr>
                <w:sz w:val="18"/>
                <w:szCs w:val="18"/>
              </w:rPr>
            </w:pPr>
            <w:r>
              <w:rPr>
                <w:sz w:val="18"/>
                <w:szCs w:val="18"/>
              </w:rPr>
              <w:t xml:space="preserve">After oils and putrescible wastes, </w:t>
            </w:r>
            <w:r w:rsidR="00942BAA">
              <w:rPr>
                <w:sz w:val="18"/>
                <w:szCs w:val="18"/>
              </w:rPr>
              <w:t xml:space="preserve">Western Australia’s </w:t>
            </w:r>
            <w:r>
              <w:rPr>
                <w:sz w:val="18"/>
                <w:szCs w:val="18"/>
              </w:rPr>
              <w:t>next largest</w:t>
            </w:r>
            <w:r w:rsidR="00B41AC7" w:rsidRPr="00F3490E">
              <w:rPr>
                <w:sz w:val="18"/>
                <w:szCs w:val="18"/>
              </w:rPr>
              <w:t xml:space="preserve"> </w:t>
            </w:r>
            <w:r>
              <w:rPr>
                <w:sz w:val="18"/>
                <w:szCs w:val="18"/>
              </w:rPr>
              <w:t xml:space="preserve">waste generated is </w:t>
            </w:r>
            <w:r w:rsidR="00A43514">
              <w:rPr>
                <w:sz w:val="18"/>
                <w:szCs w:val="18"/>
              </w:rPr>
              <w:t>106,000t</w:t>
            </w:r>
            <w:r w:rsidR="00E44004">
              <w:rPr>
                <w:sz w:val="18"/>
                <w:szCs w:val="18"/>
              </w:rPr>
              <w:t xml:space="preserve"> </w:t>
            </w:r>
            <w:r w:rsidR="00E44004" w:rsidRPr="00F3490E">
              <w:rPr>
                <w:sz w:val="18"/>
                <w:szCs w:val="18"/>
              </w:rPr>
              <w:t>of</w:t>
            </w:r>
            <w:r w:rsidR="00B41AC7" w:rsidRPr="00F3490E">
              <w:rPr>
                <w:sz w:val="18"/>
                <w:szCs w:val="18"/>
              </w:rPr>
              <w:t xml:space="preserve"> alkaline waste</w:t>
            </w:r>
            <w:r>
              <w:rPr>
                <w:sz w:val="18"/>
                <w:szCs w:val="18"/>
              </w:rPr>
              <w:t xml:space="preserve"> (C100).  What is this waste?</w:t>
            </w:r>
          </w:p>
        </w:tc>
        <w:tc>
          <w:tcPr>
            <w:tcW w:w="4644" w:type="dxa"/>
          </w:tcPr>
          <w:p w:rsidR="00B41AC7" w:rsidRPr="00F3490E" w:rsidRDefault="007A443C" w:rsidP="00942BAA">
            <w:pPr>
              <w:spacing w:before="120"/>
              <w:rPr>
                <w:sz w:val="18"/>
                <w:szCs w:val="18"/>
              </w:rPr>
            </w:pPr>
            <w:r>
              <w:rPr>
                <w:sz w:val="18"/>
                <w:szCs w:val="18"/>
              </w:rPr>
              <w:t xml:space="preserve">While easily confirmed by tracking system managers at </w:t>
            </w:r>
            <w:r w:rsidR="00942BAA">
              <w:rPr>
                <w:sz w:val="18"/>
                <w:szCs w:val="18"/>
              </w:rPr>
              <w:t xml:space="preserve">Western Australia’s </w:t>
            </w:r>
            <w:r>
              <w:rPr>
                <w:sz w:val="18"/>
                <w:szCs w:val="18"/>
              </w:rPr>
              <w:t>D</w:t>
            </w:r>
            <w:r w:rsidR="00942BAA">
              <w:rPr>
                <w:sz w:val="18"/>
                <w:szCs w:val="18"/>
              </w:rPr>
              <w:t xml:space="preserve">epartment of </w:t>
            </w:r>
            <w:r>
              <w:rPr>
                <w:sz w:val="18"/>
                <w:szCs w:val="18"/>
              </w:rPr>
              <w:t>E</w:t>
            </w:r>
            <w:r w:rsidR="00942BAA">
              <w:rPr>
                <w:sz w:val="18"/>
                <w:szCs w:val="18"/>
              </w:rPr>
              <w:t xml:space="preserve">nvironment and </w:t>
            </w:r>
            <w:r>
              <w:rPr>
                <w:sz w:val="18"/>
                <w:szCs w:val="18"/>
              </w:rPr>
              <w:t>C</w:t>
            </w:r>
            <w:r w:rsidR="00942BAA">
              <w:rPr>
                <w:sz w:val="18"/>
                <w:szCs w:val="18"/>
              </w:rPr>
              <w:t>onservation</w:t>
            </w:r>
            <w:r>
              <w:rPr>
                <w:sz w:val="18"/>
                <w:szCs w:val="18"/>
              </w:rPr>
              <w:t>, this is l</w:t>
            </w:r>
            <w:r w:rsidR="00F3490E" w:rsidRPr="00F3490E">
              <w:rPr>
                <w:sz w:val="18"/>
                <w:szCs w:val="18"/>
              </w:rPr>
              <w:t>ikely to be generated from the alumina refining and smelting processes (e.g. at Kwinana refinery) which use large quantities of caustic.</w:t>
            </w:r>
          </w:p>
        </w:tc>
      </w:tr>
    </w:tbl>
    <w:p w:rsidR="00A778B1" w:rsidRPr="00A778B1" w:rsidRDefault="00A778B1" w:rsidP="00A778B1"/>
    <w:p w:rsidR="00256B07" w:rsidRDefault="00256B07">
      <w:pPr>
        <w:spacing w:after="0"/>
        <w:jc w:val="left"/>
        <w:rPr>
          <w:rFonts w:cs="Arial"/>
          <w:b/>
          <w:color w:val="1D5C42"/>
          <w:sz w:val="40"/>
          <w:szCs w:val="28"/>
        </w:rPr>
      </w:pPr>
      <w:r>
        <w:br w:type="page"/>
      </w:r>
    </w:p>
    <w:p w:rsidR="004270DC" w:rsidRDefault="004270DC" w:rsidP="004270DC">
      <w:pPr>
        <w:pStyle w:val="KMHNumberHeading1"/>
      </w:pPr>
      <w:bookmarkStart w:id="40" w:name="_Toc390771598"/>
      <w:r>
        <w:lastRenderedPageBreak/>
        <w:t>Recommendations</w:t>
      </w:r>
      <w:bookmarkEnd w:id="40"/>
    </w:p>
    <w:p w:rsidR="004270DC" w:rsidRDefault="00F93101" w:rsidP="004270DC">
      <w:pPr>
        <w:pStyle w:val="KMHNumberheading20"/>
      </w:pPr>
      <w:bookmarkStart w:id="41" w:name="_Toc390771599"/>
      <w:r>
        <w:t xml:space="preserve">Detailed review of this report by </w:t>
      </w:r>
      <w:r w:rsidR="009E218A">
        <w:t>s</w:t>
      </w:r>
      <w:r>
        <w:t xml:space="preserve">tate and </w:t>
      </w:r>
      <w:r w:rsidR="009E218A">
        <w:t>t</w:t>
      </w:r>
      <w:r>
        <w:t>erritory agencies</w:t>
      </w:r>
      <w:bookmarkEnd w:id="41"/>
    </w:p>
    <w:p w:rsidR="00F2648A" w:rsidRDefault="006679CC" w:rsidP="00F2648A">
      <w:r>
        <w:t xml:space="preserve">Beyond the collected data itself, this </w:t>
      </w:r>
      <w:r w:rsidR="00601B86">
        <w:t>Summary R</w:t>
      </w:r>
      <w:r>
        <w:t xml:space="preserve">eport contains opinions and interpretation by the authors of observations in the data.  These interpretations have not yet been verified or shared with the providers of the raw data at the jurisdictional level.  It is recommended that both </w:t>
      </w:r>
      <w:r w:rsidR="00601B86">
        <w:t>Summary R</w:t>
      </w:r>
      <w:r>
        <w:t xml:space="preserve">eport and the </w:t>
      </w:r>
      <w:r w:rsidR="00601B86">
        <w:t xml:space="preserve">Data Report—the </w:t>
      </w:r>
      <w:r w:rsidR="00F45B73" w:rsidRPr="00BF44E0">
        <w:rPr>
          <w:i/>
        </w:rPr>
        <w:t>Hazardous Waste Data Assessment</w:t>
      </w:r>
      <w:r w:rsidR="00601B86">
        <w:t>—</w:t>
      </w:r>
      <w:r>
        <w:t>be provided for detailed jurisdictional review before any form of publication.</w:t>
      </w:r>
    </w:p>
    <w:p w:rsidR="00F2648A" w:rsidRDefault="00F93101" w:rsidP="004270DC">
      <w:pPr>
        <w:pStyle w:val="KMHNumberheading20"/>
      </w:pPr>
      <w:bookmarkStart w:id="42" w:name="_Toc390771600"/>
      <w:r>
        <w:t>More detailed investigation to fill key data gaps</w:t>
      </w:r>
      <w:bookmarkEnd w:id="42"/>
    </w:p>
    <w:p w:rsidR="00F2648A" w:rsidRDefault="006679CC" w:rsidP="006679CC">
      <w:r>
        <w:t xml:space="preserve">This report demonstrates significant gaps in Australian hazardous waste data.  The authors have attempted to fill many of these gaps, through other data sources or extrapolation approaches.  However many gaps </w:t>
      </w:r>
      <w:r w:rsidR="00601B86">
        <w:t xml:space="preserve">could not </w:t>
      </w:r>
      <w:r>
        <w:t>be filled.  It is recommended that a project be established that focuses solely on approaches to fill th</w:t>
      </w:r>
      <w:r w:rsidR="00481720">
        <w:t>ese data gaps.  Such a project would inform future hazardous waste compilation and the methodology standardisation suggested in 4.7 below.</w:t>
      </w:r>
    </w:p>
    <w:p w:rsidR="00F44DA1" w:rsidRDefault="00F44DA1" w:rsidP="00F44DA1">
      <w:pPr>
        <w:pStyle w:val="KMHNumberheading20"/>
      </w:pPr>
      <w:bookmarkStart w:id="43" w:name="_Toc390771601"/>
      <w:r>
        <w:t xml:space="preserve">Update report with </w:t>
      </w:r>
      <w:r w:rsidR="00601B86" w:rsidRPr="00174C60">
        <w:rPr>
          <w:i/>
        </w:rPr>
        <w:t>Waste and Recycling in Australia 2012</w:t>
      </w:r>
      <w:bookmarkEnd w:id="43"/>
    </w:p>
    <w:p w:rsidR="00F44DA1" w:rsidRDefault="00F44DA1" w:rsidP="006679CC">
      <w:r>
        <w:t xml:space="preserve">Currently this </w:t>
      </w:r>
      <w:r w:rsidR="00601B86">
        <w:t>Summary R</w:t>
      </w:r>
      <w:r>
        <w:t xml:space="preserve">eport and its companion, the </w:t>
      </w:r>
      <w:r w:rsidR="00F45B73" w:rsidRPr="00BF44E0">
        <w:rPr>
          <w:i/>
        </w:rPr>
        <w:t>Hazardous Waste Data Assessment</w:t>
      </w:r>
      <w:r>
        <w:t xml:space="preserve">, rely on </w:t>
      </w:r>
      <w:r w:rsidR="00F45B73" w:rsidRPr="00BF44E0">
        <w:rPr>
          <w:i/>
        </w:rPr>
        <w:t>Waste and Recycling in Australia 2011</w:t>
      </w:r>
      <w:r>
        <w:t xml:space="preserve"> data, for asbestos and contaminated soil estimates in several jurisdictions.  </w:t>
      </w:r>
      <w:r w:rsidR="0019259B">
        <w:t>The authors</w:t>
      </w:r>
      <w:r>
        <w:t xml:space="preserve"> are aware of some limitations in the accuracy of some of this data.  It is recommended that as soon as </w:t>
      </w:r>
      <w:r w:rsidR="00802100" w:rsidRPr="00802100">
        <w:rPr>
          <w:i/>
        </w:rPr>
        <w:t>Waste and Recycling in Australia 2012</w:t>
      </w:r>
      <w:r>
        <w:t xml:space="preserve"> dat</w:t>
      </w:r>
      <w:r w:rsidR="0019259B">
        <w:t>a</w:t>
      </w:r>
      <w:r>
        <w:t xml:space="preserve"> becomes available, this report is updated</w:t>
      </w:r>
      <w:r w:rsidR="001E7432">
        <w:t>.  I</w:t>
      </w:r>
      <w:r>
        <w:t>f possible, publication of this report</w:t>
      </w:r>
      <w:r w:rsidR="001E7432">
        <w:t xml:space="preserve"> should</w:t>
      </w:r>
      <w:r>
        <w:t xml:space="preserve"> be withheld until this has been completed.</w:t>
      </w:r>
    </w:p>
    <w:p w:rsidR="00F2648A" w:rsidRDefault="00F93101" w:rsidP="004270DC">
      <w:pPr>
        <w:pStyle w:val="KMHNumberheading20"/>
      </w:pPr>
      <w:bookmarkStart w:id="44" w:name="_Toc390771602"/>
      <w:r>
        <w:t>Classification/policy framework review</w:t>
      </w:r>
      <w:bookmarkEnd w:id="44"/>
    </w:p>
    <w:p w:rsidR="00481720" w:rsidRDefault="00481720" w:rsidP="00481720">
      <w:r>
        <w:t>It is recommended that consideration be given to review of the Controlled Waste NEPM with a view to harmonising jurisdictional definitional approaches where benefits to do so exist</w:t>
      </w:r>
      <w:r w:rsidR="00CF38EA">
        <w:t>.</w:t>
      </w:r>
    </w:p>
    <w:p w:rsidR="00BC5121" w:rsidRDefault="006679CC" w:rsidP="004270DC">
      <w:pPr>
        <w:pStyle w:val="KMHNumberheading20"/>
      </w:pPr>
      <w:bookmarkStart w:id="45" w:name="_Toc390771603"/>
      <w:r>
        <w:t>Investigate clinical waste data</w:t>
      </w:r>
      <w:bookmarkEnd w:id="45"/>
    </w:p>
    <w:p w:rsidR="00BC5121" w:rsidRDefault="00481720" w:rsidP="006679CC">
      <w:r>
        <w:t>It is recommended that further investigation be undertaken into the potential for clinical and other wastes (R100) to be transported across borders without waste transport certificates, particularly between W</w:t>
      </w:r>
      <w:r w:rsidR="001F4D34">
        <w:t xml:space="preserve">estern </w:t>
      </w:r>
      <w:r>
        <w:t>A</w:t>
      </w:r>
      <w:r w:rsidR="001F4D34">
        <w:t>ustralia</w:t>
      </w:r>
      <w:r>
        <w:t xml:space="preserve"> and N</w:t>
      </w:r>
      <w:r w:rsidR="001F4D34">
        <w:t xml:space="preserve">ew </w:t>
      </w:r>
      <w:r>
        <w:t>S</w:t>
      </w:r>
      <w:r w:rsidR="001F4D34">
        <w:t xml:space="preserve">outh </w:t>
      </w:r>
      <w:r>
        <w:t>W</w:t>
      </w:r>
      <w:r w:rsidR="001F4D34">
        <w:t>ales</w:t>
      </w:r>
      <w:r>
        <w:t>.</w:t>
      </w:r>
    </w:p>
    <w:p w:rsidR="00BC5121" w:rsidRDefault="006679CC" w:rsidP="004270DC">
      <w:pPr>
        <w:pStyle w:val="KMHNumberheading20"/>
      </w:pPr>
      <w:bookmarkStart w:id="46" w:name="_Toc390771604"/>
      <w:r>
        <w:t>Co-operative Commonwealth/</w:t>
      </w:r>
      <w:r w:rsidR="00CF38EA">
        <w:t>s</w:t>
      </w:r>
      <w:r>
        <w:t>tate data analysis project opportunities</w:t>
      </w:r>
      <w:bookmarkEnd w:id="46"/>
    </w:p>
    <w:p w:rsidR="00BC5121" w:rsidRDefault="00481720" w:rsidP="006679CC">
      <w:r>
        <w:t xml:space="preserve">The wealth of data available to be extracted from waste transport tracking systems suggests there are opportunities to gain further insight from the data.  It is recommended that the possibility of </w:t>
      </w:r>
      <w:r w:rsidR="00CF38EA">
        <w:t>Commonwealth/s</w:t>
      </w:r>
      <w:r>
        <w:t>tate co-operative projects be explored</w:t>
      </w:r>
      <w:r w:rsidR="00CF38EA">
        <w:t xml:space="preserve"> with a view to </w:t>
      </w:r>
      <w:r>
        <w:t xml:space="preserve"> analys</w:t>
      </w:r>
      <w:r w:rsidR="00CF38EA">
        <w:t>ing</w:t>
      </w:r>
      <w:r>
        <w:t xml:space="preserve"> hazardous waste data both at the collated and individual transaction level (</w:t>
      </w:r>
      <w:r w:rsidR="00CF38EA">
        <w:t>i</w:t>
      </w:r>
      <w:r>
        <w:t>f appropriate), to assist in informing future waste management policy and priorities.</w:t>
      </w:r>
    </w:p>
    <w:p w:rsidR="00BC5121" w:rsidRDefault="006679CC" w:rsidP="004270DC">
      <w:pPr>
        <w:pStyle w:val="KMHNumberheading20"/>
      </w:pPr>
      <w:bookmarkStart w:id="47" w:name="_Toc390771605"/>
      <w:r>
        <w:t xml:space="preserve">Further work on the hazardous component of </w:t>
      </w:r>
      <w:r w:rsidR="001F4D34">
        <w:t xml:space="preserve">C&amp;I </w:t>
      </w:r>
      <w:r>
        <w:t>waste</w:t>
      </w:r>
      <w:bookmarkEnd w:id="47"/>
    </w:p>
    <w:p w:rsidR="006679CC" w:rsidRDefault="00481720" w:rsidP="006679CC">
      <w:r>
        <w:t xml:space="preserve">There is very limited data available in Australia that identifies the amount of hazardous waste present </w:t>
      </w:r>
      <w:r w:rsidR="001F4D34">
        <w:t xml:space="preserve">in </w:t>
      </w:r>
      <w:r>
        <w:t xml:space="preserve">the otherwise deemed non-hazardous component of C&amp;I waste.  In other words, after removing the known and tracked waste from </w:t>
      </w:r>
      <w:proofErr w:type="gramStart"/>
      <w:r>
        <w:t>C&amp;I</w:t>
      </w:r>
      <w:proofErr w:type="gramEnd"/>
      <w:r>
        <w:t xml:space="preserve"> producers, what fraction of the remaining waste volumes contains hazardous wastes?  It is recommended that </w:t>
      </w:r>
      <w:r w:rsidR="009F05FE">
        <w:t>further work be carried out to better fill this data gap.</w:t>
      </w:r>
    </w:p>
    <w:p w:rsidR="006679CC" w:rsidRDefault="001F4D34" w:rsidP="004270DC">
      <w:pPr>
        <w:pStyle w:val="KMHNumberheading20"/>
      </w:pPr>
      <w:bookmarkStart w:id="48" w:name="_Toc390771606"/>
      <w:r>
        <w:lastRenderedPageBreak/>
        <w:t>Establish a replicable h</w:t>
      </w:r>
      <w:r w:rsidR="006679CC">
        <w:t xml:space="preserve">azardous waste </w:t>
      </w:r>
      <w:r>
        <w:t xml:space="preserve">data </w:t>
      </w:r>
      <w:r w:rsidR="006679CC">
        <w:t>collection methodology</w:t>
      </w:r>
      <w:bookmarkEnd w:id="48"/>
    </w:p>
    <w:p w:rsidR="004270DC" w:rsidRDefault="009F05FE" w:rsidP="009F05FE">
      <w:pPr>
        <w:jc w:val="left"/>
        <w:sectPr w:rsidR="004270DC" w:rsidSect="003D510A">
          <w:pgSz w:w="11907" w:h="16839" w:code="9"/>
          <w:pgMar w:top="1701" w:right="1134" w:bottom="1134" w:left="1701" w:header="567" w:footer="567" w:gutter="0"/>
          <w:cols w:space="708"/>
          <w:docGrid w:linePitch="360"/>
        </w:sectPr>
      </w:pPr>
      <w:r>
        <w:t>To assist future compilation of hazardous waste</w:t>
      </w:r>
      <w:r w:rsidR="001F4D34">
        <w:t xml:space="preserve"> data</w:t>
      </w:r>
      <w:r>
        <w:t xml:space="preserve"> in Australia, it is recommended that a replicable   methodology be further refined and established that captures an acceptable value for effort approach to all of the aspects of data collected in forming a picture of Australian hazardous waste.  This includes non-tracked waste and non-hazardous wa</w:t>
      </w:r>
      <w:r w:rsidR="00F44DA1">
        <w:t>ste stream contributing sources.</w:t>
      </w:r>
    </w:p>
    <w:p w:rsidR="007173FC" w:rsidRPr="004D4621" w:rsidRDefault="007173FC" w:rsidP="007173FC">
      <w:pPr>
        <w:pStyle w:val="KMHTitleAppendix"/>
      </w:pPr>
      <w:bookmarkStart w:id="49" w:name="_Toc238554242"/>
      <w:r w:rsidRPr="004D4621">
        <w:lastRenderedPageBreak/>
        <w:t xml:space="preserve">Appendix </w:t>
      </w:r>
      <w:bookmarkEnd w:id="49"/>
      <w:r w:rsidRPr="004D4621">
        <w:t>A</w:t>
      </w:r>
    </w:p>
    <w:p w:rsidR="007173FC" w:rsidRDefault="007173FC" w:rsidP="007173FC">
      <w:pPr>
        <w:pStyle w:val="KMHsubtitleappendix"/>
      </w:pPr>
      <w:r>
        <w:rPr>
          <w:rFonts w:cs="Arial"/>
          <w:b/>
          <w:sz w:val="40"/>
          <w:szCs w:val="40"/>
        </w:rPr>
        <w:t>Hazardous Waste Data Assessment</w:t>
      </w:r>
      <w:r>
        <w:rPr>
          <w:rFonts w:cs="Arial"/>
          <w:b/>
          <w:sz w:val="40"/>
          <w:szCs w:val="40"/>
        </w:rPr>
        <w:br/>
      </w:r>
      <w:r>
        <w:t>Final Report</w:t>
      </w:r>
    </w:p>
    <w:p w:rsidR="007173FC" w:rsidRDefault="007173FC" w:rsidP="007173FC">
      <w:pPr>
        <w:rPr>
          <w:color w:val="1D5C42"/>
          <w:sz w:val="28"/>
          <w:szCs w:val="28"/>
        </w:rPr>
      </w:pPr>
      <w:r>
        <w:br w:type="page"/>
      </w:r>
    </w:p>
    <w:p w:rsidR="00444E3A" w:rsidRDefault="00444E3A">
      <w:pPr>
        <w:spacing w:after="0"/>
        <w:jc w:val="left"/>
        <w:rPr>
          <w:color w:val="1D5C42"/>
          <w:sz w:val="28"/>
          <w:szCs w:val="28"/>
        </w:rPr>
      </w:pPr>
      <w:r>
        <w:lastRenderedPageBreak/>
        <w:br w:type="page"/>
      </w:r>
    </w:p>
    <w:p w:rsidR="00444E3A" w:rsidRPr="00444E3A" w:rsidRDefault="00444E3A" w:rsidP="00444E3A">
      <w:pPr>
        <w:pStyle w:val="KMHTitleAppendix"/>
        <w:spacing w:before="0" w:after="0"/>
        <w:contextualSpacing w:val="0"/>
        <w:rPr>
          <w:sz w:val="16"/>
          <w:szCs w:val="16"/>
        </w:rPr>
      </w:pPr>
    </w:p>
    <w:p w:rsidR="00444E3A" w:rsidRPr="004D4621" w:rsidRDefault="00444E3A" w:rsidP="00444E3A">
      <w:pPr>
        <w:pStyle w:val="KMHTitleAppendix"/>
        <w:contextualSpacing w:val="0"/>
      </w:pPr>
      <w:r w:rsidRPr="004D4621">
        <w:t xml:space="preserve">Appendix </w:t>
      </w:r>
      <w:r>
        <w:t>B</w:t>
      </w:r>
    </w:p>
    <w:p w:rsidR="00444E3A" w:rsidRDefault="00444E3A" w:rsidP="00444E3A">
      <w:pPr>
        <w:pStyle w:val="KMHsubtitleappendix"/>
      </w:pPr>
      <w:r>
        <w:rPr>
          <w:rFonts w:cs="Arial"/>
          <w:b/>
          <w:sz w:val="40"/>
          <w:szCs w:val="40"/>
        </w:rPr>
        <w:t xml:space="preserve">Revised </w:t>
      </w:r>
      <w:r w:rsidR="0040590A">
        <w:rPr>
          <w:rFonts w:cs="Arial"/>
          <w:b/>
          <w:sz w:val="40"/>
          <w:szCs w:val="40"/>
        </w:rPr>
        <w:t xml:space="preserve">(Normalised) </w:t>
      </w:r>
      <w:r>
        <w:rPr>
          <w:rFonts w:cs="Arial"/>
          <w:b/>
          <w:sz w:val="40"/>
          <w:szCs w:val="40"/>
        </w:rPr>
        <w:t xml:space="preserve">National </w:t>
      </w:r>
      <w:r w:rsidR="00460043">
        <w:rPr>
          <w:rFonts w:cs="Arial"/>
          <w:b/>
          <w:sz w:val="40"/>
          <w:szCs w:val="40"/>
        </w:rPr>
        <w:t>2010–11</w:t>
      </w:r>
      <w:r>
        <w:rPr>
          <w:rFonts w:cs="Arial"/>
          <w:b/>
          <w:sz w:val="40"/>
          <w:szCs w:val="40"/>
        </w:rPr>
        <w:t xml:space="preserve"> Hazardous Waste Data</w:t>
      </w:r>
      <w:r>
        <w:rPr>
          <w:rFonts w:cs="Arial"/>
          <w:b/>
          <w:sz w:val="40"/>
          <w:szCs w:val="40"/>
        </w:rPr>
        <w:br/>
      </w:r>
      <w:r w:rsidR="00E44EB1">
        <w:t>b</w:t>
      </w:r>
      <w:r>
        <w:t>y Jurisdiction</w:t>
      </w:r>
    </w:p>
    <w:p w:rsidR="00AF5701" w:rsidRDefault="00AF5701">
      <w:pPr>
        <w:spacing w:after="0"/>
        <w:jc w:val="left"/>
      </w:pPr>
      <w:r>
        <w:br w:type="page"/>
      </w:r>
    </w:p>
    <w:p w:rsidR="00AF5701" w:rsidRDefault="00AF5701">
      <w:pPr>
        <w:spacing w:after="0"/>
        <w:jc w:val="left"/>
        <w:sectPr w:rsidR="00AF5701" w:rsidSect="00B25B5D">
          <w:footerReference w:type="default" r:id="rId27"/>
          <w:pgSz w:w="11907" w:h="16839" w:code="9"/>
          <w:pgMar w:top="1701" w:right="1134" w:bottom="1134" w:left="1701" w:header="567" w:footer="567" w:gutter="0"/>
          <w:cols w:space="708"/>
          <w:docGrid w:linePitch="360"/>
        </w:sectPr>
      </w:pPr>
    </w:p>
    <w:tbl>
      <w:tblPr>
        <w:tblW w:w="9200" w:type="dxa"/>
        <w:tblInd w:w="93" w:type="dxa"/>
        <w:tblLook w:val="04A0"/>
      </w:tblPr>
      <w:tblGrid>
        <w:gridCol w:w="2980"/>
        <w:gridCol w:w="2160"/>
        <w:gridCol w:w="1860"/>
        <w:gridCol w:w="2200"/>
      </w:tblGrid>
      <w:tr w:rsidR="007132BE" w:rsidRPr="007132BE" w:rsidTr="00460043">
        <w:trPr>
          <w:trHeight w:val="480"/>
        </w:trPr>
        <w:tc>
          <w:tcPr>
            <w:tcW w:w="2980" w:type="dxa"/>
            <w:vMerge w:val="restart"/>
            <w:tcBorders>
              <w:top w:val="single" w:sz="8" w:space="0" w:color="auto"/>
              <w:left w:val="single" w:sz="8" w:space="0" w:color="auto"/>
              <w:right w:val="single" w:sz="8" w:space="0" w:color="auto"/>
            </w:tcBorders>
            <w:shd w:val="clear" w:color="000000" w:fill="1D5C42"/>
            <w:vAlign w:val="center"/>
            <w:hideMark/>
          </w:tcPr>
          <w:p w:rsidR="007132BE" w:rsidRPr="007132BE" w:rsidRDefault="007132BE" w:rsidP="007132BE">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lastRenderedPageBreak/>
              <w:t> </w:t>
            </w:r>
          </w:p>
          <w:p w:rsidR="007132BE" w:rsidRPr="007132BE" w:rsidRDefault="007132BE" w:rsidP="00824FF1">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State/</w:t>
            </w:r>
            <w:r w:rsidR="00824FF1">
              <w:rPr>
                <w:rFonts w:eastAsia="Times New Roman" w:cs="Arial"/>
                <w:b/>
                <w:bCs/>
                <w:color w:val="FFFFFF"/>
                <w:sz w:val="18"/>
                <w:szCs w:val="18"/>
                <w:lang w:eastAsia="en-AU"/>
              </w:rPr>
              <w:t>t</w:t>
            </w:r>
            <w:r w:rsidRPr="007132BE">
              <w:rPr>
                <w:rFonts w:eastAsia="Times New Roman" w:cs="Arial"/>
                <w:b/>
                <w:bCs/>
                <w:color w:val="FFFFFF"/>
                <w:sz w:val="18"/>
                <w:szCs w:val="18"/>
                <w:lang w:eastAsia="en-AU"/>
              </w:rPr>
              <w:t>erritory</w:t>
            </w:r>
          </w:p>
        </w:tc>
        <w:tc>
          <w:tcPr>
            <w:tcW w:w="6220" w:type="dxa"/>
            <w:gridSpan w:val="3"/>
            <w:tcBorders>
              <w:top w:val="single" w:sz="8" w:space="0" w:color="auto"/>
              <w:left w:val="nil"/>
              <w:bottom w:val="single" w:sz="8" w:space="0" w:color="auto"/>
              <w:right w:val="nil"/>
            </w:tcBorders>
            <w:shd w:val="clear" w:color="000000" w:fill="1D5C42"/>
            <w:vAlign w:val="center"/>
            <w:hideMark/>
          </w:tcPr>
          <w:p w:rsidR="007132BE" w:rsidRPr="007132BE" w:rsidRDefault="007132BE" w:rsidP="007132BE">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Waste generated (tonnes)</w:t>
            </w:r>
          </w:p>
        </w:tc>
      </w:tr>
      <w:tr w:rsidR="007132BE" w:rsidRPr="007132BE" w:rsidTr="00460043">
        <w:trPr>
          <w:trHeight w:val="735"/>
        </w:trPr>
        <w:tc>
          <w:tcPr>
            <w:tcW w:w="2980" w:type="dxa"/>
            <w:vMerge/>
            <w:tcBorders>
              <w:left w:val="single" w:sz="8" w:space="0" w:color="auto"/>
              <w:bottom w:val="single" w:sz="8" w:space="0" w:color="auto"/>
              <w:right w:val="single" w:sz="8" w:space="0" w:color="auto"/>
            </w:tcBorders>
            <w:shd w:val="clear" w:color="000000" w:fill="1D5C42"/>
            <w:vAlign w:val="center"/>
            <w:hideMark/>
          </w:tcPr>
          <w:p w:rsidR="007132BE" w:rsidRPr="007132BE" w:rsidRDefault="007132BE" w:rsidP="007132BE">
            <w:pPr>
              <w:spacing w:after="0" w:line="240" w:lineRule="auto"/>
              <w:jc w:val="center"/>
              <w:rPr>
                <w:rFonts w:eastAsia="Times New Roman" w:cs="Arial"/>
                <w:b/>
                <w:bCs/>
                <w:color w:val="FFFFFF"/>
                <w:sz w:val="18"/>
                <w:szCs w:val="18"/>
                <w:lang w:eastAsia="en-AU"/>
              </w:rPr>
            </w:pPr>
          </w:p>
        </w:tc>
        <w:tc>
          <w:tcPr>
            <w:tcW w:w="2160" w:type="dxa"/>
            <w:tcBorders>
              <w:top w:val="nil"/>
              <w:left w:val="nil"/>
              <w:bottom w:val="single" w:sz="8" w:space="0" w:color="auto"/>
              <w:right w:val="single" w:sz="8" w:space="0" w:color="auto"/>
            </w:tcBorders>
            <w:shd w:val="clear" w:color="000000" w:fill="1D5C42"/>
            <w:vAlign w:val="center"/>
            <w:hideMark/>
          </w:tcPr>
          <w:p w:rsidR="007132BE" w:rsidRPr="007132BE" w:rsidRDefault="007132BE" w:rsidP="007132BE">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Intrastate</w:t>
            </w:r>
          </w:p>
        </w:tc>
        <w:tc>
          <w:tcPr>
            <w:tcW w:w="1860" w:type="dxa"/>
            <w:tcBorders>
              <w:top w:val="nil"/>
              <w:left w:val="nil"/>
              <w:bottom w:val="single" w:sz="8" w:space="0" w:color="auto"/>
              <w:right w:val="single" w:sz="8" w:space="0" w:color="auto"/>
            </w:tcBorders>
            <w:shd w:val="clear" w:color="000000" w:fill="1D5C42"/>
            <w:vAlign w:val="center"/>
            <w:hideMark/>
          </w:tcPr>
          <w:p w:rsidR="007132BE" w:rsidRPr="007132BE" w:rsidRDefault="007132BE" w:rsidP="00824FF1">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 xml:space="preserve">Sent </w:t>
            </w:r>
            <w:r w:rsidR="00824FF1">
              <w:rPr>
                <w:rFonts w:eastAsia="Times New Roman" w:cs="Arial"/>
                <w:b/>
                <w:bCs/>
                <w:color w:val="FFFFFF"/>
                <w:sz w:val="18"/>
                <w:szCs w:val="18"/>
                <w:lang w:eastAsia="en-AU"/>
              </w:rPr>
              <w:t>i</w:t>
            </w:r>
            <w:r w:rsidRPr="007132BE">
              <w:rPr>
                <w:rFonts w:eastAsia="Times New Roman" w:cs="Arial"/>
                <w:b/>
                <w:bCs/>
                <w:color w:val="FFFFFF"/>
                <w:sz w:val="18"/>
                <w:szCs w:val="18"/>
                <w:lang w:eastAsia="en-AU"/>
              </w:rPr>
              <w:t>nterstate</w:t>
            </w:r>
          </w:p>
        </w:tc>
        <w:tc>
          <w:tcPr>
            <w:tcW w:w="2200" w:type="dxa"/>
            <w:tcBorders>
              <w:top w:val="nil"/>
              <w:left w:val="nil"/>
              <w:bottom w:val="single" w:sz="8" w:space="0" w:color="auto"/>
              <w:right w:val="single" w:sz="8" w:space="0" w:color="auto"/>
            </w:tcBorders>
            <w:shd w:val="clear" w:color="000000" w:fill="1D5C42"/>
            <w:vAlign w:val="center"/>
            <w:hideMark/>
          </w:tcPr>
          <w:p w:rsidR="007132BE" w:rsidRPr="007132BE" w:rsidRDefault="007132BE" w:rsidP="00824FF1">
            <w:pPr>
              <w:spacing w:after="0" w:line="240" w:lineRule="auto"/>
              <w:jc w:val="center"/>
              <w:rPr>
                <w:rFonts w:eastAsia="Times New Roman" w:cs="Arial"/>
                <w:b/>
                <w:bCs/>
                <w:color w:val="FFFFFF"/>
                <w:sz w:val="18"/>
                <w:szCs w:val="18"/>
                <w:lang w:eastAsia="en-AU"/>
              </w:rPr>
            </w:pPr>
            <w:r w:rsidRPr="007132BE">
              <w:rPr>
                <w:rFonts w:eastAsia="Times New Roman" w:cs="Arial"/>
                <w:b/>
                <w:bCs/>
                <w:color w:val="FFFFFF"/>
                <w:sz w:val="18"/>
                <w:szCs w:val="18"/>
                <w:lang w:eastAsia="en-AU"/>
              </w:rPr>
              <w:t xml:space="preserve">Total from </w:t>
            </w:r>
            <w:r w:rsidR="00824FF1">
              <w:rPr>
                <w:rFonts w:eastAsia="Times New Roman" w:cs="Arial"/>
                <w:b/>
                <w:bCs/>
                <w:color w:val="FFFFFF"/>
                <w:sz w:val="18"/>
                <w:szCs w:val="18"/>
                <w:lang w:eastAsia="en-AU"/>
              </w:rPr>
              <w:t>w</w:t>
            </w:r>
            <w:r w:rsidRPr="007132BE">
              <w:rPr>
                <w:rFonts w:eastAsia="Times New Roman" w:cs="Arial"/>
                <w:b/>
                <w:bCs/>
                <w:color w:val="FFFFFF"/>
                <w:sz w:val="18"/>
                <w:szCs w:val="18"/>
                <w:lang w:eastAsia="en-AU"/>
              </w:rPr>
              <w:t xml:space="preserve">aste </w:t>
            </w:r>
            <w:r w:rsidR="00824FF1">
              <w:rPr>
                <w:rFonts w:eastAsia="Times New Roman" w:cs="Arial"/>
                <w:b/>
                <w:bCs/>
                <w:color w:val="FFFFFF"/>
                <w:sz w:val="18"/>
                <w:szCs w:val="18"/>
                <w:lang w:eastAsia="en-AU"/>
              </w:rPr>
              <w:t>m</w:t>
            </w:r>
            <w:r w:rsidRPr="007132BE">
              <w:rPr>
                <w:rFonts w:eastAsia="Times New Roman" w:cs="Arial"/>
                <w:b/>
                <w:bCs/>
                <w:color w:val="FFFFFF"/>
                <w:sz w:val="18"/>
                <w:szCs w:val="18"/>
                <w:lang w:eastAsia="en-AU"/>
              </w:rPr>
              <w:t>ovements</w:t>
            </w:r>
          </w:p>
        </w:tc>
      </w:tr>
      <w:tr w:rsidR="00700A59" w:rsidRPr="007132BE" w:rsidTr="00C078A7">
        <w:trPr>
          <w:trHeight w:val="315"/>
        </w:trPr>
        <w:tc>
          <w:tcPr>
            <w:tcW w:w="29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00A59" w:rsidRPr="007132BE" w:rsidRDefault="00700A59"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Australian Capital Territory</w:t>
            </w:r>
          </w:p>
        </w:tc>
        <w:tc>
          <w:tcPr>
            <w:tcW w:w="21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66,381</w:t>
            </w:r>
          </w:p>
        </w:tc>
        <w:tc>
          <w:tcPr>
            <w:tcW w:w="18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7,325</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73,706</w:t>
            </w:r>
          </w:p>
        </w:tc>
      </w:tr>
      <w:tr w:rsidR="00700A59" w:rsidRPr="007132BE" w:rsidTr="00C078A7">
        <w:trPr>
          <w:trHeight w:val="315"/>
        </w:trPr>
        <w:tc>
          <w:tcPr>
            <w:tcW w:w="29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00A59" w:rsidRPr="007132BE" w:rsidRDefault="00700A59"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New South Wales</w:t>
            </w:r>
          </w:p>
        </w:tc>
        <w:tc>
          <w:tcPr>
            <w:tcW w:w="21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1,584,659</w:t>
            </w:r>
          </w:p>
        </w:tc>
        <w:tc>
          <w:tcPr>
            <w:tcW w:w="18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0</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1,584,659</w:t>
            </w:r>
          </w:p>
        </w:tc>
      </w:tr>
      <w:tr w:rsidR="00700A59" w:rsidRPr="007132BE" w:rsidTr="00C078A7">
        <w:trPr>
          <w:trHeight w:val="315"/>
        </w:trPr>
        <w:tc>
          <w:tcPr>
            <w:tcW w:w="29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00A59" w:rsidRPr="007132BE" w:rsidRDefault="00700A59" w:rsidP="00824FF1">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 xml:space="preserve">Northern Territory </w:t>
            </w:r>
          </w:p>
        </w:tc>
        <w:tc>
          <w:tcPr>
            <w:tcW w:w="21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45,556</w:t>
            </w:r>
          </w:p>
        </w:tc>
        <w:tc>
          <w:tcPr>
            <w:tcW w:w="18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5994</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51,550</w:t>
            </w:r>
          </w:p>
        </w:tc>
      </w:tr>
      <w:tr w:rsidR="00700A59" w:rsidRPr="007132BE" w:rsidTr="00C078A7">
        <w:trPr>
          <w:trHeight w:val="315"/>
        </w:trPr>
        <w:tc>
          <w:tcPr>
            <w:tcW w:w="29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00A59" w:rsidRPr="007132BE" w:rsidRDefault="00700A59"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Queensland</w:t>
            </w:r>
          </w:p>
        </w:tc>
        <w:tc>
          <w:tcPr>
            <w:tcW w:w="21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1,492,737</w:t>
            </w:r>
          </w:p>
        </w:tc>
        <w:tc>
          <w:tcPr>
            <w:tcW w:w="18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6505</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1,499,241</w:t>
            </w:r>
          </w:p>
        </w:tc>
      </w:tr>
      <w:tr w:rsidR="00700A59" w:rsidRPr="007132BE" w:rsidTr="00C078A7">
        <w:trPr>
          <w:trHeight w:val="315"/>
        </w:trPr>
        <w:tc>
          <w:tcPr>
            <w:tcW w:w="29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00A59" w:rsidRPr="007132BE" w:rsidRDefault="00700A59"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South Australia</w:t>
            </w:r>
          </w:p>
        </w:tc>
        <w:tc>
          <w:tcPr>
            <w:tcW w:w="21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624,800</w:t>
            </w:r>
          </w:p>
        </w:tc>
        <w:tc>
          <w:tcPr>
            <w:tcW w:w="18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5201</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630,001</w:t>
            </w:r>
          </w:p>
        </w:tc>
      </w:tr>
      <w:tr w:rsidR="00700A59" w:rsidRPr="007132BE" w:rsidTr="00C078A7">
        <w:trPr>
          <w:trHeight w:val="315"/>
        </w:trPr>
        <w:tc>
          <w:tcPr>
            <w:tcW w:w="29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00A59" w:rsidRPr="007132BE" w:rsidRDefault="00700A59"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Tasmania</w:t>
            </w:r>
          </w:p>
        </w:tc>
        <w:tc>
          <w:tcPr>
            <w:tcW w:w="21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45,763</w:t>
            </w:r>
          </w:p>
        </w:tc>
        <w:tc>
          <w:tcPr>
            <w:tcW w:w="18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16029</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61,792</w:t>
            </w:r>
          </w:p>
        </w:tc>
      </w:tr>
      <w:tr w:rsidR="00700A59" w:rsidRPr="007132BE" w:rsidTr="00C078A7">
        <w:trPr>
          <w:trHeight w:val="315"/>
        </w:trPr>
        <w:tc>
          <w:tcPr>
            <w:tcW w:w="29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00A59" w:rsidRPr="007132BE" w:rsidRDefault="00700A59"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Victoria</w:t>
            </w:r>
          </w:p>
        </w:tc>
        <w:tc>
          <w:tcPr>
            <w:tcW w:w="21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1,358,904</w:t>
            </w:r>
          </w:p>
        </w:tc>
        <w:tc>
          <w:tcPr>
            <w:tcW w:w="18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43725</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1,402,629</w:t>
            </w:r>
          </w:p>
        </w:tc>
      </w:tr>
      <w:tr w:rsidR="00700A59" w:rsidRPr="007132BE" w:rsidTr="00C078A7">
        <w:trPr>
          <w:trHeight w:val="315"/>
        </w:trPr>
        <w:tc>
          <w:tcPr>
            <w:tcW w:w="29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00A59" w:rsidRPr="007132BE" w:rsidRDefault="00700A59" w:rsidP="007132BE">
            <w:pPr>
              <w:spacing w:after="0" w:line="240" w:lineRule="auto"/>
              <w:jc w:val="left"/>
              <w:rPr>
                <w:rFonts w:eastAsia="Times New Roman" w:cs="Arial"/>
                <w:color w:val="000000"/>
                <w:sz w:val="18"/>
                <w:szCs w:val="18"/>
                <w:lang w:eastAsia="en-AU"/>
              </w:rPr>
            </w:pPr>
            <w:r>
              <w:rPr>
                <w:rFonts w:eastAsia="Times New Roman" w:cs="Arial"/>
                <w:color w:val="000000"/>
                <w:sz w:val="18"/>
                <w:szCs w:val="18"/>
                <w:lang w:eastAsia="en-AU"/>
              </w:rPr>
              <w:t>Western Australia</w:t>
            </w:r>
          </w:p>
        </w:tc>
        <w:tc>
          <w:tcPr>
            <w:tcW w:w="21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722,863</w:t>
            </w:r>
          </w:p>
        </w:tc>
        <w:tc>
          <w:tcPr>
            <w:tcW w:w="18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8142</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color w:val="000000"/>
                <w:sz w:val="18"/>
                <w:szCs w:val="20"/>
              </w:rPr>
            </w:pPr>
            <w:r w:rsidRPr="00700A59">
              <w:rPr>
                <w:rFonts w:cs="Arial"/>
                <w:color w:val="000000"/>
                <w:sz w:val="18"/>
                <w:szCs w:val="20"/>
              </w:rPr>
              <w:t>731,005</w:t>
            </w:r>
          </w:p>
        </w:tc>
      </w:tr>
      <w:tr w:rsidR="00700A59" w:rsidRPr="007132BE" w:rsidTr="00C078A7">
        <w:trPr>
          <w:trHeight w:val="315"/>
        </w:trPr>
        <w:tc>
          <w:tcPr>
            <w:tcW w:w="29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00A59" w:rsidRPr="007132BE" w:rsidRDefault="00700A59" w:rsidP="007132BE">
            <w:pPr>
              <w:spacing w:after="0" w:line="240" w:lineRule="auto"/>
              <w:jc w:val="left"/>
              <w:rPr>
                <w:rFonts w:eastAsia="Times New Roman" w:cs="Arial"/>
                <w:b/>
                <w:bCs/>
                <w:color w:val="000000"/>
                <w:sz w:val="18"/>
                <w:szCs w:val="18"/>
                <w:lang w:eastAsia="en-AU"/>
              </w:rPr>
            </w:pPr>
            <w:r w:rsidRPr="007132BE">
              <w:rPr>
                <w:rFonts w:eastAsia="Times New Roman" w:cs="Arial"/>
                <w:b/>
                <w:bCs/>
                <w:color w:val="000000"/>
                <w:sz w:val="18"/>
                <w:szCs w:val="18"/>
                <w:lang w:eastAsia="en-AU"/>
              </w:rPr>
              <w:t>Total</w:t>
            </w:r>
          </w:p>
        </w:tc>
        <w:tc>
          <w:tcPr>
            <w:tcW w:w="21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b/>
                <w:bCs/>
                <w:color w:val="000000"/>
                <w:sz w:val="18"/>
                <w:szCs w:val="20"/>
              </w:rPr>
            </w:pPr>
            <w:r w:rsidRPr="00700A59">
              <w:rPr>
                <w:rFonts w:cs="Arial"/>
                <w:b/>
                <w:bCs/>
                <w:color w:val="000000"/>
                <w:sz w:val="18"/>
                <w:szCs w:val="20"/>
              </w:rPr>
              <w:t>5,941,663</w:t>
            </w:r>
          </w:p>
        </w:tc>
        <w:tc>
          <w:tcPr>
            <w:tcW w:w="186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b/>
                <w:bCs/>
                <w:color w:val="000000"/>
                <w:sz w:val="18"/>
                <w:szCs w:val="20"/>
              </w:rPr>
            </w:pPr>
            <w:r w:rsidRPr="00700A59">
              <w:rPr>
                <w:rFonts w:cs="Arial"/>
                <w:b/>
                <w:bCs/>
                <w:color w:val="000000"/>
                <w:sz w:val="18"/>
                <w:szCs w:val="20"/>
              </w:rPr>
              <w:t>92,921</w:t>
            </w:r>
          </w:p>
        </w:tc>
        <w:tc>
          <w:tcPr>
            <w:tcW w:w="2200" w:type="dxa"/>
            <w:tcBorders>
              <w:top w:val="nil"/>
              <w:left w:val="nil"/>
              <w:bottom w:val="single" w:sz="8" w:space="0" w:color="auto"/>
              <w:right w:val="single" w:sz="8" w:space="0" w:color="auto"/>
            </w:tcBorders>
            <w:shd w:val="clear" w:color="auto" w:fill="FFFFFF" w:themeFill="background1"/>
            <w:vAlign w:val="center"/>
            <w:hideMark/>
          </w:tcPr>
          <w:p w:rsidR="00700A59" w:rsidRPr="00700A59" w:rsidRDefault="00700A59" w:rsidP="00700A59">
            <w:pPr>
              <w:spacing w:after="0"/>
              <w:jc w:val="right"/>
              <w:rPr>
                <w:rFonts w:cs="Arial"/>
                <w:b/>
                <w:bCs/>
                <w:color w:val="000000"/>
                <w:sz w:val="18"/>
                <w:szCs w:val="20"/>
              </w:rPr>
            </w:pPr>
            <w:r w:rsidRPr="00700A59">
              <w:rPr>
                <w:rFonts w:cs="Arial"/>
                <w:b/>
                <w:bCs/>
                <w:color w:val="000000"/>
                <w:sz w:val="18"/>
                <w:szCs w:val="20"/>
              </w:rPr>
              <w:t>6,034,584</w:t>
            </w:r>
          </w:p>
        </w:tc>
      </w:tr>
    </w:tbl>
    <w:p w:rsidR="00AF5701" w:rsidRDefault="00AF5701">
      <w:pPr>
        <w:spacing w:after="0"/>
        <w:jc w:val="left"/>
        <w:rPr>
          <w:color w:val="1D5C42"/>
          <w:sz w:val="28"/>
          <w:szCs w:val="28"/>
        </w:rPr>
      </w:pPr>
    </w:p>
    <w:p w:rsidR="00AF5701" w:rsidRDefault="007132BE" w:rsidP="00C078A7">
      <w:pPr>
        <w:shd w:val="clear" w:color="auto" w:fill="FFFFFF" w:themeFill="background1"/>
        <w:jc w:val="left"/>
      </w:pPr>
      <w:r w:rsidRPr="007132BE">
        <w:t>All jurisdictions’ tracking data has been revised in some way, incorporating the following changes:</w:t>
      </w:r>
    </w:p>
    <w:p w:rsidR="007132BE" w:rsidRDefault="007132BE" w:rsidP="00C078A7">
      <w:pPr>
        <w:pStyle w:val="KMHBulletLevel1"/>
        <w:shd w:val="clear" w:color="auto" w:fill="FFFFFF" w:themeFill="background1"/>
      </w:pPr>
      <w:r>
        <w:t>Animal effluent and residues (K100)</w:t>
      </w:r>
      <w:r w:rsidR="00745D2D">
        <w:t>—New South Wales’ and South Australia’s</w:t>
      </w:r>
      <w:r w:rsidR="00A97CF1">
        <w:t xml:space="preserve"> </w:t>
      </w:r>
      <w:r>
        <w:t>data gaps filled by population extrapolation from existing jurisdictions’ data</w:t>
      </w:r>
      <w:r w:rsidR="00745D2D">
        <w:t>.</w:t>
      </w:r>
    </w:p>
    <w:p w:rsidR="007132BE" w:rsidRDefault="00A97CF1" w:rsidP="00C078A7">
      <w:pPr>
        <w:pStyle w:val="KMHBulletLevel1"/>
        <w:shd w:val="clear" w:color="auto" w:fill="FFFFFF" w:themeFill="background1"/>
      </w:pPr>
      <w:r>
        <w:t>Grease trap waste (K110/K120)</w:t>
      </w:r>
      <w:r w:rsidR="00745D2D">
        <w:t xml:space="preserve">—New South Wales’ and South Australia’s </w:t>
      </w:r>
      <w:r>
        <w:t>data gaps filled by population extrapolation from existing jurisdictions’ data</w:t>
      </w:r>
      <w:r w:rsidR="00745D2D">
        <w:t>.</w:t>
      </w:r>
    </w:p>
    <w:p w:rsidR="00A97CF1" w:rsidRDefault="00A97CF1" w:rsidP="00C078A7">
      <w:pPr>
        <w:pStyle w:val="KMHBulletLevel1"/>
        <w:shd w:val="clear" w:color="auto" w:fill="FFFFFF" w:themeFill="background1"/>
      </w:pPr>
      <w:r>
        <w:t>Sewage sludge and residues (</w:t>
      </w:r>
      <w:r w:rsidR="00975CFF">
        <w:t>incorporated into N205</w:t>
      </w:r>
      <w:r>
        <w:t>)</w:t>
      </w:r>
      <w:r w:rsidR="00745D2D">
        <w:t>—</w:t>
      </w:r>
      <w:r>
        <w:t xml:space="preserve">estimates of biosolids data from the </w:t>
      </w:r>
      <w:r w:rsidRPr="00A97CF1">
        <w:t xml:space="preserve">Australian </w:t>
      </w:r>
      <w:r w:rsidR="00745D2D">
        <w:t>and</w:t>
      </w:r>
      <w:r w:rsidRPr="00A97CF1">
        <w:t xml:space="preserve"> New Zealand Biosolids </w:t>
      </w:r>
      <w:r w:rsidR="00442C29" w:rsidRPr="00A97CF1">
        <w:t>Partnership (</w:t>
      </w:r>
      <w:hyperlink r:id="rId28" w:history="1">
        <w:r w:rsidRPr="00FC4AD2">
          <w:rPr>
            <w:rStyle w:val="Hyperlink"/>
          </w:rPr>
          <w:t>http://www.biosolids.com.au/bs-australia.php</w:t>
        </w:r>
      </w:hyperlink>
      <w:r w:rsidRPr="00A97CF1">
        <w:t>)</w:t>
      </w:r>
      <w:r>
        <w:t xml:space="preserve"> were used for all jurisdictions to replace tracked data</w:t>
      </w:r>
      <w:r w:rsidR="004B34AA">
        <w:t>.</w:t>
      </w:r>
    </w:p>
    <w:p w:rsidR="00975CFF" w:rsidRPr="00975CFF" w:rsidRDefault="00A97CF1" w:rsidP="00C078A7">
      <w:pPr>
        <w:pStyle w:val="KMHBulletLevel1"/>
        <w:shd w:val="clear" w:color="auto" w:fill="FFFFFF" w:themeFill="background1"/>
        <w:rPr>
          <w:i/>
        </w:rPr>
      </w:pPr>
      <w:r>
        <w:t>Contaminated soils (N119/N120/N121)</w:t>
      </w:r>
      <w:r w:rsidR="004B34AA">
        <w:t>—</w:t>
      </w:r>
      <w:r>
        <w:t xml:space="preserve">data for </w:t>
      </w:r>
      <w:r w:rsidR="004B34AA">
        <w:t>New South Wales</w:t>
      </w:r>
      <w:r w:rsidR="00975CFF">
        <w:t xml:space="preserve"> and</w:t>
      </w:r>
      <w:r w:rsidR="00173F35">
        <w:t xml:space="preserve"> Queensland</w:t>
      </w:r>
      <w:r w:rsidR="00975CFF">
        <w:t xml:space="preserve"> were replaced by estimates from </w:t>
      </w:r>
      <w:r w:rsidR="00975CFF" w:rsidRPr="00975CFF">
        <w:rPr>
          <w:i/>
        </w:rPr>
        <w:t>Waste Generation and Resource Recovery in Australia, Reporting Period 2010/11  (WGRRA 2014)</w:t>
      </w:r>
    </w:p>
    <w:p w:rsidR="00A97CF1" w:rsidRPr="00A97CF1" w:rsidRDefault="00975CFF" w:rsidP="00C078A7">
      <w:pPr>
        <w:pStyle w:val="KMHBulletLevel1"/>
        <w:shd w:val="clear" w:color="auto" w:fill="FFFFFF" w:themeFill="background1"/>
      </w:pPr>
      <w:r>
        <w:t xml:space="preserve">Contaminated soils (N119/N120/N121)—data for </w:t>
      </w:r>
      <w:r w:rsidR="00283FE0">
        <w:t>the Australian Capital Territory and the Northern Territory</w:t>
      </w:r>
      <w:r w:rsidR="00A97CF1">
        <w:t xml:space="preserve"> was replaced by estimates from </w:t>
      </w:r>
      <w:r w:rsidR="00A97CF1" w:rsidRPr="007132BE">
        <w:rPr>
          <w:i/>
        </w:rPr>
        <w:t>Waste and Recycling in Australia 2011</w:t>
      </w:r>
      <w:r w:rsidR="00A97CF1">
        <w:t xml:space="preserve">.  It is noted that while </w:t>
      </w:r>
      <w:r w:rsidR="00283FE0">
        <w:t xml:space="preserve">Western Australia’s </w:t>
      </w:r>
      <w:r w:rsidR="00A97CF1">
        <w:t>tracked data appears</w:t>
      </w:r>
      <w:r w:rsidR="00283FE0">
        <w:t xml:space="preserve"> to be</w:t>
      </w:r>
      <w:r w:rsidR="00A97CF1">
        <w:t xml:space="preserve"> very low, there was no change made as no data currently exists to replace it</w:t>
      </w:r>
      <w:r w:rsidR="00173F35">
        <w:t>.</w:t>
      </w:r>
    </w:p>
    <w:p w:rsidR="00A97CF1" w:rsidRDefault="00A97CF1" w:rsidP="00C078A7">
      <w:pPr>
        <w:pStyle w:val="KMHBulletLevel1"/>
        <w:shd w:val="clear" w:color="auto" w:fill="FFFFFF" w:themeFill="background1"/>
      </w:pPr>
      <w:r>
        <w:t>Asbestos (N220)</w:t>
      </w:r>
      <w:r w:rsidR="00173F35">
        <w:t>—</w:t>
      </w:r>
      <w:r>
        <w:t xml:space="preserve">data for </w:t>
      </w:r>
      <w:r w:rsidR="00173F35">
        <w:t>New South Wales</w:t>
      </w:r>
      <w:r w:rsidR="00173F35" w:rsidDel="00173F35">
        <w:t xml:space="preserve"> </w:t>
      </w:r>
      <w:r>
        <w:t xml:space="preserve">was replaced by estimates from </w:t>
      </w:r>
      <w:r w:rsidR="00975CFF" w:rsidRPr="00975CFF">
        <w:rPr>
          <w:i/>
        </w:rPr>
        <w:t>Waste Generation and Resource Recovery in Australia, Reporting Period 2010/11  (WGRRA 2014)</w:t>
      </w:r>
      <w:r w:rsidR="00975CFF">
        <w:t>.</w:t>
      </w:r>
    </w:p>
    <w:p w:rsidR="00975CFF" w:rsidRPr="007132BE" w:rsidRDefault="00975CFF" w:rsidP="00C078A7">
      <w:pPr>
        <w:pStyle w:val="KMHBulletLevel1"/>
        <w:shd w:val="clear" w:color="auto" w:fill="FFFFFF" w:themeFill="background1"/>
      </w:pPr>
      <w:r>
        <w:t>Asbestos (N220)—data for the Australian Capital Territory and the Northern Territory</w:t>
      </w:r>
      <w:r w:rsidDel="00173F35">
        <w:t xml:space="preserve"> </w:t>
      </w:r>
      <w:r>
        <w:t xml:space="preserve">was replaced by estimates from </w:t>
      </w:r>
      <w:r w:rsidRPr="007132BE">
        <w:rPr>
          <w:i/>
        </w:rPr>
        <w:t>Waste and Recycling in Australia 2011</w:t>
      </w:r>
      <w:r>
        <w:t>.</w:t>
      </w:r>
    </w:p>
    <w:p w:rsidR="00975CFF" w:rsidRDefault="00975CFF" w:rsidP="00C078A7">
      <w:pPr>
        <w:pStyle w:val="KMHBulletLevel1"/>
        <w:shd w:val="clear" w:color="auto" w:fill="FFFFFF" w:themeFill="background1"/>
      </w:pPr>
      <w:r>
        <w:t>Asbestos (N220)—data for Western Australia</w:t>
      </w:r>
      <w:r w:rsidDel="00173F35">
        <w:t xml:space="preserve"> </w:t>
      </w:r>
      <w:r>
        <w:t xml:space="preserve">was </w:t>
      </w:r>
      <w:r w:rsidR="00B602E9">
        <w:t>provided</w:t>
      </w:r>
      <w:r>
        <w:t xml:space="preserve"> by </w:t>
      </w:r>
      <w:r w:rsidR="00B602E9">
        <w:t xml:space="preserve">a national average derived estimate </w:t>
      </w:r>
      <w:r>
        <w:t xml:space="preserve">from </w:t>
      </w:r>
      <w:r w:rsidR="00B602E9" w:rsidRPr="00B602E9">
        <w:rPr>
          <w:i/>
        </w:rPr>
        <w:t>Improving Australia's reporting on hazardous waste under the Basel Convention (2014)</w:t>
      </w:r>
      <w:r w:rsidR="00B602E9">
        <w:t xml:space="preserve">.  </w:t>
      </w:r>
      <w:r>
        <w:t xml:space="preserve">It is noted that </w:t>
      </w:r>
      <w:r w:rsidR="00B602E9">
        <w:t>this dat</w:t>
      </w:r>
      <w:r w:rsidR="008C7C61">
        <w:t>a estimate pertains to the 2011-</w:t>
      </w:r>
      <w:r w:rsidR="00B602E9">
        <w:t xml:space="preserve">12 reporting year, but since </w:t>
      </w:r>
      <w:r>
        <w:t xml:space="preserve">there was no data provided by Western Australia’s tracking system </w:t>
      </w:r>
      <w:r w:rsidR="008C7C61">
        <w:t>for 2010-</w:t>
      </w:r>
      <w:r w:rsidR="00B602E9">
        <w:t>11 this is the best available information.</w:t>
      </w:r>
    </w:p>
    <w:p w:rsidR="00B602E9" w:rsidRDefault="00B602E9" w:rsidP="00C078A7">
      <w:pPr>
        <w:pStyle w:val="KMHBulletLevel1"/>
        <w:shd w:val="clear" w:color="auto" w:fill="FFFFFF" w:themeFill="background1"/>
      </w:pPr>
      <w:r>
        <w:t xml:space="preserve">While tyres were not counted in the original HWDA reports, tonnages for Tyres (T140) have been added for all jurisdictions based on the figures estimated in </w:t>
      </w:r>
      <w:r w:rsidRPr="00B602E9">
        <w:t xml:space="preserve">Table 2 of Hyder Consulting (2012) </w:t>
      </w:r>
      <w:r w:rsidRPr="00B602E9">
        <w:rPr>
          <w:i/>
        </w:rPr>
        <w:t>Study into Domestic and International Fate of End- of-Life Tyres</w:t>
      </w:r>
      <w:r w:rsidRPr="00B602E9">
        <w:t xml:space="preserve">, prepared for COAG, available from: </w:t>
      </w:r>
      <w:hyperlink r:id="rId29" w:history="1">
        <w:r w:rsidRPr="0044773C">
          <w:rPr>
            <w:rStyle w:val="Hyperlink"/>
          </w:rPr>
          <w:t>http://www.scew.gov.au/resource/study-domestic-and-international-fate-end-life-tyres-final-report</w:t>
        </w:r>
      </w:hyperlink>
    </w:p>
    <w:p w:rsidR="00B602E9" w:rsidRPr="007132BE" w:rsidRDefault="00B602E9" w:rsidP="00C078A7">
      <w:pPr>
        <w:pStyle w:val="KMHBulletLevel1"/>
        <w:shd w:val="clear" w:color="auto" w:fill="FFFFFF" w:themeFill="background1"/>
      </w:pPr>
      <w:r>
        <w:t>Since Industrial Washwaters (NEPM Code L) is not explicitly collected by most jurisdictions it</w:t>
      </w:r>
      <w:r w:rsidR="008C7C61">
        <w:t xml:space="preserve"> has been removed from the 2010-</w:t>
      </w:r>
      <w:r>
        <w:t>11 data set.</w:t>
      </w:r>
    </w:p>
    <w:p w:rsidR="00B602E9" w:rsidRDefault="007132BE" w:rsidP="00C078A7">
      <w:pPr>
        <w:pStyle w:val="KMHBulletLevel1"/>
        <w:shd w:val="clear" w:color="auto" w:fill="FFFFFF" w:themeFill="background1"/>
        <w:jc w:val="left"/>
      </w:pPr>
      <w:r w:rsidRPr="007132BE">
        <w:t>Tasmania’s interstate export data was deemed to be superior to alternative data source</w:t>
      </w:r>
      <w:r w:rsidR="00B602E9">
        <w:t>s</w:t>
      </w:r>
      <w:r w:rsidRPr="007132BE">
        <w:t xml:space="preserve"> for contaminated soils and asbestos, </w:t>
      </w:r>
      <w:r w:rsidR="00F51E6D">
        <w:t>so no changes were made.</w:t>
      </w:r>
    </w:p>
    <w:p w:rsidR="00A97CF1" w:rsidRPr="007132BE" w:rsidRDefault="00A97CF1" w:rsidP="00C078A7">
      <w:pPr>
        <w:pStyle w:val="KMHBulletLevel1"/>
        <w:shd w:val="clear" w:color="auto" w:fill="FFFFFF" w:themeFill="background1"/>
        <w:jc w:val="left"/>
        <w:sectPr w:rsidR="00A97CF1" w:rsidRPr="007132BE" w:rsidSect="007132BE">
          <w:pgSz w:w="11907" w:h="16839" w:code="9"/>
          <w:pgMar w:top="1701" w:right="1134" w:bottom="1134" w:left="1701" w:header="567" w:footer="567" w:gutter="0"/>
          <w:cols w:space="708"/>
          <w:docGrid w:linePitch="360"/>
        </w:sectPr>
      </w:pPr>
      <w:r>
        <w:t xml:space="preserve">These changes also apply to </w:t>
      </w:r>
      <w:r w:rsidR="00F51E6D">
        <w:t xml:space="preserve">data provided at </w:t>
      </w:r>
      <w:r>
        <w:t>Appendix C.</w:t>
      </w:r>
    </w:p>
    <w:p w:rsidR="00AF5701" w:rsidRDefault="00AF5701">
      <w:pPr>
        <w:spacing w:after="0"/>
        <w:jc w:val="left"/>
        <w:rPr>
          <w:color w:val="1D5C42"/>
          <w:sz w:val="28"/>
          <w:szCs w:val="28"/>
        </w:rPr>
      </w:pPr>
    </w:p>
    <w:p w:rsidR="00444E3A" w:rsidRDefault="00444E3A">
      <w:pPr>
        <w:spacing w:after="0"/>
        <w:jc w:val="left"/>
        <w:rPr>
          <w:color w:val="1D5C42"/>
          <w:sz w:val="28"/>
          <w:szCs w:val="28"/>
        </w:rPr>
      </w:pPr>
    </w:p>
    <w:p w:rsidR="00444E3A" w:rsidRPr="00444E3A" w:rsidRDefault="00444E3A" w:rsidP="00444E3A">
      <w:pPr>
        <w:pStyle w:val="KMHTitleAppendix"/>
        <w:spacing w:before="0" w:after="0"/>
        <w:contextualSpacing w:val="0"/>
        <w:rPr>
          <w:sz w:val="16"/>
          <w:szCs w:val="16"/>
        </w:rPr>
      </w:pPr>
    </w:p>
    <w:p w:rsidR="00444E3A" w:rsidRPr="004D4621" w:rsidRDefault="00444E3A" w:rsidP="00444E3A">
      <w:pPr>
        <w:pStyle w:val="KMHTitleAppendix"/>
        <w:contextualSpacing w:val="0"/>
      </w:pPr>
      <w:r w:rsidRPr="004D4621">
        <w:t xml:space="preserve">Appendix </w:t>
      </w:r>
      <w:r w:rsidR="00AF5701">
        <w:t>C</w:t>
      </w:r>
    </w:p>
    <w:p w:rsidR="00444E3A" w:rsidRDefault="00444E3A" w:rsidP="00444E3A">
      <w:pPr>
        <w:pStyle w:val="KMHsubtitleappendix"/>
      </w:pPr>
      <w:r>
        <w:rPr>
          <w:rFonts w:cs="Arial"/>
          <w:b/>
          <w:sz w:val="40"/>
          <w:szCs w:val="40"/>
        </w:rPr>
        <w:t xml:space="preserve">Revised </w:t>
      </w:r>
      <w:r w:rsidR="0040590A">
        <w:rPr>
          <w:rFonts w:cs="Arial"/>
          <w:b/>
          <w:sz w:val="40"/>
          <w:szCs w:val="40"/>
        </w:rPr>
        <w:t xml:space="preserve">(Normalised) </w:t>
      </w:r>
      <w:r>
        <w:rPr>
          <w:rFonts w:cs="Arial"/>
          <w:b/>
          <w:sz w:val="40"/>
          <w:szCs w:val="40"/>
        </w:rPr>
        <w:t xml:space="preserve">National </w:t>
      </w:r>
      <w:r w:rsidR="00460043">
        <w:rPr>
          <w:rFonts w:cs="Arial"/>
          <w:b/>
          <w:sz w:val="40"/>
          <w:szCs w:val="40"/>
        </w:rPr>
        <w:t>2010–11</w:t>
      </w:r>
      <w:r>
        <w:rPr>
          <w:rFonts w:cs="Arial"/>
          <w:b/>
          <w:sz w:val="40"/>
          <w:szCs w:val="40"/>
        </w:rPr>
        <w:t xml:space="preserve"> Hazardous Waste Data</w:t>
      </w:r>
      <w:r>
        <w:rPr>
          <w:rFonts w:cs="Arial"/>
          <w:b/>
          <w:sz w:val="40"/>
          <w:szCs w:val="40"/>
        </w:rPr>
        <w:br/>
      </w:r>
      <w:r w:rsidR="00E44EB1">
        <w:t>b</w:t>
      </w:r>
      <w:r>
        <w:t xml:space="preserve">y </w:t>
      </w:r>
      <w:r w:rsidR="00AF5701">
        <w:t>Waste Code</w:t>
      </w:r>
    </w:p>
    <w:p w:rsidR="00DA5F72" w:rsidRDefault="00DA5F72" w:rsidP="00444E3A">
      <w:pPr>
        <w:pStyle w:val="KMHsubtitleappendix"/>
        <w:sectPr w:rsidR="00DA5F72" w:rsidSect="00B25B5D">
          <w:footerReference w:type="default" r:id="rId30"/>
          <w:pgSz w:w="11907" w:h="16839" w:code="9"/>
          <w:pgMar w:top="1701" w:right="1134" w:bottom="1134" w:left="1701" w:header="567" w:footer="567" w:gutter="0"/>
          <w:cols w:space="708"/>
          <w:docGrid w:linePitch="360"/>
        </w:sectPr>
      </w:pPr>
    </w:p>
    <w:tbl>
      <w:tblPr>
        <w:tblStyle w:val="TableGrid"/>
        <w:tblW w:w="0" w:type="auto"/>
        <w:tblLook w:val="04A0"/>
      </w:tblPr>
      <w:tblGrid>
        <w:gridCol w:w="716"/>
        <w:gridCol w:w="5620"/>
        <w:gridCol w:w="1225"/>
        <w:gridCol w:w="1240"/>
        <w:gridCol w:w="1317"/>
        <w:gridCol w:w="1121"/>
        <w:gridCol w:w="1268"/>
        <w:gridCol w:w="988"/>
      </w:tblGrid>
      <w:tr w:rsidR="009A54F5" w:rsidRPr="009A54F5" w:rsidTr="00975CFF">
        <w:trPr>
          <w:trHeight w:val="480"/>
        </w:trPr>
        <w:tc>
          <w:tcPr>
            <w:tcW w:w="6320" w:type="dxa"/>
            <w:gridSpan w:val="2"/>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lastRenderedPageBreak/>
              <w:t>Hazardous Waste Classification</w:t>
            </w:r>
          </w:p>
        </w:tc>
        <w:tc>
          <w:tcPr>
            <w:tcW w:w="7360" w:type="dxa"/>
            <w:gridSpan w:val="6"/>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t>Waste generated (tonnes)</w:t>
            </w:r>
          </w:p>
        </w:tc>
      </w:tr>
      <w:tr w:rsidR="00256B07" w:rsidRPr="009A54F5" w:rsidTr="00975CFF">
        <w:trPr>
          <w:trHeight w:val="735"/>
        </w:trPr>
        <w:tc>
          <w:tcPr>
            <w:tcW w:w="700" w:type="dxa"/>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t>Code</w:t>
            </w:r>
          </w:p>
        </w:tc>
        <w:tc>
          <w:tcPr>
            <w:tcW w:w="5620" w:type="dxa"/>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t>Waste description</w:t>
            </w:r>
          </w:p>
        </w:tc>
        <w:tc>
          <w:tcPr>
            <w:tcW w:w="1260" w:type="dxa"/>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t>Intrastate</w:t>
            </w:r>
          </w:p>
        </w:tc>
        <w:tc>
          <w:tcPr>
            <w:tcW w:w="1280" w:type="dxa"/>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t>Sent Interstate</w:t>
            </w:r>
          </w:p>
        </w:tc>
        <w:tc>
          <w:tcPr>
            <w:tcW w:w="1240" w:type="dxa"/>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t>Total from Waste Movements</w:t>
            </w:r>
          </w:p>
        </w:tc>
        <w:tc>
          <w:tcPr>
            <w:tcW w:w="1180" w:type="dxa"/>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t>From MSW</w:t>
            </w:r>
          </w:p>
        </w:tc>
        <w:tc>
          <w:tcPr>
            <w:tcW w:w="1320" w:type="dxa"/>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t>Total</w:t>
            </w:r>
          </w:p>
        </w:tc>
        <w:tc>
          <w:tcPr>
            <w:tcW w:w="1080" w:type="dxa"/>
            <w:shd w:val="clear" w:color="auto" w:fill="1D5C42"/>
            <w:vAlign w:val="center"/>
            <w:hideMark/>
          </w:tcPr>
          <w:p w:rsidR="009A54F5" w:rsidRPr="00975CFF" w:rsidRDefault="009A54F5" w:rsidP="00975CFF">
            <w:pPr>
              <w:spacing w:after="0" w:line="240" w:lineRule="auto"/>
              <w:jc w:val="center"/>
              <w:rPr>
                <w:rFonts w:eastAsia="Times New Roman" w:cs="Arial"/>
                <w:b/>
                <w:bCs/>
                <w:color w:val="FFFFFF"/>
                <w:szCs w:val="18"/>
                <w:lang w:eastAsia="en-AU"/>
              </w:rPr>
            </w:pPr>
            <w:r w:rsidRPr="00975CFF">
              <w:rPr>
                <w:rFonts w:eastAsia="Times New Roman" w:cs="Arial"/>
                <w:b/>
                <w:bCs/>
                <w:color w:val="FFFFFF"/>
                <w:szCs w:val="18"/>
                <w:lang w:eastAsia="en-AU"/>
              </w:rPr>
              <w:t>% MSW of total</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A</w:t>
            </w:r>
          </w:p>
        </w:tc>
        <w:tc>
          <w:tcPr>
            <w:tcW w:w="5620" w:type="dxa"/>
            <w:shd w:val="clear" w:color="auto" w:fill="FFFFFF" w:themeFill="background1"/>
            <w:noWrap/>
            <w:hideMark/>
          </w:tcPr>
          <w:p w:rsidR="009A54F5" w:rsidRPr="009A54F5" w:rsidRDefault="009A54F5" w:rsidP="009A54F5">
            <w:pPr>
              <w:spacing w:before="120" w:after="0"/>
              <w:jc w:val="left"/>
            </w:pPr>
            <w:r w:rsidRPr="009A54F5">
              <w:t>Cyanides</w:t>
            </w:r>
          </w:p>
        </w:tc>
        <w:tc>
          <w:tcPr>
            <w:tcW w:w="1260" w:type="dxa"/>
            <w:shd w:val="clear" w:color="auto" w:fill="FFFFFF" w:themeFill="background1"/>
            <w:hideMark/>
          </w:tcPr>
          <w:p w:rsidR="009A54F5" w:rsidRPr="009A54F5" w:rsidRDefault="009A54F5" w:rsidP="00975CFF">
            <w:pPr>
              <w:spacing w:before="120" w:after="0"/>
              <w:jc w:val="right"/>
            </w:pPr>
            <w:r w:rsidRPr="009A54F5">
              <w:t>7,917</w:t>
            </w:r>
          </w:p>
        </w:tc>
        <w:tc>
          <w:tcPr>
            <w:tcW w:w="1280" w:type="dxa"/>
            <w:shd w:val="clear" w:color="auto" w:fill="FFFFFF" w:themeFill="background1"/>
            <w:hideMark/>
          </w:tcPr>
          <w:p w:rsidR="009A54F5" w:rsidRPr="009A54F5" w:rsidRDefault="009A54F5" w:rsidP="00975CFF">
            <w:pPr>
              <w:spacing w:before="120" w:after="0"/>
              <w:jc w:val="right"/>
            </w:pPr>
            <w:r w:rsidRPr="009A54F5">
              <w:t>35</w:t>
            </w:r>
          </w:p>
        </w:tc>
        <w:tc>
          <w:tcPr>
            <w:tcW w:w="1240" w:type="dxa"/>
            <w:shd w:val="clear" w:color="auto" w:fill="FFFFFF" w:themeFill="background1"/>
            <w:hideMark/>
          </w:tcPr>
          <w:p w:rsidR="009A54F5" w:rsidRPr="009A54F5" w:rsidRDefault="009A54F5" w:rsidP="00975CFF">
            <w:pPr>
              <w:spacing w:before="120" w:after="0"/>
              <w:jc w:val="right"/>
            </w:pPr>
            <w:r w:rsidRPr="009A54F5">
              <w:t>7,952</w:t>
            </w:r>
          </w:p>
        </w:tc>
        <w:tc>
          <w:tcPr>
            <w:tcW w:w="1180" w:type="dxa"/>
            <w:shd w:val="clear" w:color="auto" w:fill="FFFFFF" w:themeFill="background1"/>
            <w:hideMark/>
          </w:tcPr>
          <w:p w:rsidR="009A54F5" w:rsidRPr="009A54F5" w:rsidRDefault="009A54F5" w:rsidP="00975CFF">
            <w:pPr>
              <w:spacing w:before="120" w:after="0"/>
              <w:jc w:val="right"/>
            </w:pPr>
            <w:r w:rsidRPr="009A54F5">
              <w:t>0</w:t>
            </w:r>
          </w:p>
        </w:tc>
        <w:tc>
          <w:tcPr>
            <w:tcW w:w="1320" w:type="dxa"/>
            <w:shd w:val="clear" w:color="auto" w:fill="FFFFFF" w:themeFill="background1"/>
            <w:hideMark/>
          </w:tcPr>
          <w:p w:rsidR="009A54F5" w:rsidRPr="009A54F5" w:rsidRDefault="009A54F5" w:rsidP="00975CFF">
            <w:pPr>
              <w:spacing w:before="120" w:after="0"/>
              <w:jc w:val="right"/>
            </w:pPr>
            <w:r w:rsidRPr="009A54F5">
              <w:t>7,952</w:t>
            </w:r>
          </w:p>
        </w:tc>
        <w:tc>
          <w:tcPr>
            <w:tcW w:w="1080" w:type="dxa"/>
            <w:shd w:val="clear" w:color="auto" w:fill="FFFFFF" w:themeFill="background1"/>
            <w:hideMark/>
          </w:tcPr>
          <w:p w:rsidR="009A54F5" w:rsidRPr="009A54F5" w:rsidRDefault="009A54F5" w:rsidP="00975CFF">
            <w:pPr>
              <w:spacing w:before="120" w:after="0"/>
              <w:jc w:val="right"/>
            </w:pPr>
            <w:r w:rsidRPr="009A54F5">
              <w:t>0%</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B</w:t>
            </w:r>
          </w:p>
        </w:tc>
        <w:tc>
          <w:tcPr>
            <w:tcW w:w="5620" w:type="dxa"/>
            <w:shd w:val="clear" w:color="auto" w:fill="FFFFFF" w:themeFill="background1"/>
            <w:noWrap/>
            <w:hideMark/>
          </w:tcPr>
          <w:p w:rsidR="009A54F5" w:rsidRPr="009A54F5" w:rsidRDefault="009A54F5" w:rsidP="009A54F5">
            <w:pPr>
              <w:spacing w:before="120" w:after="0"/>
              <w:jc w:val="left"/>
            </w:pPr>
            <w:r w:rsidRPr="009A54F5">
              <w:t>Acids</w:t>
            </w:r>
          </w:p>
        </w:tc>
        <w:tc>
          <w:tcPr>
            <w:tcW w:w="1260" w:type="dxa"/>
            <w:shd w:val="clear" w:color="auto" w:fill="FFFFFF" w:themeFill="background1"/>
            <w:hideMark/>
          </w:tcPr>
          <w:p w:rsidR="009A54F5" w:rsidRPr="009A54F5" w:rsidRDefault="009A54F5" w:rsidP="00975CFF">
            <w:pPr>
              <w:spacing w:before="120" w:after="0"/>
              <w:jc w:val="right"/>
            </w:pPr>
            <w:r w:rsidRPr="009A54F5">
              <w:t>37,165</w:t>
            </w:r>
          </w:p>
        </w:tc>
        <w:tc>
          <w:tcPr>
            <w:tcW w:w="1280" w:type="dxa"/>
            <w:shd w:val="clear" w:color="auto" w:fill="FFFFFF" w:themeFill="background1"/>
            <w:hideMark/>
          </w:tcPr>
          <w:p w:rsidR="009A54F5" w:rsidRPr="009A54F5" w:rsidRDefault="009A54F5" w:rsidP="00975CFF">
            <w:pPr>
              <w:spacing w:before="120" w:after="0"/>
              <w:jc w:val="right"/>
            </w:pPr>
            <w:r w:rsidRPr="009A54F5">
              <w:t>11,996</w:t>
            </w:r>
          </w:p>
        </w:tc>
        <w:tc>
          <w:tcPr>
            <w:tcW w:w="1240" w:type="dxa"/>
            <w:shd w:val="clear" w:color="auto" w:fill="FFFFFF" w:themeFill="background1"/>
            <w:hideMark/>
          </w:tcPr>
          <w:p w:rsidR="009A54F5" w:rsidRPr="009A54F5" w:rsidRDefault="009A54F5" w:rsidP="00975CFF">
            <w:pPr>
              <w:spacing w:before="120" w:after="0"/>
              <w:jc w:val="right"/>
            </w:pPr>
            <w:r w:rsidRPr="009A54F5">
              <w:t>49,161</w:t>
            </w:r>
          </w:p>
        </w:tc>
        <w:tc>
          <w:tcPr>
            <w:tcW w:w="1180" w:type="dxa"/>
            <w:shd w:val="clear" w:color="auto" w:fill="FFFFFF" w:themeFill="background1"/>
            <w:hideMark/>
          </w:tcPr>
          <w:p w:rsidR="009A54F5" w:rsidRPr="009A54F5" w:rsidRDefault="009A54F5" w:rsidP="00975CFF">
            <w:pPr>
              <w:spacing w:before="120" w:after="0"/>
              <w:jc w:val="right"/>
            </w:pPr>
            <w:r w:rsidRPr="009A54F5">
              <w:t>37,073</w:t>
            </w:r>
          </w:p>
        </w:tc>
        <w:tc>
          <w:tcPr>
            <w:tcW w:w="1320" w:type="dxa"/>
            <w:shd w:val="clear" w:color="auto" w:fill="FFFFFF" w:themeFill="background1"/>
            <w:hideMark/>
          </w:tcPr>
          <w:p w:rsidR="009A54F5" w:rsidRPr="009A54F5" w:rsidRDefault="009A54F5" w:rsidP="00975CFF">
            <w:pPr>
              <w:spacing w:before="120" w:after="0"/>
              <w:jc w:val="right"/>
            </w:pPr>
            <w:r w:rsidRPr="009A54F5">
              <w:t>86,234</w:t>
            </w:r>
          </w:p>
        </w:tc>
        <w:tc>
          <w:tcPr>
            <w:tcW w:w="1080" w:type="dxa"/>
            <w:shd w:val="clear" w:color="auto" w:fill="FFFFFF" w:themeFill="background1"/>
            <w:hideMark/>
          </w:tcPr>
          <w:p w:rsidR="009A54F5" w:rsidRPr="009A54F5" w:rsidRDefault="009A54F5" w:rsidP="00975CFF">
            <w:pPr>
              <w:spacing w:before="120" w:after="0"/>
              <w:jc w:val="right"/>
            </w:pPr>
            <w:r w:rsidRPr="009A54F5">
              <w:t>43%</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C</w:t>
            </w:r>
          </w:p>
        </w:tc>
        <w:tc>
          <w:tcPr>
            <w:tcW w:w="5620" w:type="dxa"/>
            <w:shd w:val="clear" w:color="auto" w:fill="FFFFFF" w:themeFill="background1"/>
            <w:noWrap/>
            <w:hideMark/>
          </w:tcPr>
          <w:p w:rsidR="009A54F5" w:rsidRPr="009A54F5" w:rsidRDefault="009A54F5" w:rsidP="009A54F5">
            <w:pPr>
              <w:spacing w:before="120" w:after="0"/>
              <w:jc w:val="left"/>
            </w:pPr>
            <w:r w:rsidRPr="009A54F5">
              <w:t xml:space="preserve">Alkaline </w:t>
            </w:r>
            <w:r w:rsidR="00975CFF">
              <w:t xml:space="preserve"> </w:t>
            </w:r>
            <w:r w:rsidRPr="009A54F5">
              <w:t>wastes</w:t>
            </w:r>
          </w:p>
        </w:tc>
        <w:tc>
          <w:tcPr>
            <w:tcW w:w="1260" w:type="dxa"/>
            <w:shd w:val="clear" w:color="auto" w:fill="FFFFFF" w:themeFill="background1"/>
            <w:hideMark/>
          </w:tcPr>
          <w:p w:rsidR="009A54F5" w:rsidRPr="009A54F5" w:rsidRDefault="009A54F5" w:rsidP="00975CFF">
            <w:pPr>
              <w:spacing w:before="120" w:after="0"/>
              <w:jc w:val="right"/>
            </w:pPr>
            <w:r w:rsidRPr="009A54F5">
              <w:t>266,759</w:t>
            </w:r>
          </w:p>
        </w:tc>
        <w:tc>
          <w:tcPr>
            <w:tcW w:w="1280" w:type="dxa"/>
            <w:shd w:val="clear" w:color="auto" w:fill="FFFFFF" w:themeFill="background1"/>
            <w:hideMark/>
          </w:tcPr>
          <w:p w:rsidR="009A54F5" w:rsidRPr="009A54F5" w:rsidRDefault="009A54F5" w:rsidP="00975CFF">
            <w:pPr>
              <w:spacing w:before="120" w:after="0"/>
              <w:jc w:val="right"/>
            </w:pPr>
            <w:r w:rsidRPr="009A54F5">
              <w:t>849</w:t>
            </w:r>
          </w:p>
        </w:tc>
        <w:tc>
          <w:tcPr>
            <w:tcW w:w="1240" w:type="dxa"/>
            <w:shd w:val="clear" w:color="auto" w:fill="FFFFFF" w:themeFill="background1"/>
            <w:hideMark/>
          </w:tcPr>
          <w:p w:rsidR="009A54F5" w:rsidRPr="009A54F5" w:rsidRDefault="009A54F5" w:rsidP="00975CFF">
            <w:pPr>
              <w:spacing w:before="120" w:after="0"/>
              <w:jc w:val="right"/>
            </w:pPr>
            <w:r w:rsidRPr="009A54F5">
              <w:t>267,608</w:t>
            </w:r>
          </w:p>
        </w:tc>
        <w:tc>
          <w:tcPr>
            <w:tcW w:w="1180" w:type="dxa"/>
            <w:shd w:val="clear" w:color="auto" w:fill="FFFFFF" w:themeFill="background1"/>
            <w:hideMark/>
          </w:tcPr>
          <w:p w:rsidR="009A54F5" w:rsidRPr="009A54F5" w:rsidRDefault="009A54F5" w:rsidP="00975CFF">
            <w:pPr>
              <w:spacing w:before="120" w:after="0"/>
              <w:jc w:val="right"/>
            </w:pPr>
            <w:r w:rsidRPr="009A54F5">
              <w:t>1,823</w:t>
            </w:r>
          </w:p>
        </w:tc>
        <w:tc>
          <w:tcPr>
            <w:tcW w:w="1320" w:type="dxa"/>
            <w:shd w:val="clear" w:color="auto" w:fill="FFFFFF" w:themeFill="background1"/>
            <w:hideMark/>
          </w:tcPr>
          <w:p w:rsidR="009A54F5" w:rsidRPr="009A54F5" w:rsidRDefault="009A54F5" w:rsidP="00975CFF">
            <w:pPr>
              <w:spacing w:before="120" w:after="0"/>
              <w:jc w:val="right"/>
            </w:pPr>
            <w:r w:rsidRPr="009A54F5">
              <w:t>269,431</w:t>
            </w:r>
          </w:p>
        </w:tc>
        <w:tc>
          <w:tcPr>
            <w:tcW w:w="1080" w:type="dxa"/>
            <w:shd w:val="clear" w:color="auto" w:fill="FFFFFF" w:themeFill="background1"/>
            <w:hideMark/>
          </w:tcPr>
          <w:p w:rsidR="009A54F5" w:rsidRPr="009A54F5" w:rsidRDefault="009A54F5" w:rsidP="00975CFF">
            <w:pPr>
              <w:spacing w:before="120" w:after="0"/>
              <w:jc w:val="right"/>
            </w:pPr>
            <w:r w:rsidRPr="009A54F5">
              <w:t>1%</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D</w:t>
            </w:r>
          </w:p>
        </w:tc>
        <w:tc>
          <w:tcPr>
            <w:tcW w:w="5620" w:type="dxa"/>
            <w:shd w:val="clear" w:color="auto" w:fill="FFFFFF" w:themeFill="background1"/>
            <w:noWrap/>
            <w:hideMark/>
          </w:tcPr>
          <w:p w:rsidR="009A54F5" w:rsidRPr="009A54F5" w:rsidRDefault="00975CFF" w:rsidP="009A54F5">
            <w:pPr>
              <w:spacing w:before="120" w:after="0"/>
              <w:jc w:val="left"/>
            </w:pPr>
            <w:r>
              <w:t xml:space="preserve">Inorganic </w:t>
            </w:r>
            <w:r w:rsidR="009A54F5" w:rsidRPr="009A54F5">
              <w:t>chemicals</w:t>
            </w:r>
          </w:p>
        </w:tc>
        <w:tc>
          <w:tcPr>
            <w:tcW w:w="1260" w:type="dxa"/>
            <w:shd w:val="clear" w:color="auto" w:fill="FFFFFF" w:themeFill="background1"/>
            <w:hideMark/>
          </w:tcPr>
          <w:p w:rsidR="009A54F5" w:rsidRPr="009A54F5" w:rsidRDefault="009A54F5" w:rsidP="00975CFF">
            <w:pPr>
              <w:spacing w:before="120" w:after="0"/>
              <w:jc w:val="right"/>
            </w:pPr>
            <w:r w:rsidRPr="009A54F5">
              <w:t>295,893</w:t>
            </w:r>
          </w:p>
        </w:tc>
        <w:tc>
          <w:tcPr>
            <w:tcW w:w="1280" w:type="dxa"/>
            <w:shd w:val="clear" w:color="auto" w:fill="FFFFFF" w:themeFill="background1"/>
            <w:hideMark/>
          </w:tcPr>
          <w:p w:rsidR="009A54F5" w:rsidRPr="009A54F5" w:rsidRDefault="009A54F5" w:rsidP="00975CFF">
            <w:pPr>
              <w:spacing w:before="120" w:after="0"/>
              <w:jc w:val="right"/>
            </w:pPr>
            <w:r w:rsidRPr="009A54F5">
              <w:t>35,361</w:t>
            </w:r>
          </w:p>
        </w:tc>
        <w:tc>
          <w:tcPr>
            <w:tcW w:w="1240" w:type="dxa"/>
            <w:shd w:val="clear" w:color="auto" w:fill="FFFFFF" w:themeFill="background1"/>
            <w:hideMark/>
          </w:tcPr>
          <w:p w:rsidR="009A54F5" w:rsidRPr="009A54F5" w:rsidRDefault="009A54F5" w:rsidP="00975CFF">
            <w:pPr>
              <w:spacing w:before="120" w:after="0"/>
              <w:jc w:val="right"/>
            </w:pPr>
            <w:r w:rsidRPr="009A54F5">
              <w:t>331,254</w:t>
            </w:r>
          </w:p>
        </w:tc>
        <w:tc>
          <w:tcPr>
            <w:tcW w:w="1180" w:type="dxa"/>
            <w:shd w:val="clear" w:color="auto" w:fill="FFFFFF" w:themeFill="background1"/>
            <w:hideMark/>
          </w:tcPr>
          <w:p w:rsidR="009A54F5" w:rsidRPr="009A54F5" w:rsidRDefault="009A54F5" w:rsidP="00975CFF">
            <w:pPr>
              <w:spacing w:before="120" w:after="0"/>
              <w:jc w:val="right"/>
            </w:pPr>
            <w:r w:rsidRPr="009A54F5">
              <w:t>1,724</w:t>
            </w:r>
          </w:p>
        </w:tc>
        <w:tc>
          <w:tcPr>
            <w:tcW w:w="1320" w:type="dxa"/>
            <w:shd w:val="clear" w:color="auto" w:fill="FFFFFF" w:themeFill="background1"/>
            <w:hideMark/>
          </w:tcPr>
          <w:p w:rsidR="009A54F5" w:rsidRPr="009A54F5" w:rsidRDefault="009A54F5" w:rsidP="00975CFF">
            <w:pPr>
              <w:spacing w:before="120" w:after="0"/>
              <w:jc w:val="right"/>
            </w:pPr>
            <w:r w:rsidRPr="009A54F5">
              <w:t>332,978</w:t>
            </w:r>
          </w:p>
        </w:tc>
        <w:tc>
          <w:tcPr>
            <w:tcW w:w="1080" w:type="dxa"/>
            <w:shd w:val="clear" w:color="auto" w:fill="FFFFFF" w:themeFill="background1"/>
            <w:hideMark/>
          </w:tcPr>
          <w:p w:rsidR="009A54F5" w:rsidRPr="009A54F5" w:rsidRDefault="009A54F5" w:rsidP="00975CFF">
            <w:pPr>
              <w:spacing w:before="120" w:after="0"/>
              <w:jc w:val="right"/>
            </w:pPr>
            <w:r w:rsidRPr="009A54F5">
              <w:t>1%</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E</w:t>
            </w:r>
          </w:p>
        </w:tc>
        <w:tc>
          <w:tcPr>
            <w:tcW w:w="5620" w:type="dxa"/>
            <w:shd w:val="clear" w:color="auto" w:fill="FFFFFF" w:themeFill="background1"/>
            <w:noWrap/>
            <w:hideMark/>
          </w:tcPr>
          <w:p w:rsidR="009A54F5" w:rsidRPr="009A54F5" w:rsidRDefault="009A54F5" w:rsidP="009A54F5">
            <w:pPr>
              <w:spacing w:before="120" w:after="0"/>
              <w:jc w:val="left"/>
            </w:pPr>
            <w:r w:rsidRPr="009A54F5">
              <w:t>Reactive chemicals</w:t>
            </w:r>
          </w:p>
        </w:tc>
        <w:tc>
          <w:tcPr>
            <w:tcW w:w="1260" w:type="dxa"/>
            <w:shd w:val="clear" w:color="auto" w:fill="FFFFFF" w:themeFill="background1"/>
            <w:hideMark/>
          </w:tcPr>
          <w:p w:rsidR="009A54F5" w:rsidRPr="009A54F5" w:rsidRDefault="009A54F5" w:rsidP="00975CFF">
            <w:pPr>
              <w:spacing w:before="120" w:after="0"/>
              <w:jc w:val="right"/>
            </w:pPr>
            <w:r w:rsidRPr="009A54F5">
              <w:t>1,462</w:t>
            </w:r>
          </w:p>
        </w:tc>
        <w:tc>
          <w:tcPr>
            <w:tcW w:w="1280" w:type="dxa"/>
            <w:shd w:val="clear" w:color="auto" w:fill="FFFFFF" w:themeFill="background1"/>
            <w:hideMark/>
          </w:tcPr>
          <w:p w:rsidR="009A54F5" w:rsidRPr="009A54F5" w:rsidRDefault="009A54F5" w:rsidP="00975CFF">
            <w:pPr>
              <w:spacing w:before="120" w:after="0"/>
              <w:jc w:val="right"/>
            </w:pPr>
            <w:r w:rsidRPr="009A54F5">
              <w:t>8</w:t>
            </w:r>
          </w:p>
        </w:tc>
        <w:tc>
          <w:tcPr>
            <w:tcW w:w="1240" w:type="dxa"/>
            <w:shd w:val="clear" w:color="auto" w:fill="FFFFFF" w:themeFill="background1"/>
            <w:hideMark/>
          </w:tcPr>
          <w:p w:rsidR="009A54F5" w:rsidRPr="009A54F5" w:rsidRDefault="009A54F5" w:rsidP="00975CFF">
            <w:pPr>
              <w:spacing w:before="120" w:after="0"/>
              <w:jc w:val="right"/>
            </w:pPr>
            <w:r w:rsidRPr="009A54F5">
              <w:t>1,470</w:t>
            </w:r>
          </w:p>
        </w:tc>
        <w:tc>
          <w:tcPr>
            <w:tcW w:w="1180" w:type="dxa"/>
            <w:shd w:val="clear" w:color="auto" w:fill="FFFFFF" w:themeFill="background1"/>
            <w:hideMark/>
          </w:tcPr>
          <w:p w:rsidR="009A54F5" w:rsidRPr="009A54F5" w:rsidRDefault="009A54F5" w:rsidP="00975CFF">
            <w:pPr>
              <w:spacing w:before="120" w:after="0"/>
              <w:jc w:val="right"/>
            </w:pPr>
            <w:r w:rsidRPr="009A54F5">
              <w:t>20,820</w:t>
            </w:r>
          </w:p>
        </w:tc>
        <w:tc>
          <w:tcPr>
            <w:tcW w:w="1320" w:type="dxa"/>
            <w:shd w:val="clear" w:color="auto" w:fill="FFFFFF" w:themeFill="background1"/>
            <w:hideMark/>
          </w:tcPr>
          <w:p w:rsidR="009A54F5" w:rsidRPr="009A54F5" w:rsidRDefault="009A54F5" w:rsidP="00975CFF">
            <w:pPr>
              <w:spacing w:before="120" w:after="0"/>
              <w:jc w:val="right"/>
            </w:pPr>
            <w:r w:rsidRPr="009A54F5">
              <w:t>22,290</w:t>
            </w:r>
          </w:p>
        </w:tc>
        <w:tc>
          <w:tcPr>
            <w:tcW w:w="1080" w:type="dxa"/>
            <w:shd w:val="clear" w:color="auto" w:fill="FFFFFF" w:themeFill="background1"/>
            <w:hideMark/>
          </w:tcPr>
          <w:p w:rsidR="009A54F5" w:rsidRPr="009A54F5" w:rsidRDefault="009A54F5" w:rsidP="00975CFF">
            <w:pPr>
              <w:spacing w:before="120" w:after="0"/>
              <w:jc w:val="right"/>
            </w:pPr>
            <w:r w:rsidRPr="009A54F5">
              <w:t>93%</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F</w:t>
            </w:r>
          </w:p>
        </w:tc>
        <w:tc>
          <w:tcPr>
            <w:tcW w:w="5620" w:type="dxa"/>
            <w:shd w:val="clear" w:color="auto" w:fill="FFFFFF" w:themeFill="background1"/>
            <w:noWrap/>
            <w:hideMark/>
          </w:tcPr>
          <w:p w:rsidR="009A54F5" w:rsidRPr="009A54F5" w:rsidRDefault="009A54F5" w:rsidP="009A54F5">
            <w:pPr>
              <w:spacing w:before="120" w:after="0"/>
              <w:jc w:val="left"/>
            </w:pPr>
            <w:r w:rsidRPr="009A54F5">
              <w:t>Paints, lacquers, varnish, resins, inks, dyes, pigments, adhesives</w:t>
            </w:r>
          </w:p>
        </w:tc>
        <w:tc>
          <w:tcPr>
            <w:tcW w:w="1260" w:type="dxa"/>
            <w:shd w:val="clear" w:color="auto" w:fill="FFFFFF" w:themeFill="background1"/>
            <w:hideMark/>
          </w:tcPr>
          <w:p w:rsidR="009A54F5" w:rsidRPr="009A54F5" w:rsidRDefault="009A54F5" w:rsidP="00975CFF">
            <w:pPr>
              <w:spacing w:before="120" w:after="0"/>
              <w:jc w:val="right"/>
            </w:pPr>
            <w:r w:rsidRPr="009A54F5">
              <w:t>44,441</w:t>
            </w:r>
          </w:p>
        </w:tc>
        <w:tc>
          <w:tcPr>
            <w:tcW w:w="1280" w:type="dxa"/>
            <w:shd w:val="clear" w:color="auto" w:fill="FFFFFF" w:themeFill="background1"/>
            <w:hideMark/>
          </w:tcPr>
          <w:p w:rsidR="009A54F5" w:rsidRPr="009A54F5" w:rsidRDefault="009A54F5" w:rsidP="00975CFF">
            <w:pPr>
              <w:spacing w:before="120" w:after="0"/>
              <w:jc w:val="right"/>
            </w:pPr>
            <w:r w:rsidRPr="009A54F5">
              <w:t>3,917</w:t>
            </w:r>
          </w:p>
        </w:tc>
        <w:tc>
          <w:tcPr>
            <w:tcW w:w="1240" w:type="dxa"/>
            <w:shd w:val="clear" w:color="auto" w:fill="FFFFFF" w:themeFill="background1"/>
            <w:hideMark/>
          </w:tcPr>
          <w:p w:rsidR="009A54F5" w:rsidRPr="009A54F5" w:rsidRDefault="009A54F5" w:rsidP="00975CFF">
            <w:pPr>
              <w:spacing w:before="120" w:after="0"/>
              <w:jc w:val="right"/>
            </w:pPr>
            <w:r w:rsidRPr="009A54F5">
              <w:t>48,358</w:t>
            </w:r>
          </w:p>
        </w:tc>
        <w:tc>
          <w:tcPr>
            <w:tcW w:w="1180" w:type="dxa"/>
            <w:shd w:val="clear" w:color="auto" w:fill="FFFFFF" w:themeFill="background1"/>
            <w:hideMark/>
          </w:tcPr>
          <w:p w:rsidR="009A54F5" w:rsidRPr="009A54F5" w:rsidRDefault="009A54F5" w:rsidP="00975CFF">
            <w:pPr>
              <w:spacing w:before="120" w:after="0"/>
              <w:jc w:val="right"/>
            </w:pPr>
            <w:r w:rsidRPr="009A54F5">
              <w:t>166,535</w:t>
            </w:r>
          </w:p>
        </w:tc>
        <w:tc>
          <w:tcPr>
            <w:tcW w:w="1320" w:type="dxa"/>
            <w:shd w:val="clear" w:color="auto" w:fill="FFFFFF" w:themeFill="background1"/>
            <w:hideMark/>
          </w:tcPr>
          <w:p w:rsidR="009A54F5" w:rsidRPr="009A54F5" w:rsidRDefault="009A54F5" w:rsidP="00975CFF">
            <w:pPr>
              <w:spacing w:before="120" w:after="0"/>
              <w:jc w:val="right"/>
            </w:pPr>
            <w:r w:rsidRPr="009A54F5">
              <w:t>214,893</w:t>
            </w:r>
          </w:p>
        </w:tc>
        <w:tc>
          <w:tcPr>
            <w:tcW w:w="1080" w:type="dxa"/>
            <w:shd w:val="clear" w:color="auto" w:fill="FFFFFF" w:themeFill="background1"/>
            <w:hideMark/>
          </w:tcPr>
          <w:p w:rsidR="009A54F5" w:rsidRPr="009A54F5" w:rsidRDefault="009A54F5" w:rsidP="00975CFF">
            <w:pPr>
              <w:spacing w:before="120" w:after="0"/>
              <w:jc w:val="right"/>
            </w:pPr>
            <w:r w:rsidRPr="009A54F5">
              <w:t>77%</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G</w:t>
            </w:r>
          </w:p>
        </w:tc>
        <w:tc>
          <w:tcPr>
            <w:tcW w:w="5620" w:type="dxa"/>
            <w:shd w:val="clear" w:color="auto" w:fill="FFFFFF" w:themeFill="background1"/>
            <w:noWrap/>
            <w:hideMark/>
          </w:tcPr>
          <w:p w:rsidR="009A54F5" w:rsidRPr="009A54F5" w:rsidRDefault="009A54F5" w:rsidP="009A54F5">
            <w:pPr>
              <w:spacing w:before="120" w:after="0"/>
              <w:jc w:val="left"/>
            </w:pPr>
            <w:r w:rsidRPr="009A54F5">
              <w:t>Organic solvents, solvent residues</w:t>
            </w:r>
          </w:p>
        </w:tc>
        <w:tc>
          <w:tcPr>
            <w:tcW w:w="1260" w:type="dxa"/>
            <w:shd w:val="clear" w:color="auto" w:fill="FFFFFF" w:themeFill="background1"/>
            <w:hideMark/>
          </w:tcPr>
          <w:p w:rsidR="009A54F5" w:rsidRPr="009A54F5" w:rsidRDefault="009A54F5" w:rsidP="00975CFF">
            <w:pPr>
              <w:spacing w:before="120" w:after="0"/>
              <w:jc w:val="right"/>
            </w:pPr>
            <w:r w:rsidRPr="009A54F5">
              <w:t>27,985</w:t>
            </w:r>
          </w:p>
        </w:tc>
        <w:tc>
          <w:tcPr>
            <w:tcW w:w="1280" w:type="dxa"/>
            <w:shd w:val="clear" w:color="auto" w:fill="FFFFFF" w:themeFill="background1"/>
            <w:hideMark/>
          </w:tcPr>
          <w:p w:rsidR="009A54F5" w:rsidRPr="009A54F5" w:rsidRDefault="009A54F5" w:rsidP="00975CFF">
            <w:pPr>
              <w:spacing w:before="120" w:after="0"/>
              <w:jc w:val="right"/>
            </w:pPr>
            <w:r w:rsidRPr="009A54F5">
              <w:t>2,309</w:t>
            </w:r>
          </w:p>
        </w:tc>
        <w:tc>
          <w:tcPr>
            <w:tcW w:w="1240" w:type="dxa"/>
            <w:shd w:val="clear" w:color="auto" w:fill="FFFFFF" w:themeFill="background1"/>
            <w:hideMark/>
          </w:tcPr>
          <w:p w:rsidR="009A54F5" w:rsidRPr="009A54F5" w:rsidRDefault="009A54F5" w:rsidP="00975CFF">
            <w:pPr>
              <w:spacing w:before="120" w:after="0"/>
              <w:jc w:val="right"/>
            </w:pPr>
            <w:r w:rsidRPr="009A54F5">
              <w:t>30,294</w:t>
            </w:r>
          </w:p>
        </w:tc>
        <w:tc>
          <w:tcPr>
            <w:tcW w:w="1180" w:type="dxa"/>
            <w:shd w:val="clear" w:color="auto" w:fill="FFFFFF" w:themeFill="background1"/>
            <w:hideMark/>
          </w:tcPr>
          <w:p w:rsidR="009A54F5" w:rsidRPr="009A54F5" w:rsidRDefault="009A54F5" w:rsidP="00975CFF">
            <w:pPr>
              <w:spacing w:before="120" w:after="0"/>
              <w:jc w:val="right"/>
            </w:pPr>
            <w:r w:rsidRPr="009A54F5">
              <w:t>454</w:t>
            </w:r>
          </w:p>
        </w:tc>
        <w:tc>
          <w:tcPr>
            <w:tcW w:w="1320" w:type="dxa"/>
            <w:shd w:val="clear" w:color="auto" w:fill="FFFFFF" w:themeFill="background1"/>
            <w:hideMark/>
          </w:tcPr>
          <w:p w:rsidR="009A54F5" w:rsidRPr="009A54F5" w:rsidRDefault="009A54F5" w:rsidP="00975CFF">
            <w:pPr>
              <w:spacing w:before="120" w:after="0"/>
              <w:jc w:val="right"/>
            </w:pPr>
            <w:r w:rsidRPr="009A54F5">
              <w:t>30,748</w:t>
            </w:r>
          </w:p>
        </w:tc>
        <w:tc>
          <w:tcPr>
            <w:tcW w:w="1080" w:type="dxa"/>
            <w:shd w:val="clear" w:color="auto" w:fill="FFFFFF" w:themeFill="background1"/>
            <w:hideMark/>
          </w:tcPr>
          <w:p w:rsidR="009A54F5" w:rsidRPr="009A54F5" w:rsidRDefault="009A54F5" w:rsidP="00975CFF">
            <w:pPr>
              <w:spacing w:before="120" w:after="0"/>
              <w:jc w:val="right"/>
            </w:pPr>
            <w:r w:rsidRPr="009A54F5">
              <w:t>1%</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H</w:t>
            </w:r>
          </w:p>
        </w:tc>
        <w:tc>
          <w:tcPr>
            <w:tcW w:w="5620" w:type="dxa"/>
            <w:shd w:val="clear" w:color="auto" w:fill="FFFFFF" w:themeFill="background1"/>
            <w:noWrap/>
            <w:hideMark/>
          </w:tcPr>
          <w:p w:rsidR="009A54F5" w:rsidRPr="009A54F5" w:rsidRDefault="009A54F5" w:rsidP="009A54F5">
            <w:pPr>
              <w:spacing w:before="120" w:after="0"/>
              <w:jc w:val="left"/>
            </w:pPr>
            <w:r w:rsidRPr="009A54F5">
              <w:t>Pesticides (includes herbicides and insecticides)</w:t>
            </w:r>
          </w:p>
        </w:tc>
        <w:tc>
          <w:tcPr>
            <w:tcW w:w="1260" w:type="dxa"/>
            <w:shd w:val="clear" w:color="auto" w:fill="FFFFFF" w:themeFill="background1"/>
            <w:hideMark/>
          </w:tcPr>
          <w:p w:rsidR="009A54F5" w:rsidRPr="009A54F5" w:rsidRDefault="009A54F5" w:rsidP="00975CFF">
            <w:pPr>
              <w:spacing w:before="120" w:after="0"/>
              <w:jc w:val="right"/>
            </w:pPr>
            <w:r w:rsidRPr="009A54F5">
              <w:t>2,606</w:t>
            </w:r>
          </w:p>
        </w:tc>
        <w:tc>
          <w:tcPr>
            <w:tcW w:w="1280" w:type="dxa"/>
            <w:shd w:val="clear" w:color="auto" w:fill="FFFFFF" w:themeFill="background1"/>
            <w:hideMark/>
          </w:tcPr>
          <w:p w:rsidR="009A54F5" w:rsidRPr="009A54F5" w:rsidRDefault="009A54F5" w:rsidP="00975CFF">
            <w:pPr>
              <w:spacing w:before="120" w:after="0"/>
              <w:jc w:val="right"/>
            </w:pPr>
            <w:r w:rsidRPr="009A54F5">
              <w:t>1,294</w:t>
            </w:r>
          </w:p>
        </w:tc>
        <w:tc>
          <w:tcPr>
            <w:tcW w:w="1240" w:type="dxa"/>
            <w:shd w:val="clear" w:color="auto" w:fill="FFFFFF" w:themeFill="background1"/>
            <w:hideMark/>
          </w:tcPr>
          <w:p w:rsidR="009A54F5" w:rsidRPr="009A54F5" w:rsidRDefault="009A54F5" w:rsidP="00975CFF">
            <w:pPr>
              <w:spacing w:before="120" w:after="0"/>
              <w:jc w:val="right"/>
            </w:pPr>
            <w:r w:rsidRPr="009A54F5">
              <w:t>3,900</w:t>
            </w:r>
          </w:p>
        </w:tc>
        <w:tc>
          <w:tcPr>
            <w:tcW w:w="1180" w:type="dxa"/>
            <w:shd w:val="clear" w:color="auto" w:fill="FFFFFF" w:themeFill="background1"/>
            <w:hideMark/>
          </w:tcPr>
          <w:p w:rsidR="009A54F5" w:rsidRPr="009A54F5" w:rsidRDefault="009A54F5" w:rsidP="00975CFF">
            <w:pPr>
              <w:spacing w:before="120" w:after="0"/>
              <w:jc w:val="right"/>
            </w:pPr>
            <w:r w:rsidRPr="009A54F5">
              <w:t>5,552</w:t>
            </w:r>
          </w:p>
        </w:tc>
        <w:tc>
          <w:tcPr>
            <w:tcW w:w="1320" w:type="dxa"/>
            <w:shd w:val="clear" w:color="auto" w:fill="FFFFFF" w:themeFill="background1"/>
            <w:hideMark/>
          </w:tcPr>
          <w:p w:rsidR="009A54F5" w:rsidRPr="009A54F5" w:rsidRDefault="009A54F5" w:rsidP="00975CFF">
            <w:pPr>
              <w:spacing w:before="120" w:after="0"/>
              <w:jc w:val="right"/>
            </w:pPr>
            <w:r w:rsidRPr="009A54F5">
              <w:t>9,452</w:t>
            </w:r>
          </w:p>
        </w:tc>
        <w:tc>
          <w:tcPr>
            <w:tcW w:w="1080" w:type="dxa"/>
            <w:shd w:val="clear" w:color="auto" w:fill="FFFFFF" w:themeFill="background1"/>
            <w:hideMark/>
          </w:tcPr>
          <w:p w:rsidR="009A54F5" w:rsidRPr="009A54F5" w:rsidRDefault="009A54F5" w:rsidP="00975CFF">
            <w:pPr>
              <w:spacing w:before="120" w:after="0"/>
              <w:jc w:val="right"/>
            </w:pPr>
            <w:r w:rsidRPr="009A54F5">
              <w:t>59%</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J</w:t>
            </w:r>
          </w:p>
        </w:tc>
        <w:tc>
          <w:tcPr>
            <w:tcW w:w="5620" w:type="dxa"/>
            <w:shd w:val="clear" w:color="auto" w:fill="FFFFFF" w:themeFill="background1"/>
            <w:noWrap/>
            <w:hideMark/>
          </w:tcPr>
          <w:p w:rsidR="009A54F5" w:rsidRPr="009A54F5" w:rsidRDefault="009A54F5" w:rsidP="009A54F5">
            <w:pPr>
              <w:spacing w:before="120" w:after="0"/>
              <w:jc w:val="left"/>
            </w:pPr>
            <w:r w:rsidRPr="009A54F5">
              <w:t>Oils, hydrocarbons, emulsions</w:t>
            </w:r>
          </w:p>
        </w:tc>
        <w:tc>
          <w:tcPr>
            <w:tcW w:w="1260" w:type="dxa"/>
            <w:shd w:val="clear" w:color="auto" w:fill="FFFFFF" w:themeFill="background1"/>
            <w:hideMark/>
          </w:tcPr>
          <w:p w:rsidR="009A54F5" w:rsidRPr="009A54F5" w:rsidRDefault="009A54F5" w:rsidP="00975CFF">
            <w:pPr>
              <w:spacing w:before="120" w:after="0"/>
              <w:jc w:val="right"/>
            </w:pPr>
            <w:r w:rsidRPr="009A54F5">
              <w:t>601,848</w:t>
            </w:r>
          </w:p>
        </w:tc>
        <w:tc>
          <w:tcPr>
            <w:tcW w:w="1280" w:type="dxa"/>
            <w:shd w:val="clear" w:color="auto" w:fill="FFFFFF" w:themeFill="background1"/>
            <w:hideMark/>
          </w:tcPr>
          <w:p w:rsidR="009A54F5" w:rsidRPr="009A54F5" w:rsidRDefault="009A54F5" w:rsidP="00975CFF">
            <w:pPr>
              <w:spacing w:before="120" w:after="0"/>
              <w:jc w:val="right"/>
            </w:pPr>
            <w:r w:rsidRPr="009A54F5">
              <w:t>12,041</w:t>
            </w:r>
          </w:p>
        </w:tc>
        <w:tc>
          <w:tcPr>
            <w:tcW w:w="1240" w:type="dxa"/>
            <w:shd w:val="clear" w:color="auto" w:fill="FFFFFF" w:themeFill="background1"/>
            <w:hideMark/>
          </w:tcPr>
          <w:p w:rsidR="009A54F5" w:rsidRPr="009A54F5" w:rsidRDefault="009A54F5" w:rsidP="00975CFF">
            <w:pPr>
              <w:spacing w:before="120" w:after="0"/>
              <w:jc w:val="right"/>
            </w:pPr>
            <w:r w:rsidRPr="009A54F5">
              <w:t>613,889</w:t>
            </w:r>
          </w:p>
        </w:tc>
        <w:tc>
          <w:tcPr>
            <w:tcW w:w="1180" w:type="dxa"/>
            <w:shd w:val="clear" w:color="auto" w:fill="FFFFFF" w:themeFill="background1"/>
            <w:hideMark/>
          </w:tcPr>
          <w:p w:rsidR="009A54F5" w:rsidRPr="009A54F5" w:rsidRDefault="009A54F5" w:rsidP="00975CFF">
            <w:pPr>
              <w:spacing w:before="120" w:after="0"/>
              <w:jc w:val="right"/>
            </w:pPr>
            <w:r w:rsidRPr="009A54F5">
              <w:t>49,666</w:t>
            </w:r>
          </w:p>
        </w:tc>
        <w:tc>
          <w:tcPr>
            <w:tcW w:w="1320" w:type="dxa"/>
            <w:shd w:val="clear" w:color="auto" w:fill="FFFFFF" w:themeFill="background1"/>
            <w:hideMark/>
          </w:tcPr>
          <w:p w:rsidR="009A54F5" w:rsidRPr="009A54F5" w:rsidRDefault="009A54F5" w:rsidP="00975CFF">
            <w:pPr>
              <w:spacing w:before="120" w:after="0"/>
              <w:jc w:val="right"/>
            </w:pPr>
            <w:r w:rsidRPr="009A54F5">
              <w:t>663,555</w:t>
            </w:r>
          </w:p>
        </w:tc>
        <w:tc>
          <w:tcPr>
            <w:tcW w:w="1080" w:type="dxa"/>
            <w:shd w:val="clear" w:color="auto" w:fill="FFFFFF" w:themeFill="background1"/>
            <w:hideMark/>
          </w:tcPr>
          <w:p w:rsidR="009A54F5" w:rsidRPr="009A54F5" w:rsidRDefault="009A54F5" w:rsidP="00975CFF">
            <w:pPr>
              <w:spacing w:before="120" w:after="0"/>
              <w:jc w:val="right"/>
            </w:pPr>
            <w:r w:rsidRPr="009A54F5">
              <w:t>7%</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K</w:t>
            </w:r>
          </w:p>
        </w:tc>
        <w:tc>
          <w:tcPr>
            <w:tcW w:w="5620" w:type="dxa"/>
            <w:shd w:val="clear" w:color="auto" w:fill="FFFFFF" w:themeFill="background1"/>
            <w:noWrap/>
            <w:hideMark/>
          </w:tcPr>
          <w:p w:rsidR="009A54F5" w:rsidRPr="009A54F5" w:rsidRDefault="009A54F5" w:rsidP="009A54F5">
            <w:pPr>
              <w:spacing w:before="120" w:after="0"/>
              <w:jc w:val="left"/>
            </w:pPr>
            <w:r w:rsidRPr="009A54F5">
              <w:t>Putrescible/</w:t>
            </w:r>
            <w:r w:rsidR="00975CFF">
              <w:t xml:space="preserve"> </w:t>
            </w:r>
            <w:r w:rsidRPr="009A54F5">
              <w:t>organic wastes</w:t>
            </w:r>
          </w:p>
        </w:tc>
        <w:tc>
          <w:tcPr>
            <w:tcW w:w="1260" w:type="dxa"/>
            <w:shd w:val="clear" w:color="auto" w:fill="FFFFFF" w:themeFill="background1"/>
            <w:hideMark/>
          </w:tcPr>
          <w:p w:rsidR="009A54F5" w:rsidRPr="009A54F5" w:rsidRDefault="009A54F5" w:rsidP="00975CFF">
            <w:pPr>
              <w:spacing w:before="120" w:after="0"/>
              <w:jc w:val="right"/>
            </w:pPr>
            <w:r w:rsidRPr="009A54F5">
              <w:t>779,409</w:t>
            </w:r>
          </w:p>
        </w:tc>
        <w:tc>
          <w:tcPr>
            <w:tcW w:w="1280" w:type="dxa"/>
            <w:shd w:val="clear" w:color="auto" w:fill="FFFFFF" w:themeFill="background1"/>
            <w:hideMark/>
          </w:tcPr>
          <w:p w:rsidR="009A54F5" w:rsidRPr="009A54F5" w:rsidRDefault="009A54F5" w:rsidP="00975CFF">
            <w:pPr>
              <w:spacing w:before="120" w:after="0"/>
              <w:jc w:val="right"/>
            </w:pPr>
            <w:r w:rsidRPr="009A54F5">
              <w:t>8,695</w:t>
            </w:r>
          </w:p>
        </w:tc>
        <w:tc>
          <w:tcPr>
            <w:tcW w:w="1240" w:type="dxa"/>
            <w:shd w:val="clear" w:color="auto" w:fill="FFFFFF" w:themeFill="background1"/>
            <w:hideMark/>
          </w:tcPr>
          <w:p w:rsidR="009A54F5" w:rsidRPr="009A54F5" w:rsidRDefault="009A54F5" w:rsidP="00975CFF">
            <w:pPr>
              <w:spacing w:before="120" w:after="0"/>
              <w:jc w:val="right"/>
            </w:pPr>
            <w:r w:rsidRPr="009A54F5">
              <w:t>788,104</w:t>
            </w:r>
          </w:p>
        </w:tc>
        <w:tc>
          <w:tcPr>
            <w:tcW w:w="1180" w:type="dxa"/>
            <w:shd w:val="clear" w:color="auto" w:fill="FFFFFF" w:themeFill="background1"/>
            <w:hideMark/>
          </w:tcPr>
          <w:p w:rsidR="009A54F5" w:rsidRPr="009A54F5" w:rsidRDefault="009A54F5" w:rsidP="00975CFF">
            <w:pPr>
              <w:spacing w:before="120" w:after="0"/>
              <w:jc w:val="right"/>
            </w:pPr>
            <w:r w:rsidRPr="009A54F5">
              <w:t>0</w:t>
            </w:r>
          </w:p>
        </w:tc>
        <w:tc>
          <w:tcPr>
            <w:tcW w:w="1320" w:type="dxa"/>
            <w:shd w:val="clear" w:color="auto" w:fill="FFFFFF" w:themeFill="background1"/>
            <w:hideMark/>
          </w:tcPr>
          <w:p w:rsidR="009A54F5" w:rsidRPr="009A54F5" w:rsidRDefault="009A54F5" w:rsidP="00975CFF">
            <w:pPr>
              <w:spacing w:before="120" w:after="0"/>
              <w:jc w:val="right"/>
            </w:pPr>
            <w:r w:rsidRPr="009A54F5">
              <w:t>788,104</w:t>
            </w:r>
          </w:p>
        </w:tc>
        <w:tc>
          <w:tcPr>
            <w:tcW w:w="1080" w:type="dxa"/>
            <w:shd w:val="clear" w:color="auto" w:fill="FFFFFF" w:themeFill="background1"/>
            <w:hideMark/>
          </w:tcPr>
          <w:p w:rsidR="009A54F5" w:rsidRPr="009A54F5" w:rsidRDefault="009A54F5" w:rsidP="00975CFF">
            <w:pPr>
              <w:spacing w:before="120" w:after="0"/>
              <w:jc w:val="right"/>
            </w:pPr>
            <w:r w:rsidRPr="009A54F5">
              <w:t>0%</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L</w:t>
            </w:r>
          </w:p>
        </w:tc>
        <w:tc>
          <w:tcPr>
            <w:tcW w:w="5620" w:type="dxa"/>
            <w:shd w:val="clear" w:color="auto" w:fill="FFFFFF" w:themeFill="background1"/>
            <w:noWrap/>
            <w:hideMark/>
          </w:tcPr>
          <w:p w:rsidR="009A54F5" w:rsidRPr="009A54F5" w:rsidRDefault="009A54F5" w:rsidP="009A54F5">
            <w:pPr>
              <w:spacing w:before="120" w:after="0"/>
              <w:jc w:val="left"/>
            </w:pPr>
            <w:r w:rsidRPr="009A54F5">
              <w:t>Industrial washwaters</w:t>
            </w:r>
          </w:p>
        </w:tc>
        <w:tc>
          <w:tcPr>
            <w:tcW w:w="1260" w:type="dxa"/>
            <w:shd w:val="clear" w:color="auto" w:fill="FFFFFF" w:themeFill="background1"/>
            <w:hideMark/>
          </w:tcPr>
          <w:p w:rsidR="009A54F5" w:rsidRPr="009A54F5" w:rsidRDefault="009A54F5" w:rsidP="00975CFF">
            <w:pPr>
              <w:spacing w:before="120" w:after="0"/>
              <w:jc w:val="right"/>
            </w:pPr>
            <w:r w:rsidRPr="009A54F5">
              <w:t>0</w:t>
            </w:r>
          </w:p>
        </w:tc>
        <w:tc>
          <w:tcPr>
            <w:tcW w:w="1280" w:type="dxa"/>
            <w:shd w:val="clear" w:color="auto" w:fill="FFFFFF" w:themeFill="background1"/>
            <w:hideMark/>
          </w:tcPr>
          <w:p w:rsidR="009A54F5" w:rsidRPr="009A54F5" w:rsidRDefault="009A54F5" w:rsidP="00975CFF">
            <w:pPr>
              <w:spacing w:before="120" w:after="0"/>
              <w:jc w:val="right"/>
            </w:pPr>
            <w:r w:rsidRPr="009A54F5">
              <w:t>0</w:t>
            </w:r>
          </w:p>
        </w:tc>
        <w:tc>
          <w:tcPr>
            <w:tcW w:w="1240" w:type="dxa"/>
            <w:shd w:val="clear" w:color="auto" w:fill="FFFFFF" w:themeFill="background1"/>
            <w:hideMark/>
          </w:tcPr>
          <w:p w:rsidR="009A54F5" w:rsidRPr="009A54F5" w:rsidRDefault="009A54F5" w:rsidP="00975CFF">
            <w:pPr>
              <w:spacing w:before="120" w:after="0"/>
              <w:jc w:val="right"/>
            </w:pPr>
            <w:r w:rsidRPr="009A54F5">
              <w:t>0</w:t>
            </w:r>
          </w:p>
        </w:tc>
        <w:tc>
          <w:tcPr>
            <w:tcW w:w="1180" w:type="dxa"/>
            <w:shd w:val="clear" w:color="auto" w:fill="FFFFFF" w:themeFill="background1"/>
            <w:hideMark/>
          </w:tcPr>
          <w:p w:rsidR="009A54F5" w:rsidRPr="009A54F5" w:rsidRDefault="009A54F5" w:rsidP="00975CFF">
            <w:pPr>
              <w:spacing w:before="120" w:after="0"/>
              <w:jc w:val="right"/>
            </w:pPr>
            <w:r w:rsidRPr="009A54F5">
              <w:t>0</w:t>
            </w:r>
          </w:p>
        </w:tc>
        <w:tc>
          <w:tcPr>
            <w:tcW w:w="1320" w:type="dxa"/>
            <w:shd w:val="clear" w:color="auto" w:fill="FFFFFF" w:themeFill="background1"/>
            <w:hideMark/>
          </w:tcPr>
          <w:p w:rsidR="009A54F5" w:rsidRPr="009A54F5" w:rsidRDefault="009A54F5" w:rsidP="00975CFF">
            <w:pPr>
              <w:spacing w:before="120" w:after="0"/>
              <w:jc w:val="right"/>
            </w:pPr>
            <w:r w:rsidRPr="009A54F5">
              <w:t>0</w:t>
            </w:r>
          </w:p>
        </w:tc>
        <w:tc>
          <w:tcPr>
            <w:tcW w:w="1080" w:type="dxa"/>
            <w:shd w:val="clear" w:color="auto" w:fill="FFFFFF" w:themeFill="background1"/>
            <w:hideMark/>
          </w:tcPr>
          <w:p w:rsidR="009A54F5" w:rsidRPr="009A54F5" w:rsidRDefault="009A54F5" w:rsidP="00975CFF">
            <w:pPr>
              <w:spacing w:before="120" w:after="0"/>
              <w:jc w:val="right"/>
            </w:pPr>
            <w:r w:rsidRPr="009A54F5">
              <w:t>0%</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M</w:t>
            </w:r>
          </w:p>
        </w:tc>
        <w:tc>
          <w:tcPr>
            <w:tcW w:w="5620" w:type="dxa"/>
            <w:shd w:val="clear" w:color="auto" w:fill="FFFFFF" w:themeFill="background1"/>
            <w:noWrap/>
            <w:hideMark/>
          </w:tcPr>
          <w:p w:rsidR="009A54F5" w:rsidRPr="009A54F5" w:rsidRDefault="009A54F5" w:rsidP="009A54F5">
            <w:pPr>
              <w:spacing w:before="120" w:after="0"/>
              <w:jc w:val="left"/>
            </w:pPr>
            <w:r w:rsidRPr="009A54F5">
              <w:t>Organic chemicals</w:t>
            </w:r>
          </w:p>
        </w:tc>
        <w:tc>
          <w:tcPr>
            <w:tcW w:w="1260" w:type="dxa"/>
            <w:shd w:val="clear" w:color="auto" w:fill="FFFFFF" w:themeFill="background1"/>
            <w:hideMark/>
          </w:tcPr>
          <w:p w:rsidR="009A54F5" w:rsidRPr="009A54F5" w:rsidRDefault="009A54F5" w:rsidP="00975CFF">
            <w:pPr>
              <w:spacing w:before="120" w:after="0"/>
              <w:jc w:val="right"/>
            </w:pPr>
            <w:r w:rsidRPr="009A54F5">
              <w:t>18,553</w:t>
            </w:r>
          </w:p>
        </w:tc>
        <w:tc>
          <w:tcPr>
            <w:tcW w:w="1280" w:type="dxa"/>
            <w:shd w:val="clear" w:color="auto" w:fill="FFFFFF" w:themeFill="background1"/>
            <w:hideMark/>
          </w:tcPr>
          <w:p w:rsidR="009A54F5" w:rsidRPr="009A54F5" w:rsidRDefault="009A54F5" w:rsidP="00975CFF">
            <w:pPr>
              <w:spacing w:before="120" w:after="0"/>
              <w:jc w:val="right"/>
            </w:pPr>
            <w:r w:rsidRPr="009A54F5">
              <w:t>1,603</w:t>
            </w:r>
          </w:p>
        </w:tc>
        <w:tc>
          <w:tcPr>
            <w:tcW w:w="1240" w:type="dxa"/>
            <w:shd w:val="clear" w:color="auto" w:fill="FFFFFF" w:themeFill="background1"/>
            <w:hideMark/>
          </w:tcPr>
          <w:p w:rsidR="009A54F5" w:rsidRPr="009A54F5" w:rsidRDefault="009A54F5" w:rsidP="00975CFF">
            <w:pPr>
              <w:spacing w:before="120" w:after="0"/>
              <w:jc w:val="right"/>
            </w:pPr>
            <w:r w:rsidRPr="009A54F5">
              <w:t>20,156</w:t>
            </w:r>
          </w:p>
        </w:tc>
        <w:tc>
          <w:tcPr>
            <w:tcW w:w="1180" w:type="dxa"/>
            <w:shd w:val="clear" w:color="auto" w:fill="FFFFFF" w:themeFill="background1"/>
            <w:hideMark/>
          </w:tcPr>
          <w:p w:rsidR="009A54F5" w:rsidRPr="009A54F5" w:rsidRDefault="009A54F5" w:rsidP="00975CFF">
            <w:pPr>
              <w:spacing w:before="120" w:after="0"/>
              <w:jc w:val="right"/>
            </w:pPr>
            <w:r w:rsidRPr="009A54F5">
              <w:t>453</w:t>
            </w:r>
          </w:p>
        </w:tc>
        <w:tc>
          <w:tcPr>
            <w:tcW w:w="1320" w:type="dxa"/>
            <w:shd w:val="clear" w:color="auto" w:fill="FFFFFF" w:themeFill="background1"/>
            <w:hideMark/>
          </w:tcPr>
          <w:p w:rsidR="009A54F5" w:rsidRPr="009A54F5" w:rsidRDefault="009A54F5" w:rsidP="00975CFF">
            <w:pPr>
              <w:spacing w:before="120" w:after="0"/>
              <w:jc w:val="right"/>
            </w:pPr>
            <w:r w:rsidRPr="009A54F5">
              <w:t>20,609</w:t>
            </w:r>
          </w:p>
        </w:tc>
        <w:tc>
          <w:tcPr>
            <w:tcW w:w="1080" w:type="dxa"/>
            <w:shd w:val="clear" w:color="auto" w:fill="FFFFFF" w:themeFill="background1"/>
            <w:hideMark/>
          </w:tcPr>
          <w:p w:rsidR="009A54F5" w:rsidRPr="009A54F5" w:rsidRDefault="009A54F5" w:rsidP="00975CFF">
            <w:pPr>
              <w:spacing w:before="120" w:after="0"/>
              <w:jc w:val="right"/>
            </w:pPr>
            <w:r w:rsidRPr="009A54F5">
              <w:t>2%</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N</w:t>
            </w:r>
          </w:p>
        </w:tc>
        <w:tc>
          <w:tcPr>
            <w:tcW w:w="5620" w:type="dxa"/>
            <w:shd w:val="clear" w:color="auto" w:fill="FFFFFF" w:themeFill="background1"/>
            <w:noWrap/>
            <w:hideMark/>
          </w:tcPr>
          <w:p w:rsidR="009A54F5" w:rsidRPr="009A54F5" w:rsidRDefault="009A54F5" w:rsidP="009A54F5">
            <w:pPr>
              <w:spacing w:before="120" w:after="0"/>
              <w:jc w:val="left"/>
            </w:pPr>
            <w:r w:rsidRPr="009A54F5">
              <w:t>Solid/sludge wastes requiring special handling</w:t>
            </w:r>
          </w:p>
        </w:tc>
        <w:tc>
          <w:tcPr>
            <w:tcW w:w="1260" w:type="dxa"/>
            <w:shd w:val="clear" w:color="auto" w:fill="FFFFFF" w:themeFill="background1"/>
            <w:hideMark/>
          </w:tcPr>
          <w:p w:rsidR="009A54F5" w:rsidRPr="009A54F5" w:rsidRDefault="009A54F5" w:rsidP="00975CFF">
            <w:pPr>
              <w:spacing w:before="120" w:after="0"/>
              <w:jc w:val="right"/>
            </w:pPr>
            <w:r w:rsidRPr="009A54F5">
              <w:t>3,402,092</w:t>
            </w:r>
          </w:p>
        </w:tc>
        <w:tc>
          <w:tcPr>
            <w:tcW w:w="1280" w:type="dxa"/>
            <w:shd w:val="clear" w:color="auto" w:fill="FFFFFF" w:themeFill="background1"/>
            <w:hideMark/>
          </w:tcPr>
          <w:p w:rsidR="009A54F5" w:rsidRPr="009A54F5" w:rsidRDefault="009A54F5" w:rsidP="00975CFF">
            <w:pPr>
              <w:spacing w:before="120" w:after="0"/>
              <w:jc w:val="right"/>
            </w:pPr>
            <w:r w:rsidRPr="009A54F5">
              <w:t>13,361</w:t>
            </w:r>
          </w:p>
        </w:tc>
        <w:tc>
          <w:tcPr>
            <w:tcW w:w="1240" w:type="dxa"/>
            <w:shd w:val="clear" w:color="auto" w:fill="FFFFFF" w:themeFill="background1"/>
            <w:hideMark/>
          </w:tcPr>
          <w:p w:rsidR="009A54F5" w:rsidRPr="009A54F5" w:rsidRDefault="009A54F5" w:rsidP="00975CFF">
            <w:pPr>
              <w:spacing w:before="120" w:after="0"/>
              <w:jc w:val="right"/>
            </w:pPr>
            <w:r w:rsidRPr="009A54F5">
              <w:t>3,415,453</w:t>
            </w:r>
          </w:p>
        </w:tc>
        <w:tc>
          <w:tcPr>
            <w:tcW w:w="1180" w:type="dxa"/>
            <w:shd w:val="clear" w:color="auto" w:fill="FFFFFF" w:themeFill="background1"/>
            <w:hideMark/>
          </w:tcPr>
          <w:p w:rsidR="009A54F5" w:rsidRPr="009A54F5" w:rsidRDefault="009A54F5" w:rsidP="00975CFF">
            <w:pPr>
              <w:spacing w:before="120" w:after="0"/>
              <w:jc w:val="right"/>
            </w:pPr>
            <w:r w:rsidRPr="009A54F5">
              <w:t>4,101</w:t>
            </w:r>
          </w:p>
        </w:tc>
        <w:tc>
          <w:tcPr>
            <w:tcW w:w="1320" w:type="dxa"/>
            <w:shd w:val="clear" w:color="auto" w:fill="FFFFFF" w:themeFill="background1"/>
            <w:hideMark/>
          </w:tcPr>
          <w:p w:rsidR="009A54F5" w:rsidRPr="009A54F5" w:rsidRDefault="009A54F5" w:rsidP="00975CFF">
            <w:pPr>
              <w:spacing w:before="120" w:after="0"/>
              <w:jc w:val="right"/>
            </w:pPr>
            <w:r w:rsidRPr="009A54F5">
              <w:t>3,419,554</w:t>
            </w:r>
          </w:p>
        </w:tc>
        <w:tc>
          <w:tcPr>
            <w:tcW w:w="1080" w:type="dxa"/>
            <w:shd w:val="clear" w:color="auto" w:fill="FFFFFF" w:themeFill="background1"/>
            <w:hideMark/>
          </w:tcPr>
          <w:p w:rsidR="009A54F5" w:rsidRPr="009A54F5" w:rsidRDefault="009A54F5" w:rsidP="00975CFF">
            <w:pPr>
              <w:spacing w:before="120" w:after="0"/>
              <w:jc w:val="right"/>
            </w:pPr>
            <w:r w:rsidRPr="009A54F5">
              <w:t>0%</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R</w:t>
            </w:r>
          </w:p>
        </w:tc>
        <w:tc>
          <w:tcPr>
            <w:tcW w:w="5620" w:type="dxa"/>
            <w:shd w:val="clear" w:color="auto" w:fill="FFFFFF" w:themeFill="background1"/>
            <w:noWrap/>
            <w:hideMark/>
          </w:tcPr>
          <w:p w:rsidR="009A54F5" w:rsidRPr="009A54F5" w:rsidRDefault="009A54F5" w:rsidP="009A54F5">
            <w:pPr>
              <w:spacing w:before="120" w:after="0"/>
              <w:jc w:val="left"/>
            </w:pPr>
            <w:r w:rsidRPr="009A54F5">
              <w:t>Clinical and pharmaceutical wastes</w:t>
            </w:r>
          </w:p>
        </w:tc>
        <w:tc>
          <w:tcPr>
            <w:tcW w:w="1260" w:type="dxa"/>
            <w:shd w:val="clear" w:color="auto" w:fill="FFFFFF" w:themeFill="background1"/>
            <w:hideMark/>
          </w:tcPr>
          <w:p w:rsidR="009A54F5" w:rsidRPr="009A54F5" w:rsidRDefault="009A54F5" w:rsidP="00975CFF">
            <w:pPr>
              <w:spacing w:before="120" w:after="0"/>
              <w:jc w:val="right"/>
            </w:pPr>
            <w:r w:rsidRPr="009A54F5">
              <w:t>59,946</w:t>
            </w:r>
          </w:p>
        </w:tc>
        <w:tc>
          <w:tcPr>
            <w:tcW w:w="1280" w:type="dxa"/>
            <w:shd w:val="clear" w:color="auto" w:fill="FFFFFF" w:themeFill="background1"/>
            <w:hideMark/>
          </w:tcPr>
          <w:p w:rsidR="009A54F5" w:rsidRPr="009A54F5" w:rsidRDefault="009A54F5" w:rsidP="00975CFF">
            <w:pPr>
              <w:spacing w:before="120" w:after="0"/>
              <w:jc w:val="right"/>
            </w:pPr>
            <w:r w:rsidRPr="009A54F5">
              <w:t>909</w:t>
            </w:r>
          </w:p>
        </w:tc>
        <w:tc>
          <w:tcPr>
            <w:tcW w:w="1240" w:type="dxa"/>
            <w:shd w:val="clear" w:color="auto" w:fill="FFFFFF" w:themeFill="background1"/>
            <w:hideMark/>
          </w:tcPr>
          <w:p w:rsidR="009A54F5" w:rsidRPr="009A54F5" w:rsidRDefault="009A54F5" w:rsidP="00975CFF">
            <w:pPr>
              <w:spacing w:before="120" w:after="0"/>
              <w:jc w:val="right"/>
            </w:pPr>
            <w:r w:rsidRPr="009A54F5">
              <w:t>60,855</w:t>
            </w:r>
          </w:p>
        </w:tc>
        <w:tc>
          <w:tcPr>
            <w:tcW w:w="1180" w:type="dxa"/>
            <w:shd w:val="clear" w:color="auto" w:fill="FFFFFF" w:themeFill="background1"/>
            <w:hideMark/>
          </w:tcPr>
          <w:p w:rsidR="009A54F5" w:rsidRPr="009A54F5" w:rsidRDefault="009A54F5" w:rsidP="00975CFF">
            <w:pPr>
              <w:spacing w:before="120" w:after="0"/>
              <w:jc w:val="right"/>
            </w:pPr>
            <w:r w:rsidRPr="009A54F5">
              <w:t>2,046</w:t>
            </w:r>
          </w:p>
        </w:tc>
        <w:tc>
          <w:tcPr>
            <w:tcW w:w="1320" w:type="dxa"/>
            <w:shd w:val="clear" w:color="auto" w:fill="FFFFFF" w:themeFill="background1"/>
            <w:hideMark/>
          </w:tcPr>
          <w:p w:rsidR="009A54F5" w:rsidRPr="009A54F5" w:rsidRDefault="009A54F5" w:rsidP="00975CFF">
            <w:pPr>
              <w:spacing w:before="120" w:after="0"/>
              <w:jc w:val="right"/>
            </w:pPr>
            <w:r w:rsidRPr="009A54F5">
              <w:t>62,901</w:t>
            </w:r>
          </w:p>
        </w:tc>
        <w:tc>
          <w:tcPr>
            <w:tcW w:w="1080" w:type="dxa"/>
            <w:shd w:val="clear" w:color="auto" w:fill="FFFFFF" w:themeFill="background1"/>
            <w:hideMark/>
          </w:tcPr>
          <w:p w:rsidR="009A54F5" w:rsidRPr="009A54F5" w:rsidRDefault="009A54F5" w:rsidP="00975CFF">
            <w:pPr>
              <w:spacing w:before="120" w:after="0"/>
              <w:jc w:val="right"/>
            </w:pPr>
            <w:r w:rsidRPr="009A54F5">
              <w:t>3%</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pPr>
            <w:r w:rsidRPr="009A54F5">
              <w:t>T</w:t>
            </w:r>
          </w:p>
        </w:tc>
        <w:tc>
          <w:tcPr>
            <w:tcW w:w="5620" w:type="dxa"/>
            <w:shd w:val="clear" w:color="auto" w:fill="FFFFFF" w:themeFill="background1"/>
            <w:noWrap/>
            <w:hideMark/>
          </w:tcPr>
          <w:p w:rsidR="009A54F5" w:rsidRPr="009A54F5" w:rsidRDefault="009A54F5" w:rsidP="009A54F5">
            <w:pPr>
              <w:spacing w:before="120" w:after="0"/>
              <w:jc w:val="left"/>
            </w:pPr>
            <w:r w:rsidRPr="009A54F5">
              <w:t>Miscellaneous</w:t>
            </w:r>
          </w:p>
        </w:tc>
        <w:tc>
          <w:tcPr>
            <w:tcW w:w="1260" w:type="dxa"/>
            <w:shd w:val="clear" w:color="auto" w:fill="FFFFFF" w:themeFill="background1"/>
            <w:hideMark/>
          </w:tcPr>
          <w:p w:rsidR="009A54F5" w:rsidRPr="009A54F5" w:rsidRDefault="009A54F5" w:rsidP="00975CFF">
            <w:pPr>
              <w:spacing w:before="120" w:after="0"/>
              <w:jc w:val="right"/>
            </w:pPr>
            <w:r w:rsidRPr="009A54F5">
              <w:t>395,585</w:t>
            </w:r>
          </w:p>
        </w:tc>
        <w:tc>
          <w:tcPr>
            <w:tcW w:w="1280" w:type="dxa"/>
            <w:shd w:val="clear" w:color="auto" w:fill="FFFFFF" w:themeFill="background1"/>
            <w:hideMark/>
          </w:tcPr>
          <w:p w:rsidR="009A54F5" w:rsidRPr="009A54F5" w:rsidRDefault="009A54F5" w:rsidP="00975CFF">
            <w:pPr>
              <w:spacing w:before="120" w:after="0"/>
              <w:jc w:val="right"/>
            </w:pPr>
            <w:r w:rsidRPr="009A54F5">
              <w:t>543</w:t>
            </w:r>
          </w:p>
        </w:tc>
        <w:tc>
          <w:tcPr>
            <w:tcW w:w="1240" w:type="dxa"/>
            <w:shd w:val="clear" w:color="auto" w:fill="FFFFFF" w:themeFill="background1"/>
            <w:hideMark/>
          </w:tcPr>
          <w:p w:rsidR="009A54F5" w:rsidRPr="009A54F5" w:rsidRDefault="009A54F5" w:rsidP="00975CFF">
            <w:pPr>
              <w:spacing w:before="120" w:after="0"/>
              <w:jc w:val="right"/>
            </w:pPr>
            <w:r w:rsidRPr="009A54F5">
              <w:t>396,128</w:t>
            </w:r>
          </w:p>
        </w:tc>
        <w:tc>
          <w:tcPr>
            <w:tcW w:w="1180" w:type="dxa"/>
            <w:shd w:val="clear" w:color="auto" w:fill="FFFFFF" w:themeFill="background1"/>
            <w:hideMark/>
          </w:tcPr>
          <w:p w:rsidR="009A54F5" w:rsidRPr="009A54F5" w:rsidRDefault="009A54F5" w:rsidP="00975CFF">
            <w:pPr>
              <w:spacing w:before="120" w:after="0"/>
              <w:jc w:val="right"/>
            </w:pPr>
            <w:r w:rsidRPr="009A54F5">
              <w:t>11,590</w:t>
            </w:r>
          </w:p>
        </w:tc>
        <w:tc>
          <w:tcPr>
            <w:tcW w:w="1320" w:type="dxa"/>
            <w:shd w:val="clear" w:color="auto" w:fill="FFFFFF" w:themeFill="background1"/>
            <w:hideMark/>
          </w:tcPr>
          <w:p w:rsidR="009A54F5" w:rsidRPr="009A54F5" w:rsidRDefault="009A54F5" w:rsidP="00975CFF">
            <w:pPr>
              <w:spacing w:before="120" w:after="0"/>
              <w:jc w:val="right"/>
            </w:pPr>
            <w:r w:rsidRPr="009A54F5">
              <w:t>407,718</w:t>
            </w:r>
          </w:p>
        </w:tc>
        <w:tc>
          <w:tcPr>
            <w:tcW w:w="1080" w:type="dxa"/>
            <w:shd w:val="clear" w:color="auto" w:fill="FFFFFF" w:themeFill="background1"/>
            <w:hideMark/>
          </w:tcPr>
          <w:p w:rsidR="009A54F5" w:rsidRPr="009A54F5" w:rsidRDefault="009A54F5" w:rsidP="00975CFF">
            <w:pPr>
              <w:spacing w:before="120" w:after="0"/>
              <w:jc w:val="right"/>
            </w:pPr>
            <w:r w:rsidRPr="009A54F5">
              <w:t>3%</w:t>
            </w:r>
          </w:p>
        </w:tc>
      </w:tr>
      <w:tr w:rsidR="00256B07" w:rsidRPr="009A54F5" w:rsidTr="00C078A7">
        <w:trPr>
          <w:trHeight w:val="315"/>
        </w:trPr>
        <w:tc>
          <w:tcPr>
            <w:tcW w:w="700" w:type="dxa"/>
            <w:shd w:val="clear" w:color="auto" w:fill="FFFFFF" w:themeFill="background1"/>
            <w:noWrap/>
            <w:hideMark/>
          </w:tcPr>
          <w:p w:rsidR="009A54F5" w:rsidRPr="009A54F5" w:rsidRDefault="009A54F5" w:rsidP="009A54F5">
            <w:pPr>
              <w:spacing w:before="120" w:after="0"/>
              <w:jc w:val="left"/>
              <w:rPr>
                <w:b/>
                <w:bCs/>
              </w:rPr>
            </w:pPr>
            <w:r w:rsidRPr="009A54F5">
              <w:rPr>
                <w:b/>
                <w:bCs/>
              </w:rPr>
              <w:t>Total</w:t>
            </w:r>
          </w:p>
        </w:tc>
        <w:tc>
          <w:tcPr>
            <w:tcW w:w="5620" w:type="dxa"/>
            <w:shd w:val="clear" w:color="auto" w:fill="FFFFFF" w:themeFill="background1"/>
            <w:noWrap/>
            <w:hideMark/>
          </w:tcPr>
          <w:p w:rsidR="009A54F5" w:rsidRPr="009A54F5" w:rsidRDefault="009A54F5" w:rsidP="009A54F5">
            <w:pPr>
              <w:spacing w:before="120" w:after="0"/>
              <w:jc w:val="left"/>
            </w:pPr>
            <w:r w:rsidRPr="009A54F5">
              <w:t> </w:t>
            </w:r>
          </w:p>
        </w:tc>
        <w:tc>
          <w:tcPr>
            <w:tcW w:w="1260" w:type="dxa"/>
            <w:shd w:val="clear" w:color="auto" w:fill="FFFFFF" w:themeFill="background1"/>
            <w:hideMark/>
          </w:tcPr>
          <w:p w:rsidR="009A54F5" w:rsidRPr="009A54F5" w:rsidRDefault="009A54F5" w:rsidP="00975CFF">
            <w:pPr>
              <w:spacing w:before="120" w:after="0"/>
              <w:jc w:val="right"/>
              <w:rPr>
                <w:b/>
                <w:bCs/>
              </w:rPr>
            </w:pPr>
            <w:r w:rsidRPr="009A54F5">
              <w:rPr>
                <w:b/>
                <w:bCs/>
              </w:rPr>
              <w:t>5,941,663</w:t>
            </w:r>
          </w:p>
        </w:tc>
        <w:tc>
          <w:tcPr>
            <w:tcW w:w="1280" w:type="dxa"/>
            <w:shd w:val="clear" w:color="auto" w:fill="FFFFFF" w:themeFill="background1"/>
            <w:hideMark/>
          </w:tcPr>
          <w:p w:rsidR="009A54F5" w:rsidRPr="009A54F5" w:rsidRDefault="009A54F5" w:rsidP="00975CFF">
            <w:pPr>
              <w:spacing w:before="120" w:after="0"/>
              <w:jc w:val="right"/>
              <w:rPr>
                <w:b/>
                <w:bCs/>
              </w:rPr>
            </w:pPr>
            <w:r w:rsidRPr="009A54F5">
              <w:rPr>
                <w:b/>
                <w:bCs/>
              </w:rPr>
              <w:t>92,921</w:t>
            </w:r>
          </w:p>
        </w:tc>
        <w:tc>
          <w:tcPr>
            <w:tcW w:w="1240" w:type="dxa"/>
            <w:shd w:val="clear" w:color="auto" w:fill="FFFFFF" w:themeFill="background1"/>
            <w:hideMark/>
          </w:tcPr>
          <w:p w:rsidR="009A54F5" w:rsidRPr="009A54F5" w:rsidRDefault="009A54F5" w:rsidP="00975CFF">
            <w:pPr>
              <w:spacing w:before="120" w:after="0"/>
              <w:jc w:val="right"/>
              <w:rPr>
                <w:b/>
                <w:bCs/>
              </w:rPr>
            </w:pPr>
            <w:r w:rsidRPr="009A54F5">
              <w:rPr>
                <w:b/>
                <w:bCs/>
              </w:rPr>
              <w:t>6,034,584</w:t>
            </w:r>
          </w:p>
        </w:tc>
        <w:tc>
          <w:tcPr>
            <w:tcW w:w="1180" w:type="dxa"/>
            <w:shd w:val="clear" w:color="auto" w:fill="FFFFFF" w:themeFill="background1"/>
            <w:hideMark/>
          </w:tcPr>
          <w:p w:rsidR="009A54F5" w:rsidRPr="009A54F5" w:rsidRDefault="009A54F5" w:rsidP="00975CFF">
            <w:pPr>
              <w:spacing w:before="120" w:after="0"/>
              <w:jc w:val="right"/>
              <w:rPr>
                <w:b/>
                <w:bCs/>
              </w:rPr>
            </w:pPr>
            <w:r w:rsidRPr="009A54F5">
              <w:rPr>
                <w:b/>
                <w:bCs/>
              </w:rPr>
              <w:t>301,837</w:t>
            </w:r>
          </w:p>
        </w:tc>
        <w:tc>
          <w:tcPr>
            <w:tcW w:w="1320" w:type="dxa"/>
            <w:shd w:val="clear" w:color="auto" w:fill="FFFFFF" w:themeFill="background1"/>
            <w:hideMark/>
          </w:tcPr>
          <w:p w:rsidR="009A54F5" w:rsidRPr="009A54F5" w:rsidRDefault="009A54F5" w:rsidP="00975CFF">
            <w:pPr>
              <w:spacing w:before="120" w:after="0"/>
              <w:jc w:val="right"/>
              <w:rPr>
                <w:b/>
                <w:bCs/>
              </w:rPr>
            </w:pPr>
            <w:r w:rsidRPr="009A54F5">
              <w:rPr>
                <w:b/>
                <w:bCs/>
              </w:rPr>
              <w:t>6,336,421</w:t>
            </w:r>
          </w:p>
        </w:tc>
        <w:tc>
          <w:tcPr>
            <w:tcW w:w="1080" w:type="dxa"/>
            <w:shd w:val="clear" w:color="auto" w:fill="FFFFFF" w:themeFill="background1"/>
            <w:hideMark/>
          </w:tcPr>
          <w:p w:rsidR="009A54F5" w:rsidRPr="009A54F5" w:rsidRDefault="009A54F5" w:rsidP="00975CFF">
            <w:pPr>
              <w:spacing w:before="120" w:after="0"/>
              <w:jc w:val="right"/>
              <w:rPr>
                <w:b/>
                <w:bCs/>
              </w:rPr>
            </w:pPr>
            <w:r w:rsidRPr="009A54F5">
              <w:rPr>
                <w:b/>
                <w:bCs/>
              </w:rPr>
              <w:t>5%</w:t>
            </w:r>
          </w:p>
        </w:tc>
      </w:tr>
    </w:tbl>
    <w:p w:rsidR="00992CC4" w:rsidRDefault="00992CC4" w:rsidP="009A54F5">
      <w:pPr>
        <w:spacing w:before="120" w:after="0"/>
        <w:jc w:val="left"/>
      </w:pPr>
    </w:p>
    <w:sectPr w:rsidR="00992CC4" w:rsidSect="00DA5F72">
      <w:pgSz w:w="16839" w:h="11907" w:orient="landscape" w:code="9"/>
      <w:pgMar w:top="1701" w:right="1701"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35B" w:rsidRDefault="0099035B" w:rsidP="00285EA9">
      <w:r>
        <w:separator/>
      </w:r>
    </w:p>
  </w:endnote>
  <w:endnote w:type="continuationSeparator" w:id="0">
    <w:p w:rsidR="0099035B" w:rsidRDefault="0099035B" w:rsidP="00285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6" w:rsidRPr="00221D2E" w:rsidRDefault="00235626" w:rsidP="00AB3096">
    <w:pPr>
      <w:pStyle w:val="Footer"/>
      <w:tabs>
        <w:tab w:val="clear" w:pos="9360"/>
        <w:tab w:val="right" w:pos="9639"/>
      </w:tabs>
      <w:jc w:val="right"/>
      <w:rPr>
        <w:szCs w:val="16"/>
      </w:rPr>
    </w:pPr>
    <w:r>
      <w:rPr>
        <w:b/>
        <w:noProof/>
        <w:sz w:val="28"/>
        <w:szCs w:val="28"/>
        <w:lang w:eastAsia="en-AU"/>
      </w:rPr>
      <w:drawing>
        <wp:inline distT="0" distB="0" distL="0" distR="0">
          <wp:extent cx="2028825" cy="495300"/>
          <wp:effectExtent l="0" t="0" r="9525" b="0"/>
          <wp:docPr id="2" name="Picture 2" descr="C:\Users\swick\Desktop\KMH_LOGO (3 Colours) for tem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ick\Desktop\KMH_LOGO (3 Colours) for template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49530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6" w:rsidRPr="00AB3096" w:rsidRDefault="00235626" w:rsidP="00B25B5D">
    <w:pPr>
      <w:pStyle w:val="Footer"/>
      <w:tabs>
        <w:tab w:val="clear" w:pos="4680"/>
        <w:tab w:val="clear" w:pos="9360"/>
        <w:tab w:val="right" w:leader="underscore" w:pos="9072"/>
      </w:tabs>
      <w:jc w:val="right"/>
      <w:rPr>
        <w:sz w:val="16"/>
        <w:szCs w:val="16"/>
      </w:rPr>
    </w:pPr>
    <w:r w:rsidRPr="00AB3096">
      <w:rPr>
        <w:sz w:val="16"/>
        <w:szCs w:val="16"/>
      </w:rPr>
      <w:tab/>
    </w:r>
  </w:p>
  <w:p w:rsidR="00235626" w:rsidRPr="00AB3096" w:rsidRDefault="00235626" w:rsidP="00DC7CF1">
    <w:pPr>
      <w:pStyle w:val="Footer"/>
      <w:tabs>
        <w:tab w:val="clear" w:pos="4680"/>
        <w:tab w:val="clear" w:pos="9360"/>
        <w:tab w:val="right" w:pos="9072"/>
      </w:tabs>
      <w:rPr>
        <w:sz w:val="16"/>
        <w:szCs w:val="16"/>
      </w:rPr>
    </w:pPr>
    <w:r>
      <w:rPr>
        <w:sz w:val="16"/>
        <w:szCs w:val="16"/>
      </w:rPr>
      <w:t xml:space="preserve">5012.086 </w:t>
    </w:r>
    <w:r w:rsidRPr="00BF44E0">
      <w:rPr>
        <w:i/>
        <w:sz w:val="16"/>
        <w:szCs w:val="16"/>
      </w:rPr>
      <w:t>Hazardous Waste Data Summary</w:t>
    </w:r>
    <w:r>
      <w:rPr>
        <w:sz w:val="16"/>
        <w:szCs w:val="16"/>
      </w:rPr>
      <w:tab/>
    </w:r>
    <w:r w:rsidRPr="00AB3096">
      <w:rPr>
        <w:sz w:val="16"/>
        <w:szCs w:val="16"/>
      </w:rPr>
      <w:t xml:space="preserve">page </w:t>
    </w:r>
    <w:sdt>
      <w:sdtPr>
        <w:rPr>
          <w:sz w:val="16"/>
          <w:szCs w:val="16"/>
        </w:rPr>
        <w:id w:val="21059841"/>
        <w:docPartObj>
          <w:docPartGallery w:val="Page Numbers (Bottom of Page)"/>
          <w:docPartUnique/>
        </w:docPartObj>
      </w:sdtPr>
      <w:sdtEndPr>
        <w:rPr>
          <w:noProof/>
        </w:rPr>
      </w:sdtEndPr>
      <w:sdtContent>
        <w:r w:rsidR="00C03A4D" w:rsidRPr="00AB3096">
          <w:rPr>
            <w:sz w:val="16"/>
            <w:szCs w:val="16"/>
          </w:rPr>
          <w:fldChar w:fldCharType="begin"/>
        </w:r>
        <w:r w:rsidRPr="00AB3096">
          <w:rPr>
            <w:sz w:val="16"/>
            <w:szCs w:val="16"/>
          </w:rPr>
          <w:instrText xml:space="preserve"> PAGE   \* MERGEFORMAT </w:instrText>
        </w:r>
        <w:r w:rsidR="00C03A4D" w:rsidRPr="00AB3096">
          <w:rPr>
            <w:sz w:val="16"/>
            <w:szCs w:val="16"/>
          </w:rPr>
          <w:fldChar w:fldCharType="separate"/>
        </w:r>
        <w:r w:rsidR="001F07C5">
          <w:rPr>
            <w:noProof/>
            <w:sz w:val="16"/>
            <w:szCs w:val="16"/>
          </w:rPr>
          <w:t>i</w:t>
        </w:r>
        <w:r w:rsidR="00C03A4D" w:rsidRPr="00AB3096">
          <w:rPr>
            <w:noProof/>
            <w:sz w:val="16"/>
            <w:szCs w:val="16"/>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6" w:rsidRPr="00014C13" w:rsidRDefault="00235626" w:rsidP="003B541B">
    <w:pPr>
      <w:pStyle w:val="Footer"/>
      <w:tabs>
        <w:tab w:val="left" w:pos="7605"/>
        <w:tab w:val="right" w:pos="9072"/>
      </w:tabs>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6" w:rsidRPr="00D2462A" w:rsidRDefault="00235626" w:rsidP="00D2462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6" w:rsidRPr="00D2462A" w:rsidRDefault="00235626" w:rsidP="00D24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35B" w:rsidRDefault="0099035B" w:rsidP="00285EA9">
      <w:r>
        <w:separator/>
      </w:r>
    </w:p>
  </w:footnote>
  <w:footnote w:type="continuationSeparator" w:id="0">
    <w:p w:rsidR="0099035B" w:rsidRDefault="0099035B" w:rsidP="00285EA9">
      <w:r>
        <w:continuationSeparator/>
      </w:r>
    </w:p>
  </w:footnote>
  <w:footnote w:id="1">
    <w:p w:rsidR="00235626" w:rsidRDefault="00235626" w:rsidP="007173FC">
      <w:pPr>
        <w:pStyle w:val="FootnoteText"/>
      </w:pPr>
      <w:r>
        <w:rPr>
          <w:rStyle w:val="FootnoteReference"/>
        </w:rPr>
        <w:footnoteRef/>
      </w:r>
      <w:r>
        <w:t xml:space="preserve"> WA Today newspaper article: </w:t>
      </w:r>
      <w:hyperlink r:id="rId1" w:history="1">
        <w:r w:rsidRPr="008B6136">
          <w:rPr>
            <w:rStyle w:val="Hyperlink"/>
          </w:rPr>
          <w:t>http://www.watoday.com.au/wa-news/stis-spreading-doctors-forced-out-ama-warning-to-fifo-inquiry-20120417-1x4r5.html</w:t>
        </w:r>
      </w:hyperlink>
      <w:r>
        <w:t xml:space="preserve"> </w:t>
      </w:r>
    </w:p>
  </w:footnote>
  <w:footnote w:id="2">
    <w:p w:rsidR="00235626" w:rsidRDefault="00235626" w:rsidP="00B168E7">
      <w:pPr>
        <w:pStyle w:val="FootnoteText"/>
      </w:pPr>
      <w:r>
        <w:rPr>
          <w:rStyle w:val="FootnoteReference"/>
        </w:rPr>
        <w:footnoteRef/>
      </w:r>
      <w:r>
        <w:t xml:space="preserve"> </w:t>
      </w:r>
      <w:hyperlink r:id="rId2" w:history="1">
        <w:r w:rsidRPr="00A60C5D">
          <w:rPr>
            <w:rStyle w:val="Hyperlink"/>
          </w:rPr>
          <w:t>http://www.environment.gov.au/wastepolicy/publications/waste-recycling2011.html</w:t>
        </w:r>
      </w:hyperlink>
      <w:r>
        <w:t xml:space="preserve"> </w:t>
      </w:r>
    </w:p>
  </w:footnote>
  <w:footnote w:id="3">
    <w:p w:rsidR="00235626" w:rsidRDefault="00235626">
      <w:pPr>
        <w:pStyle w:val="FootnoteText"/>
      </w:pPr>
      <w:r>
        <w:rPr>
          <w:rStyle w:val="FootnoteReference"/>
        </w:rPr>
        <w:footnoteRef/>
      </w:r>
      <w:r>
        <w:t xml:space="preserve"> WA Today newspaper article: </w:t>
      </w:r>
      <w:hyperlink r:id="rId3" w:history="1">
        <w:r w:rsidRPr="008B6136">
          <w:rPr>
            <w:rStyle w:val="Hyperlink"/>
          </w:rPr>
          <w:t>http://www.watoday.com.au/wa-news/stis-spreading-doctors-forced-out-ama-warning-to-fifo-inquiry-20120417-1x4r5.html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6" w:rsidRPr="003B541B" w:rsidRDefault="00235626" w:rsidP="00D2462A">
    <w:pPr>
      <w:pStyle w:val="Header"/>
      <w:tabs>
        <w:tab w:val="clear" w:pos="4680"/>
        <w:tab w:val="clear" w:pos="9360"/>
      </w:tabs>
      <w:jc w:val="right"/>
      <w:rPr>
        <w:szCs w:val="16"/>
      </w:rPr>
    </w:pPr>
    <w:r>
      <w:rPr>
        <w:noProof/>
        <w:lang w:eastAsia="en-AU"/>
      </w:rPr>
      <w:drawing>
        <wp:anchor distT="0" distB="0" distL="114300" distR="114300" simplePos="0" relativeHeight="251657728" behindDoc="0" locked="0" layoutInCell="1" allowOverlap="1">
          <wp:simplePos x="0" y="0"/>
          <wp:positionH relativeFrom="column">
            <wp:posOffset>2412365</wp:posOffset>
          </wp:positionH>
          <wp:positionV relativeFrom="paragraph">
            <wp:posOffset>-3810</wp:posOffset>
          </wp:positionV>
          <wp:extent cx="1748155" cy="391795"/>
          <wp:effectExtent l="0" t="0" r="4445" b="8255"/>
          <wp:wrapSquare wrapText="bothSides"/>
          <wp:docPr id="16" name="Picture 16" descr="C:\Users\Joe\Documents\A) BE projects\P459 Hazwaste reporting\Incoming info\Environ.jpg"/>
          <wp:cNvGraphicFramePr/>
          <a:graphic xmlns:a="http://schemas.openxmlformats.org/drawingml/2006/main">
            <a:graphicData uri="http://schemas.openxmlformats.org/drawingml/2006/picture">
              <pic:pic xmlns:pic="http://schemas.openxmlformats.org/drawingml/2006/picture">
                <pic:nvPicPr>
                  <pic:cNvPr id="1" name="Picture 1" descr="C:\Users\Joe\Documents\A) BE projects\P459 Hazwaste reporting\Incoming info\Enviro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8155" cy="391795"/>
                  </a:xfrm>
                  <a:prstGeom prst="rect">
                    <a:avLst/>
                  </a:prstGeom>
                  <a:noFill/>
                  <a:ln>
                    <a:noFill/>
                  </a:ln>
                </pic:spPr>
              </pic:pic>
            </a:graphicData>
          </a:graphic>
        </wp:anchor>
      </w:drawing>
    </w:r>
    <w:r>
      <w:rPr>
        <w:b/>
        <w:noProof/>
        <w:sz w:val="28"/>
        <w:szCs w:val="28"/>
        <w:lang w:eastAsia="en-AU"/>
      </w:rPr>
      <w:drawing>
        <wp:anchor distT="0" distB="0" distL="114300" distR="114300" simplePos="0" relativeHeight="251656704" behindDoc="1" locked="0" layoutInCell="1" allowOverlap="1">
          <wp:simplePos x="0" y="0"/>
          <wp:positionH relativeFrom="column">
            <wp:posOffset>-1080135</wp:posOffset>
          </wp:positionH>
          <wp:positionV relativeFrom="paragraph">
            <wp:posOffset>-360045</wp:posOffset>
          </wp:positionV>
          <wp:extent cx="1078230" cy="10682605"/>
          <wp:effectExtent l="0" t="0" r="0" b="0"/>
          <wp:wrapTight wrapText="bothSides">
            <wp:wrapPolygon edited="0">
              <wp:start x="0" y="0"/>
              <wp:lineTo x="0" y="21570"/>
              <wp:lineTo x="21371" y="21570"/>
              <wp:lineTo x="2137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9 KMH Report Cover cropped v2.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230" cy="10682605"/>
                  </a:xfrm>
                  <a:prstGeom prst="rect">
                    <a:avLst/>
                  </a:prstGeom>
                </pic:spPr>
              </pic:pic>
            </a:graphicData>
          </a:graphic>
        </wp:anchor>
      </w:drawing>
    </w:r>
    <w:r>
      <w:rPr>
        <w:b/>
        <w:noProof/>
        <w:sz w:val="28"/>
        <w:szCs w:val="28"/>
        <w:lang w:eastAsia="en-AU"/>
      </w:rPr>
      <w:drawing>
        <wp:inline distT="0" distB="0" distL="0" distR="0">
          <wp:extent cx="1474615" cy="360000"/>
          <wp:effectExtent l="0" t="0" r="0" b="2540"/>
          <wp:docPr id="11" name="Picture 11" descr="C:\Users\swick\Desktop\KMH_LOGO (3 Colours) for tem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ick\Desktop\KMH_LOGO (3 Colours) for templates.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4615" cy="36000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6" w:rsidRDefault="00C03A4D" w:rsidP="00285EA9">
    <w:pPr>
      <w:pStyle w:val="Header"/>
    </w:pPr>
    <w:r w:rsidRPr="00C03A4D">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left:0;text-align:left;margin-left:0;margin-top:0;width:473.55pt;height:189.4pt;rotation:315;z-index:-251657728;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7E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061E76"/>
    <w:multiLevelType w:val="multilevel"/>
    <w:tmpl w:val="4DE83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5B0281"/>
    <w:multiLevelType w:val="hybridMultilevel"/>
    <w:tmpl w:val="59D48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4D3200"/>
    <w:multiLevelType w:val="hybridMultilevel"/>
    <w:tmpl w:val="AF6C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4C70A3"/>
    <w:multiLevelType w:val="multilevel"/>
    <w:tmpl w:val="8D4889BC"/>
    <w:numStyleLink w:val="Style1"/>
  </w:abstractNum>
  <w:abstractNum w:abstractNumId="5">
    <w:nsid w:val="11756D3D"/>
    <w:multiLevelType w:val="hybridMultilevel"/>
    <w:tmpl w:val="0D4EDC04"/>
    <w:lvl w:ilvl="0" w:tplc="57D4F784">
      <w:start w:val="1"/>
      <w:numFmt w:val="bullet"/>
      <w:pStyle w:val="KMHBulletLevel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nsid w:val="1CB50D37"/>
    <w:multiLevelType w:val="hybridMultilevel"/>
    <w:tmpl w:val="3A5EBC36"/>
    <w:lvl w:ilvl="0" w:tplc="E072156C">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187480"/>
    <w:multiLevelType w:val="hybridMultilevel"/>
    <w:tmpl w:val="257E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BF2EB2"/>
    <w:multiLevelType w:val="hybridMultilevel"/>
    <w:tmpl w:val="EC44A176"/>
    <w:lvl w:ilvl="0" w:tplc="BEDC98BA">
      <w:start w:val="1"/>
      <w:numFmt w:val="bullet"/>
      <w:lvlText w:val=""/>
      <w:lvlJc w:val="left"/>
      <w:pPr>
        <w:ind w:left="720" w:hanging="360"/>
      </w:pPr>
      <w:rPr>
        <w:rFonts w:ascii="Symbol" w:hAnsi="Symbol" w:hint="default"/>
      </w:rPr>
    </w:lvl>
    <w:lvl w:ilvl="1" w:tplc="A3C650CA">
      <w:start w:val="1"/>
      <w:numFmt w:val="bullet"/>
      <w:lvlText w:val=""/>
      <w:lvlJc w:val="left"/>
      <w:pPr>
        <w:ind w:left="1440" w:hanging="360"/>
      </w:pPr>
      <w:rPr>
        <w:rFonts w:ascii="Symbol" w:hAnsi="Symbol" w:hint="default"/>
      </w:rPr>
    </w:lvl>
    <w:lvl w:ilvl="2" w:tplc="A3C650C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D17AE"/>
    <w:multiLevelType w:val="hybridMultilevel"/>
    <w:tmpl w:val="4638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1A7BE5"/>
    <w:multiLevelType w:val="hybridMultilevel"/>
    <w:tmpl w:val="AE323000"/>
    <w:lvl w:ilvl="0" w:tplc="EF8C7EF8">
      <w:start w:val="1"/>
      <w:numFmt w:val="bullet"/>
      <w:lvlText w:val=""/>
      <w:lvlJc w:val="left"/>
      <w:pPr>
        <w:ind w:left="360" w:hanging="360"/>
      </w:pPr>
      <w:rPr>
        <w:rFonts w:ascii="Symbol" w:hAnsi="Symbol" w:hint="default"/>
      </w:rPr>
    </w:lvl>
    <w:lvl w:ilvl="1" w:tplc="A3C650CA">
      <w:start w:val="1"/>
      <w:numFmt w:val="bullet"/>
      <w:lvlText w:val=""/>
      <w:lvlJc w:val="left"/>
      <w:pPr>
        <w:ind w:left="1080" w:hanging="360"/>
      </w:pPr>
      <w:rPr>
        <w:rFonts w:ascii="Symbol" w:hAnsi="Symbol" w:hint="default"/>
      </w:rPr>
    </w:lvl>
    <w:lvl w:ilvl="2" w:tplc="A3C650CA">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A07EE2"/>
    <w:multiLevelType w:val="multilevel"/>
    <w:tmpl w:val="0EF66CCC"/>
    <w:lvl w:ilvl="0">
      <w:start w:val="1"/>
      <w:numFmt w:val="decimal"/>
      <w:pStyle w:val="KMHNumberHeading1"/>
      <w:lvlText w:val="%1."/>
      <w:lvlJc w:val="left"/>
      <w:pPr>
        <w:ind w:left="502" w:hanging="360"/>
      </w:pPr>
      <w:rPr>
        <w:rFonts w:ascii="Arial" w:eastAsia="Calibri" w:hAnsi="Arial" w:cs="Times New Roman"/>
      </w:rPr>
    </w:lvl>
    <w:lvl w:ilvl="1">
      <w:start w:val="1"/>
      <w:numFmt w:val="decimal"/>
      <w:pStyle w:val="KMHNumberHeading2"/>
      <w:lvlText w:val="%1.%2."/>
      <w:lvlJc w:val="left"/>
      <w:pPr>
        <w:ind w:left="574" w:hanging="432"/>
      </w:pPr>
      <w:rPr>
        <w:rFonts w:ascii="Arial" w:hAnsi="Arial" w:cs="Arial" w:hint="default"/>
        <w:b/>
        <w:bCs w:val="0"/>
        <w:i w:val="0"/>
        <w:iCs w:val="0"/>
        <w:caps w:val="0"/>
        <w:smallCaps w:val="0"/>
        <w:strike w:val="0"/>
        <w:dstrike w:val="0"/>
        <w:noProof w:val="0"/>
        <w:snapToGrid w:val="0"/>
        <w:vanish w:val="0"/>
        <w:color w:val="235F2A"/>
        <w:spacing w:val="0"/>
        <w:w w:val="0"/>
        <w:kern w:val="0"/>
        <w:position w:val="0"/>
        <w:szCs w:val="0"/>
        <w:u w:val="none"/>
        <w:vertAlign w:val="baseline"/>
        <w:em w:val="none"/>
      </w:rPr>
    </w:lvl>
    <w:lvl w:ilvl="2">
      <w:start w:val="1"/>
      <w:numFmt w:val="decimal"/>
      <w:pStyle w:val="KMHNumberHeading3"/>
      <w:lvlText w:val="%1.%2.%3."/>
      <w:lvlJc w:val="left"/>
      <w:pPr>
        <w:ind w:left="788"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nsid w:val="40B526C7"/>
    <w:multiLevelType w:val="hybridMultilevel"/>
    <w:tmpl w:val="91E43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475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F26D6F"/>
    <w:multiLevelType w:val="hybridMultilevel"/>
    <w:tmpl w:val="0A32888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nsid w:val="51DC27E6"/>
    <w:multiLevelType w:val="multilevel"/>
    <w:tmpl w:val="8D4889BC"/>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BulletLevel3"/>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AF7729B"/>
    <w:multiLevelType w:val="hybridMultilevel"/>
    <w:tmpl w:val="C5E2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C542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FD82FE5"/>
    <w:multiLevelType w:val="hybridMultilevel"/>
    <w:tmpl w:val="61824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0D29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85582"/>
    <w:multiLevelType w:val="hybridMultilevel"/>
    <w:tmpl w:val="3CD4E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EB3565"/>
    <w:multiLevelType w:val="hybridMultilevel"/>
    <w:tmpl w:val="556ECAC8"/>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2">
    <w:nsid w:val="6D4005AF"/>
    <w:multiLevelType w:val="multilevel"/>
    <w:tmpl w:val="7370F3DE"/>
    <w:lvl w:ilvl="0">
      <w:start w:val="1"/>
      <w:numFmt w:val="bullet"/>
      <w:pStyle w:val="KMHBulletLevel1"/>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3D90F41"/>
    <w:multiLevelType w:val="hybridMultilevel"/>
    <w:tmpl w:val="C4322CA0"/>
    <w:lvl w:ilvl="0" w:tplc="EE942D76">
      <w:start w:val="1"/>
      <w:numFmt w:val="bullet"/>
      <w:lvlText w:val=""/>
      <w:lvlJc w:val="left"/>
      <w:pPr>
        <w:ind w:left="1154" w:hanging="360"/>
      </w:pPr>
      <w:rPr>
        <w:rFonts w:ascii="Symbol" w:eastAsia="Calibri" w:hAnsi="Symbol" w:cs="Times New Roman" w:hint="default"/>
        <w:b w:val="0"/>
      </w:rPr>
    </w:lvl>
    <w:lvl w:ilvl="1" w:tplc="A3C650CA">
      <w:start w:val="1"/>
      <w:numFmt w:val="bullet"/>
      <w:lvlText w:val=""/>
      <w:lvlJc w:val="left"/>
      <w:pPr>
        <w:ind w:left="1874" w:hanging="360"/>
      </w:pPr>
      <w:rPr>
        <w:rFonts w:ascii="Symbol" w:hAnsi="Symbol" w:hint="default"/>
      </w:rPr>
    </w:lvl>
    <w:lvl w:ilvl="2" w:tplc="A3C650CA">
      <w:start w:val="1"/>
      <w:numFmt w:val="bullet"/>
      <w:lvlText w:val=""/>
      <w:lvlJc w:val="left"/>
      <w:pPr>
        <w:ind w:left="2594"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nsid w:val="78ED0133"/>
    <w:multiLevelType w:val="hybridMultilevel"/>
    <w:tmpl w:val="64C2E49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nsid w:val="7962666B"/>
    <w:multiLevelType w:val="hybridMultilevel"/>
    <w:tmpl w:val="1CDC7C14"/>
    <w:lvl w:ilvl="0" w:tplc="F890508A">
      <w:numFmt w:val="bullet"/>
      <w:lvlText w:val="-"/>
      <w:lvlJc w:val="left"/>
      <w:pPr>
        <w:ind w:left="720" w:hanging="360"/>
      </w:pPr>
      <w:rPr>
        <w:rFonts w:ascii="Arial" w:eastAsia="Calibri" w:hAnsi="Arial" w:cs="Arial" w:hint="default"/>
        <w:b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BE97F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3E6DE0"/>
    <w:multiLevelType w:val="hybridMultilevel"/>
    <w:tmpl w:val="0AE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F9592E"/>
    <w:multiLevelType w:val="multilevel"/>
    <w:tmpl w:val="4DE83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3"/>
  </w:num>
  <w:num w:numId="3">
    <w:abstractNumId w:val="18"/>
  </w:num>
  <w:num w:numId="4">
    <w:abstractNumId w:val="10"/>
  </w:num>
  <w:num w:numId="5">
    <w:abstractNumId w:val="17"/>
  </w:num>
  <w:num w:numId="6">
    <w:abstractNumId w:val="8"/>
  </w:num>
  <w:num w:numId="7">
    <w:abstractNumId w:val="15"/>
  </w:num>
  <w:num w:numId="8">
    <w:abstractNumId w:val="4"/>
  </w:num>
  <w:num w:numId="9">
    <w:abstractNumId w:val="0"/>
  </w:num>
  <w:num w:numId="10">
    <w:abstractNumId w:val="27"/>
  </w:num>
  <w:num w:numId="11">
    <w:abstractNumId w:val="22"/>
  </w:num>
  <w:num w:numId="12">
    <w:abstractNumId w:val="19"/>
  </w:num>
  <w:num w:numId="13">
    <w:abstractNumId w:val="26"/>
  </w:num>
  <w:num w:numId="14">
    <w:abstractNumId w:val="13"/>
  </w:num>
  <w:num w:numId="15">
    <w:abstractNumId w:val="28"/>
  </w:num>
  <w:num w:numId="16">
    <w:abstractNumId w:val="1"/>
  </w:num>
  <w:num w:numId="17">
    <w:abstractNumId w:val="11"/>
  </w:num>
  <w:num w:numId="18">
    <w:abstractNumId w:val="11"/>
  </w:num>
  <w:num w:numId="19">
    <w:abstractNumId w:val="11"/>
  </w:num>
  <w:num w:numId="20">
    <w:abstractNumId w:val="5"/>
  </w:num>
  <w:num w:numId="21">
    <w:abstractNumId w:val="12"/>
  </w:num>
  <w:num w:numId="22">
    <w:abstractNumId w:val="2"/>
  </w:num>
  <w:num w:numId="23">
    <w:abstractNumId w:val="3"/>
  </w:num>
  <w:num w:numId="24">
    <w:abstractNumId w:val="21"/>
  </w:num>
  <w:num w:numId="25">
    <w:abstractNumId w:val="24"/>
  </w:num>
  <w:num w:numId="26">
    <w:abstractNumId w:val="16"/>
  </w:num>
  <w:num w:numId="27">
    <w:abstractNumId w:val="11"/>
  </w:num>
  <w:num w:numId="28">
    <w:abstractNumId w:val="11"/>
  </w:num>
  <w:num w:numId="29">
    <w:abstractNumId w:val="11"/>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0"/>
  </w:num>
  <w:num w:numId="34">
    <w:abstractNumId w:val="6"/>
  </w:num>
  <w:num w:numId="35">
    <w:abstractNumId w:val="25"/>
  </w:num>
  <w:num w:numId="36">
    <w:abstractNumId w:val="14"/>
  </w:num>
  <w:num w:numId="37">
    <w:abstractNumId w:val="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2"/>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rsids>
    <w:rsidRoot w:val="00A8721A"/>
    <w:rsid w:val="000010EE"/>
    <w:rsid w:val="0000260C"/>
    <w:rsid w:val="000057EA"/>
    <w:rsid w:val="00010D97"/>
    <w:rsid w:val="00011694"/>
    <w:rsid w:val="00014C13"/>
    <w:rsid w:val="00021847"/>
    <w:rsid w:val="000228DD"/>
    <w:rsid w:val="000304AC"/>
    <w:rsid w:val="0003068E"/>
    <w:rsid w:val="00031747"/>
    <w:rsid w:val="00034F4A"/>
    <w:rsid w:val="00035316"/>
    <w:rsid w:val="00044772"/>
    <w:rsid w:val="000530EF"/>
    <w:rsid w:val="00053E42"/>
    <w:rsid w:val="000626B2"/>
    <w:rsid w:val="00062FB3"/>
    <w:rsid w:val="00070462"/>
    <w:rsid w:val="0007230D"/>
    <w:rsid w:val="0007373B"/>
    <w:rsid w:val="00075ED7"/>
    <w:rsid w:val="00077CF1"/>
    <w:rsid w:val="000865FA"/>
    <w:rsid w:val="0009051C"/>
    <w:rsid w:val="00096402"/>
    <w:rsid w:val="000A1DAC"/>
    <w:rsid w:val="000A439E"/>
    <w:rsid w:val="000A7A5C"/>
    <w:rsid w:val="000B7A8E"/>
    <w:rsid w:val="000C1C76"/>
    <w:rsid w:val="000C5560"/>
    <w:rsid w:val="000C7035"/>
    <w:rsid w:val="000D1082"/>
    <w:rsid w:val="000E0D25"/>
    <w:rsid w:val="000E4F07"/>
    <w:rsid w:val="000E515F"/>
    <w:rsid w:val="000E5496"/>
    <w:rsid w:val="000F088B"/>
    <w:rsid w:val="000F5536"/>
    <w:rsid w:val="00101EA2"/>
    <w:rsid w:val="00103D62"/>
    <w:rsid w:val="00103F49"/>
    <w:rsid w:val="001041D6"/>
    <w:rsid w:val="001108A5"/>
    <w:rsid w:val="00111D94"/>
    <w:rsid w:val="0011490B"/>
    <w:rsid w:val="001221BE"/>
    <w:rsid w:val="00133002"/>
    <w:rsid w:val="00133A19"/>
    <w:rsid w:val="00134033"/>
    <w:rsid w:val="0013543A"/>
    <w:rsid w:val="00136B95"/>
    <w:rsid w:val="00140D81"/>
    <w:rsid w:val="001412D5"/>
    <w:rsid w:val="001616AB"/>
    <w:rsid w:val="00172562"/>
    <w:rsid w:val="00173F35"/>
    <w:rsid w:val="00174C60"/>
    <w:rsid w:val="00177591"/>
    <w:rsid w:val="00180D64"/>
    <w:rsid w:val="0018220F"/>
    <w:rsid w:val="0018416C"/>
    <w:rsid w:val="001854A0"/>
    <w:rsid w:val="00186129"/>
    <w:rsid w:val="00186397"/>
    <w:rsid w:val="0019201C"/>
    <w:rsid w:val="0019259B"/>
    <w:rsid w:val="00195ABA"/>
    <w:rsid w:val="00197227"/>
    <w:rsid w:val="001973C3"/>
    <w:rsid w:val="001A05F6"/>
    <w:rsid w:val="001A2062"/>
    <w:rsid w:val="001A3797"/>
    <w:rsid w:val="001A73F0"/>
    <w:rsid w:val="001B4061"/>
    <w:rsid w:val="001B7615"/>
    <w:rsid w:val="001C00F0"/>
    <w:rsid w:val="001C0606"/>
    <w:rsid w:val="001C0D17"/>
    <w:rsid w:val="001C0E5E"/>
    <w:rsid w:val="001C1FB0"/>
    <w:rsid w:val="001C6BDE"/>
    <w:rsid w:val="001D16B5"/>
    <w:rsid w:val="001D2D04"/>
    <w:rsid w:val="001D3D21"/>
    <w:rsid w:val="001D62E9"/>
    <w:rsid w:val="001E3A1B"/>
    <w:rsid w:val="001E7432"/>
    <w:rsid w:val="001F07C5"/>
    <w:rsid w:val="001F2E32"/>
    <w:rsid w:val="001F4D34"/>
    <w:rsid w:val="00205B7A"/>
    <w:rsid w:val="00205C1C"/>
    <w:rsid w:val="00206479"/>
    <w:rsid w:val="00206E9A"/>
    <w:rsid w:val="00207CAA"/>
    <w:rsid w:val="00221D2E"/>
    <w:rsid w:val="00223466"/>
    <w:rsid w:val="00223D33"/>
    <w:rsid w:val="0023129F"/>
    <w:rsid w:val="00235626"/>
    <w:rsid w:val="00235D89"/>
    <w:rsid w:val="0024312B"/>
    <w:rsid w:val="00256B07"/>
    <w:rsid w:val="002600FC"/>
    <w:rsid w:val="002615CF"/>
    <w:rsid w:val="00265F78"/>
    <w:rsid w:val="00266EED"/>
    <w:rsid w:val="00267E07"/>
    <w:rsid w:val="002728F1"/>
    <w:rsid w:val="00277A3D"/>
    <w:rsid w:val="002825F7"/>
    <w:rsid w:val="00283FE0"/>
    <w:rsid w:val="00284047"/>
    <w:rsid w:val="00285EA9"/>
    <w:rsid w:val="00292A4F"/>
    <w:rsid w:val="0029357B"/>
    <w:rsid w:val="00293EB3"/>
    <w:rsid w:val="002952FD"/>
    <w:rsid w:val="002979D5"/>
    <w:rsid w:val="002B0527"/>
    <w:rsid w:val="002B1D40"/>
    <w:rsid w:val="002B604B"/>
    <w:rsid w:val="002B7EEC"/>
    <w:rsid w:val="002C4BAC"/>
    <w:rsid w:val="002D052B"/>
    <w:rsid w:val="002D225F"/>
    <w:rsid w:val="002D61D6"/>
    <w:rsid w:val="002D762C"/>
    <w:rsid w:val="002E145C"/>
    <w:rsid w:val="002E531A"/>
    <w:rsid w:val="002E6714"/>
    <w:rsid w:val="0030267E"/>
    <w:rsid w:val="00303BBC"/>
    <w:rsid w:val="003062A9"/>
    <w:rsid w:val="00310F1B"/>
    <w:rsid w:val="00313A87"/>
    <w:rsid w:val="00322714"/>
    <w:rsid w:val="003261D0"/>
    <w:rsid w:val="00327DC5"/>
    <w:rsid w:val="00332081"/>
    <w:rsid w:val="003343CA"/>
    <w:rsid w:val="00342D07"/>
    <w:rsid w:val="00346A88"/>
    <w:rsid w:val="003523D2"/>
    <w:rsid w:val="00357ECC"/>
    <w:rsid w:val="0036046C"/>
    <w:rsid w:val="00363455"/>
    <w:rsid w:val="00370D89"/>
    <w:rsid w:val="003765D5"/>
    <w:rsid w:val="00385ACB"/>
    <w:rsid w:val="00385D0A"/>
    <w:rsid w:val="003874D7"/>
    <w:rsid w:val="00392CF1"/>
    <w:rsid w:val="00392E8F"/>
    <w:rsid w:val="00393D8A"/>
    <w:rsid w:val="0039758A"/>
    <w:rsid w:val="003A2E00"/>
    <w:rsid w:val="003B5099"/>
    <w:rsid w:val="003B541B"/>
    <w:rsid w:val="003B606C"/>
    <w:rsid w:val="003C3672"/>
    <w:rsid w:val="003C4602"/>
    <w:rsid w:val="003C5907"/>
    <w:rsid w:val="003C5C29"/>
    <w:rsid w:val="003D1276"/>
    <w:rsid w:val="003D1BE3"/>
    <w:rsid w:val="003D287A"/>
    <w:rsid w:val="003D510A"/>
    <w:rsid w:val="003D6A1E"/>
    <w:rsid w:val="003E4F82"/>
    <w:rsid w:val="003E79A3"/>
    <w:rsid w:val="003F1DA8"/>
    <w:rsid w:val="003F32CD"/>
    <w:rsid w:val="003F4BE7"/>
    <w:rsid w:val="0040590A"/>
    <w:rsid w:val="00406877"/>
    <w:rsid w:val="004147AF"/>
    <w:rsid w:val="004210B5"/>
    <w:rsid w:val="0042269F"/>
    <w:rsid w:val="00425766"/>
    <w:rsid w:val="004270DC"/>
    <w:rsid w:val="00435106"/>
    <w:rsid w:val="00441546"/>
    <w:rsid w:val="00442C29"/>
    <w:rsid w:val="00444424"/>
    <w:rsid w:val="00444E3A"/>
    <w:rsid w:val="004559C7"/>
    <w:rsid w:val="0045609D"/>
    <w:rsid w:val="00460043"/>
    <w:rsid w:val="004622B1"/>
    <w:rsid w:val="00464E71"/>
    <w:rsid w:val="00466928"/>
    <w:rsid w:val="004734AD"/>
    <w:rsid w:val="00475132"/>
    <w:rsid w:val="004763B4"/>
    <w:rsid w:val="00476719"/>
    <w:rsid w:val="00481720"/>
    <w:rsid w:val="0049085A"/>
    <w:rsid w:val="00490B57"/>
    <w:rsid w:val="00491B29"/>
    <w:rsid w:val="0049309D"/>
    <w:rsid w:val="004A6BCB"/>
    <w:rsid w:val="004B2C72"/>
    <w:rsid w:val="004B2E3D"/>
    <w:rsid w:val="004B2EF5"/>
    <w:rsid w:val="004B34AA"/>
    <w:rsid w:val="004B774B"/>
    <w:rsid w:val="004C0C30"/>
    <w:rsid w:val="004C18C4"/>
    <w:rsid w:val="004C3D6D"/>
    <w:rsid w:val="004C4D7C"/>
    <w:rsid w:val="004D4621"/>
    <w:rsid w:val="004D6AE3"/>
    <w:rsid w:val="004E1ABA"/>
    <w:rsid w:val="004E4EA0"/>
    <w:rsid w:val="004F1ED9"/>
    <w:rsid w:val="004F5985"/>
    <w:rsid w:val="0050151C"/>
    <w:rsid w:val="00501769"/>
    <w:rsid w:val="0050289E"/>
    <w:rsid w:val="00506F3E"/>
    <w:rsid w:val="00512E71"/>
    <w:rsid w:val="00516F17"/>
    <w:rsid w:val="005411F7"/>
    <w:rsid w:val="00544325"/>
    <w:rsid w:val="005444C0"/>
    <w:rsid w:val="00547114"/>
    <w:rsid w:val="005527CF"/>
    <w:rsid w:val="00554938"/>
    <w:rsid w:val="00560E8D"/>
    <w:rsid w:val="00564243"/>
    <w:rsid w:val="00566043"/>
    <w:rsid w:val="00566EBB"/>
    <w:rsid w:val="00570951"/>
    <w:rsid w:val="00573B86"/>
    <w:rsid w:val="00582B80"/>
    <w:rsid w:val="00583A48"/>
    <w:rsid w:val="00584DC6"/>
    <w:rsid w:val="00586B37"/>
    <w:rsid w:val="0058764F"/>
    <w:rsid w:val="00595A3F"/>
    <w:rsid w:val="0059763E"/>
    <w:rsid w:val="005977C6"/>
    <w:rsid w:val="005A0AB5"/>
    <w:rsid w:val="005A209B"/>
    <w:rsid w:val="005A5E3F"/>
    <w:rsid w:val="005B207B"/>
    <w:rsid w:val="005B21A8"/>
    <w:rsid w:val="005B33EB"/>
    <w:rsid w:val="005B7F2A"/>
    <w:rsid w:val="005C057B"/>
    <w:rsid w:val="005C5C91"/>
    <w:rsid w:val="005D37A6"/>
    <w:rsid w:val="005D529A"/>
    <w:rsid w:val="005D5E57"/>
    <w:rsid w:val="005E1CF6"/>
    <w:rsid w:val="005E657C"/>
    <w:rsid w:val="005F265D"/>
    <w:rsid w:val="005F3539"/>
    <w:rsid w:val="005F77D0"/>
    <w:rsid w:val="00601B86"/>
    <w:rsid w:val="0061153E"/>
    <w:rsid w:val="0061267F"/>
    <w:rsid w:val="00612B23"/>
    <w:rsid w:val="0061433A"/>
    <w:rsid w:val="00626609"/>
    <w:rsid w:val="00632415"/>
    <w:rsid w:val="00640044"/>
    <w:rsid w:val="0064258F"/>
    <w:rsid w:val="00653B3A"/>
    <w:rsid w:val="00656DEB"/>
    <w:rsid w:val="00663D59"/>
    <w:rsid w:val="006679CC"/>
    <w:rsid w:val="00670504"/>
    <w:rsid w:val="00680E11"/>
    <w:rsid w:val="00682AD8"/>
    <w:rsid w:val="00685B98"/>
    <w:rsid w:val="00690896"/>
    <w:rsid w:val="00692B6D"/>
    <w:rsid w:val="00694BBF"/>
    <w:rsid w:val="00695956"/>
    <w:rsid w:val="00696ADB"/>
    <w:rsid w:val="006A203B"/>
    <w:rsid w:val="006A2C4E"/>
    <w:rsid w:val="006B5843"/>
    <w:rsid w:val="006B6BC9"/>
    <w:rsid w:val="006C08FC"/>
    <w:rsid w:val="006C38D9"/>
    <w:rsid w:val="006D0864"/>
    <w:rsid w:val="006D2ABD"/>
    <w:rsid w:val="006D2DAE"/>
    <w:rsid w:val="006D2FAE"/>
    <w:rsid w:val="006E522B"/>
    <w:rsid w:val="006E7254"/>
    <w:rsid w:val="0070044D"/>
    <w:rsid w:val="00700A59"/>
    <w:rsid w:val="00700D68"/>
    <w:rsid w:val="00701116"/>
    <w:rsid w:val="00706550"/>
    <w:rsid w:val="00711293"/>
    <w:rsid w:val="007132BE"/>
    <w:rsid w:val="00715F53"/>
    <w:rsid w:val="00716A88"/>
    <w:rsid w:val="00716BCB"/>
    <w:rsid w:val="00716EB7"/>
    <w:rsid w:val="007173FC"/>
    <w:rsid w:val="00726E7E"/>
    <w:rsid w:val="00727CC0"/>
    <w:rsid w:val="00732DD1"/>
    <w:rsid w:val="00737992"/>
    <w:rsid w:val="00741E38"/>
    <w:rsid w:val="00742120"/>
    <w:rsid w:val="00743232"/>
    <w:rsid w:val="00745D2D"/>
    <w:rsid w:val="007477D7"/>
    <w:rsid w:val="00757347"/>
    <w:rsid w:val="007578A4"/>
    <w:rsid w:val="00760316"/>
    <w:rsid w:val="00761524"/>
    <w:rsid w:val="00781A9D"/>
    <w:rsid w:val="00785EA8"/>
    <w:rsid w:val="00786908"/>
    <w:rsid w:val="00790517"/>
    <w:rsid w:val="007A401B"/>
    <w:rsid w:val="007A443C"/>
    <w:rsid w:val="007A71B9"/>
    <w:rsid w:val="007B0316"/>
    <w:rsid w:val="007C099D"/>
    <w:rsid w:val="007C6A3A"/>
    <w:rsid w:val="007D1CD5"/>
    <w:rsid w:val="007D409C"/>
    <w:rsid w:val="007D7184"/>
    <w:rsid w:val="007E416B"/>
    <w:rsid w:val="007F294A"/>
    <w:rsid w:val="00802100"/>
    <w:rsid w:val="00803708"/>
    <w:rsid w:val="008050D4"/>
    <w:rsid w:val="00806BE7"/>
    <w:rsid w:val="00810FD1"/>
    <w:rsid w:val="00824B6F"/>
    <w:rsid w:val="00824FF1"/>
    <w:rsid w:val="00825916"/>
    <w:rsid w:val="008327EC"/>
    <w:rsid w:val="008345EE"/>
    <w:rsid w:val="00844B75"/>
    <w:rsid w:val="0084610C"/>
    <w:rsid w:val="008472C6"/>
    <w:rsid w:val="00851FE7"/>
    <w:rsid w:val="008524A9"/>
    <w:rsid w:val="00857B3D"/>
    <w:rsid w:val="0086054E"/>
    <w:rsid w:val="00863A70"/>
    <w:rsid w:val="00864264"/>
    <w:rsid w:val="00871169"/>
    <w:rsid w:val="008720DA"/>
    <w:rsid w:val="00873C5D"/>
    <w:rsid w:val="00882F22"/>
    <w:rsid w:val="00885D68"/>
    <w:rsid w:val="00893626"/>
    <w:rsid w:val="008A0442"/>
    <w:rsid w:val="008B2915"/>
    <w:rsid w:val="008B4D92"/>
    <w:rsid w:val="008B67C3"/>
    <w:rsid w:val="008C5876"/>
    <w:rsid w:val="008C72D2"/>
    <w:rsid w:val="008C7C61"/>
    <w:rsid w:val="008F41FF"/>
    <w:rsid w:val="008F7577"/>
    <w:rsid w:val="0090278F"/>
    <w:rsid w:val="00905737"/>
    <w:rsid w:val="00913B57"/>
    <w:rsid w:val="00923D34"/>
    <w:rsid w:val="00933C34"/>
    <w:rsid w:val="009341CB"/>
    <w:rsid w:val="0094218D"/>
    <w:rsid w:val="00942BAA"/>
    <w:rsid w:val="00945DDB"/>
    <w:rsid w:val="00954EB9"/>
    <w:rsid w:val="00960361"/>
    <w:rsid w:val="00960580"/>
    <w:rsid w:val="00963A3C"/>
    <w:rsid w:val="00964B46"/>
    <w:rsid w:val="00964F2F"/>
    <w:rsid w:val="0097266D"/>
    <w:rsid w:val="0097403D"/>
    <w:rsid w:val="00975422"/>
    <w:rsid w:val="00975CFF"/>
    <w:rsid w:val="0097656D"/>
    <w:rsid w:val="009775F7"/>
    <w:rsid w:val="00983748"/>
    <w:rsid w:val="00983AAC"/>
    <w:rsid w:val="00984564"/>
    <w:rsid w:val="00984DF8"/>
    <w:rsid w:val="00986F03"/>
    <w:rsid w:val="0099035B"/>
    <w:rsid w:val="00991062"/>
    <w:rsid w:val="00992534"/>
    <w:rsid w:val="00992CC4"/>
    <w:rsid w:val="009977A4"/>
    <w:rsid w:val="009A2BAD"/>
    <w:rsid w:val="009A5453"/>
    <w:rsid w:val="009A54F5"/>
    <w:rsid w:val="009C35CF"/>
    <w:rsid w:val="009C55DC"/>
    <w:rsid w:val="009D35E1"/>
    <w:rsid w:val="009E218A"/>
    <w:rsid w:val="009E3181"/>
    <w:rsid w:val="009F05FE"/>
    <w:rsid w:val="009F072F"/>
    <w:rsid w:val="009F26BF"/>
    <w:rsid w:val="009F346A"/>
    <w:rsid w:val="009F77A9"/>
    <w:rsid w:val="00A0130F"/>
    <w:rsid w:val="00A01FEB"/>
    <w:rsid w:val="00A04EFF"/>
    <w:rsid w:val="00A06B57"/>
    <w:rsid w:val="00A209DF"/>
    <w:rsid w:val="00A21A8C"/>
    <w:rsid w:val="00A21F18"/>
    <w:rsid w:val="00A2445D"/>
    <w:rsid w:val="00A246C0"/>
    <w:rsid w:val="00A25DC7"/>
    <w:rsid w:val="00A265F6"/>
    <w:rsid w:val="00A27A5C"/>
    <w:rsid w:val="00A32C7C"/>
    <w:rsid w:val="00A40240"/>
    <w:rsid w:val="00A43514"/>
    <w:rsid w:val="00A4446B"/>
    <w:rsid w:val="00A44AF3"/>
    <w:rsid w:val="00A44E52"/>
    <w:rsid w:val="00A45CF4"/>
    <w:rsid w:val="00A472CC"/>
    <w:rsid w:val="00A527F1"/>
    <w:rsid w:val="00A5319D"/>
    <w:rsid w:val="00A601FA"/>
    <w:rsid w:val="00A7327B"/>
    <w:rsid w:val="00A77582"/>
    <w:rsid w:val="00A778B1"/>
    <w:rsid w:val="00A83639"/>
    <w:rsid w:val="00A8721A"/>
    <w:rsid w:val="00A87AEC"/>
    <w:rsid w:val="00A97CF1"/>
    <w:rsid w:val="00A97DBC"/>
    <w:rsid w:val="00AA0548"/>
    <w:rsid w:val="00AA0DAE"/>
    <w:rsid w:val="00AA131D"/>
    <w:rsid w:val="00AA5308"/>
    <w:rsid w:val="00AA758A"/>
    <w:rsid w:val="00AB0E19"/>
    <w:rsid w:val="00AB3096"/>
    <w:rsid w:val="00AC5178"/>
    <w:rsid w:val="00AD20AF"/>
    <w:rsid w:val="00AE04B8"/>
    <w:rsid w:val="00AE3F1D"/>
    <w:rsid w:val="00AF5701"/>
    <w:rsid w:val="00B00A50"/>
    <w:rsid w:val="00B135E2"/>
    <w:rsid w:val="00B138A8"/>
    <w:rsid w:val="00B14B3B"/>
    <w:rsid w:val="00B167B6"/>
    <w:rsid w:val="00B168E7"/>
    <w:rsid w:val="00B178AA"/>
    <w:rsid w:val="00B20989"/>
    <w:rsid w:val="00B21ECB"/>
    <w:rsid w:val="00B25B5D"/>
    <w:rsid w:val="00B25F43"/>
    <w:rsid w:val="00B33B82"/>
    <w:rsid w:val="00B36D5A"/>
    <w:rsid w:val="00B41AC7"/>
    <w:rsid w:val="00B44EE9"/>
    <w:rsid w:val="00B51AF9"/>
    <w:rsid w:val="00B52990"/>
    <w:rsid w:val="00B602E9"/>
    <w:rsid w:val="00B608E3"/>
    <w:rsid w:val="00B62102"/>
    <w:rsid w:val="00B630B0"/>
    <w:rsid w:val="00B73D23"/>
    <w:rsid w:val="00B86B40"/>
    <w:rsid w:val="00B937F7"/>
    <w:rsid w:val="00BA0C07"/>
    <w:rsid w:val="00BA2DD1"/>
    <w:rsid w:val="00BA6927"/>
    <w:rsid w:val="00BB7AFE"/>
    <w:rsid w:val="00BC49C9"/>
    <w:rsid w:val="00BC4FBC"/>
    <w:rsid w:val="00BC5121"/>
    <w:rsid w:val="00BC618C"/>
    <w:rsid w:val="00BC6F53"/>
    <w:rsid w:val="00BD4A2D"/>
    <w:rsid w:val="00BD6FE3"/>
    <w:rsid w:val="00BD7EAB"/>
    <w:rsid w:val="00BE0D64"/>
    <w:rsid w:val="00BE566D"/>
    <w:rsid w:val="00BE58C1"/>
    <w:rsid w:val="00BF0949"/>
    <w:rsid w:val="00BF1703"/>
    <w:rsid w:val="00BF27F4"/>
    <w:rsid w:val="00BF3425"/>
    <w:rsid w:val="00BF44E0"/>
    <w:rsid w:val="00C0212C"/>
    <w:rsid w:val="00C03371"/>
    <w:rsid w:val="00C03A4D"/>
    <w:rsid w:val="00C03ACD"/>
    <w:rsid w:val="00C06591"/>
    <w:rsid w:val="00C06CFF"/>
    <w:rsid w:val="00C078A7"/>
    <w:rsid w:val="00C07E75"/>
    <w:rsid w:val="00C13CA1"/>
    <w:rsid w:val="00C14E2E"/>
    <w:rsid w:val="00C209F3"/>
    <w:rsid w:val="00C2337A"/>
    <w:rsid w:val="00C25A2C"/>
    <w:rsid w:val="00C2630A"/>
    <w:rsid w:val="00C308DB"/>
    <w:rsid w:val="00C346D1"/>
    <w:rsid w:val="00C524E0"/>
    <w:rsid w:val="00C70FF1"/>
    <w:rsid w:val="00C71A0F"/>
    <w:rsid w:val="00C74DDF"/>
    <w:rsid w:val="00C871BA"/>
    <w:rsid w:val="00C928FD"/>
    <w:rsid w:val="00C95585"/>
    <w:rsid w:val="00CA6CF5"/>
    <w:rsid w:val="00CB42E3"/>
    <w:rsid w:val="00CB62B6"/>
    <w:rsid w:val="00CC0071"/>
    <w:rsid w:val="00CC7758"/>
    <w:rsid w:val="00CE16A7"/>
    <w:rsid w:val="00CE1AFB"/>
    <w:rsid w:val="00CE542E"/>
    <w:rsid w:val="00CE590B"/>
    <w:rsid w:val="00CF3323"/>
    <w:rsid w:val="00CF34CE"/>
    <w:rsid w:val="00CF38EA"/>
    <w:rsid w:val="00CF74E6"/>
    <w:rsid w:val="00D1430A"/>
    <w:rsid w:val="00D1697C"/>
    <w:rsid w:val="00D17737"/>
    <w:rsid w:val="00D17E26"/>
    <w:rsid w:val="00D20A65"/>
    <w:rsid w:val="00D2462A"/>
    <w:rsid w:val="00D263CD"/>
    <w:rsid w:val="00D30110"/>
    <w:rsid w:val="00D37EC8"/>
    <w:rsid w:val="00D43911"/>
    <w:rsid w:val="00D47314"/>
    <w:rsid w:val="00D50663"/>
    <w:rsid w:val="00D5777F"/>
    <w:rsid w:val="00D60814"/>
    <w:rsid w:val="00D609E9"/>
    <w:rsid w:val="00D613F8"/>
    <w:rsid w:val="00D63BD0"/>
    <w:rsid w:val="00D64DFA"/>
    <w:rsid w:val="00D80ED9"/>
    <w:rsid w:val="00D8269A"/>
    <w:rsid w:val="00D87583"/>
    <w:rsid w:val="00D913AE"/>
    <w:rsid w:val="00D92A67"/>
    <w:rsid w:val="00D93BDC"/>
    <w:rsid w:val="00DA0C4E"/>
    <w:rsid w:val="00DA5F72"/>
    <w:rsid w:val="00DB08DD"/>
    <w:rsid w:val="00DB3BF7"/>
    <w:rsid w:val="00DB7B56"/>
    <w:rsid w:val="00DC3979"/>
    <w:rsid w:val="00DC760A"/>
    <w:rsid w:val="00DC7CF1"/>
    <w:rsid w:val="00DD337E"/>
    <w:rsid w:val="00DD37E2"/>
    <w:rsid w:val="00DE21AC"/>
    <w:rsid w:val="00DE290F"/>
    <w:rsid w:val="00DF2C63"/>
    <w:rsid w:val="00DF2FA9"/>
    <w:rsid w:val="00DF6190"/>
    <w:rsid w:val="00DF7B21"/>
    <w:rsid w:val="00E079E8"/>
    <w:rsid w:val="00E16B23"/>
    <w:rsid w:val="00E17F72"/>
    <w:rsid w:val="00E26CB7"/>
    <w:rsid w:val="00E31B61"/>
    <w:rsid w:val="00E350AA"/>
    <w:rsid w:val="00E40E38"/>
    <w:rsid w:val="00E41ADA"/>
    <w:rsid w:val="00E42C5E"/>
    <w:rsid w:val="00E44004"/>
    <w:rsid w:val="00E44EB1"/>
    <w:rsid w:val="00E45E78"/>
    <w:rsid w:val="00E47CDA"/>
    <w:rsid w:val="00E47E06"/>
    <w:rsid w:val="00E5129F"/>
    <w:rsid w:val="00E5405C"/>
    <w:rsid w:val="00E55BBE"/>
    <w:rsid w:val="00E55EAC"/>
    <w:rsid w:val="00E60EDE"/>
    <w:rsid w:val="00E62845"/>
    <w:rsid w:val="00E629A0"/>
    <w:rsid w:val="00E64757"/>
    <w:rsid w:val="00E668FE"/>
    <w:rsid w:val="00E67C0D"/>
    <w:rsid w:val="00E71726"/>
    <w:rsid w:val="00E72C8B"/>
    <w:rsid w:val="00E77946"/>
    <w:rsid w:val="00E845CF"/>
    <w:rsid w:val="00E854D4"/>
    <w:rsid w:val="00E867A9"/>
    <w:rsid w:val="00E90617"/>
    <w:rsid w:val="00E96AC0"/>
    <w:rsid w:val="00E972A4"/>
    <w:rsid w:val="00EA4EC3"/>
    <w:rsid w:val="00EB257E"/>
    <w:rsid w:val="00EB468B"/>
    <w:rsid w:val="00EB7E17"/>
    <w:rsid w:val="00EC17C0"/>
    <w:rsid w:val="00EC6FBC"/>
    <w:rsid w:val="00EC79B4"/>
    <w:rsid w:val="00ED6BD1"/>
    <w:rsid w:val="00EE1719"/>
    <w:rsid w:val="00F0482B"/>
    <w:rsid w:val="00F07B2C"/>
    <w:rsid w:val="00F10F9B"/>
    <w:rsid w:val="00F12384"/>
    <w:rsid w:val="00F15C2E"/>
    <w:rsid w:val="00F16FF3"/>
    <w:rsid w:val="00F2134C"/>
    <w:rsid w:val="00F26429"/>
    <w:rsid w:val="00F2648A"/>
    <w:rsid w:val="00F27F4B"/>
    <w:rsid w:val="00F303BB"/>
    <w:rsid w:val="00F31EED"/>
    <w:rsid w:val="00F32CE0"/>
    <w:rsid w:val="00F3490E"/>
    <w:rsid w:val="00F4198C"/>
    <w:rsid w:val="00F44DA1"/>
    <w:rsid w:val="00F45B73"/>
    <w:rsid w:val="00F47E85"/>
    <w:rsid w:val="00F51E6D"/>
    <w:rsid w:val="00F524F9"/>
    <w:rsid w:val="00F52D38"/>
    <w:rsid w:val="00F56018"/>
    <w:rsid w:val="00F60043"/>
    <w:rsid w:val="00F62BB4"/>
    <w:rsid w:val="00F67CDC"/>
    <w:rsid w:val="00F70E09"/>
    <w:rsid w:val="00F70E1D"/>
    <w:rsid w:val="00F73AD5"/>
    <w:rsid w:val="00F77BB8"/>
    <w:rsid w:val="00F85FD7"/>
    <w:rsid w:val="00F93101"/>
    <w:rsid w:val="00F971E2"/>
    <w:rsid w:val="00FA1DBA"/>
    <w:rsid w:val="00FB3BA5"/>
    <w:rsid w:val="00FC0ED7"/>
    <w:rsid w:val="00FC52E9"/>
    <w:rsid w:val="00FD02D4"/>
    <w:rsid w:val="00FD3F30"/>
    <w:rsid w:val="00FE01D3"/>
    <w:rsid w:val="00FE7734"/>
    <w:rsid w:val="00FF54AE"/>
    <w:rsid w:val="00FF718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430A"/>
    <w:pPr>
      <w:spacing w:after="120"/>
      <w:jc w:val="both"/>
    </w:pPr>
    <w:rPr>
      <w:rFonts w:ascii="Arial" w:hAnsi="Arial"/>
      <w:szCs w:val="22"/>
      <w:lang w:eastAsia="en-US"/>
    </w:rPr>
  </w:style>
  <w:style w:type="paragraph" w:styleId="Heading1">
    <w:name w:val="heading 1"/>
    <w:basedOn w:val="Normal"/>
    <w:next w:val="Normal"/>
    <w:link w:val="Heading1Char"/>
    <w:uiPriority w:val="9"/>
    <w:rsid w:val="00C13CA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D4731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rsid w:val="00C13CA1"/>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DE21AC"/>
    <w:pPr>
      <w:ind w:left="720"/>
      <w:contextualSpacing/>
    </w:pPr>
  </w:style>
  <w:style w:type="paragraph" w:customStyle="1" w:styleId="KMHNumberHeading1">
    <w:name w:val="KMH Number Heading 1"/>
    <w:basedOn w:val="ListParagraph"/>
    <w:qFormat/>
    <w:rsid w:val="00D93BDC"/>
    <w:pPr>
      <w:numPr>
        <w:numId w:val="1"/>
      </w:numPr>
      <w:spacing w:before="480" w:after="240"/>
      <w:ind w:left="1134" w:hanging="1134"/>
    </w:pPr>
    <w:rPr>
      <w:rFonts w:cs="Arial"/>
      <w:b/>
      <w:color w:val="1D5C42"/>
      <w:sz w:val="40"/>
      <w:szCs w:val="28"/>
    </w:rPr>
  </w:style>
  <w:style w:type="paragraph" w:customStyle="1" w:styleId="KMHNumberHeading2">
    <w:name w:val="KMH Number Heading 2"/>
    <w:basedOn w:val="ListParagraph"/>
    <w:next w:val="Normal"/>
    <w:link w:val="KMHNumberHeading2Char"/>
    <w:rsid w:val="00223466"/>
    <w:pPr>
      <w:numPr>
        <w:ilvl w:val="1"/>
        <w:numId w:val="1"/>
      </w:numPr>
      <w:spacing w:before="180"/>
      <w:ind w:left="851" w:hanging="851"/>
    </w:pPr>
    <w:rPr>
      <w:rFonts w:cs="Arial"/>
      <w:b/>
      <w:color w:val="235F2A"/>
      <w:sz w:val="24"/>
      <w:szCs w:val="24"/>
    </w:rPr>
  </w:style>
  <w:style w:type="character" w:styleId="PlaceholderText">
    <w:name w:val="Placeholder Text"/>
    <w:basedOn w:val="DefaultParagraphFont"/>
    <w:uiPriority w:val="99"/>
    <w:semiHidden/>
    <w:rsid w:val="005C057B"/>
    <w:rPr>
      <w:color w:val="808080"/>
    </w:rPr>
  </w:style>
  <w:style w:type="paragraph" w:styleId="BalloonText">
    <w:name w:val="Balloon Text"/>
    <w:basedOn w:val="Normal"/>
    <w:link w:val="BalloonTextChar"/>
    <w:uiPriority w:val="99"/>
    <w:semiHidden/>
    <w:unhideWhenUsed/>
    <w:rsid w:val="005C057B"/>
    <w:rPr>
      <w:rFonts w:ascii="Tahoma" w:hAnsi="Tahoma" w:cs="Tahoma"/>
      <w:sz w:val="16"/>
      <w:szCs w:val="16"/>
    </w:rPr>
  </w:style>
  <w:style w:type="character" w:customStyle="1" w:styleId="BalloonTextChar">
    <w:name w:val="Balloon Text Char"/>
    <w:basedOn w:val="DefaultParagraphFont"/>
    <w:link w:val="BalloonText"/>
    <w:uiPriority w:val="99"/>
    <w:semiHidden/>
    <w:rsid w:val="005C057B"/>
    <w:rPr>
      <w:rFonts w:ascii="Tahoma" w:hAnsi="Tahoma" w:cs="Tahoma"/>
      <w:sz w:val="16"/>
      <w:szCs w:val="16"/>
    </w:rPr>
  </w:style>
  <w:style w:type="paragraph" w:styleId="Header">
    <w:name w:val="header"/>
    <w:basedOn w:val="Normal"/>
    <w:link w:val="HeaderChar"/>
    <w:uiPriority w:val="99"/>
    <w:unhideWhenUsed/>
    <w:rsid w:val="000A1DAC"/>
    <w:pPr>
      <w:tabs>
        <w:tab w:val="center" w:pos="4680"/>
        <w:tab w:val="right" w:pos="9360"/>
      </w:tabs>
    </w:pPr>
  </w:style>
  <w:style w:type="character" w:customStyle="1" w:styleId="HeaderChar">
    <w:name w:val="Header Char"/>
    <w:basedOn w:val="DefaultParagraphFont"/>
    <w:link w:val="Header"/>
    <w:uiPriority w:val="99"/>
    <w:rsid w:val="000A1DAC"/>
  </w:style>
  <w:style w:type="paragraph" w:styleId="Footer">
    <w:name w:val="footer"/>
    <w:basedOn w:val="Normal"/>
    <w:link w:val="FooterChar"/>
    <w:uiPriority w:val="99"/>
    <w:unhideWhenUsed/>
    <w:rsid w:val="000A1DAC"/>
    <w:pPr>
      <w:tabs>
        <w:tab w:val="center" w:pos="4680"/>
        <w:tab w:val="right" w:pos="9360"/>
      </w:tabs>
    </w:pPr>
  </w:style>
  <w:style w:type="character" w:customStyle="1" w:styleId="FooterChar">
    <w:name w:val="Footer Char"/>
    <w:basedOn w:val="DefaultParagraphFont"/>
    <w:link w:val="Footer"/>
    <w:uiPriority w:val="99"/>
    <w:rsid w:val="000A1DAC"/>
  </w:style>
  <w:style w:type="paragraph" w:customStyle="1" w:styleId="KMHHeading1">
    <w:name w:val="KMH Heading 1"/>
    <w:basedOn w:val="Normal"/>
    <w:rsid w:val="005B207B"/>
    <w:rPr>
      <w:rFonts w:cs="Arial"/>
      <w:b/>
      <w:color w:val="235F2A"/>
      <w:sz w:val="28"/>
      <w:szCs w:val="28"/>
    </w:rPr>
  </w:style>
  <w:style w:type="paragraph" w:customStyle="1" w:styleId="KMHSubheader">
    <w:name w:val="KMH Sub header"/>
    <w:basedOn w:val="KMHHeading1"/>
    <w:rsid w:val="00E854D4"/>
    <w:pPr>
      <w:spacing w:before="240" w:after="360"/>
    </w:pPr>
    <w:rPr>
      <w:b w:val="0"/>
    </w:rPr>
  </w:style>
  <w:style w:type="paragraph" w:customStyle="1" w:styleId="TableHeading">
    <w:name w:val="Table Heading"/>
    <w:basedOn w:val="Normal"/>
    <w:rsid w:val="00700D68"/>
    <w:pPr>
      <w:pBdr>
        <w:bottom w:val="single" w:sz="6" w:space="1" w:color="D9D9D9"/>
      </w:pBdr>
      <w:spacing w:before="200" w:line="300" w:lineRule="auto"/>
    </w:pPr>
    <w:rPr>
      <w:rFonts w:cs="Arial"/>
      <w:b/>
      <w:color w:val="404040"/>
      <w:sz w:val="18"/>
      <w:lang w:eastAsia="en-AU"/>
    </w:rPr>
  </w:style>
  <w:style w:type="paragraph" w:customStyle="1" w:styleId="TableColumnHeading">
    <w:name w:val="Table Column Heading"/>
    <w:basedOn w:val="Normal"/>
    <w:next w:val="Normal"/>
    <w:rsid w:val="00F60043"/>
    <w:pPr>
      <w:shd w:val="clear" w:color="auto" w:fill="CCECD0"/>
      <w:jc w:val="center"/>
    </w:pPr>
    <w:rPr>
      <w:rFonts w:cs="Arial"/>
      <w:b/>
      <w:color w:val="404040"/>
      <w:sz w:val="18"/>
      <w:szCs w:val="18"/>
      <w:lang w:eastAsia="en-AU"/>
    </w:rPr>
  </w:style>
  <w:style w:type="paragraph" w:customStyle="1" w:styleId="TableText">
    <w:name w:val="Table Text"/>
    <w:basedOn w:val="Normal"/>
    <w:next w:val="Normal"/>
    <w:rsid w:val="00700D68"/>
    <w:pPr>
      <w:contextualSpacing/>
    </w:pPr>
    <w:rPr>
      <w:rFonts w:cs="Arial"/>
      <w:color w:val="404040"/>
      <w:sz w:val="18"/>
      <w:lang w:eastAsia="en-AU"/>
    </w:rPr>
  </w:style>
  <w:style w:type="paragraph" w:customStyle="1" w:styleId="KMHTitleAppendix">
    <w:name w:val="KMH Title Appendix"/>
    <w:basedOn w:val="KMHNumberHeading1"/>
    <w:qFormat/>
    <w:rsid w:val="004D4621"/>
    <w:pPr>
      <w:numPr>
        <w:numId w:val="0"/>
      </w:numPr>
      <w:pBdr>
        <w:bottom w:val="single" w:sz="4" w:space="1" w:color="1D5C42"/>
      </w:pBdr>
      <w:spacing w:before="4080"/>
      <w:jc w:val="right"/>
    </w:pPr>
  </w:style>
  <w:style w:type="paragraph" w:customStyle="1" w:styleId="KMHAppendixSubHeader">
    <w:name w:val="KMH Appendix Sub Header"/>
    <w:basedOn w:val="KMHTitleAppendix"/>
    <w:rsid w:val="00077CF1"/>
    <w:rPr>
      <w:sz w:val="24"/>
      <w:szCs w:val="24"/>
    </w:rPr>
  </w:style>
  <w:style w:type="character" w:styleId="Hyperlink">
    <w:name w:val="Hyperlink"/>
    <w:basedOn w:val="DefaultParagraphFont"/>
    <w:uiPriority w:val="99"/>
    <w:unhideWhenUsed/>
    <w:rsid w:val="006E7254"/>
    <w:rPr>
      <w:color w:val="0000FF"/>
      <w:u w:val="single"/>
    </w:rPr>
  </w:style>
  <w:style w:type="paragraph" w:styleId="TOC1">
    <w:name w:val="toc 1"/>
    <w:basedOn w:val="Normal"/>
    <w:next w:val="Normal"/>
    <w:autoRedefine/>
    <w:uiPriority w:val="39"/>
    <w:unhideWhenUsed/>
    <w:rsid w:val="001041D6"/>
    <w:pPr>
      <w:spacing w:before="240"/>
      <w:ind w:left="567" w:hanging="567"/>
    </w:pPr>
    <w:rPr>
      <w:b/>
      <w:bCs/>
      <w:szCs w:val="20"/>
    </w:rPr>
  </w:style>
  <w:style w:type="paragraph" w:styleId="TOC2">
    <w:name w:val="toc 2"/>
    <w:basedOn w:val="Normal"/>
    <w:next w:val="Normal"/>
    <w:autoRedefine/>
    <w:uiPriority w:val="39"/>
    <w:unhideWhenUsed/>
    <w:rsid w:val="00B25B5D"/>
    <w:pPr>
      <w:tabs>
        <w:tab w:val="left" w:pos="1418"/>
        <w:tab w:val="right" w:pos="9072"/>
      </w:tabs>
      <w:spacing w:before="120"/>
      <w:ind w:left="1701" w:hanging="1134"/>
    </w:pPr>
    <w:rPr>
      <w:iCs/>
      <w:szCs w:val="20"/>
    </w:rPr>
  </w:style>
  <w:style w:type="paragraph" w:customStyle="1" w:styleId="KMHTOCHeader">
    <w:name w:val="KMH TOC Header"/>
    <w:basedOn w:val="TOC1"/>
    <w:qFormat/>
    <w:rsid w:val="00E67C0D"/>
    <w:rPr>
      <w:b w:val="0"/>
      <w:noProof/>
    </w:rPr>
  </w:style>
  <w:style w:type="paragraph" w:styleId="Caption">
    <w:name w:val="caption"/>
    <w:basedOn w:val="Normal"/>
    <w:next w:val="Normal"/>
    <w:uiPriority w:val="35"/>
    <w:unhideWhenUsed/>
    <w:rsid w:val="00D8269A"/>
    <w:pPr>
      <w:spacing w:after="200"/>
    </w:pPr>
    <w:rPr>
      <w:b/>
      <w:bCs/>
      <w:color w:val="235F2A"/>
      <w:sz w:val="18"/>
      <w:szCs w:val="18"/>
    </w:rPr>
  </w:style>
  <w:style w:type="numbering" w:customStyle="1" w:styleId="Style1">
    <w:name w:val="Style1"/>
    <w:basedOn w:val="NoList"/>
    <w:uiPriority w:val="99"/>
    <w:rsid w:val="0097266D"/>
    <w:pPr>
      <w:numPr>
        <w:numId w:val="7"/>
      </w:numPr>
    </w:pPr>
  </w:style>
  <w:style w:type="paragraph" w:customStyle="1" w:styleId="KMHBulletLevel1">
    <w:name w:val="KMH Bullet Level 1"/>
    <w:basedOn w:val="ListParagraph"/>
    <w:qFormat/>
    <w:rsid w:val="00101EA2"/>
    <w:pPr>
      <w:numPr>
        <w:numId w:val="11"/>
      </w:numPr>
    </w:pPr>
  </w:style>
  <w:style w:type="paragraph" w:customStyle="1" w:styleId="KMHBulletLevel2">
    <w:name w:val="KMH Bullet Level 2"/>
    <w:basedOn w:val="ListParagraph"/>
    <w:qFormat/>
    <w:rsid w:val="00101EA2"/>
    <w:pPr>
      <w:numPr>
        <w:numId w:val="20"/>
      </w:numPr>
      <w:ind w:left="1134" w:hanging="567"/>
    </w:pPr>
  </w:style>
  <w:style w:type="paragraph" w:customStyle="1" w:styleId="BulletLevel3">
    <w:name w:val="Bullet Level 3"/>
    <w:basedOn w:val="ListParagraph"/>
    <w:rsid w:val="001616AB"/>
    <w:pPr>
      <w:numPr>
        <w:ilvl w:val="2"/>
        <w:numId w:val="8"/>
      </w:numPr>
      <w:ind w:left="1276" w:hanging="425"/>
    </w:pPr>
  </w:style>
  <w:style w:type="paragraph" w:customStyle="1" w:styleId="BulletLevel4">
    <w:name w:val="Bullet Level 4"/>
    <w:basedOn w:val="BulletLevel3"/>
    <w:rsid w:val="001616AB"/>
    <w:pPr>
      <w:ind w:left="1701"/>
    </w:pPr>
  </w:style>
  <w:style w:type="paragraph" w:customStyle="1" w:styleId="BulletLevel5">
    <w:name w:val="Bullet Level 5"/>
    <w:basedOn w:val="BulletLevel4"/>
    <w:rsid w:val="001616AB"/>
    <w:pPr>
      <w:ind w:left="2126"/>
    </w:pPr>
  </w:style>
  <w:style w:type="paragraph" w:customStyle="1" w:styleId="BulletLevel6">
    <w:name w:val="Bullet Level 6"/>
    <w:basedOn w:val="BulletLevel5"/>
    <w:rsid w:val="001616AB"/>
    <w:pPr>
      <w:ind w:left="2552"/>
    </w:pPr>
  </w:style>
  <w:style w:type="paragraph" w:customStyle="1" w:styleId="BulletLevel7">
    <w:name w:val="Bullet Level 7"/>
    <w:basedOn w:val="BulletLevel6"/>
    <w:rsid w:val="009F26BF"/>
    <w:pPr>
      <w:ind w:left="2977"/>
    </w:pPr>
  </w:style>
  <w:style w:type="paragraph" w:styleId="TOC3">
    <w:name w:val="toc 3"/>
    <w:basedOn w:val="Normal"/>
    <w:next w:val="Normal"/>
    <w:autoRedefine/>
    <w:uiPriority w:val="39"/>
    <w:unhideWhenUsed/>
    <w:rsid w:val="009A5453"/>
    <w:pPr>
      <w:ind w:left="720"/>
    </w:pPr>
    <w:rPr>
      <w:szCs w:val="20"/>
    </w:rPr>
  </w:style>
  <w:style w:type="paragraph" w:styleId="TOC4">
    <w:name w:val="toc 4"/>
    <w:basedOn w:val="Normal"/>
    <w:next w:val="Normal"/>
    <w:autoRedefine/>
    <w:uiPriority w:val="39"/>
    <w:unhideWhenUsed/>
    <w:rsid w:val="00D47314"/>
    <w:pPr>
      <w:ind w:left="600"/>
    </w:pPr>
    <w:rPr>
      <w:rFonts w:ascii="Calibri" w:hAnsi="Calibri"/>
      <w:szCs w:val="20"/>
    </w:rPr>
  </w:style>
  <w:style w:type="paragraph" w:styleId="TOC5">
    <w:name w:val="toc 5"/>
    <w:basedOn w:val="Normal"/>
    <w:next w:val="Normal"/>
    <w:autoRedefine/>
    <w:uiPriority w:val="39"/>
    <w:unhideWhenUsed/>
    <w:rsid w:val="00D47314"/>
    <w:pPr>
      <w:ind w:left="800"/>
    </w:pPr>
    <w:rPr>
      <w:rFonts w:ascii="Calibri" w:hAnsi="Calibri"/>
      <w:szCs w:val="20"/>
    </w:rPr>
  </w:style>
  <w:style w:type="paragraph" w:styleId="TOC6">
    <w:name w:val="toc 6"/>
    <w:basedOn w:val="Normal"/>
    <w:next w:val="Normal"/>
    <w:autoRedefine/>
    <w:uiPriority w:val="39"/>
    <w:unhideWhenUsed/>
    <w:rsid w:val="00D47314"/>
    <w:pPr>
      <w:ind w:left="1000"/>
    </w:pPr>
    <w:rPr>
      <w:rFonts w:ascii="Calibri" w:hAnsi="Calibri"/>
      <w:szCs w:val="20"/>
    </w:rPr>
  </w:style>
  <w:style w:type="paragraph" w:styleId="TOC7">
    <w:name w:val="toc 7"/>
    <w:basedOn w:val="Normal"/>
    <w:next w:val="Normal"/>
    <w:autoRedefine/>
    <w:uiPriority w:val="39"/>
    <w:unhideWhenUsed/>
    <w:rsid w:val="00D47314"/>
    <w:pPr>
      <w:ind w:left="1200"/>
    </w:pPr>
    <w:rPr>
      <w:rFonts w:ascii="Calibri" w:hAnsi="Calibri"/>
      <w:szCs w:val="20"/>
    </w:rPr>
  </w:style>
  <w:style w:type="paragraph" w:styleId="TOC8">
    <w:name w:val="toc 8"/>
    <w:basedOn w:val="Normal"/>
    <w:next w:val="Normal"/>
    <w:autoRedefine/>
    <w:uiPriority w:val="39"/>
    <w:unhideWhenUsed/>
    <w:rsid w:val="00D47314"/>
    <w:pPr>
      <w:ind w:left="1400"/>
    </w:pPr>
    <w:rPr>
      <w:rFonts w:ascii="Calibri" w:hAnsi="Calibri"/>
      <w:szCs w:val="20"/>
    </w:rPr>
  </w:style>
  <w:style w:type="paragraph" w:styleId="TOC9">
    <w:name w:val="toc 9"/>
    <w:basedOn w:val="Normal"/>
    <w:next w:val="Normal"/>
    <w:autoRedefine/>
    <w:uiPriority w:val="39"/>
    <w:unhideWhenUsed/>
    <w:rsid w:val="00D47314"/>
    <w:pPr>
      <w:ind w:left="1600"/>
    </w:pPr>
    <w:rPr>
      <w:rFonts w:ascii="Calibri" w:hAnsi="Calibri"/>
      <w:szCs w:val="20"/>
    </w:rPr>
  </w:style>
  <w:style w:type="character" w:customStyle="1" w:styleId="Heading2Char">
    <w:name w:val="Heading 2 Char"/>
    <w:basedOn w:val="DefaultParagraphFont"/>
    <w:link w:val="Heading2"/>
    <w:uiPriority w:val="9"/>
    <w:rsid w:val="00D47314"/>
    <w:rPr>
      <w:rFonts w:ascii="Cambria" w:eastAsia="Times New Roman" w:hAnsi="Cambria" w:cs="Times New Roman"/>
      <w:b/>
      <w:bCs/>
      <w:color w:val="4F81BD"/>
      <w:sz w:val="26"/>
      <w:szCs w:val="26"/>
    </w:rPr>
  </w:style>
  <w:style w:type="paragraph" w:styleId="TableofFigures">
    <w:name w:val="table of figures"/>
    <w:basedOn w:val="Normal"/>
    <w:next w:val="Normal"/>
    <w:uiPriority w:val="99"/>
    <w:unhideWhenUsed/>
    <w:rsid w:val="007A401B"/>
    <w:pPr>
      <w:spacing w:line="360" w:lineRule="auto"/>
      <w:ind w:left="442" w:hanging="442"/>
    </w:pPr>
    <w:rPr>
      <w:bCs/>
      <w:szCs w:val="20"/>
    </w:rPr>
  </w:style>
  <w:style w:type="paragraph" w:customStyle="1" w:styleId="11KMHNumberHeading2">
    <w:name w:val="1.1 KMH Number Heading 2"/>
    <w:basedOn w:val="KMHNumberHeading2"/>
    <w:rsid w:val="00584DC6"/>
    <w:pPr>
      <w:outlineLvl w:val="1"/>
    </w:pPr>
  </w:style>
  <w:style w:type="paragraph" w:customStyle="1" w:styleId="KMHNumberHeading3">
    <w:name w:val="KMH Number Heading 3"/>
    <w:basedOn w:val="11KMHNumberHeading2"/>
    <w:next w:val="Normal"/>
    <w:qFormat/>
    <w:rsid w:val="00D93BDC"/>
    <w:pPr>
      <w:numPr>
        <w:ilvl w:val="2"/>
      </w:numPr>
      <w:spacing w:before="240"/>
      <w:ind w:left="1134" w:hanging="1134"/>
    </w:pPr>
    <w:rPr>
      <w:color w:val="1D5C42"/>
      <w:sz w:val="20"/>
    </w:rPr>
  </w:style>
  <w:style w:type="paragraph" w:customStyle="1" w:styleId="KMHLevel4NoNumberHeading">
    <w:name w:val="KMH Level 4 No Number Heading"/>
    <w:basedOn w:val="Normal"/>
    <w:next w:val="Normal"/>
    <w:rsid w:val="00A265F6"/>
    <w:rPr>
      <w:b/>
    </w:rPr>
  </w:style>
  <w:style w:type="paragraph" w:customStyle="1" w:styleId="AppendixSubheader">
    <w:name w:val="Appendix Sub header"/>
    <w:basedOn w:val="KMHSubheader"/>
    <w:rsid w:val="008050D4"/>
    <w:pPr>
      <w:jc w:val="right"/>
      <w:outlineLvl w:val="1"/>
    </w:pPr>
  </w:style>
  <w:style w:type="paragraph" w:customStyle="1" w:styleId="KMHNumberheading20">
    <w:name w:val="KMH Number heading 2"/>
    <w:basedOn w:val="KMHNumberHeading2"/>
    <w:link w:val="KMHNumberheading2Char0"/>
    <w:qFormat/>
    <w:rsid w:val="00D93BDC"/>
    <w:pPr>
      <w:spacing w:before="240" w:line="300" w:lineRule="auto"/>
      <w:ind w:left="574" w:hanging="432"/>
    </w:pPr>
    <w:rPr>
      <w:color w:val="1D5C42"/>
    </w:rPr>
  </w:style>
  <w:style w:type="paragraph" w:styleId="Quote">
    <w:name w:val="Quote"/>
    <w:basedOn w:val="Normal"/>
    <w:next w:val="Normal"/>
    <w:link w:val="QuoteChar"/>
    <w:uiPriority w:val="29"/>
    <w:rsid w:val="00223466"/>
    <w:rPr>
      <w:i/>
      <w:iCs/>
      <w:color w:val="000000"/>
    </w:rPr>
  </w:style>
  <w:style w:type="character" w:customStyle="1" w:styleId="ListParagraphChar">
    <w:name w:val="List Paragraph Char"/>
    <w:basedOn w:val="DefaultParagraphFont"/>
    <w:link w:val="ListParagraph"/>
    <w:uiPriority w:val="34"/>
    <w:rsid w:val="00223466"/>
    <w:rPr>
      <w:rFonts w:ascii="Arial" w:hAnsi="Arial"/>
      <w:sz w:val="20"/>
    </w:rPr>
  </w:style>
  <w:style w:type="character" w:customStyle="1" w:styleId="KMHNumberHeading2Char">
    <w:name w:val="KMH Number Heading 2 Char"/>
    <w:basedOn w:val="ListParagraphChar"/>
    <w:link w:val="KMHNumberHeading2"/>
    <w:rsid w:val="00223466"/>
    <w:rPr>
      <w:rFonts w:ascii="Arial" w:hAnsi="Arial" w:cs="Arial"/>
      <w:b/>
      <w:color w:val="235F2A"/>
      <w:sz w:val="24"/>
      <w:szCs w:val="24"/>
    </w:rPr>
  </w:style>
  <w:style w:type="character" w:customStyle="1" w:styleId="KMHNumberheading2Char0">
    <w:name w:val="KMH Number heading 2 Char"/>
    <w:basedOn w:val="KMHNumberHeading2Char"/>
    <w:link w:val="KMHNumberheading20"/>
    <w:rsid w:val="00D93BDC"/>
    <w:rPr>
      <w:rFonts w:ascii="Arial" w:hAnsi="Arial" w:cs="Arial"/>
      <w:b/>
      <w:color w:val="1D5C42"/>
      <w:sz w:val="24"/>
      <w:szCs w:val="24"/>
      <w:lang w:eastAsia="en-US"/>
    </w:rPr>
  </w:style>
  <w:style w:type="character" w:customStyle="1" w:styleId="QuoteChar">
    <w:name w:val="Quote Char"/>
    <w:basedOn w:val="DefaultParagraphFont"/>
    <w:link w:val="Quote"/>
    <w:uiPriority w:val="29"/>
    <w:rsid w:val="00223466"/>
    <w:rPr>
      <w:rFonts w:ascii="Arial" w:hAnsi="Arial"/>
      <w:i/>
      <w:iCs/>
      <w:color w:val="000000"/>
      <w:sz w:val="20"/>
    </w:rPr>
  </w:style>
  <w:style w:type="character" w:customStyle="1" w:styleId="Heading1Char">
    <w:name w:val="Heading 1 Char"/>
    <w:basedOn w:val="DefaultParagraphFont"/>
    <w:link w:val="Heading1"/>
    <w:uiPriority w:val="9"/>
    <w:rsid w:val="00C13CA1"/>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C13CA1"/>
    <w:rPr>
      <w:rFonts w:ascii="Cambria" w:eastAsia="Times New Roman" w:hAnsi="Cambria" w:cs="Times New Roman"/>
      <w:b/>
      <w:bCs/>
      <w:color w:val="4F81BD"/>
      <w:sz w:val="20"/>
    </w:rPr>
  </w:style>
  <w:style w:type="table" w:styleId="TableGrid">
    <w:name w:val="Table Grid"/>
    <w:basedOn w:val="TableNormal"/>
    <w:uiPriority w:val="59"/>
    <w:rsid w:val="00F600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MHsubtitleappendix">
    <w:name w:val="KMH sub title appendix"/>
    <w:basedOn w:val="Normal"/>
    <w:link w:val="KMHsubtitleappendixChar"/>
    <w:qFormat/>
    <w:rsid w:val="004D4621"/>
    <w:pPr>
      <w:spacing w:before="240"/>
      <w:jc w:val="right"/>
    </w:pPr>
    <w:rPr>
      <w:color w:val="1D5C42"/>
      <w:sz w:val="28"/>
      <w:szCs w:val="28"/>
    </w:rPr>
  </w:style>
  <w:style w:type="character" w:customStyle="1" w:styleId="KMHsubtitleappendixChar">
    <w:name w:val="KMH sub title appendix Char"/>
    <w:basedOn w:val="DefaultParagraphFont"/>
    <w:link w:val="KMHsubtitleappendix"/>
    <w:rsid w:val="004D4621"/>
    <w:rPr>
      <w:rFonts w:ascii="Arial" w:hAnsi="Arial"/>
      <w:color w:val="1D5C42"/>
      <w:sz w:val="28"/>
      <w:szCs w:val="28"/>
      <w:lang w:eastAsia="en-US"/>
    </w:rPr>
  </w:style>
  <w:style w:type="paragraph" w:styleId="FootnoteText">
    <w:name w:val="footnote text"/>
    <w:basedOn w:val="Normal"/>
    <w:link w:val="FootnoteTextChar"/>
    <w:uiPriority w:val="99"/>
    <w:semiHidden/>
    <w:unhideWhenUsed/>
    <w:rsid w:val="00983AAC"/>
    <w:pPr>
      <w:spacing w:after="0" w:line="240" w:lineRule="auto"/>
    </w:pPr>
    <w:rPr>
      <w:szCs w:val="20"/>
    </w:rPr>
  </w:style>
  <w:style w:type="character" w:customStyle="1" w:styleId="FootnoteTextChar">
    <w:name w:val="Footnote Text Char"/>
    <w:basedOn w:val="DefaultParagraphFont"/>
    <w:link w:val="FootnoteText"/>
    <w:uiPriority w:val="99"/>
    <w:semiHidden/>
    <w:rsid w:val="00983AAC"/>
    <w:rPr>
      <w:rFonts w:ascii="Arial" w:hAnsi="Arial"/>
      <w:lang w:eastAsia="en-US"/>
    </w:rPr>
  </w:style>
  <w:style w:type="character" w:styleId="FootnoteReference">
    <w:name w:val="footnote reference"/>
    <w:basedOn w:val="DefaultParagraphFont"/>
    <w:uiPriority w:val="99"/>
    <w:semiHidden/>
    <w:unhideWhenUsed/>
    <w:rsid w:val="00983AAC"/>
    <w:rPr>
      <w:vertAlign w:val="superscript"/>
    </w:rPr>
  </w:style>
  <w:style w:type="paragraph" w:customStyle="1" w:styleId="Default">
    <w:name w:val="Default"/>
    <w:rsid w:val="001221BE"/>
    <w:pPr>
      <w:autoSpaceDE w:val="0"/>
      <w:autoSpaceDN w:val="0"/>
      <w:adjustRightInd w:val="0"/>
      <w:spacing w:line="240" w:lineRule="auto"/>
    </w:pPr>
    <w:rPr>
      <w:rFonts w:eastAsiaTheme="minorHAnsi" w:cs="Calibri"/>
      <w:color w:val="000000"/>
      <w:sz w:val="24"/>
      <w:szCs w:val="24"/>
      <w:lang w:eastAsia="en-US"/>
    </w:rPr>
  </w:style>
  <w:style w:type="character" w:styleId="CommentReference">
    <w:name w:val="annotation reference"/>
    <w:basedOn w:val="DefaultParagraphFont"/>
    <w:uiPriority w:val="99"/>
    <w:semiHidden/>
    <w:unhideWhenUsed/>
    <w:rsid w:val="00680E11"/>
    <w:rPr>
      <w:sz w:val="16"/>
      <w:szCs w:val="16"/>
    </w:rPr>
  </w:style>
  <w:style w:type="paragraph" w:styleId="CommentText">
    <w:name w:val="annotation text"/>
    <w:basedOn w:val="Normal"/>
    <w:link w:val="CommentTextChar"/>
    <w:uiPriority w:val="99"/>
    <w:semiHidden/>
    <w:unhideWhenUsed/>
    <w:rsid w:val="00680E11"/>
    <w:pPr>
      <w:spacing w:line="240" w:lineRule="auto"/>
    </w:pPr>
    <w:rPr>
      <w:szCs w:val="20"/>
    </w:rPr>
  </w:style>
  <w:style w:type="character" w:customStyle="1" w:styleId="CommentTextChar">
    <w:name w:val="Comment Text Char"/>
    <w:basedOn w:val="DefaultParagraphFont"/>
    <w:link w:val="CommentText"/>
    <w:uiPriority w:val="99"/>
    <w:semiHidden/>
    <w:rsid w:val="00680E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80E11"/>
    <w:rPr>
      <w:b/>
      <w:bCs/>
    </w:rPr>
  </w:style>
  <w:style w:type="character" w:customStyle="1" w:styleId="CommentSubjectChar">
    <w:name w:val="Comment Subject Char"/>
    <w:basedOn w:val="CommentTextChar"/>
    <w:link w:val="CommentSubject"/>
    <w:uiPriority w:val="99"/>
    <w:semiHidden/>
    <w:rsid w:val="00680E11"/>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430A"/>
    <w:pPr>
      <w:spacing w:after="120"/>
      <w:jc w:val="both"/>
    </w:pPr>
    <w:rPr>
      <w:rFonts w:ascii="Arial" w:hAnsi="Arial"/>
      <w:szCs w:val="22"/>
      <w:lang w:eastAsia="en-US"/>
    </w:rPr>
  </w:style>
  <w:style w:type="paragraph" w:styleId="Heading1">
    <w:name w:val="heading 1"/>
    <w:basedOn w:val="Normal"/>
    <w:next w:val="Normal"/>
    <w:link w:val="Heading1Char"/>
    <w:uiPriority w:val="9"/>
    <w:rsid w:val="00C13CA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D4731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rsid w:val="00C13CA1"/>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DE21AC"/>
    <w:pPr>
      <w:ind w:left="720"/>
      <w:contextualSpacing/>
    </w:pPr>
  </w:style>
  <w:style w:type="paragraph" w:customStyle="1" w:styleId="KMHNumberHeading1">
    <w:name w:val="KMH Number Heading 1"/>
    <w:basedOn w:val="ListParagraph"/>
    <w:qFormat/>
    <w:rsid w:val="00D93BDC"/>
    <w:pPr>
      <w:numPr>
        <w:numId w:val="1"/>
      </w:numPr>
      <w:spacing w:before="480" w:after="240"/>
      <w:ind w:left="1134" w:hanging="1134"/>
    </w:pPr>
    <w:rPr>
      <w:rFonts w:cs="Arial"/>
      <w:b/>
      <w:color w:val="1D5C42"/>
      <w:sz w:val="40"/>
      <w:szCs w:val="28"/>
    </w:rPr>
  </w:style>
  <w:style w:type="paragraph" w:customStyle="1" w:styleId="KMHNumberHeading2">
    <w:name w:val="KMH Number Heading 2"/>
    <w:basedOn w:val="ListParagraph"/>
    <w:next w:val="Normal"/>
    <w:link w:val="KMHNumberHeading2Char"/>
    <w:rsid w:val="00223466"/>
    <w:pPr>
      <w:numPr>
        <w:ilvl w:val="1"/>
        <w:numId w:val="1"/>
      </w:numPr>
      <w:spacing w:before="180"/>
      <w:ind w:left="851" w:hanging="851"/>
    </w:pPr>
    <w:rPr>
      <w:rFonts w:cs="Arial"/>
      <w:b/>
      <w:color w:val="235F2A"/>
      <w:sz w:val="24"/>
      <w:szCs w:val="24"/>
    </w:rPr>
  </w:style>
  <w:style w:type="character" w:styleId="PlaceholderText">
    <w:name w:val="Placeholder Text"/>
    <w:basedOn w:val="DefaultParagraphFont"/>
    <w:uiPriority w:val="99"/>
    <w:semiHidden/>
    <w:rsid w:val="005C057B"/>
    <w:rPr>
      <w:color w:val="808080"/>
    </w:rPr>
  </w:style>
  <w:style w:type="paragraph" w:styleId="BalloonText">
    <w:name w:val="Balloon Text"/>
    <w:basedOn w:val="Normal"/>
    <w:link w:val="BalloonTextChar"/>
    <w:uiPriority w:val="99"/>
    <w:semiHidden/>
    <w:unhideWhenUsed/>
    <w:rsid w:val="005C057B"/>
    <w:rPr>
      <w:rFonts w:ascii="Tahoma" w:hAnsi="Tahoma" w:cs="Tahoma"/>
      <w:sz w:val="16"/>
      <w:szCs w:val="16"/>
    </w:rPr>
  </w:style>
  <w:style w:type="character" w:customStyle="1" w:styleId="BalloonTextChar">
    <w:name w:val="Balloon Text Char"/>
    <w:basedOn w:val="DefaultParagraphFont"/>
    <w:link w:val="BalloonText"/>
    <w:uiPriority w:val="99"/>
    <w:semiHidden/>
    <w:rsid w:val="005C057B"/>
    <w:rPr>
      <w:rFonts w:ascii="Tahoma" w:hAnsi="Tahoma" w:cs="Tahoma"/>
      <w:sz w:val="16"/>
      <w:szCs w:val="16"/>
    </w:rPr>
  </w:style>
  <w:style w:type="paragraph" w:styleId="Header">
    <w:name w:val="header"/>
    <w:basedOn w:val="Normal"/>
    <w:link w:val="HeaderChar"/>
    <w:uiPriority w:val="99"/>
    <w:unhideWhenUsed/>
    <w:rsid w:val="000A1DAC"/>
    <w:pPr>
      <w:tabs>
        <w:tab w:val="center" w:pos="4680"/>
        <w:tab w:val="right" w:pos="9360"/>
      </w:tabs>
    </w:pPr>
  </w:style>
  <w:style w:type="character" w:customStyle="1" w:styleId="HeaderChar">
    <w:name w:val="Header Char"/>
    <w:basedOn w:val="DefaultParagraphFont"/>
    <w:link w:val="Header"/>
    <w:uiPriority w:val="99"/>
    <w:rsid w:val="000A1DAC"/>
  </w:style>
  <w:style w:type="paragraph" w:styleId="Footer">
    <w:name w:val="footer"/>
    <w:basedOn w:val="Normal"/>
    <w:link w:val="FooterChar"/>
    <w:uiPriority w:val="99"/>
    <w:unhideWhenUsed/>
    <w:rsid w:val="000A1DAC"/>
    <w:pPr>
      <w:tabs>
        <w:tab w:val="center" w:pos="4680"/>
        <w:tab w:val="right" w:pos="9360"/>
      </w:tabs>
    </w:pPr>
  </w:style>
  <w:style w:type="character" w:customStyle="1" w:styleId="FooterChar">
    <w:name w:val="Footer Char"/>
    <w:basedOn w:val="DefaultParagraphFont"/>
    <w:link w:val="Footer"/>
    <w:uiPriority w:val="99"/>
    <w:rsid w:val="000A1DAC"/>
  </w:style>
  <w:style w:type="paragraph" w:customStyle="1" w:styleId="KMHHeading1">
    <w:name w:val="KMH Heading 1"/>
    <w:basedOn w:val="Normal"/>
    <w:rsid w:val="005B207B"/>
    <w:rPr>
      <w:rFonts w:cs="Arial"/>
      <w:b/>
      <w:color w:val="235F2A"/>
      <w:sz w:val="28"/>
      <w:szCs w:val="28"/>
    </w:rPr>
  </w:style>
  <w:style w:type="paragraph" w:customStyle="1" w:styleId="KMHSubheader">
    <w:name w:val="KMH Sub header"/>
    <w:basedOn w:val="KMHHeading1"/>
    <w:rsid w:val="00E854D4"/>
    <w:pPr>
      <w:spacing w:before="240" w:after="360"/>
    </w:pPr>
    <w:rPr>
      <w:b w:val="0"/>
    </w:rPr>
  </w:style>
  <w:style w:type="paragraph" w:customStyle="1" w:styleId="TableHeading">
    <w:name w:val="Table Heading"/>
    <w:basedOn w:val="Normal"/>
    <w:rsid w:val="00700D68"/>
    <w:pPr>
      <w:pBdr>
        <w:bottom w:val="single" w:sz="6" w:space="1" w:color="D9D9D9"/>
      </w:pBdr>
      <w:spacing w:before="200" w:line="300" w:lineRule="auto"/>
    </w:pPr>
    <w:rPr>
      <w:rFonts w:cs="Arial"/>
      <w:b/>
      <w:color w:val="404040"/>
      <w:sz w:val="18"/>
      <w:lang w:eastAsia="en-AU"/>
    </w:rPr>
  </w:style>
  <w:style w:type="paragraph" w:customStyle="1" w:styleId="TableColumnHeading">
    <w:name w:val="Table Column Heading"/>
    <w:basedOn w:val="Normal"/>
    <w:next w:val="Normal"/>
    <w:rsid w:val="00F60043"/>
    <w:pPr>
      <w:shd w:val="clear" w:color="auto" w:fill="CCECD0"/>
      <w:jc w:val="center"/>
    </w:pPr>
    <w:rPr>
      <w:rFonts w:cs="Arial"/>
      <w:b/>
      <w:color w:val="404040"/>
      <w:sz w:val="18"/>
      <w:szCs w:val="18"/>
      <w:lang w:eastAsia="en-AU"/>
    </w:rPr>
  </w:style>
  <w:style w:type="paragraph" w:customStyle="1" w:styleId="TableText">
    <w:name w:val="Table Text"/>
    <w:basedOn w:val="Normal"/>
    <w:next w:val="Normal"/>
    <w:rsid w:val="00700D68"/>
    <w:pPr>
      <w:contextualSpacing/>
    </w:pPr>
    <w:rPr>
      <w:rFonts w:cs="Arial"/>
      <w:color w:val="404040"/>
      <w:sz w:val="18"/>
      <w:lang w:eastAsia="en-AU"/>
    </w:rPr>
  </w:style>
  <w:style w:type="paragraph" w:customStyle="1" w:styleId="KMHTitleAppendix">
    <w:name w:val="KMH Title Appendix"/>
    <w:basedOn w:val="KMHNumberHeading1"/>
    <w:qFormat/>
    <w:rsid w:val="004D4621"/>
    <w:pPr>
      <w:numPr>
        <w:numId w:val="0"/>
      </w:numPr>
      <w:pBdr>
        <w:bottom w:val="single" w:sz="4" w:space="1" w:color="1D5C42"/>
      </w:pBdr>
      <w:spacing w:before="4080"/>
      <w:jc w:val="right"/>
    </w:pPr>
  </w:style>
  <w:style w:type="paragraph" w:customStyle="1" w:styleId="KMHAppendixSubHeader">
    <w:name w:val="KMH Appendix Sub Header"/>
    <w:basedOn w:val="KMHTitleAppendix"/>
    <w:rsid w:val="00077CF1"/>
    <w:rPr>
      <w:sz w:val="24"/>
      <w:szCs w:val="24"/>
    </w:rPr>
  </w:style>
  <w:style w:type="character" w:styleId="Hyperlink">
    <w:name w:val="Hyperlink"/>
    <w:basedOn w:val="DefaultParagraphFont"/>
    <w:uiPriority w:val="99"/>
    <w:unhideWhenUsed/>
    <w:rsid w:val="006E7254"/>
    <w:rPr>
      <w:color w:val="0000FF"/>
      <w:u w:val="single"/>
    </w:rPr>
  </w:style>
  <w:style w:type="paragraph" w:styleId="TOC1">
    <w:name w:val="toc 1"/>
    <w:basedOn w:val="Normal"/>
    <w:next w:val="Normal"/>
    <w:autoRedefine/>
    <w:uiPriority w:val="39"/>
    <w:unhideWhenUsed/>
    <w:rsid w:val="001041D6"/>
    <w:pPr>
      <w:spacing w:before="240"/>
      <w:ind w:left="567" w:hanging="567"/>
    </w:pPr>
    <w:rPr>
      <w:b/>
      <w:bCs/>
      <w:szCs w:val="20"/>
    </w:rPr>
  </w:style>
  <w:style w:type="paragraph" w:styleId="TOC2">
    <w:name w:val="toc 2"/>
    <w:basedOn w:val="Normal"/>
    <w:next w:val="Normal"/>
    <w:autoRedefine/>
    <w:uiPriority w:val="39"/>
    <w:unhideWhenUsed/>
    <w:rsid w:val="00B25B5D"/>
    <w:pPr>
      <w:tabs>
        <w:tab w:val="left" w:pos="1418"/>
        <w:tab w:val="right" w:pos="9072"/>
      </w:tabs>
      <w:spacing w:before="120"/>
      <w:ind w:left="1701" w:hanging="1134"/>
    </w:pPr>
    <w:rPr>
      <w:iCs/>
      <w:szCs w:val="20"/>
    </w:rPr>
  </w:style>
  <w:style w:type="paragraph" w:customStyle="1" w:styleId="KMHTOCHeader">
    <w:name w:val="KMH TOC Header"/>
    <w:basedOn w:val="TOC1"/>
    <w:qFormat/>
    <w:rsid w:val="00E67C0D"/>
    <w:rPr>
      <w:b w:val="0"/>
      <w:noProof/>
    </w:rPr>
  </w:style>
  <w:style w:type="paragraph" w:styleId="Caption">
    <w:name w:val="caption"/>
    <w:basedOn w:val="Normal"/>
    <w:next w:val="Normal"/>
    <w:uiPriority w:val="35"/>
    <w:unhideWhenUsed/>
    <w:rsid w:val="00D8269A"/>
    <w:pPr>
      <w:spacing w:after="200"/>
    </w:pPr>
    <w:rPr>
      <w:b/>
      <w:bCs/>
      <w:color w:val="235F2A"/>
      <w:sz w:val="18"/>
      <w:szCs w:val="18"/>
    </w:rPr>
  </w:style>
  <w:style w:type="numbering" w:customStyle="1" w:styleId="Style1">
    <w:name w:val="Style1"/>
    <w:basedOn w:val="NoList"/>
    <w:uiPriority w:val="99"/>
    <w:rsid w:val="0097266D"/>
    <w:pPr>
      <w:numPr>
        <w:numId w:val="7"/>
      </w:numPr>
    </w:pPr>
  </w:style>
  <w:style w:type="paragraph" w:customStyle="1" w:styleId="KMHBulletLevel1">
    <w:name w:val="KMH Bullet Level 1"/>
    <w:basedOn w:val="ListParagraph"/>
    <w:qFormat/>
    <w:rsid w:val="00101EA2"/>
    <w:pPr>
      <w:numPr>
        <w:numId w:val="11"/>
      </w:numPr>
    </w:pPr>
  </w:style>
  <w:style w:type="paragraph" w:customStyle="1" w:styleId="KMHBulletLevel2">
    <w:name w:val="KMH Bullet Level 2"/>
    <w:basedOn w:val="ListParagraph"/>
    <w:qFormat/>
    <w:rsid w:val="00101EA2"/>
    <w:pPr>
      <w:numPr>
        <w:numId w:val="20"/>
      </w:numPr>
      <w:ind w:left="1134" w:hanging="567"/>
    </w:pPr>
  </w:style>
  <w:style w:type="paragraph" w:customStyle="1" w:styleId="BulletLevel3">
    <w:name w:val="Bullet Level 3"/>
    <w:basedOn w:val="ListParagraph"/>
    <w:rsid w:val="001616AB"/>
    <w:pPr>
      <w:numPr>
        <w:ilvl w:val="2"/>
        <w:numId w:val="8"/>
      </w:numPr>
      <w:ind w:left="1276" w:hanging="425"/>
    </w:pPr>
  </w:style>
  <w:style w:type="paragraph" w:customStyle="1" w:styleId="BulletLevel4">
    <w:name w:val="Bullet Level 4"/>
    <w:basedOn w:val="BulletLevel3"/>
    <w:rsid w:val="001616AB"/>
    <w:pPr>
      <w:ind w:left="1701"/>
    </w:pPr>
  </w:style>
  <w:style w:type="paragraph" w:customStyle="1" w:styleId="BulletLevel5">
    <w:name w:val="Bullet Level 5"/>
    <w:basedOn w:val="BulletLevel4"/>
    <w:rsid w:val="001616AB"/>
    <w:pPr>
      <w:ind w:left="2126"/>
    </w:pPr>
  </w:style>
  <w:style w:type="paragraph" w:customStyle="1" w:styleId="BulletLevel6">
    <w:name w:val="Bullet Level 6"/>
    <w:basedOn w:val="BulletLevel5"/>
    <w:rsid w:val="001616AB"/>
    <w:pPr>
      <w:ind w:left="2552"/>
    </w:pPr>
  </w:style>
  <w:style w:type="paragraph" w:customStyle="1" w:styleId="BulletLevel7">
    <w:name w:val="Bullet Level 7"/>
    <w:basedOn w:val="BulletLevel6"/>
    <w:rsid w:val="009F26BF"/>
    <w:pPr>
      <w:ind w:left="2977"/>
    </w:pPr>
  </w:style>
  <w:style w:type="paragraph" w:styleId="TOC3">
    <w:name w:val="toc 3"/>
    <w:basedOn w:val="Normal"/>
    <w:next w:val="Normal"/>
    <w:autoRedefine/>
    <w:uiPriority w:val="39"/>
    <w:unhideWhenUsed/>
    <w:rsid w:val="009A5453"/>
    <w:pPr>
      <w:ind w:left="720"/>
    </w:pPr>
    <w:rPr>
      <w:szCs w:val="20"/>
    </w:rPr>
  </w:style>
  <w:style w:type="paragraph" w:styleId="TOC4">
    <w:name w:val="toc 4"/>
    <w:basedOn w:val="Normal"/>
    <w:next w:val="Normal"/>
    <w:autoRedefine/>
    <w:uiPriority w:val="39"/>
    <w:unhideWhenUsed/>
    <w:rsid w:val="00D47314"/>
    <w:pPr>
      <w:ind w:left="600"/>
    </w:pPr>
    <w:rPr>
      <w:rFonts w:ascii="Calibri" w:hAnsi="Calibri"/>
      <w:szCs w:val="20"/>
    </w:rPr>
  </w:style>
  <w:style w:type="paragraph" w:styleId="TOC5">
    <w:name w:val="toc 5"/>
    <w:basedOn w:val="Normal"/>
    <w:next w:val="Normal"/>
    <w:autoRedefine/>
    <w:uiPriority w:val="39"/>
    <w:unhideWhenUsed/>
    <w:rsid w:val="00D47314"/>
    <w:pPr>
      <w:ind w:left="800"/>
    </w:pPr>
    <w:rPr>
      <w:rFonts w:ascii="Calibri" w:hAnsi="Calibri"/>
      <w:szCs w:val="20"/>
    </w:rPr>
  </w:style>
  <w:style w:type="paragraph" w:styleId="TOC6">
    <w:name w:val="toc 6"/>
    <w:basedOn w:val="Normal"/>
    <w:next w:val="Normal"/>
    <w:autoRedefine/>
    <w:uiPriority w:val="39"/>
    <w:unhideWhenUsed/>
    <w:rsid w:val="00D47314"/>
    <w:pPr>
      <w:ind w:left="1000"/>
    </w:pPr>
    <w:rPr>
      <w:rFonts w:ascii="Calibri" w:hAnsi="Calibri"/>
      <w:szCs w:val="20"/>
    </w:rPr>
  </w:style>
  <w:style w:type="paragraph" w:styleId="TOC7">
    <w:name w:val="toc 7"/>
    <w:basedOn w:val="Normal"/>
    <w:next w:val="Normal"/>
    <w:autoRedefine/>
    <w:uiPriority w:val="39"/>
    <w:unhideWhenUsed/>
    <w:rsid w:val="00D47314"/>
    <w:pPr>
      <w:ind w:left="1200"/>
    </w:pPr>
    <w:rPr>
      <w:rFonts w:ascii="Calibri" w:hAnsi="Calibri"/>
      <w:szCs w:val="20"/>
    </w:rPr>
  </w:style>
  <w:style w:type="paragraph" w:styleId="TOC8">
    <w:name w:val="toc 8"/>
    <w:basedOn w:val="Normal"/>
    <w:next w:val="Normal"/>
    <w:autoRedefine/>
    <w:uiPriority w:val="39"/>
    <w:unhideWhenUsed/>
    <w:rsid w:val="00D47314"/>
    <w:pPr>
      <w:ind w:left="1400"/>
    </w:pPr>
    <w:rPr>
      <w:rFonts w:ascii="Calibri" w:hAnsi="Calibri"/>
      <w:szCs w:val="20"/>
    </w:rPr>
  </w:style>
  <w:style w:type="paragraph" w:styleId="TOC9">
    <w:name w:val="toc 9"/>
    <w:basedOn w:val="Normal"/>
    <w:next w:val="Normal"/>
    <w:autoRedefine/>
    <w:uiPriority w:val="39"/>
    <w:unhideWhenUsed/>
    <w:rsid w:val="00D47314"/>
    <w:pPr>
      <w:ind w:left="1600"/>
    </w:pPr>
    <w:rPr>
      <w:rFonts w:ascii="Calibri" w:hAnsi="Calibri"/>
      <w:szCs w:val="20"/>
    </w:rPr>
  </w:style>
  <w:style w:type="character" w:customStyle="1" w:styleId="Heading2Char">
    <w:name w:val="Heading 2 Char"/>
    <w:basedOn w:val="DefaultParagraphFont"/>
    <w:link w:val="Heading2"/>
    <w:uiPriority w:val="9"/>
    <w:rsid w:val="00D47314"/>
    <w:rPr>
      <w:rFonts w:ascii="Cambria" w:eastAsia="Times New Roman" w:hAnsi="Cambria" w:cs="Times New Roman"/>
      <w:b/>
      <w:bCs/>
      <w:color w:val="4F81BD"/>
      <w:sz w:val="26"/>
      <w:szCs w:val="26"/>
    </w:rPr>
  </w:style>
  <w:style w:type="paragraph" w:styleId="TableofFigures">
    <w:name w:val="table of figures"/>
    <w:basedOn w:val="Normal"/>
    <w:next w:val="Normal"/>
    <w:uiPriority w:val="99"/>
    <w:unhideWhenUsed/>
    <w:rsid w:val="007A401B"/>
    <w:pPr>
      <w:spacing w:line="360" w:lineRule="auto"/>
      <w:ind w:left="442" w:hanging="442"/>
    </w:pPr>
    <w:rPr>
      <w:bCs/>
      <w:szCs w:val="20"/>
    </w:rPr>
  </w:style>
  <w:style w:type="paragraph" w:customStyle="1" w:styleId="11KMHNumberHeading2">
    <w:name w:val="1.1 KMH Number Heading 2"/>
    <w:basedOn w:val="KMHNumberHeading2"/>
    <w:rsid w:val="00584DC6"/>
    <w:pPr>
      <w:outlineLvl w:val="1"/>
    </w:pPr>
  </w:style>
  <w:style w:type="paragraph" w:customStyle="1" w:styleId="KMHNumberHeading3">
    <w:name w:val="KMH Number Heading 3"/>
    <w:basedOn w:val="11KMHNumberHeading2"/>
    <w:next w:val="Normal"/>
    <w:qFormat/>
    <w:rsid w:val="00D93BDC"/>
    <w:pPr>
      <w:numPr>
        <w:ilvl w:val="2"/>
      </w:numPr>
      <w:spacing w:before="240"/>
      <w:ind w:left="1134" w:hanging="1134"/>
    </w:pPr>
    <w:rPr>
      <w:color w:val="1D5C42"/>
      <w:sz w:val="20"/>
    </w:rPr>
  </w:style>
  <w:style w:type="paragraph" w:customStyle="1" w:styleId="KMHLevel4NoNumberHeading">
    <w:name w:val="KMH Level 4 No Number Heading"/>
    <w:basedOn w:val="Normal"/>
    <w:next w:val="Normal"/>
    <w:rsid w:val="00A265F6"/>
    <w:rPr>
      <w:b/>
    </w:rPr>
  </w:style>
  <w:style w:type="paragraph" w:customStyle="1" w:styleId="AppendixSubheader">
    <w:name w:val="Appendix Sub header"/>
    <w:basedOn w:val="KMHSubheader"/>
    <w:rsid w:val="008050D4"/>
    <w:pPr>
      <w:jc w:val="right"/>
      <w:outlineLvl w:val="1"/>
    </w:pPr>
  </w:style>
  <w:style w:type="paragraph" w:customStyle="1" w:styleId="KMHNumberheading20">
    <w:name w:val="KMH Number heading 2"/>
    <w:basedOn w:val="KMHNumberHeading2"/>
    <w:link w:val="KMHNumberheading2Char0"/>
    <w:qFormat/>
    <w:rsid w:val="00D93BDC"/>
    <w:pPr>
      <w:spacing w:before="240" w:line="300" w:lineRule="auto"/>
      <w:ind w:left="574" w:hanging="432"/>
    </w:pPr>
    <w:rPr>
      <w:color w:val="1D5C42"/>
    </w:rPr>
  </w:style>
  <w:style w:type="paragraph" w:styleId="Quote">
    <w:name w:val="Quote"/>
    <w:basedOn w:val="Normal"/>
    <w:next w:val="Normal"/>
    <w:link w:val="QuoteChar"/>
    <w:uiPriority w:val="29"/>
    <w:rsid w:val="00223466"/>
    <w:rPr>
      <w:i/>
      <w:iCs/>
      <w:color w:val="000000"/>
    </w:rPr>
  </w:style>
  <w:style w:type="character" w:customStyle="1" w:styleId="ListParagraphChar">
    <w:name w:val="List Paragraph Char"/>
    <w:basedOn w:val="DefaultParagraphFont"/>
    <w:link w:val="ListParagraph"/>
    <w:uiPriority w:val="34"/>
    <w:rsid w:val="00223466"/>
    <w:rPr>
      <w:rFonts w:ascii="Arial" w:hAnsi="Arial"/>
      <w:sz w:val="20"/>
    </w:rPr>
  </w:style>
  <w:style w:type="character" w:customStyle="1" w:styleId="KMHNumberHeading2Char">
    <w:name w:val="KMH Number Heading 2 Char"/>
    <w:basedOn w:val="ListParagraphChar"/>
    <w:link w:val="KMHNumberHeading2"/>
    <w:rsid w:val="00223466"/>
    <w:rPr>
      <w:rFonts w:ascii="Arial" w:hAnsi="Arial" w:cs="Arial"/>
      <w:b/>
      <w:color w:val="235F2A"/>
      <w:sz w:val="24"/>
      <w:szCs w:val="24"/>
    </w:rPr>
  </w:style>
  <w:style w:type="character" w:customStyle="1" w:styleId="KMHNumberheading2Char0">
    <w:name w:val="KMH Number heading 2 Char"/>
    <w:basedOn w:val="KMHNumberHeading2Char"/>
    <w:link w:val="KMHNumberheading20"/>
    <w:rsid w:val="00D93BDC"/>
    <w:rPr>
      <w:rFonts w:ascii="Arial" w:hAnsi="Arial" w:cs="Arial"/>
      <w:b/>
      <w:color w:val="1D5C42"/>
      <w:sz w:val="24"/>
      <w:szCs w:val="24"/>
      <w:lang w:eastAsia="en-US"/>
    </w:rPr>
  </w:style>
  <w:style w:type="character" w:customStyle="1" w:styleId="QuoteChar">
    <w:name w:val="Quote Char"/>
    <w:basedOn w:val="DefaultParagraphFont"/>
    <w:link w:val="Quote"/>
    <w:uiPriority w:val="29"/>
    <w:rsid w:val="00223466"/>
    <w:rPr>
      <w:rFonts w:ascii="Arial" w:hAnsi="Arial"/>
      <w:i/>
      <w:iCs/>
      <w:color w:val="000000"/>
      <w:sz w:val="20"/>
    </w:rPr>
  </w:style>
  <w:style w:type="character" w:customStyle="1" w:styleId="Heading1Char">
    <w:name w:val="Heading 1 Char"/>
    <w:basedOn w:val="DefaultParagraphFont"/>
    <w:link w:val="Heading1"/>
    <w:uiPriority w:val="9"/>
    <w:rsid w:val="00C13CA1"/>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C13CA1"/>
    <w:rPr>
      <w:rFonts w:ascii="Cambria" w:eastAsia="Times New Roman" w:hAnsi="Cambria" w:cs="Times New Roman"/>
      <w:b/>
      <w:bCs/>
      <w:color w:val="4F81BD"/>
      <w:sz w:val="20"/>
    </w:rPr>
  </w:style>
  <w:style w:type="table" w:styleId="TableGrid">
    <w:name w:val="Table Grid"/>
    <w:basedOn w:val="TableNormal"/>
    <w:uiPriority w:val="59"/>
    <w:rsid w:val="00F60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MHsubtitleappendix">
    <w:name w:val="KMH sub title appendix"/>
    <w:basedOn w:val="Normal"/>
    <w:link w:val="KMHsubtitleappendixChar"/>
    <w:qFormat/>
    <w:rsid w:val="004D4621"/>
    <w:pPr>
      <w:spacing w:before="240"/>
      <w:jc w:val="right"/>
    </w:pPr>
    <w:rPr>
      <w:color w:val="1D5C42"/>
      <w:sz w:val="28"/>
      <w:szCs w:val="28"/>
    </w:rPr>
  </w:style>
  <w:style w:type="character" w:customStyle="1" w:styleId="KMHsubtitleappendixChar">
    <w:name w:val="KMH sub title appendix Char"/>
    <w:basedOn w:val="DefaultParagraphFont"/>
    <w:link w:val="KMHsubtitleappendix"/>
    <w:rsid w:val="004D4621"/>
    <w:rPr>
      <w:rFonts w:ascii="Arial" w:hAnsi="Arial"/>
      <w:color w:val="1D5C42"/>
      <w:sz w:val="28"/>
      <w:szCs w:val="28"/>
      <w:lang w:eastAsia="en-US"/>
    </w:rPr>
  </w:style>
  <w:style w:type="paragraph" w:styleId="FootnoteText">
    <w:name w:val="footnote text"/>
    <w:basedOn w:val="Normal"/>
    <w:link w:val="FootnoteTextChar"/>
    <w:uiPriority w:val="99"/>
    <w:semiHidden/>
    <w:unhideWhenUsed/>
    <w:rsid w:val="00983AAC"/>
    <w:pPr>
      <w:spacing w:after="0" w:line="240" w:lineRule="auto"/>
    </w:pPr>
    <w:rPr>
      <w:szCs w:val="20"/>
    </w:rPr>
  </w:style>
  <w:style w:type="character" w:customStyle="1" w:styleId="FootnoteTextChar">
    <w:name w:val="Footnote Text Char"/>
    <w:basedOn w:val="DefaultParagraphFont"/>
    <w:link w:val="FootnoteText"/>
    <w:uiPriority w:val="99"/>
    <w:semiHidden/>
    <w:rsid w:val="00983AAC"/>
    <w:rPr>
      <w:rFonts w:ascii="Arial" w:hAnsi="Arial"/>
      <w:lang w:eastAsia="en-US"/>
    </w:rPr>
  </w:style>
  <w:style w:type="character" w:styleId="FootnoteReference">
    <w:name w:val="footnote reference"/>
    <w:basedOn w:val="DefaultParagraphFont"/>
    <w:uiPriority w:val="99"/>
    <w:semiHidden/>
    <w:unhideWhenUsed/>
    <w:rsid w:val="00983AAC"/>
    <w:rPr>
      <w:vertAlign w:val="superscript"/>
    </w:rPr>
  </w:style>
  <w:style w:type="paragraph" w:customStyle="1" w:styleId="Default">
    <w:name w:val="Default"/>
    <w:rsid w:val="001221BE"/>
    <w:pPr>
      <w:autoSpaceDE w:val="0"/>
      <w:autoSpaceDN w:val="0"/>
      <w:adjustRightInd w:val="0"/>
      <w:spacing w:line="240" w:lineRule="auto"/>
    </w:pPr>
    <w:rPr>
      <w:rFonts w:eastAsiaTheme="minorHAnsi" w:cs="Calibri"/>
      <w:color w:val="000000"/>
      <w:sz w:val="24"/>
      <w:szCs w:val="24"/>
      <w:lang w:eastAsia="en-US"/>
    </w:rPr>
  </w:style>
  <w:style w:type="character" w:styleId="CommentReference">
    <w:name w:val="annotation reference"/>
    <w:basedOn w:val="DefaultParagraphFont"/>
    <w:uiPriority w:val="99"/>
    <w:semiHidden/>
    <w:unhideWhenUsed/>
    <w:rsid w:val="00680E11"/>
    <w:rPr>
      <w:sz w:val="16"/>
      <w:szCs w:val="16"/>
    </w:rPr>
  </w:style>
  <w:style w:type="paragraph" w:styleId="CommentText">
    <w:name w:val="annotation text"/>
    <w:basedOn w:val="Normal"/>
    <w:link w:val="CommentTextChar"/>
    <w:uiPriority w:val="99"/>
    <w:semiHidden/>
    <w:unhideWhenUsed/>
    <w:rsid w:val="00680E11"/>
    <w:pPr>
      <w:spacing w:line="240" w:lineRule="auto"/>
    </w:pPr>
    <w:rPr>
      <w:szCs w:val="20"/>
    </w:rPr>
  </w:style>
  <w:style w:type="character" w:customStyle="1" w:styleId="CommentTextChar">
    <w:name w:val="Comment Text Char"/>
    <w:basedOn w:val="DefaultParagraphFont"/>
    <w:link w:val="CommentText"/>
    <w:uiPriority w:val="99"/>
    <w:semiHidden/>
    <w:rsid w:val="00680E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80E11"/>
    <w:rPr>
      <w:b/>
      <w:bCs/>
    </w:rPr>
  </w:style>
  <w:style w:type="character" w:customStyle="1" w:styleId="CommentSubjectChar">
    <w:name w:val="Comment Subject Char"/>
    <w:basedOn w:val="CommentTextChar"/>
    <w:link w:val="CommentSubject"/>
    <w:uiPriority w:val="99"/>
    <w:semiHidden/>
    <w:rsid w:val="00680E11"/>
    <w:rPr>
      <w:rFonts w:ascii="Arial" w:hAnsi="Arial"/>
      <w:b/>
      <w:bCs/>
      <w:lang w:eastAsia="en-US"/>
    </w:rPr>
  </w:style>
</w:styles>
</file>

<file path=word/webSettings.xml><?xml version="1.0" encoding="utf-8"?>
<w:webSettings xmlns:r="http://schemas.openxmlformats.org/officeDocument/2006/relationships" xmlns:w="http://schemas.openxmlformats.org/wordprocessingml/2006/main">
  <w:divs>
    <w:div w:id="14432604">
      <w:bodyDiv w:val="1"/>
      <w:marLeft w:val="0"/>
      <w:marRight w:val="0"/>
      <w:marTop w:val="0"/>
      <w:marBottom w:val="0"/>
      <w:divBdr>
        <w:top w:val="none" w:sz="0" w:space="0" w:color="auto"/>
        <w:left w:val="none" w:sz="0" w:space="0" w:color="auto"/>
        <w:bottom w:val="none" w:sz="0" w:space="0" w:color="auto"/>
        <w:right w:val="none" w:sz="0" w:space="0" w:color="auto"/>
      </w:divBdr>
    </w:div>
    <w:div w:id="249195366">
      <w:bodyDiv w:val="1"/>
      <w:marLeft w:val="0"/>
      <w:marRight w:val="0"/>
      <w:marTop w:val="0"/>
      <w:marBottom w:val="0"/>
      <w:divBdr>
        <w:top w:val="none" w:sz="0" w:space="0" w:color="auto"/>
        <w:left w:val="none" w:sz="0" w:space="0" w:color="auto"/>
        <w:bottom w:val="none" w:sz="0" w:space="0" w:color="auto"/>
        <w:right w:val="none" w:sz="0" w:space="0" w:color="auto"/>
      </w:divBdr>
    </w:div>
    <w:div w:id="530193622">
      <w:bodyDiv w:val="1"/>
      <w:marLeft w:val="0"/>
      <w:marRight w:val="0"/>
      <w:marTop w:val="0"/>
      <w:marBottom w:val="0"/>
      <w:divBdr>
        <w:top w:val="none" w:sz="0" w:space="0" w:color="auto"/>
        <w:left w:val="none" w:sz="0" w:space="0" w:color="auto"/>
        <w:bottom w:val="none" w:sz="0" w:space="0" w:color="auto"/>
        <w:right w:val="none" w:sz="0" w:space="0" w:color="auto"/>
      </w:divBdr>
    </w:div>
    <w:div w:id="638729995">
      <w:bodyDiv w:val="1"/>
      <w:marLeft w:val="0"/>
      <w:marRight w:val="0"/>
      <w:marTop w:val="0"/>
      <w:marBottom w:val="0"/>
      <w:divBdr>
        <w:top w:val="none" w:sz="0" w:space="0" w:color="auto"/>
        <w:left w:val="none" w:sz="0" w:space="0" w:color="auto"/>
        <w:bottom w:val="none" w:sz="0" w:space="0" w:color="auto"/>
        <w:right w:val="none" w:sz="0" w:space="0" w:color="auto"/>
      </w:divBdr>
    </w:div>
    <w:div w:id="819035955">
      <w:bodyDiv w:val="1"/>
      <w:marLeft w:val="0"/>
      <w:marRight w:val="0"/>
      <w:marTop w:val="0"/>
      <w:marBottom w:val="0"/>
      <w:divBdr>
        <w:top w:val="none" w:sz="0" w:space="0" w:color="auto"/>
        <w:left w:val="none" w:sz="0" w:space="0" w:color="auto"/>
        <w:bottom w:val="none" w:sz="0" w:space="0" w:color="auto"/>
        <w:right w:val="none" w:sz="0" w:space="0" w:color="auto"/>
      </w:divBdr>
    </w:div>
    <w:div w:id="859204312">
      <w:bodyDiv w:val="1"/>
      <w:marLeft w:val="0"/>
      <w:marRight w:val="0"/>
      <w:marTop w:val="0"/>
      <w:marBottom w:val="0"/>
      <w:divBdr>
        <w:top w:val="none" w:sz="0" w:space="0" w:color="auto"/>
        <w:left w:val="none" w:sz="0" w:space="0" w:color="auto"/>
        <w:bottom w:val="none" w:sz="0" w:space="0" w:color="auto"/>
        <w:right w:val="none" w:sz="0" w:space="0" w:color="auto"/>
      </w:divBdr>
    </w:div>
    <w:div w:id="862748463">
      <w:bodyDiv w:val="1"/>
      <w:marLeft w:val="0"/>
      <w:marRight w:val="0"/>
      <w:marTop w:val="0"/>
      <w:marBottom w:val="0"/>
      <w:divBdr>
        <w:top w:val="none" w:sz="0" w:space="0" w:color="auto"/>
        <w:left w:val="none" w:sz="0" w:space="0" w:color="auto"/>
        <w:bottom w:val="none" w:sz="0" w:space="0" w:color="auto"/>
        <w:right w:val="none" w:sz="0" w:space="0" w:color="auto"/>
      </w:divBdr>
    </w:div>
    <w:div w:id="1140345393">
      <w:bodyDiv w:val="1"/>
      <w:marLeft w:val="0"/>
      <w:marRight w:val="0"/>
      <w:marTop w:val="0"/>
      <w:marBottom w:val="0"/>
      <w:divBdr>
        <w:top w:val="none" w:sz="0" w:space="0" w:color="auto"/>
        <w:left w:val="none" w:sz="0" w:space="0" w:color="auto"/>
        <w:bottom w:val="none" w:sz="0" w:space="0" w:color="auto"/>
        <w:right w:val="none" w:sz="0" w:space="0" w:color="auto"/>
      </w:divBdr>
    </w:div>
    <w:div w:id="1245146249">
      <w:bodyDiv w:val="1"/>
      <w:marLeft w:val="0"/>
      <w:marRight w:val="0"/>
      <w:marTop w:val="0"/>
      <w:marBottom w:val="0"/>
      <w:divBdr>
        <w:top w:val="none" w:sz="0" w:space="0" w:color="auto"/>
        <w:left w:val="none" w:sz="0" w:space="0" w:color="auto"/>
        <w:bottom w:val="none" w:sz="0" w:space="0" w:color="auto"/>
        <w:right w:val="none" w:sz="0" w:space="0" w:color="auto"/>
      </w:divBdr>
    </w:div>
    <w:div w:id="1297225601">
      <w:bodyDiv w:val="1"/>
      <w:marLeft w:val="0"/>
      <w:marRight w:val="0"/>
      <w:marTop w:val="0"/>
      <w:marBottom w:val="0"/>
      <w:divBdr>
        <w:top w:val="none" w:sz="0" w:space="0" w:color="auto"/>
        <w:left w:val="none" w:sz="0" w:space="0" w:color="auto"/>
        <w:bottom w:val="none" w:sz="0" w:space="0" w:color="auto"/>
        <w:right w:val="none" w:sz="0" w:space="0" w:color="auto"/>
      </w:divBdr>
    </w:div>
    <w:div w:id="1466043841">
      <w:bodyDiv w:val="1"/>
      <w:marLeft w:val="0"/>
      <w:marRight w:val="0"/>
      <w:marTop w:val="0"/>
      <w:marBottom w:val="0"/>
      <w:divBdr>
        <w:top w:val="none" w:sz="0" w:space="0" w:color="auto"/>
        <w:left w:val="none" w:sz="0" w:space="0" w:color="auto"/>
        <w:bottom w:val="none" w:sz="0" w:space="0" w:color="auto"/>
        <w:right w:val="none" w:sz="0" w:space="0" w:color="auto"/>
      </w:divBdr>
      <w:divsChild>
        <w:div w:id="11999059">
          <w:marLeft w:val="0"/>
          <w:marRight w:val="0"/>
          <w:marTop w:val="0"/>
          <w:marBottom w:val="0"/>
          <w:divBdr>
            <w:top w:val="none" w:sz="0" w:space="0" w:color="auto"/>
            <w:left w:val="none" w:sz="0" w:space="0" w:color="auto"/>
            <w:bottom w:val="none" w:sz="0" w:space="0" w:color="auto"/>
            <w:right w:val="none" w:sz="0" w:space="0" w:color="auto"/>
          </w:divBdr>
        </w:div>
      </w:divsChild>
    </w:div>
    <w:div w:id="1668244930">
      <w:bodyDiv w:val="1"/>
      <w:marLeft w:val="0"/>
      <w:marRight w:val="0"/>
      <w:marTop w:val="0"/>
      <w:marBottom w:val="0"/>
      <w:divBdr>
        <w:top w:val="none" w:sz="0" w:space="0" w:color="auto"/>
        <w:left w:val="none" w:sz="0" w:space="0" w:color="auto"/>
        <w:bottom w:val="none" w:sz="0" w:space="0" w:color="auto"/>
        <w:right w:val="none" w:sz="0" w:space="0" w:color="auto"/>
      </w:divBdr>
    </w:div>
    <w:div w:id="1713575865">
      <w:bodyDiv w:val="1"/>
      <w:marLeft w:val="0"/>
      <w:marRight w:val="0"/>
      <w:marTop w:val="0"/>
      <w:marBottom w:val="0"/>
      <w:divBdr>
        <w:top w:val="none" w:sz="0" w:space="0" w:color="auto"/>
        <w:left w:val="none" w:sz="0" w:space="0" w:color="auto"/>
        <w:bottom w:val="none" w:sz="0" w:space="0" w:color="auto"/>
        <w:right w:val="none" w:sz="0" w:space="0" w:color="auto"/>
      </w:divBdr>
    </w:div>
    <w:div w:id="1792549631">
      <w:bodyDiv w:val="1"/>
      <w:marLeft w:val="0"/>
      <w:marRight w:val="0"/>
      <w:marTop w:val="0"/>
      <w:marBottom w:val="0"/>
      <w:divBdr>
        <w:top w:val="none" w:sz="0" w:space="0" w:color="auto"/>
        <w:left w:val="none" w:sz="0" w:space="0" w:color="auto"/>
        <w:bottom w:val="none" w:sz="0" w:space="0" w:color="auto"/>
        <w:right w:val="none" w:sz="0" w:space="0" w:color="auto"/>
      </w:divBdr>
    </w:div>
    <w:div w:id="19782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cew.gov.au/resource/study-domestic-and-international-fate-end-life-tyres-final-report" TargetMode="External"/><Relationship Id="rId25" Type="http://schemas.openxmlformats.org/officeDocument/2006/relationships/image" Target="media/image8.png"/><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biosolids.com.au/bs-australia.php" TargetMode="External"/><Relationship Id="rId20" Type="http://schemas.openxmlformats.org/officeDocument/2006/relationships/chart" Target="charts/chart1.xml"/><Relationship Id="rId29" Type="http://schemas.openxmlformats.org/officeDocument/2006/relationships/hyperlink" Target="http://www.scew.gov.au/resource/study-domestic-and-international-fate-end-life-tyres-fin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www.biosolids.com.au/bs-australia.php" TargetMode="External"/><Relationship Id="rId10" Type="http://schemas.openxmlformats.org/officeDocument/2006/relationships/endnotes" Target="endnotes.xml"/><Relationship Id="rId19" Type="http://schemas.openxmlformats.org/officeDocument/2006/relationships/hyperlink" Target="http://www.biosolids.com.au/bs-australia.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watoday.com.au/wa-news/stis-spreading-doctors-forced-out-ama-warning-to-fifo-inquiry-20120417-1x4r5.html" TargetMode="External"/><Relationship Id="rId2" Type="http://schemas.openxmlformats.org/officeDocument/2006/relationships/hyperlink" Target="http://www.environment.gov.au/wastepolicy/publications/waste-recycling2011.html" TargetMode="External"/><Relationship Id="rId1" Type="http://schemas.openxmlformats.org/officeDocument/2006/relationships/hyperlink" Target="http://www.watoday.com.au/wa-news/stis-spreading-doctors-forced-out-ama-warning-to-fifo-inquiry-20120417-1x4r5.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AUMELFP1.ENVIRONCORP.INT\DATA\PROJECTS%20&amp;%20CLIENTS\Blue%20Environment\AS140205%20-%20Improving%20Basel%20Reporting\Project\Working\Reports\Compiled%20Haz%20Waste%20Data%20from%20Jurisdictions%2013.05.2013%20gaps%20filled%20ENVIRON%20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mh.com.au\publicrep\Projects%20&amp;%20Proposals\Projects\50%20(WMS)\5012.086\4.%20Resources%20(RE)\Waste%20data%20from%20jurisdictions\KMH-5012086-DSEWPaC-Compiled%20Haz%20Waste%20Data%20from%20Jurisdictions%2026.02.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AU"/>
  <c:chart>
    <c:autoTitleDeleted val="1"/>
    <c:plotArea>
      <c:layout/>
      <c:barChart>
        <c:barDir val="col"/>
        <c:grouping val="clustered"/>
        <c:ser>
          <c:idx val="0"/>
          <c:order val="0"/>
          <c:tx>
            <c:v>normalised waste data</c:v>
          </c:tx>
          <c:cat>
            <c:strRef>
              <c:f>'Tracked waste (normalised) (2)'!$D$1:$H$1</c:f>
              <c:strCache>
                <c:ptCount val="5"/>
                <c:pt idx="0">
                  <c:v>NSW</c:v>
                </c:pt>
                <c:pt idx="1">
                  <c:v>QLD</c:v>
                </c:pt>
                <c:pt idx="2">
                  <c:v>SA</c:v>
                </c:pt>
                <c:pt idx="3">
                  <c:v>VIC</c:v>
                </c:pt>
                <c:pt idx="4">
                  <c:v>WA</c:v>
                </c:pt>
              </c:strCache>
            </c:strRef>
          </c:cat>
          <c:val>
            <c:numRef>
              <c:f>'Tracked waste (normalised) (2)'!$D$17:$H$17</c:f>
              <c:numCache>
                <c:formatCode>#,##0.00</c:formatCode>
                <c:ptCount val="5"/>
                <c:pt idx="0">
                  <c:v>1584658.7060277162</c:v>
                </c:pt>
                <c:pt idx="1">
                  <c:v>1499241.3800000001</c:v>
                </c:pt>
                <c:pt idx="2">
                  <c:v>630000.72625167063</c:v>
                </c:pt>
                <c:pt idx="3">
                  <c:v>1402629</c:v>
                </c:pt>
                <c:pt idx="4">
                  <c:v>731005.27999999991</c:v>
                </c:pt>
              </c:numCache>
            </c:numRef>
          </c:val>
        </c:ser>
        <c:dLbls/>
        <c:axId val="254051840"/>
        <c:axId val="254053376"/>
      </c:barChart>
      <c:catAx>
        <c:axId val="254051840"/>
        <c:scaling>
          <c:orientation val="minMax"/>
        </c:scaling>
        <c:axPos val="b"/>
        <c:majorTickMark val="none"/>
        <c:tickLblPos val="nextTo"/>
        <c:crossAx val="254053376"/>
        <c:crosses val="autoZero"/>
        <c:auto val="1"/>
        <c:lblAlgn val="ctr"/>
        <c:lblOffset val="100"/>
      </c:catAx>
      <c:valAx>
        <c:axId val="254053376"/>
        <c:scaling>
          <c:orientation val="minMax"/>
        </c:scaling>
        <c:axPos val="l"/>
        <c:majorGridlines/>
        <c:title>
          <c:tx>
            <c:rich>
              <a:bodyPr/>
              <a:lstStyle/>
              <a:p>
                <a:pPr>
                  <a:defRPr/>
                </a:pPr>
                <a:r>
                  <a:rPr lang="en-AU"/>
                  <a:t>tonnes</a:t>
                </a:r>
              </a:p>
            </c:rich>
          </c:tx>
          <c:layout>
            <c:manualLayout>
              <c:xMode val="edge"/>
              <c:yMode val="edge"/>
              <c:x val="8.0225828336941751E-2"/>
              <c:y val="0.38547361991676427"/>
            </c:manualLayout>
          </c:layout>
        </c:title>
        <c:numFmt formatCode="#,##0.00" sourceLinked="1"/>
        <c:majorTickMark val="none"/>
        <c:tickLblPos val="nextTo"/>
        <c:crossAx val="254051840"/>
        <c:crosses val="autoZero"/>
        <c:crossBetween val="between"/>
      </c:valAx>
      <c:dTable>
        <c:showHorzBorder val="1"/>
        <c:showVertBorder val="1"/>
        <c:showOutline val="1"/>
        <c:showKeys val="1"/>
      </c:dTable>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AU"/>
  <c:chart>
    <c:autoTitleDeleted val="1"/>
    <c:plotArea>
      <c:layout>
        <c:manualLayout>
          <c:layoutTarget val="inner"/>
          <c:xMode val="edge"/>
          <c:yMode val="edge"/>
          <c:x val="0.18886908340283295"/>
          <c:y val="3.6107072279164154E-2"/>
          <c:w val="0.81111162777881163"/>
          <c:h val="0.86324836427306162"/>
        </c:manualLayout>
      </c:layout>
      <c:barChart>
        <c:barDir val="col"/>
        <c:grouping val="clustered"/>
        <c:ser>
          <c:idx val="0"/>
          <c:order val="0"/>
          <c:tx>
            <c:v>Tonnes/ capita</c:v>
          </c:tx>
          <c:cat>
            <c:strRef>
              <c:f>'Tracked waste (normalised)'!$D$1:$H$1</c:f>
              <c:strCache>
                <c:ptCount val="5"/>
                <c:pt idx="0">
                  <c:v>NSW</c:v>
                </c:pt>
                <c:pt idx="1">
                  <c:v>QLD</c:v>
                </c:pt>
                <c:pt idx="2">
                  <c:v>SA</c:v>
                </c:pt>
                <c:pt idx="3">
                  <c:v>VIC</c:v>
                </c:pt>
                <c:pt idx="4">
                  <c:v>WA</c:v>
                </c:pt>
              </c:strCache>
            </c:strRef>
          </c:cat>
          <c:val>
            <c:numRef>
              <c:f>'Tracked waste (normalised)'!$D$20:$H$20</c:f>
              <c:numCache>
                <c:formatCode>0.00</c:formatCode>
                <c:ptCount val="5"/>
                <c:pt idx="0">
                  <c:v>0.22068512277900387</c:v>
                </c:pt>
                <c:pt idx="1">
                  <c:v>0.39037734287616532</c:v>
                </c:pt>
                <c:pt idx="2">
                  <c:v>0.3558851236616819</c:v>
                </c:pt>
                <c:pt idx="3">
                  <c:v>0.24015252707581217</c:v>
                </c:pt>
                <c:pt idx="4">
                  <c:v>0.33201202531645679</c:v>
                </c:pt>
              </c:numCache>
            </c:numRef>
          </c:val>
        </c:ser>
        <c:dLbls/>
        <c:axId val="261572096"/>
        <c:axId val="261595136"/>
      </c:barChart>
      <c:catAx>
        <c:axId val="261572096"/>
        <c:scaling>
          <c:orientation val="minMax"/>
        </c:scaling>
        <c:axPos val="b"/>
        <c:numFmt formatCode="General" sourceLinked="1"/>
        <c:majorTickMark val="none"/>
        <c:tickLblPos val="nextTo"/>
        <c:crossAx val="261595136"/>
        <c:crosses val="autoZero"/>
        <c:auto val="1"/>
        <c:lblAlgn val="ctr"/>
        <c:lblOffset val="100"/>
      </c:catAx>
      <c:valAx>
        <c:axId val="261595136"/>
        <c:scaling>
          <c:orientation val="minMax"/>
        </c:scaling>
        <c:axPos val="l"/>
        <c:majorGridlines/>
        <c:title>
          <c:tx>
            <c:rich>
              <a:bodyPr/>
              <a:lstStyle/>
              <a:p>
                <a:pPr>
                  <a:defRPr/>
                </a:pPr>
                <a:r>
                  <a:rPr lang="en-US" b="1"/>
                  <a:t>tonnes/capita</a:t>
                </a:r>
              </a:p>
            </c:rich>
          </c:tx>
          <c:layout>
            <c:manualLayout>
              <c:xMode val="edge"/>
              <c:yMode val="edge"/>
              <c:x val="2.8432591996635788E-2"/>
              <c:y val="0.35524712531869795"/>
            </c:manualLayout>
          </c:layout>
        </c:title>
        <c:numFmt formatCode="0.00" sourceLinked="1"/>
        <c:majorTickMark val="none"/>
        <c:tickLblPos val="nextTo"/>
        <c:crossAx val="261572096"/>
        <c:crosses val="autoZero"/>
        <c:crossBetween val="between"/>
      </c:valAx>
      <c:dTable>
        <c:showHorzBorder val="1"/>
        <c:showVertBorder val="1"/>
        <c:showOutline val="1"/>
        <c:showKeys val="1"/>
      </c:dTable>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AEF15B5C38147BD6786A3BE2F2CCE" ma:contentTypeVersion="0" ma:contentTypeDescription="Create a new document." ma:contentTypeScope="" ma:versionID="94aee56394e45cd344f6f173b79c212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B71D6D-49AC-43F9-9CA9-47DC05632C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7ED2C-4E2E-4FC1-9F7E-7EAE752D3DBD}">
  <ds:schemaRefs>
    <ds:schemaRef ds:uri="http://schemas.microsoft.com/sharepoint/v3/contenttype/forms"/>
  </ds:schemaRefs>
</ds:datastoreItem>
</file>

<file path=customXml/itemProps3.xml><?xml version="1.0" encoding="utf-8"?>
<ds:datastoreItem xmlns:ds="http://schemas.openxmlformats.org/officeDocument/2006/customXml" ds:itemID="{3E592E01-0DE3-4B62-83C9-88A4844F6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BB1C64-CFF2-4EE1-BFAD-84991D74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10647</Words>
  <Characters>60691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71196</CharactersWithSpaces>
  <SharedDoc>false</SharedDoc>
  <HLinks>
    <vt:vector size="294" baseType="variant">
      <vt:variant>
        <vt:i4>1441847</vt:i4>
      </vt:variant>
      <vt:variant>
        <vt:i4>290</vt:i4>
      </vt:variant>
      <vt:variant>
        <vt:i4>0</vt:i4>
      </vt:variant>
      <vt:variant>
        <vt:i4>5</vt:i4>
      </vt:variant>
      <vt:variant>
        <vt:lpwstr/>
      </vt:variant>
      <vt:variant>
        <vt:lpwstr>_Toc263926483</vt:lpwstr>
      </vt:variant>
      <vt:variant>
        <vt:i4>1441847</vt:i4>
      </vt:variant>
      <vt:variant>
        <vt:i4>284</vt:i4>
      </vt:variant>
      <vt:variant>
        <vt:i4>0</vt:i4>
      </vt:variant>
      <vt:variant>
        <vt:i4>5</vt:i4>
      </vt:variant>
      <vt:variant>
        <vt:lpwstr/>
      </vt:variant>
      <vt:variant>
        <vt:lpwstr>_Toc263926482</vt:lpwstr>
      </vt:variant>
      <vt:variant>
        <vt:i4>1441847</vt:i4>
      </vt:variant>
      <vt:variant>
        <vt:i4>278</vt:i4>
      </vt:variant>
      <vt:variant>
        <vt:i4>0</vt:i4>
      </vt:variant>
      <vt:variant>
        <vt:i4>5</vt:i4>
      </vt:variant>
      <vt:variant>
        <vt:lpwstr/>
      </vt:variant>
      <vt:variant>
        <vt:lpwstr>_Toc263926481</vt:lpwstr>
      </vt:variant>
      <vt:variant>
        <vt:i4>1441847</vt:i4>
      </vt:variant>
      <vt:variant>
        <vt:i4>272</vt:i4>
      </vt:variant>
      <vt:variant>
        <vt:i4>0</vt:i4>
      </vt:variant>
      <vt:variant>
        <vt:i4>5</vt:i4>
      </vt:variant>
      <vt:variant>
        <vt:lpwstr/>
      </vt:variant>
      <vt:variant>
        <vt:lpwstr>_Toc263926480</vt:lpwstr>
      </vt:variant>
      <vt:variant>
        <vt:i4>1638455</vt:i4>
      </vt:variant>
      <vt:variant>
        <vt:i4>266</vt:i4>
      </vt:variant>
      <vt:variant>
        <vt:i4>0</vt:i4>
      </vt:variant>
      <vt:variant>
        <vt:i4>5</vt:i4>
      </vt:variant>
      <vt:variant>
        <vt:lpwstr/>
      </vt:variant>
      <vt:variant>
        <vt:lpwstr>_Toc263926479</vt:lpwstr>
      </vt:variant>
      <vt:variant>
        <vt:i4>1638455</vt:i4>
      </vt:variant>
      <vt:variant>
        <vt:i4>260</vt:i4>
      </vt:variant>
      <vt:variant>
        <vt:i4>0</vt:i4>
      </vt:variant>
      <vt:variant>
        <vt:i4>5</vt:i4>
      </vt:variant>
      <vt:variant>
        <vt:lpwstr/>
      </vt:variant>
      <vt:variant>
        <vt:lpwstr>_Toc263926478</vt:lpwstr>
      </vt:variant>
      <vt:variant>
        <vt:i4>1638455</vt:i4>
      </vt:variant>
      <vt:variant>
        <vt:i4>254</vt:i4>
      </vt:variant>
      <vt:variant>
        <vt:i4>0</vt:i4>
      </vt:variant>
      <vt:variant>
        <vt:i4>5</vt:i4>
      </vt:variant>
      <vt:variant>
        <vt:lpwstr/>
      </vt:variant>
      <vt:variant>
        <vt:lpwstr>_Toc263926477</vt:lpwstr>
      </vt:variant>
      <vt:variant>
        <vt:i4>1638455</vt:i4>
      </vt:variant>
      <vt:variant>
        <vt:i4>248</vt:i4>
      </vt:variant>
      <vt:variant>
        <vt:i4>0</vt:i4>
      </vt:variant>
      <vt:variant>
        <vt:i4>5</vt:i4>
      </vt:variant>
      <vt:variant>
        <vt:lpwstr/>
      </vt:variant>
      <vt:variant>
        <vt:lpwstr>_Toc263926476</vt:lpwstr>
      </vt:variant>
      <vt:variant>
        <vt:i4>1638455</vt:i4>
      </vt:variant>
      <vt:variant>
        <vt:i4>242</vt:i4>
      </vt:variant>
      <vt:variant>
        <vt:i4>0</vt:i4>
      </vt:variant>
      <vt:variant>
        <vt:i4>5</vt:i4>
      </vt:variant>
      <vt:variant>
        <vt:lpwstr/>
      </vt:variant>
      <vt:variant>
        <vt:lpwstr>_Toc263926475</vt:lpwstr>
      </vt:variant>
      <vt:variant>
        <vt:i4>1638455</vt:i4>
      </vt:variant>
      <vt:variant>
        <vt:i4>236</vt:i4>
      </vt:variant>
      <vt:variant>
        <vt:i4>0</vt:i4>
      </vt:variant>
      <vt:variant>
        <vt:i4>5</vt:i4>
      </vt:variant>
      <vt:variant>
        <vt:lpwstr/>
      </vt:variant>
      <vt:variant>
        <vt:lpwstr>_Toc263926474</vt:lpwstr>
      </vt:variant>
      <vt:variant>
        <vt:i4>1638455</vt:i4>
      </vt:variant>
      <vt:variant>
        <vt:i4>230</vt:i4>
      </vt:variant>
      <vt:variant>
        <vt:i4>0</vt:i4>
      </vt:variant>
      <vt:variant>
        <vt:i4>5</vt:i4>
      </vt:variant>
      <vt:variant>
        <vt:lpwstr/>
      </vt:variant>
      <vt:variant>
        <vt:lpwstr>_Toc263926473</vt:lpwstr>
      </vt:variant>
      <vt:variant>
        <vt:i4>1638455</vt:i4>
      </vt:variant>
      <vt:variant>
        <vt:i4>224</vt:i4>
      </vt:variant>
      <vt:variant>
        <vt:i4>0</vt:i4>
      </vt:variant>
      <vt:variant>
        <vt:i4>5</vt:i4>
      </vt:variant>
      <vt:variant>
        <vt:lpwstr/>
      </vt:variant>
      <vt:variant>
        <vt:lpwstr>_Toc263926472</vt:lpwstr>
      </vt:variant>
      <vt:variant>
        <vt:i4>1638455</vt:i4>
      </vt:variant>
      <vt:variant>
        <vt:i4>218</vt:i4>
      </vt:variant>
      <vt:variant>
        <vt:i4>0</vt:i4>
      </vt:variant>
      <vt:variant>
        <vt:i4>5</vt:i4>
      </vt:variant>
      <vt:variant>
        <vt:lpwstr/>
      </vt:variant>
      <vt:variant>
        <vt:lpwstr>_Toc263926471</vt:lpwstr>
      </vt:variant>
      <vt:variant>
        <vt:i4>1638455</vt:i4>
      </vt:variant>
      <vt:variant>
        <vt:i4>212</vt:i4>
      </vt:variant>
      <vt:variant>
        <vt:i4>0</vt:i4>
      </vt:variant>
      <vt:variant>
        <vt:i4>5</vt:i4>
      </vt:variant>
      <vt:variant>
        <vt:lpwstr/>
      </vt:variant>
      <vt:variant>
        <vt:lpwstr>_Toc263926470</vt:lpwstr>
      </vt:variant>
      <vt:variant>
        <vt:i4>1572919</vt:i4>
      </vt:variant>
      <vt:variant>
        <vt:i4>206</vt:i4>
      </vt:variant>
      <vt:variant>
        <vt:i4>0</vt:i4>
      </vt:variant>
      <vt:variant>
        <vt:i4>5</vt:i4>
      </vt:variant>
      <vt:variant>
        <vt:lpwstr/>
      </vt:variant>
      <vt:variant>
        <vt:lpwstr>_Toc263926469</vt:lpwstr>
      </vt:variant>
      <vt:variant>
        <vt:i4>1572919</vt:i4>
      </vt:variant>
      <vt:variant>
        <vt:i4>200</vt:i4>
      </vt:variant>
      <vt:variant>
        <vt:i4>0</vt:i4>
      </vt:variant>
      <vt:variant>
        <vt:i4>5</vt:i4>
      </vt:variant>
      <vt:variant>
        <vt:lpwstr/>
      </vt:variant>
      <vt:variant>
        <vt:lpwstr>_Toc263926468</vt:lpwstr>
      </vt:variant>
      <vt:variant>
        <vt:i4>1572919</vt:i4>
      </vt:variant>
      <vt:variant>
        <vt:i4>194</vt:i4>
      </vt:variant>
      <vt:variant>
        <vt:i4>0</vt:i4>
      </vt:variant>
      <vt:variant>
        <vt:i4>5</vt:i4>
      </vt:variant>
      <vt:variant>
        <vt:lpwstr/>
      </vt:variant>
      <vt:variant>
        <vt:lpwstr>_Toc263926467</vt:lpwstr>
      </vt:variant>
      <vt:variant>
        <vt:i4>1572919</vt:i4>
      </vt:variant>
      <vt:variant>
        <vt:i4>188</vt:i4>
      </vt:variant>
      <vt:variant>
        <vt:i4>0</vt:i4>
      </vt:variant>
      <vt:variant>
        <vt:i4>5</vt:i4>
      </vt:variant>
      <vt:variant>
        <vt:lpwstr/>
      </vt:variant>
      <vt:variant>
        <vt:lpwstr>_Toc263926466</vt:lpwstr>
      </vt:variant>
      <vt:variant>
        <vt:i4>1572919</vt:i4>
      </vt:variant>
      <vt:variant>
        <vt:i4>182</vt:i4>
      </vt:variant>
      <vt:variant>
        <vt:i4>0</vt:i4>
      </vt:variant>
      <vt:variant>
        <vt:i4>5</vt:i4>
      </vt:variant>
      <vt:variant>
        <vt:lpwstr/>
      </vt:variant>
      <vt:variant>
        <vt:lpwstr>_Toc263926465</vt:lpwstr>
      </vt:variant>
      <vt:variant>
        <vt:i4>1572919</vt:i4>
      </vt:variant>
      <vt:variant>
        <vt:i4>176</vt:i4>
      </vt:variant>
      <vt:variant>
        <vt:i4>0</vt:i4>
      </vt:variant>
      <vt:variant>
        <vt:i4>5</vt:i4>
      </vt:variant>
      <vt:variant>
        <vt:lpwstr/>
      </vt:variant>
      <vt:variant>
        <vt:lpwstr>_Toc263926464</vt:lpwstr>
      </vt:variant>
      <vt:variant>
        <vt:i4>1572919</vt:i4>
      </vt:variant>
      <vt:variant>
        <vt:i4>170</vt:i4>
      </vt:variant>
      <vt:variant>
        <vt:i4>0</vt:i4>
      </vt:variant>
      <vt:variant>
        <vt:i4>5</vt:i4>
      </vt:variant>
      <vt:variant>
        <vt:lpwstr/>
      </vt:variant>
      <vt:variant>
        <vt:lpwstr>_Toc263926463</vt:lpwstr>
      </vt:variant>
      <vt:variant>
        <vt:i4>1572919</vt:i4>
      </vt:variant>
      <vt:variant>
        <vt:i4>164</vt:i4>
      </vt:variant>
      <vt:variant>
        <vt:i4>0</vt:i4>
      </vt:variant>
      <vt:variant>
        <vt:i4>5</vt:i4>
      </vt:variant>
      <vt:variant>
        <vt:lpwstr/>
      </vt:variant>
      <vt:variant>
        <vt:lpwstr>_Toc263926462</vt:lpwstr>
      </vt:variant>
      <vt:variant>
        <vt:i4>1572919</vt:i4>
      </vt:variant>
      <vt:variant>
        <vt:i4>158</vt:i4>
      </vt:variant>
      <vt:variant>
        <vt:i4>0</vt:i4>
      </vt:variant>
      <vt:variant>
        <vt:i4>5</vt:i4>
      </vt:variant>
      <vt:variant>
        <vt:lpwstr/>
      </vt:variant>
      <vt:variant>
        <vt:lpwstr>_Toc263926461</vt:lpwstr>
      </vt:variant>
      <vt:variant>
        <vt:i4>1572919</vt:i4>
      </vt:variant>
      <vt:variant>
        <vt:i4>152</vt:i4>
      </vt:variant>
      <vt:variant>
        <vt:i4>0</vt:i4>
      </vt:variant>
      <vt:variant>
        <vt:i4>5</vt:i4>
      </vt:variant>
      <vt:variant>
        <vt:lpwstr/>
      </vt:variant>
      <vt:variant>
        <vt:lpwstr>_Toc263926460</vt:lpwstr>
      </vt:variant>
      <vt:variant>
        <vt:i4>1769527</vt:i4>
      </vt:variant>
      <vt:variant>
        <vt:i4>146</vt:i4>
      </vt:variant>
      <vt:variant>
        <vt:i4>0</vt:i4>
      </vt:variant>
      <vt:variant>
        <vt:i4>5</vt:i4>
      </vt:variant>
      <vt:variant>
        <vt:lpwstr/>
      </vt:variant>
      <vt:variant>
        <vt:lpwstr>_Toc263926459</vt:lpwstr>
      </vt:variant>
      <vt:variant>
        <vt:i4>1769527</vt:i4>
      </vt:variant>
      <vt:variant>
        <vt:i4>140</vt:i4>
      </vt:variant>
      <vt:variant>
        <vt:i4>0</vt:i4>
      </vt:variant>
      <vt:variant>
        <vt:i4>5</vt:i4>
      </vt:variant>
      <vt:variant>
        <vt:lpwstr/>
      </vt:variant>
      <vt:variant>
        <vt:lpwstr>_Toc263926458</vt:lpwstr>
      </vt:variant>
      <vt:variant>
        <vt:i4>1769527</vt:i4>
      </vt:variant>
      <vt:variant>
        <vt:i4>134</vt:i4>
      </vt:variant>
      <vt:variant>
        <vt:i4>0</vt:i4>
      </vt:variant>
      <vt:variant>
        <vt:i4>5</vt:i4>
      </vt:variant>
      <vt:variant>
        <vt:lpwstr/>
      </vt:variant>
      <vt:variant>
        <vt:lpwstr>_Toc263926457</vt:lpwstr>
      </vt:variant>
      <vt:variant>
        <vt:i4>1769527</vt:i4>
      </vt:variant>
      <vt:variant>
        <vt:i4>128</vt:i4>
      </vt:variant>
      <vt:variant>
        <vt:i4>0</vt:i4>
      </vt:variant>
      <vt:variant>
        <vt:i4>5</vt:i4>
      </vt:variant>
      <vt:variant>
        <vt:lpwstr/>
      </vt:variant>
      <vt:variant>
        <vt:lpwstr>_Toc263926456</vt:lpwstr>
      </vt:variant>
      <vt:variant>
        <vt:i4>1769527</vt:i4>
      </vt:variant>
      <vt:variant>
        <vt:i4>122</vt:i4>
      </vt:variant>
      <vt:variant>
        <vt:i4>0</vt:i4>
      </vt:variant>
      <vt:variant>
        <vt:i4>5</vt:i4>
      </vt:variant>
      <vt:variant>
        <vt:lpwstr/>
      </vt:variant>
      <vt:variant>
        <vt:lpwstr>_Toc263926455</vt:lpwstr>
      </vt:variant>
      <vt:variant>
        <vt:i4>1769527</vt:i4>
      </vt:variant>
      <vt:variant>
        <vt:i4>116</vt:i4>
      </vt:variant>
      <vt:variant>
        <vt:i4>0</vt:i4>
      </vt:variant>
      <vt:variant>
        <vt:i4>5</vt:i4>
      </vt:variant>
      <vt:variant>
        <vt:lpwstr/>
      </vt:variant>
      <vt:variant>
        <vt:lpwstr>_Toc263926454</vt:lpwstr>
      </vt:variant>
      <vt:variant>
        <vt:i4>1769527</vt:i4>
      </vt:variant>
      <vt:variant>
        <vt:i4>110</vt:i4>
      </vt:variant>
      <vt:variant>
        <vt:i4>0</vt:i4>
      </vt:variant>
      <vt:variant>
        <vt:i4>5</vt:i4>
      </vt:variant>
      <vt:variant>
        <vt:lpwstr/>
      </vt:variant>
      <vt:variant>
        <vt:lpwstr>_Toc263926453</vt:lpwstr>
      </vt:variant>
      <vt:variant>
        <vt:i4>1769527</vt:i4>
      </vt:variant>
      <vt:variant>
        <vt:i4>104</vt:i4>
      </vt:variant>
      <vt:variant>
        <vt:i4>0</vt:i4>
      </vt:variant>
      <vt:variant>
        <vt:i4>5</vt:i4>
      </vt:variant>
      <vt:variant>
        <vt:lpwstr/>
      </vt:variant>
      <vt:variant>
        <vt:lpwstr>_Toc263926452</vt:lpwstr>
      </vt:variant>
      <vt:variant>
        <vt:i4>1769527</vt:i4>
      </vt:variant>
      <vt:variant>
        <vt:i4>98</vt:i4>
      </vt:variant>
      <vt:variant>
        <vt:i4>0</vt:i4>
      </vt:variant>
      <vt:variant>
        <vt:i4>5</vt:i4>
      </vt:variant>
      <vt:variant>
        <vt:lpwstr/>
      </vt:variant>
      <vt:variant>
        <vt:lpwstr>_Toc263926451</vt:lpwstr>
      </vt:variant>
      <vt:variant>
        <vt:i4>1769527</vt:i4>
      </vt:variant>
      <vt:variant>
        <vt:i4>92</vt:i4>
      </vt:variant>
      <vt:variant>
        <vt:i4>0</vt:i4>
      </vt:variant>
      <vt:variant>
        <vt:i4>5</vt:i4>
      </vt:variant>
      <vt:variant>
        <vt:lpwstr/>
      </vt:variant>
      <vt:variant>
        <vt:lpwstr>_Toc263926450</vt:lpwstr>
      </vt:variant>
      <vt:variant>
        <vt:i4>1703991</vt:i4>
      </vt:variant>
      <vt:variant>
        <vt:i4>86</vt:i4>
      </vt:variant>
      <vt:variant>
        <vt:i4>0</vt:i4>
      </vt:variant>
      <vt:variant>
        <vt:i4>5</vt:i4>
      </vt:variant>
      <vt:variant>
        <vt:lpwstr/>
      </vt:variant>
      <vt:variant>
        <vt:lpwstr>_Toc263926449</vt:lpwstr>
      </vt:variant>
      <vt:variant>
        <vt:i4>1703991</vt:i4>
      </vt:variant>
      <vt:variant>
        <vt:i4>80</vt:i4>
      </vt:variant>
      <vt:variant>
        <vt:i4>0</vt:i4>
      </vt:variant>
      <vt:variant>
        <vt:i4>5</vt:i4>
      </vt:variant>
      <vt:variant>
        <vt:lpwstr/>
      </vt:variant>
      <vt:variant>
        <vt:lpwstr>_Toc263926448</vt:lpwstr>
      </vt:variant>
      <vt:variant>
        <vt:i4>1703991</vt:i4>
      </vt:variant>
      <vt:variant>
        <vt:i4>74</vt:i4>
      </vt:variant>
      <vt:variant>
        <vt:i4>0</vt:i4>
      </vt:variant>
      <vt:variant>
        <vt:i4>5</vt:i4>
      </vt:variant>
      <vt:variant>
        <vt:lpwstr/>
      </vt:variant>
      <vt:variant>
        <vt:lpwstr>_Toc263926447</vt:lpwstr>
      </vt:variant>
      <vt:variant>
        <vt:i4>1703991</vt:i4>
      </vt:variant>
      <vt:variant>
        <vt:i4>68</vt:i4>
      </vt:variant>
      <vt:variant>
        <vt:i4>0</vt:i4>
      </vt:variant>
      <vt:variant>
        <vt:i4>5</vt:i4>
      </vt:variant>
      <vt:variant>
        <vt:lpwstr/>
      </vt:variant>
      <vt:variant>
        <vt:lpwstr>_Toc263926446</vt:lpwstr>
      </vt:variant>
      <vt:variant>
        <vt:i4>1703991</vt:i4>
      </vt:variant>
      <vt:variant>
        <vt:i4>62</vt:i4>
      </vt:variant>
      <vt:variant>
        <vt:i4>0</vt:i4>
      </vt:variant>
      <vt:variant>
        <vt:i4>5</vt:i4>
      </vt:variant>
      <vt:variant>
        <vt:lpwstr/>
      </vt:variant>
      <vt:variant>
        <vt:lpwstr>_Toc263926445</vt:lpwstr>
      </vt:variant>
      <vt:variant>
        <vt:i4>1703991</vt:i4>
      </vt:variant>
      <vt:variant>
        <vt:i4>56</vt:i4>
      </vt:variant>
      <vt:variant>
        <vt:i4>0</vt:i4>
      </vt:variant>
      <vt:variant>
        <vt:i4>5</vt:i4>
      </vt:variant>
      <vt:variant>
        <vt:lpwstr/>
      </vt:variant>
      <vt:variant>
        <vt:lpwstr>_Toc263926444</vt:lpwstr>
      </vt:variant>
      <vt:variant>
        <vt:i4>1703991</vt:i4>
      </vt:variant>
      <vt:variant>
        <vt:i4>50</vt:i4>
      </vt:variant>
      <vt:variant>
        <vt:i4>0</vt:i4>
      </vt:variant>
      <vt:variant>
        <vt:i4>5</vt:i4>
      </vt:variant>
      <vt:variant>
        <vt:lpwstr/>
      </vt:variant>
      <vt:variant>
        <vt:lpwstr>_Toc263926443</vt:lpwstr>
      </vt:variant>
      <vt:variant>
        <vt:i4>1703991</vt:i4>
      </vt:variant>
      <vt:variant>
        <vt:i4>44</vt:i4>
      </vt:variant>
      <vt:variant>
        <vt:i4>0</vt:i4>
      </vt:variant>
      <vt:variant>
        <vt:i4>5</vt:i4>
      </vt:variant>
      <vt:variant>
        <vt:lpwstr/>
      </vt:variant>
      <vt:variant>
        <vt:lpwstr>_Toc263926442</vt:lpwstr>
      </vt:variant>
      <vt:variant>
        <vt:i4>1703991</vt:i4>
      </vt:variant>
      <vt:variant>
        <vt:i4>38</vt:i4>
      </vt:variant>
      <vt:variant>
        <vt:i4>0</vt:i4>
      </vt:variant>
      <vt:variant>
        <vt:i4>5</vt:i4>
      </vt:variant>
      <vt:variant>
        <vt:lpwstr/>
      </vt:variant>
      <vt:variant>
        <vt:lpwstr>_Toc263926441</vt:lpwstr>
      </vt:variant>
      <vt:variant>
        <vt:i4>1703991</vt:i4>
      </vt:variant>
      <vt:variant>
        <vt:i4>32</vt:i4>
      </vt:variant>
      <vt:variant>
        <vt:i4>0</vt:i4>
      </vt:variant>
      <vt:variant>
        <vt:i4>5</vt:i4>
      </vt:variant>
      <vt:variant>
        <vt:lpwstr/>
      </vt:variant>
      <vt:variant>
        <vt:lpwstr>_Toc263926440</vt:lpwstr>
      </vt:variant>
      <vt:variant>
        <vt:i4>1900599</vt:i4>
      </vt:variant>
      <vt:variant>
        <vt:i4>26</vt:i4>
      </vt:variant>
      <vt:variant>
        <vt:i4>0</vt:i4>
      </vt:variant>
      <vt:variant>
        <vt:i4>5</vt:i4>
      </vt:variant>
      <vt:variant>
        <vt:lpwstr/>
      </vt:variant>
      <vt:variant>
        <vt:lpwstr>_Toc263926439</vt:lpwstr>
      </vt:variant>
      <vt:variant>
        <vt:i4>1900599</vt:i4>
      </vt:variant>
      <vt:variant>
        <vt:i4>20</vt:i4>
      </vt:variant>
      <vt:variant>
        <vt:i4>0</vt:i4>
      </vt:variant>
      <vt:variant>
        <vt:i4>5</vt:i4>
      </vt:variant>
      <vt:variant>
        <vt:lpwstr/>
      </vt:variant>
      <vt:variant>
        <vt:lpwstr>_Toc263926438</vt:lpwstr>
      </vt:variant>
      <vt:variant>
        <vt:i4>1900599</vt:i4>
      </vt:variant>
      <vt:variant>
        <vt:i4>14</vt:i4>
      </vt:variant>
      <vt:variant>
        <vt:i4>0</vt:i4>
      </vt:variant>
      <vt:variant>
        <vt:i4>5</vt:i4>
      </vt:variant>
      <vt:variant>
        <vt:lpwstr/>
      </vt:variant>
      <vt:variant>
        <vt:lpwstr>_Toc263926437</vt:lpwstr>
      </vt:variant>
      <vt:variant>
        <vt:i4>1900599</vt:i4>
      </vt:variant>
      <vt:variant>
        <vt:i4>8</vt:i4>
      </vt:variant>
      <vt:variant>
        <vt:i4>0</vt:i4>
      </vt:variant>
      <vt:variant>
        <vt:i4>5</vt:i4>
      </vt:variant>
      <vt:variant>
        <vt:lpwstr/>
      </vt:variant>
      <vt:variant>
        <vt:lpwstr>_Toc263926436</vt:lpwstr>
      </vt:variant>
      <vt:variant>
        <vt:i4>1900599</vt:i4>
      </vt:variant>
      <vt:variant>
        <vt:i4>2</vt:i4>
      </vt:variant>
      <vt:variant>
        <vt:i4>0</vt:i4>
      </vt:variant>
      <vt:variant>
        <vt:i4>5</vt:i4>
      </vt:variant>
      <vt:variant>
        <vt:lpwstr/>
      </vt:variant>
      <vt:variant>
        <vt:lpwstr>_Toc263926435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Waste Data Summary (2010-11)</dc:title>
  <dc:creator>KMH Environmental and ENVIRON Australia</dc:creator>
  <cp:lastModifiedBy>Rebecca Durack</cp:lastModifiedBy>
  <cp:revision>2</cp:revision>
  <cp:lastPrinted>2014-06-17T06:34:00Z</cp:lastPrinted>
  <dcterms:created xsi:type="dcterms:W3CDTF">2015-01-19T02:05:00Z</dcterms:created>
  <dcterms:modified xsi:type="dcterms:W3CDTF">2015-01-19T02:05:00Z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0x01010002FAEF15B5C38147BD6786A3BE2F2CCE</vt:lpwstr>
  </property>
</Properties>
</file>