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theme/themeOverride3.xml" ContentType="application/vnd.openxmlformats-officedocument.themeOverride+xml"/>
  <Override PartName="/word/footer7.xml" ContentType="application/vnd.openxmlformats-officedocument.wordprocessingml.footer+xml"/>
  <Override PartName="/word/header14.xml" ContentType="application/vnd.openxmlformats-officedocument.wordprocessingml.header+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footer8.xml" ContentType="application/vnd.openxmlformats-officedocument.wordprocessingml.footer+xml"/>
  <Override PartName="/word/theme/themeOverride2.xml" ContentType="application/vnd.openxmlformats-officedocument.themeOverride+xml"/>
  <Default Extension="jpeg" ContentType="image/jpeg"/>
  <Override PartName="/word/footer6.xml" ContentType="application/vnd.openxmlformats-officedocument.wordprocessingml.footer+xml"/>
  <Override PartName="/word/header15.xml" ContentType="application/vnd.openxmlformats-officedocument.wordprocessingml.header+xml"/>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OLE_LINK1"/>
    <w:bookmarkStart w:id="1" w:name="OLE_LINK2"/>
    <w:p w:rsidR="004D43AB" w:rsidRPr="009B40BB" w:rsidRDefault="003E6F16" w:rsidP="00114CB5">
      <w:pPr>
        <w:pStyle w:val="Title"/>
      </w:pPr>
      <w:r w:rsidRPr="009B40BB">
        <w:fldChar w:fldCharType="begin"/>
      </w:r>
      <w:r w:rsidR="008C03CB" w:rsidRPr="009B40BB">
        <w:instrText xml:space="preserve"> DOCPROPERTY  xTitle  \* MERGEFORMAT </w:instrText>
      </w:r>
      <w:r w:rsidRPr="009B40BB">
        <w:fldChar w:fldCharType="separate"/>
      </w:r>
      <w:r w:rsidR="005B2F4C">
        <w:t>Improving Australia's reporting on hazardous waste under the Basel Convention</w:t>
      </w:r>
      <w:r w:rsidRPr="009B40BB">
        <w:fldChar w:fldCharType="end"/>
      </w:r>
    </w:p>
    <w:bookmarkStart w:id="2" w:name="Draft_or_final_1"/>
    <w:bookmarkEnd w:id="0"/>
    <w:bookmarkEnd w:id="1"/>
    <w:p w:rsidR="00114CB5" w:rsidRPr="009B40BB" w:rsidRDefault="003E6F16" w:rsidP="002A0F82">
      <w:pPr>
        <w:pStyle w:val="Draft"/>
        <w:rPr>
          <w:rStyle w:val="Grey"/>
          <w:color w:val="0000FF"/>
        </w:rPr>
      </w:pPr>
      <w:r w:rsidRPr="009B40BB">
        <w:fldChar w:fldCharType="begin"/>
      </w:r>
      <w:r w:rsidR="00114CB5" w:rsidRPr="009B40BB">
        <w:instrText xml:space="preserve"> DOCPROPERTY  xDraft  \* MERGEFORMAT </w:instrText>
      </w:r>
      <w:r w:rsidRPr="009B40BB">
        <w:fldChar w:fldCharType="separate"/>
      </w:r>
      <w:r w:rsidR="005B2F4C">
        <w:t>Final</w:t>
      </w:r>
      <w:r w:rsidRPr="009B40BB">
        <w:fldChar w:fldCharType="end"/>
      </w:r>
      <w:bookmarkEnd w:id="2"/>
      <w:r w:rsidR="00114CB5" w:rsidRPr="009B40BB">
        <w:t xml:space="preserve"> report</w:t>
      </w:r>
    </w:p>
    <w:p w:rsidR="006D0E9D" w:rsidRPr="009B40BB" w:rsidRDefault="006F02D4" w:rsidP="002A0F82">
      <w:pPr>
        <w:pStyle w:val="Titlepagetext"/>
      </w:pPr>
      <w:proofErr w:type="gramStart"/>
      <w:r w:rsidRPr="009B40BB">
        <w:rPr>
          <w:rStyle w:val="Grey"/>
          <w:color w:val="0000FF"/>
        </w:rPr>
        <w:t>prepared</w:t>
      </w:r>
      <w:proofErr w:type="gramEnd"/>
      <w:r w:rsidRPr="009B40BB">
        <w:t xml:space="preserve"> for</w:t>
      </w:r>
    </w:p>
    <w:p w:rsidR="00A5062A" w:rsidRPr="009B40BB" w:rsidRDefault="003E6F16" w:rsidP="00186C62">
      <w:pPr>
        <w:pStyle w:val="Client"/>
        <w:rPr>
          <w:rStyle w:val="Grey"/>
        </w:rPr>
      </w:pPr>
      <w:fldSimple w:instr=" DOCPROPERTY  xClient  \* MERGEFORMAT ">
        <w:r w:rsidR="005B2F4C">
          <w:t>Department of the Environment</w:t>
        </w:r>
      </w:fldSimple>
    </w:p>
    <w:p w:rsidR="009F31BB" w:rsidRPr="009B40BB" w:rsidRDefault="00EC3125" w:rsidP="00186C62">
      <w:pPr>
        <w:pStyle w:val="Subsubtitle"/>
      </w:pPr>
      <w:r>
        <w:t>17 June</w:t>
      </w:r>
      <w:r w:rsidR="00077BE4">
        <w:t xml:space="preserve"> 2014</w:t>
      </w:r>
    </w:p>
    <w:p w:rsidR="00093F02" w:rsidRPr="009B40BB" w:rsidRDefault="00093F02" w:rsidP="00E82ECD"/>
    <w:p w:rsidR="006D0E9D" w:rsidRPr="009B40BB" w:rsidRDefault="006D0E9D" w:rsidP="00E82ECD">
      <w:pPr>
        <w:sectPr w:rsidR="006D0E9D" w:rsidRPr="009B40BB" w:rsidSect="00030167">
          <w:headerReference w:type="even" r:id="rId8"/>
          <w:headerReference w:type="default" r:id="rId9"/>
          <w:headerReference w:type="first" r:id="rId10"/>
          <w:pgSz w:w="11907" w:h="16840" w:code="9"/>
          <w:pgMar w:top="1928" w:right="1077" w:bottom="1559" w:left="1474" w:header="709" w:footer="709" w:gutter="0"/>
          <w:pgNumType w:start="0"/>
          <w:cols w:space="708"/>
          <w:docGrid w:linePitch="360"/>
        </w:sectPr>
      </w:pPr>
    </w:p>
    <w:bookmarkStart w:id="3" w:name="Report_title_1"/>
    <w:p w:rsidR="00B80C20" w:rsidRPr="009B40BB" w:rsidRDefault="003E6F16" w:rsidP="00186C62">
      <w:pPr>
        <w:pStyle w:val="Title2"/>
      </w:pPr>
      <w:r w:rsidRPr="009B40BB">
        <w:lastRenderedPageBreak/>
        <w:fldChar w:fldCharType="begin"/>
      </w:r>
      <w:r w:rsidR="008C03CB" w:rsidRPr="009B40BB">
        <w:instrText xml:space="preserve"> DOCPROPERTY  xTitle  \* MERGEFORMAT </w:instrText>
      </w:r>
      <w:r w:rsidRPr="009B40BB">
        <w:fldChar w:fldCharType="separate"/>
      </w:r>
      <w:r w:rsidR="005B2F4C">
        <w:t>Improving Australia's reporting on hazardous waste under the Basel Convention</w:t>
      </w:r>
      <w:r w:rsidRPr="009B40BB">
        <w:fldChar w:fldCharType="end"/>
      </w:r>
      <w:r w:rsidR="00B80C20" w:rsidRPr="009B40BB">
        <w:t xml:space="preserve"> </w:t>
      </w:r>
      <w:bookmarkEnd w:id="3"/>
    </w:p>
    <w:p w:rsidR="007D4D1E" w:rsidRPr="009B40BB" w:rsidRDefault="003E6F16" w:rsidP="00186C62">
      <w:pPr>
        <w:pStyle w:val="Subsubtitle"/>
      </w:pPr>
      <w:fldSimple w:instr=" DOCPROPERTY  xDraft  \* MERGEFORMAT ">
        <w:r w:rsidR="005B2F4C">
          <w:t>Final</w:t>
        </w:r>
      </w:fldSimple>
      <w:r w:rsidR="007D4D1E" w:rsidRPr="009B40BB">
        <w:t xml:space="preserve"> </w:t>
      </w:r>
      <w:r w:rsidR="00F13E36" w:rsidRPr="009B40BB">
        <w:t>report</w:t>
      </w:r>
      <w:r w:rsidR="007D4D1E" w:rsidRPr="009B40BB">
        <w:t xml:space="preserve">: </w:t>
      </w:r>
      <w:fldSimple w:instr=" DOCPROPERTY  xProjectNumber  \* MERGEFORMAT ">
        <w:r w:rsidR="005B2F4C">
          <w:t>P459</w:t>
        </w:r>
      </w:fldSimple>
    </w:p>
    <w:p w:rsidR="00B520D1" w:rsidRPr="009B40BB" w:rsidRDefault="00EC3125" w:rsidP="00186C62">
      <w:pPr>
        <w:pStyle w:val="Subsubtitle"/>
      </w:pPr>
      <w:r>
        <w:t>17 June</w:t>
      </w:r>
      <w:r w:rsidR="00077BE4">
        <w:t xml:space="preserve"> 2014</w:t>
      </w:r>
    </w:p>
    <w:p w:rsidR="00C1117F" w:rsidRPr="009B40BB" w:rsidRDefault="00C1117F" w:rsidP="007D4D1E">
      <w:pPr>
        <w:pStyle w:val="DisclaimerHeading"/>
      </w:pPr>
      <w:bookmarkStart w:id="4" w:name="BE_Disclaimer"/>
      <w:bookmarkEnd w:id="4"/>
      <w:r w:rsidRPr="009B40BB">
        <w:t>Disclaimer</w:t>
      </w:r>
    </w:p>
    <w:p w:rsidR="00186C62" w:rsidRPr="009B40BB" w:rsidRDefault="00186C62" w:rsidP="00186C62">
      <w:pPr>
        <w:pStyle w:val="DisclaimerText"/>
      </w:pPr>
      <w:r w:rsidRPr="009B40BB">
        <w:t xml:space="preserve">This report has been prepared for </w:t>
      </w:r>
      <w:fldSimple w:instr=" DOCPROPERTY  xClient  \* MERGEFORMAT ">
        <w:r w:rsidR="005B2F4C">
          <w:t>Department of the Environment</w:t>
        </w:r>
      </w:fldSimple>
      <w:r w:rsidRPr="009B40BB">
        <w:t xml:space="preserve"> in accordance with the terms and </w:t>
      </w:r>
      <w:proofErr w:type="gramStart"/>
      <w:r w:rsidRPr="009B40BB">
        <w:t xml:space="preserve">conditions of appointment dated </w:t>
      </w:r>
      <w:fldSimple w:instr=" DOCPROPERTY  xContractDate  \* MERGEFORMAT ">
        <w:r w:rsidR="005B2F4C">
          <w:t>5 November 2013</w:t>
        </w:r>
      </w:fldSimple>
      <w:r w:rsidRPr="009B40BB">
        <w:t>, and is</w:t>
      </w:r>
      <w:proofErr w:type="gramEnd"/>
      <w:r w:rsidRPr="009B40BB">
        <w:t xml:space="preserve"> based on the assumptions and exclusions set out in our scope of work. Information in this document is current as of </w:t>
      </w:r>
      <w:fldSimple w:instr=" DOCPROPERTY  xCurrentTo  \* MERGEFORMAT ">
        <w:r w:rsidR="005B2F4C">
          <w:t>January 2014</w:t>
        </w:r>
      </w:fldSimple>
      <w:r w:rsidRPr="009B40BB">
        <w:t xml:space="preserve">. This report has been compiled based on secondary information and data provided by other parties; as such it relies on the accuracy of the provided material. Although the data has been reviewed, the information provided was assumed to be correct unless otherwise stated. </w:t>
      </w:r>
    </w:p>
    <w:p w:rsidR="00186C62" w:rsidRPr="009B40BB" w:rsidRDefault="00186C62" w:rsidP="00186C62">
      <w:pPr>
        <w:pStyle w:val="DisclaimerText"/>
      </w:pPr>
      <w:r w:rsidRPr="009B40BB">
        <w:t>While all professional care has been undertaken in preparing this report, Blue Environment Pty Ltd cannot accept any responsibility for any use of or reliance on the contents of this report by any third party.</w:t>
      </w:r>
    </w:p>
    <w:p w:rsidR="009D67EE" w:rsidRPr="009B40BB" w:rsidRDefault="000C685B" w:rsidP="002A0F82">
      <w:pPr>
        <w:pStyle w:val="Copyright"/>
        <w:spacing w:after="360"/>
      </w:pPr>
      <w:r w:rsidRPr="009B40BB">
        <w:t>©</w:t>
      </w:r>
      <w:r w:rsidR="00585F91" w:rsidRPr="009B40BB">
        <w:t xml:space="preserve"> </w:t>
      </w:r>
      <w:fldSimple w:instr=" DOCPROPERTY  xCopyright  \* MERGEFORMAT ">
        <w:r w:rsidR="005B2F4C">
          <w:t>Department of the Environment and Blue Environment Pty Ltd</w:t>
        </w:r>
      </w:fldSimple>
      <w:r w:rsidR="008A4C52" w:rsidRPr="009B40BB">
        <w:t xml:space="preserve"> </w:t>
      </w:r>
    </w:p>
    <w:p w:rsidR="00D40345" w:rsidRPr="009B40BB" w:rsidRDefault="00186C62" w:rsidP="002A0F82">
      <w:pPr>
        <w:pStyle w:val="Titlepagetext"/>
        <w:rPr>
          <w:rFonts w:asciiTheme="minorHAnsi" w:hAnsiTheme="minorHAnsi"/>
        </w:rPr>
      </w:pPr>
      <w:r w:rsidRPr="009B40BB">
        <w:rPr>
          <w:rFonts w:asciiTheme="minorHAnsi" w:hAnsiTheme="minorHAnsi"/>
        </w:rPr>
        <w:t xml:space="preserve">Blue Environment prints on 100% recycled content paper </w:t>
      </w:r>
    </w:p>
    <w:p w:rsidR="00FB5BAC" w:rsidRPr="009B40BB" w:rsidRDefault="00BD7711" w:rsidP="002A0F82">
      <w:pPr>
        <w:pStyle w:val="AuthorHeading"/>
      </w:pPr>
      <w:r w:rsidRPr="009B40BB">
        <w:t>Author</w:t>
      </w:r>
    </w:p>
    <w:bookmarkStart w:id="5" w:name="Author"/>
    <w:p w:rsidR="00FB5BAC" w:rsidRPr="009B40BB" w:rsidRDefault="003E6F16" w:rsidP="002A0F82">
      <w:pPr>
        <w:pStyle w:val="AuthorName"/>
      </w:pPr>
      <w:r w:rsidRPr="009B40BB">
        <w:fldChar w:fldCharType="begin"/>
      </w:r>
      <w:r w:rsidR="007D4D1E" w:rsidRPr="009B40BB">
        <w:instrText xml:space="preserve"> DOCPROPERTY  xAuthor  \* MERGEFORMAT </w:instrText>
      </w:r>
      <w:r w:rsidRPr="009B40BB">
        <w:fldChar w:fldCharType="separate"/>
      </w:r>
      <w:r w:rsidR="005B2F4C">
        <w:t>Geoff Latimer</w:t>
      </w:r>
      <w:r w:rsidRPr="009B40BB">
        <w:fldChar w:fldCharType="end"/>
      </w:r>
      <w:r w:rsidR="003B680C" w:rsidRPr="009B40BB">
        <w:t xml:space="preserve">, Joe </w:t>
      </w:r>
      <w:proofErr w:type="spellStart"/>
      <w:r w:rsidR="003B680C" w:rsidRPr="009B40BB">
        <w:t>Pickin</w:t>
      </w:r>
      <w:proofErr w:type="spellEnd"/>
      <w:r w:rsidR="003B680C" w:rsidRPr="009B40BB">
        <w:t>, Paul Randell</w:t>
      </w:r>
      <w:r w:rsidR="00786F30" w:rsidRPr="009B40BB">
        <w:t xml:space="preserve"> </w:t>
      </w:r>
      <w:bookmarkEnd w:id="5"/>
    </w:p>
    <w:p w:rsidR="00985C2E" w:rsidRPr="009B40BB" w:rsidRDefault="00985C2E" w:rsidP="00985C2E">
      <w:pPr>
        <w:pStyle w:val="BEAddress"/>
        <w:framePr w:wrap="around" w:x="2007" w:y="12146"/>
        <w:rPr>
          <w:color w:val="0C0C0C" w:themeColor="text1"/>
          <w:lang w:val="en-AU"/>
        </w:rPr>
      </w:pPr>
      <w:r w:rsidRPr="009B40BB">
        <w:rPr>
          <w:color w:val="0C0C0C" w:themeColor="text1"/>
          <w:lang w:val="en-AU"/>
        </w:rPr>
        <w:t>Blue Environment Pty Ltd</w:t>
      </w:r>
    </w:p>
    <w:p w:rsidR="00985C2E" w:rsidRPr="009B40BB" w:rsidRDefault="00985C2E" w:rsidP="00985C2E">
      <w:pPr>
        <w:pStyle w:val="BEAddress"/>
        <w:framePr w:wrap="around" w:x="2007" w:y="12146"/>
        <w:rPr>
          <w:color w:val="0C0C0C" w:themeColor="text1"/>
          <w:lang w:val="en-AU"/>
        </w:rPr>
      </w:pPr>
      <w:r w:rsidRPr="009B40BB">
        <w:rPr>
          <w:color w:val="0C0C0C" w:themeColor="text1"/>
          <w:lang w:val="en-AU"/>
        </w:rPr>
        <w:t>ABN 78 118 663 997</w:t>
      </w:r>
    </w:p>
    <w:p w:rsidR="00985C2E" w:rsidRPr="009B40BB" w:rsidRDefault="00985C2E" w:rsidP="00985C2E">
      <w:pPr>
        <w:pStyle w:val="BEAddress"/>
        <w:framePr w:wrap="around" w:x="2007" w:y="12146"/>
        <w:rPr>
          <w:color w:val="0C0C0C" w:themeColor="text1"/>
          <w:lang w:val="en-AU"/>
        </w:rPr>
      </w:pPr>
      <w:r w:rsidRPr="009B40BB">
        <w:rPr>
          <w:rFonts w:eastAsiaTheme="minorEastAsia"/>
          <w:noProof/>
          <w:color w:val="0C0C0C" w:themeColor="text1"/>
          <w:szCs w:val="20"/>
          <w:lang w:val="en-AU" w:eastAsia="en-AU"/>
        </w:rPr>
        <w:t>Suite 212B, 757 Bourke Street, Docklands Vic 3008</w:t>
      </w:r>
    </w:p>
    <w:p w:rsidR="00985C2E" w:rsidRPr="009B40BB" w:rsidRDefault="00985C2E" w:rsidP="00985C2E">
      <w:pPr>
        <w:pStyle w:val="BEAddress"/>
        <w:framePr w:wrap="around" w:x="2007" w:y="12146"/>
        <w:rPr>
          <w:color w:val="0C0C0C" w:themeColor="text1"/>
          <w:lang w:val="en-AU"/>
        </w:rPr>
      </w:pPr>
      <w:proofErr w:type="gramStart"/>
      <w:r w:rsidRPr="009B40BB">
        <w:rPr>
          <w:color w:val="0C0C0C" w:themeColor="text1"/>
          <w:lang w:val="en-AU"/>
        </w:rPr>
        <w:t>email</w:t>
      </w:r>
      <w:proofErr w:type="gramEnd"/>
      <w:r w:rsidRPr="009B40BB">
        <w:rPr>
          <w:color w:val="0C0C0C" w:themeColor="text1"/>
          <w:lang w:val="en-AU"/>
        </w:rPr>
        <w:t xml:space="preserve">: </w:t>
      </w:r>
      <w:hyperlink r:id="rId11" w:history="1">
        <w:r w:rsidRPr="009B40BB">
          <w:rPr>
            <w:rStyle w:val="Hyperlink"/>
            <w:color w:val="0C0C0C" w:themeColor="text1"/>
            <w:u w:val="none"/>
            <w:lang w:val="en-AU"/>
          </w:rPr>
          <w:t>blue@blueenvironment.com.au</w:t>
        </w:r>
      </w:hyperlink>
    </w:p>
    <w:p w:rsidR="00985C2E" w:rsidRPr="009B40BB" w:rsidRDefault="00985C2E" w:rsidP="00985C2E">
      <w:pPr>
        <w:pStyle w:val="BEAddress"/>
        <w:framePr w:wrap="around" w:x="2007" w:y="12146"/>
        <w:rPr>
          <w:color w:val="0C0C0C" w:themeColor="text1"/>
          <w:lang w:val="en-AU"/>
        </w:rPr>
      </w:pPr>
      <w:proofErr w:type="gramStart"/>
      <w:r w:rsidRPr="009B40BB">
        <w:rPr>
          <w:color w:val="0C0C0C" w:themeColor="text1"/>
          <w:lang w:val="en-AU"/>
        </w:rPr>
        <w:t>web</w:t>
      </w:r>
      <w:proofErr w:type="gramEnd"/>
      <w:r w:rsidRPr="009B40BB">
        <w:rPr>
          <w:color w:val="0C0C0C" w:themeColor="text1"/>
          <w:lang w:val="en-AU"/>
        </w:rPr>
        <w:t xml:space="preserve">: </w:t>
      </w:r>
      <w:hyperlink r:id="rId12" w:history="1">
        <w:r w:rsidRPr="009B40BB">
          <w:rPr>
            <w:rStyle w:val="Hyperlink"/>
            <w:color w:val="0C0C0C" w:themeColor="text1"/>
            <w:u w:val="none"/>
            <w:lang w:val="en-AU"/>
          </w:rPr>
          <w:t>www.blueenvironment.com.au</w:t>
        </w:r>
      </w:hyperlink>
    </w:p>
    <w:p w:rsidR="00985C2E" w:rsidRPr="009B40BB" w:rsidRDefault="00985C2E" w:rsidP="00985C2E">
      <w:pPr>
        <w:pStyle w:val="BEAddress"/>
        <w:framePr w:wrap="around" w:x="2007" w:y="12146"/>
        <w:rPr>
          <w:color w:val="0C0C0C" w:themeColor="text1"/>
          <w:lang w:val="en-AU"/>
        </w:rPr>
      </w:pPr>
      <w:r w:rsidRPr="009B40BB">
        <w:rPr>
          <w:color w:val="0C0C0C" w:themeColor="text1"/>
          <w:lang w:val="en-AU"/>
        </w:rPr>
        <w:t xml:space="preserve">Phone +61 3 </w:t>
      </w:r>
      <w:r w:rsidRPr="009B40BB">
        <w:rPr>
          <w:rFonts w:eastAsiaTheme="minorEastAsia"/>
          <w:noProof/>
          <w:color w:val="0C0C0C" w:themeColor="text1"/>
          <w:szCs w:val="20"/>
          <w:lang w:val="en-AU" w:eastAsia="en-AU"/>
        </w:rPr>
        <w:t>8102 9372</w:t>
      </w:r>
    </w:p>
    <w:p w:rsidR="00985C2E" w:rsidRPr="009B40BB" w:rsidRDefault="00985C2E" w:rsidP="00985C2E">
      <w:pPr>
        <w:pStyle w:val="BEAddress"/>
        <w:framePr w:wrap="around" w:x="2007" w:y="12146"/>
        <w:rPr>
          <w:color w:val="0C0C0C" w:themeColor="text1"/>
          <w:lang w:val="en-AU"/>
        </w:rPr>
      </w:pPr>
      <w:r w:rsidRPr="009B40BB">
        <w:rPr>
          <w:color w:val="0C0C0C" w:themeColor="text1"/>
          <w:lang w:val="en-AU"/>
        </w:rPr>
        <w:t>+61 3 5426 3536</w:t>
      </w:r>
    </w:p>
    <w:p w:rsidR="00786F30" w:rsidRPr="009B40BB" w:rsidRDefault="00786F30" w:rsidP="002A0F82">
      <w:pPr>
        <w:pStyle w:val="Reviewer"/>
        <w:rPr>
          <w:rFonts w:ascii="Arial Rounded MT Bold" w:hAnsi="Arial Rounded MT Bold"/>
        </w:rPr>
      </w:pPr>
      <w:r w:rsidRPr="009B40BB">
        <w:rPr>
          <w:rFonts w:ascii="Arial Rounded MT Bold" w:hAnsi="Arial Rounded MT Bold"/>
        </w:rPr>
        <w:t>Reviewer</w:t>
      </w:r>
    </w:p>
    <w:bookmarkStart w:id="6" w:name="Reviewer"/>
    <w:p w:rsidR="00786F30" w:rsidRPr="009B40BB" w:rsidRDefault="003E6F16" w:rsidP="002A0F82">
      <w:pPr>
        <w:pStyle w:val="AuthorName"/>
      </w:pPr>
      <w:r w:rsidRPr="009B40BB">
        <w:fldChar w:fldCharType="begin"/>
      </w:r>
      <w:r w:rsidR="007D4D1E" w:rsidRPr="009B40BB">
        <w:instrText xml:space="preserve"> DOCPROPERTY  xReviewer  \* MERGEFORMAT </w:instrText>
      </w:r>
      <w:r w:rsidRPr="009B40BB">
        <w:fldChar w:fldCharType="separate"/>
      </w:r>
      <w:r w:rsidR="005B2F4C">
        <w:t xml:space="preserve">Joe </w:t>
      </w:r>
      <w:proofErr w:type="spellStart"/>
      <w:r w:rsidR="005B2F4C">
        <w:t>Pickin</w:t>
      </w:r>
      <w:proofErr w:type="spellEnd"/>
      <w:r w:rsidRPr="009B40BB">
        <w:fldChar w:fldCharType="end"/>
      </w:r>
      <w:r w:rsidR="00786F30" w:rsidRPr="009B40BB">
        <w:t xml:space="preserve"> </w:t>
      </w:r>
      <w:bookmarkEnd w:id="6"/>
    </w:p>
    <w:p w:rsidR="00261351" w:rsidRPr="009B40BB" w:rsidRDefault="00261351" w:rsidP="00E82ECD"/>
    <w:p w:rsidR="00261351" w:rsidRPr="009B40BB" w:rsidRDefault="00261351" w:rsidP="00E82ECD">
      <w:pPr>
        <w:sectPr w:rsidR="00261351" w:rsidRPr="009B40BB" w:rsidSect="00030167">
          <w:headerReference w:type="default" r:id="rId13"/>
          <w:footerReference w:type="default" r:id="rId14"/>
          <w:headerReference w:type="first" r:id="rId15"/>
          <w:footerReference w:type="first" r:id="rId16"/>
          <w:pgSz w:w="11907" w:h="16840" w:code="9"/>
          <w:pgMar w:top="1928" w:right="1077" w:bottom="1559" w:left="1474" w:header="709" w:footer="709" w:gutter="0"/>
          <w:pgNumType w:start="0"/>
          <w:cols w:space="708"/>
          <w:docGrid w:linePitch="360"/>
        </w:sectPr>
      </w:pPr>
    </w:p>
    <w:p w:rsidR="005046D3" w:rsidRPr="009B40BB" w:rsidRDefault="005046D3" w:rsidP="00F810CB">
      <w:pPr>
        <w:pStyle w:val="Contentsheader"/>
      </w:pPr>
      <w:bookmarkStart w:id="7" w:name="_Toc333863319"/>
      <w:r w:rsidRPr="009B40BB">
        <w:lastRenderedPageBreak/>
        <w:t>CONTENTS</w:t>
      </w:r>
    </w:p>
    <w:bookmarkStart w:id="8" w:name="TOC"/>
    <w:p w:rsidR="00637DD8" w:rsidRDefault="003E6F16">
      <w:pPr>
        <w:pStyle w:val="TOC1"/>
        <w:rPr>
          <w:rFonts w:asciiTheme="minorHAnsi" w:eastAsiaTheme="minorEastAsia" w:hAnsiTheme="minorHAnsi" w:cstheme="minorBidi"/>
          <w:b w:val="0"/>
          <w:bCs w:val="0"/>
          <w:color w:val="auto"/>
          <w:sz w:val="22"/>
          <w:szCs w:val="22"/>
          <w:lang w:val="en-US"/>
        </w:rPr>
      </w:pPr>
      <w:r w:rsidRPr="003E6F16">
        <w:rPr>
          <w:rFonts w:cs="Arial"/>
          <w:b w:val="0"/>
          <w:bCs w:val="0"/>
          <w:caps/>
          <w:sz w:val="28"/>
        </w:rPr>
        <w:fldChar w:fldCharType="begin"/>
      </w:r>
      <w:r w:rsidR="005046D3" w:rsidRPr="009B40BB">
        <w:rPr>
          <w:rFonts w:cs="Arial"/>
          <w:b w:val="0"/>
          <w:bCs w:val="0"/>
          <w:caps/>
        </w:rPr>
        <w:instrText xml:space="preserve"> TOC \o "2-2" \h \z \t "Heading 1,1,Header 1,1" </w:instrText>
      </w:r>
      <w:r w:rsidRPr="003E6F16">
        <w:rPr>
          <w:rFonts w:cs="Arial"/>
          <w:b w:val="0"/>
          <w:bCs w:val="0"/>
          <w:caps/>
          <w:sz w:val="28"/>
        </w:rPr>
        <w:fldChar w:fldCharType="separate"/>
      </w:r>
      <w:hyperlink w:anchor="_Toc390770723" w:history="1">
        <w:r w:rsidR="00637DD8" w:rsidRPr="00BE58B8">
          <w:rPr>
            <w:rStyle w:val="Hyperlink"/>
          </w:rPr>
          <w:t>1.</w:t>
        </w:r>
        <w:r w:rsidR="00637DD8">
          <w:rPr>
            <w:rFonts w:asciiTheme="minorHAnsi" w:eastAsiaTheme="minorEastAsia" w:hAnsiTheme="minorHAnsi" w:cstheme="minorBidi"/>
            <w:b w:val="0"/>
            <w:bCs w:val="0"/>
            <w:color w:val="auto"/>
            <w:sz w:val="22"/>
            <w:szCs w:val="22"/>
            <w:lang w:val="en-US"/>
          </w:rPr>
          <w:tab/>
        </w:r>
        <w:r w:rsidR="00637DD8" w:rsidRPr="00BE58B8">
          <w:rPr>
            <w:rStyle w:val="Hyperlink"/>
          </w:rPr>
          <w:t>Introduction</w:t>
        </w:r>
        <w:r w:rsidR="00637DD8">
          <w:rPr>
            <w:webHidden/>
          </w:rPr>
          <w:tab/>
        </w:r>
        <w:r>
          <w:rPr>
            <w:webHidden/>
          </w:rPr>
          <w:fldChar w:fldCharType="begin"/>
        </w:r>
        <w:r w:rsidR="00637DD8">
          <w:rPr>
            <w:webHidden/>
          </w:rPr>
          <w:instrText xml:space="preserve"> PAGEREF _Toc390770723 \h </w:instrText>
        </w:r>
        <w:r>
          <w:rPr>
            <w:webHidden/>
          </w:rPr>
        </w:r>
        <w:r>
          <w:rPr>
            <w:webHidden/>
          </w:rPr>
          <w:fldChar w:fldCharType="separate"/>
        </w:r>
        <w:r w:rsidR="005B2F4C">
          <w:rPr>
            <w:webHidden/>
          </w:rPr>
          <w:t>1</w:t>
        </w:r>
        <w:r>
          <w:rPr>
            <w:webHidden/>
          </w:rPr>
          <w:fldChar w:fldCharType="end"/>
        </w:r>
      </w:hyperlink>
    </w:p>
    <w:p w:rsidR="00637DD8" w:rsidRDefault="003E6F16">
      <w:pPr>
        <w:pStyle w:val="TOC2"/>
        <w:tabs>
          <w:tab w:val="left" w:pos="1134"/>
        </w:tabs>
        <w:rPr>
          <w:rFonts w:asciiTheme="minorHAnsi" w:eastAsiaTheme="minorEastAsia" w:hAnsiTheme="minorHAnsi" w:cstheme="minorBidi"/>
          <w:color w:val="auto"/>
          <w:szCs w:val="22"/>
          <w:lang w:val="en-US"/>
        </w:rPr>
      </w:pPr>
      <w:hyperlink w:anchor="_Toc390770724" w:history="1">
        <w:r w:rsidR="00637DD8" w:rsidRPr="00BE58B8">
          <w:rPr>
            <w:rStyle w:val="Hyperlink"/>
          </w:rPr>
          <w:t>1.1</w:t>
        </w:r>
        <w:r w:rsidR="00637DD8">
          <w:rPr>
            <w:rFonts w:asciiTheme="minorHAnsi" w:eastAsiaTheme="minorEastAsia" w:hAnsiTheme="minorHAnsi" w:cstheme="minorBidi"/>
            <w:color w:val="auto"/>
            <w:szCs w:val="22"/>
            <w:lang w:val="en-US"/>
          </w:rPr>
          <w:tab/>
        </w:r>
        <w:r w:rsidR="00637DD8" w:rsidRPr="00BE58B8">
          <w:rPr>
            <w:rStyle w:val="Hyperlink"/>
          </w:rPr>
          <w:t>Project background</w:t>
        </w:r>
        <w:r w:rsidR="00637DD8">
          <w:rPr>
            <w:webHidden/>
          </w:rPr>
          <w:tab/>
        </w:r>
        <w:r>
          <w:rPr>
            <w:webHidden/>
          </w:rPr>
          <w:fldChar w:fldCharType="begin"/>
        </w:r>
        <w:r w:rsidR="00637DD8">
          <w:rPr>
            <w:webHidden/>
          </w:rPr>
          <w:instrText xml:space="preserve"> PAGEREF _Toc390770724 \h </w:instrText>
        </w:r>
        <w:r>
          <w:rPr>
            <w:webHidden/>
          </w:rPr>
        </w:r>
        <w:r>
          <w:rPr>
            <w:webHidden/>
          </w:rPr>
          <w:fldChar w:fldCharType="separate"/>
        </w:r>
        <w:r w:rsidR="005B2F4C">
          <w:rPr>
            <w:webHidden/>
          </w:rPr>
          <w:t>1</w:t>
        </w:r>
        <w:r>
          <w:rPr>
            <w:webHidden/>
          </w:rPr>
          <w:fldChar w:fldCharType="end"/>
        </w:r>
      </w:hyperlink>
    </w:p>
    <w:p w:rsidR="00637DD8" w:rsidRDefault="003E6F16">
      <w:pPr>
        <w:pStyle w:val="TOC2"/>
        <w:tabs>
          <w:tab w:val="left" w:pos="1134"/>
        </w:tabs>
        <w:rPr>
          <w:rFonts w:asciiTheme="minorHAnsi" w:eastAsiaTheme="minorEastAsia" w:hAnsiTheme="minorHAnsi" w:cstheme="minorBidi"/>
          <w:color w:val="auto"/>
          <w:szCs w:val="22"/>
          <w:lang w:val="en-US"/>
        </w:rPr>
      </w:pPr>
      <w:hyperlink w:anchor="_Toc390770725" w:history="1">
        <w:r w:rsidR="00637DD8" w:rsidRPr="00BE58B8">
          <w:rPr>
            <w:rStyle w:val="Hyperlink"/>
          </w:rPr>
          <w:t>1.2</w:t>
        </w:r>
        <w:r w:rsidR="00637DD8">
          <w:rPr>
            <w:rFonts w:asciiTheme="minorHAnsi" w:eastAsiaTheme="minorEastAsia" w:hAnsiTheme="minorHAnsi" w:cstheme="minorBidi"/>
            <w:color w:val="auto"/>
            <w:szCs w:val="22"/>
            <w:lang w:val="en-US"/>
          </w:rPr>
          <w:tab/>
        </w:r>
        <w:r w:rsidR="00637DD8" w:rsidRPr="00BE58B8">
          <w:rPr>
            <w:rStyle w:val="Hyperlink"/>
          </w:rPr>
          <w:t>Project scope</w:t>
        </w:r>
        <w:r w:rsidR="00637DD8">
          <w:rPr>
            <w:webHidden/>
          </w:rPr>
          <w:tab/>
        </w:r>
        <w:r>
          <w:rPr>
            <w:webHidden/>
          </w:rPr>
          <w:fldChar w:fldCharType="begin"/>
        </w:r>
        <w:r w:rsidR="00637DD8">
          <w:rPr>
            <w:webHidden/>
          </w:rPr>
          <w:instrText xml:space="preserve"> PAGEREF _Toc390770725 \h </w:instrText>
        </w:r>
        <w:r>
          <w:rPr>
            <w:webHidden/>
          </w:rPr>
        </w:r>
        <w:r>
          <w:rPr>
            <w:webHidden/>
          </w:rPr>
          <w:fldChar w:fldCharType="separate"/>
        </w:r>
        <w:r w:rsidR="005B2F4C">
          <w:rPr>
            <w:webHidden/>
          </w:rPr>
          <w:t>2</w:t>
        </w:r>
        <w:r>
          <w:rPr>
            <w:webHidden/>
          </w:rPr>
          <w:fldChar w:fldCharType="end"/>
        </w:r>
      </w:hyperlink>
    </w:p>
    <w:p w:rsidR="00637DD8" w:rsidRDefault="003E6F16">
      <w:pPr>
        <w:pStyle w:val="TOC2"/>
        <w:tabs>
          <w:tab w:val="left" w:pos="1134"/>
        </w:tabs>
        <w:rPr>
          <w:rFonts w:asciiTheme="minorHAnsi" w:eastAsiaTheme="minorEastAsia" w:hAnsiTheme="minorHAnsi" w:cstheme="minorBidi"/>
          <w:color w:val="auto"/>
          <w:szCs w:val="22"/>
          <w:lang w:val="en-US"/>
        </w:rPr>
      </w:pPr>
      <w:hyperlink w:anchor="_Toc390770726" w:history="1">
        <w:r w:rsidR="00637DD8" w:rsidRPr="00BE58B8">
          <w:rPr>
            <w:rStyle w:val="Hyperlink"/>
          </w:rPr>
          <w:t>1.3</w:t>
        </w:r>
        <w:r w:rsidR="00637DD8">
          <w:rPr>
            <w:rFonts w:asciiTheme="minorHAnsi" w:eastAsiaTheme="minorEastAsia" w:hAnsiTheme="minorHAnsi" w:cstheme="minorBidi"/>
            <w:color w:val="auto"/>
            <w:szCs w:val="22"/>
            <w:lang w:val="en-US"/>
          </w:rPr>
          <w:tab/>
        </w:r>
        <w:r w:rsidR="00637DD8" w:rsidRPr="00BE58B8">
          <w:rPr>
            <w:rStyle w:val="Hyperlink"/>
          </w:rPr>
          <w:t>Project approach</w:t>
        </w:r>
        <w:r w:rsidR="00637DD8">
          <w:rPr>
            <w:webHidden/>
          </w:rPr>
          <w:tab/>
        </w:r>
        <w:r>
          <w:rPr>
            <w:webHidden/>
          </w:rPr>
          <w:fldChar w:fldCharType="begin"/>
        </w:r>
        <w:r w:rsidR="00637DD8">
          <w:rPr>
            <w:webHidden/>
          </w:rPr>
          <w:instrText xml:space="preserve"> PAGEREF _Toc390770726 \h </w:instrText>
        </w:r>
        <w:r>
          <w:rPr>
            <w:webHidden/>
          </w:rPr>
        </w:r>
        <w:r>
          <w:rPr>
            <w:webHidden/>
          </w:rPr>
          <w:fldChar w:fldCharType="separate"/>
        </w:r>
        <w:r w:rsidR="005B2F4C">
          <w:rPr>
            <w:webHidden/>
          </w:rPr>
          <w:t>2</w:t>
        </w:r>
        <w:r>
          <w:rPr>
            <w:webHidden/>
          </w:rPr>
          <w:fldChar w:fldCharType="end"/>
        </w:r>
      </w:hyperlink>
    </w:p>
    <w:p w:rsidR="00637DD8" w:rsidRDefault="003E6F16">
      <w:pPr>
        <w:pStyle w:val="TOC2"/>
        <w:tabs>
          <w:tab w:val="left" w:pos="1134"/>
        </w:tabs>
        <w:rPr>
          <w:rFonts w:asciiTheme="minorHAnsi" w:eastAsiaTheme="minorEastAsia" w:hAnsiTheme="minorHAnsi" w:cstheme="minorBidi"/>
          <w:color w:val="auto"/>
          <w:szCs w:val="22"/>
          <w:lang w:val="en-US"/>
        </w:rPr>
      </w:pPr>
      <w:hyperlink w:anchor="_Toc390770727" w:history="1">
        <w:r w:rsidR="00637DD8" w:rsidRPr="00BE58B8">
          <w:rPr>
            <w:rStyle w:val="Hyperlink"/>
          </w:rPr>
          <w:t>1.4</w:t>
        </w:r>
        <w:r w:rsidR="00637DD8">
          <w:rPr>
            <w:rFonts w:asciiTheme="minorHAnsi" w:eastAsiaTheme="minorEastAsia" w:hAnsiTheme="minorHAnsi" w:cstheme="minorBidi"/>
            <w:color w:val="auto"/>
            <w:szCs w:val="22"/>
            <w:lang w:val="en-US"/>
          </w:rPr>
          <w:tab/>
        </w:r>
        <w:r w:rsidR="00637DD8" w:rsidRPr="00BE58B8">
          <w:rPr>
            <w:rStyle w:val="Hyperlink"/>
          </w:rPr>
          <w:t>Project deliverables</w:t>
        </w:r>
        <w:r w:rsidR="00637DD8">
          <w:rPr>
            <w:webHidden/>
          </w:rPr>
          <w:tab/>
        </w:r>
        <w:r>
          <w:rPr>
            <w:webHidden/>
          </w:rPr>
          <w:fldChar w:fldCharType="begin"/>
        </w:r>
        <w:r w:rsidR="00637DD8">
          <w:rPr>
            <w:webHidden/>
          </w:rPr>
          <w:instrText xml:space="preserve"> PAGEREF _Toc390770727 \h </w:instrText>
        </w:r>
        <w:r>
          <w:rPr>
            <w:webHidden/>
          </w:rPr>
        </w:r>
        <w:r>
          <w:rPr>
            <w:webHidden/>
          </w:rPr>
          <w:fldChar w:fldCharType="separate"/>
        </w:r>
        <w:r w:rsidR="005B2F4C">
          <w:rPr>
            <w:webHidden/>
          </w:rPr>
          <w:t>3</w:t>
        </w:r>
        <w:r>
          <w:rPr>
            <w:webHidden/>
          </w:rPr>
          <w:fldChar w:fldCharType="end"/>
        </w:r>
      </w:hyperlink>
    </w:p>
    <w:p w:rsidR="00637DD8" w:rsidRDefault="003E6F16">
      <w:pPr>
        <w:pStyle w:val="TOC1"/>
        <w:rPr>
          <w:rFonts w:asciiTheme="minorHAnsi" w:eastAsiaTheme="minorEastAsia" w:hAnsiTheme="minorHAnsi" w:cstheme="minorBidi"/>
          <w:b w:val="0"/>
          <w:bCs w:val="0"/>
          <w:color w:val="auto"/>
          <w:sz w:val="22"/>
          <w:szCs w:val="22"/>
          <w:lang w:val="en-US"/>
        </w:rPr>
      </w:pPr>
      <w:hyperlink w:anchor="_Toc390770728" w:history="1">
        <w:r w:rsidR="00637DD8" w:rsidRPr="00BE58B8">
          <w:rPr>
            <w:rStyle w:val="Hyperlink"/>
          </w:rPr>
          <w:t>2.</w:t>
        </w:r>
        <w:r w:rsidR="00637DD8">
          <w:rPr>
            <w:rFonts w:asciiTheme="minorHAnsi" w:eastAsiaTheme="minorEastAsia" w:hAnsiTheme="minorHAnsi" w:cstheme="minorBidi"/>
            <w:b w:val="0"/>
            <w:bCs w:val="0"/>
            <w:color w:val="auto"/>
            <w:sz w:val="22"/>
            <w:szCs w:val="22"/>
            <w:lang w:val="en-US"/>
          </w:rPr>
          <w:tab/>
        </w:r>
        <w:r w:rsidR="00637DD8" w:rsidRPr="00BE58B8">
          <w:rPr>
            <w:rStyle w:val="Hyperlink"/>
          </w:rPr>
          <w:t>Improving the Basel reporting process</w:t>
        </w:r>
        <w:r w:rsidR="00637DD8">
          <w:rPr>
            <w:webHidden/>
          </w:rPr>
          <w:tab/>
        </w:r>
        <w:r>
          <w:rPr>
            <w:webHidden/>
          </w:rPr>
          <w:fldChar w:fldCharType="begin"/>
        </w:r>
        <w:r w:rsidR="00637DD8">
          <w:rPr>
            <w:webHidden/>
          </w:rPr>
          <w:instrText xml:space="preserve"> PAGEREF _Toc390770728 \h </w:instrText>
        </w:r>
        <w:r>
          <w:rPr>
            <w:webHidden/>
          </w:rPr>
        </w:r>
        <w:r>
          <w:rPr>
            <w:webHidden/>
          </w:rPr>
          <w:fldChar w:fldCharType="separate"/>
        </w:r>
        <w:r w:rsidR="005B2F4C">
          <w:rPr>
            <w:webHidden/>
          </w:rPr>
          <w:t>4</w:t>
        </w:r>
        <w:r>
          <w:rPr>
            <w:webHidden/>
          </w:rPr>
          <w:fldChar w:fldCharType="end"/>
        </w:r>
      </w:hyperlink>
      <w:bookmarkStart w:id="9" w:name="_GoBack"/>
      <w:bookmarkEnd w:id="9"/>
    </w:p>
    <w:p w:rsidR="00637DD8" w:rsidRDefault="003E6F16">
      <w:pPr>
        <w:pStyle w:val="TOC2"/>
        <w:tabs>
          <w:tab w:val="left" w:pos="1134"/>
        </w:tabs>
        <w:rPr>
          <w:rFonts w:asciiTheme="minorHAnsi" w:eastAsiaTheme="minorEastAsia" w:hAnsiTheme="minorHAnsi" w:cstheme="minorBidi"/>
          <w:color w:val="auto"/>
          <w:szCs w:val="22"/>
          <w:lang w:val="en-US"/>
        </w:rPr>
      </w:pPr>
      <w:hyperlink w:anchor="_Toc390770729" w:history="1">
        <w:r w:rsidR="00637DD8" w:rsidRPr="00BE58B8">
          <w:rPr>
            <w:rStyle w:val="Hyperlink"/>
          </w:rPr>
          <w:t>2.1</w:t>
        </w:r>
        <w:r w:rsidR="00637DD8">
          <w:rPr>
            <w:rFonts w:asciiTheme="minorHAnsi" w:eastAsiaTheme="minorEastAsia" w:hAnsiTheme="minorHAnsi" w:cstheme="minorBidi"/>
            <w:color w:val="auto"/>
            <w:szCs w:val="22"/>
            <w:lang w:val="en-US"/>
          </w:rPr>
          <w:tab/>
        </w:r>
        <w:r w:rsidR="00637DD8" w:rsidRPr="00BE58B8">
          <w:rPr>
            <w:rStyle w:val="Hyperlink"/>
          </w:rPr>
          <w:t>Translation of jurisdictional codes to Basel Y-codes</w:t>
        </w:r>
        <w:r w:rsidR="00637DD8">
          <w:rPr>
            <w:webHidden/>
          </w:rPr>
          <w:tab/>
        </w:r>
        <w:r>
          <w:rPr>
            <w:webHidden/>
          </w:rPr>
          <w:fldChar w:fldCharType="begin"/>
        </w:r>
        <w:r w:rsidR="00637DD8">
          <w:rPr>
            <w:webHidden/>
          </w:rPr>
          <w:instrText xml:space="preserve"> PAGEREF _Toc390770729 \h </w:instrText>
        </w:r>
        <w:r>
          <w:rPr>
            <w:webHidden/>
          </w:rPr>
        </w:r>
        <w:r>
          <w:rPr>
            <w:webHidden/>
          </w:rPr>
          <w:fldChar w:fldCharType="separate"/>
        </w:r>
        <w:r w:rsidR="005B2F4C">
          <w:rPr>
            <w:webHidden/>
          </w:rPr>
          <w:t>4</w:t>
        </w:r>
        <w:r>
          <w:rPr>
            <w:webHidden/>
          </w:rPr>
          <w:fldChar w:fldCharType="end"/>
        </w:r>
      </w:hyperlink>
    </w:p>
    <w:p w:rsidR="00637DD8" w:rsidRDefault="003E6F16">
      <w:pPr>
        <w:pStyle w:val="TOC2"/>
        <w:tabs>
          <w:tab w:val="left" w:pos="1134"/>
        </w:tabs>
        <w:rPr>
          <w:rFonts w:asciiTheme="minorHAnsi" w:eastAsiaTheme="minorEastAsia" w:hAnsiTheme="minorHAnsi" w:cstheme="minorBidi"/>
          <w:color w:val="auto"/>
          <w:szCs w:val="22"/>
          <w:lang w:val="en-US"/>
        </w:rPr>
      </w:pPr>
      <w:hyperlink w:anchor="_Toc390770730" w:history="1">
        <w:r w:rsidR="00637DD8" w:rsidRPr="00BE58B8">
          <w:rPr>
            <w:rStyle w:val="Hyperlink"/>
          </w:rPr>
          <w:t>2.2</w:t>
        </w:r>
        <w:r w:rsidR="00637DD8">
          <w:rPr>
            <w:rFonts w:asciiTheme="minorHAnsi" w:eastAsiaTheme="minorEastAsia" w:hAnsiTheme="minorHAnsi" w:cstheme="minorBidi"/>
            <w:color w:val="auto"/>
            <w:szCs w:val="22"/>
            <w:lang w:val="en-US"/>
          </w:rPr>
          <w:tab/>
        </w:r>
        <w:r w:rsidR="00637DD8" w:rsidRPr="00BE58B8">
          <w:rPr>
            <w:rStyle w:val="Hyperlink"/>
          </w:rPr>
          <w:t>Guidance materials</w:t>
        </w:r>
        <w:r w:rsidR="00637DD8">
          <w:rPr>
            <w:webHidden/>
          </w:rPr>
          <w:tab/>
        </w:r>
        <w:r>
          <w:rPr>
            <w:webHidden/>
          </w:rPr>
          <w:fldChar w:fldCharType="begin"/>
        </w:r>
        <w:r w:rsidR="00637DD8">
          <w:rPr>
            <w:webHidden/>
          </w:rPr>
          <w:instrText xml:space="preserve"> PAGEREF _Toc390770730 \h </w:instrText>
        </w:r>
        <w:r>
          <w:rPr>
            <w:webHidden/>
          </w:rPr>
        </w:r>
        <w:r>
          <w:rPr>
            <w:webHidden/>
          </w:rPr>
          <w:fldChar w:fldCharType="separate"/>
        </w:r>
        <w:r w:rsidR="005B2F4C">
          <w:rPr>
            <w:webHidden/>
          </w:rPr>
          <w:t>5</w:t>
        </w:r>
        <w:r>
          <w:rPr>
            <w:webHidden/>
          </w:rPr>
          <w:fldChar w:fldCharType="end"/>
        </w:r>
      </w:hyperlink>
    </w:p>
    <w:p w:rsidR="00637DD8" w:rsidRDefault="003E6F16">
      <w:pPr>
        <w:pStyle w:val="TOC1"/>
        <w:rPr>
          <w:rFonts w:asciiTheme="minorHAnsi" w:eastAsiaTheme="minorEastAsia" w:hAnsiTheme="minorHAnsi" w:cstheme="minorBidi"/>
          <w:b w:val="0"/>
          <w:bCs w:val="0"/>
          <w:color w:val="auto"/>
          <w:sz w:val="22"/>
          <w:szCs w:val="22"/>
          <w:lang w:val="en-US"/>
        </w:rPr>
      </w:pPr>
      <w:hyperlink w:anchor="_Toc390770731" w:history="1">
        <w:r w:rsidR="00637DD8" w:rsidRPr="00BE58B8">
          <w:rPr>
            <w:rStyle w:val="Hyperlink"/>
          </w:rPr>
          <w:t>3.</w:t>
        </w:r>
        <w:r w:rsidR="00637DD8">
          <w:rPr>
            <w:rFonts w:asciiTheme="minorHAnsi" w:eastAsiaTheme="minorEastAsia" w:hAnsiTheme="minorHAnsi" w:cstheme="minorBidi"/>
            <w:b w:val="0"/>
            <w:bCs w:val="0"/>
            <w:color w:val="auto"/>
            <w:sz w:val="22"/>
            <w:szCs w:val="22"/>
            <w:lang w:val="en-US"/>
          </w:rPr>
          <w:tab/>
        </w:r>
        <w:r w:rsidR="00637DD8" w:rsidRPr="00BE58B8">
          <w:rPr>
            <w:rStyle w:val="Hyperlink"/>
          </w:rPr>
          <w:t>Jurisdictional consultation</w:t>
        </w:r>
        <w:r w:rsidR="00637DD8">
          <w:rPr>
            <w:webHidden/>
          </w:rPr>
          <w:tab/>
        </w:r>
        <w:r>
          <w:rPr>
            <w:webHidden/>
          </w:rPr>
          <w:fldChar w:fldCharType="begin"/>
        </w:r>
        <w:r w:rsidR="00637DD8">
          <w:rPr>
            <w:webHidden/>
          </w:rPr>
          <w:instrText xml:space="preserve"> PAGEREF _Toc390770731 \h </w:instrText>
        </w:r>
        <w:r>
          <w:rPr>
            <w:webHidden/>
          </w:rPr>
        </w:r>
        <w:r>
          <w:rPr>
            <w:webHidden/>
          </w:rPr>
          <w:fldChar w:fldCharType="separate"/>
        </w:r>
        <w:r w:rsidR="005B2F4C">
          <w:rPr>
            <w:webHidden/>
          </w:rPr>
          <w:t>6</w:t>
        </w:r>
        <w:r>
          <w:rPr>
            <w:webHidden/>
          </w:rPr>
          <w:fldChar w:fldCharType="end"/>
        </w:r>
      </w:hyperlink>
    </w:p>
    <w:p w:rsidR="00637DD8" w:rsidRDefault="003E6F16">
      <w:pPr>
        <w:pStyle w:val="TOC1"/>
        <w:rPr>
          <w:rFonts w:asciiTheme="minorHAnsi" w:eastAsiaTheme="minorEastAsia" w:hAnsiTheme="minorHAnsi" w:cstheme="minorBidi"/>
          <w:b w:val="0"/>
          <w:bCs w:val="0"/>
          <w:color w:val="auto"/>
          <w:sz w:val="22"/>
          <w:szCs w:val="22"/>
          <w:lang w:val="en-US"/>
        </w:rPr>
      </w:pPr>
      <w:hyperlink w:anchor="_Toc390770732" w:history="1">
        <w:r w:rsidR="00637DD8" w:rsidRPr="00BE58B8">
          <w:rPr>
            <w:rStyle w:val="Hyperlink"/>
          </w:rPr>
          <w:t>4.</w:t>
        </w:r>
        <w:r w:rsidR="00637DD8">
          <w:rPr>
            <w:rFonts w:asciiTheme="minorHAnsi" w:eastAsiaTheme="minorEastAsia" w:hAnsiTheme="minorHAnsi" w:cstheme="minorBidi"/>
            <w:b w:val="0"/>
            <w:bCs w:val="0"/>
            <w:color w:val="auto"/>
            <w:sz w:val="22"/>
            <w:szCs w:val="22"/>
            <w:lang w:val="en-US"/>
          </w:rPr>
          <w:tab/>
        </w:r>
        <w:r w:rsidR="00637DD8" w:rsidRPr="00BE58B8">
          <w:rPr>
            <w:rStyle w:val="Hyperlink"/>
          </w:rPr>
          <w:t>Data presentation</w:t>
        </w:r>
        <w:r w:rsidR="00637DD8">
          <w:rPr>
            <w:webHidden/>
          </w:rPr>
          <w:tab/>
        </w:r>
        <w:r>
          <w:rPr>
            <w:webHidden/>
          </w:rPr>
          <w:fldChar w:fldCharType="begin"/>
        </w:r>
        <w:r w:rsidR="00637DD8">
          <w:rPr>
            <w:webHidden/>
          </w:rPr>
          <w:instrText xml:space="preserve"> PAGEREF _Toc390770732 \h </w:instrText>
        </w:r>
        <w:r>
          <w:rPr>
            <w:webHidden/>
          </w:rPr>
        </w:r>
        <w:r>
          <w:rPr>
            <w:webHidden/>
          </w:rPr>
          <w:fldChar w:fldCharType="separate"/>
        </w:r>
        <w:r w:rsidR="005B2F4C">
          <w:rPr>
            <w:webHidden/>
          </w:rPr>
          <w:t>8</w:t>
        </w:r>
        <w:r>
          <w:rPr>
            <w:webHidden/>
          </w:rPr>
          <w:fldChar w:fldCharType="end"/>
        </w:r>
      </w:hyperlink>
    </w:p>
    <w:p w:rsidR="00637DD8" w:rsidRDefault="003E6F16">
      <w:pPr>
        <w:pStyle w:val="TOC2"/>
        <w:tabs>
          <w:tab w:val="left" w:pos="1134"/>
        </w:tabs>
        <w:rPr>
          <w:rFonts w:asciiTheme="minorHAnsi" w:eastAsiaTheme="minorEastAsia" w:hAnsiTheme="minorHAnsi" w:cstheme="minorBidi"/>
          <w:color w:val="auto"/>
          <w:szCs w:val="22"/>
          <w:lang w:val="en-US"/>
        </w:rPr>
      </w:pPr>
      <w:hyperlink w:anchor="_Toc390770733" w:history="1">
        <w:r w:rsidR="00637DD8" w:rsidRPr="00BE58B8">
          <w:rPr>
            <w:rStyle w:val="Hyperlink"/>
          </w:rPr>
          <w:t>4.1</w:t>
        </w:r>
        <w:r w:rsidR="00637DD8">
          <w:rPr>
            <w:rFonts w:asciiTheme="minorHAnsi" w:eastAsiaTheme="minorEastAsia" w:hAnsiTheme="minorHAnsi" w:cstheme="minorBidi"/>
            <w:color w:val="auto"/>
            <w:szCs w:val="22"/>
            <w:lang w:val="en-US"/>
          </w:rPr>
          <w:tab/>
        </w:r>
        <w:r w:rsidR="00637DD8" w:rsidRPr="00BE58B8">
          <w:rPr>
            <w:rStyle w:val="Hyperlink"/>
          </w:rPr>
          <w:t>Limitations</w:t>
        </w:r>
        <w:r w:rsidR="00637DD8">
          <w:rPr>
            <w:webHidden/>
          </w:rPr>
          <w:tab/>
        </w:r>
        <w:r>
          <w:rPr>
            <w:webHidden/>
          </w:rPr>
          <w:fldChar w:fldCharType="begin"/>
        </w:r>
        <w:r w:rsidR="00637DD8">
          <w:rPr>
            <w:webHidden/>
          </w:rPr>
          <w:instrText xml:space="preserve"> PAGEREF _Toc390770733 \h </w:instrText>
        </w:r>
        <w:r>
          <w:rPr>
            <w:webHidden/>
          </w:rPr>
        </w:r>
        <w:r>
          <w:rPr>
            <w:webHidden/>
          </w:rPr>
          <w:fldChar w:fldCharType="separate"/>
        </w:r>
        <w:r w:rsidR="005B2F4C">
          <w:rPr>
            <w:webHidden/>
          </w:rPr>
          <w:t>8</w:t>
        </w:r>
        <w:r>
          <w:rPr>
            <w:webHidden/>
          </w:rPr>
          <w:fldChar w:fldCharType="end"/>
        </w:r>
      </w:hyperlink>
    </w:p>
    <w:p w:rsidR="00637DD8" w:rsidRDefault="003E6F16">
      <w:pPr>
        <w:pStyle w:val="TOC2"/>
        <w:tabs>
          <w:tab w:val="left" w:pos="1134"/>
        </w:tabs>
        <w:rPr>
          <w:rFonts w:asciiTheme="minorHAnsi" w:eastAsiaTheme="minorEastAsia" w:hAnsiTheme="minorHAnsi" w:cstheme="minorBidi"/>
          <w:color w:val="auto"/>
          <w:szCs w:val="22"/>
          <w:lang w:val="en-US"/>
        </w:rPr>
      </w:pPr>
      <w:hyperlink w:anchor="_Toc390770734" w:history="1">
        <w:r w:rsidR="00637DD8" w:rsidRPr="00BE58B8">
          <w:rPr>
            <w:rStyle w:val="Hyperlink"/>
          </w:rPr>
          <w:t>4.2</w:t>
        </w:r>
        <w:r w:rsidR="00637DD8">
          <w:rPr>
            <w:rFonts w:asciiTheme="minorHAnsi" w:eastAsiaTheme="minorEastAsia" w:hAnsiTheme="minorHAnsi" w:cstheme="minorBidi"/>
            <w:color w:val="auto"/>
            <w:szCs w:val="22"/>
            <w:lang w:val="en-US"/>
          </w:rPr>
          <w:tab/>
        </w:r>
        <w:r w:rsidR="00637DD8" w:rsidRPr="00BE58B8">
          <w:rPr>
            <w:rStyle w:val="Hyperlink"/>
          </w:rPr>
          <w:t>Hazardous waste generation data</w:t>
        </w:r>
        <w:r w:rsidR="00637DD8">
          <w:rPr>
            <w:webHidden/>
          </w:rPr>
          <w:tab/>
        </w:r>
        <w:r>
          <w:rPr>
            <w:webHidden/>
          </w:rPr>
          <w:fldChar w:fldCharType="begin"/>
        </w:r>
        <w:r w:rsidR="00637DD8">
          <w:rPr>
            <w:webHidden/>
          </w:rPr>
          <w:instrText xml:space="preserve"> PAGEREF _Toc390770734 \h </w:instrText>
        </w:r>
        <w:r>
          <w:rPr>
            <w:webHidden/>
          </w:rPr>
        </w:r>
        <w:r>
          <w:rPr>
            <w:webHidden/>
          </w:rPr>
          <w:fldChar w:fldCharType="separate"/>
        </w:r>
        <w:r w:rsidR="005B2F4C">
          <w:rPr>
            <w:webHidden/>
          </w:rPr>
          <w:t>9</w:t>
        </w:r>
        <w:r>
          <w:rPr>
            <w:webHidden/>
          </w:rPr>
          <w:fldChar w:fldCharType="end"/>
        </w:r>
      </w:hyperlink>
    </w:p>
    <w:p w:rsidR="00637DD8" w:rsidRDefault="003E6F16">
      <w:pPr>
        <w:pStyle w:val="TOC2"/>
        <w:tabs>
          <w:tab w:val="left" w:pos="1134"/>
        </w:tabs>
        <w:rPr>
          <w:rFonts w:asciiTheme="minorHAnsi" w:eastAsiaTheme="minorEastAsia" w:hAnsiTheme="minorHAnsi" w:cstheme="minorBidi"/>
          <w:color w:val="auto"/>
          <w:szCs w:val="22"/>
          <w:lang w:val="en-US"/>
        </w:rPr>
      </w:pPr>
      <w:hyperlink w:anchor="_Toc390770735" w:history="1">
        <w:r w:rsidR="00637DD8" w:rsidRPr="00BE58B8">
          <w:rPr>
            <w:rStyle w:val="Hyperlink"/>
          </w:rPr>
          <w:t>4.3</w:t>
        </w:r>
        <w:r w:rsidR="00637DD8">
          <w:rPr>
            <w:rFonts w:asciiTheme="minorHAnsi" w:eastAsiaTheme="minorEastAsia" w:hAnsiTheme="minorHAnsi" w:cstheme="minorBidi"/>
            <w:color w:val="auto"/>
            <w:szCs w:val="22"/>
            <w:lang w:val="en-US"/>
          </w:rPr>
          <w:tab/>
        </w:r>
        <w:r w:rsidR="00637DD8" w:rsidRPr="00BE58B8">
          <w:rPr>
            <w:rStyle w:val="Hyperlink"/>
          </w:rPr>
          <w:t>Hazardous waste fate data</w:t>
        </w:r>
        <w:r w:rsidR="00637DD8">
          <w:rPr>
            <w:webHidden/>
          </w:rPr>
          <w:tab/>
        </w:r>
        <w:r>
          <w:rPr>
            <w:webHidden/>
          </w:rPr>
          <w:fldChar w:fldCharType="begin"/>
        </w:r>
        <w:r w:rsidR="00637DD8">
          <w:rPr>
            <w:webHidden/>
          </w:rPr>
          <w:instrText xml:space="preserve"> PAGEREF _Toc390770735 \h </w:instrText>
        </w:r>
        <w:r>
          <w:rPr>
            <w:webHidden/>
          </w:rPr>
        </w:r>
        <w:r>
          <w:rPr>
            <w:webHidden/>
          </w:rPr>
          <w:fldChar w:fldCharType="separate"/>
        </w:r>
        <w:r w:rsidR="005B2F4C">
          <w:rPr>
            <w:webHidden/>
          </w:rPr>
          <w:t>10</w:t>
        </w:r>
        <w:r>
          <w:rPr>
            <w:webHidden/>
          </w:rPr>
          <w:fldChar w:fldCharType="end"/>
        </w:r>
      </w:hyperlink>
    </w:p>
    <w:p w:rsidR="00637DD8" w:rsidRDefault="003E6F16">
      <w:pPr>
        <w:pStyle w:val="TOC2"/>
        <w:tabs>
          <w:tab w:val="left" w:pos="1134"/>
        </w:tabs>
        <w:rPr>
          <w:rFonts w:asciiTheme="minorHAnsi" w:eastAsiaTheme="minorEastAsia" w:hAnsiTheme="minorHAnsi" w:cstheme="minorBidi"/>
          <w:color w:val="auto"/>
          <w:szCs w:val="22"/>
          <w:lang w:val="en-US"/>
        </w:rPr>
      </w:pPr>
      <w:hyperlink w:anchor="_Toc390770736" w:history="1">
        <w:r w:rsidR="00637DD8" w:rsidRPr="00BE58B8">
          <w:rPr>
            <w:rStyle w:val="Hyperlink"/>
          </w:rPr>
          <w:t>4.4</w:t>
        </w:r>
        <w:r w:rsidR="00637DD8">
          <w:rPr>
            <w:rFonts w:asciiTheme="minorHAnsi" w:eastAsiaTheme="minorEastAsia" w:hAnsiTheme="minorHAnsi" w:cstheme="minorBidi"/>
            <w:color w:val="auto"/>
            <w:szCs w:val="22"/>
            <w:lang w:val="en-US"/>
          </w:rPr>
          <w:tab/>
        </w:r>
        <w:r w:rsidR="00637DD8" w:rsidRPr="00BE58B8">
          <w:rPr>
            <w:rStyle w:val="Hyperlink"/>
          </w:rPr>
          <w:t>Assessment against historical data and projects</w:t>
        </w:r>
        <w:r w:rsidR="00637DD8">
          <w:rPr>
            <w:webHidden/>
          </w:rPr>
          <w:tab/>
        </w:r>
        <w:r>
          <w:rPr>
            <w:webHidden/>
          </w:rPr>
          <w:fldChar w:fldCharType="begin"/>
        </w:r>
        <w:r w:rsidR="00637DD8">
          <w:rPr>
            <w:webHidden/>
          </w:rPr>
          <w:instrText xml:space="preserve"> PAGEREF _Toc390770736 \h </w:instrText>
        </w:r>
        <w:r>
          <w:rPr>
            <w:webHidden/>
          </w:rPr>
        </w:r>
        <w:r>
          <w:rPr>
            <w:webHidden/>
          </w:rPr>
          <w:fldChar w:fldCharType="separate"/>
        </w:r>
        <w:r w:rsidR="005B2F4C">
          <w:rPr>
            <w:webHidden/>
          </w:rPr>
          <w:t>13</w:t>
        </w:r>
        <w:r>
          <w:rPr>
            <w:webHidden/>
          </w:rPr>
          <w:fldChar w:fldCharType="end"/>
        </w:r>
      </w:hyperlink>
    </w:p>
    <w:p w:rsidR="00637DD8" w:rsidRDefault="003E6F16">
      <w:pPr>
        <w:pStyle w:val="TOC1"/>
        <w:rPr>
          <w:rFonts w:asciiTheme="minorHAnsi" w:eastAsiaTheme="minorEastAsia" w:hAnsiTheme="minorHAnsi" w:cstheme="minorBidi"/>
          <w:b w:val="0"/>
          <w:bCs w:val="0"/>
          <w:color w:val="auto"/>
          <w:sz w:val="22"/>
          <w:szCs w:val="22"/>
          <w:lang w:val="en-US"/>
        </w:rPr>
      </w:pPr>
      <w:hyperlink w:anchor="_Toc390770737" w:history="1">
        <w:r w:rsidR="00637DD8" w:rsidRPr="00BE58B8">
          <w:rPr>
            <w:rStyle w:val="Hyperlink"/>
          </w:rPr>
          <w:t>5.</w:t>
        </w:r>
        <w:r w:rsidR="00637DD8">
          <w:rPr>
            <w:rFonts w:asciiTheme="minorHAnsi" w:eastAsiaTheme="minorEastAsia" w:hAnsiTheme="minorHAnsi" w:cstheme="minorBidi"/>
            <w:b w:val="0"/>
            <w:bCs w:val="0"/>
            <w:color w:val="auto"/>
            <w:sz w:val="22"/>
            <w:szCs w:val="22"/>
            <w:lang w:val="en-US"/>
          </w:rPr>
          <w:tab/>
        </w:r>
        <w:r w:rsidR="00637DD8" w:rsidRPr="00BE58B8">
          <w:rPr>
            <w:rStyle w:val="Hyperlink"/>
          </w:rPr>
          <w:t>Lessons learned</w:t>
        </w:r>
        <w:r w:rsidR="00637DD8">
          <w:rPr>
            <w:webHidden/>
          </w:rPr>
          <w:tab/>
        </w:r>
        <w:r>
          <w:rPr>
            <w:webHidden/>
          </w:rPr>
          <w:fldChar w:fldCharType="begin"/>
        </w:r>
        <w:r w:rsidR="00637DD8">
          <w:rPr>
            <w:webHidden/>
          </w:rPr>
          <w:instrText xml:space="preserve"> PAGEREF _Toc390770737 \h </w:instrText>
        </w:r>
        <w:r>
          <w:rPr>
            <w:webHidden/>
          </w:rPr>
        </w:r>
        <w:r>
          <w:rPr>
            <w:webHidden/>
          </w:rPr>
          <w:fldChar w:fldCharType="separate"/>
        </w:r>
        <w:r w:rsidR="005B2F4C">
          <w:rPr>
            <w:webHidden/>
          </w:rPr>
          <w:t>16</w:t>
        </w:r>
        <w:r>
          <w:rPr>
            <w:webHidden/>
          </w:rPr>
          <w:fldChar w:fldCharType="end"/>
        </w:r>
      </w:hyperlink>
    </w:p>
    <w:p w:rsidR="00637DD8" w:rsidRDefault="003E6F16">
      <w:pPr>
        <w:pStyle w:val="TOC1"/>
        <w:rPr>
          <w:rFonts w:asciiTheme="minorHAnsi" w:eastAsiaTheme="minorEastAsia" w:hAnsiTheme="minorHAnsi" w:cstheme="minorBidi"/>
          <w:b w:val="0"/>
          <w:bCs w:val="0"/>
          <w:color w:val="auto"/>
          <w:sz w:val="22"/>
          <w:szCs w:val="22"/>
          <w:lang w:val="en-US"/>
        </w:rPr>
      </w:pPr>
      <w:hyperlink w:anchor="_Toc390770738" w:history="1">
        <w:r w:rsidR="00637DD8" w:rsidRPr="00BE58B8">
          <w:rPr>
            <w:rStyle w:val="Hyperlink"/>
          </w:rPr>
          <w:t>6.</w:t>
        </w:r>
        <w:r w:rsidR="00637DD8">
          <w:rPr>
            <w:rFonts w:asciiTheme="minorHAnsi" w:eastAsiaTheme="minorEastAsia" w:hAnsiTheme="minorHAnsi" w:cstheme="minorBidi"/>
            <w:b w:val="0"/>
            <w:bCs w:val="0"/>
            <w:color w:val="auto"/>
            <w:sz w:val="22"/>
            <w:szCs w:val="22"/>
            <w:lang w:val="en-US"/>
          </w:rPr>
          <w:tab/>
        </w:r>
        <w:r w:rsidR="00637DD8" w:rsidRPr="00BE58B8">
          <w:rPr>
            <w:rStyle w:val="Hyperlink"/>
          </w:rPr>
          <w:t>Recommendations</w:t>
        </w:r>
        <w:r w:rsidR="00637DD8">
          <w:rPr>
            <w:webHidden/>
          </w:rPr>
          <w:tab/>
        </w:r>
        <w:r>
          <w:rPr>
            <w:webHidden/>
          </w:rPr>
          <w:fldChar w:fldCharType="begin"/>
        </w:r>
        <w:r w:rsidR="00637DD8">
          <w:rPr>
            <w:webHidden/>
          </w:rPr>
          <w:instrText xml:space="preserve"> PAGEREF _Toc390770738 \h </w:instrText>
        </w:r>
        <w:r>
          <w:rPr>
            <w:webHidden/>
          </w:rPr>
        </w:r>
        <w:r>
          <w:rPr>
            <w:webHidden/>
          </w:rPr>
          <w:fldChar w:fldCharType="separate"/>
        </w:r>
        <w:r w:rsidR="005B2F4C">
          <w:rPr>
            <w:webHidden/>
          </w:rPr>
          <w:t>17</w:t>
        </w:r>
        <w:r>
          <w:rPr>
            <w:webHidden/>
          </w:rPr>
          <w:fldChar w:fldCharType="end"/>
        </w:r>
      </w:hyperlink>
    </w:p>
    <w:p w:rsidR="00637DD8" w:rsidRDefault="003E6F16">
      <w:pPr>
        <w:pStyle w:val="TOC1"/>
        <w:rPr>
          <w:rFonts w:asciiTheme="minorHAnsi" w:eastAsiaTheme="minorEastAsia" w:hAnsiTheme="minorHAnsi" w:cstheme="minorBidi"/>
          <w:b w:val="0"/>
          <w:bCs w:val="0"/>
          <w:color w:val="auto"/>
          <w:sz w:val="22"/>
          <w:szCs w:val="22"/>
          <w:lang w:val="en-US"/>
        </w:rPr>
      </w:pPr>
      <w:hyperlink w:anchor="_Toc390770739" w:history="1">
        <w:r w:rsidR="00637DD8" w:rsidRPr="00BE58B8">
          <w:rPr>
            <w:rStyle w:val="Hyperlink"/>
          </w:rPr>
          <w:t>References</w:t>
        </w:r>
        <w:r w:rsidR="00637DD8">
          <w:rPr>
            <w:webHidden/>
          </w:rPr>
          <w:tab/>
        </w:r>
        <w:r>
          <w:rPr>
            <w:webHidden/>
          </w:rPr>
          <w:fldChar w:fldCharType="begin"/>
        </w:r>
        <w:r w:rsidR="00637DD8">
          <w:rPr>
            <w:webHidden/>
          </w:rPr>
          <w:instrText xml:space="preserve"> PAGEREF _Toc390770739 \h </w:instrText>
        </w:r>
        <w:r>
          <w:rPr>
            <w:webHidden/>
          </w:rPr>
        </w:r>
        <w:r>
          <w:rPr>
            <w:webHidden/>
          </w:rPr>
          <w:fldChar w:fldCharType="separate"/>
        </w:r>
        <w:r w:rsidR="005B2F4C">
          <w:rPr>
            <w:webHidden/>
          </w:rPr>
          <w:t>18</w:t>
        </w:r>
        <w:r>
          <w:rPr>
            <w:webHidden/>
          </w:rPr>
          <w:fldChar w:fldCharType="end"/>
        </w:r>
      </w:hyperlink>
    </w:p>
    <w:p w:rsidR="005046D3" w:rsidRPr="009B40BB" w:rsidRDefault="003E6F16" w:rsidP="00F810CB">
      <w:pPr>
        <w:rPr>
          <w:noProof/>
        </w:rPr>
      </w:pPr>
      <w:r w:rsidRPr="009B40BB">
        <w:rPr>
          <w:noProof/>
        </w:rPr>
        <w:fldChar w:fldCharType="end"/>
      </w:r>
      <w:bookmarkEnd w:id="8"/>
    </w:p>
    <w:p w:rsidR="008A4C52" w:rsidRPr="009B40BB" w:rsidRDefault="008A4C52" w:rsidP="008A4C52">
      <w:pPr>
        <w:pStyle w:val="TOCHeadings"/>
        <w:rPr>
          <w:noProof/>
        </w:rPr>
      </w:pPr>
      <w:bookmarkStart w:id="10" w:name="TOA"/>
      <w:r w:rsidRPr="009B40BB">
        <w:rPr>
          <w:noProof/>
        </w:rPr>
        <w:t>Appendices</w:t>
      </w:r>
    </w:p>
    <w:bookmarkEnd w:id="10"/>
    <w:p w:rsidR="00315C08" w:rsidRPr="009B40BB" w:rsidRDefault="00315C08" w:rsidP="00315C08">
      <w:pPr>
        <w:rPr>
          <w:noProof/>
          <w:sz w:val="22"/>
        </w:rPr>
      </w:pPr>
      <w:r w:rsidRPr="009B40BB">
        <w:rPr>
          <w:noProof/>
          <w:sz w:val="22"/>
        </w:rPr>
        <w:t>Appendix A</w:t>
      </w:r>
      <w:r w:rsidRPr="009B40BB">
        <w:rPr>
          <w:noProof/>
          <w:sz w:val="22"/>
        </w:rPr>
        <w:tab/>
        <w:t>Reporting hazardous waste under the Basel Convention – guidance to jurisdictions</w:t>
      </w:r>
    </w:p>
    <w:p w:rsidR="00315C08" w:rsidRPr="009B40BB" w:rsidRDefault="00315C08" w:rsidP="00315C08">
      <w:pPr>
        <w:rPr>
          <w:noProof/>
          <w:sz w:val="22"/>
        </w:rPr>
      </w:pPr>
      <w:r w:rsidRPr="009B40BB">
        <w:rPr>
          <w:noProof/>
          <w:sz w:val="22"/>
        </w:rPr>
        <w:t>Appendix B</w:t>
      </w:r>
      <w:r w:rsidRPr="009B40BB">
        <w:rPr>
          <w:noProof/>
          <w:sz w:val="22"/>
        </w:rPr>
        <w:tab/>
      </w:r>
      <w:r w:rsidR="00D41D8A" w:rsidRPr="009B40BB">
        <w:rPr>
          <w:noProof/>
          <w:sz w:val="22"/>
        </w:rPr>
        <w:t>R</w:t>
      </w:r>
      <w:r w:rsidRPr="009B40BB">
        <w:rPr>
          <w:noProof/>
          <w:sz w:val="22"/>
        </w:rPr>
        <w:t>eporting &amp; translation templates</w:t>
      </w:r>
    </w:p>
    <w:p w:rsidR="00315C08" w:rsidRPr="009B40BB" w:rsidRDefault="00315C08" w:rsidP="00315C08">
      <w:pPr>
        <w:rPr>
          <w:noProof/>
          <w:sz w:val="22"/>
        </w:rPr>
      </w:pPr>
      <w:r w:rsidRPr="009B40BB">
        <w:rPr>
          <w:noProof/>
          <w:sz w:val="22"/>
        </w:rPr>
        <w:t>Appendix C</w:t>
      </w:r>
      <w:r w:rsidRPr="009B40BB">
        <w:rPr>
          <w:noProof/>
          <w:sz w:val="22"/>
        </w:rPr>
        <w:tab/>
        <w:t>National hazardous wa</w:t>
      </w:r>
      <w:r w:rsidR="00AD70D4">
        <w:rPr>
          <w:noProof/>
          <w:sz w:val="22"/>
        </w:rPr>
        <w:t>ste data 2011-</w:t>
      </w:r>
      <w:r w:rsidRPr="009B40BB">
        <w:rPr>
          <w:noProof/>
          <w:sz w:val="22"/>
        </w:rPr>
        <w:t>12 and 2012 – by NEPM code</w:t>
      </w:r>
    </w:p>
    <w:p w:rsidR="00315C08" w:rsidRPr="009B40BB" w:rsidRDefault="00315C08" w:rsidP="00315C08">
      <w:pPr>
        <w:rPr>
          <w:noProof/>
          <w:sz w:val="22"/>
        </w:rPr>
      </w:pPr>
      <w:r w:rsidRPr="009B40BB">
        <w:rPr>
          <w:noProof/>
          <w:sz w:val="22"/>
        </w:rPr>
        <w:t>Appendix D</w:t>
      </w:r>
      <w:r w:rsidRPr="009B40BB">
        <w:rPr>
          <w:noProof/>
          <w:sz w:val="22"/>
        </w:rPr>
        <w:tab/>
        <w:t>National hazardous waste data 2012 – by Basel Y code</w:t>
      </w:r>
    </w:p>
    <w:p w:rsidR="00315C08" w:rsidRPr="009B40BB" w:rsidRDefault="00315C08" w:rsidP="00315C08">
      <w:pPr>
        <w:rPr>
          <w:noProof/>
          <w:sz w:val="22"/>
        </w:rPr>
      </w:pPr>
      <w:r w:rsidRPr="009B40BB">
        <w:rPr>
          <w:noProof/>
          <w:sz w:val="22"/>
        </w:rPr>
        <w:t>Appendix E</w:t>
      </w:r>
      <w:r w:rsidRPr="009B40BB">
        <w:rPr>
          <w:noProof/>
          <w:sz w:val="22"/>
        </w:rPr>
        <w:tab/>
        <w:t>National hazardous waste data 2012 – Analysis &amp; Key Issues </w:t>
      </w:r>
    </w:p>
    <w:p w:rsidR="00802F70" w:rsidRPr="009B40BB" w:rsidRDefault="00315C08" w:rsidP="00315C08">
      <w:pPr>
        <w:rPr>
          <w:noProof/>
        </w:rPr>
      </w:pPr>
      <w:r w:rsidRPr="009B40BB">
        <w:rPr>
          <w:noProof/>
          <w:sz w:val="22"/>
        </w:rPr>
        <w:t>Appendix F</w:t>
      </w:r>
      <w:r w:rsidRPr="009B40BB">
        <w:rPr>
          <w:noProof/>
          <w:sz w:val="22"/>
        </w:rPr>
        <w:tab/>
        <w:t xml:space="preserve">Update of Hazardous </w:t>
      </w:r>
      <w:r w:rsidR="00AD70D4">
        <w:rPr>
          <w:noProof/>
          <w:sz w:val="22"/>
        </w:rPr>
        <w:t>Waste Data Summary Report (2010-</w:t>
      </w:r>
      <w:r w:rsidRPr="009B40BB">
        <w:rPr>
          <w:noProof/>
          <w:sz w:val="22"/>
        </w:rPr>
        <w:t>11 data)</w:t>
      </w:r>
    </w:p>
    <w:p w:rsidR="00802F70" w:rsidRDefault="00802F70" w:rsidP="00F810CB">
      <w:pPr>
        <w:rPr>
          <w:noProof/>
        </w:rPr>
      </w:pPr>
    </w:p>
    <w:p w:rsidR="00906AAD" w:rsidRPr="009B40BB" w:rsidRDefault="00906AAD" w:rsidP="00F810CB">
      <w:pPr>
        <w:rPr>
          <w:noProof/>
        </w:rPr>
      </w:pPr>
    </w:p>
    <w:p w:rsidR="00802F70" w:rsidRPr="009B40BB" w:rsidRDefault="00802F70" w:rsidP="00BF043F">
      <w:pPr>
        <w:pStyle w:val="TOCHeadings"/>
        <w:rPr>
          <w:noProof/>
        </w:rPr>
      </w:pPr>
      <w:bookmarkStart w:id="11" w:name="TOF"/>
      <w:r w:rsidRPr="009B40BB">
        <w:rPr>
          <w:noProof/>
        </w:rPr>
        <w:t>Figures</w:t>
      </w:r>
    </w:p>
    <w:p w:rsidR="00637DD8" w:rsidRDefault="003E6F16">
      <w:pPr>
        <w:pStyle w:val="TableofFigures"/>
        <w:rPr>
          <w:rFonts w:eastAsiaTheme="minorEastAsia" w:cstheme="minorBidi"/>
          <w:color w:val="auto"/>
          <w:szCs w:val="22"/>
          <w:lang w:val="en-US"/>
        </w:rPr>
      </w:pPr>
      <w:r w:rsidRPr="003E6F16">
        <w:rPr>
          <w:sz w:val="18"/>
        </w:rPr>
        <w:fldChar w:fldCharType="begin"/>
      </w:r>
      <w:r w:rsidR="00802F70" w:rsidRPr="009B40BB">
        <w:instrText xml:space="preserve"> TOC \h \z \c "Figure" </w:instrText>
      </w:r>
      <w:r w:rsidRPr="003E6F16">
        <w:rPr>
          <w:sz w:val="18"/>
        </w:rPr>
        <w:fldChar w:fldCharType="separate"/>
      </w:r>
      <w:hyperlink w:anchor="_Toc390770740" w:history="1">
        <w:r w:rsidR="00637DD8" w:rsidRPr="00DE4A7C">
          <w:rPr>
            <w:rStyle w:val="Hyperlink"/>
          </w:rPr>
          <w:t xml:space="preserve">Figure 1: </w:t>
        </w:r>
        <w:r w:rsidR="00637DD8">
          <w:rPr>
            <w:rFonts w:eastAsiaTheme="minorEastAsia" w:cstheme="minorBidi"/>
            <w:color w:val="auto"/>
            <w:szCs w:val="22"/>
            <w:lang w:val="en-US"/>
          </w:rPr>
          <w:tab/>
        </w:r>
        <w:r w:rsidR="00637DD8" w:rsidRPr="00DE4A7C">
          <w:rPr>
            <w:rStyle w:val="Hyperlink"/>
          </w:rPr>
          <w:t xml:space="preserve">Mapping Hazardous Waste: Jurisdiction codes </w:t>
        </w:r>
        <w:r w:rsidR="00637DD8" w:rsidRPr="00DE4A7C">
          <w:rPr>
            <w:rStyle w:val="Hyperlink"/>
          </w:rPr>
          <w:sym w:font="Wingdings" w:char="F0E0"/>
        </w:r>
        <w:r w:rsidR="00637DD8" w:rsidRPr="00DE4A7C">
          <w:rPr>
            <w:rStyle w:val="Hyperlink"/>
          </w:rPr>
          <w:t xml:space="preserve"> NEPM codes </w:t>
        </w:r>
        <w:r w:rsidR="00637DD8" w:rsidRPr="00DE4A7C">
          <w:rPr>
            <w:rStyle w:val="Hyperlink"/>
          </w:rPr>
          <w:sym w:font="Wingdings" w:char="F0E0"/>
        </w:r>
        <w:r w:rsidR="00637DD8" w:rsidRPr="00DE4A7C">
          <w:rPr>
            <w:rStyle w:val="Hyperlink"/>
          </w:rPr>
          <w:t xml:space="preserve"> Basel Y-codes</w:t>
        </w:r>
        <w:r w:rsidR="00637DD8">
          <w:rPr>
            <w:webHidden/>
          </w:rPr>
          <w:tab/>
        </w:r>
        <w:r>
          <w:rPr>
            <w:webHidden/>
          </w:rPr>
          <w:fldChar w:fldCharType="begin"/>
        </w:r>
        <w:r w:rsidR="00637DD8">
          <w:rPr>
            <w:webHidden/>
          </w:rPr>
          <w:instrText xml:space="preserve"> PAGEREF _Toc390770740 \h </w:instrText>
        </w:r>
        <w:r>
          <w:rPr>
            <w:webHidden/>
          </w:rPr>
        </w:r>
        <w:r>
          <w:rPr>
            <w:webHidden/>
          </w:rPr>
          <w:fldChar w:fldCharType="separate"/>
        </w:r>
        <w:r w:rsidR="005B2F4C">
          <w:rPr>
            <w:webHidden/>
          </w:rPr>
          <w:t>5</w:t>
        </w:r>
        <w:r>
          <w:rPr>
            <w:webHidden/>
          </w:rPr>
          <w:fldChar w:fldCharType="end"/>
        </w:r>
      </w:hyperlink>
    </w:p>
    <w:p w:rsidR="00637DD8" w:rsidRDefault="003E6F16">
      <w:pPr>
        <w:pStyle w:val="TableofFigures"/>
        <w:rPr>
          <w:rFonts w:eastAsiaTheme="minorEastAsia" w:cstheme="minorBidi"/>
          <w:color w:val="auto"/>
          <w:szCs w:val="22"/>
          <w:lang w:val="en-US"/>
        </w:rPr>
      </w:pPr>
      <w:hyperlink w:anchor="_Toc390770741" w:history="1">
        <w:r w:rsidR="00637DD8" w:rsidRPr="00DE4A7C">
          <w:rPr>
            <w:rStyle w:val="Hyperlink"/>
          </w:rPr>
          <w:t>Figure 2:</w:t>
        </w:r>
        <w:r w:rsidR="00637DD8">
          <w:rPr>
            <w:rFonts w:eastAsiaTheme="minorEastAsia" w:cstheme="minorBidi"/>
            <w:color w:val="auto"/>
            <w:szCs w:val="22"/>
            <w:lang w:val="en-US"/>
          </w:rPr>
          <w:tab/>
        </w:r>
        <w:r w:rsidR="00637DD8" w:rsidRPr="00DE4A7C">
          <w:rPr>
            <w:rStyle w:val="Hyperlink"/>
          </w:rPr>
          <w:t>Hazardous waste treatment/disposal (New South Wales 2010–11)</w:t>
        </w:r>
        <w:r w:rsidR="00637DD8">
          <w:rPr>
            <w:webHidden/>
          </w:rPr>
          <w:tab/>
        </w:r>
        <w:r>
          <w:rPr>
            <w:webHidden/>
          </w:rPr>
          <w:fldChar w:fldCharType="begin"/>
        </w:r>
        <w:r w:rsidR="00637DD8">
          <w:rPr>
            <w:webHidden/>
          </w:rPr>
          <w:instrText xml:space="preserve"> PAGEREF _Toc390770741 \h </w:instrText>
        </w:r>
        <w:r>
          <w:rPr>
            <w:webHidden/>
          </w:rPr>
        </w:r>
        <w:r>
          <w:rPr>
            <w:webHidden/>
          </w:rPr>
          <w:fldChar w:fldCharType="separate"/>
        </w:r>
        <w:r w:rsidR="005B2F4C">
          <w:rPr>
            <w:webHidden/>
          </w:rPr>
          <w:t>11</w:t>
        </w:r>
        <w:r>
          <w:rPr>
            <w:webHidden/>
          </w:rPr>
          <w:fldChar w:fldCharType="end"/>
        </w:r>
      </w:hyperlink>
    </w:p>
    <w:p w:rsidR="00637DD8" w:rsidRDefault="003E6F16">
      <w:pPr>
        <w:pStyle w:val="TableofFigures"/>
        <w:rPr>
          <w:rFonts w:eastAsiaTheme="minorEastAsia" w:cstheme="minorBidi"/>
          <w:color w:val="auto"/>
          <w:szCs w:val="22"/>
          <w:lang w:val="en-US"/>
        </w:rPr>
      </w:pPr>
      <w:hyperlink w:anchor="_Toc390770742" w:history="1">
        <w:r w:rsidR="00637DD8" w:rsidRPr="00DE4A7C">
          <w:rPr>
            <w:rStyle w:val="Hyperlink"/>
          </w:rPr>
          <w:t>Figure 3:</w:t>
        </w:r>
        <w:r w:rsidR="00637DD8">
          <w:rPr>
            <w:rFonts w:eastAsiaTheme="minorEastAsia" w:cstheme="minorBidi"/>
            <w:color w:val="auto"/>
            <w:szCs w:val="22"/>
            <w:lang w:val="en-US"/>
          </w:rPr>
          <w:tab/>
        </w:r>
        <w:r w:rsidR="00637DD8" w:rsidRPr="00DE4A7C">
          <w:rPr>
            <w:rStyle w:val="Hyperlink"/>
          </w:rPr>
          <w:t>Hazardous waste treatment/disposal (Queensland 2010–11)</w:t>
        </w:r>
        <w:r w:rsidR="00637DD8">
          <w:rPr>
            <w:webHidden/>
          </w:rPr>
          <w:tab/>
        </w:r>
        <w:r>
          <w:rPr>
            <w:webHidden/>
          </w:rPr>
          <w:fldChar w:fldCharType="begin"/>
        </w:r>
        <w:r w:rsidR="00637DD8">
          <w:rPr>
            <w:webHidden/>
          </w:rPr>
          <w:instrText xml:space="preserve"> PAGEREF _Toc390770742 \h </w:instrText>
        </w:r>
        <w:r>
          <w:rPr>
            <w:webHidden/>
          </w:rPr>
        </w:r>
        <w:r>
          <w:rPr>
            <w:webHidden/>
          </w:rPr>
          <w:fldChar w:fldCharType="separate"/>
        </w:r>
        <w:r w:rsidR="005B2F4C">
          <w:rPr>
            <w:webHidden/>
          </w:rPr>
          <w:t>12</w:t>
        </w:r>
        <w:r>
          <w:rPr>
            <w:webHidden/>
          </w:rPr>
          <w:fldChar w:fldCharType="end"/>
        </w:r>
      </w:hyperlink>
    </w:p>
    <w:p w:rsidR="00637DD8" w:rsidRDefault="003E6F16">
      <w:pPr>
        <w:pStyle w:val="TableofFigures"/>
        <w:rPr>
          <w:rFonts w:eastAsiaTheme="minorEastAsia" w:cstheme="minorBidi"/>
          <w:color w:val="auto"/>
          <w:szCs w:val="22"/>
          <w:lang w:val="en-US"/>
        </w:rPr>
      </w:pPr>
      <w:hyperlink w:anchor="_Toc390770743" w:history="1">
        <w:r w:rsidR="00637DD8" w:rsidRPr="00DE4A7C">
          <w:rPr>
            <w:rStyle w:val="Hyperlink"/>
          </w:rPr>
          <w:t>Figure 4:</w:t>
        </w:r>
        <w:r w:rsidR="00637DD8">
          <w:rPr>
            <w:rFonts w:eastAsiaTheme="minorEastAsia" w:cstheme="minorBidi"/>
            <w:color w:val="auto"/>
            <w:szCs w:val="22"/>
            <w:lang w:val="en-US"/>
          </w:rPr>
          <w:tab/>
        </w:r>
        <w:r w:rsidR="00637DD8" w:rsidRPr="00DE4A7C">
          <w:rPr>
            <w:rStyle w:val="Hyperlink"/>
          </w:rPr>
          <w:t>Hazardous waste treatment/disposal (Victoria 2010–11)</w:t>
        </w:r>
        <w:r w:rsidR="00637DD8">
          <w:rPr>
            <w:webHidden/>
          </w:rPr>
          <w:tab/>
        </w:r>
        <w:r>
          <w:rPr>
            <w:webHidden/>
          </w:rPr>
          <w:fldChar w:fldCharType="begin"/>
        </w:r>
        <w:r w:rsidR="00637DD8">
          <w:rPr>
            <w:webHidden/>
          </w:rPr>
          <w:instrText xml:space="preserve"> PAGEREF _Toc390770743 \h </w:instrText>
        </w:r>
        <w:r>
          <w:rPr>
            <w:webHidden/>
          </w:rPr>
        </w:r>
        <w:r>
          <w:rPr>
            <w:webHidden/>
          </w:rPr>
          <w:fldChar w:fldCharType="separate"/>
        </w:r>
        <w:r w:rsidR="005B2F4C">
          <w:rPr>
            <w:webHidden/>
          </w:rPr>
          <w:t>12</w:t>
        </w:r>
        <w:r>
          <w:rPr>
            <w:webHidden/>
          </w:rPr>
          <w:fldChar w:fldCharType="end"/>
        </w:r>
      </w:hyperlink>
    </w:p>
    <w:p w:rsidR="00802F70" w:rsidRPr="009B40BB" w:rsidRDefault="003E6F16" w:rsidP="00BF043F">
      <w:pPr>
        <w:rPr>
          <w:noProof/>
        </w:rPr>
      </w:pPr>
      <w:r w:rsidRPr="009B40BB">
        <w:rPr>
          <w:noProof/>
        </w:rPr>
        <w:fldChar w:fldCharType="end"/>
      </w:r>
      <w:bookmarkEnd w:id="11"/>
    </w:p>
    <w:p w:rsidR="00802F70" w:rsidRPr="009B40BB" w:rsidRDefault="00802F70" w:rsidP="00BF043F">
      <w:pPr>
        <w:pStyle w:val="TOCHeadings"/>
        <w:rPr>
          <w:noProof/>
        </w:rPr>
      </w:pPr>
      <w:bookmarkStart w:id="12" w:name="TOT"/>
    </w:p>
    <w:p w:rsidR="00802F70" w:rsidRPr="009B40BB" w:rsidRDefault="00802F70" w:rsidP="00BF043F">
      <w:pPr>
        <w:pStyle w:val="TOCHeadings"/>
        <w:rPr>
          <w:noProof/>
        </w:rPr>
      </w:pPr>
      <w:r w:rsidRPr="009B40BB">
        <w:rPr>
          <w:noProof/>
        </w:rPr>
        <w:t>Tables</w:t>
      </w:r>
    </w:p>
    <w:p w:rsidR="00637DD8" w:rsidRDefault="003E6F16">
      <w:pPr>
        <w:pStyle w:val="TableofFigures"/>
        <w:rPr>
          <w:rFonts w:eastAsiaTheme="minorEastAsia" w:cstheme="minorBidi"/>
          <w:color w:val="auto"/>
          <w:szCs w:val="22"/>
          <w:lang w:val="en-US"/>
        </w:rPr>
      </w:pPr>
      <w:r w:rsidRPr="003E6F16">
        <w:fldChar w:fldCharType="begin"/>
      </w:r>
      <w:r w:rsidR="00C01CF0" w:rsidRPr="009B40BB">
        <w:instrText xml:space="preserve"> TOC \h \z \c "Table" </w:instrText>
      </w:r>
      <w:r w:rsidRPr="003E6F16">
        <w:fldChar w:fldCharType="separate"/>
      </w:r>
      <w:hyperlink w:anchor="_Toc390770744" w:history="1">
        <w:r w:rsidR="00637DD8" w:rsidRPr="00B14D35">
          <w:rPr>
            <w:rStyle w:val="Hyperlink"/>
          </w:rPr>
          <w:t xml:space="preserve">Table 1: </w:t>
        </w:r>
        <w:r w:rsidR="00637DD8">
          <w:rPr>
            <w:rFonts w:eastAsiaTheme="minorEastAsia" w:cstheme="minorBidi"/>
            <w:color w:val="auto"/>
            <w:szCs w:val="22"/>
            <w:lang w:val="en-US"/>
          </w:rPr>
          <w:tab/>
        </w:r>
        <w:r w:rsidR="00637DD8" w:rsidRPr="00B14D35">
          <w:rPr>
            <w:rStyle w:val="Hyperlink"/>
          </w:rPr>
          <w:t>National hazardous waste data 2012 – by high-level NEPM code</w:t>
        </w:r>
        <w:r w:rsidR="00637DD8">
          <w:rPr>
            <w:webHidden/>
          </w:rPr>
          <w:tab/>
        </w:r>
        <w:r>
          <w:rPr>
            <w:webHidden/>
          </w:rPr>
          <w:fldChar w:fldCharType="begin"/>
        </w:r>
        <w:r w:rsidR="00637DD8">
          <w:rPr>
            <w:webHidden/>
          </w:rPr>
          <w:instrText xml:space="preserve"> PAGEREF _Toc390770744 \h </w:instrText>
        </w:r>
        <w:r>
          <w:rPr>
            <w:webHidden/>
          </w:rPr>
        </w:r>
        <w:r>
          <w:rPr>
            <w:webHidden/>
          </w:rPr>
          <w:fldChar w:fldCharType="separate"/>
        </w:r>
        <w:r w:rsidR="005B2F4C">
          <w:rPr>
            <w:webHidden/>
          </w:rPr>
          <w:t>10</w:t>
        </w:r>
        <w:r>
          <w:rPr>
            <w:webHidden/>
          </w:rPr>
          <w:fldChar w:fldCharType="end"/>
        </w:r>
      </w:hyperlink>
    </w:p>
    <w:p w:rsidR="00637DD8" w:rsidRDefault="003E6F16">
      <w:pPr>
        <w:pStyle w:val="TableofFigures"/>
        <w:rPr>
          <w:rFonts w:eastAsiaTheme="minorEastAsia" w:cstheme="minorBidi"/>
          <w:color w:val="auto"/>
          <w:szCs w:val="22"/>
          <w:lang w:val="en-US"/>
        </w:rPr>
      </w:pPr>
      <w:hyperlink w:anchor="_Toc390770745" w:history="1">
        <w:r w:rsidR="00637DD8" w:rsidRPr="00B14D35">
          <w:rPr>
            <w:rStyle w:val="Hyperlink"/>
          </w:rPr>
          <w:t xml:space="preserve">Table 2: </w:t>
        </w:r>
        <w:r w:rsidR="00637DD8">
          <w:rPr>
            <w:rFonts w:eastAsiaTheme="minorEastAsia" w:cstheme="minorBidi"/>
            <w:color w:val="auto"/>
            <w:szCs w:val="22"/>
            <w:lang w:val="en-US"/>
          </w:rPr>
          <w:tab/>
        </w:r>
        <w:r w:rsidR="00637DD8" w:rsidRPr="00B14D35">
          <w:rPr>
            <w:rStyle w:val="Hyperlink"/>
          </w:rPr>
          <w:t>National hazardous waste data 2012 – by state and territory totals</w:t>
        </w:r>
        <w:r w:rsidR="00637DD8">
          <w:rPr>
            <w:webHidden/>
          </w:rPr>
          <w:tab/>
        </w:r>
        <w:r>
          <w:rPr>
            <w:webHidden/>
          </w:rPr>
          <w:fldChar w:fldCharType="begin"/>
        </w:r>
        <w:r w:rsidR="00637DD8">
          <w:rPr>
            <w:webHidden/>
          </w:rPr>
          <w:instrText xml:space="preserve"> PAGEREF _Toc390770745 \h </w:instrText>
        </w:r>
        <w:r>
          <w:rPr>
            <w:webHidden/>
          </w:rPr>
        </w:r>
        <w:r>
          <w:rPr>
            <w:webHidden/>
          </w:rPr>
          <w:fldChar w:fldCharType="separate"/>
        </w:r>
        <w:r w:rsidR="005B2F4C">
          <w:rPr>
            <w:webHidden/>
          </w:rPr>
          <w:t>10</w:t>
        </w:r>
        <w:r>
          <w:rPr>
            <w:webHidden/>
          </w:rPr>
          <w:fldChar w:fldCharType="end"/>
        </w:r>
      </w:hyperlink>
    </w:p>
    <w:p w:rsidR="00802F70" w:rsidRPr="009B40BB" w:rsidRDefault="003E6F16" w:rsidP="00BF043F">
      <w:pPr>
        <w:rPr>
          <w:noProof/>
        </w:rPr>
      </w:pPr>
      <w:r w:rsidRPr="009B40BB">
        <w:rPr>
          <w:rFonts w:asciiTheme="minorHAnsi" w:hAnsiTheme="minorHAnsi"/>
          <w:b/>
          <w:bCs/>
          <w:noProof/>
          <w:color w:val="0C0C0C" w:themeColor="text1"/>
          <w:sz w:val="18"/>
          <w:szCs w:val="20"/>
        </w:rPr>
        <w:fldChar w:fldCharType="end"/>
      </w:r>
      <w:bookmarkEnd w:id="12"/>
    </w:p>
    <w:p w:rsidR="00802F70" w:rsidRPr="009B40BB" w:rsidRDefault="00802F70" w:rsidP="00BF043F">
      <w:pPr>
        <w:pStyle w:val="TOCHeadings"/>
        <w:rPr>
          <w:noProof/>
        </w:rPr>
      </w:pPr>
      <w:bookmarkStart w:id="13" w:name="Glossary"/>
    </w:p>
    <w:p w:rsidR="00802F70" w:rsidRPr="009B40BB" w:rsidRDefault="00802F70" w:rsidP="00BF043F">
      <w:pPr>
        <w:pStyle w:val="TOCHeadings"/>
        <w:rPr>
          <w:noProof/>
        </w:rPr>
      </w:pPr>
    </w:p>
    <w:bookmarkEnd w:id="13"/>
    <w:p w:rsidR="002419F3" w:rsidRPr="009B40BB" w:rsidRDefault="002419F3">
      <w:pPr>
        <w:spacing w:line="240" w:lineRule="auto"/>
        <w:rPr>
          <w:rFonts w:ascii="Arial Rounded MT Bold" w:hAnsi="Arial Rounded MT Bold" w:cs="Arial"/>
          <w:b/>
          <w:noProof/>
          <w:color w:val="0000FF"/>
        </w:rPr>
      </w:pPr>
      <w:r w:rsidRPr="009B40BB">
        <w:rPr>
          <w:noProof/>
        </w:rPr>
        <w:br w:type="page"/>
      </w:r>
    </w:p>
    <w:p w:rsidR="002419F3" w:rsidRPr="009B40BB" w:rsidRDefault="002D644A" w:rsidP="002419F3">
      <w:pPr>
        <w:pStyle w:val="TOCHeadings"/>
        <w:rPr>
          <w:noProof/>
        </w:rPr>
      </w:pPr>
      <w:r>
        <w:rPr>
          <w:noProof/>
        </w:rPr>
        <w:lastRenderedPageBreak/>
        <w:t>G</w:t>
      </w:r>
      <w:r w:rsidR="002419F3" w:rsidRPr="009B40BB">
        <w:rPr>
          <w:noProof/>
        </w:rPr>
        <w:t>lossary</w:t>
      </w:r>
    </w:p>
    <w:tbl>
      <w:tblPr>
        <w:tblW w:w="0" w:type="auto"/>
        <w:tblLook w:val="0000"/>
      </w:tblPr>
      <w:tblGrid>
        <w:gridCol w:w="1668"/>
        <w:gridCol w:w="7800"/>
      </w:tblGrid>
      <w:tr w:rsidR="002419F3" w:rsidRPr="009B40BB" w:rsidTr="004C1EF4">
        <w:tc>
          <w:tcPr>
            <w:tcW w:w="1668"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Basel Convention</w:t>
            </w:r>
          </w:p>
        </w:tc>
        <w:tc>
          <w:tcPr>
            <w:tcW w:w="7800"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i/>
                <w:szCs w:val="20"/>
              </w:rPr>
              <w:t>The Basel Convention on the Control of Transboundary Movements of Hazardous Wastes and their Disposal</w:t>
            </w:r>
            <w:r w:rsidRPr="009B40BB">
              <w:rPr>
                <w:rFonts w:asciiTheme="minorHAnsi" w:hAnsiTheme="minorHAnsi" w:cs="Arial"/>
                <w:szCs w:val="20"/>
              </w:rPr>
              <w:t>. The Convention puts an onus on exporting countries to ensure that hazardous wastes are managed in an environmentally sound manner in the country of import.</w:t>
            </w:r>
          </w:p>
        </w:tc>
      </w:tr>
      <w:tr w:rsidR="002419F3" w:rsidRPr="009B40BB" w:rsidTr="004C1EF4">
        <w:tc>
          <w:tcPr>
            <w:tcW w:w="1668"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Controlled Waste</w:t>
            </w:r>
          </w:p>
        </w:tc>
        <w:tc>
          <w:tcPr>
            <w:tcW w:w="7800"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Waste that falls under the control of the Controlled Waste National Environment Protection Measure. Generally equivalent to hazardous waste, although definitional differences of the latter exist across jurisdictions</w:t>
            </w:r>
          </w:p>
        </w:tc>
      </w:tr>
      <w:tr w:rsidR="002419F3" w:rsidRPr="009B40BB" w:rsidTr="004C1EF4">
        <w:tc>
          <w:tcPr>
            <w:tcW w:w="1668"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Controlled Waste NEPM</w:t>
            </w:r>
          </w:p>
        </w:tc>
        <w:tc>
          <w:tcPr>
            <w:tcW w:w="7800"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National Environment Protection (Movement of Controlled Waste between States and Territories) Measure.</w:t>
            </w:r>
          </w:p>
        </w:tc>
      </w:tr>
      <w:tr w:rsidR="002419F3" w:rsidRPr="009B40BB" w:rsidTr="004C1EF4">
        <w:tc>
          <w:tcPr>
            <w:tcW w:w="1668"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Hazardous waste</w:t>
            </w:r>
          </w:p>
        </w:tc>
        <w:tc>
          <w:tcPr>
            <w:tcW w:w="7800"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 xml:space="preserve">A hazardous waste, as defined in the Australian Government’s </w:t>
            </w:r>
            <w:r w:rsidRPr="009B40BB">
              <w:rPr>
                <w:rFonts w:asciiTheme="minorHAnsi" w:hAnsiTheme="minorHAnsi" w:cs="Arial"/>
                <w:i/>
                <w:szCs w:val="20"/>
              </w:rPr>
              <w:t xml:space="preserve">National Waste Policy: Less waste, more resources </w:t>
            </w:r>
            <w:r w:rsidRPr="009B40BB">
              <w:rPr>
                <w:rFonts w:asciiTheme="minorHAnsi" w:hAnsiTheme="minorHAnsi" w:cs="Arial"/>
                <w:szCs w:val="20"/>
              </w:rPr>
              <w:t xml:space="preserve">(2009), is a substance or object that exhibits hazardous characteristics, is no longer fit for its intended use and requires disposal. </w:t>
            </w:r>
          </w:p>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 xml:space="preserve">Hazardous waste means: </w:t>
            </w:r>
          </w:p>
          <w:p w:rsidR="002419F3" w:rsidRPr="009B40BB" w:rsidRDefault="002419F3" w:rsidP="004C1EF4">
            <w:pPr>
              <w:rPr>
                <w:rFonts w:asciiTheme="minorHAnsi" w:hAnsiTheme="minorHAnsi" w:cs="Arial"/>
                <w:szCs w:val="20"/>
              </w:rPr>
            </w:pPr>
            <w:r w:rsidRPr="009B40BB">
              <w:rPr>
                <w:rFonts w:asciiTheme="minorHAnsi" w:hAnsiTheme="minorHAnsi" w:cs="Arial"/>
                <w:szCs w:val="20"/>
              </w:rPr>
              <w:t xml:space="preserve">(a) waste prescribed by the regulations, where the waste has any of the characteristics mentioned in Annex III to the Basel Convention; or </w:t>
            </w:r>
          </w:p>
          <w:p w:rsidR="002419F3" w:rsidRPr="009B40BB" w:rsidRDefault="002419F3" w:rsidP="004C1EF4">
            <w:pPr>
              <w:rPr>
                <w:rFonts w:asciiTheme="minorHAnsi" w:hAnsiTheme="minorHAnsi" w:cs="Arial"/>
                <w:szCs w:val="20"/>
              </w:rPr>
            </w:pPr>
            <w:r w:rsidRPr="009B40BB">
              <w:rPr>
                <w:rFonts w:asciiTheme="minorHAnsi" w:hAnsiTheme="minorHAnsi" w:cs="Arial"/>
                <w:szCs w:val="20"/>
              </w:rPr>
              <w:t xml:space="preserve">(b) wastes covered by paragraph 1(a) of Article 1 of the Basel Convention; or </w:t>
            </w:r>
          </w:p>
          <w:p w:rsidR="002419F3" w:rsidRPr="009B40BB" w:rsidRDefault="002419F3" w:rsidP="004C1EF4">
            <w:pPr>
              <w:rPr>
                <w:rFonts w:asciiTheme="minorHAnsi" w:hAnsiTheme="minorHAnsi" w:cs="Arial"/>
                <w:szCs w:val="20"/>
              </w:rPr>
            </w:pPr>
            <w:r w:rsidRPr="009B40BB">
              <w:rPr>
                <w:rFonts w:asciiTheme="minorHAnsi" w:hAnsiTheme="minorHAnsi" w:cs="Arial"/>
                <w:szCs w:val="20"/>
              </w:rPr>
              <w:t xml:space="preserve">(c) household waste; or </w:t>
            </w:r>
          </w:p>
          <w:p w:rsidR="002419F3" w:rsidRPr="009B40BB" w:rsidRDefault="002419F3" w:rsidP="004C1EF4">
            <w:pPr>
              <w:rPr>
                <w:rFonts w:asciiTheme="minorHAnsi" w:hAnsiTheme="minorHAnsi" w:cs="Arial"/>
                <w:szCs w:val="20"/>
              </w:rPr>
            </w:pPr>
            <w:r w:rsidRPr="009B40BB">
              <w:rPr>
                <w:rFonts w:asciiTheme="minorHAnsi" w:hAnsiTheme="minorHAnsi" w:cs="Arial"/>
                <w:szCs w:val="20"/>
              </w:rPr>
              <w:t xml:space="preserve">(d) </w:t>
            </w:r>
            <w:proofErr w:type="gramStart"/>
            <w:r w:rsidRPr="009B40BB">
              <w:rPr>
                <w:rFonts w:asciiTheme="minorHAnsi" w:hAnsiTheme="minorHAnsi" w:cs="Arial"/>
                <w:szCs w:val="20"/>
              </w:rPr>
              <w:t>residues</w:t>
            </w:r>
            <w:proofErr w:type="gramEnd"/>
            <w:r w:rsidRPr="009B40BB">
              <w:rPr>
                <w:rFonts w:asciiTheme="minorHAnsi" w:hAnsiTheme="minorHAnsi" w:cs="Arial"/>
                <w:szCs w:val="20"/>
              </w:rPr>
              <w:t xml:space="preserve"> arising from the incineration of household waste; but does not include wastes covered by paragraph 4 of Article 1 of the Basel Convention.</w:t>
            </w:r>
          </w:p>
        </w:tc>
      </w:tr>
      <w:tr w:rsidR="002419F3" w:rsidRPr="009B40BB" w:rsidTr="004C1EF4">
        <w:tc>
          <w:tcPr>
            <w:tcW w:w="1668"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Interstate data</w:t>
            </w:r>
          </w:p>
        </w:tc>
        <w:tc>
          <w:tcPr>
            <w:tcW w:w="7800"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Data collected about hazardous waste generated in one jurisdiction and treated in another, through cross-border transport under the Controlled Waste NEPM</w:t>
            </w:r>
          </w:p>
        </w:tc>
      </w:tr>
      <w:tr w:rsidR="002419F3" w:rsidRPr="009B40BB" w:rsidTr="004C1EF4">
        <w:tc>
          <w:tcPr>
            <w:tcW w:w="1668"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Intrastate data</w:t>
            </w:r>
          </w:p>
        </w:tc>
        <w:tc>
          <w:tcPr>
            <w:tcW w:w="7800"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Data collected about hazardous waste generated, transported and treated within the one jurisdiction</w:t>
            </w:r>
          </w:p>
        </w:tc>
      </w:tr>
      <w:tr w:rsidR="002419F3" w:rsidRPr="009B40BB" w:rsidTr="004C1EF4">
        <w:tc>
          <w:tcPr>
            <w:tcW w:w="1668"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NEPC</w:t>
            </w:r>
          </w:p>
        </w:tc>
        <w:tc>
          <w:tcPr>
            <w:tcW w:w="7800"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National Environment Protection Council</w:t>
            </w:r>
          </w:p>
        </w:tc>
      </w:tr>
      <w:tr w:rsidR="002419F3" w:rsidRPr="009B40BB" w:rsidTr="004C1EF4">
        <w:tc>
          <w:tcPr>
            <w:tcW w:w="1668"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NEPM</w:t>
            </w:r>
          </w:p>
        </w:tc>
        <w:tc>
          <w:tcPr>
            <w:tcW w:w="7800"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National Environment Protection Measure</w:t>
            </w:r>
          </w:p>
        </w:tc>
      </w:tr>
      <w:tr w:rsidR="002419F3" w:rsidRPr="009B40BB" w:rsidTr="004C1EF4">
        <w:tc>
          <w:tcPr>
            <w:tcW w:w="1668"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Tracked data</w:t>
            </w:r>
          </w:p>
        </w:tc>
        <w:tc>
          <w:tcPr>
            <w:tcW w:w="7800"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cs="Arial"/>
                <w:szCs w:val="20"/>
              </w:rPr>
              <w:t>Hazardous waste collected under the arrangements of a tracking system</w:t>
            </w:r>
          </w:p>
        </w:tc>
      </w:tr>
      <w:tr w:rsidR="002419F3" w:rsidRPr="009B40BB" w:rsidTr="004C1EF4">
        <w:tc>
          <w:tcPr>
            <w:tcW w:w="1668" w:type="dxa"/>
          </w:tcPr>
          <w:p w:rsidR="002419F3" w:rsidRPr="009B40BB" w:rsidRDefault="002419F3" w:rsidP="004C1EF4">
            <w:pPr>
              <w:spacing w:before="120"/>
              <w:rPr>
                <w:rFonts w:asciiTheme="minorHAnsi" w:hAnsiTheme="minorHAnsi"/>
                <w:szCs w:val="20"/>
              </w:rPr>
            </w:pPr>
            <w:r w:rsidRPr="009B40BB">
              <w:rPr>
                <w:rFonts w:asciiTheme="minorHAnsi" w:hAnsiTheme="minorHAnsi"/>
                <w:szCs w:val="20"/>
              </w:rPr>
              <w:t>Tracking system</w:t>
            </w:r>
          </w:p>
        </w:tc>
        <w:tc>
          <w:tcPr>
            <w:tcW w:w="7800" w:type="dxa"/>
          </w:tcPr>
          <w:p w:rsidR="002419F3" w:rsidRPr="009B40BB" w:rsidRDefault="002419F3" w:rsidP="004C1EF4">
            <w:pPr>
              <w:spacing w:before="120"/>
              <w:rPr>
                <w:rFonts w:asciiTheme="minorHAnsi" w:hAnsiTheme="minorHAnsi"/>
                <w:szCs w:val="20"/>
              </w:rPr>
            </w:pPr>
            <w:r w:rsidRPr="009B40BB">
              <w:rPr>
                <w:rFonts w:asciiTheme="minorHAnsi" w:hAnsiTheme="minorHAnsi"/>
                <w:szCs w:val="20"/>
              </w:rPr>
              <w:t>Jurisdiction-based hazardous waste tracking systems, which are in place in New South Wales, Queensland, South Australia, Western Australia and Victoria. These tracking systems can be either online, paper-based, or a combination of both these mechanisms.</w:t>
            </w:r>
          </w:p>
        </w:tc>
      </w:tr>
      <w:tr w:rsidR="002419F3" w:rsidRPr="009B40BB" w:rsidTr="004C1EF4">
        <w:tc>
          <w:tcPr>
            <w:tcW w:w="1668" w:type="dxa"/>
          </w:tcPr>
          <w:p w:rsidR="002419F3" w:rsidRPr="009B40BB" w:rsidRDefault="002419F3" w:rsidP="004C1EF4">
            <w:pPr>
              <w:spacing w:before="120"/>
              <w:rPr>
                <w:rFonts w:asciiTheme="minorHAnsi" w:hAnsiTheme="minorHAnsi"/>
                <w:szCs w:val="20"/>
              </w:rPr>
            </w:pPr>
            <w:r w:rsidRPr="009B40BB">
              <w:rPr>
                <w:rFonts w:asciiTheme="minorHAnsi" w:hAnsiTheme="minorHAnsi"/>
                <w:szCs w:val="20"/>
              </w:rPr>
              <w:t>Treatment</w:t>
            </w:r>
          </w:p>
        </w:tc>
        <w:tc>
          <w:tcPr>
            <w:tcW w:w="7800" w:type="dxa"/>
          </w:tcPr>
          <w:p w:rsidR="002419F3" w:rsidRPr="009B40BB" w:rsidRDefault="002419F3" w:rsidP="004C1EF4">
            <w:pPr>
              <w:spacing w:before="120"/>
              <w:rPr>
                <w:rFonts w:asciiTheme="minorHAnsi" w:hAnsiTheme="minorHAnsi"/>
                <w:szCs w:val="20"/>
              </w:rPr>
            </w:pPr>
            <w:r w:rsidRPr="009B40BB">
              <w:rPr>
                <w:rFonts w:asciiTheme="minorHAnsi" w:hAnsiTheme="minorHAnsi"/>
                <w:szCs w:val="20"/>
              </w:rPr>
              <w:t xml:space="preserve">Treatment of waste is the removal, reduction or immobilisation of a hazardous characteristic to enable the waste to be reused, recycled, sent to </w:t>
            </w:r>
            <w:proofErr w:type="gramStart"/>
            <w:r w:rsidRPr="009B40BB">
              <w:rPr>
                <w:rFonts w:asciiTheme="minorHAnsi" w:hAnsiTheme="minorHAnsi"/>
                <w:szCs w:val="20"/>
              </w:rPr>
              <w:t xml:space="preserve">an </w:t>
            </w:r>
            <w:r w:rsidR="005D2FEB" w:rsidRPr="009B40BB">
              <w:rPr>
                <w:rFonts w:asciiTheme="minorHAnsi" w:hAnsiTheme="minorHAnsi"/>
                <w:szCs w:val="20"/>
              </w:rPr>
              <w:t>energy</w:t>
            </w:r>
            <w:proofErr w:type="gramEnd"/>
            <w:r w:rsidR="005D2FEB" w:rsidRPr="009B40BB">
              <w:rPr>
                <w:rFonts w:asciiTheme="minorHAnsi" w:hAnsiTheme="minorHAnsi"/>
                <w:szCs w:val="20"/>
              </w:rPr>
              <w:t xml:space="preserve"> from waste </w:t>
            </w:r>
            <w:r w:rsidRPr="009B40BB">
              <w:rPr>
                <w:rFonts w:asciiTheme="minorHAnsi" w:hAnsiTheme="minorHAnsi"/>
                <w:szCs w:val="20"/>
              </w:rPr>
              <w:t>facility or disposed.</w:t>
            </w:r>
          </w:p>
        </w:tc>
      </w:tr>
      <w:tr w:rsidR="002419F3" w:rsidRPr="009B40BB" w:rsidTr="004C1EF4">
        <w:tc>
          <w:tcPr>
            <w:tcW w:w="1668" w:type="dxa"/>
          </w:tcPr>
          <w:p w:rsidR="002419F3" w:rsidRPr="009B40BB" w:rsidRDefault="002419F3" w:rsidP="004C1EF4">
            <w:pPr>
              <w:spacing w:before="120"/>
              <w:rPr>
                <w:rFonts w:asciiTheme="minorHAnsi" w:hAnsiTheme="minorHAnsi"/>
                <w:szCs w:val="20"/>
              </w:rPr>
            </w:pPr>
            <w:r w:rsidRPr="009B40BB">
              <w:rPr>
                <w:rFonts w:asciiTheme="minorHAnsi" w:hAnsiTheme="minorHAnsi"/>
                <w:szCs w:val="20"/>
              </w:rPr>
              <w:t>Waste</w:t>
            </w:r>
          </w:p>
        </w:tc>
        <w:tc>
          <w:tcPr>
            <w:tcW w:w="7800" w:type="dxa"/>
          </w:tcPr>
          <w:p w:rsidR="002419F3" w:rsidRPr="009B40BB" w:rsidRDefault="002419F3" w:rsidP="004C1EF4">
            <w:pPr>
              <w:spacing w:before="120"/>
              <w:rPr>
                <w:rFonts w:asciiTheme="minorHAnsi" w:hAnsiTheme="minorHAnsi"/>
                <w:szCs w:val="20"/>
              </w:rPr>
            </w:pPr>
            <w:r w:rsidRPr="009B40BB">
              <w:rPr>
                <w:rFonts w:asciiTheme="minorHAnsi" w:hAnsiTheme="minorHAnsi"/>
                <w:szCs w:val="20"/>
              </w:rPr>
              <w:t>(For data collation purposes) is materials or products that are unwanted or have been discarded, rejected or abandoned. Waste includes materials or products that are recycled, converted to energy, or disposed. Materials and products that are reused (for their original or another purpose without reprocessing) are not solid waste because they remain in use.</w:t>
            </w:r>
          </w:p>
        </w:tc>
      </w:tr>
      <w:tr w:rsidR="002419F3" w:rsidRPr="009B40BB" w:rsidTr="004C1EF4">
        <w:tc>
          <w:tcPr>
            <w:tcW w:w="1668"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szCs w:val="20"/>
              </w:rPr>
              <w:t>Waste Code</w:t>
            </w:r>
          </w:p>
        </w:tc>
        <w:tc>
          <w:tcPr>
            <w:tcW w:w="7800" w:type="dxa"/>
          </w:tcPr>
          <w:p w:rsidR="002419F3" w:rsidRPr="009B40BB" w:rsidRDefault="002419F3" w:rsidP="004C1EF4">
            <w:pPr>
              <w:spacing w:before="120"/>
              <w:rPr>
                <w:rFonts w:asciiTheme="minorHAnsi" w:hAnsiTheme="minorHAnsi" w:cs="Arial"/>
                <w:szCs w:val="20"/>
              </w:rPr>
            </w:pPr>
            <w:r w:rsidRPr="009B40BB">
              <w:rPr>
                <w:rFonts w:asciiTheme="minorHAnsi" w:hAnsiTheme="minorHAnsi"/>
                <w:szCs w:val="20"/>
              </w:rPr>
              <w:t>Three-digit code typically used by jurisdictions to describe NEPM-listed wastes. These are also referred to as ’NEPM codes’ although it is noted that the actual codes do not appear in the NEPM itself.</w:t>
            </w:r>
          </w:p>
        </w:tc>
      </w:tr>
      <w:tr w:rsidR="002419F3" w:rsidRPr="009B40BB" w:rsidTr="004C1EF4">
        <w:tc>
          <w:tcPr>
            <w:tcW w:w="1668" w:type="dxa"/>
          </w:tcPr>
          <w:p w:rsidR="002419F3" w:rsidRPr="009B40BB" w:rsidRDefault="002419F3" w:rsidP="004C1EF4">
            <w:pPr>
              <w:spacing w:before="120"/>
              <w:rPr>
                <w:rFonts w:asciiTheme="minorHAnsi" w:hAnsiTheme="minorHAnsi"/>
                <w:szCs w:val="20"/>
              </w:rPr>
            </w:pPr>
            <w:r w:rsidRPr="009B40BB">
              <w:rPr>
                <w:rFonts w:asciiTheme="minorHAnsi" w:hAnsiTheme="minorHAnsi"/>
                <w:szCs w:val="20"/>
              </w:rPr>
              <w:t>Waste generation</w:t>
            </w:r>
          </w:p>
        </w:tc>
        <w:tc>
          <w:tcPr>
            <w:tcW w:w="7800" w:type="dxa"/>
          </w:tcPr>
          <w:p w:rsidR="002419F3" w:rsidRPr="009B40BB" w:rsidRDefault="002419F3" w:rsidP="004C1EF4">
            <w:pPr>
              <w:spacing w:before="120"/>
              <w:rPr>
                <w:rFonts w:asciiTheme="minorHAnsi" w:hAnsiTheme="minorHAnsi"/>
                <w:szCs w:val="20"/>
              </w:rPr>
            </w:pPr>
            <w:r w:rsidRPr="009B40BB">
              <w:rPr>
                <w:rFonts w:asciiTheme="minorHAnsi" w:hAnsiTheme="minorHAnsi"/>
                <w:szCs w:val="20"/>
              </w:rPr>
              <w:t xml:space="preserve">Typically, waste generation = resource recovery (recycling + energy recovery) + disposal. For the purposes of this report however, waste generation means what has been reported by jurisdictional data providers as waste generation. </w:t>
            </w:r>
          </w:p>
        </w:tc>
      </w:tr>
    </w:tbl>
    <w:p w:rsidR="002419F3" w:rsidRPr="009B40BB" w:rsidRDefault="002419F3" w:rsidP="002419F3">
      <w:pPr>
        <w:rPr>
          <w:rFonts w:ascii="Arial Rounded MT Bold" w:hAnsi="Arial Rounded MT Bold" w:cs="Arial"/>
          <w:color w:val="0000FF"/>
          <w:sz w:val="36"/>
          <w:szCs w:val="36"/>
        </w:rPr>
      </w:pPr>
      <w:r w:rsidRPr="009B40BB">
        <w:br w:type="page"/>
      </w:r>
    </w:p>
    <w:p w:rsidR="005B109F" w:rsidRPr="009B40BB" w:rsidRDefault="003B680C" w:rsidP="00661E13">
      <w:pPr>
        <w:pStyle w:val="SectionHeader"/>
      </w:pPr>
      <w:r w:rsidRPr="009B40BB">
        <w:lastRenderedPageBreak/>
        <w:t>Executive s</w:t>
      </w:r>
      <w:r w:rsidR="002D6440" w:rsidRPr="009B40BB">
        <w:t>ummary</w:t>
      </w:r>
      <w:bookmarkStart w:id="14" w:name="Summary"/>
      <w:bookmarkEnd w:id="7"/>
      <w:bookmarkEnd w:id="14"/>
    </w:p>
    <w:p w:rsidR="003B680C" w:rsidRPr="009B40BB" w:rsidRDefault="005D2FEB" w:rsidP="005D2FEB">
      <w:pPr>
        <w:pStyle w:val="Heading3"/>
      </w:pPr>
      <w:r w:rsidRPr="009B40BB">
        <w:t>Introduction</w:t>
      </w:r>
    </w:p>
    <w:p w:rsidR="005D2FEB" w:rsidRPr="009B40BB" w:rsidRDefault="005D2FEB" w:rsidP="005D2FEB">
      <w:pPr>
        <w:pStyle w:val="BodyText"/>
      </w:pPr>
      <w:r w:rsidRPr="009B40BB">
        <w:t xml:space="preserve">In November 2013, the Department of Environment (DoE) engaged Blue Environment Pty Ltd, in association with </w:t>
      </w:r>
      <w:r w:rsidR="0015376F">
        <w:t>ENVIRON Australia</w:t>
      </w:r>
      <w:r w:rsidRPr="009B40BB">
        <w:t xml:space="preserve"> Pty Ltd and Randell Environmental Consulting Pty Ltd (REC), to undertake a project titled </w:t>
      </w:r>
      <w:r w:rsidRPr="009B40BB">
        <w:rPr>
          <w:i/>
        </w:rPr>
        <w:t>Improving Australia's reporting on hazardous waste under the Basel Convention</w:t>
      </w:r>
      <w:r w:rsidRPr="009B40BB">
        <w:t xml:space="preserve">. </w:t>
      </w:r>
    </w:p>
    <w:p w:rsidR="005D2FEB" w:rsidRPr="009B40BB" w:rsidRDefault="005D2FEB" w:rsidP="005D2FEB">
      <w:pPr>
        <w:pStyle w:val="BodyText"/>
        <w:rPr>
          <w:sz w:val="16"/>
          <w:szCs w:val="16"/>
        </w:rPr>
      </w:pPr>
    </w:p>
    <w:p w:rsidR="005D2FEB" w:rsidRPr="009B40BB" w:rsidRDefault="005D2FEB" w:rsidP="005D2FEB">
      <w:pPr>
        <w:pStyle w:val="BodyText"/>
      </w:pPr>
      <w:r w:rsidRPr="009B40BB">
        <w:t>The Basel Convention, which regulates the movement of hazardous wastes across international boundaries, came into force in 1992. The Convention puts an onus on exporting countries to ensure that hazardous wastes are managed in an environmentally sound manner in the country of import</w:t>
      </w:r>
      <w:r w:rsidR="00506510">
        <w:t>, as well as at their point of origin</w:t>
      </w:r>
      <w:r w:rsidRPr="009B40BB">
        <w:t>.</w:t>
      </w:r>
    </w:p>
    <w:p w:rsidR="003B680C" w:rsidRPr="009B40BB" w:rsidRDefault="003B680C" w:rsidP="003B680C">
      <w:pPr>
        <w:pStyle w:val="BodyText"/>
      </w:pPr>
    </w:p>
    <w:p w:rsidR="007324E8" w:rsidRPr="009B40BB" w:rsidRDefault="005D2FEB" w:rsidP="007324E8">
      <w:pPr>
        <w:pStyle w:val="BodyText"/>
      </w:pPr>
      <w:r w:rsidRPr="009B40BB">
        <w:t xml:space="preserve">The Australian Government provides an annual report to the Secretariat of the Basel Convention on the </w:t>
      </w:r>
      <w:r w:rsidR="00506510">
        <w:t>occurrence and</w:t>
      </w:r>
      <w:r w:rsidRPr="009B40BB">
        <w:t xml:space="preserve"> trans-boundary movements of hazardous wastes </w:t>
      </w:r>
      <w:r w:rsidR="0015376F">
        <w:t>in</w:t>
      </w:r>
      <w:r w:rsidRPr="009B40BB">
        <w:t xml:space="preserve"> Australia</w:t>
      </w:r>
      <w:r w:rsidR="00506510">
        <w:t>. This report includes</w:t>
      </w:r>
      <w:r w:rsidRPr="009B40BB">
        <w:t xml:space="preserve"> a national account of tonnages of these wastes expressed using the Basel Convention’s classification system known as Y-codes. </w:t>
      </w:r>
      <w:r w:rsidR="007324E8" w:rsidRPr="009B40BB">
        <w:t xml:space="preserve">State and territory governments collect this data as part of their regulatory role in managing hazardous waste and its potential for impact on the environment and human health. </w:t>
      </w:r>
    </w:p>
    <w:p w:rsidR="007324E8" w:rsidRPr="009B40BB" w:rsidRDefault="007324E8" w:rsidP="007324E8">
      <w:pPr>
        <w:pStyle w:val="BodyText"/>
      </w:pPr>
    </w:p>
    <w:p w:rsidR="005D2FEB" w:rsidRPr="009B40BB" w:rsidRDefault="007324E8" w:rsidP="007324E8">
      <w:pPr>
        <w:pStyle w:val="BodyText"/>
      </w:pPr>
      <w:r w:rsidRPr="009B40BB">
        <w:t>DoE has flagged multiple areas where compliance with Basel requirements can be improved, including: improvements to timeliness, completeness, consistency, accuracy, verifiability and generally meeting common principles of data quality.</w:t>
      </w:r>
    </w:p>
    <w:p w:rsidR="009F33EF" w:rsidRPr="009B40BB" w:rsidRDefault="009F33EF" w:rsidP="00DE58BF">
      <w:pPr>
        <w:rPr>
          <w:sz w:val="22"/>
        </w:rPr>
      </w:pPr>
    </w:p>
    <w:p w:rsidR="007324E8" w:rsidRPr="009B40BB" w:rsidRDefault="007324E8" w:rsidP="007324E8">
      <w:pPr>
        <w:pStyle w:val="BodyText"/>
      </w:pPr>
      <w:r w:rsidRPr="009B40BB">
        <w:t>The DoE defined the project scope as follows:</w:t>
      </w:r>
    </w:p>
    <w:p w:rsidR="007324E8" w:rsidRPr="009B40BB" w:rsidRDefault="007324E8" w:rsidP="007324E8">
      <w:pPr>
        <w:pStyle w:val="ListNumber"/>
      </w:pPr>
      <w:r w:rsidRPr="009B40BB">
        <w:t xml:space="preserve">The development of descriptive guidance about the Basel Convention reporting requirements </w:t>
      </w:r>
    </w:p>
    <w:p w:rsidR="007324E8" w:rsidRPr="009B40BB" w:rsidRDefault="007324E8" w:rsidP="007324E8">
      <w:pPr>
        <w:pStyle w:val="ListNumber"/>
      </w:pPr>
      <w:r w:rsidRPr="009B40BB">
        <w:t xml:space="preserve">Developing guidance for the states and territories on how to take their input data and use it to populate the Y-Code categories of Basel’s hazardous waste classification </w:t>
      </w:r>
    </w:p>
    <w:p w:rsidR="007324E8" w:rsidRPr="009B40BB" w:rsidRDefault="007324E8" w:rsidP="007324E8">
      <w:pPr>
        <w:pStyle w:val="ListNumber"/>
      </w:pPr>
      <w:r w:rsidRPr="009B40BB">
        <w:t xml:space="preserve">Provision of guidance on how other aspects of the Basel spreadsheet can be populated in a standardised way </w:t>
      </w:r>
    </w:p>
    <w:p w:rsidR="007324E8" w:rsidRPr="009B40BB" w:rsidRDefault="007324E8" w:rsidP="007324E8">
      <w:pPr>
        <w:pStyle w:val="ListNumber"/>
      </w:pPr>
      <w:r w:rsidRPr="009B40BB">
        <w:t xml:space="preserve">Delivery of the guidance to state and territory reporters, supporting their reporting activity through an assisted validation process </w:t>
      </w:r>
    </w:p>
    <w:p w:rsidR="007324E8" w:rsidRPr="009B40BB" w:rsidRDefault="007324E8" w:rsidP="007324E8">
      <w:pPr>
        <w:pStyle w:val="ListNumber"/>
      </w:pPr>
      <w:r w:rsidRPr="009B40BB">
        <w:t>Compilation of a standardised jurisdictional and national report, suitable for both Australian Government publication and provision to the Basel Convention Secretariat</w:t>
      </w:r>
    </w:p>
    <w:p w:rsidR="007324E8" w:rsidRPr="009B40BB" w:rsidRDefault="007324E8" w:rsidP="007324E8">
      <w:pPr>
        <w:pStyle w:val="ListNumber"/>
      </w:pPr>
      <w:r w:rsidRPr="009B40BB">
        <w:t>Delivery of a final project report, containing the guidance, the national and jurisdictional data, and supporting commentary/analysis, suitable for publication on the Department’s website.</w:t>
      </w:r>
    </w:p>
    <w:p w:rsidR="007324E8" w:rsidRPr="009B40BB" w:rsidRDefault="007324E8" w:rsidP="00DE58BF">
      <w:pPr>
        <w:rPr>
          <w:sz w:val="22"/>
        </w:rPr>
      </w:pPr>
    </w:p>
    <w:p w:rsidR="00D149AC" w:rsidRPr="009B40BB" w:rsidRDefault="00070CA4" w:rsidP="00070CA4">
      <w:pPr>
        <w:pStyle w:val="Heading3"/>
      </w:pPr>
      <w:r w:rsidRPr="009B40BB">
        <w:t>Improving the Basel reporting process</w:t>
      </w:r>
    </w:p>
    <w:p w:rsidR="00964CC6" w:rsidRPr="009B40BB" w:rsidRDefault="00964CC6" w:rsidP="00964CC6">
      <w:pPr>
        <w:pStyle w:val="BodyText"/>
        <w:spacing w:after="120"/>
      </w:pPr>
      <w:r w:rsidRPr="009B40BB">
        <w:t xml:space="preserve">Collation of high quality national data on hazardous waste in Australia is in its infancy. </w:t>
      </w:r>
    </w:p>
    <w:p w:rsidR="00DB1E22" w:rsidRPr="009B40BB" w:rsidRDefault="00DB1E22" w:rsidP="00DB1E22">
      <w:pPr>
        <w:pStyle w:val="BodyText"/>
      </w:pPr>
      <w:r w:rsidRPr="009B40BB">
        <w:t>The first step in improving Australia’s hazardous waste data and reporting is to address the different jurisdictional approaches and systems of classification and coding of hazardous wastes types. The project team tackled this by mapping Basel Y-code waste categories back to original jurisdiction-based waste codes, typically used in waste tracking and management systems employed at the jurisdictional level.</w:t>
      </w:r>
    </w:p>
    <w:p w:rsidR="00070CA4" w:rsidRPr="009B40BB" w:rsidRDefault="00070CA4" w:rsidP="00070CA4">
      <w:pPr>
        <w:pStyle w:val="BodyText"/>
      </w:pPr>
    </w:p>
    <w:p w:rsidR="00CF3B5C" w:rsidRDefault="00CF3B5C">
      <w:pPr>
        <w:spacing w:line="240" w:lineRule="auto"/>
        <w:rPr>
          <w:rFonts w:asciiTheme="minorHAnsi" w:hAnsiTheme="minorHAnsi"/>
          <w:sz w:val="22"/>
        </w:rPr>
      </w:pPr>
      <w:r>
        <w:rPr>
          <w:rFonts w:asciiTheme="minorHAnsi" w:hAnsiTheme="minorHAnsi"/>
          <w:sz w:val="22"/>
        </w:rPr>
        <w:br w:type="page"/>
      </w:r>
    </w:p>
    <w:p w:rsidR="00DB1E22" w:rsidRPr="009B40BB" w:rsidRDefault="00DB1E22" w:rsidP="00DB1E22">
      <w:pPr>
        <w:spacing w:after="120"/>
        <w:rPr>
          <w:rFonts w:asciiTheme="minorHAnsi" w:hAnsiTheme="minorHAnsi"/>
          <w:sz w:val="22"/>
        </w:rPr>
      </w:pPr>
      <w:r w:rsidRPr="009B40BB">
        <w:rPr>
          <w:rFonts w:asciiTheme="minorHAnsi" w:hAnsiTheme="minorHAnsi"/>
          <w:sz w:val="22"/>
        </w:rPr>
        <w:lastRenderedPageBreak/>
        <w:t>The Y-code mapping involved a 2-step translation protocol:</w:t>
      </w:r>
    </w:p>
    <w:p w:rsidR="00DB1E22" w:rsidRPr="009B40BB" w:rsidRDefault="00DB1E22" w:rsidP="00A768C4">
      <w:pPr>
        <w:pStyle w:val="ListNumber"/>
        <w:numPr>
          <w:ilvl w:val="0"/>
          <w:numId w:val="6"/>
        </w:numPr>
      </w:pPr>
      <w:r w:rsidRPr="009B40BB">
        <w:t>A jurisdiction-specific mapping of each waste category or code to the Controlled Waste NEPM 75 category list, (Schedule A, List 1 of the NEPM).</w:t>
      </w:r>
    </w:p>
    <w:p w:rsidR="00DB1E22" w:rsidRPr="009B40BB" w:rsidRDefault="00DB1E22" w:rsidP="00A768C4">
      <w:pPr>
        <w:pStyle w:val="ListNumber"/>
        <w:numPr>
          <w:ilvl w:val="0"/>
          <w:numId w:val="6"/>
        </w:numPr>
      </w:pPr>
      <w:r w:rsidRPr="009B40BB">
        <w:t>Common for all jurisdictions, mapping each of the NEPM 75 codes into the most appropriate of the 47 Basel Y-codes. In cases where no clear Y-code accommodated a NEPM code translation, one of the following alternatives were applied:</w:t>
      </w:r>
    </w:p>
    <w:p w:rsidR="00DB1E22" w:rsidRPr="009B40BB" w:rsidRDefault="00DB1E22" w:rsidP="00DB1E22">
      <w:pPr>
        <w:pStyle w:val="ListNumber2"/>
      </w:pPr>
      <w:r w:rsidRPr="009B40BB">
        <w:t>multiple NEPM codes mapped to a single Y-code</w:t>
      </w:r>
    </w:p>
    <w:p w:rsidR="00DB1E22" w:rsidRPr="009B40BB" w:rsidRDefault="00DB1E22" w:rsidP="00DB1E22">
      <w:pPr>
        <w:pStyle w:val="ListNumber2"/>
      </w:pPr>
      <w:r w:rsidRPr="009B40BB">
        <w:t>splitting a NEPM code into more than one Y-code</w:t>
      </w:r>
    </w:p>
    <w:p w:rsidR="00DB1E22" w:rsidRPr="009B40BB" w:rsidRDefault="00DB1E22" w:rsidP="00DB1E22">
      <w:pPr>
        <w:pStyle w:val="ListNumber2"/>
      </w:pPr>
      <w:r w:rsidRPr="009B40BB">
        <w:t>creation of a limited number of ‘new’ Basel categories, additional to Y-codes, to ensure that hazardous waste recognised in Australia’s national data set are not excluded from that reported to the Basel Secretariat (as required under the Convention).</w:t>
      </w:r>
    </w:p>
    <w:p w:rsidR="00DB1E22" w:rsidRPr="009B40BB" w:rsidRDefault="00DB1E22" w:rsidP="00070CA4">
      <w:pPr>
        <w:pStyle w:val="BodyText"/>
      </w:pPr>
    </w:p>
    <w:p w:rsidR="00785C09" w:rsidRPr="009B40BB" w:rsidRDefault="00785C09" w:rsidP="00785C09">
      <w:pPr>
        <w:rPr>
          <w:rFonts w:asciiTheme="minorHAnsi" w:hAnsiTheme="minorHAnsi"/>
          <w:sz w:val="22"/>
          <w:szCs w:val="20"/>
        </w:rPr>
      </w:pPr>
      <w:r w:rsidRPr="009B40BB">
        <w:rPr>
          <w:rFonts w:asciiTheme="minorHAnsi" w:hAnsiTheme="minorHAnsi"/>
          <w:sz w:val="22"/>
          <w:szCs w:val="20"/>
        </w:rPr>
        <w:t>The above translation forms the basis of two sets of guidance materials developed as part of this project:</w:t>
      </w:r>
    </w:p>
    <w:p w:rsidR="00785C09" w:rsidRPr="009B40BB" w:rsidRDefault="00785C09" w:rsidP="00A768C4">
      <w:pPr>
        <w:pStyle w:val="Bullet1"/>
        <w:numPr>
          <w:ilvl w:val="0"/>
          <w:numId w:val="7"/>
        </w:numPr>
        <w:rPr>
          <w:szCs w:val="20"/>
        </w:rPr>
      </w:pPr>
      <w:r w:rsidRPr="009B40BB">
        <w:rPr>
          <w:szCs w:val="20"/>
        </w:rPr>
        <w:t xml:space="preserve">A document titled </w:t>
      </w:r>
      <w:r w:rsidRPr="009B40BB">
        <w:rPr>
          <w:i/>
          <w:szCs w:val="20"/>
        </w:rPr>
        <w:t>Reporting hazardous waste under the Basel Convention - guidance to states and territories</w:t>
      </w:r>
      <w:r w:rsidRPr="009B40BB">
        <w:rPr>
          <w:szCs w:val="20"/>
        </w:rPr>
        <w:t xml:space="preserve">, provided as </w:t>
      </w:r>
      <w:r w:rsidR="00A06695">
        <w:rPr>
          <w:szCs w:val="20"/>
        </w:rPr>
        <w:t>Appendix</w:t>
      </w:r>
      <w:r w:rsidRPr="009B40BB">
        <w:rPr>
          <w:szCs w:val="20"/>
        </w:rPr>
        <w:t xml:space="preserve"> A and</w:t>
      </w:r>
    </w:p>
    <w:p w:rsidR="00785C09" w:rsidRPr="009B40BB" w:rsidRDefault="00785C09" w:rsidP="00A768C4">
      <w:pPr>
        <w:pStyle w:val="Bullet1"/>
        <w:numPr>
          <w:ilvl w:val="0"/>
          <w:numId w:val="7"/>
        </w:numPr>
        <w:rPr>
          <w:szCs w:val="20"/>
        </w:rPr>
      </w:pPr>
      <w:proofErr w:type="gramStart"/>
      <w:r w:rsidRPr="009B40BB">
        <w:rPr>
          <w:szCs w:val="20"/>
        </w:rPr>
        <w:t>the</w:t>
      </w:r>
      <w:proofErr w:type="gramEnd"/>
      <w:r w:rsidRPr="009B40BB">
        <w:rPr>
          <w:szCs w:val="20"/>
        </w:rPr>
        <w:t xml:space="preserve"> reporting and translation Microsoft Excel-based templates used to compile the Basel data (provided as </w:t>
      </w:r>
      <w:r w:rsidR="00A06695">
        <w:rPr>
          <w:szCs w:val="20"/>
        </w:rPr>
        <w:t>Appendix</w:t>
      </w:r>
      <w:r w:rsidRPr="009B40BB">
        <w:rPr>
          <w:szCs w:val="20"/>
        </w:rPr>
        <w:t xml:space="preserve"> B).</w:t>
      </w:r>
    </w:p>
    <w:p w:rsidR="00785C09" w:rsidRPr="009B40BB" w:rsidRDefault="00785C09" w:rsidP="00070CA4">
      <w:pPr>
        <w:pStyle w:val="BodyText"/>
      </w:pPr>
    </w:p>
    <w:p w:rsidR="00785C09" w:rsidRPr="009B40BB" w:rsidRDefault="00785C09" w:rsidP="00785C09">
      <w:pPr>
        <w:pStyle w:val="Heading3"/>
      </w:pPr>
      <w:r w:rsidRPr="009B40BB">
        <w:t>Jurisdictional consultation</w:t>
      </w:r>
    </w:p>
    <w:p w:rsidR="00381325" w:rsidRPr="009B40BB" w:rsidRDefault="00381325" w:rsidP="00381325">
      <w:pPr>
        <w:pStyle w:val="BodyText"/>
      </w:pPr>
      <w:r w:rsidRPr="009B40BB">
        <w:t>The project team consulted with all jurisdictional environment agencies across the states and territories. Those jurisdictions whose hazardous data issues (in the view of the project team) were perceived as having the potential to be complex or unique were visited for face to face discussions, while the remainder were consulted through email and phone discussion.</w:t>
      </w:r>
      <w:r w:rsidR="00D519A0" w:rsidRPr="009B40BB">
        <w:t xml:space="preserve"> The findings of the consultation process are set out in section 3.</w:t>
      </w:r>
    </w:p>
    <w:p w:rsidR="00D519A0" w:rsidRPr="009B40BB" w:rsidRDefault="00D519A0" w:rsidP="00381325">
      <w:pPr>
        <w:pStyle w:val="BodyText"/>
      </w:pPr>
    </w:p>
    <w:p w:rsidR="00D519A0" w:rsidRPr="009B40BB" w:rsidRDefault="00D519A0" w:rsidP="00D519A0">
      <w:pPr>
        <w:pStyle w:val="Heading3"/>
      </w:pPr>
      <w:r w:rsidRPr="009B40BB">
        <w:t>Data presentation</w:t>
      </w:r>
    </w:p>
    <w:p w:rsidR="00504C0E" w:rsidRPr="009B40BB" w:rsidRDefault="00504C0E" w:rsidP="00504C0E">
      <w:pPr>
        <w:pStyle w:val="Figures"/>
      </w:pPr>
      <w:r w:rsidRPr="009B40BB">
        <w:t xml:space="preserve">Table 1: </w:t>
      </w:r>
      <w:r w:rsidRPr="009B40BB">
        <w:tab/>
        <w:t>National hazardous waste data 2012 – by high-level NEPM code</w:t>
      </w:r>
    </w:p>
    <w:tbl>
      <w:tblPr>
        <w:tblW w:w="549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tblPr>
      <w:tblGrid>
        <w:gridCol w:w="675"/>
        <w:gridCol w:w="3119"/>
        <w:gridCol w:w="1701"/>
      </w:tblGrid>
      <w:tr w:rsidR="00BB3C39" w:rsidRPr="009B40BB" w:rsidTr="00BB3C39">
        <w:tc>
          <w:tcPr>
            <w:tcW w:w="3794" w:type="dxa"/>
            <w:gridSpan w:val="2"/>
            <w:tcBorders>
              <w:left w:val="nil"/>
              <w:bottom w:val="nil"/>
              <w:right w:val="nil"/>
            </w:tcBorders>
            <w:shd w:val="clear" w:color="auto" w:fill="auto"/>
            <w:vAlign w:val="center"/>
            <w:hideMark/>
          </w:tcPr>
          <w:p w:rsidR="00BB3C39" w:rsidRPr="009B40BB" w:rsidRDefault="00BB3C39" w:rsidP="00A7528C">
            <w:pPr>
              <w:spacing w:line="240" w:lineRule="auto"/>
              <w:rPr>
                <w:rFonts w:asciiTheme="minorHAnsi" w:hAnsiTheme="minorHAnsi" w:cs="Times New Roman"/>
                <w:b/>
                <w:bCs/>
                <w:color w:val="auto"/>
                <w:szCs w:val="20"/>
              </w:rPr>
            </w:pPr>
            <w:r w:rsidRPr="009B40BB">
              <w:rPr>
                <w:rFonts w:asciiTheme="minorHAnsi" w:hAnsiTheme="minorHAnsi" w:cs="Times New Roman"/>
                <w:b/>
                <w:bCs/>
                <w:color w:val="auto"/>
                <w:szCs w:val="20"/>
              </w:rPr>
              <w:t>Hazardous waste classification</w:t>
            </w:r>
          </w:p>
        </w:tc>
        <w:tc>
          <w:tcPr>
            <w:tcW w:w="1701" w:type="dxa"/>
            <w:tcBorders>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b/>
                <w:bCs/>
                <w:color w:val="auto"/>
                <w:szCs w:val="20"/>
              </w:rPr>
            </w:pPr>
            <w:r w:rsidRPr="009B40BB">
              <w:rPr>
                <w:rFonts w:asciiTheme="minorHAnsi" w:hAnsiTheme="minorHAnsi" w:cs="Times New Roman"/>
                <w:b/>
                <w:bCs/>
                <w:color w:val="auto"/>
                <w:szCs w:val="20"/>
              </w:rPr>
              <w:t xml:space="preserve">Waste generated </w:t>
            </w:r>
          </w:p>
        </w:tc>
      </w:tr>
      <w:tr w:rsidR="00BB3C39" w:rsidRPr="009B40BB" w:rsidTr="00BB3C39">
        <w:tc>
          <w:tcPr>
            <w:tcW w:w="675" w:type="dxa"/>
            <w:tcBorders>
              <w:top w:val="nil"/>
              <w:left w:val="nil"/>
              <w:bottom w:val="single" w:sz="8" w:space="0" w:color="808080" w:themeColor="background1" w:themeShade="80"/>
              <w:right w:val="nil"/>
            </w:tcBorders>
            <w:shd w:val="clear" w:color="auto" w:fill="auto"/>
            <w:vAlign w:val="center"/>
            <w:hideMark/>
          </w:tcPr>
          <w:p w:rsidR="00BB3C39" w:rsidRPr="009B40BB" w:rsidRDefault="00BB3C39" w:rsidP="00A7528C">
            <w:pPr>
              <w:spacing w:line="240" w:lineRule="auto"/>
              <w:rPr>
                <w:rFonts w:asciiTheme="minorHAnsi" w:hAnsiTheme="minorHAnsi" w:cs="Times New Roman"/>
                <w:bCs/>
                <w:color w:val="auto"/>
                <w:szCs w:val="20"/>
              </w:rPr>
            </w:pPr>
            <w:r w:rsidRPr="009B40BB">
              <w:rPr>
                <w:rFonts w:asciiTheme="minorHAnsi" w:hAnsiTheme="minorHAnsi" w:cs="Times New Roman"/>
                <w:bCs/>
                <w:color w:val="auto"/>
                <w:szCs w:val="20"/>
              </w:rPr>
              <w:t>Code</w:t>
            </w:r>
          </w:p>
        </w:tc>
        <w:tc>
          <w:tcPr>
            <w:tcW w:w="3119" w:type="dxa"/>
            <w:tcBorders>
              <w:top w:val="nil"/>
              <w:left w:val="nil"/>
              <w:bottom w:val="single" w:sz="8" w:space="0" w:color="808080" w:themeColor="background1" w:themeShade="80"/>
              <w:right w:val="nil"/>
            </w:tcBorders>
            <w:shd w:val="clear" w:color="auto" w:fill="auto"/>
            <w:vAlign w:val="center"/>
            <w:hideMark/>
          </w:tcPr>
          <w:p w:rsidR="00BB3C39" w:rsidRPr="009B40BB" w:rsidRDefault="00BB3C39" w:rsidP="00A7528C">
            <w:pPr>
              <w:spacing w:line="240" w:lineRule="auto"/>
              <w:rPr>
                <w:rFonts w:asciiTheme="minorHAnsi" w:hAnsiTheme="minorHAnsi" w:cs="Times New Roman"/>
                <w:bCs/>
                <w:color w:val="auto"/>
                <w:szCs w:val="20"/>
              </w:rPr>
            </w:pPr>
            <w:r w:rsidRPr="009B40BB">
              <w:rPr>
                <w:rFonts w:asciiTheme="minorHAnsi" w:hAnsiTheme="minorHAnsi" w:cs="Times New Roman"/>
                <w:bCs/>
                <w:color w:val="auto"/>
                <w:szCs w:val="20"/>
              </w:rPr>
              <w:t>Waste description</w:t>
            </w:r>
          </w:p>
        </w:tc>
        <w:tc>
          <w:tcPr>
            <w:tcW w:w="1701" w:type="dxa"/>
            <w:tcBorders>
              <w:top w:val="nil"/>
              <w:left w:val="nil"/>
              <w:bottom w:val="single" w:sz="8" w:space="0" w:color="808080" w:themeColor="background1" w:themeShade="80"/>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bCs/>
                <w:color w:val="auto"/>
                <w:szCs w:val="20"/>
              </w:rPr>
            </w:pPr>
            <w:r w:rsidRPr="009B40BB">
              <w:rPr>
                <w:rFonts w:asciiTheme="minorHAnsi" w:hAnsiTheme="minorHAnsi" w:cs="Times New Roman"/>
                <w:bCs/>
                <w:color w:val="auto"/>
                <w:szCs w:val="20"/>
              </w:rPr>
              <w:t>tonnes</w:t>
            </w:r>
          </w:p>
        </w:tc>
      </w:tr>
      <w:tr w:rsidR="00BB3C39" w:rsidRPr="009B40BB" w:rsidTr="00BB3C39">
        <w:tc>
          <w:tcPr>
            <w:tcW w:w="675" w:type="dxa"/>
            <w:tcBorders>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A</w:t>
            </w:r>
          </w:p>
        </w:tc>
        <w:tc>
          <w:tcPr>
            <w:tcW w:w="3119" w:type="dxa"/>
            <w:tcBorders>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 xml:space="preserve">Plating and heat treatment </w:t>
            </w:r>
          </w:p>
        </w:tc>
        <w:tc>
          <w:tcPr>
            <w:tcW w:w="1701" w:type="dxa"/>
            <w:tcBorders>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6,585</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B</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Acids</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44,725</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C</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Alkaline wastes</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335,371</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D</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Inorganic chemicals</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266,221</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E</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Reactive chemicals</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259</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F</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 xml:space="preserve">Paints, lacquers, varnish, </w:t>
            </w:r>
            <w:r w:rsidR="009B40BB" w:rsidRPr="009B40BB">
              <w:rPr>
                <w:rFonts w:asciiTheme="minorHAnsi" w:hAnsiTheme="minorHAnsi" w:cs="Times New Roman"/>
                <w:color w:val="000000"/>
                <w:szCs w:val="20"/>
              </w:rPr>
              <w:t>etc.</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63,373</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G</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Organic solvents, solvent residues</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34,014</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H</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Pesticides</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4,584</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J</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Oils, hydrocarbons, emulsions</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758,575</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K</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Putrescible/organic wastes</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783,297</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L</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Industrial washwaters</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0</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M</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Organic chemicals</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22,415</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N</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 xml:space="preserve">Solid/sludge wastes </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3,799,667</w:t>
            </w:r>
          </w:p>
        </w:tc>
      </w:tr>
      <w:tr w:rsidR="00BB3C39" w:rsidRPr="009B40BB" w:rsidTr="00BB3C39">
        <w:tc>
          <w:tcPr>
            <w:tcW w:w="675"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R</w:t>
            </w:r>
          </w:p>
        </w:tc>
        <w:tc>
          <w:tcPr>
            <w:tcW w:w="3119"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Clinical and pharmaceutical wastes</w:t>
            </w:r>
          </w:p>
        </w:tc>
        <w:tc>
          <w:tcPr>
            <w:tcW w:w="170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70,678</w:t>
            </w:r>
          </w:p>
        </w:tc>
      </w:tr>
      <w:tr w:rsidR="00BB3C39" w:rsidRPr="009B40BB" w:rsidTr="00BB3C39">
        <w:tc>
          <w:tcPr>
            <w:tcW w:w="675" w:type="dxa"/>
            <w:tcBorders>
              <w:top w:val="nil"/>
              <w:left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T</w:t>
            </w:r>
          </w:p>
        </w:tc>
        <w:tc>
          <w:tcPr>
            <w:tcW w:w="3119" w:type="dxa"/>
            <w:tcBorders>
              <w:top w:val="nil"/>
              <w:left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Miscellaneous</w:t>
            </w:r>
          </w:p>
        </w:tc>
        <w:tc>
          <w:tcPr>
            <w:tcW w:w="1701" w:type="dxa"/>
            <w:tcBorders>
              <w:top w:val="nil"/>
              <w:left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424,262</w:t>
            </w:r>
          </w:p>
        </w:tc>
      </w:tr>
      <w:tr w:rsidR="00BB3C39" w:rsidRPr="009B40BB" w:rsidTr="00BB3C39">
        <w:tc>
          <w:tcPr>
            <w:tcW w:w="3794" w:type="dxa"/>
            <w:gridSpan w:val="2"/>
            <w:tcBorders>
              <w:left w:val="nil"/>
              <w:right w:val="nil"/>
            </w:tcBorders>
            <w:shd w:val="clear" w:color="auto" w:fill="auto"/>
            <w:noWrap/>
            <w:vAlign w:val="center"/>
            <w:hideMark/>
          </w:tcPr>
          <w:p w:rsidR="00BB3C39" w:rsidRPr="009B40BB" w:rsidRDefault="00BB3C39" w:rsidP="00A7528C">
            <w:pPr>
              <w:spacing w:line="240" w:lineRule="auto"/>
              <w:jc w:val="right"/>
              <w:rPr>
                <w:rFonts w:asciiTheme="minorHAnsi" w:hAnsiTheme="minorHAnsi" w:cs="Times New Roman"/>
                <w:b/>
                <w:bCs/>
                <w:color w:val="000000"/>
                <w:szCs w:val="20"/>
              </w:rPr>
            </w:pPr>
            <w:r w:rsidRPr="009B40BB">
              <w:rPr>
                <w:rFonts w:asciiTheme="minorHAnsi" w:hAnsiTheme="minorHAnsi" w:cs="Times New Roman"/>
                <w:b/>
                <w:bCs/>
                <w:color w:val="000000"/>
                <w:szCs w:val="20"/>
              </w:rPr>
              <w:t>Total</w:t>
            </w:r>
          </w:p>
        </w:tc>
        <w:tc>
          <w:tcPr>
            <w:tcW w:w="1701" w:type="dxa"/>
            <w:tcBorders>
              <w:left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Times New Roman"/>
                <w:b/>
                <w:bCs/>
                <w:color w:val="000000"/>
                <w:szCs w:val="20"/>
              </w:rPr>
            </w:pPr>
            <w:r w:rsidRPr="009B40BB">
              <w:rPr>
                <w:rFonts w:asciiTheme="minorHAnsi" w:hAnsiTheme="minorHAnsi" w:cs="Times New Roman"/>
                <w:b/>
                <w:bCs/>
                <w:color w:val="000000"/>
                <w:szCs w:val="20"/>
              </w:rPr>
              <w:t>6,614,029</w:t>
            </w:r>
          </w:p>
        </w:tc>
      </w:tr>
    </w:tbl>
    <w:p w:rsidR="00BB3C39" w:rsidRPr="009B40BB" w:rsidRDefault="00BB3C39" w:rsidP="00BB3C39">
      <w:pPr>
        <w:pStyle w:val="BodyText"/>
      </w:pPr>
    </w:p>
    <w:p w:rsidR="00CF3B5C" w:rsidRDefault="00CF3B5C">
      <w:pPr>
        <w:spacing w:line="240" w:lineRule="auto"/>
        <w:rPr>
          <w:rFonts w:cs="Calibri"/>
          <w:b/>
          <w:color w:val="0000FF"/>
          <w:sz w:val="22"/>
          <w:szCs w:val="20"/>
        </w:rPr>
      </w:pPr>
      <w:r>
        <w:br w:type="page"/>
      </w:r>
    </w:p>
    <w:p w:rsidR="00504C0E" w:rsidRPr="009B40BB" w:rsidRDefault="00504C0E" w:rsidP="00504C0E">
      <w:pPr>
        <w:pStyle w:val="Figures"/>
      </w:pPr>
      <w:r w:rsidRPr="009B40BB">
        <w:lastRenderedPageBreak/>
        <w:t xml:space="preserve">Table 2: </w:t>
      </w:r>
      <w:r w:rsidRPr="009B40BB">
        <w:tab/>
        <w:t>National hazardous waste data 2012 – by state and territory totals</w:t>
      </w:r>
    </w:p>
    <w:tbl>
      <w:tblPr>
        <w:tblW w:w="4077"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tblPr>
      <w:tblGrid>
        <w:gridCol w:w="1526"/>
        <w:gridCol w:w="2551"/>
      </w:tblGrid>
      <w:tr w:rsidR="00BB3C39" w:rsidRPr="009B40BB" w:rsidTr="00BB3C39">
        <w:tc>
          <w:tcPr>
            <w:tcW w:w="1526" w:type="dxa"/>
            <w:tcBorders>
              <w:left w:val="nil"/>
              <w:bottom w:val="single" w:sz="8" w:space="0" w:color="808080" w:themeColor="background1" w:themeShade="80"/>
              <w:right w:val="nil"/>
            </w:tcBorders>
            <w:shd w:val="clear" w:color="auto" w:fill="auto"/>
            <w:hideMark/>
          </w:tcPr>
          <w:p w:rsidR="00BB3C39" w:rsidRPr="009B40BB" w:rsidRDefault="00BB3C39" w:rsidP="00A7528C">
            <w:pPr>
              <w:spacing w:line="240" w:lineRule="auto"/>
              <w:rPr>
                <w:rFonts w:asciiTheme="minorHAnsi" w:hAnsiTheme="minorHAnsi" w:cs="Arial"/>
                <w:b/>
                <w:bCs/>
                <w:color w:val="auto"/>
                <w:szCs w:val="20"/>
              </w:rPr>
            </w:pPr>
            <w:r w:rsidRPr="009B40BB">
              <w:rPr>
                <w:rFonts w:asciiTheme="minorHAnsi" w:hAnsiTheme="minorHAnsi" w:cs="Arial"/>
                <w:b/>
                <w:bCs/>
                <w:color w:val="auto"/>
                <w:szCs w:val="20"/>
              </w:rPr>
              <w:t>State/ Territory</w:t>
            </w:r>
          </w:p>
        </w:tc>
        <w:tc>
          <w:tcPr>
            <w:tcW w:w="2551" w:type="dxa"/>
            <w:tcBorders>
              <w:left w:val="nil"/>
              <w:bottom w:val="single" w:sz="8" w:space="0" w:color="808080" w:themeColor="background1" w:themeShade="80"/>
              <w:right w:val="nil"/>
            </w:tcBorders>
            <w:shd w:val="clear" w:color="auto" w:fill="auto"/>
            <w:vAlign w:val="center"/>
            <w:hideMark/>
          </w:tcPr>
          <w:p w:rsidR="00BB3C39" w:rsidRPr="009B40BB" w:rsidRDefault="00BB3C39" w:rsidP="00BB3C39">
            <w:pPr>
              <w:spacing w:line="240" w:lineRule="auto"/>
              <w:jc w:val="right"/>
              <w:rPr>
                <w:rFonts w:asciiTheme="minorHAnsi" w:hAnsiTheme="minorHAnsi" w:cs="Arial"/>
                <w:b/>
                <w:bCs/>
                <w:color w:val="auto"/>
                <w:szCs w:val="20"/>
              </w:rPr>
            </w:pPr>
            <w:r w:rsidRPr="009B40BB">
              <w:rPr>
                <w:rFonts w:asciiTheme="minorHAnsi" w:hAnsiTheme="minorHAnsi" w:cs="Arial"/>
                <w:b/>
                <w:bCs/>
                <w:color w:val="auto"/>
                <w:szCs w:val="20"/>
              </w:rPr>
              <w:t xml:space="preserve">Waste generated </w:t>
            </w:r>
            <w:r w:rsidRPr="009B40BB">
              <w:rPr>
                <w:rFonts w:asciiTheme="minorHAnsi" w:hAnsiTheme="minorHAnsi" w:cs="Arial"/>
                <w:bCs/>
                <w:color w:val="auto"/>
                <w:szCs w:val="20"/>
              </w:rPr>
              <w:t>(tonnes)</w:t>
            </w:r>
          </w:p>
        </w:tc>
      </w:tr>
      <w:tr w:rsidR="00BB3C39" w:rsidRPr="009B40BB" w:rsidTr="00BB3C39">
        <w:tc>
          <w:tcPr>
            <w:tcW w:w="1526" w:type="dxa"/>
            <w:tcBorders>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Arial"/>
                <w:color w:val="000000"/>
                <w:szCs w:val="20"/>
              </w:rPr>
            </w:pPr>
            <w:r w:rsidRPr="009B40BB">
              <w:rPr>
                <w:rFonts w:asciiTheme="minorHAnsi" w:hAnsiTheme="minorHAnsi" w:cs="Arial"/>
                <w:color w:val="000000"/>
                <w:szCs w:val="20"/>
              </w:rPr>
              <w:t>ACT</w:t>
            </w:r>
          </w:p>
        </w:tc>
        <w:tc>
          <w:tcPr>
            <w:tcW w:w="2551" w:type="dxa"/>
            <w:tcBorders>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68,309</w:t>
            </w:r>
          </w:p>
        </w:tc>
      </w:tr>
      <w:tr w:rsidR="00BB3C39" w:rsidRPr="009B40BB" w:rsidTr="00BB3C39">
        <w:tc>
          <w:tcPr>
            <w:tcW w:w="1526"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Arial"/>
                <w:color w:val="000000"/>
                <w:szCs w:val="20"/>
              </w:rPr>
            </w:pPr>
            <w:r w:rsidRPr="009B40BB">
              <w:rPr>
                <w:rFonts w:asciiTheme="minorHAnsi" w:hAnsiTheme="minorHAnsi" w:cs="Arial"/>
                <w:color w:val="000000"/>
                <w:szCs w:val="20"/>
              </w:rPr>
              <w:t>NSW</w:t>
            </w:r>
          </w:p>
        </w:tc>
        <w:tc>
          <w:tcPr>
            <w:tcW w:w="255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1,768,996</w:t>
            </w:r>
          </w:p>
        </w:tc>
      </w:tr>
      <w:tr w:rsidR="00BB3C39" w:rsidRPr="009B40BB" w:rsidTr="00BB3C39">
        <w:tc>
          <w:tcPr>
            <w:tcW w:w="1526"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Arial"/>
                <w:color w:val="000000"/>
                <w:szCs w:val="20"/>
              </w:rPr>
            </w:pPr>
            <w:r w:rsidRPr="009B40BB">
              <w:rPr>
                <w:rFonts w:asciiTheme="minorHAnsi" w:hAnsiTheme="minorHAnsi" w:cs="Arial"/>
                <w:color w:val="000000"/>
                <w:szCs w:val="20"/>
              </w:rPr>
              <w:t>NT</w:t>
            </w:r>
          </w:p>
        </w:tc>
        <w:tc>
          <w:tcPr>
            <w:tcW w:w="255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24,516</w:t>
            </w:r>
          </w:p>
        </w:tc>
      </w:tr>
      <w:tr w:rsidR="00BB3C39" w:rsidRPr="009B40BB" w:rsidTr="00BB3C39">
        <w:tc>
          <w:tcPr>
            <w:tcW w:w="1526"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Arial"/>
                <w:color w:val="000000"/>
                <w:szCs w:val="20"/>
              </w:rPr>
            </w:pPr>
            <w:r w:rsidRPr="009B40BB">
              <w:rPr>
                <w:rFonts w:asciiTheme="minorHAnsi" w:hAnsiTheme="minorHAnsi" w:cs="Arial"/>
                <w:color w:val="000000"/>
                <w:szCs w:val="20"/>
              </w:rPr>
              <w:t>QLD</w:t>
            </w:r>
          </w:p>
        </w:tc>
        <w:tc>
          <w:tcPr>
            <w:tcW w:w="255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1,733,396</w:t>
            </w:r>
          </w:p>
        </w:tc>
      </w:tr>
      <w:tr w:rsidR="00BB3C39" w:rsidRPr="009B40BB" w:rsidTr="00BB3C39">
        <w:tc>
          <w:tcPr>
            <w:tcW w:w="1526"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Arial"/>
                <w:color w:val="000000"/>
                <w:szCs w:val="20"/>
              </w:rPr>
            </w:pPr>
            <w:r w:rsidRPr="009B40BB">
              <w:rPr>
                <w:rFonts w:asciiTheme="minorHAnsi" w:hAnsiTheme="minorHAnsi" w:cs="Arial"/>
                <w:color w:val="000000"/>
                <w:szCs w:val="20"/>
              </w:rPr>
              <w:t>SA</w:t>
            </w:r>
          </w:p>
        </w:tc>
        <w:tc>
          <w:tcPr>
            <w:tcW w:w="255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880,292</w:t>
            </w:r>
          </w:p>
        </w:tc>
      </w:tr>
      <w:tr w:rsidR="00BB3C39" w:rsidRPr="009B40BB" w:rsidTr="00BB3C39">
        <w:tc>
          <w:tcPr>
            <w:tcW w:w="1526"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Arial"/>
                <w:color w:val="000000"/>
                <w:szCs w:val="20"/>
              </w:rPr>
            </w:pPr>
            <w:r w:rsidRPr="009B40BB">
              <w:rPr>
                <w:rFonts w:asciiTheme="minorHAnsi" w:hAnsiTheme="minorHAnsi" w:cs="Arial"/>
                <w:color w:val="000000"/>
                <w:szCs w:val="20"/>
              </w:rPr>
              <w:t>TAS</w:t>
            </w:r>
          </w:p>
        </w:tc>
        <w:tc>
          <w:tcPr>
            <w:tcW w:w="255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172,781</w:t>
            </w:r>
          </w:p>
        </w:tc>
      </w:tr>
      <w:tr w:rsidR="00BB3C39" w:rsidRPr="009B40BB" w:rsidTr="00BB3C39">
        <w:tc>
          <w:tcPr>
            <w:tcW w:w="1526" w:type="dxa"/>
            <w:tcBorders>
              <w:top w:val="nil"/>
              <w:left w:val="nil"/>
              <w:bottom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Arial"/>
                <w:color w:val="000000"/>
                <w:szCs w:val="20"/>
              </w:rPr>
            </w:pPr>
            <w:r w:rsidRPr="009B40BB">
              <w:rPr>
                <w:rFonts w:asciiTheme="minorHAnsi" w:hAnsiTheme="minorHAnsi" w:cs="Arial"/>
                <w:color w:val="000000"/>
                <w:szCs w:val="20"/>
              </w:rPr>
              <w:t>VIC</w:t>
            </w:r>
          </w:p>
        </w:tc>
        <w:tc>
          <w:tcPr>
            <w:tcW w:w="2551" w:type="dxa"/>
            <w:tcBorders>
              <w:top w:val="nil"/>
              <w:left w:val="nil"/>
              <w:bottom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1,359,529</w:t>
            </w:r>
          </w:p>
        </w:tc>
      </w:tr>
      <w:tr w:rsidR="00BB3C39" w:rsidRPr="009B40BB" w:rsidTr="00BB3C39">
        <w:tc>
          <w:tcPr>
            <w:tcW w:w="1526" w:type="dxa"/>
            <w:tcBorders>
              <w:top w:val="nil"/>
              <w:left w:val="nil"/>
              <w:right w:val="nil"/>
            </w:tcBorders>
            <w:shd w:val="clear" w:color="auto" w:fill="auto"/>
            <w:noWrap/>
            <w:vAlign w:val="center"/>
            <w:hideMark/>
          </w:tcPr>
          <w:p w:rsidR="00BB3C39" w:rsidRPr="009B40BB" w:rsidRDefault="00BB3C39" w:rsidP="00A7528C">
            <w:pPr>
              <w:spacing w:line="240" w:lineRule="auto"/>
              <w:rPr>
                <w:rFonts w:asciiTheme="minorHAnsi" w:hAnsiTheme="minorHAnsi" w:cs="Arial"/>
                <w:color w:val="000000"/>
                <w:szCs w:val="20"/>
              </w:rPr>
            </w:pPr>
            <w:r w:rsidRPr="009B40BB">
              <w:rPr>
                <w:rFonts w:asciiTheme="minorHAnsi" w:hAnsiTheme="minorHAnsi" w:cs="Arial"/>
                <w:color w:val="000000"/>
                <w:szCs w:val="20"/>
              </w:rPr>
              <w:t>WA</w:t>
            </w:r>
          </w:p>
        </w:tc>
        <w:tc>
          <w:tcPr>
            <w:tcW w:w="2551" w:type="dxa"/>
            <w:tcBorders>
              <w:top w:val="nil"/>
              <w:left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606,211</w:t>
            </w:r>
          </w:p>
        </w:tc>
      </w:tr>
      <w:tr w:rsidR="00BB3C39" w:rsidRPr="009B40BB" w:rsidTr="00BB3C39">
        <w:tc>
          <w:tcPr>
            <w:tcW w:w="1526" w:type="dxa"/>
            <w:tcBorders>
              <w:left w:val="nil"/>
              <w:right w:val="nil"/>
            </w:tcBorders>
            <w:shd w:val="clear" w:color="auto" w:fill="auto"/>
            <w:noWrap/>
            <w:vAlign w:val="center"/>
            <w:hideMark/>
          </w:tcPr>
          <w:p w:rsidR="00BB3C39" w:rsidRPr="009B40BB" w:rsidRDefault="00BB3C39" w:rsidP="00A7528C">
            <w:pPr>
              <w:spacing w:line="240" w:lineRule="auto"/>
              <w:jc w:val="right"/>
              <w:rPr>
                <w:rFonts w:asciiTheme="minorHAnsi" w:hAnsiTheme="minorHAnsi" w:cs="Arial"/>
                <w:b/>
                <w:bCs/>
                <w:color w:val="000000"/>
                <w:szCs w:val="20"/>
              </w:rPr>
            </w:pPr>
            <w:r w:rsidRPr="009B40BB">
              <w:rPr>
                <w:rFonts w:asciiTheme="minorHAnsi" w:hAnsiTheme="minorHAnsi" w:cs="Arial"/>
                <w:b/>
                <w:bCs/>
                <w:color w:val="000000"/>
                <w:szCs w:val="20"/>
              </w:rPr>
              <w:t>Total</w:t>
            </w:r>
          </w:p>
        </w:tc>
        <w:tc>
          <w:tcPr>
            <w:tcW w:w="2551" w:type="dxa"/>
            <w:tcBorders>
              <w:left w:val="nil"/>
              <w:right w:val="nil"/>
            </w:tcBorders>
            <w:shd w:val="clear" w:color="auto" w:fill="auto"/>
            <w:vAlign w:val="center"/>
            <w:hideMark/>
          </w:tcPr>
          <w:p w:rsidR="00BB3C39" w:rsidRPr="009B40BB" w:rsidRDefault="00BB3C39" w:rsidP="00A7528C">
            <w:pPr>
              <w:spacing w:line="240" w:lineRule="auto"/>
              <w:jc w:val="right"/>
              <w:rPr>
                <w:rFonts w:asciiTheme="minorHAnsi" w:hAnsiTheme="minorHAnsi" w:cs="Arial"/>
                <w:b/>
                <w:bCs/>
                <w:color w:val="000000"/>
                <w:szCs w:val="20"/>
              </w:rPr>
            </w:pPr>
            <w:r w:rsidRPr="009B40BB">
              <w:rPr>
                <w:rFonts w:asciiTheme="minorHAnsi" w:hAnsiTheme="minorHAnsi" w:cs="Arial"/>
                <w:b/>
                <w:bCs/>
                <w:color w:val="000000"/>
                <w:szCs w:val="20"/>
              </w:rPr>
              <w:t>6,614,029</w:t>
            </w:r>
          </w:p>
        </w:tc>
      </w:tr>
    </w:tbl>
    <w:p w:rsidR="00CF3B5C" w:rsidRDefault="00CF3B5C" w:rsidP="008A41DE">
      <w:pPr>
        <w:pStyle w:val="BodyText"/>
      </w:pPr>
    </w:p>
    <w:p w:rsidR="002737B5" w:rsidRPr="009B40BB" w:rsidRDefault="008A41DE" w:rsidP="008A41DE">
      <w:pPr>
        <w:pStyle w:val="BodyText"/>
      </w:pPr>
      <w:r w:rsidRPr="009B40BB">
        <w:t xml:space="preserve">This project did not seek to obtain new data on fates of hazardous waste, such as disposal, recycling or energy recovery, as this is not required for Basel reporting. However, detailed fate information was obtained as part of the </w:t>
      </w:r>
      <w:r w:rsidRPr="009B40BB">
        <w:rPr>
          <w:i/>
        </w:rPr>
        <w:t>Hazardous Waste Data Assessment Final Report</w:t>
      </w:r>
      <w:r w:rsidRPr="009B40BB">
        <w:t xml:space="preserve">, prepared by KMH Environmental (2013) on </w:t>
      </w:r>
      <w:r w:rsidR="00AD70D4">
        <w:t>the 2010-</w:t>
      </w:r>
      <w:r w:rsidRPr="009B40BB">
        <w:t xml:space="preserve">11 data </w:t>
      </w:r>
      <w:proofErr w:type="gramStart"/>
      <w:r w:rsidRPr="009B40BB">
        <w:t>set</w:t>
      </w:r>
      <w:proofErr w:type="gramEnd"/>
      <w:r w:rsidRPr="009B40BB">
        <w:t>. Given the relative agreeme</w:t>
      </w:r>
      <w:r w:rsidR="00AD70D4">
        <w:t>nt in generation data from 2010-</w:t>
      </w:r>
      <w:r w:rsidRPr="009B40BB">
        <w:t>11 to the current period (2012), and the closeness of the data set years, this reference provides a good indication of the likely fate tonnages for 2012. Extracts from this report, showing hazardous waste fate to</w:t>
      </w:r>
      <w:r w:rsidR="00AD70D4">
        <w:t>nnages across Australia in 2010-</w:t>
      </w:r>
      <w:r w:rsidRPr="009B40BB">
        <w:t xml:space="preserve">11, are shown in section </w:t>
      </w:r>
      <w:r w:rsidR="003E6F16" w:rsidRPr="009B40BB">
        <w:fldChar w:fldCharType="begin"/>
      </w:r>
      <w:r w:rsidRPr="009B40BB">
        <w:instrText xml:space="preserve"> REF _Ref389210423 \r \h </w:instrText>
      </w:r>
      <w:r w:rsidR="003E6F16" w:rsidRPr="009B40BB">
        <w:fldChar w:fldCharType="separate"/>
      </w:r>
      <w:r w:rsidR="005B2F4C">
        <w:t>4.3</w:t>
      </w:r>
      <w:r w:rsidR="003E6F16" w:rsidRPr="009B40BB">
        <w:fldChar w:fldCharType="end"/>
      </w:r>
      <w:r w:rsidRPr="009B40BB">
        <w:t>.</w:t>
      </w:r>
      <w:r w:rsidR="002737B5" w:rsidRPr="009B40BB">
        <w:t xml:space="preserve"> The findings of this work are compared with those of both the </w:t>
      </w:r>
      <w:r w:rsidR="002737B5" w:rsidRPr="009B40BB">
        <w:rPr>
          <w:i/>
        </w:rPr>
        <w:t>Hazardous Waste Data Assessment</w:t>
      </w:r>
      <w:r w:rsidR="002737B5" w:rsidRPr="009B40BB">
        <w:t xml:space="preserve"> and </w:t>
      </w:r>
      <w:r w:rsidR="002737B5" w:rsidRPr="009B40BB">
        <w:rPr>
          <w:i/>
        </w:rPr>
        <w:t>Waste Generation and Resource Recovery in Australia</w:t>
      </w:r>
      <w:r w:rsidR="002737B5" w:rsidRPr="009B40BB">
        <w:t xml:space="preserve"> in section </w:t>
      </w:r>
      <w:r w:rsidR="003E6F16" w:rsidRPr="009B40BB">
        <w:fldChar w:fldCharType="begin"/>
      </w:r>
      <w:r w:rsidR="002737B5" w:rsidRPr="009B40BB">
        <w:instrText xml:space="preserve"> REF _Ref389211898 \r \h </w:instrText>
      </w:r>
      <w:r w:rsidR="003E6F16" w:rsidRPr="009B40BB">
        <w:fldChar w:fldCharType="separate"/>
      </w:r>
      <w:r w:rsidR="005B2F4C">
        <w:t>4.4</w:t>
      </w:r>
      <w:r w:rsidR="003E6F16" w:rsidRPr="009B40BB">
        <w:fldChar w:fldCharType="end"/>
      </w:r>
      <w:r w:rsidR="002737B5" w:rsidRPr="009B40BB">
        <w:t>.</w:t>
      </w:r>
    </w:p>
    <w:p w:rsidR="002737B5" w:rsidRPr="009B40BB" w:rsidRDefault="002737B5" w:rsidP="008A41DE">
      <w:pPr>
        <w:pStyle w:val="BodyText"/>
      </w:pPr>
    </w:p>
    <w:p w:rsidR="002737B5" w:rsidRPr="009B40BB" w:rsidRDefault="002737B5" w:rsidP="002737B5">
      <w:pPr>
        <w:pStyle w:val="Heading3"/>
      </w:pPr>
      <w:r w:rsidRPr="009B40BB">
        <w:t>Lessons learned</w:t>
      </w:r>
    </w:p>
    <w:p w:rsidR="00987863" w:rsidRPr="009B40BB" w:rsidRDefault="0029755A" w:rsidP="00987863">
      <w:pPr>
        <w:pStyle w:val="Bullet1"/>
      </w:pPr>
      <w:r w:rsidRPr="009B40BB">
        <w:t>K</w:t>
      </w:r>
      <w:r w:rsidR="00CB6C71" w:rsidRPr="009B40BB">
        <w:t xml:space="preserve">eep </w:t>
      </w:r>
      <w:r w:rsidR="00987863" w:rsidRPr="009B40BB">
        <w:t>it simple for the jurisdictions</w:t>
      </w:r>
    </w:p>
    <w:p w:rsidR="00987863" w:rsidRPr="009B40BB" w:rsidRDefault="00CB6C71" w:rsidP="00987863">
      <w:pPr>
        <w:pStyle w:val="Bullet1"/>
      </w:pPr>
      <w:r w:rsidRPr="009B40BB">
        <w:t xml:space="preserve">provide </w:t>
      </w:r>
      <w:r w:rsidR="00987863" w:rsidRPr="009B40BB">
        <w:t>firm reporting deadlines</w:t>
      </w:r>
    </w:p>
    <w:p w:rsidR="00987863" w:rsidRPr="009B40BB" w:rsidRDefault="00CB6C71" w:rsidP="00987863">
      <w:pPr>
        <w:pStyle w:val="Bullet1"/>
      </w:pPr>
      <w:r w:rsidRPr="009B40BB">
        <w:t xml:space="preserve">provide </w:t>
      </w:r>
      <w:r w:rsidR="00987863" w:rsidRPr="009B40BB">
        <w:t>jurisdictions time for post-submission review</w:t>
      </w:r>
    </w:p>
    <w:p w:rsidR="00987863" w:rsidRPr="009B40BB" w:rsidRDefault="00CB6C71" w:rsidP="00987863">
      <w:pPr>
        <w:pStyle w:val="Bullet1"/>
      </w:pPr>
      <w:r w:rsidRPr="009B40BB">
        <w:t xml:space="preserve">classification </w:t>
      </w:r>
      <w:r w:rsidR="00987863" w:rsidRPr="009B40BB">
        <w:t>differences are nuanced</w:t>
      </w:r>
    </w:p>
    <w:p w:rsidR="00987863" w:rsidRPr="009B40BB" w:rsidRDefault="00CB6C71" w:rsidP="00987863">
      <w:pPr>
        <w:pStyle w:val="Bullet1"/>
        <w:rPr>
          <w:color w:val="auto"/>
        </w:rPr>
      </w:pPr>
      <w:proofErr w:type="gramStart"/>
      <w:r w:rsidRPr="009B40BB">
        <w:rPr>
          <w:color w:val="auto"/>
        </w:rPr>
        <w:t>more</w:t>
      </w:r>
      <w:proofErr w:type="gramEnd"/>
      <w:r w:rsidRPr="009B40BB">
        <w:rPr>
          <w:color w:val="auto"/>
        </w:rPr>
        <w:t xml:space="preserve"> </w:t>
      </w:r>
      <w:r w:rsidR="00987863" w:rsidRPr="009B40BB">
        <w:rPr>
          <w:color w:val="auto"/>
        </w:rPr>
        <w:t xml:space="preserve">consideration is needed in relation to simultaneous collection of NEPM </w:t>
      </w:r>
      <w:r w:rsidR="009F2DB8">
        <w:rPr>
          <w:color w:val="auto"/>
        </w:rPr>
        <w:t>interstate transfer</w:t>
      </w:r>
      <w:r w:rsidR="00987863" w:rsidRPr="009B40BB">
        <w:rPr>
          <w:color w:val="auto"/>
        </w:rPr>
        <w:t xml:space="preserve"> data</w:t>
      </w:r>
      <w:r w:rsidRPr="009B40BB">
        <w:rPr>
          <w:color w:val="auto"/>
        </w:rPr>
        <w:t>.</w:t>
      </w:r>
    </w:p>
    <w:p w:rsidR="00987863" w:rsidRPr="009B40BB" w:rsidRDefault="00987863" w:rsidP="00987863">
      <w:pPr>
        <w:pStyle w:val="BodyText"/>
      </w:pPr>
    </w:p>
    <w:p w:rsidR="0029755A" w:rsidRPr="009B40BB" w:rsidRDefault="0029755A" w:rsidP="0029755A">
      <w:pPr>
        <w:pStyle w:val="Heading3"/>
      </w:pPr>
      <w:r w:rsidRPr="009B40BB">
        <w:t>Recommendations</w:t>
      </w:r>
    </w:p>
    <w:p w:rsidR="003147D0" w:rsidRPr="009B40BB" w:rsidRDefault="003147D0" w:rsidP="00A768C4">
      <w:pPr>
        <w:pStyle w:val="ListNumber"/>
        <w:numPr>
          <w:ilvl w:val="0"/>
          <w:numId w:val="18"/>
        </w:numPr>
      </w:pPr>
      <w:r w:rsidRPr="009B40BB">
        <w:t>Adopt the 75 NEPM code classification system as a national framework for collecting, collating and reporting on hazardous waste in Australia, via the utility of the translation guidance and templates provides as appendices A and B.</w:t>
      </w:r>
    </w:p>
    <w:p w:rsidR="003147D0" w:rsidRPr="009B40BB" w:rsidRDefault="003147D0" w:rsidP="00A768C4">
      <w:pPr>
        <w:pStyle w:val="ListNumber"/>
        <w:numPr>
          <w:ilvl w:val="0"/>
          <w:numId w:val="18"/>
        </w:numPr>
      </w:pPr>
      <w:r w:rsidRPr="009B40BB">
        <w:t xml:space="preserve">Consider mechanisms for obtaining ongoing data on the fate of hazardous wastes in order to eliminate the discrepancies between the data presented for Basel and the proposed National Waste Data System. </w:t>
      </w:r>
    </w:p>
    <w:p w:rsidR="003147D0" w:rsidRPr="009B40BB" w:rsidRDefault="003147D0" w:rsidP="00A768C4">
      <w:pPr>
        <w:pStyle w:val="ListNumber"/>
        <w:numPr>
          <w:ilvl w:val="0"/>
          <w:numId w:val="18"/>
        </w:numPr>
      </w:pPr>
      <w:r w:rsidRPr="009B40BB">
        <w:t>Align the data collection task and reporting timeframes with those of the proposed National Waste Data System. In particular explore the feasibility of combining the data collection templates and timing developed for this project with any future data collection mechanisms developed under the National Waste Data System project.</w:t>
      </w:r>
    </w:p>
    <w:p w:rsidR="003147D0" w:rsidRPr="009B40BB" w:rsidRDefault="003147D0" w:rsidP="00A768C4">
      <w:pPr>
        <w:pStyle w:val="ListNumber"/>
        <w:numPr>
          <w:ilvl w:val="0"/>
          <w:numId w:val="18"/>
        </w:numPr>
      </w:pPr>
      <w:r w:rsidRPr="009B40BB">
        <w:t xml:space="preserve">Update the reporting and translation template for Western Australia to be consistent with its new waste classification approach, which is currently under development (the new approach will closely align with the 75 NEPM categories). </w:t>
      </w:r>
    </w:p>
    <w:p w:rsidR="002A15E1" w:rsidRPr="009B40BB" w:rsidRDefault="002A15E1" w:rsidP="00A768C4">
      <w:pPr>
        <w:pStyle w:val="ListNumber"/>
        <w:numPr>
          <w:ilvl w:val="0"/>
          <w:numId w:val="18"/>
        </w:numPr>
      </w:pPr>
      <w:r>
        <w:t>Examine t</w:t>
      </w:r>
      <w:r w:rsidR="00506510">
        <w:t>he potential to combine the data</w:t>
      </w:r>
      <w:r>
        <w:t xml:space="preserve"> collection tasks for the Basel Convention and the Controlled Waste NEPM.</w:t>
      </w:r>
    </w:p>
    <w:p w:rsidR="003147D0" w:rsidRPr="009B40BB" w:rsidRDefault="003147D0" w:rsidP="00A768C4">
      <w:pPr>
        <w:pStyle w:val="ListNumber"/>
        <w:numPr>
          <w:ilvl w:val="0"/>
          <w:numId w:val="18"/>
        </w:numPr>
        <w:rPr>
          <w:rFonts w:asciiTheme="minorHAnsi" w:hAnsiTheme="minorHAnsi" w:cs="Arial"/>
          <w:color w:val="0C0C0C" w:themeColor="text1"/>
          <w:szCs w:val="36"/>
        </w:rPr>
      </w:pPr>
      <w:r w:rsidRPr="009B40BB">
        <w:rPr>
          <w:rFonts w:asciiTheme="minorHAnsi" w:hAnsiTheme="minorHAnsi" w:cs="Arial"/>
          <w:color w:val="0C0C0C" w:themeColor="text1"/>
          <w:szCs w:val="36"/>
        </w:rPr>
        <w:t>Conduct further investigation into the key waste stream issues of contaminated soils and asbestos, to address clear deficiencies in their data recording and tracking in:</w:t>
      </w:r>
    </w:p>
    <w:p w:rsidR="003147D0" w:rsidRPr="009B40BB" w:rsidRDefault="003147D0" w:rsidP="003147D0">
      <w:pPr>
        <w:pStyle w:val="Bullet2"/>
      </w:pPr>
      <w:r w:rsidRPr="009B40BB">
        <w:lastRenderedPageBreak/>
        <w:t>Western Australia and New South Wales (for asbestos)</w:t>
      </w:r>
    </w:p>
    <w:p w:rsidR="003147D0" w:rsidRPr="009B40BB" w:rsidRDefault="003147D0" w:rsidP="003147D0">
      <w:pPr>
        <w:pStyle w:val="Bullet2"/>
      </w:pPr>
      <w:proofErr w:type="gramStart"/>
      <w:r w:rsidRPr="009B40BB">
        <w:t>all</w:t>
      </w:r>
      <w:proofErr w:type="gramEnd"/>
      <w:r w:rsidRPr="009B40BB">
        <w:t xml:space="preserve"> jurisdictions outside of Victoria (for contaminated soils).</w:t>
      </w:r>
    </w:p>
    <w:p w:rsidR="00CF3B5C" w:rsidRPr="00CF3B5C" w:rsidRDefault="00D5090F" w:rsidP="00CF3B5C">
      <w:pPr>
        <w:pStyle w:val="BodyText"/>
        <w:numPr>
          <w:ilvl w:val="0"/>
          <w:numId w:val="18"/>
        </w:numPr>
        <w:spacing w:before="80"/>
        <w:ind w:left="346" w:hanging="346"/>
      </w:pPr>
      <w:r>
        <w:t>Investigate the feasibility, effort requirement, accuracy of, and extent to which any commercial confidentiality could be breached if jurisdictions provided generation data by ANZSIC Code (Australian and New Zealand Standard Industry Classification). (ANZSIC Code breakdown would provide more useability to the data; for example if linking to other data sets such as economic, labour figures and other environmental performance data, as reported by the Australian Bureau of Statistics.)</w:t>
      </w:r>
    </w:p>
    <w:p w:rsidR="0029755A" w:rsidRPr="009B40BB" w:rsidRDefault="0029755A" w:rsidP="0029755A">
      <w:pPr>
        <w:pStyle w:val="BodyText"/>
      </w:pPr>
    </w:p>
    <w:p w:rsidR="008A41DE" w:rsidRPr="009B40BB" w:rsidRDefault="002737B5" w:rsidP="002737B5">
      <w:pPr>
        <w:pStyle w:val="Heading3"/>
      </w:pPr>
      <w:r w:rsidRPr="009B40BB">
        <w:t xml:space="preserve"> </w:t>
      </w:r>
    </w:p>
    <w:p w:rsidR="00BB3C39" w:rsidRPr="009B40BB" w:rsidRDefault="00BB3C39" w:rsidP="00BB3C39">
      <w:pPr>
        <w:pStyle w:val="BodyText"/>
      </w:pPr>
    </w:p>
    <w:p w:rsidR="00785C09" w:rsidRPr="009B40BB" w:rsidRDefault="00785C09" w:rsidP="00785C09">
      <w:pPr>
        <w:pStyle w:val="BodyText"/>
      </w:pPr>
    </w:p>
    <w:p w:rsidR="00381325" w:rsidRPr="009B40BB" w:rsidRDefault="00381325" w:rsidP="00785C09">
      <w:pPr>
        <w:pStyle w:val="BodyText"/>
      </w:pPr>
    </w:p>
    <w:p w:rsidR="00070CA4" w:rsidRPr="009B40BB" w:rsidRDefault="00070CA4" w:rsidP="00070CA4">
      <w:pPr>
        <w:pStyle w:val="BodyText"/>
      </w:pPr>
    </w:p>
    <w:p w:rsidR="00070CA4" w:rsidRPr="009B40BB" w:rsidRDefault="00070CA4" w:rsidP="00070CA4">
      <w:pPr>
        <w:pStyle w:val="BodyText"/>
      </w:pPr>
    </w:p>
    <w:p w:rsidR="00070CA4" w:rsidRPr="009B40BB" w:rsidRDefault="00070CA4" w:rsidP="00070CA4">
      <w:pPr>
        <w:pStyle w:val="BodyText"/>
      </w:pPr>
    </w:p>
    <w:p w:rsidR="00070CA4" w:rsidRPr="009B40BB" w:rsidRDefault="00070CA4" w:rsidP="00070CA4">
      <w:pPr>
        <w:pStyle w:val="BodyText"/>
      </w:pPr>
    </w:p>
    <w:p w:rsidR="00070CA4" w:rsidRPr="009B40BB" w:rsidRDefault="00070CA4" w:rsidP="00070CA4">
      <w:pPr>
        <w:pStyle w:val="BodyText"/>
        <w:sectPr w:rsidR="00070CA4" w:rsidRPr="009B40BB" w:rsidSect="00AA6994">
          <w:headerReference w:type="default" r:id="rId17"/>
          <w:footerReference w:type="default" r:id="rId18"/>
          <w:headerReference w:type="first" r:id="rId19"/>
          <w:footerReference w:type="first" r:id="rId20"/>
          <w:pgSz w:w="11907" w:h="16840" w:code="9"/>
          <w:pgMar w:top="1701" w:right="1077" w:bottom="1418" w:left="1304" w:header="709" w:footer="709" w:gutter="0"/>
          <w:pgNumType w:fmt="lowerRoman"/>
          <w:cols w:space="708"/>
          <w:docGrid w:linePitch="360"/>
        </w:sectPr>
      </w:pPr>
    </w:p>
    <w:p w:rsidR="00CE370C" w:rsidRPr="009B40BB" w:rsidRDefault="003B680C" w:rsidP="009C4CFE">
      <w:pPr>
        <w:pStyle w:val="Heading1"/>
      </w:pPr>
      <w:bookmarkStart w:id="15" w:name="_Toc390770723"/>
      <w:r w:rsidRPr="009B40BB">
        <w:lastRenderedPageBreak/>
        <w:t>Introduction</w:t>
      </w:r>
      <w:bookmarkEnd w:id="15"/>
    </w:p>
    <w:p w:rsidR="005E2517" w:rsidRPr="009B40BB" w:rsidRDefault="00FA6E37" w:rsidP="003B680C">
      <w:pPr>
        <w:pStyle w:val="Heading2"/>
      </w:pPr>
      <w:bookmarkStart w:id="16" w:name="_Toc390770724"/>
      <w:r w:rsidRPr="009B40BB">
        <w:t>Project background</w:t>
      </w:r>
      <w:bookmarkEnd w:id="16"/>
    </w:p>
    <w:p w:rsidR="00541C48" w:rsidRPr="009B40BB" w:rsidRDefault="00541C48" w:rsidP="00541C48">
      <w:pPr>
        <w:pStyle w:val="BodyText"/>
      </w:pPr>
      <w:r w:rsidRPr="009B40BB">
        <w:t>In November 2013, the Department of Environment (DoE) engaged Blue Environment Pty Ltd</w:t>
      </w:r>
      <w:r w:rsidR="005D2FEB" w:rsidRPr="009B40BB">
        <w:t>,</w:t>
      </w:r>
      <w:r w:rsidRPr="009B40BB">
        <w:t xml:space="preserve"> in association with Environ Pty Ltd and Randell Environmental Consulting Pty Ltd (REC)</w:t>
      </w:r>
      <w:r w:rsidR="005D2FEB" w:rsidRPr="009B40BB">
        <w:t>,</w:t>
      </w:r>
      <w:r w:rsidRPr="009B40BB">
        <w:t xml:space="preserve"> to </w:t>
      </w:r>
      <w:r w:rsidR="005D2FEB" w:rsidRPr="009B40BB">
        <w:t>undertake a project titled</w:t>
      </w:r>
      <w:r w:rsidRPr="009B40BB">
        <w:t xml:space="preserve"> </w:t>
      </w:r>
      <w:r w:rsidRPr="009B40BB">
        <w:rPr>
          <w:i/>
        </w:rPr>
        <w:t>Improving Australia's reporting on hazardous waste under the Basel Convention</w:t>
      </w:r>
      <w:r w:rsidRPr="009B40BB">
        <w:t xml:space="preserve">. </w:t>
      </w:r>
    </w:p>
    <w:p w:rsidR="00541C48" w:rsidRPr="009B40BB" w:rsidRDefault="00541C48" w:rsidP="00541C48">
      <w:pPr>
        <w:pStyle w:val="BodyText"/>
        <w:rPr>
          <w:sz w:val="16"/>
          <w:szCs w:val="16"/>
        </w:rPr>
      </w:pPr>
    </w:p>
    <w:p w:rsidR="00BB630E" w:rsidRPr="009B40BB" w:rsidRDefault="00BB630E" w:rsidP="008A4C52">
      <w:pPr>
        <w:pStyle w:val="BodyText"/>
      </w:pPr>
      <w:r w:rsidRPr="009B40BB">
        <w:t>The Basel Convention, which regulates the movement of hazardous wastes across international boundaries, came into force in 1992.</w:t>
      </w:r>
      <w:r w:rsidR="0065463B">
        <w:t xml:space="preserve"> </w:t>
      </w:r>
      <w:r w:rsidRPr="009B40BB">
        <w:t xml:space="preserve">These obligations are placed on countries that are party to the Convention. </w:t>
      </w:r>
      <w:r w:rsidR="008A4C52" w:rsidRPr="009B40BB">
        <w:t>One hundred and fifty-one c</w:t>
      </w:r>
      <w:r w:rsidRPr="009B40BB">
        <w:t xml:space="preserve">ountries have ratified the Basel Convention as at December 2002. </w:t>
      </w:r>
      <w:r w:rsidR="00506510" w:rsidRPr="009B40BB">
        <w:t>The Convention puts an onus on exporting countries to ensure that hazardous wastes are managed in an environmentally sound manner in the country of import.</w:t>
      </w:r>
      <w:r w:rsidR="00506510">
        <w:t xml:space="preserve"> </w:t>
      </w:r>
      <w:r w:rsidRPr="009B40BB">
        <w:t>The</w:t>
      </w:r>
      <w:r w:rsidR="008A4C52" w:rsidRPr="009B40BB">
        <w:t>ir</w:t>
      </w:r>
      <w:r w:rsidRPr="009B40BB">
        <w:t xml:space="preserve"> obligations are to:</w:t>
      </w:r>
    </w:p>
    <w:p w:rsidR="00BB630E" w:rsidRPr="009B40BB" w:rsidRDefault="008A4C52" w:rsidP="008A4C52">
      <w:pPr>
        <w:pStyle w:val="Bullet1"/>
        <w:rPr>
          <w:rStyle w:val="BodyTextChar"/>
          <w:color w:val="181818" w:themeColor="text1" w:themeTint="F2"/>
        </w:rPr>
      </w:pPr>
      <w:r w:rsidRPr="009B40BB">
        <w:rPr>
          <w:rStyle w:val="BodyTextChar"/>
          <w:color w:val="181818" w:themeColor="text1" w:themeTint="F2"/>
        </w:rPr>
        <w:t>m</w:t>
      </w:r>
      <w:r w:rsidR="00BB630E" w:rsidRPr="009B40BB">
        <w:rPr>
          <w:rStyle w:val="BodyTextChar"/>
          <w:color w:val="181818" w:themeColor="text1" w:themeTint="F2"/>
        </w:rPr>
        <w:t>inimis</w:t>
      </w:r>
      <w:r w:rsidRPr="009B40BB">
        <w:rPr>
          <w:rStyle w:val="BodyTextChar"/>
          <w:color w:val="181818" w:themeColor="text1" w:themeTint="F2"/>
        </w:rPr>
        <w:t>e generation of hazardous waste</w:t>
      </w:r>
    </w:p>
    <w:p w:rsidR="00BB630E" w:rsidRPr="009B40BB" w:rsidRDefault="008A4C52" w:rsidP="008A4C52">
      <w:pPr>
        <w:pStyle w:val="Bullet1"/>
        <w:rPr>
          <w:rStyle w:val="BodyTextChar"/>
          <w:color w:val="181818" w:themeColor="text1" w:themeTint="F2"/>
        </w:rPr>
      </w:pPr>
      <w:r w:rsidRPr="009B40BB">
        <w:rPr>
          <w:rStyle w:val="BodyTextChar"/>
          <w:color w:val="181818" w:themeColor="text1" w:themeTint="F2"/>
        </w:rPr>
        <w:t>e</w:t>
      </w:r>
      <w:r w:rsidR="00BB630E" w:rsidRPr="009B40BB">
        <w:rPr>
          <w:rStyle w:val="BodyTextChar"/>
          <w:color w:val="181818" w:themeColor="text1" w:themeTint="F2"/>
        </w:rPr>
        <w:t>nsure adequate di</w:t>
      </w:r>
      <w:r w:rsidRPr="009B40BB">
        <w:rPr>
          <w:rStyle w:val="BodyTextChar"/>
          <w:color w:val="181818" w:themeColor="text1" w:themeTint="F2"/>
        </w:rPr>
        <w:t>sposal facilities are available</w:t>
      </w:r>
    </w:p>
    <w:p w:rsidR="00BB630E" w:rsidRPr="009B40BB" w:rsidRDefault="008A4C52" w:rsidP="008A4C52">
      <w:pPr>
        <w:pStyle w:val="Bullet1"/>
        <w:rPr>
          <w:rStyle w:val="BodyTextChar"/>
          <w:color w:val="181818" w:themeColor="text1" w:themeTint="F2"/>
        </w:rPr>
      </w:pPr>
      <w:r w:rsidRPr="009B40BB">
        <w:rPr>
          <w:rStyle w:val="BodyTextChar"/>
          <w:color w:val="181818" w:themeColor="text1" w:themeTint="F2"/>
        </w:rPr>
        <w:t>c</w:t>
      </w:r>
      <w:r w:rsidR="00BB630E" w:rsidRPr="009B40BB">
        <w:rPr>
          <w:rStyle w:val="BodyTextChar"/>
          <w:color w:val="181818" w:themeColor="text1" w:themeTint="F2"/>
        </w:rPr>
        <w:t>ontrol and reduce internation</w:t>
      </w:r>
      <w:r w:rsidRPr="009B40BB">
        <w:rPr>
          <w:rStyle w:val="BodyTextChar"/>
          <w:color w:val="181818" w:themeColor="text1" w:themeTint="F2"/>
        </w:rPr>
        <w:t>al movements of hazardous waste</w:t>
      </w:r>
    </w:p>
    <w:p w:rsidR="00BB630E" w:rsidRPr="009B40BB" w:rsidRDefault="008A4C52" w:rsidP="008A4C52">
      <w:pPr>
        <w:pStyle w:val="Bullet1"/>
        <w:rPr>
          <w:rStyle w:val="BodyTextChar"/>
          <w:color w:val="181818" w:themeColor="text1" w:themeTint="F2"/>
        </w:rPr>
      </w:pPr>
      <w:r w:rsidRPr="009B40BB">
        <w:rPr>
          <w:rStyle w:val="BodyTextChar"/>
          <w:color w:val="181818" w:themeColor="text1" w:themeTint="F2"/>
        </w:rPr>
        <w:t>e</w:t>
      </w:r>
      <w:r w:rsidR="00BB630E" w:rsidRPr="009B40BB">
        <w:rPr>
          <w:rStyle w:val="BodyTextChar"/>
          <w:color w:val="181818" w:themeColor="text1" w:themeTint="F2"/>
        </w:rPr>
        <w:t>nsure environmental</w:t>
      </w:r>
      <w:r w:rsidRPr="009B40BB">
        <w:rPr>
          <w:rStyle w:val="BodyTextChar"/>
          <w:color w:val="181818" w:themeColor="text1" w:themeTint="F2"/>
        </w:rPr>
        <w:t>ly sound management of wastes</w:t>
      </w:r>
    </w:p>
    <w:p w:rsidR="00BB630E" w:rsidRPr="009B40BB" w:rsidRDefault="008A4C52" w:rsidP="008A4C52">
      <w:pPr>
        <w:pStyle w:val="Bullet1"/>
        <w:rPr>
          <w:rStyle w:val="BodyTextChar"/>
          <w:color w:val="181818" w:themeColor="text1" w:themeTint="F2"/>
        </w:rPr>
      </w:pPr>
      <w:proofErr w:type="gramStart"/>
      <w:r w:rsidRPr="009B40BB">
        <w:rPr>
          <w:rStyle w:val="BodyTextChar"/>
          <w:color w:val="181818" w:themeColor="text1" w:themeTint="F2"/>
        </w:rPr>
        <w:t>p</w:t>
      </w:r>
      <w:r w:rsidR="00BB630E" w:rsidRPr="009B40BB">
        <w:rPr>
          <w:rStyle w:val="BodyTextChar"/>
          <w:color w:val="181818" w:themeColor="text1" w:themeTint="F2"/>
        </w:rPr>
        <w:t>revent</w:t>
      </w:r>
      <w:proofErr w:type="gramEnd"/>
      <w:r w:rsidR="00BB630E" w:rsidRPr="009B40BB">
        <w:rPr>
          <w:rStyle w:val="BodyTextChar"/>
          <w:color w:val="181818" w:themeColor="text1" w:themeTint="F2"/>
        </w:rPr>
        <w:t xml:space="preserve"> and illegal traffic</w:t>
      </w:r>
      <w:r w:rsidRPr="009B40BB">
        <w:rPr>
          <w:rStyle w:val="BodyTextChar"/>
          <w:color w:val="181818" w:themeColor="text1" w:themeTint="F2"/>
        </w:rPr>
        <w:t xml:space="preserve"> and punish perpetrators</w:t>
      </w:r>
      <w:r w:rsidR="00BB630E" w:rsidRPr="009B40BB">
        <w:rPr>
          <w:rStyle w:val="BodyTextChar"/>
          <w:color w:val="181818" w:themeColor="text1" w:themeTint="F2"/>
        </w:rPr>
        <w:t>.</w:t>
      </w:r>
    </w:p>
    <w:p w:rsidR="008A4C52" w:rsidRPr="009B40BB" w:rsidRDefault="008A4C52" w:rsidP="008A4C52">
      <w:pPr>
        <w:pStyle w:val="BodyText"/>
      </w:pPr>
    </w:p>
    <w:p w:rsidR="00BB630E" w:rsidRPr="009B40BB" w:rsidRDefault="00BB630E" w:rsidP="008A4C52">
      <w:pPr>
        <w:pStyle w:val="BodyText"/>
      </w:pPr>
      <w:r w:rsidRPr="009B40BB">
        <w:t xml:space="preserve">Australia signed the Basel Convention in 1992. The Convention is implemented in Australia by the </w:t>
      </w:r>
      <w:r w:rsidRPr="009B40BB">
        <w:rPr>
          <w:i/>
        </w:rPr>
        <w:t>Hazardous Waste (Regulation of Exports and Imports) Act 1989</w:t>
      </w:r>
      <w:r w:rsidRPr="009B40BB">
        <w:t>, which regulates the export, import and transit of hazardous waste to ensure that exported, imported or transited waste is managed in an environmentally sound manner.</w:t>
      </w:r>
      <w:r w:rsidR="008A4C52" w:rsidRPr="009B40BB">
        <w:t xml:space="preserve"> </w:t>
      </w:r>
    </w:p>
    <w:p w:rsidR="008A4C52" w:rsidRPr="009B40BB" w:rsidRDefault="008A4C52" w:rsidP="008A4C52">
      <w:pPr>
        <w:pStyle w:val="BodyText"/>
      </w:pPr>
    </w:p>
    <w:p w:rsidR="00BB630E" w:rsidRPr="009B40BB" w:rsidRDefault="00BB630E" w:rsidP="008A4C52">
      <w:pPr>
        <w:pStyle w:val="BodyText"/>
      </w:pPr>
      <w:r w:rsidRPr="009B40BB">
        <w:t>The Australian Government provides an annual report to the Secretariat of the Basel Convention on the details of the trans-boundary movements of hazardous wastes from Australia, including a national account of tonnages of these wastes expressed using the Basel Convention’s classification system known as Y-codes.</w:t>
      </w:r>
      <w:r w:rsidR="00A374C7" w:rsidRPr="009B40BB">
        <w:t xml:space="preserve"> </w:t>
      </w:r>
      <w:r w:rsidRPr="009B40BB">
        <w:t>This data provides a baseline and backdrop to qualitative and (preferably) quantitative discussions about Australia’s progress with efforts to better manage its hazardous waste.</w:t>
      </w:r>
    </w:p>
    <w:p w:rsidR="008A4C52" w:rsidRPr="009B40BB" w:rsidRDefault="008A4C52" w:rsidP="008A4C52">
      <w:pPr>
        <w:pStyle w:val="BodyText"/>
      </w:pPr>
    </w:p>
    <w:p w:rsidR="00BB630E" w:rsidRPr="009B40BB" w:rsidRDefault="00BB630E" w:rsidP="008A4C52">
      <w:pPr>
        <w:pStyle w:val="BodyText"/>
      </w:pPr>
      <w:r w:rsidRPr="009B40BB">
        <w:t xml:space="preserve">State and </w:t>
      </w:r>
      <w:r w:rsidR="008A4C52" w:rsidRPr="009B40BB">
        <w:t xml:space="preserve">territory </w:t>
      </w:r>
      <w:r w:rsidRPr="009B40BB">
        <w:t>governments collect this data as part of their regulatory role in managing hazardous waste and its potential for impact on the environment and human health.</w:t>
      </w:r>
      <w:r w:rsidR="008A4C52" w:rsidRPr="009B40BB">
        <w:t xml:space="preserve"> </w:t>
      </w:r>
      <w:r w:rsidRPr="009B40BB">
        <w:t xml:space="preserve">As part of co-operative arrangements between </w:t>
      </w:r>
      <w:r w:rsidR="008A4C52" w:rsidRPr="009B40BB">
        <w:t xml:space="preserve">states and territories </w:t>
      </w:r>
      <w:r w:rsidRPr="009B40BB">
        <w:t xml:space="preserve">and the Australian Government, this data has historically been supplied to the Australian </w:t>
      </w:r>
      <w:r w:rsidR="008A4C52" w:rsidRPr="009B40BB">
        <w:t>Government, which has</w:t>
      </w:r>
      <w:r w:rsidRPr="009B40BB">
        <w:t xml:space="preserve"> have then forwarded nationally collated numbers to the Basel Secretariat in Switzerland.</w:t>
      </w:r>
    </w:p>
    <w:p w:rsidR="008A4C52" w:rsidRPr="009B40BB" w:rsidRDefault="008A4C52" w:rsidP="008A4C52">
      <w:pPr>
        <w:pStyle w:val="BodyText"/>
      </w:pPr>
    </w:p>
    <w:p w:rsidR="00BB630E" w:rsidRPr="009B40BB" w:rsidRDefault="001B584E" w:rsidP="008A4C52">
      <w:pPr>
        <w:pStyle w:val="BodyText"/>
      </w:pPr>
      <w:r w:rsidRPr="009B40BB">
        <w:t>Australia is, however, not currently fully compliant with its waste related reporting requirements under the Basel Convention. DoE has flagged multiple areas where compliance can be improved, including: improvements to timeliness, completeness, consistency, accuracy, verifiability and general</w:t>
      </w:r>
      <w:r w:rsidR="008A4C52" w:rsidRPr="009B40BB">
        <w:t>ly</w:t>
      </w:r>
      <w:r w:rsidRPr="009B40BB">
        <w:t xml:space="preserve"> meeting common principles of data quality.</w:t>
      </w:r>
    </w:p>
    <w:p w:rsidR="00266FFB" w:rsidRPr="009B40BB" w:rsidRDefault="00266FFB">
      <w:pPr>
        <w:spacing w:line="240" w:lineRule="auto"/>
        <w:rPr>
          <w:color w:val="080808"/>
          <w:sz w:val="22"/>
        </w:rPr>
      </w:pPr>
      <w:r w:rsidRPr="009B40BB">
        <w:br w:type="page"/>
      </w:r>
    </w:p>
    <w:p w:rsidR="00FA6E37" w:rsidRPr="009B40BB" w:rsidRDefault="00FA6E37" w:rsidP="00FA6E37">
      <w:pPr>
        <w:pStyle w:val="Heading2"/>
      </w:pPr>
      <w:bookmarkStart w:id="17" w:name="_Toc390770725"/>
      <w:r w:rsidRPr="009B40BB">
        <w:lastRenderedPageBreak/>
        <w:t>Project scope</w:t>
      </w:r>
      <w:bookmarkEnd w:id="17"/>
    </w:p>
    <w:p w:rsidR="001B584E" w:rsidRPr="009B40BB" w:rsidRDefault="00266FFB" w:rsidP="001B584E">
      <w:pPr>
        <w:pStyle w:val="BodyText"/>
      </w:pPr>
      <w:r w:rsidRPr="009B40BB">
        <w:t xml:space="preserve">The </w:t>
      </w:r>
      <w:r w:rsidR="001849F9" w:rsidRPr="009B40BB">
        <w:t xml:space="preserve">DoE defined the </w:t>
      </w:r>
      <w:r w:rsidRPr="009B40BB">
        <w:t>project</w:t>
      </w:r>
      <w:r w:rsidR="001849F9" w:rsidRPr="009B40BB">
        <w:t xml:space="preserve"> scope</w:t>
      </w:r>
      <w:r w:rsidRPr="009B40BB">
        <w:t xml:space="preserve"> </w:t>
      </w:r>
      <w:r w:rsidR="001849F9" w:rsidRPr="009B40BB">
        <w:t>as f</w:t>
      </w:r>
      <w:r w:rsidRPr="009B40BB">
        <w:t>ollow</w:t>
      </w:r>
      <w:r w:rsidR="001849F9" w:rsidRPr="009B40BB">
        <w:t>s</w:t>
      </w:r>
      <w:r w:rsidRPr="009B40BB">
        <w:t>:</w:t>
      </w:r>
    </w:p>
    <w:p w:rsidR="001849F9" w:rsidRPr="009B40BB" w:rsidRDefault="001849F9" w:rsidP="00506510">
      <w:pPr>
        <w:pStyle w:val="ListNumber"/>
        <w:numPr>
          <w:ilvl w:val="0"/>
          <w:numId w:val="20"/>
        </w:numPr>
      </w:pPr>
      <w:r w:rsidRPr="009B40BB">
        <w:t xml:space="preserve">The development of descriptive guidance about the Basel Convention reporting requirements </w:t>
      </w:r>
    </w:p>
    <w:p w:rsidR="001849F9" w:rsidRPr="009B40BB" w:rsidRDefault="001849F9" w:rsidP="00506510">
      <w:pPr>
        <w:pStyle w:val="ListNumber"/>
        <w:numPr>
          <w:ilvl w:val="0"/>
          <w:numId w:val="20"/>
        </w:numPr>
      </w:pPr>
      <w:r w:rsidRPr="009B40BB">
        <w:t xml:space="preserve">Developing guidance for the states </w:t>
      </w:r>
      <w:r w:rsidR="00E5724F" w:rsidRPr="009B40BB">
        <w:t xml:space="preserve">and territories </w:t>
      </w:r>
      <w:r w:rsidRPr="009B40BB">
        <w:t xml:space="preserve">on how to take their input data and use it to populate the Y-Code categories of Basel’s hazardous waste classification </w:t>
      </w:r>
    </w:p>
    <w:p w:rsidR="001849F9" w:rsidRPr="009B40BB" w:rsidRDefault="001849F9" w:rsidP="00506510">
      <w:pPr>
        <w:pStyle w:val="ListNumber"/>
        <w:numPr>
          <w:ilvl w:val="0"/>
          <w:numId w:val="20"/>
        </w:numPr>
      </w:pPr>
      <w:r w:rsidRPr="009B40BB">
        <w:t xml:space="preserve">Provision of guidance on how other aspects of the Basel spreadsheet can be populated in a standardised way </w:t>
      </w:r>
    </w:p>
    <w:p w:rsidR="001849F9" w:rsidRPr="009B40BB" w:rsidRDefault="001849F9" w:rsidP="00506510">
      <w:pPr>
        <w:pStyle w:val="ListNumber"/>
        <w:numPr>
          <w:ilvl w:val="0"/>
          <w:numId w:val="20"/>
        </w:numPr>
      </w:pPr>
      <w:r w:rsidRPr="009B40BB">
        <w:t>Delivery of th</w:t>
      </w:r>
      <w:r w:rsidR="00ED54E8" w:rsidRPr="009B40BB">
        <w:t>e</w:t>
      </w:r>
      <w:r w:rsidRPr="009B40BB">
        <w:t xml:space="preserve"> guidance to state and territory reporters, supporting their reporting activity through an assisted validation process </w:t>
      </w:r>
    </w:p>
    <w:p w:rsidR="001849F9" w:rsidRPr="009B40BB" w:rsidRDefault="001849F9" w:rsidP="00506510">
      <w:pPr>
        <w:pStyle w:val="ListNumber"/>
        <w:numPr>
          <w:ilvl w:val="0"/>
          <w:numId w:val="20"/>
        </w:numPr>
      </w:pPr>
      <w:r w:rsidRPr="009B40BB">
        <w:t>Compilation of a standardised jurisdictional and national report, suitable for both Australian Government publication and provision to t</w:t>
      </w:r>
      <w:r w:rsidR="00ED54E8" w:rsidRPr="009B40BB">
        <w:t>he Basel Convention Secretariat</w:t>
      </w:r>
    </w:p>
    <w:p w:rsidR="00FA6E37" w:rsidRPr="009B40BB" w:rsidRDefault="001849F9" w:rsidP="00506510">
      <w:pPr>
        <w:pStyle w:val="ListNumber"/>
        <w:numPr>
          <w:ilvl w:val="0"/>
          <w:numId w:val="20"/>
        </w:numPr>
      </w:pPr>
      <w:r w:rsidRPr="009B40BB">
        <w:t>Delivery of a final project report, containing the guidance, the national and jurisdictional data, and supporting commentary/analysis, suitable for publication on the Department’s website.</w:t>
      </w:r>
    </w:p>
    <w:p w:rsidR="00541C48" w:rsidRPr="009B40BB" w:rsidRDefault="00541C48" w:rsidP="00FA6E37">
      <w:pPr>
        <w:pStyle w:val="BodyText"/>
      </w:pPr>
    </w:p>
    <w:p w:rsidR="00541C48" w:rsidRPr="009B40BB" w:rsidRDefault="00541C48" w:rsidP="00FA6E37">
      <w:pPr>
        <w:pStyle w:val="BodyText"/>
      </w:pPr>
    </w:p>
    <w:p w:rsidR="00FA6E37" w:rsidRPr="009B40BB" w:rsidRDefault="00976970" w:rsidP="00FA6E37">
      <w:pPr>
        <w:pStyle w:val="Heading2"/>
      </w:pPr>
      <w:bookmarkStart w:id="18" w:name="_Toc390770726"/>
      <w:r w:rsidRPr="009B40BB">
        <w:t>Project a</w:t>
      </w:r>
      <w:r w:rsidR="00FA6E37" w:rsidRPr="009B40BB">
        <w:t>pproach</w:t>
      </w:r>
      <w:bookmarkEnd w:id="18"/>
    </w:p>
    <w:p w:rsidR="00266FFB" w:rsidRPr="009B40BB" w:rsidRDefault="000D07A3" w:rsidP="00266FFB">
      <w:pPr>
        <w:pStyle w:val="BodyText"/>
      </w:pPr>
      <w:r w:rsidRPr="009B40BB">
        <w:t>The project approach adopted to deliver the project is summarised in the diagram below.</w:t>
      </w:r>
    </w:p>
    <w:p w:rsidR="000D07A3" w:rsidRPr="009B40BB" w:rsidRDefault="003E6F16" w:rsidP="00266FFB">
      <w:pPr>
        <w:pStyle w:val="BodyText"/>
      </w:pPr>
      <w:r w:rsidRPr="003E6F16">
        <w:rPr>
          <w:rFonts w:asciiTheme="minorHAnsi" w:hAnsiTheme="minorHAnsi"/>
          <w:noProof/>
          <w:lang w:eastAsia="en-AU"/>
        </w:rPr>
        <w:pict>
          <v:group id="Group 31" o:spid="_x0000_s1026" style="position:absolute;margin-left:81.05pt;margin-top:13.65pt;width:277.5pt;height:361.7pt;z-index:251658240" coordsize="35406,5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">
            <v:line id="Straight Connector 34" o:spid="_x0000_s1027" style="position:absolute;flip:y;visibility:visible;mso-wrap-style:square" from="14460,32322" to="27001,3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9qsMAAADbAAAADwAAAGRycy9kb3ducmV2LnhtbESP0WoCMRRE34X+Q7gF3zRrq6KrUVpB&#10;KL5IrR9w2Vw3i5ubbZLqul/fCIKPw8ycYZbr1tbiQj5UjhWMhhkI4sLpiksFx5/tYAYiRGSNtWNS&#10;cKMA69VLb4m5dlf+psshliJBOOSowMTY5FKGwpDFMHQNcfJOzluMSfpSao/XBLe1fMuyqbRYcVow&#10;2NDGUHE+/FkFdReP3fxzY7rsd3zT+/3U+clOqf5r+7EAEamNz/Cj/aUVvI/h/iX9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y/arDAAAA2wAAAA8AAAAAAAAAAAAA&#10;AAAAoQIAAGRycy9kb3ducmV2LnhtbFBLBQYAAAAABAAEAPkAAACRAwAAAAA=&#10;" strokecolor="#0c0c0c [3213]"/>
            <v:line id="Straight Connector 35" o:spid="_x0000_s1028" style="position:absolute;visibility:visible;mso-wrap-style:square" from="14460,11589" to="27001,1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6wMUAAADbAAAADwAAAGRycy9kb3ducmV2LnhtbESPQWvCQBSE7wX/w/KE3upGRSPRVYIg&#10;2PZUW/H6yD6TtNm3YXeNqb/eLRQ8DjPzDbPa9KYRHTlfW1YwHiUgiAuray4VfH3uXhYgfEDW2Fgm&#10;Bb/kYbMePK0w0/bKH9QdQikihH2GCqoQ2kxKX1Rk0I9sSxy9s3UGQ5SulNrhNcJNIydJMpcGa44L&#10;Fba0raj4OVyMgkXx9u3yNH8dz45teusm7/PdKVXqedjnSxCB+vAI/7f3WsF0B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l6wMUAAADbAAAADwAAAAAAAAAA&#10;AAAAAAChAgAAZHJzL2Rvd25yZXYueG1sUEsFBgAAAAAEAAQA+QAAAJMDAAAAAA==&#10;" strokecolor="#0c0c0c [3213]"/>
            <v:line id="Straight Connector 36" o:spid="_x0000_s1029" style="position:absolute;visibility:visible;mso-wrap-style:square" from="9037,1594" to="9407,5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kt8UAAADbAAAADwAAAGRycy9kb3ducmV2LnhtbESPQWvCQBSE70L/w/IEb7pRaS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vkt8UAAADbAAAADwAAAAAAAAAA&#10;AAAAAAChAgAAZHJzL2Rvd25yZXYueG1sUEsFBgAAAAAEAAQA+QAAAJMDAAAAAA==&#10;" strokecolor="#0c0c0c [3213]"/>
            <v:shapetype id="_x0000_t202" coordsize="21600,21600" o:spt="202" path="m,l,21600r21600,l21600,xe">
              <v:stroke joinstyle="miter"/>
              <v:path gradientshapeok="t" o:connecttype="rect"/>
            </v:shapetype>
            <v:shape id="Text Box 2" o:spid="_x0000_s1030" type="#_x0000_t202" style="position:absolute;width:18376;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zYMQA&#10;AADbAAAADwAAAGRycy9kb3ducmV2LnhtbESPUWvCQBCE3wX/w7FCX6ReVNCSekoRtIJPJv6AJbdN&#10;0ub2QvaqaX+9Jwg+DjPzDbPa9K5RF+qk9mxgOklAERfe1lwaOOe71zdQEpAtNp7JwB8JbNbDwQpT&#10;6698oksWShUhLCkaqEJoU62lqMihTHxLHL0v3zkMUXalth1eI9w1epYkC+2w5rhQYUvbioqf7NcZ&#10;GG/lcPzeLT5PeX2cNue9jP9zMeZl1H+8gwrUh2f40T5YA/Ml3L/EH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s2DEAAAA2wAAAA8AAAAAAAAAAAAAAAAAmAIAAGRycy9k&#10;b3ducmV2LnhtbFBLBQYAAAAABAAEAPUAAACJAwAAAAA=&#10;" fillcolor="#f2f2f2 [3052]" strokecolor="#7f7f7f [1612]">
              <v:textbox inset="1mm,1mm,1mm,1mm">
                <w:txbxContent>
                  <w:p w:rsidR="002E3088" w:rsidRPr="00C70801" w:rsidRDefault="002E3088" w:rsidP="000D07A3">
                    <w:pPr>
                      <w:jc w:val="center"/>
                      <w:rPr>
                        <w:rFonts w:asciiTheme="minorHAnsi" w:hAnsiTheme="minorHAnsi"/>
                      </w:rPr>
                    </w:pPr>
                    <w:r>
                      <w:rPr>
                        <w:rFonts w:asciiTheme="minorHAnsi" w:hAnsiTheme="minorHAnsi"/>
                      </w:rPr>
                      <w:t>Preparatory work</w:t>
                    </w:r>
                  </w:p>
                </w:txbxContent>
              </v:textbox>
            </v:shape>
            <v:shape id="Text Box 2" o:spid="_x0000_s1031" type="#_x0000_t202" style="position:absolute;top:4997;width:1838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nEsAA&#10;AADbAAAADwAAAGRycy9kb3ducmV2LnhtbERPzYrCMBC+C/sOYRa8yJrqgkjXKCK4Cp60fYChGdtq&#10;MymdrFaf3hwWPH58/4tV7xp1o05qzwYm4wQUceFtzaWBPNt+zUFJQLbYeCYDDxJYLT8GC0ytv/OR&#10;bqdQqhjCkqKBKoQ21VqKihzK2LfEkTv7zmGIsCu17fAew12jp0ky0w5rjg0VtrSpqLie/pyB0Ub2&#10;h8t2tjtm9WHS5L8yemZizPCzX/+ACtSHt/jfvbcGvuPY+CX+AL1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snEsAAAADbAAAADwAAAAAAAAAAAAAAAACYAgAAZHJzL2Rvd25y&#10;ZXYueG1sUEsFBgAAAAAEAAQA9QAAAIUDAAAAAA==&#10;" fillcolor="#f2f2f2 [3052]" strokecolor="#7f7f7f [1612]">
              <v:textbox inset="1mm,1mm,1mm,1mm">
                <w:txbxContent>
                  <w:p w:rsidR="002E3088" w:rsidRPr="00C70801" w:rsidRDefault="002E3088" w:rsidP="000D07A3">
                    <w:pPr>
                      <w:jc w:val="center"/>
                      <w:rPr>
                        <w:rFonts w:asciiTheme="minorHAnsi" w:hAnsiTheme="minorHAnsi"/>
                      </w:rPr>
                    </w:pPr>
                    <w:r>
                      <w:rPr>
                        <w:rFonts w:asciiTheme="minorHAnsi" w:hAnsiTheme="minorHAnsi"/>
                      </w:rPr>
                      <w:t>Inception meeting</w:t>
                    </w:r>
                  </w:p>
                </w:txbxContent>
              </v:textbox>
            </v:shape>
            <v:shape id="Text Box 2" o:spid="_x0000_s1032" type="#_x0000_t202" style="position:absolute;top:10100;width:18376;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CicQA&#10;AADbAAAADwAAAGRycy9kb3ducmV2LnhtbESPUWvCQBCE3wX/w7FCX6ReVBCbekoRtIJPJv6AJbdN&#10;0ub2QvaqaX+9Jwg+DjPzDbPa9K5RF+qk9mxgOklAERfe1lwaOOe71yUoCcgWG89k4I8ENuvhYIWp&#10;9Vc+0SULpYoQlhQNVCG0qdZSVORQJr4ljt6X7xyGKLtS2w6vEe4aPUuShXZYc1yosKVtRcVP9usM&#10;jLdyOH7vFp+nvD5Om/Nexv+5GPMy6j/eQQXqwzP8aB+sgfkb3L/EH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onEAAAA2wAAAA8AAAAAAAAAAAAAAAAAmAIAAGRycy9k&#10;b3ducmV2LnhtbFBLBQYAAAAABAAEAPUAAACJAwAAAAA=&#10;" fillcolor="#f2f2f2 [3052]" strokecolor="#7f7f7f [1612]">
              <v:textbox inset="1mm,1mm,1mm,1mm">
                <w:txbxContent>
                  <w:p w:rsidR="002E3088" w:rsidRPr="00C70801" w:rsidRDefault="002E3088" w:rsidP="000D07A3">
                    <w:pPr>
                      <w:jc w:val="center"/>
                      <w:rPr>
                        <w:rFonts w:asciiTheme="minorHAnsi" w:hAnsiTheme="minorHAnsi"/>
                      </w:rPr>
                    </w:pPr>
                    <w:r>
                      <w:rPr>
                        <w:rFonts w:asciiTheme="minorHAnsi" w:hAnsiTheme="minorHAnsi"/>
                      </w:rPr>
                      <w:t>Final project plan</w:t>
                    </w:r>
                  </w:p>
                </w:txbxContent>
              </v:textbox>
            </v:shape>
            <v:shape id="Text Box 2" o:spid="_x0000_s1033" type="#_x0000_t202" style="position:absolute;top:15310;width:18376;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YacAA&#10;AADbAAAADwAAAGRycy9kb3ducmV2LnhtbERPzYrCMBC+C/sOYRa8yJoqi0jXKCK4Cp60fYChGdtq&#10;MymdrFaf3hwWPH58/4tV7xp1o05qzwYm4wQUceFtzaWBPNt+zUFJQLbYeCYDDxJYLT8GC0ytv/OR&#10;bqdQqhjCkqKBKoQ21VqKihzK2LfEkTv7zmGIsCu17fAew12jp0ky0w5rjg0VtrSpqLie/pyB0Ub2&#10;h8t2tjtm9WHS5L8yemZizPCzX/+ACtSHt/jfvbcGvuP6+CX+AL1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tYacAAAADbAAAADwAAAAAAAAAAAAAAAACYAgAAZHJzL2Rvd25y&#10;ZXYueG1sUEsFBgAAAAAEAAQA9QAAAIUDAAAAAA==&#10;" fillcolor="#f2f2f2 [3052]" strokecolor="#7f7f7f [1612]">
              <v:textbox inset="1mm,1mm,1mm,1mm">
                <w:txbxContent>
                  <w:p w:rsidR="002E3088" w:rsidRPr="00C70801" w:rsidRDefault="002E3088" w:rsidP="000D07A3">
                    <w:pPr>
                      <w:jc w:val="center"/>
                      <w:rPr>
                        <w:rFonts w:asciiTheme="minorHAnsi" w:hAnsiTheme="minorHAnsi"/>
                      </w:rPr>
                    </w:pPr>
                    <w:r>
                      <w:rPr>
                        <w:rFonts w:asciiTheme="minorHAnsi" w:hAnsiTheme="minorHAnsi"/>
                      </w:rPr>
                      <w:t>Initial Y-code mapping</w:t>
                    </w:r>
                  </w:p>
                </w:txbxContent>
              </v:textbox>
            </v:shape>
            <v:shape id="Text Box 2" o:spid="_x0000_s1034" type="#_x0000_t202" style="position:absolute;top:20520;width:18376;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98sQA&#10;AADbAAAADwAAAGRycy9kb3ducmV2LnhtbESP3WrCQBSE74W+w3KE3kjdpIiU1FVE8Ae80vgAh+xp&#10;Es2eDTlbjT69Wyh4OczMN8xs0btGXamT2rOBdJyAIi68rbk0cMrXH1+gJCBbbDyTgTsJLOZvgxlm&#10;1t/4QNdjKFWEsGRooAqhzbSWoiKHMvYtcfR+fOcwRNmV2nZ4i3DX6M8kmWqHNceFCltaVVRcjr/O&#10;wGglu/15Pd0e8nqfNqeNjB65GPM+7JffoAL14RX+b++sgUkKf1/iD9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fLEAAAA2wAAAA8AAAAAAAAAAAAAAAAAmAIAAGRycy9k&#10;b3ducmV2LnhtbFBLBQYAAAAABAAEAPUAAACJAwAAAAA=&#10;" fillcolor="#f2f2f2 [3052]" strokecolor="#7f7f7f [1612]">
              <v:textbox inset="1mm,1mm,1mm,1mm">
                <w:txbxContent>
                  <w:p w:rsidR="002E3088" w:rsidRPr="00C70801" w:rsidRDefault="002E3088" w:rsidP="000D07A3">
                    <w:pPr>
                      <w:jc w:val="center"/>
                      <w:rPr>
                        <w:rFonts w:asciiTheme="minorHAnsi" w:hAnsiTheme="minorHAnsi"/>
                      </w:rPr>
                    </w:pPr>
                    <w:r>
                      <w:rPr>
                        <w:rFonts w:asciiTheme="minorHAnsi" w:hAnsiTheme="minorHAnsi"/>
                      </w:rPr>
                      <w:t>Initial consultation</w:t>
                    </w:r>
                  </w:p>
                </w:txbxContent>
              </v:textbox>
            </v:shape>
            <v:shape id="Text Box 2" o:spid="_x0000_s1035" type="#_x0000_t202" style="position:absolute;left:318;top:25624;width:18174;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jhcMA&#10;AADbAAAADwAAAGRycy9kb3ducmV2LnhtbESPzYrCQBCE7wu+w9CCF9GJsohERxHBH/Ck8QGaTG+S&#10;NdMT0qNGn35nYWGPRVV9RS3XnavVg1qpPBuYjBNQxLm3FRcGrtluNAclAdli7ZkMvEhgvep9LDG1&#10;/slnelxCoSKEJUUDZQhNqrXkJTmUsW+Io/flW4chyrbQtsVnhLtaT5Nkph1WHBdKbGhbUn673J2B&#10;4VaOp+/d7HDOqtOkvu5l+M7EmEG/2yxABerCf/ivfbQGPqfw+yX+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VjhcMAAADbAAAADwAAAAAAAAAAAAAAAACYAgAAZHJzL2Rv&#10;d25yZXYueG1sUEsFBgAAAAAEAAQA9QAAAIgDAAAAAA==&#10;" fillcolor="#f2f2f2 [3052]" strokecolor="#7f7f7f [1612]">
              <v:textbox inset="1mm,1mm,1mm,1mm">
                <w:txbxContent>
                  <w:p w:rsidR="002E3088" w:rsidRPr="00C70801" w:rsidRDefault="002E3088" w:rsidP="000D07A3">
                    <w:pPr>
                      <w:jc w:val="center"/>
                      <w:rPr>
                        <w:rFonts w:asciiTheme="minorHAnsi" w:hAnsiTheme="minorHAnsi"/>
                      </w:rPr>
                    </w:pPr>
                    <w:r>
                      <w:rPr>
                        <w:rFonts w:asciiTheme="minorHAnsi" w:hAnsiTheme="minorHAnsi"/>
                      </w:rPr>
                      <w:t>Y-code map test</w:t>
                    </w:r>
                  </w:p>
                </w:txbxContent>
              </v:textbox>
            </v:shape>
            <v:shape id="Text Box 2" o:spid="_x0000_s1036" type="#_x0000_t202" style="position:absolute;left:106;top:30728;width:1838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HsQA&#10;AADbAAAADwAAAGRycy9kb3ducmV2LnhtbESP3WrCQBSE7wu+w3IK3ohutEUkdRUR/AGvND7AIXtM&#10;0mbPhpxVY5++WxC8HGbmG2a+7FytbtRK5dnAeJSAIs69rbgwcM42wxkoCcgWa89k4EECy0XvbY6p&#10;9Xc+0u0UChUhLCkaKENoUq0lL8mhjHxDHL2Lbx2GKNtC2xbvEe5qPUmSqXZYcVwosaF1SfnP6eoM&#10;DNayP3xvprtjVh3G9Xkrg99MjOm/d6svUIG68Ao/23tr4PMD/r/E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xh7EAAAA2wAAAA8AAAAAAAAAAAAAAAAAmAIAAGRycy9k&#10;b3ducmV2LnhtbFBLBQYAAAAABAAEAPUAAACJAwAAAAA=&#10;" fillcolor="#f2f2f2 [3052]" strokecolor="#7f7f7f [1612]">
              <v:textbox inset="1mm,1mm,1mm,1mm">
                <w:txbxContent>
                  <w:p w:rsidR="002E3088" w:rsidRPr="00C70801" w:rsidRDefault="002E3088" w:rsidP="000D07A3">
                    <w:pPr>
                      <w:jc w:val="center"/>
                      <w:rPr>
                        <w:rFonts w:asciiTheme="minorHAnsi" w:hAnsiTheme="minorHAnsi"/>
                      </w:rPr>
                    </w:pPr>
                    <w:r>
                      <w:rPr>
                        <w:rFonts w:asciiTheme="minorHAnsi" w:hAnsiTheme="minorHAnsi"/>
                      </w:rPr>
                      <w:t>Confirm Y-code map with DoE</w:t>
                    </w:r>
                  </w:p>
                </w:txbxContent>
              </v:textbox>
            </v:shape>
            <v:shape id="Text Box 2" o:spid="_x0000_s1037" type="#_x0000_t202" style="position:absolute;left:106;top:35831;width:1838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easMA&#10;AADbAAAADwAAAGRycy9kb3ducmV2LnhtbESPwYrCQBBE74L/MLTgRdaJIiJZRxHBVfCk8QOaTG+S&#10;NdMT0rMa9+t3BMFjUVWvqOW6c7W6USuVZwOTcQKKOPe24sLAJdt9LEBJQLZYeyYDDxJYr/q9JabW&#10;3/lEt3MoVISwpGigDKFJtZa8JIcy9g1x9L596zBE2RbatniPcFfraZLMtcOK40KJDW1Lyq/nX2dg&#10;tJXD8Wc335+y6jipL18y+svEmOGg23yCCtSFd/jVPlgDsxk8v8Qf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BeasMAAADbAAAADwAAAAAAAAAAAAAAAACYAgAAZHJzL2Rv&#10;d25yZXYueG1sUEsFBgAAAAAEAAQA9QAAAIgDAAAAAA==&#10;" fillcolor="#f2f2f2 [3052]" strokecolor="#7f7f7f [1612]">
              <v:textbox inset="1mm,1mm,1mm,1mm">
                <w:txbxContent>
                  <w:p w:rsidR="002E3088" w:rsidRPr="00C70801" w:rsidRDefault="002E3088" w:rsidP="000D07A3">
                    <w:pPr>
                      <w:jc w:val="center"/>
                      <w:rPr>
                        <w:rFonts w:asciiTheme="minorHAnsi" w:hAnsiTheme="minorHAnsi"/>
                      </w:rPr>
                    </w:pPr>
                    <w:r>
                      <w:rPr>
                        <w:rFonts w:asciiTheme="minorHAnsi" w:hAnsiTheme="minorHAnsi"/>
                      </w:rPr>
                      <w:t>Data collection</w:t>
                    </w:r>
                  </w:p>
                </w:txbxContent>
              </v:textbox>
            </v:shape>
            <v:shape id="Text Box 2" o:spid="_x0000_s1038" type="#_x0000_t202" style="position:absolute;left:212;top:41041;width:1839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78cQA&#10;AADbAAAADwAAAGRycy9kb3ducmV2LnhtbESP3WrCQBSE7wu+w3IK3ohulFYkdRUR/AGvND7AIXtM&#10;0mbPhpxVY5++WxC8HGbmG2a+7FytbtRK5dnAeJSAIs69rbgwcM42wxkoCcgWa89k4EECy0XvbY6p&#10;9Xc+0u0UChUhLCkaKENoUq0lL8mhjHxDHL2Lbx2GKNtC2xbvEe5qPUmSqXZYcVwosaF1SfnP6eoM&#10;DNayP3xvprtjVh3G9Xkrg99MjOm/d6svUIG68Ao/23tr4OMT/r/E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HEAAAA2wAAAA8AAAAAAAAAAAAAAAAAmAIAAGRycy9k&#10;b3ducmV2LnhtbFBLBQYAAAAABAAEAPUAAACJAwAAAAA=&#10;" fillcolor="#f2f2f2 [3052]" strokecolor="#7f7f7f [1612]">
              <v:textbox inset="1mm,1mm,1mm,1mm">
                <w:txbxContent>
                  <w:p w:rsidR="002E3088" w:rsidRPr="00C70801" w:rsidRDefault="002E3088" w:rsidP="000D07A3">
                    <w:pPr>
                      <w:jc w:val="center"/>
                      <w:rPr>
                        <w:rFonts w:asciiTheme="minorHAnsi" w:hAnsiTheme="minorHAnsi"/>
                      </w:rPr>
                    </w:pPr>
                    <w:r>
                      <w:rPr>
                        <w:rFonts w:asciiTheme="minorHAnsi" w:hAnsiTheme="minorHAnsi"/>
                      </w:rPr>
                      <w:t>Data collation &amp; submission</w:t>
                    </w:r>
                  </w:p>
                </w:txbxContent>
              </v:textbox>
            </v:shape>
            <v:shape id="Text Box 2" o:spid="_x0000_s1039" type="#_x0000_t202" style="position:absolute;left:23604;top:15310;width:11802;height:1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lhsMA&#10;AADbAAAADwAAAGRycy9kb3ducmV2LnhtbESPUWvCQBCE34X+h2OFvoheLBIk9RQRbAWfNP6AJbdN&#10;orm9kL1q9Nd7hYKPw8x8wyxWvWvUlTqpPRuYThJQxIW3NZcGTvl2PAclAdli45kM3ElgtXwbLDCz&#10;/sYHuh5DqSKEJUMDVQhtprUUFTmUiW+Jo/fjO4chyq7UtsNbhLtGfyRJqh3WHBcqbGlTUXE5/joD&#10;o43s9udt+n3I6/20OX3J6JGLMe/Dfv0JKlAfXuH/9s4amKXw9yX+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5lhsMAAADbAAAADwAAAAAAAAAAAAAAAACYAgAAZHJzL2Rv&#10;d25yZXYueG1sUEsFBgAAAAAEAAQA9QAAAIgDAAAAAA==&#10;" fillcolor="#f2f2f2 [3052]" strokecolor="#7f7f7f [1612]">
              <v:textbox inset="1mm,1mm,1mm,1mm">
                <w:txbxContent>
                  <w:p w:rsidR="002E3088" w:rsidRPr="00637327" w:rsidRDefault="002E3088" w:rsidP="000D07A3">
                    <w:pPr>
                      <w:jc w:val="center"/>
                      <w:rPr>
                        <w:rFonts w:asciiTheme="minorHAnsi" w:hAnsiTheme="minorHAnsi"/>
                      </w:rPr>
                    </w:pPr>
                    <w:r>
                      <w:rPr>
                        <w:rFonts w:asciiTheme="minorHAnsi" w:hAnsiTheme="minorHAnsi"/>
                      </w:rPr>
                      <w:t>Draft data template and guidance (Y-code mapping, other data, descriptive)</w:t>
                    </w:r>
                    <w:r w:rsidRPr="00637327">
                      <w:rPr>
                        <w:rFonts w:asciiTheme="minorHAnsi" w:hAnsiTheme="minorHAnsi"/>
                      </w:rPr>
                      <w:t xml:space="preserve"> </w:t>
                    </w:r>
                  </w:p>
                </w:txbxContent>
              </v:textbox>
            </v:shape>
            <v:shape id="Text Box 2" o:spid="_x0000_s1040" type="#_x0000_t202" style="position:absolute;left:212;top:51674;width:18390;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AHcQA&#10;AADbAAAADwAAAGRycy9kb3ducmV2LnhtbESPUWvCQBCE3wX/w7FCX6ReFNGSekoRtIJPJv6AJbdN&#10;0ub2QvaqaX+9Jwg+DjPzDbPa9K5RF+qk9mxgOklAERfe1lwaOOe71zdQEpAtNp7JwB8JbNbDwQpT&#10;6698oksWShUhLCkaqEJoU62lqMihTHxLHL0v3zkMUXalth1eI9w1epYkC+2w5rhQYUvbioqf7NcZ&#10;GG/lcPzeLT5PeX2cNue9jP9zMeZl1H+8gwrUh2f40T5YA/Ml3L/EH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wB3EAAAA2wAAAA8AAAAAAAAAAAAAAAAAmAIAAGRycy9k&#10;b3ducmV2LnhtbFBLBQYAAAAABAAEAPUAAACJAwAAAAA=&#10;" fillcolor="#f2f2f2 [3052]" strokecolor="#7f7f7f [1612]">
              <v:textbox inset="1mm,1mm,1mm,1mm">
                <w:txbxContent>
                  <w:p w:rsidR="002E3088" w:rsidRPr="00C70801" w:rsidRDefault="002E3088" w:rsidP="000D07A3">
                    <w:pPr>
                      <w:jc w:val="center"/>
                      <w:rPr>
                        <w:rFonts w:asciiTheme="minorHAnsi" w:hAnsiTheme="minorHAnsi"/>
                      </w:rPr>
                    </w:pPr>
                    <w:r>
                      <w:rPr>
                        <w:rFonts w:asciiTheme="minorHAnsi" w:hAnsiTheme="minorHAnsi"/>
                      </w:rPr>
                      <w:t>Project report</w:t>
                    </w:r>
                  </w:p>
                </w:txbxContent>
              </v:textbox>
            </v:shape>
            <v:shape id="Text Box 2" o:spid="_x0000_s1041" type="#_x0000_t202" style="position:absolute;left:212;top:46357;width:1839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1WMMA&#10;AADbAAAADwAAAGRycy9kb3ducmV2LnhtbESPzYrCQBCE7wu+w9CCF9GJwopERxHBH/Ck8QGaTG+S&#10;NdMT0qNGn35nYWGPRVV9RS3XnavVg1qpPBuYjBNQxLm3FRcGrtluNAclAdli7ZkMvEhgvep9LDG1&#10;/slnelxCoSKEJUUDZQhNqrXkJTmUsW+Io/flW4chyrbQtsVnhLtaT5Nkph1WHBdKbGhbUn673J2B&#10;4VaOp+/d7HDOqtOkvu5l+M7EmEG/2yxABerCf/ivfbQGPqfw+yX+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z1WMMAAADbAAAADwAAAAAAAAAAAAAAAACYAgAAZHJzL2Rv&#10;d25yZXYueG1sUEsFBgAAAAAEAAQA9QAAAIgDAAAAAA==&#10;" fillcolor="#f2f2f2 [3052]" strokecolor="#7f7f7f [1612]">
              <v:textbox inset="1mm,1mm,1mm,1mm">
                <w:txbxContent>
                  <w:p w:rsidR="002E3088" w:rsidRPr="00C70801" w:rsidRDefault="002E3088" w:rsidP="000D07A3">
                    <w:pPr>
                      <w:jc w:val="center"/>
                      <w:rPr>
                        <w:rFonts w:asciiTheme="minorHAnsi" w:hAnsiTheme="minorHAnsi"/>
                      </w:rPr>
                    </w:pPr>
                    <w:r>
                      <w:rPr>
                        <w:rFonts w:asciiTheme="minorHAnsi" w:hAnsiTheme="minorHAnsi"/>
                      </w:rPr>
                      <w:t>Finalise guidance</w:t>
                    </w:r>
                  </w:p>
                </w:txbxContent>
              </v:textbox>
            </v:shape>
            <w10:wrap type="square"/>
          </v:group>
        </w:pict>
      </w:r>
    </w:p>
    <w:p w:rsidR="000D07A3" w:rsidRPr="009B40BB" w:rsidRDefault="000D07A3" w:rsidP="00266FFB">
      <w:pPr>
        <w:pStyle w:val="BodyText"/>
      </w:pPr>
    </w:p>
    <w:p w:rsidR="00FA6E37" w:rsidRPr="009B40BB" w:rsidRDefault="00FA6E37"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0D07A3" w:rsidRPr="009B40BB" w:rsidRDefault="000D07A3" w:rsidP="00FA6E37">
      <w:pPr>
        <w:pStyle w:val="BodyText"/>
      </w:pPr>
    </w:p>
    <w:p w:rsidR="00FA6E37" w:rsidRPr="009B40BB" w:rsidRDefault="00FA6E37" w:rsidP="00FA6E37">
      <w:pPr>
        <w:pStyle w:val="Heading2"/>
      </w:pPr>
      <w:bookmarkStart w:id="19" w:name="_Toc390770727"/>
      <w:r w:rsidRPr="009B40BB">
        <w:lastRenderedPageBreak/>
        <w:t>Project deliverables</w:t>
      </w:r>
      <w:bookmarkEnd w:id="19"/>
    </w:p>
    <w:p w:rsidR="00B81FCF" w:rsidRPr="009B40BB" w:rsidRDefault="00B81FCF" w:rsidP="00B81FCF">
      <w:pPr>
        <w:pStyle w:val="BodyText"/>
      </w:pPr>
      <w:r w:rsidRPr="009B40BB">
        <w:t>The deliverables for the project include</w:t>
      </w:r>
      <w:r w:rsidR="0024463A" w:rsidRPr="009B40BB">
        <w:t>d</w:t>
      </w:r>
      <w:r w:rsidRPr="009B40BB">
        <w:t xml:space="preserve"> the following</w:t>
      </w:r>
      <w:r w:rsidR="00E213E3" w:rsidRPr="009B40BB">
        <w:t>:</w:t>
      </w:r>
    </w:p>
    <w:p w:rsidR="00E213E3" w:rsidRPr="009B40BB" w:rsidRDefault="00B81FCF" w:rsidP="00E213E3">
      <w:pPr>
        <w:pStyle w:val="Bullet1"/>
      </w:pPr>
      <w:r w:rsidRPr="009B40BB">
        <w:t>an account of the project</w:t>
      </w:r>
      <w:r w:rsidR="00E213E3" w:rsidRPr="009B40BB">
        <w:t xml:space="preserve"> (included in the main body of this report)</w:t>
      </w:r>
    </w:p>
    <w:p w:rsidR="00E213E3" w:rsidRPr="009B40BB" w:rsidRDefault="00B81FCF" w:rsidP="00B81FCF">
      <w:pPr>
        <w:pStyle w:val="Bullet1"/>
      </w:pPr>
      <w:r w:rsidRPr="009B40BB">
        <w:t xml:space="preserve">an account of the lessons learned </w:t>
      </w:r>
      <w:r w:rsidR="00E213E3" w:rsidRPr="009B40BB">
        <w:t>(included in the main body of this report)</w:t>
      </w:r>
    </w:p>
    <w:p w:rsidR="00B81FCF" w:rsidRPr="009B40BB" w:rsidRDefault="00E213E3" w:rsidP="00E213E3">
      <w:pPr>
        <w:pStyle w:val="Bullet1"/>
      </w:pPr>
      <w:r w:rsidRPr="009B40BB">
        <w:t xml:space="preserve">detailed </w:t>
      </w:r>
      <w:r w:rsidR="00B81FCF" w:rsidRPr="009B40BB">
        <w:t xml:space="preserve">guidance </w:t>
      </w:r>
      <w:r w:rsidRPr="009B40BB">
        <w:t xml:space="preserve">for the states and territories on the reporting of hazardous waste under the Basel Convention (refer to </w:t>
      </w:r>
      <w:r w:rsidR="00A06695">
        <w:t>Appendix</w:t>
      </w:r>
      <w:r w:rsidRPr="009B40BB">
        <w:t xml:space="preserve"> A)</w:t>
      </w:r>
    </w:p>
    <w:p w:rsidR="004162EF" w:rsidRPr="009B40BB" w:rsidRDefault="004162EF" w:rsidP="004162EF">
      <w:pPr>
        <w:pStyle w:val="Bullet1"/>
      </w:pPr>
      <w:r w:rsidRPr="009B40BB">
        <w:t>reporting and translation templates</w:t>
      </w:r>
      <w:r w:rsidR="005A7997" w:rsidRPr="009B40BB">
        <w:t xml:space="preserve"> for</w:t>
      </w:r>
      <w:r w:rsidRPr="009B40BB">
        <w:t xml:space="preserve"> compil</w:t>
      </w:r>
      <w:r w:rsidR="005A7997" w:rsidRPr="009B40BB">
        <w:t>ing</w:t>
      </w:r>
      <w:r w:rsidRPr="009B40BB">
        <w:t xml:space="preserve"> the Basel data (refer to </w:t>
      </w:r>
      <w:r w:rsidR="00A06695">
        <w:t>Appendix</w:t>
      </w:r>
      <w:r w:rsidRPr="009B40BB">
        <w:t xml:space="preserve"> B)</w:t>
      </w:r>
    </w:p>
    <w:p w:rsidR="004162EF" w:rsidRPr="009B40BB" w:rsidRDefault="004162EF" w:rsidP="004162EF">
      <w:pPr>
        <w:pStyle w:val="Bullet1"/>
      </w:pPr>
      <w:r w:rsidRPr="009B40BB">
        <w:t>the Nat</w:t>
      </w:r>
      <w:r w:rsidR="00AD70D4">
        <w:t>ional hazardous waste data 2011-</w:t>
      </w:r>
      <w:r w:rsidRPr="009B40BB">
        <w:t xml:space="preserve">12 and 2012 – by NEPM code (refer to </w:t>
      </w:r>
      <w:r w:rsidR="00A06695">
        <w:t>Appendix</w:t>
      </w:r>
      <w:r w:rsidRPr="009B40BB">
        <w:t xml:space="preserve"> C)</w:t>
      </w:r>
    </w:p>
    <w:p w:rsidR="00DC1A06" w:rsidRPr="009B40BB" w:rsidRDefault="00DC1A06" w:rsidP="00DC1A06">
      <w:pPr>
        <w:pStyle w:val="Bullet1"/>
      </w:pPr>
      <w:r w:rsidRPr="009B40BB">
        <w:t xml:space="preserve">the National hazardous waste data 2012 – by Basel Y code (refer to </w:t>
      </w:r>
      <w:r w:rsidR="00A06695">
        <w:t>Appendix</w:t>
      </w:r>
      <w:r w:rsidRPr="009B40BB">
        <w:t xml:space="preserve"> D)</w:t>
      </w:r>
    </w:p>
    <w:p w:rsidR="00E213E3" w:rsidRPr="009B40BB" w:rsidRDefault="004C6DC2" w:rsidP="00E213E3">
      <w:pPr>
        <w:pStyle w:val="Bullet1"/>
      </w:pPr>
      <w:r w:rsidRPr="009B40BB">
        <w:t xml:space="preserve">National hazardous waste data 2012 – Analysis &amp; Key Issues </w:t>
      </w:r>
      <w:r w:rsidR="00DC1A06" w:rsidRPr="009B40BB">
        <w:t xml:space="preserve">(refer to </w:t>
      </w:r>
      <w:r w:rsidR="00A06695">
        <w:t>Appendix</w:t>
      </w:r>
      <w:r w:rsidR="00DC1A06" w:rsidRPr="009B40BB">
        <w:t xml:space="preserve"> </w:t>
      </w:r>
      <w:r w:rsidR="00DF2447" w:rsidRPr="009B40BB">
        <w:t>E</w:t>
      </w:r>
      <w:r w:rsidR="00DC1A06" w:rsidRPr="009B40BB">
        <w:t>)</w:t>
      </w:r>
    </w:p>
    <w:p w:rsidR="00DF2447" w:rsidRPr="009B40BB" w:rsidRDefault="00DF2447" w:rsidP="00DF2447">
      <w:pPr>
        <w:pStyle w:val="Bullet1"/>
      </w:pPr>
      <w:proofErr w:type="gramStart"/>
      <w:r w:rsidRPr="009B40BB">
        <w:t>an</w:t>
      </w:r>
      <w:proofErr w:type="gramEnd"/>
      <w:r w:rsidRPr="009B40BB">
        <w:t xml:space="preserve"> update of the key aspects of the </w:t>
      </w:r>
      <w:r w:rsidRPr="009B40BB">
        <w:rPr>
          <w:i/>
        </w:rPr>
        <w:t>Hazardous Waste Data Summary Report</w:t>
      </w:r>
      <w:r w:rsidRPr="009B40BB">
        <w:rPr>
          <w:rStyle w:val="FootnoteReference"/>
          <w:i/>
        </w:rPr>
        <w:footnoteReference w:id="1"/>
      </w:r>
      <w:r w:rsidR="00AD70D4">
        <w:t xml:space="preserve"> (2010-</w:t>
      </w:r>
      <w:r w:rsidR="005A7997" w:rsidRPr="009B40BB">
        <w:t xml:space="preserve">11 data) (refer to </w:t>
      </w:r>
      <w:r w:rsidR="00A06695">
        <w:t>Appendix</w:t>
      </w:r>
      <w:r w:rsidRPr="009B40BB">
        <w:t xml:space="preserve"> F</w:t>
      </w:r>
      <w:r w:rsidR="007E279D">
        <w:t>)</w:t>
      </w:r>
      <w:r w:rsidR="007324E8" w:rsidRPr="009B40BB">
        <w:t>.</w:t>
      </w:r>
    </w:p>
    <w:p w:rsidR="00DF2447" w:rsidRPr="009B40BB" w:rsidRDefault="00DF2447" w:rsidP="00DF2447">
      <w:pPr>
        <w:pStyle w:val="Bullet1"/>
        <w:numPr>
          <w:ilvl w:val="0"/>
          <w:numId w:val="0"/>
        </w:numPr>
      </w:pPr>
    </w:p>
    <w:p w:rsidR="00E213E3" w:rsidRPr="009B40BB" w:rsidRDefault="00E213E3" w:rsidP="00B81FCF">
      <w:pPr>
        <w:pStyle w:val="BodyText"/>
      </w:pPr>
    </w:p>
    <w:p w:rsidR="003B680C" w:rsidRPr="009B40BB" w:rsidRDefault="003B680C">
      <w:pPr>
        <w:spacing w:line="240" w:lineRule="auto"/>
        <w:rPr>
          <w:color w:val="080808"/>
          <w:sz w:val="22"/>
        </w:rPr>
      </w:pPr>
      <w:r w:rsidRPr="009B40BB">
        <w:br w:type="page"/>
      </w:r>
    </w:p>
    <w:p w:rsidR="00DF2447" w:rsidRPr="009B40BB" w:rsidRDefault="00DF2447" w:rsidP="00FA6E37">
      <w:pPr>
        <w:pStyle w:val="Heading1"/>
      </w:pPr>
      <w:bookmarkStart w:id="20" w:name="_Toc390770728"/>
      <w:r w:rsidRPr="009B40BB">
        <w:lastRenderedPageBreak/>
        <w:t>Improving the Basel reporting process</w:t>
      </w:r>
      <w:bookmarkEnd w:id="20"/>
    </w:p>
    <w:p w:rsidR="003B680C" w:rsidRPr="009B40BB" w:rsidRDefault="00FA6E37" w:rsidP="00DF2447">
      <w:pPr>
        <w:pStyle w:val="Heading2"/>
      </w:pPr>
      <w:bookmarkStart w:id="21" w:name="_Toc390770729"/>
      <w:r w:rsidRPr="009B40BB">
        <w:t>Translation of jurisdictional codes to Basel Y-codes</w:t>
      </w:r>
      <w:bookmarkEnd w:id="21"/>
    </w:p>
    <w:p w:rsidR="001A5FF4" w:rsidRPr="009B40BB" w:rsidRDefault="001A5FF4" w:rsidP="001A5FF4">
      <w:pPr>
        <w:pStyle w:val="BodyText"/>
        <w:spacing w:after="240"/>
      </w:pPr>
      <w:r w:rsidRPr="009B40BB">
        <w:t>There are fundamental differences in the way jurisdictions manage hazardous wastes.</w:t>
      </w:r>
      <w:r w:rsidR="008A4C52" w:rsidRPr="009B40BB">
        <w:t xml:space="preserve"> </w:t>
      </w:r>
      <w:r w:rsidRPr="009B40BB">
        <w:t>Inconsistencies in waste classification, regulation, data collection, waste tracking systems, management priorities and the resourcing of hazardous waste management have a marked effect on data quality.</w:t>
      </w:r>
    </w:p>
    <w:p w:rsidR="001A5FF4" w:rsidRPr="009B40BB" w:rsidRDefault="001A5FF4" w:rsidP="001A5FF4">
      <w:pPr>
        <w:pStyle w:val="BodyText"/>
        <w:spacing w:after="240"/>
      </w:pPr>
      <w:r w:rsidRPr="009B40BB">
        <w:t>Jurisdictions do not collect hazardous waste data for the sake of annual collation and analysis.</w:t>
      </w:r>
      <w:r w:rsidR="008A4C52" w:rsidRPr="009B40BB">
        <w:t xml:space="preserve"> </w:t>
      </w:r>
      <w:r w:rsidR="00A374C7" w:rsidRPr="009B40BB">
        <w:t>T</w:t>
      </w:r>
      <w:r w:rsidRPr="009B40BB">
        <w:t>hey</w:t>
      </w:r>
      <w:r w:rsidR="00A374C7" w:rsidRPr="009B40BB">
        <w:t xml:space="preserve"> do so to</w:t>
      </w:r>
      <w:r w:rsidRPr="009B40BB">
        <w:t xml:space="preserve"> manag</w:t>
      </w:r>
      <w:r w:rsidR="00A374C7" w:rsidRPr="009B40BB">
        <w:t>e</w:t>
      </w:r>
      <w:r w:rsidRPr="009B40BB">
        <w:t xml:space="preserve"> the risks to human health and the environment posed by hazardous waste, primarily through ‘cradle to grave’ tracking of road transport movement on a consignment by consignment basis, from point of generation to treatment destination.</w:t>
      </w:r>
      <w:r w:rsidR="008A4C52" w:rsidRPr="009B40BB">
        <w:t xml:space="preserve"> </w:t>
      </w:r>
      <w:r w:rsidRPr="009B40BB">
        <w:t>As a consequence of this focus, a jurisdiction’s purpose for the data supplied by the waste consignment has essentially been met once the transaction has been successfully and verifiably completed.</w:t>
      </w:r>
      <w:r w:rsidR="008A4C52" w:rsidRPr="009B40BB">
        <w:t xml:space="preserve"> </w:t>
      </w:r>
      <w:r w:rsidRPr="009B40BB">
        <w:t xml:space="preserve">There is a different perspective </w:t>
      </w:r>
      <w:r w:rsidR="00506510">
        <w:t>to</w:t>
      </w:r>
      <w:r w:rsidRPr="009B40BB">
        <w:t xml:space="preserve"> those managing the tracking of waste movements and those looking for strategic messages and information from analysis of the sum of this data.</w:t>
      </w:r>
    </w:p>
    <w:p w:rsidR="001A5FF4" w:rsidRPr="009B40BB" w:rsidRDefault="001A5FF4" w:rsidP="001A5FF4">
      <w:pPr>
        <w:pStyle w:val="BodyText"/>
        <w:spacing w:after="240"/>
      </w:pPr>
      <w:r w:rsidRPr="009B40BB">
        <w:t>Although the general approach to classification and management across jurisdictions is consistent, differences</w:t>
      </w:r>
      <w:r w:rsidR="00A374C7" w:rsidRPr="009B40BB">
        <w:t xml:space="preserve"> have evolved over </w:t>
      </w:r>
      <w:proofErr w:type="gramStart"/>
      <w:r w:rsidR="00A374C7" w:rsidRPr="009B40BB">
        <w:t>time that</w:t>
      </w:r>
      <w:r w:rsidRPr="009B40BB">
        <w:t xml:space="preserve"> make</w:t>
      </w:r>
      <w:proofErr w:type="gramEnd"/>
      <w:r w:rsidRPr="009B40BB">
        <w:t xml:space="preserve"> data collection, collation and comparison difficult.</w:t>
      </w:r>
      <w:r w:rsidR="008A4C52" w:rsidRPr="009B40BB">
        <w:t xml:space="preserve"> </w:t>
      </w:r>
      <w:r w:rsidRPr="009B40BB">
        <w:t>These inconsistencies, if left unresolved, can lead to large gaps in data which could, on the surface at least, lead to misleading conclusions about comparative waste management across Australia.</w:t>
      </w:r>
    </w:p>
    <w:p w:rsidR="001A5FF4" w:rsidRPr="009B40BB" w:rsidRDefault="001A5FF4" w:rsidP="001A5FF4">
      <w:pPr>
        <w:pStyle w:val="BodyText"/>
        <w:spacing w:after="240"/>
      </w:pPr>
      <w:r w:rsidRPr="009B40BB">
        <w:t xml:space="preserve">For the most part the states and territories use waste categorisation codes and descriptions similar to those adopted by the </w:t>
      </w:r>
      <w:r w:rsidRPr="009B40BB">
        <w:rPr>
          <w:rFonts w:cs="Arial"/>
          <w:i/>
          <w:szCs w:val="20"/>
        </w:rPr>
        <w:t xml:space="preserve">National Environment Protection (Movement of Controlled Waste between </w:t>
      </w:r>
      <w:r w:rsidR="00B821D2" w:rsidRPr="009B40BB">
        <w:rPr>
          <w:rFonts w:cs="Arial"/>
          <w:i/>
          <w:szCs w:val="20"/>
        </w:rPr>
        <w:t>state</w:t>
      </w:r>
      <w:r w:rsidRPr="009B40BB">
        <w:rPr>
          <w:rFonts w:cs="Arial"/>
          <w:i/>
          <w:szCs w:val="20"/>
        </w:rPr>
        <w:t xml:space="preserve">s and </w:t>
      </w:r>
      <w:r w:rsidR="00B821D2" w:rsidRPr="009B40BB">
        <w:rPr>
          <w:rFonts w:cs="Arial"/>
          <w:i/>
          <w:szCs w:val="20"/>
        </w:rPr>
        <w:t>territor</w:t>
      </w:r>
      <w:r w:rsidRPr="009B40BB">
        <w:rPr>
          <w:rFonts w:cs="Arial"/>
          <w:i/>
          <w:szCs w:val="20"/>
        </w:rPr>
        <w:t>ies) Measure</w:t>
      </w:r>
      <w:r w:rsidRPr="009B40BB">
        <w:t xml:space="preserve"> (Controlled Waste NEPM). There are, however, many instances where the waste descriptions vary from NEPM descriptions, and this can make it difficult to match corresponding waste types across jurisdictions </w:t>
      </w:r>
      <w:r w:rsidR="00A374C7" w:rsidRPr="009B40BB">
        <w:t>and to</w:t>
      </w:r>
      <w:r w:rsidRPr="009B40BB">
        <w:t xml:space="preserve"> aggregat</w:t>
      </w:r>
      <w:r w:rsidR="00A374C7" w:rsidRPr="009B40BB">
        <w:t>e</w:t>
      </w:r>
      <w:r w:rsidRPr="009B40BB">
        <w:t xml:space="preserve"> data for Basel reporting.</w:t>
      </w:r>
    </w:p>
    <w:p w:rsidR="001A5FF4" w:rsidRPr="009B40BB" w:rsidRDefault="001A5FF4" w:rsidP="001A5FF4">
      <w:pPr>
        <w:pStyle w:val="BodyText"/>
      </w:pPr>
      <w:r w:rsidRPr="009B40BB">
        <w:t>The first step in improving Australia’s hazardous waste data and reporting is to address these different jurisdictional approaches and systems of classification and coding of hazardous wastes types.</w:t>
      </w:r>
      <w:r w:rsidR="008A4C52" w:rsidRPr="009B40BB">
        <w:t xml:space="preserve"> </w:t>
      </w:r>
      <w:r w:rsidR="00DB1E22" w:rsidRPr="009B40BB">
        <w:t>The project team</w:t>
      </w:r>
      <w:r w:rsidRPr="009B40BB">
        <w:t xml:space="preserve"> tackled this by mapping Basel Y-code waste categories back to original jurisdiction-based waste codes, typically used in waste tracking and management systems employed at the jurisdictional level.</w:t>
      </w:r>
    </w:p>
    <w:p w:rsidR="001A5FF4" w:rsidRPr="009B40BB" w:rsidRDefault="001A5FF4" w:rsidP="001A5FF4">
      <w:pPr>
        <w:pStyle w:val="BodyText"/>
      </w:pPr>
    </w:p>
    <w:p w:rsidR="001A5FF4" w:rsidRPr="009B40BB" w:rsidRDefault="001A5FF4" w:rsidP="001A5FF4">
      <w:pPr>
        <w:spacing w:after="120"/>
        <w:rPr>
          <w:rFonts w:asciiTheme="minorHAnsi" w:hAnsiTheme="minorHAnsi"/>
          <w:sz w:val="22"/>
        </w:rPr>
      </w:pPr>
      <w:r w:rsidRPr="009B40BB">
        <w:rPr>
          <w:rFonts w:asciiTheme="minorHAnsi" w:hAnsiTheme="minorHAnsi"/>
          <w:sz w:val="22"/>
        </w:rPr>
        <w:t>The Y-code mapping involve</w:t>
      </w:r>
      <w:r w:rsidR="00DB1E22" w:rsidRPr="009B40BB">
        <w:rPr>
          <w:rFonts w:asciiTheme="minorHAnsi" w:hAnsiTheme="minorHAnsi"/>
          <w:sz w:val="22"/>
        </w:rPr>
        <w:t>d</w:t>
      </w:r>
      <w:r w:rsidRPr="009B40BB">
        <w:rPr>
          <w:rFonts w:asciiTheme="minorHAnsi" w:hAnsiTheme="minorHAnsi"/>
          <w:sz w:val="22"/>
        </w:rPr>
        <w:t xml:space="preserve"> a 2-step translation protocol:</w:t>
      </w:r>
    </w:p>
    <w:p w:rsidR="001A5FF4" w:rsidRPr="009B40BB" w:rsidRDefault="00DB1E22" w:rsidP="00A768C4">
      <w:pPr>
        <w:pStyle w:val="ListNumber"/>
        <w:numPr>
          <w:ilvl w:val="0"/>
          <w:numId w:val="15"/>
        </w:numPr>
      </w:pPr>
      <w:r w:rsidRPr="009B40BB">
        <w:t xml:space="preserve">A jurisdiction-specific mapping of </w:t>
      </w:r>
      <w:r w:rsidR="001A5FF4" w:rsidRPr="009B40BB">
        <w:t>each waste category</w:t>
      </w:r>
      <w:r w:rsidRPr="009B40BB">
        <w:t xml:space="preserve"> or</w:t>
      </w:r>
      <w:r w:rsidR="001A5FF4" w:rsidRPr="009B40BB">
        <w:t xml:space="preserve"> code to the Controlled Waste NEPM 75 category list (Schedule A, List 1</w:t>
      </w:r>
      <w:r w:rsidRPr="009B40BB">
        <w:t xml:space="preserve"> of the NEPM).</w:t>
      </w:r>
    </w:p>
    <w:p w:rsidR="001A5FF4" w:rsidRPr="009B40BB" w:rsidRDefault="001A5FF4" w:rsidP="00A768C4">
      <w:pPr>
        <w:pStyle w:val="ListNumber"/>
        <w:numPr>
          <w:ilvl w:val="0"/>
          <w:numId w:val="15"/>
        </w:numPr>
      </w:pPr>
      <w:r w:rsidRPr="009B40BB">
        <w:t>Common for all jurisdictions, map</w:t>
      </w:r>
      <w:r w:rsidR="00DB1E22" w:rsidRPr="009B40BB">
        <w:t>ping</w:t>
      </w:r>
      <w:r w:rsidRPr="009B40BB">
        <w:t xml:space="preserve"> each of the NEPM 75 codes into the most appropriate of the 47 Basel Y-codes.</w:t>
      </w:r>
      <w:r w:rsidR="008A4C52" w:rsidRPr="009B40BB">
        <w:t xml:space="preserve"> </w:t>
      </w:r>
      <w:r w:rsidRPr="009B40BB">
        <w:t>In cases where no clear Y-code accommodate</w:t>
      </w:r>
      <w:r w:rsidR="00DB1E22" w:rsidRPr="009B40BB">
        <w:t>d</w:t>
      </w:r>
      <w:r w:rsidRPr="009B40BB">
        <w:t xml:space="preserve"> a NEPM code translation,</w:t>
      </w:r>
      <w:r w:rsidR="00DB1E22" w:rsidRPr="009B40BB">
        <w:t xml:space="preserve"> one of</w:t>
      </w:r>
      <w:r w:rsidRPr="009B40BB">
        <w:t xml:space="preserve"> the following alternatives </w:t>
      </w:r>
      <w:r w:rsidR="00DB1E22" w:rsidRPr="009B40BB">
        <w:t>were</w:t>
      </w:r>
      <w:r w:rsidRPr="009B40BB">
        <w:t xml:space="preserve"> </w:t>
      </w:r>
      <w:r w:rsidR="00DB1E22" w:rsidRPr="009B40BB">
        <w:t>applied</w:t>
      </w:r>
      <w:r w:rsidRPr="009B40BB">
        <w:t>:</w:t>
      </w:r>
    </w:p>
    <w:p w:rsidR="001A5FF4" w:rsidRPr="009B40BB" w:rsidRDefault="00DB1E22" w:rsidP="008A4C52">
      <w:pPr>
        <w:pStyle w:val="ListNumber2"/>
      </w:pPr>
      <w:r w:rsidRPr="009B40BB">
        <w:t>m</w:t>
      </w:r>
      <w:r w:rsidR="001A5FF4" w:rsidRPr="009B40BB">
        <w:t xml:space="preserve">ultiple NEPM codes </w:t>
      </w:r>
      <w:r w:rsidRPr="009B40BB">
        <w:t>mapped to a single Y-code</w:t>
      </w:r>
    </w:p>
    <w:p w:rsidR="001A5FF4" w:rsidRPr="009B40BB" w:rsidRDefault="00DB1E22" w:rsidP="008A4C52">
      <w:pPr>
        <w:pStyle w:val="ListNumber2"/>
      </w:pPr>
      <w:r w:rsidRPr="009B40BB">
        <w:t>splitting a</w:t>
      </w:r>
      <w:r w:rsidR="001A5FF4" w:rsidRPr="009B40BB">
        <w:t xml:space="preserve"> NEPM code </w:t>
      </w:r>
      <w:r w:rsidRPr="009B40BB">
        <w:t xml:space="preserve">into </w:t>
      </w:r>
      <w:r w:rsidR="001A5FF4" w:rsidRPr="009B40BB">
        <w:t>more than one Y-code</w:t>
      </w:r>
    </w:p>
    <w:p w:rsidR="001A5FF4" w:rsidRPr="009B40BB" w:rsidRDefault="00DB1E22" w:rsidP="008A4C52">
      <w:pPr>
        <w:pStyle w:val="ListNumber2"/>
      </w:pPr>
      <w:proofErr w:type="gramStart"/>
      <w:r w:rsidRPr="009B40BB">
        <w:t>creation</w:t>
      </w:r>
      <w:proofErr w:type="gramEnd"/>
      <w:r w:rsidRPr="009B40BB">
        <w:t xml:space="preserve"> of a</w:t>
      </w:r>
      <w:r w:rsidR="001A5FF4" w:rsidRPr="009B40BB">
        <w:t xml:space="preserve"> limited number of ‘new’ Basel categories, additional to Y-codes, to ensure that hazardous waste</w:t>
      </w:r>
      <w:r w:rsidR="00506510">
        <w:t>s</w:t>
      </w:r>
      <w:r w:rsidR="001A5FF4" w:rsidRPr="009B40BB">
        <w:t xml:space="preserve"> recognised in Australia’s national data set are not excluded from that reported to the Basel Secretariat</w:t>
      </w:r>
      <w:r w:rsidRPr="009B40BB">
        <w:t xml:space="preserve"> (as required under the Convention)</w:t>
      </w:r>
      <w:r w:rsidR="001A5FF4" w:rsidRPr="009B40BB">
        <w:t>.</w:t>
      </w:r>
    </w:p>
    <w:p w:rsidR="008A4C52" w:rsidRPr="009B40BB" w:rsidRDefault="008A4C52" w:rsidP="001A5FF4">
      <w:pPr>
        <w:rPr>
          <w:rFonts w:asciiTheme="minorHAnsi" w:hAnsiTheme="minorHAnsi"/>
          <w:sz w:val="22"/>
        </w:rPr>
      </w:pPr>
    </w:p>
    <w:p w:rsidR="001A5FF4" w:rsidRPr="009B40BB" w:rsidRDefault="001A5FF4" w:rsidP="001A5FF4">
      <w:pPr>
        <w:rPr>
          <w:rFonts w:asciiTheme="minorHAnsi" w:hAnsiTheme="minorHAnsi"/>
          <w:sz w:val="22"/>
        </w:rPr>
      </w:pPr>
      <w:r w:rsidRPr="009B40BB">
        <w:rPr>
          <w:rFonts w:asciiTheme="minorHAnsi" w:hAnsiTheme="minorHAnsi"/>
          <w:sz w:val="22"/>
        </w:rPr>
        <w:t>The</w:t>
      </w:r>
      <w:r w:rsidR="00DB1E22" w:rsidRPr="009B40BB">
        <w:rPr>
          <w:rFonts w:asciiTheme="minorHAnsi" w:hAnsiTheme="minorHAnsi"/>
          <w:sz w:val="22"/>
        </w:rPr>
        <w:t xml:space="preserve"> mapping from jurisdiction system to NEPM coding to Basel coding is</w:t>
      </w:r>
      <w:r w:rsidRPr="009B40BB">
        <w:rPr>
          <w:rFonts w:asciiTheme="minorHAnsi" w:hAnsiTheme="minorHAnsi"/>
          <w:sz w:val="22"/>
        </w:rPr>
        <w:t xml:space="preserve"> depicted in Figure 1.</w:t>
      </w:r>
    </w:p>
    <w:p w:rsidR="001A5FF4" w:rsidRPr="009B40BB" w:rsidRDefault="001A5FF4" w:rsidP="001A5FF4">
      <w:pPr>
        <w:rPr>
          <w:rFonts w:asciiTheme="minorHAnsi" w:hAnsiTheme="minorHAnsi"/>
          <w:sz w:val="22"/>
        </w:rPr>
      </w:pPr>
    </w:p>
    <w:p w:rsidR="001A5FF4" w:rsidRPr="009B40BB" w:rsidRDefault="001A5FF4" w:rsidP="001A5FF4">
      <w:pPr>
        <w:rPr>
          <w:rFonts w:asciiTheme="minorHAnsi" w:hAnsiTheme="minorHAnsi"/>
          <w:sz w:val="22"/>
        </w:rPr>
      </w:pPr>
    </w:p>
    <w:p w:rsidR="00DB1E22" w:rsidRPr="009B40BB" w:rsidRDefault="00DB1E22" w:rsidP="001A5FF4">
      <w:pPr>
        <w:rPr>
          <w:rFonts w:asciiTheme="minorHAnsi" w:hAnsiTheme="minorHAnsi"/>
          <w:sz w:val="22"/>
        </w:rPr>
      </w:pPr>
    </w:p>
    <w:p w:rsidR="001A5FF4" w:rsidRPr="009B40BB" w:rsidRDefault="001A5FF4" w:rsidP="001A5FF4">
      <w:pPr>
        <w:rPr>
          <w:rFonts w:asciiTheme="minorHAnsi" w:hAnsiTheme="minorHAnsi"/>
          <w:sz w:val="22"/>
        </w:rPr>
      </w:pPr>
    </w:p>
    <w:p w:rsidR="001A5FF4" w:rsidRPr="009B40BB" w:rsidRDefault="001A5FF4" w:rsidP="001A5FF4">
      <w:pPr>
        <w:pStyle w:val="Figures"/>
      </w:pPr>
      <w:bookmarkStart w:id="22" w:name="_Toc381544671"/>
      <w:bookmarkStart w:id="23" w:name="_Toc390770740"/>
      <w:r w:rsidRPr="009B40BB">
        <w:lastRenderedPageBreak/>
        <w:t xml:space="preserve">Figure </w:t>
      </w:r>
      <w:r w:rsidR="003E6F16">
        <w:fldChar w:fldCharType="begin"/>
      </w:r>
      <w:r w:rsidR="00310B50">
        <w:instrText xml:space="preserve"> SEQ Figure \* ARABIC </w:instrText>
      </w:r>
      <w:r w:rsidR="003E6F16">
        <w:fldChar w:fldCharType="separate"/>
      </w:r>
      <w:r w:rsidR="005B2F4C">
        <w:rPr>
          <w:noProof/>
        </w:rPr>
        <w:t>1</w:t>
      </w:r>
      <w:r w:rsidR="003E6F16">
        <w:rPr>
          <w:noProof/>
        </w:rPr>
        <w:fldChar w:fldCharType="end"/>
      </w:r>
      <w:r w:rsidRPr="009B40BB">
        <w:t xml:space="preserve">: </w:t>
      </w:r>
      <w:r w:rsidRPr="009B40BB">
        <w:tab/>
        <w:t xml:space="preserve">Mapping Hazardous Waste: Jurisdiction codes </w:t>
      </w:r>
      <w:r w:rsidRPr="009B40BB">
        <w:sym w:font="Wingdings" w:char="F0E0"/>
      </w:r>
      <w:r w:rsidRPr="009B40BB">
        <w:t xml:space="preserve"> NEPM codes </w:t>
      </w:r>
      <w:r w:rsidRPr="009B40BB">
        <w:sym w:font="Wingdings" w:char="F0E0"/>
      </w:r>
      <w:r w:rsidRPr="009B40BB">
        <w:t xml:space="preserve"> Basel Y-codes</w:t>
      </w:r>
      <w:bookmarkEnd w:id="22"/>
      <w:bookmarkEnd w:id="23"/>
    </w:p>
    <w:p w:rsidR="001A5FF4" w:rsidRPr="009B40BB" w:rsidRDefault="001A5FF4" w:rsidP="001A5FF4">
      <w:pPr>
        <w:rPr>
          <w:rFonts w:asciiTheme="minorHAnsi" w:hAnsiTheme="minorHAnsi"/>
          <w:sz w:val="22"/>
        </w:rPr>
      </w:pPr>
      <w:r w:rsidRPr="009B40BB">
        <w:rPr>
          <w:rFonts w:asciiTheme="minorHAnsi" w:hAnsiTheme="minorHAnsi"/>
          <w:noProof/>
          <w:sz w:val="22"/>
          <w:lang w:eastAsia="en-AU"/>
        </w:rPr>
        <w:drawing>
          <wp:inline distT="0" distB="0" distL="0" distR="0">
            <wp:extent cx="6125210" cy="4086860"/>
            <wp:effectExtent l="0" t="0" r="889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5210" cy="4086860"/>
                    </a:xfrm>
                    <a:prstGeom prst="rect">
                      <a:avLst/>
                    </a:prstGeom>
                    <a:noFill/>
                  </pic:spPr>
                </pic:pic>
              </a:graphicData>
            </a:graphic>
          </wp:inline>
        </w:drawing>
      </w:r>
    </w:p>
    <w:p w:rsidR="00402EDB" w:rsidRPr="009B40BB" w:rsidRDefault="00402EDB" w:rsidP="001A5FF4">
      <w:pPr>
        <w:rPr>
          <w:rFonts w:asciiTheme="minorHAnsi" w:hAnsiTheme="minorHAnsi"/>
          <w:sz w:val="22"/>
        </w:rPr>
      </w:pPr>
    </w:p>
    <w:p w:rsidR="00DF2447" w:rsidRPr="009B40BB" w:rsidRDefault="00DF2447" w:rsidP="00DF2447">
      <w:pPr>
        <w:pStyle w:val="Heading2"/>
      </w:pPr>
      <w:bookmarkStart w:id="24" w:name="_Toc390770730"/>
      <w:r w:rsidRPr="009B40BB">
        <w:t>Guidance materials</w:t>
      </w:r>
      <w:bookmarkEnd w:id="24"/>
    </w:p>
    <w:p w:rsidR="00B2253E" w:rsidRPr="009B40BB" w:rsidRDefault="001A5FF4" w:rsidP="001A5FF4">
      <w:pPr>
        <w:rPr>
          <w:rFonts w:asciiTheme="minorHAnsi" w:hAnsiTheme="minorHAnsi"/>
          <w:sz w:val="22"/>
          <w:szCs w:val="20"/>
        </w:rPr>
      </w:pPr>
      <w:r w:rsidRPr="009B40BB">
        <w:rPr>
          <w:rFonts w:asciiTheme="minorHAnsi" w:hAnsiTheme="minorHAnsi"/>
          <w:sz w:val="22"/>
          <w:szCs w:val="20"/>
        </w:rPr>
        <w:t xml:space="preserve">The above translation </w:t>
      </w:r>
      <w:r w:rsidR="00B2253E" w:rsidRPr="009B40BB">
        <w:rPr>
          <w:rFonts w:asciiTheme="minorHAnsi" w:hAnsiTheme="minorHAnsi"/>
          <w:sz w:val="22"/>
          <w:szCs w:val="20"/>
        </w:rPr>
        <w:t>forms the basis of two sets of guidance materials developed as part of this project:</w:t>
      </w:r>
    </w:p>
    <w:p w:rsidR="00B2253E" w:rsidRPr="009B40BB" w:rsidRDefault="00B2253E" w:rsidP="00A768C4">
      <w:pPr>
        <w:pStyle w:val="Bullet1"/>
        <w:numPr>
          <w:ilvl w:val="0"/>
          <w:numId w:val="14"/>
        </w:numPr>
        <w:rPr>
          <w:szCs w:val="20"/>
        </w:rPr>
      </w:pPr>
      <w:r w:rsidRPr="009B40BB">
        <w:rPr>
          <w:szCs w:val="20"/>
        </w:rPr>
        <w:t xml:space="preserve">A document titled </w:t>
      </w:r>
      <w:r w:rsidRPr="009B40BB">
        <w:rPr>
          <w:i/>
          <w:szCs w:val="20"/>
        </w:rPr>
        <w:t>Reporting hazardous waste under the Basel Convention - guidance to states and territories</w:t>
      </w:r>
      <w:r w:rsidRPr="009B40BB">
        <w:rPr>
          <w:szCs w:val="20"/>
        </w:rPr>
        <w:t>, provided a</w:t>
      </w:r>
      <w:r w:rsidR="005A7997" w:rsidRPr="009B40BB">
        <w:rPr>
          <w:szCs w:val="20"/>
        </w:rPr>
        <w:t>s</w:t>
      </w:r>
      <w:r w:rsidRPr="009B40BB">
        <w:rPr>
          <w:szCs w:val="20"/>
        </w:rPr>
        <w:t xml:space="preserve"> </w:t>
      </w:r>
      <w:r w:rsidR="00A06695">
        <w:rPr>
          <w:szCs w:val="20"/>
        </w:rPr>
        <w:t>Appendix</w:t>
      </w:r>
      <w:r w:rsidRPr="009B40BB">
        <w:rPr>
          <w:szCs w:val="20"/>
        </w:rPr>
        <w:t xml:space="preserve"> A and</w:t>
      </w:r>
    </w:p>
    <w:p w:rsidR="00B2253E" w:rsidRPr="009B40BB" w:rsidRDefault="00B2253E" w:rsidP="00A768C4">
      <w:pPr>
        <w:pStyle w:val="Bullet1"/>
        <w:numPr>
          <w:ilvl w:val="0"/>
          <w:numId w:val="14"/>
        </w:numPr>
        <w:rPr>
          <w:szCs w:val="20"/>
        </w:rPr>
      </w:pPr>
      <w:proofErr w:type="gramStart"/>
      <w:r w:rsidRPr="009B40BB">
        <w:rPr>
          <w:szCs w:val="20"/>
        </w:rPr>
        <w:t>the</w:t>
      </w:r>
      <w:proofErr w:type="gramEnd"/>
      <w:r w:rsidRPr="009B40BB">
        <w:rPr>
          <w:szCs w:val="20"/>
        </w:rPr>
        <w:t xml:space="preserve"> reporting and translation Microsoft Excel-based templates used to compile the Basel data (provided a</w:t>
      </w:r>
      <w:r w:rsidR="005A7997" w:rsidRPr="009B40BB">
        <w:rPr>
          <w:szCs w:val="20"/>
        </w:rPr>
        <w:t>s</w:t>
      </w:r>
      <w:r w:rsidRPr="009B40BB">
        <w:rPr>
          <w:szCs w:val="20"/>
        </w:rPr>
        <w:t xml:space="preserve"> </w:t>
      </w:r>
      <w:r w:rsidR="00A06695">
        <w:rPr>
          <w:szCs w:val="20"/>
        </w:rPr>
        <w:t>Appendix</w:t>
      </w:r>
      <w:r w:rsidRPr="009B40BB">
        <w:rPr>
          <w:szCs w:val="20"/>
        </w:rPr>
        <w:t xml:space="preserve"> B).</w:t>
      </w:r>
    </w:p>
    <w:p w:rsidR="00B2253E" w:rsidRPr="009B40BB" w:rsidRDefault="00B2253E" w:rsidP="001A5FF4">
      <w:pPr>
        <w:rPr>
          <w:rFonts w:asciiTheme="minorHAnsi" w:hAnsiTheme="minorHAnsi"/>
          <w:sz w:val="22"/>
          <w:szCs w:val="20"/>
        </w:rPr>
      </w:pPr>
    </w:p>
    <w:p w:rsidR="00B2253E" w:rsidRPr="009B40BB" w:rsidRDefault="00B2253E" w:rsidP="001A5FF4">
      <w:pPr>
        <w:rPr>
          <w:rFonts w:asciiTheme="minorHAnsi" w:hAnsiTheme="minorHAnsi"/>
          <w:sz w:val="22"/>
          <w:szCs w:val="20"/>
        </w:rPr>
      </w:pPr>
      <w:r w:rsidRPr="009B40BB">
        <w:rPr>
          <w:rFonts w:asciiTheme="minorHAnsi" w:hAnsiTheme="minorHAnsi"/>
          <w:sz w:val="22"/>
          <w:szCs w:val="20"/>
        </w:rPr>
        <w:t xml:space="preserve">The guidance </w:t>
      </w:r>
      <w:r w:rsidR="00402EDB" w:rsidRPr="009B40BB">
        <w:rPr>
          <w:rFonts w:asciiTheme="minorHAnsi" w:hAnsiTheme="minorHAnsi"/>
          <w:sz w:val="22"/>
          <w:szCs w:val="20"/>
        </w:rPr>
        <w:t xml:space="preserve">document </w:t>
      </w:r>
      <w:r w:rsidRPr="009B40BB">
        <w:rPr>
          <w:rFonts w:asciiTheme="minorHAnsi" w:hAnsiTheme="minorHAnsi"/>
          <w:sz w:val="22"/>
          <w:szCs w:val="20"/>
        </w:rPr>
        <w:t>p</w:t>
      </w:r>
      <w:r w:rsidRPr="009B40BB">
        <w:rPr>
          <w:sz w:val="22"/>
          <w:szCs w:val="20"/>
        </w:rPr>
        <w:t>rovides both the justification for, and the outcomes of, the translation process, as adopted by all Microsoft Excel templates in the guidance material suite. This approach i</w:t>
      </w:r>
      <w:r w:rsidR="00853445" w:rsidRPr="009B40BB">
        <w:rPr>
          <w:sz w:val="22"/>
          <w:szCs w:val="20"/>
        </w:rPr>
        <w:t>s specific to each jurisdiction.</w:t>
      </w:r>
      <w:r w:rsidR="00A374C7" w:rsidRPr="009B40BB">
        <w:rPr>
          <w:sz w:val="22"/>
          <w:szCs w:val="20"/>
        </w:rPr>
        <w:t xml:space="preserve"> </w:t>
      </w:r>
      <w:r w:rsidR="00853445" w:rsidRPr="009B40BB">
        <w:rPr>
          <w:sz w:val="22"/>
          <w:szCs w:val="20"/>
        </w:rPr>
        <w:t xml:space="preserve">It also provides guidance to the </w:t>
      </w:r>
      <w:r w:rsidR="00506510">
        <w:rPr>
          <w:sz w:val="22"/>
          <w:szCs w:val="20"/>
        </w:rPr>
        <w:t>Australian Government</w:t>
      </w:r>
      <w:r w:rsidR="00853445" w:rsidRPr="009B40BB">
        <w:rPr>
          <w:sz w:val="22"/>
          <w:szCs w:val="20"/>
        </w:rPr>
        <w:t xml:space="preserve"> on how to assure quality, fill data gaps and compile the data for submission to the Basel Secretariat.</w:t>
      </w:r>
    </w:p>
    <w:p w:rsidR="00B2253E" w:rsidRPr="009B40BB" w:rsidRDefault="00B2253E" w:rsidP="001A5FF4">
      <w:pPr>
        <w:rPr>
          <w:rFonts w:asciiTheme="minorHAnsi" w:hAnsiTheme="minorHAnsi"/>
          <w:sz w:val="22"/>
          <w:szCs w:val="20"/>
        </w:rPr>
      </w:pPr>
    </w:p>
    <w:p w:rsidR="00853445" w:rsidRPr="009B40BB" w:rsidRDefault="00853445" w:rsidP="001A5FF4">
      <w:pPr>
        <w:rPr>
          <w:rFonts w:asciiTheme="minorHAnsi" w:hAnsiTheme="minorHAnsi"/>
          <w:sz w:val="22"/>
          <w:szCs w:val="20"/>
        </w:rPr>
      </w:pPr>
      <w:r w:rsidRPr="009B40BB">
        <w:rPr>
          <w:rFonts w:asciiTheme="minorHAnsi" w:hAnsiTheme="minorHAnsi"/>
          <w:sz w:val="22"/>
          <w:szCs w:val="20"/>
        </w:rPr>
        <w:t xml:space="preserve">The guidance document’s logic </w:t>
      </w:r>
      <w:r w:rsidR="001A5FF4" w:rsidRPr="009B40BB">
        <w:rPr>
          <w:rFonts w:asciiTheme="minorHAnsi" w:hAnsiTheme="minorHAnsi"/>
          <w:sz w:val="22"/>
          <w:szCs w:val="20"/>
        </w:rPr>
        <w:t>forms the basis of the reporting template</w:t>
      </w:r>
      <w:r w:rsidRPr="009B40BB">
        <w:rPr>
          <w:rFonts w:asciiTheme="minorHAnsi" w:hAnsiTheme="minorHAnsi"/>
          <w:sz w:val="22"/>
          <w:szCs w:val="20"/>
        </w:rPr>
        <w:t>s</w:t>
      </w:r>
      <w:r w:rsidR="001A5FF4" w:rsidRPr="009B40BB">
        <w:rPr>
          <w:rFonts w:asciiTheme="minorHAnsi" w:hAnsiTheme="minorHAnsi"/>
          <w:sz w:val="22"/>
          <w:szCs w:val="20"/>
        </w:rPr>
        <w:t xml:space="preserve"> designed to collect hazardous waste data from jurisdictions in their classification system, and automatically populate this data into both the NEPM system and the Basel classification framework.</w:t>
      </w:r>
      <w:r w:rsidR="008A4C52" w:rsidRPr="009B40BB">
        <w:rPr>
          <w:rFonts w:asciiTheme="minorHAnsi" w:hAnsiTheme="minorHAnsi"/>
          <w:sz w:val="22"/>
          <w:szCs w:val="20"/>
        </w:rPr>
        <w:t xml:space="preserve"> </w:t>
      </w:r>
    </w:p>
    <w:p w:rsidR="00853445" w:rsidRPr="009B40BB" w:rsidRDefault="00853445" w:rsidP="001A5FF4">
      <w:pPr>
        <w:rPr>
          <w:rFonts w:asciiTheme="minorHAnsi" w:hAnsiTheme="minorHAnsi"/>
          <w:sz w:val="22"/>
          <w:szCs w:val="20"/>
        </w:rPr>
      </w:pPr>
    </w:p>
    <w:p w:rsidR="001A5FF4" w:rsidRPr="009B40BB" w:rsidRDefault="001A5FF4" w:rsidP="001A5FF4">
      <w:pPr>
        <w:rPr>
          <w:rFonts w:asciiTheme="minorHAnsi" w:hAnsiTheme="minorHAnsi"/>
          <w:sz w:val="22"/>
          <w:szCs w:val="20"/>
        </w:rPr>
      </w:pPr>
      <w:r w:rsidRPr="009B40BB">
        <w:rPr>
          <w:rFonts w:asciiTheme="minorHAnsi" w:hAnsiTheme="minorHAnsi"/>
          <w:sz w:val="22"/>
          <w:szCs w:val="20"/>
        </w:rPr>
        <w:t>This approach fulfils a number of the project’s objectives relating to improved guidance tools, ease of jurisdictional reporting, improved data quality and consistency of approaches across jurisdictions.</w:t>
      </w:r>
    </w:p>
    <w:p w:rsidR="00FA6E37" w:rsidRPr="009B40BB" w:rsidRDefault="00FA6E37" w:rsidP="00FA6E37">
      <w:pPr>
        <w:pStyle w:val="BodyText"/>
      </w:pPr>
    </w:p>
    <w:p w:rsidR="00FA6E37" w:rsidRPr="009B40BB" w:rsidRDefault="00FA6E37" w:rsidP="00FA6E37">
      <w:pPr>
        <w:pStyle w:val="BodyText"/>
      </w:pPr>
    </w:p>
    <w:p w:rsidR="00FA6E37" w:rsidRPr="009B40BB" w:rsidRDefault="00FA6E37" w:rsidP="00FA6E37">
      <w:pPr>
        <w:pStyle w:val="BodyText"/>
      </w:pPr>
    </w:p>
    <w:p w:rsidR="00FA6E37" w:rsidRPr="009B40BB" w:rsidRDefault="00FA6E37">
      <w:pPr>
        <w:spacing w:line="240" w:lineRule="auto"/>
        <w:rPr>
          <w:color w:val="080808"/>
          <w:sz w:val="22"/>
        </w:rPr>
      </w:pPr>
      <w:r w:rsidRPr="009B40BB">
        <w:br w:type="page"/>
      </w:r>
    </w:p>
    <w:p w:rsidR="005E2517" w:rsidRPr="009B40BB" w:rsidRDefault="00FA6E37" w:rsidP="00FA6E37">
      <w:pPr>
        <w:pStyle w:val="Heading1"/>
      </w:pPr>
      <w:bookmarkStart w:id="25" w:name="_Toc390770731"/>
      <w:r w:rsidRPr="009B40BB">
        <w:lastRenderedPageBreak/>
        <w:t xml:space="preserve">Jurisdictional </w:t>
      </w:r>
      <w:r w:rsidR="00976970" w:rsidRPr="009B40BB">
        <w:t>c</w:t>
      </w:r>
      <w:r w:rsidRPr="009B40BB">
        <w:t>onsultation</w:t>
      </w:r>
      <w:bookmarkEnd w:id="25"/>
      <w:r w:rsidRPr="009B40BB">
        <w:t xml:space="preserve"> </w:t>
      </w:r>
    </w:p>
    <w:p w:rsidR="00FA6E37" w:rsidRPr="009B40BB" w:rsidRDefault="00402EDB" w:rsidP="00A352E7">
      <w:pPr>
        <w:pStyle w:val="BodyText"/>
      </w:pPr>
      <w:r w:rsidRPr="009B40BB">
        <w:t xml:space="preserve">The project team consulted with all jurisdictional environment agencies across the </w:t>
      </w:r>
      <w:r w:rsidR="00B821D2" w:rsidRPr="009B40BB">
        <w:t>state</w:t>
      </w:r>
      <w:r w:rsidRPr="009B40BB">
        <w:t xml:space="preserve">s and </w:t>
      </w:r>
      <w:r w:rsidR="00B821D2" w:rsidRPr="009B40BB">
        <w:t>territor</w:t>
      </w:r>
      <w:r w:rsidRPr="009B40BB">
        <w:t>ies.</w:t>
      </w:r>
      <w:r w:rsidR="008A4C52" w:rsidRPr="009B40BB">
        <w:t xml:space="preserve"> </w:t>
      </w:r>
      <w:r w:rsidRPr="009B40BB">
        <w:t>Those jurisdictions whose hazardous data issues (in the view of the project team) were perceived as having the potential to be complex or unique were visited for face to face discussions, while the remainder were consulted through email and phone discussion.</w:t>
      </w:r>
    </w:p>
    <w:p w:rsidR="00402EDB" w:rsidRPr="009B40BB" w:rsidRDefault="00402EDB" w:rsidP="00A352E7">
      <w:pPr>
        <w:pStyle w:val="BodyText"/>
      </w:pPr>
    </w:p>
    <w:p w:rsidR="00402EDB" w:rsidRPr="009B40BB" w:rsidRDefault="00402EDB" w:rsidP="00A352E7">
      <w:pPr>
        <w:pStyle w:val="BodyText"/>
      </w:pPr>
      <w:r w:rsidRPr="009B40BB">
        <w:t>Those jurisdictions visited face to face were:</w:t>
      </w:r>
    </w:p>
    <w:p w:rsidR="00402EDB" w:rsidRPr="009B40BB" w:rsidRDefault="00402EDB" w:rsidP="008A4C52">
      <w:pPr>
        <w:pStyle w:val="Bullet1"/>
      </w:pPr>
      <w:r w:rsidRPr="009B40BB">
        <w:t>Western Australia</w:t>
      </w:r>
      <w:r w:rsidR="0062362E" w:rsidRPr="009B40BB">
        <w:t xml:space="preserve"> (3 December 2013)</w:t>
      </w:r>
    </w:p>
    <w:p w:rsidR="00402EDB" w:rsidRPr="009B40BB" w:rsidRDefault="00402EDB" w:rsidP="008A4C52">
      <w:pPr>
        <w:pStyle w:val="Bullet1"/>
      </w:pPr>
      <w:r w:rsidRPr="009B40BB">
        <w:t>New South Wales</w:t>
      </w:r>
      <w:r w:rsidR="0062362E" w:rsidRPr="009B40BB">
        <w:t xml:space="preserve"> (5 December 2013)</w:t>
      </w:r>
      <w:r w:rsidRPr="009B40BB">
        <w:t xml:space="preserve"> </w:t>
      </w:r>
    </w:p>
    <w:p w:rsidR="00402EDB" w:rsidRPr="009B40BB" w:rsidRDefault="00402EDB" w:rsidP="008A4C52">
      <w:pPr>
        <w:pStyle w:val="Bullet1"/>
      </w:pPr>
      <w:r w:rsidRPr="009B40BB">
        <w:t>Victoria</w:t>
      </w:r>
      <w:r w:rsidR="0062362E" w:rsidRPr="009B40BB">
        <w:t xml:space="preserve"> (29 January 2014)</w:t>
      </w:r>
      <w:r w:rsidRPr="009B40BB">
        <w:t>.</w:t>
      </w:r>
    </w:p>
    <w:p w:rsidR="00402EDB" w:rsidRPr="009B40BB" w:rsidRDefault="00402EDB" w:rsidP="00A352E7">
      <w:pPr>
        <w:pStyle w:val="BodyText"/>
      </w:pPr>
    </w:p>
    <w:p w:rsidR="0062362E" w:rsidRPr="009B40BB" w:rsidRDefault="00402EDB" w:rsidP="00A352E7">
      <w:pPr>
        <w:pStyle w:val="BodyText"/>
      </w:pPr>
      <w:r w:rsidRPr="009B40BB">
        <w:t>The purpose of consultation was to listen to the jurisdiction</w:t>
      </w:r>
      <w:r w:rsidR="008A4C52" w:rsidRPr="009B40BB">
        <w:t>’</w:t>
      </w:r>
      <w:r w:rsidRPr="009B40BB">
        <w:t xml:space="preserve">s experience in previous years with the process of Basel data reporting, with a view to tailoring the guidance materials to </w:t>
      </w:r>
      <w:r w:rsidR="0054567D" w:rsidRPr="009B40BB">
        <w:t>best assist them.</w:t>
      </w:r>
      <w:r w:rsidR="008A4C52" w:rsidRPr="009B40BB">
        <w:t xml:space="preserve"> </w:t>
      </w:r>
    </w:p>
    <w:p w:rsidR="0062362E" w:rsidRPr="009B40BB" w:rsidRDefault="0062362E" w:rsidP="00A352E7">
      <w:pPr>
        <w:pStyle w:val="BodyText"/>
      </w:pPr>
    </w:p>
    <w:p w:rsidR="00402EDB" w:rsidRPr="009B40BB" w:rsidRDefault="0054567D" w:rsidP="00A352E7">
      <w:pPr>
        <w:pStyle w:val="BodyText"/>
      </w:pPr>
      <w:r w:rsidRPr="009B40BB">
        <w:t>A core premise of the project was the difficulty jurisdictions previously had</w:t>
      </w:r>
      <w:r w:rsidR="0062362E" w:rsidRPr="009B40BB">
        <w:t xml:space="preserve"> with translating from their own hazardous waste coding system to Basel Y codes, and the inconsistency of decisions made in this regard from jurisdiction to jurisdiction.</w:t>
      </w:r>
      <w:r w:rsidR="008A4C52" w:rsidRPr="009B40BB">
        <w:t xml:space="preserve"> </w:t>
      </w:r>
      <w:r w:rsidR="0062362E" w:rsidRPr="009B40BB">
        <w:t xml:space="preserve">To this end the project team decided to tackle the translation process at the outset, prior to consultation, and use an early draft of the guidance spreadsheet template (which contained the draft translations) as a basis for </w:t>
      </w:r>
      <w:r w:rsidR="00B821D2" w:rsidRPr="009B40BB">
        <w:t xml:space="preserve">state and territory </w:t>
      </w:r>
      <w:r w:rsidR="0062362E" w:rsidRPr="009B40BB">
        <w:t>discussion.</w:t>
      </w:r>
    </w:p>
    <w:p w:rsidR="0054567D" w:rsidRPr="009B40BB" w:rsidRDefault="0054567D" w:rsidP="00A352E7">
      <w:pPr>
        <w:pStyle w:val="BodyText"/>
      </w:pPr>
    </w:p>
    <w:p w:rsidR="0054567D" w:rsidRPr="009B40BB" w:rsidRDefault="0054567D" w:rsidP="00A3533C">
      <w:pPr>
        <w:pStyle w:val="BodyText"/>
      </w:pPr>
      <w:r w:rsidRPr="009B40BB">
        <w:t>The ke</w:t>
      </w:r>
      <w:r w:rsidR="0062362E" w:rsidRPr="009B40BB">
        <w:t xml:space="preserve">y views expressed by the </w:t>
      </w:r>
      <w:r w:rsidR="00B821D2" w:rsidRPr="009B40BB">
        <w:t xml:space="preserve">state and territory </w:t>
      </w:r>
      <w:r w:rsidR="0062362E" w:rsidRPr="009B40BB">
        <w:t>agency contacts were:</w:t>
      </w:r>
    </w:p>
    <w:p w:rsidR="00147029" w:rsidRPr="009B40BB" w:rsidRDefault="00147029" w:rsidP="008A4C52">
      <w:pPr>
        <w:pStyle w:val="Bullet1"/>
      </w:pPr>
      <w:r w:rsidRPr="009B40BB">
        <w:t xml:space="preserve">All </w:t>
      </w:r>
      <w:r w:rsidR="008A4C52" w:rsidRPr="009B40BB">
        <w:t xml:space="preserve">states and territories </w:t>
      </w:r>
      <w:r w:rsidRPr="009B40BB">
        <w:t>agreed (where the individuals consulted had previously worked on providing Basel data) that the translation from their waste codes to Y codes was the most challenging and time consuming part of their task, and that making this clearer was the major improvement th</w:t>
      </w:r>
      <w:r w:rsidR="00A3533C" w:rsidRPr="009B40BB">
        <w:t>at could be made to the process.</w:t>
      </w:r>
    </w:p>
    <w:p w:rsidR="0062362E" w:rsidRPr="009B40BB" w:rsidRDefault="00147029" w:rsidP="008A4C52">
      <w:pPr>
        <w:pStyle w:val="Bullet1"/>
      </w:pPr>
      <w:r w:rsidRPr="009B40BB">
        <w:t>There was a</w:t>
      </w:r>
      <w:r w:rsidR="008A4C52" w:rsidRPr="009B40BB">
        <w:t xml:space="preserve"> strong</w:t>
      </w:r>
      <w:r w:rsidR="0062362E" w:rsidRPr="009B40BB">
        <w:t xml:space="preserve"> endorsement of the </w:t>
      </w:r>
      <w:r w:rsidRPr="009B40BB">
        <w:t xml:space="preserve">project team’s proposed </w:t>
      </w:r>
      <w:r w:rsidR="0062362E" w:rsidRPr="009B40BB">
        <w:t xml:space="preserve">translation approach, which uses the principle that a </w:t>
      </w:r>
      <w:r w:rsidR="008A4C52" w:rsidRPr="009B40BB">
        <w:t xml:space="preserve">state or territory </w:t>
      </w:r>
      <w:r w:rsidR="0062362E" w:rsidRPr="009B40BB">
        <w:t xml:space="preserve">need only worry about </w:t>
      </w:r>
      <w:proofErr w:type="gramStart"/>
      <w:r w:rsidR="0062362E" w:rsidRPr="009B40BB">
        <w:t>their own</w:t>
      </w:r>
      <w:proofErr w:type="gramEnd"/>
      <w:r w:rsidR="0062362E" w:rsidRPr="009B40BB">
        <w:t xml:space="preserve"> coding system, and the translation spr</w:t>
      </w:r>
      <w:r w:rsidR="00A3533C" w:rsidRPr="009B40BB">
        <w:t>eadsheet takes care of the rest.</w:t>
      </w:r>
    </w:p>
    <w:p w:rsidR="0062362E" w:rsidRPr="009B40BB" w:rsidRDefault="0062362E" w:rsidP="008A4C52">
      <w:pPr>
        <w:pStyle w:val="Bullet1"/>
      </w:pPr>
      <w:r w:rsidRPr="009B40BB">
        <w:t xml:space="preserve">It was felt by the majority of </w:t>
      </w:r>
      <w:r w:rsidR="00B821D2" w:rsidRPr="009B40BB">
        <w:t>state</w:t>
      </w:r>
      <w:r w:rsidRPr="009B40BB">
        <w:t xml:space="preserve"> and </w:t>
      </w:r>
      <w:r w:rsidR="00B821D2" w:rsidRPr="009B40BB">
        <w:t>territor</w:t>
      </w:r>
      <w:r w:rsidRPr="009B40BB">
        <w:t xml:space="preserve">ies that the translation template would save them significant time and </w:t>
      </w:r>
      <w:r w:rsidR="00147029" w:rsidRPr="009B40BB">
        <w:t xml:space="preserve">markedly </w:t>
      </w:r>
      <w:r w:rsidRPr="009B40BB">
        <w:t>increase the comparability of reported data</w:t>
      </w:r>
      <w:r w:rsidR="00147029" w:rsidRPr="009B40BB">
        <w:t xml:space="preserve"> between jurisdictions</w:t>
      </w:r>
      <w:r w:rsidR="00A3533C" w:rsidRPr="009B40BB">
        <w:t>.</w:t>
      </w:r>
    </w:p>
    <w:p w:rsidR="00363707" w:rsidRPr="009B40BB" w:rsidRDefault="00363707" w:rsidP="008A4C52">
      <w:pPr>
        <w:pStyle w:val="Bullet1"/>
      </w:pPr>
      <w:r w:rsidRPr="009B40BB">
        <w:t xml:space="preserve">In the vast majority of cases, the project team’s proposed translation decisions were accepted by </w:t>
      </w:r>
      <w:r w:rsidR="00B821D2" w:rsidRPr="009B40BB">
        <w:t>state</w:t>
      </w:r>
      <w:r w:rsidRPr="009B40BB">
        <w:t xml:space="preserve">s and </w:t>
      </w:r>
      <w:r w:rsidR="00B821D2" w:rsidRPr="009B40BB">
        <w:t>territor</w:t>
      </w:r>
      <w:r w:rsidRPr="009B40BB">
        <w:t xml:space="preserve">ies as being a reasonable approach to the task of taking </w:t>
      </w:r>
      <w:r w:rsidR="00014393" w:rsidRPr="009B40BB">
        <w:t>their data and real</w:t>
      </w:r>
      <w:r w:rsidR="00D27C8B" w:rsidRPr="009B40BB">
        <w:t>igning it in a Y code framework.</w:t>
      </w:r>
    </w:p>
    <w:p w:rsidR="00147029" w:rsidRPr="009B40BB" w:rsidRDefault="00147029" w:rsidP="008A4C52">
      <w:pPr>
        <w:pStyle w:val="Bullet1"/>
      </w:pPr>
      <w:r w:rsidRPr="009B40BB">
        <w:t>Western Australia was in the process of regulatory transition from their current hazardous waste classification system to one much more closely aligned to the NEPM codes.</w:t>
      </w:r>
      <w:r w:rsidR="008A4C52" w:rsidRPr="009B40BB">
        <w:t xml:space="preserve"> </w:t>
      </w:r>
      <w:r w:rsidRPr="009B40BB">
        <w:t>However, since the new legislation required to make this happen would not be in place until later in 2014, the translation template for WA</w:t>
      </w:r>
      <w:r w:rsidR="00D27C8B" w:rsidRPr="009B40BB">
        <w:t xml:space="preserve"> needed to retain the old codes.</w:t>
      </w:r>
    </w:p>
    <w:p w:rsidR="00147029" w:rsidRPr="009B40BB" w:rsidRDefault="00147029" w:rsidP="008A4C52">
      <w:pPr>
        <w:pStyle w:val="Bullet1"/>
      </w:pPr>
      <w:r w:rsidRPr="009B40BB">
        <w:t xml:space="preserve">Western Australia provided a full review of the project team’s translation of </w:t>
      </w:r>
      <w:r w:rsidR="00D27C8B" w:rsidRPr="009B40BB">
        <w:t>its</w:t>
      </w:r>
      <w:r w:rsidRPr="009B40BB">
        <w:t xml:space="preserve"> waste codes, resulting in m</w:t>
      </w:r>
      <w:r w:rsidR="00D27C8B" w:rsidRPr="009B40BB">
        <w:t>inor changes to the spreadsheet.</w:t>
      </w:r>
    </w:p>
    <w:p w:rsidR="00147029" w:rsidRPr="009B40BB" w:rsidRDefault="00147029" w:rsidP="008A4C52">
      <w:pPr>
        <w:pStyle w:val="Bullet1"/>
      </w:pPr>
      <w:r w:rsidRPr="009B40BB">
        <w:t xml:space="preserve">The Northern Territory indicated that given </w:t>
      </w:r>
      <w:r w:rsidR="00D27C8B" w:rsidRPr="009B40BB">
        <w:t>its</w:t>
      </w:r>
      <w:r w:rsidRPr="009B40BB">
        <w:t xml:space="preserve"> lack of a tracking system, </w:t>
      </w:r>
      <w:r w:rsidR="00D27C8B" w:rsidRPr="009B40BB">
        <w:t>it</w:t>
      </w:r>
      <w:r w:rsidRPr="009B40BB">
        <w:t xml:space="preserve"> would have to undertake an onerous manual task of working through individual paper </w:t>
      </w:r>
      <w:r w:rsidR="00363707" w:rsidRPr="009B40BB">
        <w:t>controlled waste transport certificate copies to tally up waste generation numbers.</w:t>
      </w:r>
      <w:r w:rsidR="008A4C52" w:rsidRPr="009B40BB">
        <w:t xml:space="preserve"> </w:t>
      </w:r>
      <w:r w:rsidR="00D519A0" w:rsidRPr="009B40BB">
        <w:t>As hazardous waste from the Territory is generally exported interstate, i</w:t>
      </w:r>
      <w:r w:rsidR="00363707" w:rsidRPr="009B40BB">
        <w:t xml:space="preserve">t was agreed that a more efficient </w:t>
      </w:r>
      <w:r w:rsidR="00D519A0" w:rsidRPr="009B40BB">
        <w:t>approach</w:t>
      </w:r>
      <w:r w:rsidR="00363707" w:rsidRPr="009B40BB">
        <w:t xml:space="preserve"> was to collate </w:t>
      </w:r>
      <w:r w:rsidR="009F2DB8">
        <w:t>transfer</w:t>
      </w:r>
      <w:r w:rsidR="00363707" w:rsidRPr="009B40BB">
        <w:t xml:space="preserve"> figures collected from the jurisdictions that receive NT waste</w:t>
      </w:r>
      <w:r w:rsidR="00D519A0" w:rsidRPr="009B40BB">
        <w:t xml:space="preserve"> under the controlled waste NEPM</w:t>
      </w:r>
      <w:r w:rsidR="00D27C8B" w:rsidRPr="009B40BB">
        <w:t>.</w:t>
      </w:r>
    </w:p>
    <w:p w:rsidR="00014393" w:rsidRPr="009B40BB" w:rsidRDefault="00014393" w:rsidP="008A4C52">
      <w:pPr>
        <w:pStyle w:val="Bullet1"/>
      </w:pPr>
      <w:r w:rsidRPr="009B40BB">
        <w:t xml:space="preserve">South Australia indicated </w:t>
      </w:r>
      <w:r w:rsidR="00D27C8B" w:rsidRPr="009B40BB">
        <w:t>its</w:t>
      </w:r>
      <w:r w:rsidRPr="009B40BB">
        <w:t xml:space="preserve"> interest in a feedback mechanism once all jurisdictions’ data had been collated and compared, which led to the development of the automated QA approach outlined in the </w:t>
      </w:r>
      <w:r w:rsidRPr="009B40BB">
        <w:lastRenderedPageBreak/>
        <w:t>Australian Government’s guidance/ collation spreadsheet.</w:t>
      </w:r>
      <w:r w:rsidR="008A4C52" w:rsidRPr="009B40BB">
        <w:t xml:space="preserve"> </w:t>
      </w:r>
      <w:r w:rsidRPr="009B40BB">
        <w:t xml:space="preserve">It </w:t>
      </w:r>
      <w:r w:rsidR="00D519A0" w:rsidRPr="009B40BB">
        <w:t>is</w:t>
      </w:r>
      <w:r w:rsidRPr="009B40BB">
        <w:t xml:space="preserve"> important that the feedback process occur</w:t>
      </w:r>
      <w:r w:rsidR="00D519A0" w:rsidRPr="009B40BB">
        <w:t>s</w:t>
      </w:r>
      <w:r w:rsidRPr="009B40BB">
        <w:t xml:space="preserve"> before data was sent to the Basel Secretariat s</w:t>
      </w:r>
      <w:r w:rsidR="00D27C8B" w:rsidRPr="009B40BB">
        <w:t xml:space="preserve">o any errors </w:t>
      </w:r>
      <w:r w:rsidR="00D519A0" w:rsidRPr="009B40BB">
        <w:t>can</w:t>
      </w:r>
      <w:r w:rsidR="00D27C8B" w:rsidRPr="009B40BB">
        <w:t xml:space="preserve"> be addressed.</w:t>
      </w:r>
    </w:p>
    <w:p w:rsidR="00363707" w:rsidRPr="009B40BB" w:rsidRDefault="00363707" w:rsidP="008A4C52">
      <w:pPr>
        <w:pStyle w:val="Bullet1"/>
      </w:pPr>
      <w:r w:rsidRPr="009B40BB">
        <w:t xml:space="preserve">New South Wales echoed the value of reporting both generation data and </w:t>
      </w:r>
      <w:r w:rsidR="009F2DB8">
        <w:t>interstate transfer</w:t>
      </w:r>
      <w:r w:rsidRPr="009B40BB">
        <w:t xml:space="preserve"> data, as a means of covering data requirements for both Basel and NEPM reporting at the same time, while having the added benefit of providing a quality check on smaller jurisdicti</w:t>
      </w:r>
      <w:r w:rsidR="00D27C8B" w:rsidRPr="009B40BB">
        <w:t>ons’ waste generation estimates.</w:t>
      </w:r>
    </w:p>
    <w:p w:rsidR="00363707" w:rsidRPr="0015376F" w:rsidRDefault="00363707" w:rsidP="008A4C52">
      <w:pPr>
        <w:pStyle w:val="Bullet1"/>
      </w:pPr>
      <w:r w:rsidRPr="0015376F">
        <w:t xml:space="preserve">While most jurisdictions </w:t>
      </w:r>
      <w:r w:rsidR="00D519A0" w:rsidRPr="0015376F">
        <w:t>are</w:t>
      </w:r>
      <w:r w:rsidRPr="0015376F">
        <w:t xml:space="preserve"> able to extract</w:t>
      </w:r>
      <w:r w:rsidR="00D519A0" w:rsidRPr="0015376F">
        <w:t xml:space="preserve"> data on</w:t>
      </w:r>
      <w:r w:rsidRPr="0015376F">
        <w:t xml:space="preserve"> both waste generation and waste received over borders, some had more difficulty with the latter task.</w:t>
      </w:r>
      <w:r w:rsidR="008A4C52" w:rsidRPr="0015376F">
        <w:t xml:space="preserve"> </w:t>
      </w:r>
      <w:r w:rsidRPr="0015376F">
        <w:t xml:space="preserve">Queensland, for example, </w:t>
      </w:r>
      <w:r w:rsidR="00D27C8B" w:rsidRPr="0015376F">
        <w:t>was</w:t>
      </w:r>
      <w:r w:rsidRPr="0015376F">
        <w:t xml:space="preserve"> able to supply waste </w:t>
      </w:r>
      <w:r w:rsidR="009F2DB8">
        <w:t>transferred</w:t>
      </w:r>
      <w:r w:rsidRPr="0015376F">
        <w:t xml:space="preserve"> across borders</w:t>
      </w:r>
      <w:r w:rsidR="00D519A0" w:rsidRPr="0015376F">
        <w:t>,</w:t>
      </w:r>
      <w:r w:rsidRPr="0015376F">
        <w:t xml:space="preserve"> but w</w:t>
      </w:r>
      <w:r w:rsidR="00D519A0" w:rsidRPr="0015376F">
        <w:t>as</w:t>
      </w:r>
      <w:r w:rsidRPr="0015376F">
        <w:t xml:space="preserve"> unable to distinguish the originating jurisdiction for the </w:t>
      </w:r>
      <w:r w:rsidR="009F2DB8">
        <w:t>transfer</w:t>
      </w:r>
      <w:r w:rsidRPr="0015376F">
        <w:t xml:space="preserve"> data.</w:t>
      </w:r>
      <w:r w:rsidR="0065463B">
        <w:t xml:space="preserve"> </w:t>
      </w:r>
      <w:r w:rsidR="00BA66E3">
        <w:t xml:space="preserve">This had an effect of lowering the reported generation figure for the Northern Territory (as discussed in section 2.2), since the Northern Territory’s generation estimates relied on the collation of interstate movement </w:t>
      </w:r>
      <w:r w:rsidR="009F2DB8">
        <w:t>transfer</w:t>
      </w:r>
      <w:r w:rsidR="00BA66E3">
        <w:t xml:space="preserve"> figures from the NT into other jurisdictions, reported by those jurisdictions.</w:t>
      </w:r>
    </w:p>
    <w:p w:rsidR="00402EDB" w:rsidRPr="009B40BB" w:rsidRDefault="00402EDB">
      <w:pPr>
        <w:spacing w:line="240" w:lineRule="auto"/>
        <w:rPr>
          <w:rFonts w:ascii="Arial Rounded MT Bold" w:hAnsi="Arial Rounded MT Bold" w:cs="Arial"/>
          <w:color w:val="0000FF"/>
          <w:sz w:val="36"/>
          <w:szCs w:val="36"/>
        </w:rPr>
      </w:pPr>
      <w:r w:rsidRPr="009B40BB">
        <w:br w:type="page"/>
      </w:r>
    </w:p>
    <w:p w:rsidR="00FA6E37" w:rsidRPr="009B40BB" w:rsidRDefault="00FA6E37" w:rsidP="00FA6E37">
      <w:pPr>
        <w:pStyle w:val="Heading1"/>
      </w:pPr>
      <w:bookmarkStart w:id="26" w:name="_Toc390770732"/>
      <w:r w:rsidRPr="009B40BB">
        <w:lastRenderedPageBreak/>
        <w:t xml:space="preserve">Data </w:t>
      </w:r>
      <w:r w:rsidR="00976970" w:rsidRPr="009B40BB">
        <w:t>p</w:t>
      </w:r>
      <w:r w:rsidRPr="009B40BB">
        <w:t>resentation</w:t>
      </w:r>
      <w:bookmarkEnd w:id="26"/>
    </w:p>
    <w:p w:rsidR="00B9673F" w:rsidRPr="009B40BB" w:rsidRDefault="00F04CE9" w:rsidP="00B9673F">
      <w:pPr>
        <w:pStyle w:val="BodyText"/>
        <w:spacing w:after="120"/>
      </w:pPr>
      <w:r w:rsidRPr="009B40BB">
        <w:t>Data was collected in six-monthly blocks, allo</w:t>
      </w:r>
      <w:r w:rsidR="00AD70D4">
        <w:t>wing aggregation by either 2011-</w:t>
      </w:r>
      <w:r w:rsidRPr="009B40BB">
        <w:t xml:space="preserve">12 </w:t>
      </w:r>
      <w:r w:rsidR="00E50626" w:rsidRPr="009B40BB">
        <w:t xml:space="preserve">financial </w:t>
      </w:r>
      <w:proofErr w:type="gramStart"/>
      <w:r w:rsidR="00E50626" w:rsidRPr="009B40BB">
        <w:t>year</w:t>
      </w:r>
      <w:proofErr w:type="gramEnd"/>
      <w:r w:rsidR="00E50626" w:rsidRPr="009B40BB">
        <w:t xml:space="preserve"> or 2012 calendar year.</w:t>
      </w:r>
      <w:r w:rsidR="00A374C7" w:rsidRPr="009B40BB">
        <w:t xml:space="preserve"> </w:t>
      </w:r>
      <w:r w:rsidR="00B9673F" w:rsidRPr="009B40BB">
        <w:t>T</w:t>
      </w:r>
      <w:r w:rsidR="00E50626" w:rsidRPr="009B40BB">
        <w:t>he bulk of the analysis used for the purposes of this section is based on the 2012 calendar year data set</w:t>
      </w:r>
      <w:r w:rsidR="00B9673F" w:rsidRPr="009B40BB">
        <w:t>, because:</w:t>
      </w:r>
    </w:p>
    <w:p w:rsidR="00B9673F" w:rsidRPr="009B40BB" w:rsidRDefault="00B9673F" w:rsidP="00B92228">
      <w:pPr>
        <w:pStyle w:val="Bullet1"/>
      </w:pPr>
      <w:r w:rsidRPr="009B40BB">
        <w:t>Basel’s reporting period requirement is calendar</w:t>
      </w:r>
      <w:r w:rsidR="0077224E" w:rsidRPr="009B40BB">
        <w:t xml:space="preserve"> year</w:t>
      </w:r>
    </w:p>
    <w:p w:rsidR="00B9673F" w:rsidRPr="009B40BB" w:rsidRDefault="00B9673F" w:rsidP="00B92228">
      <w:pPr>
        <w:pStyle w:val="Bullet1"/>
      </w:pPr>
      <w:r w:rsidRPr="009B40BB">
        <w:t>2012 data provides the most currency for readers of this report and</w:t>
      </w:r>
    </w:p>
    <w:p w:rsidR="00B9673F" w:rsidRPr="009B40BB" w:rsidRDefault="00B9673F" w:rsidP="00B92228">
      <w:pPr>
        <w:pStyle w:val="Bullet1"/>
      </w:pPr>
      <w:proofErr w:type="gramStart"/>
      <w:r w:rsidRPr="009B40BB">
        <w:t>the</w:t>
      </w:r>
      <w:proofErr w:type="gramEnd"/>
      <w:r w:rsidRPr="009B40BB">
        <w:t xml:space="preserve"> difference between calendar year collation and financial year collation is minor.</w:t>
      </w:r>
    </w:p>
    <w:p w:rsidR="00B9673F" w:rsidRPr="009B40BB" w:rsidRDefault="00B9673F" w:rsidP="00F04CE9">
      <w:pPr>
        <w:pStyle w:val="BodyText"/>
      </w:pPr>
    </w:p>
    <w:p w:rsidR="00F04CE9" w:rsidRPr="009B40BB" w:rsidRDefault="00AD70D4" w:rsidP="00F04CE9">
      <w:pPr>
        <w:pStyle w:val="BodyText"/>
      </w:pPr>
      <w:r>
        <w:t>However, 2011-</w:t>
      </w:r>
      <w:r w:rsidR="00E50626" w:rsidRPr="009B40BB">
        <w:t>12 data is also pr</w:t>
      </w:r>
      <w:r w:rsidR="00B9673F" w:rsidRPr="009B40BB">
        <w:t>ovid</w:t>
      </w:r>
      <w:r w:rsidR="00E50626" w:rsidRPr="009B40BB">
        <w:t>ed.</w:t>
      </w:r>
    </w:p>
    <w:p w:rsidR="00F04CE9" w:rsidRPr="009B40BB" w:rsidRDefault="00F04CE9" w:rsidP="00F04CE9">
      <w:pPr>
        <w:pStyle w:val="BodyText"/>
      </w:pPr>
    </w:p>
    <w:p w:rsidR="00853445" w:rsidRPr="009B40BB" w:rsidRDefault="00853445" w:rsidP="00A73BC5">
      <w:pPr>
        <w:pStyle w:val="Heading2"/>
      </w:pPr>
      <w:bookmarkStart w:id="27" w:name="_Toc390770733"/>
      <w:r w:rsidRPr="009B40BB">
        <w:t>Limitations</w:t>
      </w:r>
      <w:bookmarkEnd w:id="27"/>
    </w:p>
    <w:p w:rsidR="00BA66E3" w:rsidRDefault="002735F5" w:rsidP="00263170">
      <w:pPr>
        <w:pStyle w:val="BodyText"/>
      </w:pPr>
      <w:r>
        <w:t>H</w:t>
      </w:r>
      <w:r w:rsidR="00BA66E3">
        <w:t>azardous waste data in Australia</w:t>
      </w:r>
      <w:r>
        <w:t xml:space="preserve"> is built from the ‘bottom up’ in the main, through tonnages captured by licensed waste transporters as part of the chain of custody requirements of hazardous waste tracking systems implemented in the major Australian states.</w:t>
      </w:r>
      <w:r w:rsidR="0065463B">
        <w:t xml:space="preserve"> </w:t>
      </w:r>
      <w:r>
        <w:t>For compilation of a national data set of hazardous waste generation, broken down to a jurisdiction-level scale, this level of fineness of data is unique in relation to other inventory development style exercises in environmental data.</w:t>
      </w:r>
    </w:p>
    <w:p w:rsidR="002735F5" w:rsidRDefault="002735F5" w:rsidP="00263170">
      <w:pPr>
        <w:pStyle w:val="BodyText"/>
      </w:pPr>
    </w:p>
    <w:p w:rsidR="002735F5" w:rsidRDefault="002735F5" w:rsidP="002735F5">
      <w:pPr>
        <w:pStyle w:val="BodyText"/>
        <w:spacing w:after="120"/>
      </w:pPr>
      <w:r>
        <w:t>However, despite having such a detailed base to work from, the ultimate quality of the dataset is constrained somewhat by fundamental differences in the way jurisdictions manage hazardous wastes, which leads to:</w:t>
      </w:r>
      <w:r w:rsidR="0065463B">
        <w:t xml:space="preserve"> </w:t>
      </w:r>
    </w:p>
    <w:p w:rsidR="00D115DD" w:rsidRDefault="002735F5" w:rsidP="002735F5">
      <w:pPr>
        <w:pStyle w:val="BodyText"/>
        <w:numPr>
          <w:ilvl w:val="0"/>
          <w:numId w:val="22"/>
        </w:numPr>
      </w:pPr>
      <w:r>
        <w:t>Inconsistencies in waste classification</w:t>
      </w:r>
    </w:p>
    <w:p w:rsidR="00D115DD" w:rsidRDefault="00D115DD" w:rsidP="002735F5">
      <w:pPr>
        <w:pStyle w:val="BodyText"/>
        <w:numPr>
          <w:ilvl w:val="0"/>
          <w:numId w:val="22"/>
        </w:numPr>
      </w:pPr>
      <w:r>
        <w:t xml:space="preserve">Inconsistencies in </w:t>
      </w:r>
      <w:r w:rsidR="002735F5">
        <w:t xml:space="preserve">data collection, </w:t>
      </w:r>
      <w:r>
        <w:t xml:space="preserve">since some wastes may be tracked in one state’s </w:t>
      </w:r>
      <w:r w:rsidR="002735F5">
        <w:t>waste tracking system</w:t>
      </w:r>
      <w:r>
        <w:t xml:space="preserve"> but not another’</w:t>
      </w:r>
      <w:r w:rsidR="002735F5">
        <w:t>s</w:t>
      </w:r>
    </w:p>
    <w:p w:rsidR="002735F5" w:rsidRDefault="00D115DD" w:rsidP="002735F5">
      <w:pPr>
        <w:pStyle w:val="BodyText"/>
        <w:numPr>
          <w:ilvl w:val="0"/>
          <w:numId w:val="22"/>
        </w:numPr>
      </w:pPr>
      <w:r>
        <w:t>Inconsistencies in jurisdiction m</w:t>
      </w:r>
      <w:r w:rsidR="002735F5">
        <w:t xml:space="preserve">anagement priorities and the resourcing </w:t>
      </w:r>
      <w:r>
        <w:t>for</w:t>
      </w:r>
      <w:r w:rsidR="002735F5">
        <w:t xml:space="preserve"> hazardous waste management</w:t>
      </w:r>
      <w:r>
        <w:t>, meaning data may be collected with poor or no quality assurance or enforcement.</w:t>
      </w:r>
    </w:p>
    <w:p w:rsidR="00BA66E3" w:rsidRDefault="00BA66E3" w:rsidP="00263170">
      <w:pPr>
        <w:pStyle w:val="BodyText"/>
      </w:pPr>
    </w:p>
    <w:p w:rsidR="00263170" w:rsidRPr="009B40BB" w:rsidRDefault="00263170" w:rsidP="00263170">
      <w:pPr>
        <w:pStyle w:val="BodyText"/>
      </w:pPr>
      <w:r w:rsidRPr="009B40BB">
        <w:t>Data provided in this report is limited by the quality and availability of data collected by state and territory environment agencies responsible for hazardous waste tracking from generation through its pathway to management fate.</w:t>
      </w:r>
      <w:r w:rsidR="00A374C7" w:rsidRPr="009B40BB">
        <w:t xml:space="preserve"> </w:t>
      </w:r>
      <w:r w:rsidRPr="009B40BB">
        <w:t>Gaps in state and territory data have, wherever possible, been filled through the estimation techniques described in the juris</w:t>
      </w:r>
      <w:r w:rsidR="005A7997" w:rsidRPr="009B40BB">
        <w:t xml:space="preserve">dictional guidance document at </w:t>
      </w:r>
      <w:r w:rsidR="00A06695">
        <w:t>Appendix</w:t>
      </w:r>
      <w:r w:rsidRPr="009B40BB">
        <w:t xml:space="preserve"> A.</w:t>
      </w:r>
    </w:p>
    <w:p w:rsidR="00263170" w:rsidRPr="009B40BB" w:rsidRDefault="00263170" w:rsidP="00263170">
      <w:pPr>
        <w:pStyle w:val="BodyText"/>
      </w:pPr>
    </w:p>
    <w:p w:rsidR="00263170" w:rsidRPr="009B40BB" w:rsidRDefault="00263170" w:rsidP="00263170">
      <w:pPr>
        <w:pStyle w:val="BodyText"/>
      </w:pPr>
      <w:r w:rsidRPr="009B40BB">
        <w:t xml:space="preserve">The assumptions, possible explanations, reasoning and potential conclusions drawn in this report are limited by the extent of available data and collective knowledge of the report’s authors. Much of the opinion expressed in the report is based on the authors’ experience and knowledge of the hazardous waste industry. </w:t>
      </w:r>
    </w:p>
    <w:p w:rsidR="00263170" w:rsidRPr="009B40BB" w:rsidRDefault="00263170" w:rsidP="00263170">
      <w:pPr>
        <w:pStyle w:val="BodyText"/>
      </w:pPr>
    </w:p>
    <w:p w:rsidR="00263170" w:rsidRPr="009B40BB" w:rsidRDefault="00263170" w:rsidP="00263170">
      <w:pPr>
        <w:pStyle w:val="BodyText"/>
      </w:pPr>
      <w:r w:rsidRPr="009B40BB">
        <w:t xml:space="preserve">Any interpretative advice based on the analysis and opinions expressed in this report should first be verified with the relevant state or territory hazardous waste management agency before being relied upon as factually correct. </w:t>
      </w:r>
    </w:p>
    <w:p w:rsidR="00263170" w:rsidRPr="009B40BB" w:rsidRDefault="00263170" w:rsidP="00263170">
      <w:pPr>
        <w:pStyle w:val="BodyText"/>
      </w:pPr>
    </w:p>
    <w:p w:rsidR="00853445" w:rsidRPr="009B40BB" w:rsidRDefault="00263170" w:rsidP="00263170">
      <w:pPr>
        <w:pStyle w:val="BodyText"/>
      </w:pPr>
      <w:r w:rsidRPr="009B40BB">
        <w:t>Due to the extensive gaps in treatment/disposal data—for some jurisdictions there is no information available at the destination end—and the potential for double-counting where wastes undergo primary treatment before secondary treatment/disposal, this report focuses primarily on analysis of waste quantities generated.</w:t>
      </w:r>
      <w:r w:rsidR="00A374C7" w:rsidRPr="009B40BB">
        <w:t xml:space="preserve"> </w:t>
      </w:r>
      <w:r w:rsidRPr="009B40BB">
        <w:t>While not a direct focus of the data collection process of this report, an overview of hazardous waste fate data is provided in section 4.3.</w:t>
      </w:r>
    </w:p>
    <w:p w:rsidR="00853445" w:rsidRPr="009B40BB" w:rsidRDefault="00853445" w:rsidP="00853445">
      <w:pPr>
        <w:pStyle w:val="BodyText"/>
      </w:pPr>
    </w:p>
    <w:p w:rsidR="00FA6E37" w:rsidRPr="009B40BB" w:rsidRDefault="00A73BC5" w:rsidP="00A73BC5">
      <w:pPr>
        <w:pStyle w:val="Heading2"/>
      </w:pPr>
      <w:bookmarkStart w:id="28" w:name="_Toc390770734"/>
      <w:r w:rsidRPr="009B40BB">
        <w:t xml:space="preserve">Hazardous </w:t>
      </w:r>
      <w:r w:rsidR="00853445" w:rsidRPr="009B40BB">
        <w:t xml:space="preserve">waste generation </w:t>
      </w:r>
      <w:r w:rsidR="00976970" w:rsidRPr="009B40BB">
        <w:t>d</w:t>
      </w:r>
      <w:r w:rsidRPr="009B40BB">
        <w:t>ata</w:t>
      </w:r>
      <w:bookmarkEnd w:id="28"/>
    </w:p>
    <w:p w:rsidR="00A73BC5" w:rsidRPr="009B40BB" w:rsidRDefault="00263170" w:rsidP="00B9673F">
      <w:pPr>
        <w:pStyle w:val="BodyText"/>
        <w:spacing w:after="120"/>
      </w:pPr>
      <w:r w:rsidRPr="009B40BB">
        <w:lastRenderedPageBreak/>
        <w:t>Hazardous waste gene</w:t>
      </w:r>
      <w:r w:rsidR="0065421E" w:rsidRPr="009B40BB">
        <w:t xml:space="preserve">ration data for Australia has been collected, collated and presented in </w:t>
      </w:r>
      <w:r w:rsidR="00110E4B" w:rsidRPr="009B40BB">
        <w:t xml:space="preserve">detail, against individual NEPM and Basel classification systems, in </w:t>
      </w:r>
      <w:r w:rsidR="0065421E" w:rsidRPr="009B40BB">
        <w:t>the appendices to this report as follows:</w:t>
      </w:r>
    </w:p>
    <w:p w:rsidR="0065421E" w:rsidRPr="009B40BB" w:rsidRDefault="00B92228" w:rsidP="00B92228">
      <w:pPr>
        <w:pStyle w:val="Bullet1"/>
      </w:pPr>
      <w:r w:rsidRPr="009B40BB">
        <w:t>A</w:t>
      </w:r>
      <w:r w:rsidR="005A7997" w:rsidRPr="009B40BB">
        <w:t xml:space="preserve">ppendix </w:t>
      </w:r>
      <w:r w:rsidR="0065421E" w:rsidRPr="009B40BB">
        <w:t>C:</w:t>
      </w:r>
    </w:p>
    <w:p w:rsidR="0065421E" w:rsidRPr="009B40BB" w:rsidRDefault="0065421E" w:rsidP="00B92228">
      <w:pPr>
        <w:pStyle w:val="Bullet2"/>
      </w:pPr>
      <w:r w:rsidRPr="009B40BB">
        <w:t xml:space="preserve">National hazardous waste data </w:t>
      </w:r>
      <w:r w:rsidR="00AD70D4">
        <w:t>2011-</w:t>
      </w:r>
      <w:r w:rsidRPr="009B40BB">
        <w:t xml:space="preserve">12 – by NEPM code </w:t>
      </w:r>
    </w:p>
    <w:p w:rsidR="0065421E" w:rsidRPr="009B40BB" w:rsidRDefault="0065421E" w:rsidP="00B92228">
      <w:pPr>
        <w:pStyle w:val="Bullet2"/>
      </w:pPr>
      <w:r w:rsidRPr="009B40BB">
        <w:t>National hazardous waste data 2012 – by NEPM code and</w:t>
      </w:r>
    </w:p>
    <w:p w:rsidR="0065421E" w:rsidRPr="009B40BB" w:rsidRDefault="00B92228" w:rsidP="00B92228">
      <w:pPr>
        <w:pStyle w:val="Bullet1"/>
      </w:pPr>
      <w:r w:rsidRPr="009B40BB">
        <w:t>A</w:t>
      </w:r>
      <w:r w:rsidR="005A7997" w:rsidRPr="009B40BB">
        <w:t xml:space="preserve">ppendix </w:t>
      </w:r>
      <w:r w:rsidR="0065421E" w:rsidRPr="009B40BB">
        <w:t>D: National hazardous waste data 2012 – by Basel Y code.</w:t>
      </w:r>
    </w:p>
    <w:p w:rsidR="0065421E" w:rsidRPr="009B40BB" w:rsidRDefault="0065421E" w:rsidP="0065421E">
      <w:pPr>
        <w:pStyle w:val="BodyText"/>
      </w:pPr>
    </w:p>
    <w:p w:rsidR="00535CCF" w:rsidRPr="009B40BB" w:rsidRDefault="0065421E" w:rsidP="0065421E">
      <w:pPr>
        <w:pStyle w:val="BodyText"/>
      </w:pPr>
      <w:r w:rsidRPr="009B40BB">
        <w:t>Appendix data is summarised for the 2012 calendar reporti</w:t>
      </w:r>
      <w:r w:rsidR="000C2BB8" w:rsidRPr="009B40BB">
        <w:t>ng year in terms of the 15 high-</w:t>
      </w:r>
      <w:r w:rsidRPr="009B40BB">
        <w:t>level NEPM waste descript</w:t>
      </w:r>
      <w:r w:rsidR="00535CCF" w:rsidRPr="009B40BB">
        <w:t>ion headings (Table 1) and total reported wastes for each s</w:t>
      </w:r>
      <w:r w:rsidRPr="009B40BB">
        <w:t>tate</w:t>
      </w:r>
      <w:r w:rsidR="00535CCF" w:rsidRPr="009B40BB">
        <w:t xml:space="preserve"> and territory (Table 2) below.</w:t>
      </w:r>
    </w:p>
    <w:p w:rsidR="00535CCF" w:rsidRPr="009B40BB" w:rsidRDefault="00535CCF" w:rsidP="0065421E">
      <w:pPr>
        <w:pStyle w:val="BodyText"/>
        <w:rPr>
          <w:sz w:val="24"/>
        </w:rPr>
      </w:pPr>
    </w:p>
    <w:p w:rsidR="00535CCF" w:rsidRPr="009B40BB" w:rsidRDefault="00110E4B">
      <w:pPr>
        <w:spacing w:line="240" w:lineRule="auto"/>
        <w:rPr>
          <w:color w:val="080808"/>
          <w:sz w:val="24"/>
        </w:rPr>
      </w:pPr>
      <w:r w:rsidRPr="009B40BB">
        <w:rPr>
          <w:sz w:val="22"/>
        </w:rPr>
        <w:t xml:space="preserve">An analysis of this data, including a focus on some of the largest generating waste types across jurisdictions is provided in </w:t>
      </w:r>
      <w:r w:rsidR="00A06695">
        <w:rPr>
          <w:sz w:val="22"/>
        </w:rPr>
        <w:t>Appendix</w:t>
      </w:r>
      <w:r w:rsidRPr="009B40BB">
        <w:rPr>
          <w:sz w:val="22"/>
        </w:rPr>
        <w:t xml:space="preserve"> E. </w:t>
      </w:r>
      <w:r w:rsidR="00535CCF" w:rsidRPr="009B40BB">
        <w:rPr>
          <w:sz w:val="22"/>
        </w:rPr>
        <w:br w:type="page"/>
      </w:r>
    </w:p>
    <w:p w:rsidR="000C2BB8" w:rsidRPr="009B40BB" w:rsidRDefault="000C2BB8" w:rsidP="000C2BB8">
      <w:pPr>
        <w:pStyle w:val="Figures"/>
      </w:pPr>
      <w:bookmarkStart w:id="29" w:name="_Toc381640654"/>
      <w:bookmarkStart w:id="30" w:name="_Toc390770744"/>
      <w:r w:rsidRPr="009B40BB">
        <w:lastRenderedPageBreak/>
        <w:t xml:space="preserve">Table </w:t>
      </w:r>
      <w:r w:rsidR="003E6F16">
        <w:fldChar w:fldCharType="begin"/>
      </w:r>
      <w:r w:rsidR="00310B50">
        <w:instrText xml:space="preserve"> SEQ Table \* ARABIC </w:instrText>
      </w:r>
      <w:r w:rsidR="003E6F16">
        <w:fldChar w:fldCharType="separate"/>
      </w:r>
      <w:r w:rsidR="005B2F4C">
        <w:rPr>
          <w:noProof/>
        </w:rPr>
        <w:t>1</w:t>
      </w:r>
      <w:r w:rsidR="003E6F16">
        <w:rPr>
          <w:noProof/>
        </w:rPr>
        <w:fldChar w:fldCharType="end"/>
      </w:r>
      <w:r w:rsidRPr="009B40BB">
        <w:t xml:space="preserve">: </w:t>
      </w:r>
      <w:r w:rsidRPr="009B40BB">
        <w:tab/>
      </w:r>
      <w:bookmarkEnd w:id="29"/>
      <w:r w:rsidRPr="009B40BB">
        <w:t>National hazardous waste data 2012 – by high-level NEPM code</w:t>
      </w:r>
      <w:bookmarkEnd w:id="30"/>
    </w:p>
    <w:tbl>
      <w:tblPr>
        <w:tblW w:w="549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top w:w="28" w:type="dxa"/>
          <w:bottom w:w="28" w:type="dxa"/>
        </w:tblCellMar>
        <w:tblLook w:val="04A0"/>
      </w:tblPr>
      <w:tblGrid>
        <w:gridCol w:w="675"/>
        <w:gridCol w:w="3119"/>
        <w:gridCol w:w="1701"/>
      </w:tblGrid>
      <w:tr w:rsidR="00504C0E" w:rsidRPr="009B40BB" w:rsidTr="00504C0E">
        <w:tc>
          <w:tcPr>
            <w:tcW w:w="3794" w:type="dxa"/>
            <w:gridSpan w:val="2"/>
            <w:tcBorders>
              <w:left w:val="nil"/>
              <w:bottom w:val="nil"/>
              <w:right w:val="nil"/>
            </w:tcBorders>
            <w:shd w:val="clear" w:color="auto" w:fill="auto"/>
            <w:vAlign w:val="center"/>
            <w:hideMark/>
          </w:tcPr>
          <w:p w:rsidR="00535CCF" w:rsidRPr="009B40BB" w:rsidRDefault="00535CCF" w:rsidP="00437344">
            <w:pPr>
              <w:spacing w:line="240" w:lineRule="auto"/>
              <w:rPr>
                <w:rFonts w:asciiTheme="minorHAnsi" w:hAnsiTheme="minorHAnsi" w:cs="Times New Roman"/>
                <w:b/>
                <w:bCs/>
                <w:color w:val="auto"/>
                <w:szCs w:val="20"/>
              </w:rPr>
            </w:pPr>
            <w:r w:rsidRPr="009B40BB">
              <w:rPr>
                <w:rFonts w:asciiTheme="minorHAnsi" w:hAnsiTheme="minorHAnsi" w:cs="Times New Roman"/>
                <w:b/>
                <w:bCs/>
                <w:color w:val="auto"/>
                <w:szCs w:val="20"/>
              </w:rPr>
              <w:t>Hazardous waste classification</w:t>
            </w:r>
          </w:p>
        </w:tc>
        <w:tc>
          <w:tcPr>
            <w:tcW w:w="1701" w:type="dxa"/>
            <w:tcBorders>
              <w:left w:val="nil"/>
              <w:bottom w:val="nil"/>
              <w:right w:val="nil"/>
            </w:tcBorders>
            <w:shd w:val="clear" w:color="auto" w:fill="auto"/>
            <w:vAlign w:val="center"/>
            <w:hideMark/>
          </w:tcPr>
          <w:p w:rsidR="00535CCF" w:rsidRPr="009B40BB" w:rsidRDefault="00535CCF" w:rsidP="00437344">
            <w:pPr>
              <w:spacing w:line="240" w:lineRule="auto"/>
              <w:jc w:val="right"/>
              <w:rPr>
                <w:rFonts w:asciiTheme="minorHAnsi" w:hAnsiTheme="minorHAnsi" w:cs="Times New Roman"/>
                <w:b/>
                <w:bCs/>
                <w:color w:val="auto"/>
                <w:szCs w:val="20"/>
              </w:rPr>
            </w:pPr>
            <w:r w:rsidRPr="009B40BB">
              <w:rPr>
                <w:rFonts w:asciiTheme="minorHAnsi" w:hAnsiTheme="minorHAnsi" w:cs="Times New Roman"/>
                <w:b/>
                <w:bCs/>
                <w:color w:val="auto"/>
                <w:szCs w:val="20"/>
              </w:rPr>
              <w:t xml:space="preserve">Waste generated </w:t>
            </w:r>
          </w:p>
        </w:tc>
      </w:tr>
      <w:tr w:rsidR="00504C0E" w:rsidRPr="009B40BB" w:rsidTr="00504C0E">
        <w:tc>
          <w:tcPr>
            <w:tcW w:w="675" w:type="dxa"/>
            <w:tcBorders>
              <w:top w:val="nil"/>
              <w:left w:val="nil"/>
              <w:bottom w:val="single" w:sz="8" w:space="0" w:color="808080" w:themeColor="background1" w:themeShade="80"/>
              <w:right w:val="nil"/>
            </w:tcBorders>
            <w:shd w:val="clear" w:color="auto" w:fill="auto"/>
            <w:vAlign w:val="center"/>
            <w:hideMark/>
          </w:tcPr>
          <w:p w:rsidR="00535CCF" w:rsidRPr="009B40BB" w:rsidRDefault="00535CCF" w:rsidP="00437344">
            <w:pPr>
              <w:spacing w:line="240" w:lineRule="auto"/>
              <w:rPr>
                <w:rFonts w:asciiTheme="minorHAnsi" w:hAnsiTheme="minorHAnsi" w:cs="Times New Roman"/>
                <w:bCs/>
                <w:color w:val="auto"/>
                <w:szCs w:val="20"/>
              </w:rPr>
            </w:pPr>
            <w:r w:rsidRPr="009B40BB">
              <w:rPr>
                <w:rFonts w:asciiTheme="minorHAnsi" w:hAnsiTheme="minorHAnsi" w:cs="Times New Roman"/>
                <w:bCs/>
                <w:color w:val="auto"/>
                <w:szCs w:val="20"/>
              </w:rPr>
              <w:t>Code</w:t>
            </w:r>
          </w:p>
        </w:tc>
        <w:tc>
          <w:tcPr>
            <w:tcW w:w="3119" w:type="dxa"/>
            <w:tcBorders>
              <w:top w:val="nil"/>
              <w:left w:val="nil"/>
              <w:bottom w:val="single" w:sz="8" w:space="0" w:color="808080" w:themeColor="background1" w:themeShade="80"/>
              <w:right w:val="nil"/>
            </w:tcBorders>
            <w:shd w:val="clear" w:color="auto" w:fill="auto"/>
            <w:vAlign w:val="center"/>
            <w:hideMark/>
          </w:tcPr>
          <w:p w:rsidR="00535CCF" w:rsidRPr="009B40BB" w:rsidRDefault="00535CCF" w:rsidP="00437344">
            <w:pPr>
              <w:spacing w:line="240" w:lineRule="auto"/>
              <w:rPr>
                <w:rFonts w:asciiTheme="minorHAnsi" w:hAnsiTheme="minorHAnsi" w:cs="Times New Roman"/>
                <w:bCs/>
                <w:color w:val="auto"/>
                <w:szCs w:val="20"/>
              </w:rPr>
            </w:pPr>
            <w:r w:rsidRPr="009B40BB">
              <w:rPr>
                <w:rFonts w:asciiTheme="minorHAnsi" w:hAnsiTheme="minorHAnsi" w:cs="Times New Roman"/>
                <w:bCs/>
                <w:color w:val="auto"/>
                <w:szCs w:val="20"/>
              </w:rPr>
              <w:t>Waste description</w:t>
            </w:r>
          </w:p>
        </w:tc>
        <w:tc>
          <w:tcPr>
            <w:tcW w:w="1701" w:type="dxa"/>
            <w:tcBorders>
              <w:top w:val="nil"/>
              <w:left w:val="nil"/>
              <w:bottom w:val="single" w:sz="8" w:space="0" w:color="808080" w:themeColor="background1" w:themeShade="80"/>
              <w:right w:val="nil"/>
            </w:tcBorders>
            <w:shd w:val="clear" w:color="auto" w:fill="auto"/>
            <w:vAlign w:val="center"/>
            <w:hideMark/>
          </w:tcPr>
          <w:p w:rsidR="00535CCF" w:rsidRPr="009B40BB" w:rsidRDefault="00504C0E" w:rsidP="00437344">
            <w:pPr>
              <w:spacing w:line="240" w:lineRule="auto"/>
              <w:jc w:val="right"/>
              <w:rPr>
                <w:rFonts w:asciiTheme="minorHAnsi" w:hAnsiTheme="minorHAnsi" w:cs="Times New Roman"/>
                <w:bCs/>
                <w:color w:val="auto"/>
                <w:szCs w:val="20"/>
              </w:rPr>
            </w:pPr>
            <w:r w:rsidRPr="009B40BB">
              <w:rPr>
                <w:rFonts w:asciiTheme="minorHAnsi" w:hAnsiTheme="minorHAnsi" w:cs="Times New Roman"/>
                <w:bCs/>
                <w:color w:val="auto"/>
                <w:szCs w:val="20"/>
              </w:rPr>
              <w:t>tonnes</w:t>
            </w:r>
          </w:p>
        </w:tc>
      </w:tr>
      <w:tr w:rsidR="00535CCF" w:rsidRPr="009B40BB" w:rsidTr="00504C0E">
        <w:tc>
          <w:tcPr>
            <w:tcW w:w="675" w:type="dxa"/>
            <w:tcBorders>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A</w:t>
            </w:r>
          </w:p>
        </w:tc>
        <w:tc>
          <w:tcPr>
            <w:tcW w:w="3119" w:type="dxa"/>
            <w:tcBorders>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 xml:space="preserve">Plating and heat treatment </w:t>
            </w:r>
          </w:p>
        </w:tc>
        <w:tc>
          <w:tcPr>
            <w:tcW w:w="1701" w:type="dxa"/>
            <w:tcBorders>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6,585</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B</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Acids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44,725</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C</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Alkaline wastes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335,371</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D</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Inorganic chemicals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266,221</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E</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Reactive chemicals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259</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F</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 xml:space="preserve">Paints, lacquers, varnish, </w:t>
            </w:r>
            <w:r w:rsidR="009B40BB" w:rsidRPr="009B40BB">
              <w:rPr>
                <w:rFonts w:asciiTheme="minorHAnsi" w:hAnsiTheme="minorHAnsi" w:cs="Times New Roman"/>
                <w:color w:val="000000"/>
                <w:szCs w:val="20"/>
              </w:rPr>
              <w:t>etc.</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63,373</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G</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Organic solvents, solvent residues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34,014</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H</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Pesticides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4,584</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J</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Oils, hydrocarbons, emulsions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758,575</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K</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Putrescible/organic wastes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783,297</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L</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Industrial washwaters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0</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M</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Organic chemicals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22,415</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N</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 xml:space="preserve">Solid/sludge wastes </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3,799,667</w:t>
            </w:r>
          </w:p>
        </w:tc>
      </w:tr>
      <w:tr w:rsidR="00535CCF" w:rsidRPr="009B40BB" w:rsidTr="00504C0E">
        <w:tc>
          <w:tcPr>
            <w:tcW w:w="675"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R</w:t>
            </w:r>
          </w:p>
        </w:tc>
        <w:tc>
          <w:tcPr>
            <w:tcW w:w="3119"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Clinical and pharmaceutical wastes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70,678</w:t>
            </w:r>
          </w:p>
        </w:tc>
      </w:tr>
      <w:tr w:rsidR="00535CCF" w:rsidRPr="009B40BB" w:rsidTr="00504C0E">
        <w:tc>
          <w:tcPr>
            <w:tcW w:w="675" w:type="dxa"/>
            <w:tcBorders>
              <w:top w:val="nil"/>
              <w:left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T</w:t>
            </w:r>
          </w:p>
        </w:tc>
        <w:tc>
          <w:tcPr>
            <w:tcW w:w="3119" w:type="dxa"/>
            <w:tcBorders>
              <w:top w:val="nil"/>
              <w:left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Times New Roman"/>
                <w:color w:val="000000"/>
                <w:szCs w:val="20"/>
              </w:rPr>
            </w:pPr>
            <w:r w:rsidRPr="009B40BB">
              <w:rPr>
                <w:rFonts w:asciiTheme="minorHAnsi" w:hAnsiTheme="minorHAnsi" w:cs="Times New Roman"/>
                <w:color w:val="000000"/>
                <w:szCs w:val="20"/>
              </w:rPr>
              <w:t>Miscellaneous</w:t>
            </w:r>
          </w:p>
        </w:tc>
        <w:tc>
          <w:tcPr>
            <w:tcW w:w="1701" w:type="dxa"/>
            <w:tcBorders>
              <w:top w:val="nil"/>
              <w:left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424,262</w:t>
            </w:r>
          </w:p>
        </w:tc>
      </w:tr>
      <w:tr w:rsidR="0077224E" w:rsidRPr="009B40BB" w:rsidTr="00504C0E">
        <w:tc>
          <w:tcPr>
            <w:tcW w:w="3794" w:type="dxa"/>
            <w:gridSpan w:val="2"/>
            <w:tcBorders>
              <w:left w:val="nil"/>
              <w:right w:val="nil"/>
            </w:tcBorders>
            <w:shd w:val="clear" w:color="auto" w:fill="auto"/>
            <w:noWrap/>
            <w:vAlign w:val="center"/>
            <w:hideMark/>
          </w:tcPr>
          <w:p w:rsidR="0077224E" w:rsidRPr="009B40BB" w:rsidRDefault="0077224E" w:rsidP="00504C0E">
            <w:pPr>
              <w:spacing w:line="240" w:lineRule="auto"/>
              <w:jc w:val="right"/>
              <w:rPr>
                <w:rFonts w:asciiTheme="minorHAnsi" w:hAnsiTheme="minorHAnsi" w:cs="Times New Roman"/>
                <w:b/>
                <w:bCs/>
                <w:color w:val="000000"/>
                <w:szCs w:val="20"/>
              </w:rPr>
            </w:pPr>
            <w:r w:rsidRPr="009B40BB">
              <w:rPr>
                <w:rFonts w:asciiTheme="minorHAnsi" w:hAnsiTheme="minorHAnsi" w:cs="Times New Roman"/>
                <w:b/>
                <w:bCs/>
                <w:color w:val="000000"/>
                <w:szCs w:val="20"/>
              </w:rPr>
              <w:t>Total</w:t>
            </w:r>
          </w:p>
        </w:tc>
        <w:tc>
          <w:tcPr>
            <w:tcW w:w="1701" w:type="dxa"/>
            <w:tcBorders>
              <w:left w:val="nil"/>
              <w:right w:val="nil"/>
            </w:tcBorders>
            <w:shd w:val="clear" w:color="auto" w:fill="auto"/>
            <w:vAlign w:val="center"/>
            <w:hideMark/>
          </w:tcPr>
          <w:p w:rsidR="0077224E" w:rsidRPr="009B40BB" w:rsidRDefault="0077224E" w:rsidP="00504C0E">
            <w:pPr>
              <w:spacing w:line="240" w:lineRule="auto"/>
              <w:jc w:val="right"/>
              <w:rPr>
                <w:rFonts w:asciiTheme="minorHAnsi" w:hAnsiTheme="minorHAnsi" w:cs="Times New Roman"/>
                <w:b/>
                <w:bCs/>
                <w:color w:val="000000"/>
                <w:szCs w:val="20"/>
              </w:rPr>
            </w:pPr>
            <w:r w:rsidRPr="009B40BB">
              <w:rPr>
                <w:rFonts w:asciiTheme="minorHAnsi" w:hAnsiTheme="minorHAnsi" w:cs="Times New Roman"/>
                <w:b/>
                <w:bCs/>
                <w:color w:val="000000"/>
                <w:szCs w:val="20"/>
              </w:rPr>
              <w:t>6,614,02</w:t>
            </w:r>
            <w:r w:rsidR="00843CE9" w:rsidRPr="009B40BB">
              <w:rPr>
                <w:rFonts w:asciiTheme="minorHAnsi" w:hAnsiTheme="minorHAnsi" w:cs="Times New Roman"/>
                <w:b/>
                <w:bCs/>
                <w:color w:val="000000"/>
                <w:szCs w:val="20"/>
              </w:rPr>
              <w:t>9</w:t>
            </w:r>
          </w:p>
        </w:tc>
      </w:tr>
    </w:tbl>
    <w:p w:rsidR="00535CCF" w:rsidRPr="009B40BB" w:rsidRDefault="00535CCF" w:rsidP="0065421E">
      <w:pPr>
        <w:pStyle w:val="BodyText"/>
      </w:pPr>
    </w:p>
    <w:p w:rsidR="00535CCF" w:rsidRPr="009B40BB" w:rsidRDefault="00535CCF" w:rsidP="0065421E">
      <w:pPr>
        <w:pStyle w:val="BodyText"/>
      </w:pPr>
    </w:p>
    <w:p w:rsidR="000C2BB8" w:rsidRPr="009B40BB" w:rsidRDefault="000C2BB8" w:rsidP="000C2BB8">
      <w:pPr>
        <w:pStyle w:val="Figures"/>
      </w:pPr>
      <w:bookmarkStart w:id="31" w:name="_Toc390770745"/>
      <w:r w:rsidRPr="009B40BB">
        <w:t xml:space="preserve">Table </w:t>
      </w:r>
      <w:r w:rsidR="003E6F16">
        <w:fldChar w:fldCharType="begin"/>
      </w:r>
      <w:r w:rsidR="00310B50">
        <w:instrText xml:space="preserve"> SEQ Table \* ARABIC </w:instrText>
      </w:r>
      <w:r w:rsidR="003E6F16">
        <w:fldChar w:fldCharType="separate"/>
      </w:r>
      <w:r w:rsidR="005B2F4C">
        <w:rPr>
          <w:noProof/>
        </w:rPr>
        <w:t>2</w:t>
      </w:r>
      <w:r w:rsidR="003E6F16">
        <w:rPr>
          <w:noProof/>
        </w:rPr>
        <w:fldChar w:fldCharType="end"/>
      </w:r>
      <w:r w:rsidRPr="009B40BB">
        <w:t xml:space="preserve">: </w:t>
      </w:r>
      <w:r w:rsidRPr="009B40BB">
        <w:tab/>
        <w:t>National hazardous waste data 2012 – by state and territory totals</w:t>
      </w:r>
      <w:bookmarkEnd w:id="31"/>
    </w:p>
    <w:tbl>
      <w:tblPr>
        <w:tblW w:w="3227"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top w:w="28" w:type="dxa"/>
          <w:bottom w:w="28" w:type="dxa"/>
        </w:tblCellMar>
        <w:tblLook w:val="04A0"/>
      </w:tblPr>
      <w:tblGrid>
        <w:gridCol w:w="1526"/>
        <w:gridCol w:w="1701"/>
      </w:tblGrid>
      <w:tr w:rsidR="00504C0E" w:rsidRPr="009B40BB" w:rsidTr="00437344">
        <w:tc>
          <w:tcPr>
            <w:tcW w:w="1526" w:type="dxa"/>
            <w:tcBorders>
              <w:left w:val="nil"/>
              <w:bottom w:val="single" w:sz="8" w:space="0" w:color="808080" w:themeColor="background1" w:themeShade="80"/>
              <w:right w:val="nil"/>
            </w:tcBorders>
            <w:shd w:val="clear" w:color="auto" w:fill="auto"/>
            <w:hideMark/>
          </w:tcPr>
          <w:p w:rsidR="00535CCF" w:rsidRPr="009B40BB" w:rsidRDefault="00535CCF" w:rsidP="00504C0E">
            <w:pPr>
              <w:spacing w:line="240" w:lineRule="auto"/>
              <w:rPr>
                <w:rFonts w:asciiTheme="minorHAnsi" w:hAnsiTheme="minorHAnsi" w:cs="Arial"/>
                <w:b/>
                <w:bCs/>
                <w:color w:val="auto"/>
                <w:szCs w:val="20"/>
              </w:rPr>
            </w:pPr>
            <w:r w:rsidRPr="009B40BB">
              <w:rPr>
                <w:rFonts w:asciiTheme="minorHAnsi" w:hAnsiTheme="minorHAnsi" w:cs="Arial"/>
                <w:b/>
                <w:bCs/>
                <w:color w:val="auto"/>
                <w:szCs w:val="20"/>
              </w:rPr>
              <w:t>State/ Territory</w:t>
            </w:r>
          </w:p>
        </w:tc>
        <w:tc>
          <w:tcPr>
            <w:tcW w:w="1701" w:type="dxa"/>
            <w:tcBorders>
              <w:left w:val="nil"/>
              <w:bottom w:val="single" w:sz="8" w:space="0" w:color="808080" w:themeColor="background1" w:themeShade="80"/>
              <w:right w:val="nil"/>
            </w:tcBorders>
            <w:shd w:val="clear" w:color="auto" w:fill="auto"/>
            <w:vAlign w:val="center"/>
            <w:hideMark/>
          </w:tcPr>
          <w:p w:rsidR="00504C0E" w:rsidRPr="009B40BB" w:rsidRDefault="00504C0E" w:rsidP="00437344">
            <w:pPr>
              <w:spacing w:line="240" w:lineRule="auto"/>
              <w:jc w:val="right"/>
              <w:rPr>
                <w:rFonts w:asciiTheme="minorHAnsi" w:hAnsiTheme="minorHAnsi" w:cs="Arial"/>
                <w:b/>
                <w:bCs/>
                <w:color w:val="auto"/>
                <w:szCs w:val="20"/>
              </w:rPr>
            </w:pPr>
            <w:r w:rsidRPr="009B40BB">
              <w:rPr>
                <w:rFonts w:asciiTheme="minorHAnsi" w:hAnsiTheme="minorHAnsi" w:cs="Arial"/>
                <w:b/>
                <w:bCs/>
                <w:color w:val="auto"/>
                <w:szCs w:val="20"/>
              </w:rPr>
              <w:t>Waste generated</w:t>
            </w:r>
          </w:p>
          <w:p w:rsidR="00535CCF" w:rsidRPr="009B40BB" w:rsidRDefault="00535CCF" w:rsidP="00437344">
            <w:pPr>
              <w:spacing w:line="240" w:lineRule="auto"/>
              <w:jc w:val="right"/>
              <w:rPr>
                <w:rFonts w:asciiTheme="minorHAnsi" w:hAnsiTheme="minorHAnsi" w:cs="Arial"/>
                <w:bCs/>
                <w:color w:val="auto"/>
                <w:szCs w:val="20"/>
              </w:rPr>
            </w:pPr>
            <w:r w:rsidRPr="009B40BB">
              <w:rPr>
                <w:rFonts w:asciiTheme="minorHAnsi" w:hAnsiTheme="minorHAnsi" w:cs="Arial"/>
                <w:bCs/>
                <w:color w:val="auto"/>
                <w:szCs w:val="20"/>
              </w:rPr>
              <w:t>tonnes</w:t>
            </w:r>
          </w:p>
        </w:tc>
      </w:tr>
      <w:tr w:rsidR="00535CCF" w:rsidRPr="009B40BB" w:rsidTr="00504C0E">
        <w:tc>
          <w:tcPr>
            <w:tcW w:w="1526" w:type="dxa"/>
            <w:tcBorders>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Arial"/>
                <w:color w:val="000000"/>
                <w:szCs w:val="20"/>
              </w:rPr>
            </w:pPr>
            <w:r w:rsidRPr="009B40BB">
              <w:rPr>
                <w:rFonts w:asciiTheme="minorHAnsi" w:hAnsiTheme="minorHAnsi" w:cs="Arial"/>
                <w:color w:val="000000"/>
                <w:szCs w:val="20"/>
              </w:rPr>
              <w:t>ACT</w:t>
            </w:r>
          </w:p>
        </w:tc>
        <w:tc>
          <w:tcPr>
            <w:tcW w:w="1701" w:type="dxa"/>
            <w:tcBorders>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68,309</w:t>
            </w:r>
          </w:p>
        </w:tc>
      </w:tr>
      <w:tr w:rsidR="00535CCF" w:rsidRPr="009B40BB" w:rsidTr="00504C0E">
        <w:tc>
          <w:tcPr>
            <w:tcW w:w="1526"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Arial"/>
                <w:color w:val="000000"/>
                <w:szCs w:val="20"/>
              </w:rPr>
            </w:pPr>
            <w:r w:rsidRPr="009B40BB">
              <w:rPr>
                <w:rFonts w:asciiTheme="minorHAnsi" w:hAnsiTheme="minorHAnsi" w:cs="Arial"/>
                <w:color w:val="000000"/>
                <w:szCs w:val="20"/>
              </w:rPr>
              <w:t>NSW</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1,768,996</w:t>
            </w:r>
          </w:p>
        </w:tc>
      </w:tr>
      <w:tr w:rsidR="00535CCF" w:rsidRPr="009B40BB" w:rsidTr="00504C0E">
        <w:tc>
          <w:tcPr>
            <w:tcW w:w="1526"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Arial"/>
                <w:color w:val="000000"/>
                <w:szCs w:val="20"/>
              </w:rPr>
            </w:pPr>
            <w:r w:rsidRPr="009B40BB">
              <w:rPr>
                <w:rFonts w:asciiTheme="minorHAnsi" w:hAnsiTheme="minorHAnsi" w:cs="Arial"/>
                <w:color w:val="000000"/>
                <w:szCs w:val="20"/>
              </w:rPr>
              <w:t>NT</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24,516</w:t>
            </w:r>
          </w:p>
        </w:tc>
      </w:tr>
      <w:tr w:rsidR="00535CCF" w:rsidRPr="009B40BB" w:rsidTr="00504C0E">
        <w:tc>
          <w:tcPr>
            <w:tcW w:w="1526"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Arial"/>
                <w:color w:val="000000"/>
                <w:szCs w:val="20"/>
              </w:rPr>
            </w:pPr>
            <w:r w:rsidRPr="009B40BB">
              <w:rPr>
                <w:rFonts w:asciiTheme="minorHAnsi" w:hAnsiTheme="minorHAnsi" w:cs="Arial"/>
                <w:color w:val="000000"/>
                <w:szCs w:val="20"/>
              </w:rPr>
              <w:t>QLD</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1,733,396</w:t>
            </w:r>
          </w:p>
        </w:tc>
      </w:tr>
      <w:tr w:rsidR="00535CCF" w:rsidRPr="009B40BB" w:rsidTr="00504C0E">
        <w:tc>
          <w:tcPr>
            <w:tcW w:w="1526"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Arial"/>
                <w:color w:val="000000"/>
                <w:szCs w:val="20"/>
              </w:rPr>
            </w:pPr>
            <w:r w:rsidRPr="009B40BB">
              <w:rPr>
                <w:rFonts w:asciiTheme="minorHAnsi" w:hAnsiTheme="minorHAnsi" w:cs="Arial"/>
                <w:color w:val="000000"/>
                <w:szCs w:val="20"/>
              </w:rPr>
              <w:t>SA</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880,292</w:t>
            </w:r>
          </w:p>
        </w:tc>
      </w:tr>
      <w:tr w:rsidR="00535CCF" w:rsidRPr="009B40BB" w:rsidTr="00504C0E">
        <w:tc>
          <w:tcPr>
            <w:tcW w:w="1526"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Arial"/>
                <w:color w:val="000000"/>
                <w:szCs w:val="20"/>
              </w:rPr>
            </w:pPr>
            <w:r w:rsidRPr="009B40BB">
              <w:rPr>
                <w:rFonts w:asciiTheme="minorHAnsi" w:hAnsiTheme="minorHAnsi" w:cs="Arial"/>
                <w:color w:val="000000"/>
                <w:szCs w:val="20"/>
              </w:rPr>
              <w:t>TAS</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172,781</w:t>
            </w:r>
          </w:p>
        </w:tc>
      </w:tr>
      <w:tr w:rsidR="00535CCF" w:rsidRPr="009B40BB" w:rsidTr="00504C0E">
        <w:tc>
          <w:tcPr>
            <w:tcW w:w="1526" w:type="dxa"/>
            <w:tcBorders>
              <w:top w:val="nil"/>
              <w:left w:val="nil"/>
              <w:bottom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Arial"/>
                <w:color w:val="000000"/>
                <w:szCs w:val="20"/>
              </w:rPr>
            </w:pPr>
            <w:r w:rsidRPr="009B40BB">
              <w:rPr>
                <w:rFonts w:asciiTheme="minorHAnsi" w:hAnsiTheme="minorHAnsi" w:cs="Arial"/>
                <w:color w:val="000000"/>
                <w:szCs w:val="20"/>
              </w:rPr>
              <w:t>VIC</w:t>
            </w:r>
          </w:p>
        </w:tc>
        <w:tc>
          <w:tcPr>
            <w:tcW w:w="1701" w:type="dxa"/>
            <w:tcBorders>
              <w:top w:val="nil"/>
              <w:left w:val="nil"/>
              <w:bottom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1,359,529</w:t>
            </w:r>
          </w:p>
        </w:tc>
      </w:tr>
      <w:tr w:rsidR="00535CCF" w:rsidRPr="009B40BB" w:rsidTr="00504C0E">
        <w:tc>
          <w:tcPr>
            <w:tcW w:w="1526" w:type="dxa"/>
            <w:tcBorders>
              <w:top w:val="nil"/>
              <w:left w:val="nil"/>
              <w:right w:val="nil"/>
            </w:tcBorders>
            <w:shd w:val="clear" w:color="auto" w:fill="auto"/>
            <w:noWrap/>
            <w:vAlign w:val="center"/>
            <w:hideMark/>
          </w:tcPr>
          <w:p w:rsidR="00535CCF" w:rsidRPr="009B40BB" w:rsidRDefault="00535CCF" w:rsidP="00504C0E">
            <w:pPr>
              <w:spacing w:line="240" w:lineRule="auto"/>
              <w:rPr>
                <w:rFonts w:asciiTheme="minorHAnsi" w:hAnsiTheme="minorHAnsi" w:cs="Arial"/>
                <w:color w:val="000000"/>
                <w:szCs w:val="20"/>
              </w:rPr>
            </w:pPr>
            <w:r w:rsidRPr="009B40BB">
              <w:rPr>
                <w:rFonts w:asciiTheme="minorHAnsi" w:hAnsiTheme="minorHAnsi" w:cs="Arial"/>
                <w:color w:val="000000"/>
                <w:szCs w:val="20"/>
              </w:rPr>
              <w:t>WA</w:t>
            </w:r>
          </w:p>
        </w:tc>
        <w:tc>
          <w:tcPr>
            <w:tcW w:w="1701" w:type="dxa"/>
            <w:tcBorders>
              <w:top w:val="nil"/>
              <w:left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Arial"/>
                <w:color w:val="000000"/>
                <w:szCs w:val="20"/>
              </w:rPr>
            </w:pPr>
            <w:r w:rsidRPr="009B40BB">
              <w:rPr>
                <w:rFonts w:asciiTheme="minorHAnsi" w:hAnsiTheme="minorHAnsi" w:cs="Arial"/>
                <w:color w:val="000000"/>
                <w:szCs w:val="20"/>
              </w:rPr>
              <w:t>606,211</w:t>
            </w:r>
          </w:p>
        </w:tc>
      </w:tr>
      <w:tr w:rsidR="00535CCF" w:rsidRPr="009B40BB" w:rsidTr="00504C0E">
        <w:tc>
          <w:tcPr>
            <w:tcW w:w="1526" w:type="dxa"/>
            <w:tcBorders>
              <w:left w:val="nil"/>
              <w:right w:val="nil"/>
            </w:tcBorders>
            <w:shd w:val="clear" w:color="auto" w:fill="auto"/>
            <w:noWrap/>
            <w:vAlign w:val="center"/>
            <w:hideMark/>
          </w:tcPr>
          <w:p w:rsidR="00535CCF" w:rsidRPr="009B40BB" w:rsidRDefault="00535CCF" w:rsidP="00504C0E">
            <w:pPr>
              <w:spacing w:line="240" w:lineRule="auto"/>
              <w:jc w:val="right"/>
              <w:rPr>
                <w:rFonts w:asciiTheme="minorHAnsi" w:hAnsiTheme="minorHAnsi" w:cs="Arial"/>
                <w:b/>
                <w:bCs/>
                <w:color w:val="000000"/>
                <w:szCs w:val="20"/>
              </w:rPr>
            </w:pPr>
            <w:r w:rsidRPr="009B40BB">
              <w:rPr>
                <w:rFonts w:asciiTheme="minorHAnsi" w:hAnsiTheme="minorHAnsi" w:cs="Arial"/>
                <w:b/>
                <w:bCs/>
                <w:color w:val="000000"/>
                <w:szCs w:val="20"/>
              </w:rPr>
              <w:t>Total</w:t>
            </w:r>
          </w:p>
        </w:tc>
        <w:tc>
          <w:tcPr>
            <w:tcW w:w="1701" w:type="dxa"/>
            <w:tcBorders>
              <w:left w:val="nil"/>
              <w:right w:val="nil"/>
            </w:tcBorders>
            <w:shd w:val="clear" w:color="auto" w:fill="auto"/>
            <w:vAlign w:val="center"/>
            <w:hideMark/>
          </w:tcPr>
          <w:p w:rsidR="00535CCF" w:rsidRPr="009B40BB" w:rsidRDefault="00535CCF" w:rsidP="00504C0E">
            <w:pPr>
              <w:spacing w:line="240" w:lineRule="auto"/>
              <w:jc w:val="right"/>
              <w:rPr>
                <w:rFonts w:asciiTheme="minorHAnsi" w:hAnsiTheme="minorHAnsi" w:cs="Arial"/>
                <w:b/>
                <w:bCs/>
                <w:color w:val="000000"/>
                <w:szCs w:val="20"/>
              </w:rPr>
            </w:pPr>
            <w:r w:rsidRPr="009B40BB">
              <w:rPr>
                <w:rFonts w:asciiTheme="minorHAnsi" w:hAnsiTheme="minorHAnsi" w:cs="Arial"/>
                <w:b/>
                <w:bCs/>
                <w:color w:val="000000"/>
                <w:szCs w:val="20"/>
              </w:rPr>
              <w:t>6,614,029</w:t>
            </w:r>
          </w:p>
        </w:tc>
      </w:tr>
    </w:tbl>
    <w:p w:rsidR="00535CCF" w:rsidRPr="009B40BB" w:rsidRDefault="00535CCF" w:rsidP="0065421E">
      <w:pPr>
        <w:pStyle w:val="BodyText"/>
      </w:pPr>
    </w:p>
    <w:p w:rsidR="00535CCF" w:rsidRPr="009B40BB" w:rsidRDefault="00535CCF" w:rsidP="0065421E">
      <w:pPr>
        <w:pStyle w:val="BodyText"/>
      </w:pPr>
    </w:p>
    <w:p w:rsidR="00853445" w:rsidRPr="009B40BB" w:rsidRDefault="00853445" w:rsidP="00853445">
      <w:pPr>
        <w:pStyle w:val="Heading2"/>
      </w:pPr>
      <w:bookmarkStart w:id="32" w:name="_Ref389210423"/>
      <w:bookmarkStart w:id="33" w:name="_Toc390770735"/>
      <w:r w:rsidRPr="009B40BB">
        <w:t>Hazardous waste fate data</w:t>
      </w:r>
      <w:bookmarkEnd w:id="32"/>
      <w:bookmarkEnd w:id="33"/>
    </w:p>
    <w:p w:rsidR="009F3F29" w:rsidRPr="009B40BB" w:rsidRDefault="009F3F29" w:rsidP="009F3F29">
      <w:pPr>
        <w:pStyle w:val="BodyText"/>
      </w:pPr>
      <w:r w:rsidRPr="009B40BB">
        <w:t xml:space="preserve">The </w:t>
      </w:r>
      <w:r w:rsidRPr="009B40BB">
        <w:rPr>
          <w:i/>
        </w:rPr>
        <w:t>Improving Australia's reporting on hazardous waste under the Basel Convention</w:t>
      </w:r>
      <w:r w:rsidRPr="009B40BB">
        <w:t xml:space="preserve"> project did not seek to obtain new data on fates of hazardous waste, such as disposal, recycling or energy recovery, as this is not required for Basel reporting.</w:t>
      </w:r>
      <w:r w:rsidR="00A374C7" w:rsidRPr="009B40BB">
        <w:t xml:space="preserve"> </w:t>
      </w:r>
      <w:r w:rsidRPr="009B40BB">
        <w:t xml:space="preserve">However, detailed fate information was obtained as part of the </w:t>
      </w:r>
      <w:r w:rsidRPr="009B40BB">
        <w:rPr>
          <w:i/>
        </w:rPr>
        <w:t>Hazardous Waste Data Assessment Final Report</w:t>
      </w:r>
      <w:r w:rsidRPr="009B40BB">
        <w:t>, prepared by KMH E</w:t>
      </w:r>
      <w:r w:rsidR="00AD70D4">
        <w:t>nvironmental (2013) on the 2010-</w:t>
      </w:r>
      <w:r w:rsidRPr="009B40BB">
        <w:t xml:space="preserve">11 data </w:t>
      </w:r>
      <w:proofErr w:type="gramStart"/>
      <w:r w:rsidRPr="009B40BB">
        <w:t>set</w:t>
      </w:r>
      <w:proofErr w:type="gramEnd"/>
      <w:r w:rsidRPr="009B40BB">
        <w:t>.</w:t>
      </w:r>
    </w:p>
    <w:p w:rsidR="009F3F29" w:rsidRPr="009B40BB" w:rsidRDefault="009F3F29" w:rsidP="00A73BC5">
      <w:pPr>
        <w:pStyle w:val="BodyText"/>
      </w:pPr>
    </w:p>
    <w:p w:rsidR="00D115DD" w:rsidRDefault="00286B53" w:rsidP="00A73BC5">
      <w:pPr>
        <w:pStyle w:val="BodyText"/>
      </w:pPr>
      <w:r w:rsidRPr="009B40BB">
        <w:t>Given the relative agreeme</w:t>
      </w:r>
      <w:r w:rsidR="00AD70D4">
        <w:t>nt in generation data from 2010-</w:t>
      </w:r>
      <w:r w:rsidRPr="009B40BB">
        <w:t>11 to the current period (2012), and the closeness of the data set years, this reference provides a good indication of the likely fate tonnages for 2012.</w:t>
      </w:r>
      <w:r w:rsidR="00A374C7" w:rsidRPr="009B40BB">
        <w:t xml:space="preserve"> </w:t>
      </w:r>
      <w:r w:rsidR="009F3F29" w:rsidRPr="009B40BB">
        <w:t>Extracts from this report, showing hazardous waste fate to</w:t>
      </w:r>
      <w:r w:rsidR="00AD70D4">
        <w:t>nnages across Australia in 2010-</w:t>
      </w:r>
      <w:r w:rsidR="009F3F29" w:rsidRPr="009B40BB">
        <w:t>11, are shown below.</w:t>
      </w:r>
      <w:r w:rsidR="00A374C7" w:rsidRPr="009B40BB">
        <w:t xml:space="preserve"> </w:t>
      </w:r>
    </w:p>
    <w:p w:rsidR="00D115DD" w:rsidRDefault="00D115DD" w:rsidP="00A73BC5">
      <w:pPr>
        <w:pStyle w:val="BodyText"/>
      </w:pPr>
    </w:p>
    <w:p w:rsidR="00D115DD" w:rsidRPr="001E0CF6" w:rsidRDefault="00142B7B" w:rsidP="00A73BC5">
      <w:pPr>
        <w:pStyle w:val="BodyText"/>
        <w:rPr>
          <w:i/>
        </w:rPr>
      </w:pPr>
      <w:r w:rsidRPr="001E0CF6">
        <w:rPr>
          <w:i/>
        </w:rPr>
        <w:t>Note</w:t>
      </w:r>
      <w:r w:rsidR="001E0CF6" w:rsidRPr="001E0CF6">
        <w:rPr>
          <w:i/>
        </w:rPr>
        <w:t>s regarding this section</w:t>
      </w:r>
      <w:r w:rsidR="00D115DD" w:rsidRPr="001E0CF6">
        <w:rPr>
          <w:i/>
        </w:rPr>
        <w:t>:</w:t>
      </w:r>
    </w:p>
    <w:p w:rsidR="00033A47" w:rsidRDefault="00D115DD" w:rsidP="00A73BC5">
      <w:pPr>
        <w:pStyle w:val="BodyText"/>
      </w:pPr>
      <w:r>
        <w:t>1. A</w:t>
      </w:r>
      <w:r w:rsidR="00142B7B" w:rsidRPr="009B40BB">
        <w:t xml:space="preserve"> number of (smaller) jurisdictions do not collect hazardous waste fate data, </w:t>
      </w:r>
      <w:r>
        <w:t xml:space="preserve">due to some of the management priority differences outlined in section 4.1, </w:t>
      </w:r>
      <w:r w:rsidR="00142B7B" w:rsidRPr="009B40BB">
        <w:t>as indicated</w:t>
      </w:r>
      <w:r>
        <w:t xml:space="preserve"> below</w:t>
      </w:r>
      <w:r w:rsidR="00142B7B" w:rsidRPr="009B40BB">
        <w:t>.</w:t>
      </w:r>
    </w:p>
    <w:p w:rsidR="00D115DD" w:rsidRDefault="00D115DD" w:rsidP="00A73BC5">
      <w:pPr>
        <w:pStyle w:val="BodyText"/>
      </w:pPr>
    </w:p>
    <w:p w:rsidR="00D115DD" w:rsidRDefault="00D115DD" w:rsidP="00A73BC5">
      <w:pPr>
        <w:pStyle w:val="BodyText"/>
      </w:pPr>
      <w:r>
        <w:t xml:space="preserve">2. Fate </w:t>
      </w:r>
      <w:proofErr w:type="gramStart"/>
      <w:r>
        <w:t>types</w:t>
      </w:r>
      <w:proofErr w:type="gramEnd"/>
      <w:r>
        <w:t xml:space="preserve"> labels (storage, recycled, treated </w:t>
      </w:r>
      <w:r w:rsidR="00E42C4E">
        <w:t>etc.</w:t>
      </w:r>
      <w:r>
        <w:t>) on the figures in this section may vary.</w:t>
      </w:r>
      <w:r w:rsidR="0065463B">
        <w:t xml:space="preserve"> </w:t>
      </w:r>
      <w:r>
        <w:t>This is because the KMH project was constrained by the variation in categorisations that were collected by each of these states, as part of their tracking systems.</w:t>
      </w:r>
    </w:p>
    <w:p w:rsidR="00D115DD" w:rsidRDefault="00D115DD" w:rsidP="00A73BC5">
      <w:pPr>
        <w:pStyle w:val="BodyText"/>
      </w:pPr>
    </w:p>
    <w:p w:rsidR="00D115DD" w:rsidRPr="009B40BB" w:rsidRDefault="00D115DD" w:rsidP="00A73BC5">
      <w:pPr>
        <w:pStyle w:val="BodyText"/>
      </w:pPr>
      <w:r>
        <w:t>3.</w:t>
      </w:r>
      <w:r w:rsidR="0065463B">
        <w:t xml:space="preserve"> </w:t>
      </w:r>
      <w:r w:rsidR="001E0CF6">
        <w:t xml:space="preserve">Absent values (represented by “-“) or absent chart bars in Figures 2-4 indicate that, while a particular fate category was relevant in that state, data is not tracked. </w:t>
      </w:r>
    </w:p>
    <w:p w:rsidR="00286B53" w:rsidRPr="009B40BB" w:rsidRDefault="00286B53" w:rsidP="00A73BC5">
      <w:pPr>
        <w:pStyle w:val="BodyText"/>
      </w:pPr>
    </w:p>
    <w:p w:rsidR="00286B53" w:rsidRPr="009B40BB" w:rsidRDefault="00286B53" w:rsidP="00286B53">
      <w:pPr>
        <w:pStyle w:val="BodyText"/>
        <w:rPr>
          <w:b/>
          <w:color w:val="0000FF" w:themeColor="accent1"/>
          <w:sz w:val="24"/>
        </w:rPr>
      </w:pPr>
      <w:r w:rsidRPr="009B40BB">
        <w:rPr>
          <w:b/>
          <w:color w:val="0000FF" w:themeColor="accent1"/>
          <w:sz w:val="24"/>
        </w:rPr>
        <w:t>Australian Capital Territory</w:t>
      </w:r>
    </w:p>
    <w:p w:rsidR="00286B53" w:rsidRPr="009B40BB" w:rsidRDefault="00286B53" w:rsidP="00286B53">
      <w:pPr>
        <w:pStyle w:val="BodyText"/>
      </w:pPr>
    </w:p>
    <w:p w:rsidR="00286B53" w:rsidRPr="009B40BB" w:rsidRDefault="00286B53" w:rsidP="00286B53">
      <w:pPr>
        <w:pStyle w:val="BodyText"/>
      </w:pPr>
      <w:r w:rsidRPr="009B40BB">
        <w:t>The Australian Capital Territory has no licensed facility for hazard</w:t>
      </w:r>
      <w:r w:rsidR="00142B7B" w:rsidRPr="009B40BB">
        <w:t xml:space="preserve">ous waste treatment or disposal; </w:t>
      </w:r>
      <w:r w:rsidRPr="009B40BB">
        <w:t>therefore most hazardous wastes generated within the Australian Capital Territory are exported to New South Wales for disposal/ treatment.</w:t>
      </w:r>
    </w:p>
    <w:p w:rsidR="00286B53" w:rsidRPr="009B40BB" w:rsidRDefault="00286B53" w:rsidP="00286B53">
      <w:pPr>
        <w:pStyle w:val="BodyText"/>
      </w:pPr>
    </w:p>
    <w:p w:rsidR="00286B53" w:rsidRPr="009B40BB" w:rsidRDefault="00286B53" w:rsidP="00A73BC5">
      <w:pPr>
        <w:pStyle w:val="BodyText"/>
        <w:rPr>
          <w:b/>
          <w:color w:val="0000FF" w:themeColor="accent1"/>
          <w:sz w:val="24"/>
        </w:rPr>
      </w:pPr>
      <w:r w:rsidRPr="009B40BB">
        <w:rPr>
          <w:b/>
          <w:color w:val="0000FF" w:themeColor="accent1"/>
          <w:sz w:val="24"/>
        </w:rPr>
        <w:t>New South Wales</w:t>
      </w:r>
    </w:p>
    <w:p w:rsidR="00500C1D" w:rsidRPr="009B40BB" w:rsidRDefault="00500C1D" w:rsidP="00500C1D">
      <w:pPr>
        <w:pStyle w:val="Figures"/>
      </w:pPr>
      <w:bookmarkStart w:id="34" w:name="_Toc350252006"/>
      <w:bookmarkStart w:id="35" w:name="_Toc390770741"/>
      <w:r w:rsidRPr="009B40BB">
        <w:t xml:space="preserve">Figure </w:t>
      </w:r>
      <w:r w:rsidR="003E6F16">
        <w:fldChar w:fldCharType="begin"/>
      </w:r>
      <w:r w:rsidR="00310B50">
        <w:instrText xml:space="preserve"> SEQ Figure \* ARABIC </w:instrText>
      </w:r>
      <w:r w:rsidR="003E6F16">
        <w:fldChar w:fldCharType="separate"/>
      </w:r>
      <w:r w:rsidR="005B2F4C">
        <w:rPr>
          <w:noProof/>
        </w:rPr>
        <w:t>2</w:t>
      </w:r>
      <w:r w:rsidR="003E6F16">
        <w:rPr>
          <w:noProof/>
        </w:rPr>
        <w:fldChar w:fldCharType="end"/>
      </w:r>
      <w:r w:rsidRPr="009B40BB">
        <w:t>:</w:t>
      </w:r>
      <w:r w:rsidRPr="009B40BB">
        <w:tab/>
        <w:t>Hazardous waste treatment/disposal (New South Wales 2010–11)</w:t>
      </w:r>
      <w:bookmarkEnd w:id="34"/>
      <w:bookmarkEnd w:id="35"/>
    </w:p>
    <w:p w:rsidR="009F3F29" w:rsidRDefault="00EC3125" w:rsidP="009F3F29">
      <w:pPr>
        <w:rPr>
          <w:noProof/>
          <w:lang w:val="en-US"/>
        </w:rPr>
      </w:pPr>
      <w:r>
        <w:rPr>
          <w:noProof/>
          <w:lang w:eastAsia="en-AU"/>
        </w:rPr>
        <w:drawing>
          <wp:inline distT="0" distB="0" distL="0" distR="0">
            <wp:extent cx="5886450" cy="3411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7498" cy="3412497"/>
                    </a:xfrm>
                    <a:prstGeom prst="rect">
                      <a:avLst/>
                    </a:prstGeom>
                    <a:noFill/>
                  </pic:spPr>
                </pic:pic>
              </a:graphicData>
            </a:graphic>
          </wp:inline>
        </w:drawing>
      </w:r>
    </w:p>
    <w:p w:rsidR="009F3F29" w:rsidRPr="009B40BB" w:rsidRDefault="00500C1D" w:rsidP="00A73BC5">
      <w:pPr>
        <w:pStyle w:val="BodyText"/>
        <w:rPr>
          <w:sz w:val="18"/>
        </w:rPr>
      </w:pPr>
      <w:r w:rsidRPr="009B40BB">
        <w:rPr>
          <w:sz w:val="18"/>
        </w:rPr>
        <w:t xml:space="preserve"> </w:t>
      </w:r>
      <w:r w:rsidR="00286B53" w:rsidRPr="009B40BB">
        <w:rPr>
          <w:sz w:val="18"/>
        </w:rPr>
        <w:t>(Source: Hazardous Waste Data Assessment F</w:t>
      </w:r>
      <w:r w:rsidR="007E279D">
        <w:rPr>
          <w:sz w:val="18"/>
        </w:rPr>
        <w:t>inal Report, KMH Environmental [2013]</w:t>
      </w:r>
      <w:r w:rsidR="00286B53" w:rsidRPr="009B40BB">
        <w:rPr>
          <w:sz w:val="18"/>
        </w:rPr>
        <w:t>, page 26.)</w:t>
      </w:r>
    </w:p>
    <w:p w:rsidR="00853445" w:rsidRPr="009B40BB" w:rsidRDefault="00853445" w:rsidP="00A73BC5">
      <w:pPr>
        <w:pStyle w:val="BodyText"/>
      </w:pPr>
    </w:p>
    <w:p w:rsidR="00286B53" w:rsidRPr="009B40BB" w:rsidRDefault="00286B53">
      <w:pPr>
        <w:spacing w:line="240" w:lineRule="auto"/>
        <w:rPr>
          <w:b/>
          <w:color w:val="0000FF" w:themeColor="accent1"/>
          <w:sz w:val="24"/>
        </w:rPr>
      </w:pPr>
      <w:r w:rsidRPr="009B40BB">
        <w:rPr>
          <w:b/>
          <w:color w:val="0000FF" w:themeColor="accent1"/>
          <w:sz w:val="24"/>
        </w:rPr>
        <w:t>Northern Territory</w:t>
      </w:r>
    </w:p>
    <w:p w:rsidR="00286B53" w:rsidRPr="009B40BB" w:rsidRDefault="00286B53" w:rsidP="00286B53">
      <w:pPr>
        <w:rPr>
          <w:sz w:val="22"/>
        </w:rPr>
      </w:pPr>
    </w:p>
    <w:p w:rsidR="00286B53" w:rsidRPr="009B40BB" w:rsidRDefault="00142B7B" w:rsidP="00286B53">
      <w:pPr>
        <w:rPr>
          <w:sz w:val="22"/>
        </w:rPr>
      </w:pPr>
      <w:r w:rsidRPr="009B40BB">
        <w:rPr>
          <w:sz w:val="22"/>
        </w:rPr>
        <w:t>All hazardous wastes generated in the Northern Territory is either stored or exported for treatment in other jurisdictions.</w:t>
      </w:r>
    </w:p>
    <w:p w:rsidR="00142B7B" w:rsidRPr="009B40BB" w:rsidRDefault="00142B7B" w:rsidP="00286B53">
      <w:pPr>
        <w:rPr>
          <w:sz w:val="22"/>
        </w:rPr>
      </w:pPr>
    </w:p>
    <w:p w:rsidR="00EC3125" w:rsidRDefault="00EC3125">
      <w:pPr>
        <w:spacing w:line="240" w:lineRule="auto"/>
        <w:rPr>
          <w:b/>
          <w:color w:val="0000FF" w:themeColor="accent1"/>
          <w:sz w:val="24"/>
        </w:rPr>
      </w:pPr>
      <w:r>
        <w:rPr>
          <w:b/>
          <w:color w:val="0000FF" w:themeColor="accent1"/>
          <w:sz w:val="24"/>
        </w:rPr>
        <w:br w:type="page"/>
      </w:r>
    </w:p>
    <w:p w:rsidR="00286B53" w:rsidRPr="009B40BB" w:rsidRDefault="00286B53" w:rsidP="00286B53">
      <w:pPr>
        <w:spacing w:line="240" w:lineRule="auto"/>
        <w:rPr>
          <w:b/>
          <w:color w:val="0000FF" w:themeColor="accent1"/>
          <w:sz w:val="24"/>
        </w:rPr>
      </w:pPr>
      <w:r w:rsidRPr="009B40BB">
        <w:rPr>
          <w:b/>
          <w:color w:val="0000FF" w:themeColor="accent1"/>
          <w:sz w:val="24"/>
        </w:rPr>
        <w:lastRenderedPageBreak/>
        <w:t>Queensland</w:t>
      </w:r>
    </w:p>
    <w:p w:rsidR="00500C1D" w:rsidRPr="009B40BB" w:rsidRDefault="00500C1D" w:rsidP="00500C1D">
      <w:pPr>
        <w:pStyle w:val="Figures"/>
      </w:pPr>
      <w:bookmarkStart w:id="36" w:name="_Toc350252011"/>
      <w:bookmarkStart w:id="37" w:name="_Toc390770742"/>
      <w:r w:rsidRPr="009B40BB">
        <w:t xml:space="preserve">Figure </w:t>
      </w:r>
      <w:r w:rsidR="003E6F16">
        <w:fldChar w:fldCharType="begin"/>
      </w:r>
      <w:r w:rsidR="00310B50">
        <w:instrText xml:space="preserve"> SEQ Figure \* ARABIC </w:instrText>
      </w:r>
      <w:r w:rsidR="003E6F16">
        <w:fldChar w:fldCharType="separate"/>
      </w:r>
      <w:r w:rsidR="005B2F4C">
        <w:rPr>
          <w:noProof/>
        </w:rPr>
        <w:t>3</w:t>
      </w:r>
      <w:r w:rsidR="003E6F16">
        <w:rPr>
          <w:noProof/>
        </w:rPr>
        <w:fldChar w:fldCharType="end"/>
      </w:r>
      <w:r w:rsidRPr="009B40BB">
        <w:t>:</w:t>
      </w:r>
      <w:r w:rsidRPr="009B40BB">
        <w:tab/>
        <w:t>Hazardous waste treatment/disposal (Queensland 2010–11)</w:t>
      </w:r>
      <w:bookmarkEnd w:id="36"/>
      <w:bookmarkEnd w:id="37"/>
    </w:p>
    <w:p w:rsidR="00286B53" w:rsidRPr="009B40BB" w:rsidRDefault="00EC3125" w:rsidP="00286B53">
      <w:r>
        <w:rPr>
          <w:noProof/>
          <w:lang w:eastAsia="en-AU"/>
        </w:rPr>
        <w:drawing>
          <wp:inline distT="0" distB="0" distL="0" distR="0">
            <wp:extent cx="4972050" cy="28818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943" cy="2882407"/>
                    </a:xfrm>
                    <a:prstGeom prst="rect">
                      <a:avLst/>
                    </a:prstGeom>
                    <a:noFill/>
                  </pic:spPr>
                </pic:pic>
              </a:graphicData>
            </a:graphic>
          </wp:inline>
        </w:drawing>
      </w:r>
    </w:p>
    <w:p w:rsidR="00286B53" w:rsidRPr="009B40BB" w:rsidRDefault="00500C1D" w:rsidP="00286B53">
      <w:pPr>
        <w:pStyle w:val="BodyText"/>
        <w:rPr>
          <w:sz w:val="18"/>
        </w:rPr>
      </w:pPr>
      <w:r w:rsidRPr="009B40BB">
        <w:rPr>
          <w:sz w:val="18"/>
        </w:rPr>
        <w:t xml:space="preserve"> </w:t>
      </w:r>
      <w:r w:rsidR="00286B53" w:rsidRPr="009B40BB">
        <w:rPr>
          <w:sz w:val="18"/>
        </w:rPr>
        <w:t>(Source: Hazardous Waste Data Assessment F</w:t>
      </w:r>
      <w:r w:rsidR="007E279D">
        <w:rPr>
          <w:sz w:val="18"/>
        </w:rPr>
        <w:t>inal Report, KMH Environmental [</w:t>
      </w:r>
      <w:r w:rsidR="00286B53" w:rsidRPr="009B40BB">
        <w:rPr>
          <w:sz w:val="18"/>
        </w:rPr>
        <w:t>2013</w:t>
      </w:r>
      <w:r w:rsidR="007E279D">
        <w:rPr>
          <w:sz w:val="18"/>
        </w:rPr>
        <w:t>]</w:t>
      </w:r>
      <w:r w:rsidR="00286B53" w:rsidRPr="009B40BB">
        <w:rPr>
          <w:sz w:val="18"/>
        </w:rPr>
        <w:t>, page 35.)</w:t>
      </w:r>
    </w:p>
    <w:p w:rsidR="00286B53" w:rsidRPr="009B40BB" w:rsidRDefault="00286B53">
      <w:pPr>
        <w:spacing w:line="240" w:lineRule="auto"/>
      </w:pPr>
    </w:p>
    <w:p w:rsidR="00286B53" w:rsidRPr="009B40BB" w:rsidRDefault="00286B53">
      <w:pPr>
        <w:spacing w:line="240" w:lineRule="auto"/>
        <w:rPr>
          <w:b/>
          <w:color w:val="0000FF" w:themeColor="accent1"/>
          <w:sz w:val="24"/>
        </w:rPr>
      </w:pPr>
      <w:r w:rsidRPr="009B40BB">
        <w:rPr>
          <w:b/>
          <w:color w:val="0000FF" w:themeColor="accent1"/>
          <w:sz w:val="24"/>
        </w:rPr>
        <w:t>South Australia</w:t>
      </w:r>
    </w:p>
    <w:p w:rsidR="00286B53" w:rsidRPr="009B40BB" w:rsidRDefault="00286B53">
      <w:pPr>
        <w:spacing w:line="240" w:lineRule="auto"/>
      </w:pPr>
    </w:p>
    <w:p w:rsidR="00286B53" w:rsidRPr="009B40BB" w:rsidRDefault="00142B7B">
      <w:pPr>
        <w:spacing w:line="240" w:lineRule="auto"/>
      </w:pPr>
      <w:r w:rsidRPr="009B40BB">
        <w:t>South Australia’s waste tracking system does not record data on the treatment or disposal of wastes. This information is contained within consignment notes for interstate movements but not for intrastate movements.</w:t>
      </w:r>
    </w:p>
    <w:p w:rsidR="00142B7B" w:rsidRPr="009B40BB" w:rsidRDefault="00142B7B">
      <w:pPr>
        <w:spacing w:line="240" w:lineRule="auto"/>
      </w:pPr>
    </w:p>
    <w:p w:rsidR="00286B53" w:rsidRPr="009B40BB" w:rsidRDefault="00286B53">
      <w:pPr>
        <w:spacing w:line="240" w:lineRule="auto"/>
        <w:rPr>
          <w:b/>
          <w:color w:val="0000FF" w:themeColor="accent1"/>
          <w:sz w:val="24"/>
        </w:rPr>
      </w:pPr>
      <w:r w:rsidRPr="009B40BB">
        <w:rPr>
          <w:b/>
          <w:color w:val="0000FF" w:themeColor="accent1"/>
          <w:sz w:val="24"/>
        </w:rPr>
        <w:t>Tasmania</w:t>
      </w:r>
    </w:p>
    <w:p w:rsidR="00286B53" w:rsidRPr="009B40BB" w:rsidRDefault="00286B53">
      <w:pPr>
        <w:spacing w:line="240" w:lineRule="auto"/>
      </w:pPr>
    </w:p>
    <w:p w:rsidR="00286B53" w:rsidRPr="009B40BB" w:rsidRDefault="00142B7B">
      <w:pPr>
        <w:spacing w:line="240" w:lineRule="auto"/>
      </w:pPr>
      <w:r w:rsidRPr="009B40BB">
        <w:t>Waste treatment and disposal data is not recorded in Tasmania.</w:t>
      </w:r>
    </w:p>
    <w:p w:rsidR="00142B7B" w:rsidRPr="009B40BB" w:rsidRDefault="00142B7B">
      <w:pPr>
        <w:spacing w:line="240" w:lineRule="auto"/>
      </w:pPr>
    </w:p>
    <w:p w:rsidR="00286B53" w:rsidRPr="009B40BB" w:rsidRDefault="00286B53">
      <w:pPr>
        <w:spacing w:line="240" w:lineRule="auto"/>
        <w:rPr>
          <w:b/>
          <w:color w:val="0000FF" w:themeColor="accent1"/>
          <w:sz w:val="24"/>
        </w:rPr>
      </w:pPr>
      <w:r w:rsidRPr="009B40BB">
        <w:rPr>
          <w:b/>
          <w:color w:val="0000FF" w:themeColor="accent1"/>
          <w:sz w:val="24"/>
        </w:rPr>
        <w:t>Victoria</w:t>
      </w:r>
    </w:p>
    <w:p w:rsidR="00500C1D" w:rsidRPr="009B40BB" w:rsidRDefault="00500C1D" w:rsidP="00500C1D">
      <w:pPr>
        <w:pStyle w:val="Figures"/>
      </w:pPr>
      <w:bookmarkStart w:id="38" w:name="_Toc350252008"/>
      <w:bookmarkStart w:id="39" w:name="_Toc390770743"/>
      <w:r w:rsidRPr="009B40BB">
        <w:t xml:space="preserve">Figure </w:t>
      </w:r>
      <w:r w:rsidR="003E6F16">
        <w:fldChar w:fldCharType="begin"/>
      </w:r>
      <w:r w:rsidR="00310B50">
        <w:instrText xml:space="preserve"> SEQ Figure \* ARABIC </w:instrText>
      </w:r>
      <w:r w:rsidR="003E6F16">
        <w:fldChar w:fldCharType="separate"/>
      </w:r>
      <w:r w:rsidR="005B2F4C">
        <w:rPr>
          <w:noProof/>
        </w:rPr>
        <w:t>4</w:t>
      </w:r>
      <w:r w:rsidR="003E6F16">
        <w:rPr>
          <w:noProof/>
        </w:rPr>
        <w:fldChar w:fldCharType="end"/>
      </w:r>
      <w:r w:rsidRPr="009B40BB">
        <w:t>:</w:t>
      </w:r>
      <w:r w:rsidRPr="009B40BB">
        <w:tab/>
        <w:t>Hazardous waste treatment/disposal (Victoria 2010–11)</w:t>
      </w:r>
      <w:bookmarkEnd w:id="38"/>
      <w:bookmarkEnd w:id="39"/>
    </w:p>
    <w:p w:rsidR="00142B7B" w:rsidRPr="009B40BB" w:rsidRDefault="00EC3125" w:rsidP="00142B7B">
      <w:r>
        <w:rPr>
          <w:noProof/>
          <w:lang w:eastAsia="en-AU"/>
        </w:rPr>
        <w:drawing>
          <wp:inline distT="0" distB="0" distL="0" distR="0">
            <wp:extent cx="5448300" cy="2972522"/>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33" b="4890"/>
                    <a:stretch/>
                  </pic:blipFill>
                  <pic:spPr bwMode="auto">
                    <a:xfrm>
                      <a:off x="0" y="0"/>
                      <a:ext cx="5451158" cy="29740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3125" w:rsidRPr="009B40BB" w:rsidRDefault="00EC3125" w:rsidP="00EC3125">
      <w:pPr>
        <w:pStyle w:val="BodyText"/>
        <w:spacing w:before="120"/>
        <w:rPr>
          <w:sz w:val="18"/>
        </w:rPr>
      </w:pPr>
      <w:r w:rsidRPr="009B40BB">
        <w:rPr>
          <w:sz w:val="18"/>
        </w:rPr>
        <w:t>(Source: Hazardous Waste Data Assessment F</w:t>
      </w:r>
      <w:r>
        <w:rPr>
          <w:sz w:val="18"/>
        </w:rPr>
        <w:t>inal Report, KMH Environmental [</w:t>
      </w:r>
      <w:r w:rsidRPr="009B40BB">
        <w:rPr>
          <w:sz w:val="18"/>
        </w:rPr>
        <w:t>2013</w:t>
      </w:r>
      <w:r>
        <w:rPr>
          <w:sz w:val="18"/>
        </w:rPr>
        <w:t>]</w:t>
      </w:r>
      <w:r w:rsidRPr="009B40BB">
        <w:rPr>
          <w:sz w:val="18"/>
        </w:rPr>
        <w:t>, page 31.)</w:t>
      </w:r>
    </w:p>
    <w:p w:rsidR="00EC3125" w:rsidRDefault="00EC3125" w:rsidP="00825ECD">
      <w:pPr>
        <w:pStyle w:val="BodyText"/>
      </w:pPr>
    </w:p>
    <w:p w:rsidR="00142B7B" w:rsidRPr="009B40BB" w:rsidRDefault="00142B7B" w:rsidP="00825ECD">
      <w:pPr>
        <w:pStyle w:val="BodyText"/>
      </w:pPr>
      <w:r w:rsidRPr="009B40BB">
        <w:t>Notes:</w:t>
      </w:r>
    </w:p>
    <w:p w:rsidR="00142B7B" w:rsidRPr="009B40BB" w:rsidRDefault="00142B7B" w:rsidP="00A768C4">
      <w:pPr>
        <w:pStyle w:val="ListNumber"/>
        <w:numPr>
          <w:ilvl w:val="0"/>
          <w:numId w:val="17"/>
        </w:numPr>
      </w:pPr>
      <w:r w:rsidRPr="009B40BB">
        <w:t>The ‘other’ treatment category is a catch-all for waste transport certificates that were filled out incorrectly and as a result contain errors or omissions in the treatment category.</w:t>
      </w:r>
    </w:p>
    <w:p w:rsidR="00142B7B" w:rsidRPr="009B40BB" w:rsidRDefault="00142B7B" w:rsidP="00A768C4">
      <w:pPr>
        <w:pStyle w:val="ListNumber"/>
        <w:numPr>
          <w:ilvl w:val="0"/>
          <w:numId w:val="17"/>
        </w:numPr>
      </w:pPr>
      <w:r w:rsidRPr="009B40BB">
        <w:t>Victoria is the only jurisdiction to report tonnages for re-use as a treatment pathway.</w:t>
      </w:r>
    </w:p>
    <w:p w:rsidR="00142B7B" w:rsidRPr="009B40BB" w:rsidRDefault="00142B7B">
      <w:pPr>
        <w:spacing w:line="240" w:lineRule="auto"/>
      </w:pPr>
    </w:p>
    <w:p w:rsidR="00286B53" w:rsidRPr="009B40BB" w:rsidRDefault="00286B53">
      <w:pPr>
        <w:spacing w:line="240" w:lineRule="auto"/>
        <w:rPr>
          <w:b/>
          <w:color w:val="0000FF" w:themeColor="accent1"/>
          <w:sz w:val="24"/>
        </w:rPr>
      </w:pPr>
      <w:r w:rsidRPr="009B40BB">
        <w:rPr>
          <w:b/>
          <w:color w:val="0000FF" w:themeColor="accent1"/>
          <w:sz w:val="24"/>
        </w:rPr>
        <w:t>Western Australia</w:t>
      </w:r>
    </w:p>
    <w:p w:rsidR="00142B7B" w:rsidRPr="009B40BB" w:rsidRDefault="00142B7B">
      <w:pPr>
        <w:spacing w:line="240" w:lineRule="auto"/>
      </w:pPr>
    </w:p>
    <w:p w:rsidR="00142B7B" w:rsidRPr="009B40BB" w:rsidRDefault="00142B7B">
      <w:pPr>
        <w:spacing w:line="240" w:lineRule="auto"/>
        <w:rPr>
          <w:sz w:val="22"/>
        </w:rPr>
      </w:pPr>
      <w:r w:rsidRPr="009B40BB">
        <w:rPr>
          <w:sz w:val="22"/>
        </w:rPr>
        <w:t xml:space="preserve">Waste treatment and disposal data was not available from Western Australia’s waste tracking system for the </w:t>
      </w:r>
      <w:r w:rsidRPr="009B40BB">
        <w:rPr>
          <w:i/>
          <w:sz w:val="22"/>
        </w:rPr>
        <w:t>Hazardous Waste Data Assessment</w:t>
      </w:r>
      <w:r w:rsidRPr="009B40BB">
        <w:rPr>
          <w:sz w:val="22"/>
        </w:rPr>
        <w:t xml:space="preserve"> project.</w:t>
      </w:r>
    </w:p>
    <w:p w:rsidR="0077224E" w:rsidRPr="009B40BB" w:rsidRDefault="0077224E">
      <w:pPr>
        <w:spacing w:line="240" w:lineRule="auto"/>
      </w:pPr>
    </w:p>
    <w:p w:rsidR="00A73BC5" w:rsidRPr="009B40BB" w:rsidRDefault="00D734A5" w:rsidP="00A73BC5">
      <w:pPr>
        <w:pStyle w:val="Heading2"/>
      </w:pPr>
      <w:bookmarkStart w:id="40" w:name="_Ref389211898"/>
      <w:bookmarkStart w:id="41" w:name="_Toc390770736"/>
      <w:r w:rsidRPr="009B40BB">
        <w:t>A</w:t>
      </w:r>
      <w:r w:rsidR="002419F3" w:rsidRPr="009B40BB">
        <w:t>ssessment against historical data and projects</w:t>
      </w:r>
      <w:bookmarkEnd w:id="40"/>
      <w:bookmarkEnd w:id="41"/>
    </w:p>
    <w:p w:rsidR="00D734A5" w:rsidRPr="009B40BB" w:rsidRDefault="008A41DE" w:rsidP="0082799B">
      <w:pPr>
        <w:pStyle w:val="BodyText"/>
        <w:spacing w:after="120"/>
      </w:pPr>
      <w:r w:rsidRPr="009B40BB">
        <w:t>Collation of high q</w:t>
      </w:r>
      <w:r w:rsidR="0077224E" w:rsidRPr="009B40BB">
        <w:t>uality</w:t>
      </w:r>
      <w:r w:rsidRPr="009B40BB">
        <w:t xml:space="preserve"> national data on</w:t>
      </w:r>
      <w:r w:rsidR="0077224E" w:rsidRPr="009B40BB">
        <w:t xml:space="preserve"> hazardous waste in Australia i</w:t>
      </w:r>
      <w:r w:rsidR="0082799B" w:rsidRPr="009B40BB">
        <w:t>s</w:t>
      </w:r>
      <w:r w:rsidR="0077224E" w:rsidRPr="009B40BB">
        <w:t xml:space="preserve"> in its infancy.</w:t>
      </w:r>
      <w:r w:rsidR="00A374C7" w:rsidRPr="009B40BB">
        <w:t xml:space="preserve"> </w:t>
      </w:r>
      <w:r w:rsidR="0077224E" w:rsidRPr="009B40BB">
        <w:t>There are</w:t>
      </w:r>
      <w:r w:rsidRPr="009B40BB">
        <w:t>,</w:t>
      </w:r>
      <w:r w:rsidR="0077224E" w:rsidRPr="009B40BB">
        <w:t xml:space="preserve"> however</w:t>
      </w:r>
      <w:r w:rsidRPr="009B40BB">
        <w:t>,</w:t>
      </w:r>
      <w:r w:rsidR="0077224E" w:rsidRPr="009B40BB">
        <w:t xml:space="preserve"> </w:t>
      </w:r>
      <w:r w:rsidRPr="009B40BB">
        <w:t xml:space="preserve">two </w:t>
      </w:r>
      <w:r w:rsidR="0077224E" w:rsidRPr="009B40BB">
        <w:t xml:space="preserve">recent projects commissioned by the </w:t>
      </w:r>
      <w:r w:rsidRPr="009B40BB">
        <w:t>DoE</w:t>
      </w:r>
      <w:r w:rsidR="0077224E" w:rsidRPr="009B40BB">
        <w:t xml:space="preserve"> that have collected hazardous waste data at the state and territory level:</w:t>
      </w:r>
    </w:p>
    <w:p w:rsidR="0077224E" w:rsidRPr="009B40BB" w:rsidRDefault="0077224E" w:rsidP="00A768C4">
      <w:pPr>
        <w:pStyle w:val="ListNumber"/>
        <w:numPr>
          <w:ilvl w:val="0"/>
          <w:numId w:val="16"/>
        </w:numPr>
      </w:pPr>
      <w:r w:rsidRPr="009B40BB">
        <w:t xml:space="preserve">The </w:t>
      </w:r>
      <w:r w:rsidRPr="009B40BB">
        <w:rPr>
          <w:i/>
        </w:rPr>
        <w:t>Hazardous Waste Data Assessment</w:t>
      </w:r>
      <w:r w:rsidRPr="009B40BB">
        <w:t xml:space="preserve">, </w:t>
      </w:r>
      <w:r w:rsidR="008A41DE" w:rsidRPr="009B40BB">
        <w:t xml:space="preserve">prepared by </w:t>
      </w:r>
      <w:r w:rsidRPr="009B40BB">
        <w:t>KMH Environmental (2013), based</w:t>
      </w:r>
      <w:r w:rsidR="00AD70D4">
        <w:t xml:space="preserve"> on data collected for the 2010-</w:t>
      </w:r>
      <w:r w:rsidRPr="009B40BB">
        <w:t>11 year.</w:t>
      </w:r>
      <w:r w:rsidR="00A374C7" w:rsidRPr="009B40BB">
        <w:t xml:space="preserve"> </w:t>
      </w:r>
      <w:r w:rsidRPr="009B40BB">
        <w:t xml:space="preserve">This work also incorporates the companion analysis report: </w:t>
      </w:r>
      <w:r w:rsidRPr="009B40BB">
        <w:rPr>
          <w:i/>
        </w:rPr>
        <w:t>Hazardous Waste Data Summary</w:t>
      </w:r>
      <w:r w:rsidRPr="009B40BB">
        <w:t>, KMH Environmental (2013).</w:t>
      </w:r>
    </w:p>
    <w:p w:rsidR="0077224E" w:rsidRPr="009B40BB" w:rsidRDefault="0082799B" w:rsidP="00A768C4">
      <w:pPr>
        <w:pStyle w:val="ListNumber"/>
        <w:numPr>
          <w:ilvl w:val="0"/>
          <w:numId w:val="16"/>
        </w:numPr>
      </w:pPr>
      <w:r w:rsidRPr="009B40BB">
        <w:rPr>
          <w:i/>
        </w:rPr>
        <w:t>Waste Generation and Resource Recovery in Australia</w:t>
      </w:r>
      <w:r w:rsidR="008A41DE" w:rsidRPr="009B40BB">
        <w:t>,</w:t>
      </w:r>
      <w:r w:rsidR="00AD70D4">
        <w:t xml:space="preserve"> Reporting Period 2010-</w:t>
      </w:r>
      <w:r w:rsidRPr="009B40BB">
        <w:t>11 (WGRRA),</w:t>
      </w:r>
      <w:r w:rsidR="008A41DE" w:rsidRPr="009B40BB">
        <w:t xml:space="preserve"> prepared by</w:t>
      </w:r>
      <w:r w:rsidRPr="009B40BB">
        <w:t xml:space="preserve"> Blue Environment in association with Randell Environmental Consulting (2014).</w:t>
      </w:r>
    </w:p>
    <w:p w:rsidR="0077224E" w:rsidRPr="009B40BB" w:rsidRDefault="0077224E" w:rsidP="00D734A5">
      <w:pPr>
        <w:pStyle w:val="BodyText"/>
      </w:pPr>
    </w:p>
    <w:p w:rsidR="00D734A5" w:rsidRPr="009B40BB" w:rsidRDefault="00D734A5" w:rsidP="004F4090">
      <w:pPr>
        <w:pStyle w:val="Heading3"/>
      </w:pPr>
      <w:r w:rsidRPr="009B40BB">
        <w:t>Hazardous Waste Data Assessment</w:t>
      </w:r>
    </w:p>
    <w:p w:rsidR="0082799B" w:rsidRPr="009B40BB" w:rsidRDefault="0082799B" w:rsidP="0090313D">
      <w:pPr>
        <w:pStyle w:val="BodyText"/>
        <w:spacing w:after="120"/>
      </w:pPr>
      <w:r w:rsidRPr="009B40BB">
        <w:t xml:space="preserve">The </w:t>
      </w:r>
      <w:r w:rsidRPr="009B40BB">
        <w:rPr>
          <w:i/>
        </w:rPr>
        <w:t>Hazardous Waste Data Assessment</w:t>
      </w:r>
      <w:r w:rsidRPr="009B40BB">
        <w:t xml:space="preserve"> project </w:t>
      </w:r>
      <w:r w:rsidR="000E49B6" w:rsidRPr="009B40BB">
        <w:t xml:space="preserve">(HWDA) </w:t>
      </w:r>
      <w:r w:rsidRPr="009B40BB">
        <w:t>collected hazardous waste tonnages from generation, import, export and w</w:t>
      </w:r>
      <w:r w:rsidR="00AD70D4">
        <w:t>here possible fate for the 2010-</w:t>
      </w:r>
      <w:r w:rsidRPr="009B40BB">
        <w:t>11 year, reported at the state and territory level.</w:t>
      </w:r>
      <w:r w:rsidR="00A374C7" w:rsidRPr="009B40BB">
        <w:t xml:space="preserve"> </w:t>
      </w:r>
      <w:r w:rsidR="0090313D" w:rsidRPr="009B40BB">
        <w:t>This establishes a good baseline year to compare the 2012 data against.</w:t>
      </w:r>
      <w:r w:rsidR="00A374C7" w:rsidRPr="009B40BB">
        <w:t xml:space="preserve"> </w:t>
      </w:r>
      <w:r w:rsidR="0090313D" w:rsidRPr="009B40BB">
        <w:t>Notable differences compared to the approach of this report are:</w:t>
      </w:r>
    </w:p>
    <w:p w:rsidR="0090313D" w:rsidRPr="009B40BB" w:rsidRDefault="000E49B6" w:rsidP="00825ECD">
      <w:pPr>
        <w:pStyle w:val="Bullet1"/>
      </w:pPr>
      <w:r w:rsidRPr="009B40BB">
        <w:t>HWDA</w:t>
      </w:r>
      <w:r w:rsidR="0090313D" w:rsidRPr="009B40BB">
        <w:t xml:space="preserve"> collecte</w:t>
      </w:r>
      <w:r w:rsidR="00AD70D4">
        <w:t>d an annual data set only (2010-</w:t>
      </w:r>
      <w:r w:rsidR="0090313D" w:rsidRPr="009B40BB">
        <w:t>11 financial year)</w:t>
      </w:r>
      <w:r w:rsidR="00D229E6" w:rsidRPr="009B40BB">
        <w:t xml:space="preserve">, as opposed to six-monthly </w:t>
      </w:r>
      <w:r w:rsidR="00EB495C" w:rsidRPr="009B40BB">
        <w:t>spans.</w:t>
      </w:r>
    </w:p>
    <w:p w:rsidR="0090313D" w:rsidRPr="009B40BB" w:rsidRDefault="0090313D" w:rsidP="00825ECD">
      <w:pPr>
        <w:pStyle w:val="Bullet1"/>
      </w:pPr>
      <w:r w:rsidRPr="009B40BB">
        <w:t xml:space="preserve">In addition to generation data, the </w:t>
      </w:r>
      <w:r w:rsidR="000E49B6" w:rsidRPr="009B40BB">
        <w:t>HWDA</w:t>
      </w:r>
      <w:r w:rsidRPr="009B40BB">
        <w:t xml:space="preserve"> collected data on waste movement across state/ territory borders, and estimated trea</w:t>
      </w:r>
      <w:r w:rsidR="00EB495C" w:rsidRPr="009B40BB">
        <w:t>tment and</w:t>
      </w:r>
      <w:r w:rsidRPr="009B40BB">
        <w:t xml:space="preserve"> disposal fates where data was available</w:t>
      </w:r>
      <w:r w:rsidR="00EB495C" w:rsidRPr="009B40BB">
        <w:t>, incorporating</w:t>
      </w:r>
      <w:r w:rsidRPr="009B40BB">
        <w:t xml:space="preserve"> landfill, treatment, energy recovery, recycling and storage</w:t>
      </w:r>
      <w:r w:rsidR="00EB495C" w:rsidRPr="009B40BB">
        <w:t>.</w:t>
      </w:r>
      <w:r w:rsidR="0065463B">
        <w:t xml:space="preserve"> </w:t>
      </w:r>
      <w:r w:rsidR="001E0CF6">
        <w:t xml:space="preserve">Because it collected waste </w:t>
      </w:r>
      <w:r w:rsidR="001E0CF6" w:rsidRPr="001E0CF6">
        <w:rPr>
          <w:u w:val="single"/>
        </w:rPr>
        <w:t>generation</w:t>
      </w:r>
      <w:r w:rsidR="001E0CF6">
        <w:t xml:space="preserve"> data only, </w:t>
      </w:r>
      <w:r w:rsidR="001E0CF6" w:rsidRPr="001E0CF6">
        <w:rPr>
          <w:i/>
        </w:rPr>
        <w:t>Improving Australia's reporting on hazardous waste under the Basel Convention</w:t>
      </w:r>
      <w:r w:rsidR="001E0CF6">
        <w:t xml:space="preserve"> includes these tonnages, since generation does not concern itself with type or location of fate.</w:t>
      </w:r>
    </w:p>
    <w:p w:rsidR="0090313D" w:rsidRPr="009B40BB" w:rsidRDefault="0090313D" w:rsidP="00825ECD">
      <w:pPr>
        <w:pStyle w:val="Bullet1"/>
      </w:pPr>
      <w:r w:rsidRPr="009B40BB">
        <w:t xml:space="preserve">The </w:t>
      </w:r>
      <w:r w:rsidR="000E49B6" w:rsidRPr="009B40BB">
        <w:t>HWDA</w:t>
      </w:r>
      <w:r w:rsidRPr="009B40BB">
        <w:t xml:space="preserve"> </w:t>
      </w:r>
      <w:r w:rsidR="00D229E6" w:rsidRPr="009B40BB">
        <w:t>used the waste categories from Victoria’s waste tracking system and regulatory arrangements</w:t>
      </w:r>
      <w:r w:rsidR="00EB495C" w:rsidRPr="009B40BB">
        <w:t>, which differ in some respects from</w:t>
      </w:r>
      <w:r w:rsidR="00D229E6" w:rsidRPr="009B40BB">
        <w:t xml:space="preserve"> the NEPM codes.</w:t>
      </w:r>
      <w:r w:rsidR="00A374C7" w:rsidRPr="009B40BB">
        <w:t xml:space="preserve"> </w:t>
      </w:r>
      <w:r w:rsidR="00EB495C" w:rsidRPr="009B40BB">
        <w:t>This project</w:t>
      </w:r>
      <w:r w:rsidR="00D229E6" w:rsidRPr="009B40BB">
        <w:t>, on the other hand, translates differences such as these into a common and fully mapped set of national classification codes (the NEPM 75 list)</w:t>
      </w:r>
      <w:r w:rsidR="00EB495C" w:rsidRPr="009B40BB">
        <w:t>.</w:t>
      </w:r>
    </w:p>
    <w:p w:rsidR="00D229E6" w:rsidRPr="009B40BB" w:rsidRDefault="00D229E6" w:rsidP="00825ECD">
      <w:pPr>
        <w:pStyle w:val="Bullet1"/>
      </w:pPr>
      <w:r w:rsidRPr="009B40BB">
        <w:t xml:space="preserve">While this difference in classification does not materially affect many of the year to year comparisons, particularly at the 15 NEPM code level, there are </w:t>
      </w:r>
      <w:r w:rsidR="00777923" w:rsidRPr="009B40BB">
        <w:t>some new classification/ aggregation decisions made as part of this project that re-allocate key wastes to new codes.</w:t>
      </w:r>
      <w:r w:rsidR="00A374C7" w:rsidRPr="009B40BB">
        <w:t xml:space="preserve"> </w:t>
      </w:r>
      <w:r w:rsidR="00777923" w:rsidRPr="009B40BB">
        <w:t xml:space="preserve">A particular example of this is the re-classification of sewage sludge/ biosolids from the </w:t>
      </w:r>
      <w:r w:rsidR="00AD70D4">
        <w:t>quasi NEPM code of K130 in 2010-</w:t>
      </w:r>
      <w:r w:rsidR="00777923" w:rsidRPr="009B40BB">
        <w:t>11 data to the legitimate NEPM code of N205 (</w:t>
      </w:r>
      <w:r w:rsidR="00777923" w:rsidRPr="009B40BB">
        <w:rPr>
          <w:i/>
        </w:rPr>
        <w:t>Residues from industrial waste treatment/disposal operations</w:t>
      </w:r>
      <w:r w:rsidR="00AD70D4">
        <w:t>) in 2011-</w:t>
      </w:r>
      <w:r w:rsidR="00777923" w:rsidRPr="009B40BB">
        <w:t>12 and 2012 data.</w:t>
      </w:r>
      <w:r w:rsidR="00A374C7" w:rsidRPr="009B40BB">
        <w:t xml:space="preserve"> </w:t>
      </w:r>
      <w:r w:rsidR="00777923" w:rsidRPr="009B40BB">
        <w:t xml:space="preserve">The basis for this decision is </w:t>
      </w:r>
      <w:r w:rsidR="00EB495C" w:rsidRPr="009B40BB">
        <w:t>set out</w:t>
      </w:r>
      <w:r w:rsidR="00777923" w:rsidRPr="009B40BB">
        <w:t xml:space="preserve"> in the jurisdictional guidance document at </w:t>
      </w:r>
      <w:r w:rsidR="00A06695">
        <w:t>Appendix</w:t>
      </w:r>
      <w:r w:rsidR="00777923" w:rsidRPr="009B40BB">
        <w:t xml:space="preserve"> A and noted as part of the data analysis </w:t>
      </w:r>
      <w:r w:rsidR="00EB495C" w:rsidRPr="009B40BB">
        <w:t>in</w:t>
      </w:r>
      <w:r w:rsidR="00777923" w:rsidRPr="009B40BB">
        <w:t xml:space="preserve"> </w:t>
      </w:r>
      <w:r w:rsidR="00A06695">
        <w:t>Appendix</w:t>
      </w:r>
      <w:r w:rsidR="00777923" w:rsidRPr="009B40BB">
        <w:t xml:space="preserve"> E.</w:t>
      </w:r>
    </w:p>
    <w:p w:rsidR="0082799B" w:rsidRPr="009B40BB" w:rsidRDefault="0082799B" w:rsidP="00D734A5">
      <w:pPr>
        <w:pStyle w:val="BodyText"/>
      </w:pPr>
    </w:p>
    <w:p w:rsidR="002734C0" w:rsidRPr="009B40BB" w:rsidRDefault="00777923" w:rsidP="002734C0">
      <w:pPr>
        <w:pStyle w:val="BodyText"/>
      </w:pPr>
      <w:r w:rsidRPr="009B40BB">
        <w:t xml:space="preserve">Despite these differences, the </w:t>
      </w:r>
      <w:r w:rsidR="000E49B6" w:rsidRPr="009B40BB">
        <w:t>HWDA</w:t>
      </w:r>
      <w:r w:rsidRPr="009B40BB">
        <w:t xml:space="preserve"> report has proven to be a useful comparison point for quality assurance, data analysis and key issues establishment</w:t>
      </w:r>
      <w:r w:rsidR="002235BF" w:rsidRPr="009B40BB">
        <w:t xml:space="preserve"> for the 2012 data set, as outlined in </w:t>
      </w:r>
      <w:r w:rsidR="00A06695">
        <w:t>Appendix</w:t>
      </w:r>
      <w:r w:rsidR="002235BF" w:rsidRPr="009B40BB">
        <w:t xml:space="preserve"> E.</w:t>
      </w:r>
      <w:r w:rsidR="00A374C7" w:rsidRPr="009B40BB">
        <w:t xml:space="preserve"> </w:t>
      </w:r>
      <w:r w:rsidR="00EB495C" w:rsidRPr="009B40BB">
        <w:lastRenderedPageBreak/>
        <w:t>A</w:t>
      </w:r>
      <w:r w:rsidR="005A7997" w:rsidRPr="009B40BB">
        <w:t>ppendi</w:t>
      </w:r>
      <w:r w:rsidR="002734C0" w:rsidRPr="009B40BB">
        <w:t xml:space="preserve">x E </w:t>
      </w:r>
      <w:r w:rsidR="00EB495C" w:rsidRPr="009B40BB">
        <w:t>also reproduces a table of the ‘key messages’</w:t>
      </w:r>
      <w:r w:rsidR="002734C0" w:rsidRPr="009B40BB">
        <w:t xml:space="preserve"> fro</w:t>
      </w:r>
      <w:r w:rsidR="00AD70D4">
        <w:t>m the HWDA Summary Report (2010-</w:t>
      </w:r>
      <w:r w:rsidR="002734C0" w:rsidRPr="009B40BB">
        <w:t>11 data), and uses the current report’s data to assess the currency and relevance of these messages for 2012.</w:t>
      </w:r>
    </w:p>
    <w:p w:rsidR="002235BF" w:rsidRPr="009B40BB" w:rsidRDefault="002235BF" w:rsidP="002235BF">
      <w:pPr>
        <w:pStyle w:val="BodyText"/>
      </w:pPr>
      <w:r w:rsidRPr="009B40BB">
        <w:t xml:space="preserve">The 2012 data set incorporates a number of data </w:t>
      </w:r>
      <w:r w:rsidR="002734C0" w:rsidRPr="009B40BB">
        <w:t xml:space="preserve">method </w:t>
      </w:r>
      <w:r w:rsidRPr="009B40BB">
        <w:t>improvements on the previous report, due to publication of other reports that serve as more reliable data sources than those previously used, as well as a more rigorous approach to filling data gaps.</w:t>
      </w:r>
      <w:r w:rsidR="00A374C7" w:rsidRPr="009B40BB">
        <w:t xml:space="preserve"> </w:t>
      </w:r>
      <w:r w:rsidRPr="009B40BB">
        <w:t xml:space="preserve">Consequently, </w:t>
      </w:r>
      <w:r w:rsidR="00A06695">
        <w:t>Appendix</w:t>
      </w:r>
      <w:r w:rsidRPr="009B40BB">
        <w:t xml:space="preserve"> F contains </w:t>
      </w:r>
      <w:r w:rsidR="00AD70D4">
        <w:t>a re-cast of 2010-</w:t>
      </w:r>
      <w:r w:rsidRPr="009B40BB">
        <w:t xml:space="preserve">11 data with these improvements in mind, in the form of a high-level update of key points of the </w:t>
      </w:r>
      <w:r w:rsidRPr="009B40BB">
        <w:rPr>
          <w:i/>
        </w:rPr>
        <w:t>Hazardous Waste Data Summary Report</w:t>
      </w:r>
      <w:r w:rsidRPr="009B40BB">
        <w:t xml:space="preserve">, where the source year </w:t>
      </w:r>
      <w:r w:rsidR="00AD70D4">
        <w:t>is applicable for use in a 2010-</w:t>
      </w:r>
      <w:r w:rsidRPr="009B40BB">
        <w:t>11 dataset.</w:t>
      </w:r>
      <w:r w:rsidR="00A374C7" w:rsidRPr="009B40BB">
        <w:t xml:space="preserve"> </w:t>
      </w:r>
    </w:p>
    <w:p w:rsidR="002235BF" w:rsidRPr="009B40BB" w:rsidRDefault="002235BF" w:rsidP="002235BF">
      <w:pPr>
        <w:pStyle w:val="BodyText"/>
      </w:pPr>
    </w:p>
    <w:p w:rsidR="002235BF" w:rsidRPr="009B40BB" w:rsidRDefault="00AD70D4" w:rsidP="000E49B6">
      <w:pPr>
        <w:pStyle w:val="BodyText"/>
        <w:spacing w:after="120"/>
      </w:pPr>
      <w:r>
        <w:t>Updated 2010-</w:t>
      </w:r>
      <w:r w:rsidR="002235BF" w:rsidRPr="009B40BB">
        <w:t xml:space="preserve">11 data has been provided for: </w:t>
      </w:r>
    </w:p>
    <w:p w:rsidR="002235BF" w:rsidRPr="009B40BB" w:rsidRDefault="002235BF" w:rsidP="00AB2F5F">
      <w:pPr>
        <w:pStyle w:val="Bullet1"/>
      </w:pPr>
      <w:r w:rsidRPr="009B40BB">
        <w:t xml:space="preserve">Contaminated soils (NSW, Qld) </w:t>
      </w:r>
      <w:r w:rsidR="004745B8" w:rsidRPr="009B40BB">
        <w:t>–</w:t>
      </w:r>
      <w:r w:rsidRPr="009B40BB">
        <w:t xml:space="preserve"> HWDA used WRiA data but WGRRA data is better quality</w:t>
      </w:r>
    </w:p>
    <w:p w:rsidR="002235BF" w:rsidRPr="009B40BB" w:rsidRDefault="002235BF" w:rsidP="00AB2F5F">
      <w:pPr>
        <w:pStyle w:val="Bullet1"/>
      </w:pPr>
      <w:r w:rsidRPr="009B40BB">
        <w:t>Asbestos (NSW) – HWDA used WRiA data but WGRRA data is better quality</w:t>
      </w:r>
    </w:p>
    <w:p w:rsidR="002235BF" w:rsidRPr="009B40BB" w:rsidRDefault="002235BF" w:rsidP="00AB2F5F">
      <w:pPr>
        <w:pStyle w:val="Bullet1"/>
      </w:pPr>
      <w:r w:rsidRPr="009B40BB">
        <w:t>Asbestos (WA) – not reported in HWDA</w:t>
      </w:r>
      <w:r w:rsidR="004745B8" w:rsidRPr="009B40BB">
        <w:t xml:space="preserve">; </w:t>
      </w:r>
      <w:r w:rsidRPr="009B40BB">
        <w:t xml:space="preserve">to be replaced with national average for Basel 2012 data (technically an incompatible year but </w:t>
      </w:r>
      <w:r w:rsidR="000E49B6" w:rsidRPr="009B40BB">
        <w:t xml:space="preserve">this is a </w:t>
      </w:r>
      <w:r w:rsidRPr="009B40BB">
        <w:t>better option</w:t>
      </w:r>
      <w:r w:rsidR="00AD70D4">
        <w:t xml:space="preserve"> than having a hole in the 2010-</w:t>
      </w:r>
      <w:r w:rsidRPr="009B40BB">
        <w:t>11 data)</w:t>
      </w:r>
    </w:p>
    <w:p w:rsidR="002235BF" w:rsidRPr="009B40BB" w:rsidRDefault="002235BF" w:rsidP="00AB2F5F">
      <w:pPr>
        <w:pStyle w:val="Bullet1"/>
      </w:pPr>
      <w:r w:rsidRPr="009B40BB">
        <w:t>Tyres (all jurisdictions)</w:t>
      </w:r>
      <w:r w:rsidR="000E49B6" w:rsidRPr="009B40BB">
        <w:t xml:space="preserve"> – not present at all in HWDA as Victoria does not classify tyres as a hazardous waste</w:t>
      </w:r>
    </w:p>
    <w:p w:rsidR="002235BF" w:rsidRPr="009B40BB" w:rsidRDefault="002235BF" w:rsidP="00AB2F5F">
      <w:pPr>
        <w:pStyle w:val="Bullet1"/>
      </w:pPr>
      <w:r w:rsidRPr="009B40BB">
        <w:t xml:space="preserve">Biosolids (all jurisdictions) – HWDA did not split out </w:t>
      </w:r>
      <w:r w:rsidR="000E49B6" w:rsidRPr="009B40BB">
        <w:t>combined data (</w:t>
      </w:r>
      <w:r w:rsidRPr="009B40BB">
        <w:t>ACT from NSW and NT from WA</w:t>
      </w:r>
      <w:r w:rsidR="000E49B6" w:rsidRPr="009B40BB">
        <w:t>)</w:t>
      </w:r>
    </w:p>
    <w:p w:rsidR="002235BF" w:rsidRDefault="002235BF" w:rsidP="006B379A">
      <w:pPr>
        <w:pStyle w:val="Bullet1"/>
        <w:spacing w:after="120"/>
        <w:ind w:left="461" w:hanging="461"/>
      </w:pPr>
      <w:r w:rsidRPr="009B40BB">
        <w:t>Remov</w:t>
      </w:r>
      <w:r w:rsidR="000E49B6" w:rsidRPr="009B40BB">
        <w:t>al of</w:t>
      </w:r>
      <w:r w:rsidRPr="009B40BB">
        <w:t xml:space="preserve"> Vic</w:t>
      </w:r>
      <w:r w:rsidR="000E49B6" w:rsidRPr="009B40BB">
        <w:t>toria’s</w:t>
      </w:r>
      <w:r w:rsidR="00EB495C" w:rsidRPr="009B40BB">
        <w:t xml:space="preserve"> ‘</w:t>
      </w:r>
      <w:r w:rsidRPr="009B40BB">
        <w:t>industrial washwaters</w:t>
      </w:r>
      <w:r w:rsidR="00EB495C" w:rsidRPr="009B40BB">
        <w:t>’</w:t>
      </w:r>
      <w:r w:rsidRPr="009B40BB">
        <w:t xml:space="preserve"> from HWDA as this is not counted explicitly in Basel Project data</w:t>
      </w:r>
      <w:r w:rsidR="000E49B6" w:rsidRPr="009B40BB">
        <w:t xml:space="preserve"> and not collected by </w:t>
      </w:r>
      <w:r w:rsidR="00EB495C" w:rsidRPr="009B40BB">
        <w:t>any</w:t>
      </w:r>
      <w:r w:rsidR="000E49B6" w:rsidRPr="009B40BB">
        <w:t xml:space="preserve"> other jurisdictions.</w:t>
      </w:r>
    </w:p>
    <w:p w:rsidR="006B379A" w:rsidRDefault="006B379A" w:rsidP="006B379A">
      <w:pPr>
        <w:pStyle w:val="Bullet2"/>
        <w:spacing w:after="120"/>
        <w:ind w:hanging="446"/>
      </w:pPr>
      <w:r w:rsidRPr="004B20BF">
        <w:t xml:space="preserve">NEPM description </w:t>
      </w:r>
      <w:r w:rsidRPr="004B20BF">
        <w:rPr>
          <w:i/>
        </w:rPr>
        <w:t xml:space="preserve">Industrial Washwater </w:t>
      </w:r>
      <w:r w:rsidRPr="004B20BF">
        <w:t xml:space="preserve">is not listed in Schedule </w:t>
      </w:r>
      <w:proofErr w:type="gramStart"/>
      <w:r w:rsidRPr="004B20BF">
        <w:t>A</w:t>
      </w:r>
      <w:proofErr w:type="gramEnd"/>
      <w:r w:rsidRPr="004B20BF">
        <w:t xml:space="preserve"> List 1 of NEPM (therefore has no NEPM code), but </w:t>
      </w:r>
      <w:r w:rsidRPr="004B20BF">
        <w:rPr>
          <w:u w:val="single"/>
        </w:rPr>
        <w:t>is</w:t>
      </w:r>
      <w:r w:rsidRPr="004B20BF">
        <w:t xml:space="preserve"> listed as part of the "15" high level headings in jurisdictional NEPM annual reporting.</w:t>
      </w:r>
      <w:r w:rsidR="0065463B">
        <w:t xml:space="preserve"> </w:t>
      </w:r>
      <w:r w:rsidRPr="004B20BF">
        <w:rPr>
          <w:rFonts w:asciiTheme="minorHAnsi" w:hAnsiTheme="minorHAnsi"/>
        </w:rPr>
        <w:t xml:space="preserve">Only Victoria and Western Australia classify this waste and in </w:t>
      </w:r>
      <w:r w:rsidRPr="004B20BF">
        <w:t>practice only Victoria reported this category un</w:t>
      </w:r>
      <w:r>
        <w:t>der NEPM reporting for the 2010-</w:t>
      </w:r>
      <w:r w:rsidRPr="004B20BF">
        <w:t>11 year.</w:t>
      </w:r>
      <w:r w:rsidR="0065463B">
        <w:t xml:space="preserve"> </w:t>
      </w:r>
    </w:p>
    <w:p w:rsidR="006B379A" w:rsidRPr="009B40BB" w:rsidRDefault="003E6F16" w:rsidP="006B379A">
      <w:pPr>
        <w:pStyle w:val="Bullet2"/>
      </w:pPr>
      <w:fldSimple w:instr=" DOCPROPERTY  xTitle  \* MERGEFORMAT ">
        <w:r w:rsidR="005B2F4C">
          <w:rPr>
            <w:i/>
          </w:rPr>
          <w:t>Improving Australia's reporting on hazardous waste under the Basel Convention</w:t>
        </w:r>
      </w:fldSimple>
      <w:r w:rsidR="006B379A">
        <w:t xml:space="preserve"> (Appendix A) recommends that this category </w:t>
      </w:r>
      <w:r w:rsidR="006B379A" w:rsidRPr="004B20BF">
        <w:rPr>
          <w:u w:val="single"/>
        </w:rPr>
        <w:t>not</w:t>
      </w:r>
      <w:r w:rsidR="006B379A" w:rsidRPr="004B20BF">
        <w:t xml:space="preserve"> to be included as part of the common Australian coding approach, and subsequent Basel </w:t>
      </w:r>
      <w:r w:rsidR="006B379A">
        <w:t xml:space="preserve">(and other hazardous waste) </w:t>
      </w:r>
      <w:r w:rsidR="006B379A" w:rsidRPr="004B20BF">
        <w:t>reporting, since it is largely not collected and typically counted as part of the waste code that best describes what the wash water is contaminated with</w:t>
      </w:r>
      <w:r w:rsidR="0065463B">
        <w:t>.</w:t>
      </w:r>
    </w:p>
    <w:p w:rsidR="000E49B6" w:rsidRPr="009B40BB" w:rsidRDefault="000E49B6" w:rsidP="002235BF">
      <w:pPr>
        <w:pStyle w:val="BodyText"/>
      </w:pPr>
    </w:p>
    <w:p w:rsidR="00500C1D" w:rsidRPr="009B40BB" w:rsidRDefault="00500C1D">
      <w:pPr>
        <w:spacing w:line="240" w:lineRule="auto"/>
        <w:rPr>
          <w:rFonts w:ascii="Arial Rounded MT Bold" w:hAnsi="Arial Rounded MT Bold" w:cs="Arial"/>
          <w:color w:val="0000FF"/>
          <w:sz w:val="22"/>
        </w:rPr>
      </w:pPr>
      <w:r w:rsidRPr="009B40BB">
        <w:br w:type="page"/>
      </w:r>
    </w:p>
    <w:p w:rsidR="004F4090" w:rsidRPr="009B40BB" w:rsidRDefault="004F4090" w:rsidP="004F4090">
      <w:pPr>
        <w:pStyle w:val="Heading3"/>
      </w:pPr>
      <w:r w:rsidRPr="009B40BB">
        <w:lastRenderedPageBreak/>
        <w:t>Waste Generation and Resource Recovery in Australia</w:t>
      </w:r>
    </w:p>
    <w:p w:rsidR="00AB2F5F" w:rsidRPr="009B40BB" w:rsidRDefault="00924F03" w:rsidP="00AB2F5F">
      <w:pPr>
        <w:pStyle w:val="BodyText"/>
      </w:pPr>
      <w:r w:rsidRPr="009B40BB">
        <w:rPr>
          <w:i/>
        </w:rPr>
        <w:t>Waste Generation and Resource Recovery in Australia</w:t>
      </w:r>
      <w:r w:rsidRPr="009B40BB">
        <w:t xml:space="preserve"> (</w:t>
      </w:r>
      <w:r w:rsidR="00AB2F5F" w:rsidRPr="009B40BB">
        <w:t>WGRRA</w:t>
      </w:r>
      <w:r w:rsidRPr="009B40BB">
        <w:t>)</w:t>
      </w:r>
      <w:r w:rsidR="00AB2F5F" w:rsidRPr="009B40BB">
        <w:t xml:space="preserve"> was prepared</w:t>
      </w:r>
      <w:r w:rsidR="00EB495C" w:rsidRPr="009B40BB">
        <w:t xml:space="preserve"> for DoE</w:t>
      </w:r>
      <w:r w:rsidR="00AB2F5F" w:rsidRPr="009B40BB">
        <w:t xml:space="preserve"> by Blue Environment and Randell Environmental Consulting</w:t>
      </w:r>
      <w:r w:rsidR="00626024" w:rsidRPr="009B40BB">
        <w:t xml:space="preserve"> (2013)</w:t>
      </w:r>
      <w:r w:rsidR="00AB2F5F" w:rsidRPr="009B40BB">
        <w:t xml:space="preserve">. It provides an authoritative national view of solid waste and its management in Australia. </w:t>
      </w:r>
    </w:p>
    <w:p w:rsidR="00AB2F5F" w:rsidRPr="009B40BB" w:rsidRDefault="00AB2F5F" w:rsidP="00AB2F5F">
      <w:pPr>
        <w:pStyle w:val="BodyText"/>
      </w:pPr>
    </w:p>
    <w:p w:rsidR="00AB2F5F" w:rsidRPr="009B40BB" w:rsidRDefault="00AB2F5F" w:rsidP="00AB2F5F">
      <w:pPr>
        <w:pStyle w:val="BodyText"/>
      </w:pPr>
      <w:r w:rsidRPr="009B40BB">
        <w:t>The</w:t>
      </w:r>
      <w:r w:rsidR="00EB495C" w:rsidRPr="009B40BB">
        <w:t xml:space="preserve"> tonnage</w:t>
      </w:r>
      <w:r w:rsidRPr="009B40BB">
        <w:t xml:space="preserve"> figures for hazardous waste in WGGRA differ significantly from those given here. WGGRA</w:t>
      </w:r>
      <w:r w:rsidR="00626024" w:rsidRPr="009B40BB">
        <w:t xml:space="preserve"> (p.14)</w:t>
      </w:r>
      <w:r w:rsidRPr="009B40BB">
        <w:t xml:space="preserve"> reports 2.3</w:t>
      </w:r>
      <w:r w:rsidR="00AD70D4">
        <w:t>5 Mt of hazardous waste in 2010-</w:t>
      </w:r>
      <w:r w:rsidRPr="009B40BB">
        <w:t>11 whereas this exercise finds 3.73 Mt in Basel categories Y1-Y45, and 6.61 Mt including non-Y-code hazardous wastes</w:t>
      </w:r>
      <w:r w:rsidR="00626024" w:rsidRPr="009B40BB">
        <w:t xml:space="preserve"> (in 2012)</w:t>
      </w:r>
      <w:r w:rsidRPr="009B40BB">
        <w:t xml:space="preserve">. The </w:t>
      </w:r>
      <w:r w:rsidR="00626024" w:rsidRPr="009B40BB">
        <w:t>main</w:t>
      </w:r>
      <w:r w:rsidRPr="009B40BB">
        <w:t xml:space="preserve"> reasons for these </w:t>
      </w:r>
      <w:r w:rsidR="00626024" w:rsidRPr="009B40BB">
        <w:t>discrepancies relate to differences in scope</w:t>
      </w:r>
      <w:r w:rsidR="004745B8" w:rsidRPr="009B40BB">
        <w:t xml:space="preserve">, </w:t>
      </w:r>
      <w:r w:rsidR="00626024" w:rsidRPr="009B40BB">
        <w:t>method</w:t>
      </w:r>
      <w:r w:rsidR="004745B8" w:rsidRPr="009B40BB">
        <w:t xml:space="preserve"> and filling of data gaps</w:t>
      </w:r>
      <w:r w:rsidR="00626024" w:rsidRPr="009B40BB">
        <w:t>.</w:t>
      </w:r>
    </w:p>
    <w:p w:rsidR="00626024" w:rsidRPr="009B40BB" w:rsidRDefault="00626024" w:rsidP="00AB2F5F">
      <w:pPr>
        <w:pStyle w:val="BodyText"/>
      </w:pPr>
    </w:p>
    <w:p w:rsidR="00AB2F5F" w:rsidRPr="009B40BB" w:rsidRDefault="00626024" w:rsidP="00626024">
      <w:pPr>
        <w:pStyle w:val="BodyText"/>
      </w:pPr>
      <w:r w:rsidRPr="009B40BB">
        <w:t>In relation to scope, t</w:t>
      </w:r>
      <w:r w:rsidR="00AB2F5F" w:rsidRPr="009B40BB">
        <w:t>his project</w:t>
      </w:r>
      <w:r w:rsidR="004745B8" w:rsidRPr="009B40BB">
        <w:t xml:space="preserve"> includes some waste types that are not included in WGGRA (particularly liquids) and</w:t>
      </w:r>
      <w:r w:rsidR="00AB2F5F" w:rsidRPr="009B40BB">
        <w:t xml:space="preserve"> </w:t>
      </w:r>
      <w:r w:rsidR="004745B8" w:rsidRPr="009B40BB">
        <w:t>classifies</w:t>
      </w:r>
      <w:r w:rsidR="00AB2F5F" w:rsidRPr="009B40BB">
        <w:t xml:space="preserve"> some waste types as hazardous that are not </w:t>
      </w:r>
      <w:r w:rsidR="004745B8" w:rsidRPr="009B40BB">
        <w:t>so classified</w:t>
      </w:r>
      <w:r w:rsidR="00AB2F5F" w:rsidRPr="009B40BB">
        <w:t xml:space="preserve"> by WGRRA</w:t>
      </w:r>
      <w:r w:rsidR="004745B8" w:rsidRPr="009B40BB">
        <w:t xml:space="preserve"> (particularly </w:t>
      </w:r>
      <w:r w:rsidR="00AB2F5F" w:rsidRPr="009B40BB">
        <w:t>biosolids</w:t>
      </w:r>
      <w:r w:rsidR="004745B8" w:rsidRPr="009B40BB">
        <w:t xml:space="preserve">, </w:t>
      </w:r>
      <w:r w:rsidR="00AB2F5F" w:rsidRPr="009B40BB">
        <w:t>which adds 1.35 Mt).</w:t>
      </w:r>
    </w:p>
    <w:p w:rsidR="00626024" w:rsidRPr="009B40BB" w:rsidRDefault="00626024" w:rsidP="00626024">
      <w:pPr>
        <w:pStyle w:val="BodyText"/>
      </w:pPr>
    </w:p>
    <w:p w:rsidR="00626024" w:rsidRPr="009B40BB" w:rsidRDefault="00626024" w:rsidP="00626024">
      <w:pPr>
        <w:pStyle w:val="BodyText"/>
      </w:pPr>
      <w:r w:rsidRPr="009B40BB">
        <w:t xml:space="preserve">In relation to method, WGRRA </w:t>
      </w:r>
      <w:r w:rsidR="004745B8" w:rsidRPr="009B40BB">
        <w:t>focuses</w:t>
      </w:r>
      <w:r w:rsidRPr="009B40BB">
        <w:t xml:space="preserve"> on</w:t>
      </w:r>
      <w:r w:rsidR="004745B8" w:rsidRPr="009B40BB">
        <w:t xml:space="preserve"> waste</w:t>
      </w:r>
      <w:r w:rsidRPr="009B40BB">
        <w:t xml:space="preserve"> </w:t>
      </w:r>
      <w:r w:rsidR="00AB2F5F" w:rsidRPr="009B40BB">
        <w:t>fate</w:t>
      </w:r>
      <w:r w:rsidR="007B53DA" w:rsidRPr="009B40BB">
        <w:t>, asking</w:t>
      </w:r>
      <w:r w:rsidR="00AB2F5F" w:rsidRPr="009B40BB">
        <w:t xml:space="preserve"> ‘how much is landfilled and how much is recovered?’ and</w:t>
      </w:r>
      <w:r w:rsidRPr="009B40BB">
        <w:t xml:space="preserve"> </w:t>
      </w:r>
      <w:r w:rsidR="004745B8" w:rsidRPr="009B40BB">
        <w:t>summing</w:t>
      </w:r>
      <w:r w:rsidRPr="009B40BB">
        <w:t xml:space="preserve"> these to derive waste </w:t>
      </w:r>
      <w:r w:rsidR="007B53DA" w:rsidRPr="009B40BB">
        <w:t>generated</w:t>
      </w:r>
      <w:r w:rsidR="00AB2F5F" w:rsidRPr="009B40BB">
        <w:t xml:space="preserve">. </w:t>
      </w:r>
      <w:r w:rsidR="004745B8" w:rsidRPr="009B40BB">
        <w:t>T</w:t>
      </w:r>
      <w:r w:rsidRPr="009B40BB">
        <w:t xml:space="preserve">his works well for non-hazardous waste, </w:t>
      </w:r>
      <w:r w:rsidR="004745B8" w:rsidRPr="009B40BB">
        <w:t>but</w:t>
      </w:r>
      <w:r w:rsidRPr="009B40BB">
        <w:t xml:space="preserve"> produces a less comprehensive and </w:t>
      </w:r>
      <w:r w:rsidR="007B53DA" w:rsidRPr="009B40BB">
        <w:t>lower resolution</w:t>
      </w:r>
      <w:r w:rsidRPr="009B40BB">
        <w:t xml:space="preserve"> data </w:t>
      </w:r>
      <w:r w:rsidR="007B53DA" w:rsidRPr="009B40BB">
        <w:t>set for hazardous waste</w:t>
      </w:r>
      <w:r w:rsidRPr="009B40BB">
        <w:t xml:space="preserve"> because:</w:t>
      </w:r>
    </w:p>
    <w:p w:rsidR="00626024" w:rsidRPr="009B40BB" w:rsidRDefault="00626024" w:rsidP="00626024">
      <w:pPr>
        <w:pStyle w:val="Bullet1"/>
      </w:pPr>
      <w:r w:rsidRPr="009B40BB">
        <w:t xml:space="preserve">Some jurisdictions do not specifically record some types of hazardous waste sent to landfill. Whereas the total tonnage figures may be </w:t>
      </w:r>
      <w:r w:rsidR="007B53DA" w:rsidRPr="009B40BB">
        <w:t>accurate</w:t>
      </w:r>
      <w:r w:rsidRPr="009B40BB">
        <w:t>, the categorisation may incorrect</w:t>
      </w:r>
      <w:r w:rsidR="007B53DA" w:rsidRPr="009B40BB">
        <w:t>ly</w:t>
      </w:r>
      <w:r w:rsidRPr="009B40BB">
        <w:t xml:space="preserve"> allocate some hazardous waste into a non-hazardous category</w:t>
      </w:r>
      <w:r w:rsidR="007B53DA" w:rsidRPr="009B40BB">
        <w:t xml:space="preserve"> (e.g. asbestos in WA)</w:t>
      </w:r>
      <w:r w:rsidRPr="009B40BB">
        <w:t>.</w:t>
      </w:r>
    </w:p>
    <w:p w:rsidR="007B53DA" w:rsidRPr="009B40BB" w:rsidRDefault="007B53DA" w:rsidP="007B53DA">
      <w:pPr>
        <w:pStyle w:val="Bullet1"/>
      </w:pPr>
      <w:r w:rsidRPr="009B40BB">
        <w:t>Some hazardous waste data is overlooked by the WGGRA approach because it is sent for treatment prior to disposal. Treatments may significantly reduce the mass of material, for example through dewatering, so that the material</w:t>
      </w:r>
      <w:r w:rsidR="004745B8" w:rsidRPr="009B40BB">
        <w:t xml:space="preserve"> is</w:t>
      </w:r>
      <w:r w:rsidRPr="009B40BB">
        <w:t xml:space="preserve"> subsequently recorded as a lesser amount. </w:t>
      </w:r>
    </w:p>
    <w:p w:rsidR="004745B8" w:rsidRPr="009B40BB" w:rsidRDefault="004745B8" w:rsidP="004745B8">
      <w:pPr>
        <w:pStyle w:val="BodyText"/>
      </w:pPr>
    </w:p>
    <w:p w:rsidR="007B53DA" w:rsidRDefault="004745B8" w:rsidP="004745B8">
      <w:pPr>
        <w:pStyle w:val="BodyText"/>
      </w:pPr>
      <w:r w:rsidRPr="009B40BB">
        <w:t>In relation to filling of data gaps, t</w:t>
      </w:r>
      <w:r w:rsidR="007B53DA" w:rsidRPr="009B40BB">
        <w:t xml:space="preserve">he fine resolution of the approach used </w:t>
      </w:r>
      <w:r w:rsidRPr="009B40BB">
        <w:t>for</w:t>
      </w:r>
      <w:r w:rsidR="007B53DA" w:rsidRPr="009B40BB">
        <w:t xml:space="preserve"> this project </w:t>
      </w:r>
      <w:r w:rsidRPr="009B40BB">
        <w:t xml:space="preserve">resulted in examination of data for </w:t>
      </w:r>
      <w:r w:rsidR="007B53DA" w:rsidRPr="009B40BB">
        <w:t xml:space="preserve">very specific waste types. Some gaps in jurisdictional data could be readily identified, and </w:t>
      </w:r>
      <w:r w:rsidRPr="009B40BB">
        <w:t xml:space="preserve">reasonable </w:t>
      </w:r>
      <w:r w:rsidR="007B53DA" w:rsidRPr="009B40BB">
        <w:t xml:space="preserve">extrapolations applied to fill those gaps. This was not possible in WGGRA because gaps were more difficult to identify. </w:t>
      </w:r>
    </w:p>
    <w:p w:rsidR="0081561E" w:rsidRDefault="0081561E" w:rsidP="004745B8">
      <w:pPr>
        <w:pStyle w:val="BodyText"/>
      </w:pPr>
    </w:p>
    <w:p w:rsidR="0081561E" w:rsidRPr="009B40BB" w:rsidRDefault="0081561E" w:rsidP="004745B8">
      <w:pPr>
        <w:pStyle w:val="BodyText"/>
      </w:pPr>
      <w:r>
        <w:t>It is understood that DoE is developing the WGRRA approach into a National Waste Data System. It would be sensible for this data system to resolve the discrepancies between the WGRRA and Basel data systems.</w:t>
      </w:r>
    </w:p>
    <w:p w:rsidR="004F4090" w:rsidRPr="009B40BB" w:rsidRDefault="004F4090" w:rsidP="004F4090">
      <w:pPr>
        <w:pStyle w:val="BodyText"/>
      </w:pPr>
    </w:p>
    <w:p w:rsidR="00ED6613" w:rsidRPr="009B40BB" w:rsidRDefault="00ED6613">
      <w:pPr>
        <w:spacing w:line="240" w:lineRule="auto"/>
        <w:rPr>
          <w:rFonts w:ascii="Arial Rounded MT Bold" w:hAnsi="Arial Rounded MT Bold" w:cs="Arial"/>
          <w:color w:val="0000FF"/>
          <w:sz w:val="22"/>
        </w:rPr>
      </w:pPr>
      <w:r w:rsidRPr="009B40BB">
        <w:br w:type="page"/>
      </w:r>
    </w:p>
    <w:p w:rsidR="00354B68" w:rsidRDefault="00976970" w:rsidP="00354B68">
      <w:pPr>
        <w:pStyle w:val="Heading1"/>
      </w:pPr>
      <w:bookmarkStart w:id="42" w:name="_Toc390770737"/>
      <w:r w:rsidRPr="009B40BB">
        <w:lastRenderedPageBreak/>
        <w:t>Lessons l</w:t>
      </w:r>
      <w:r w:rsidR="00ED6613" w:rsidRPr="009B40BB">
        <w:t>earn</w:t>
      </w:r>
      <w:r w:rsidR="00924F03" w:rsidRPr="009B40BB">
        <w:t>ed</w:t>
      </w:r>
      <w:bookmarkEnd w:id="42"/>
    </w:p>
    <w:p w:rsidR="006B379A" w:rsidRDefault="006B379A" w:rsidP="006B379A">
      <w:pPr>
        <w:pStyle w:val="BodyText"/>
      </w:pPr>
      <w:r>
        <w:t>Below are a collection of lessons learned by the consultants in undertaking the project, particularly as they relate to future efforts (by the Australian Government or consultants they may appoint) in compiling national hazardous waste datasets, such as Basel reporting.</w:t>
      </w:r>
    </w:p>
    <w:p w:rsidR="006B379A" w:rsidRPr="006B379A" w:rsidRDefault="006B379A" w:rsidP="006B379A">
      <w:pPr>
        <w:pStyle w:val="BodyText"/>
      </w:pPr>
    </w:p>
    <w:p w:rsidR="00354B68" w:rsidRPr="009B40BB" w:rsidRDefault="00354B68" w:rsidP="0087471A">
      <w:pPr>
        <w:pStyle w:val="Heading3"/>
      </w:pPr>
      <w:r w:rsidRPr="009B40BB">
        <w:t>Keep it simple</w:t>
      </w:r>
      <w:r w:rsidR="00A7528C" w:rsidRPr="009B40BB">
        <w:t xml:space="preserve"> for the jurisdictions</w:t>
      </w:r>
    </w:p>
    <w:p w:rsidR="00ED6613" w:rsidRPr="009B40BB" w:rsidRDefault="00C74589" w:rsidP="00354B68">
      <w:pPr>
        <w:pStyle w:val="BodyText"/>
        <w:spacing w:after="120"/>
      </w:pPr>
      <w:r w:rsidRPr="009B40BB">
        <w:t>Keep the classifications maze simple by using the data collection</w:t>
      </w:r>
      <w:r w:rsidR="00A7528C" w:rsidRPr="009B40BB">
        <w:t xml:space="preserve"> and</w:t>
      </w:r>
      <w:r w:rsidRPr="009B40BB">
        <w:t xml:space="preserve"> translation template</w:t>
      </w:r>
      <w:r w:rsidR="00A7528C" w:rsidRPr="009B40BB">
        <w:t>. F</w:t>
      </w:r>
      <w:r w:rsidRPr="009B40BB">
        <w:t xml:space="preserve">ocusing jurisdictional resources on supplying their own waste data in their own classification language saves time, effort and stress for the </w:t>
      </w:r>
      <w:r w:rsidR="00A7528C" w:rsidRPr="009B40BB">
        <w:t>jurisdiction</w:t>
      </w:r>
      <w:r w:rsidRPr="009B40BB">
        <w:t xml:space="preserve">, while improving data quality, submission timeliness, </w:t>
      </w:r>
      <w:proofErr w:type="gramStart"/>
      <w:r w:rsidRPr="009B40BB">
        <w:t>data</w:t>
      </w:r>
      <w:proofErr w:type="gramEnd"/>
      <w:r w:rsidRPr="009B40BB">
        <w:t xml:space="preserve"> comparability between jurisdictions, transparency, completeness and clarity of task.</w:t>
      </w:r>
    </w:p>
    <w:p w:rsidR="00354B68" w:rsidRPr="009B40BB" w:rsidRDefault="00A7528C" w:rsidP="0087471A">
      <w:pPr>
        <w:pStyle w:val="Heading3"/>
      </w:pPr>
      <w:r w:rsidRPr="009B40BB">
        <w:t>Provide firm r</w:t>
      </w:r>
      <w:r w:rsidR="00354B68" w:rsidRPr="009B40BB">
        <w:t>eporting deadlines</w:t>
      </w:r>
    </w:p>
    <w:p w:rsidR="00C74589" w:rsidRPr="009B40BB" w:rsidRDefault="00C74589" w:rsidP="00354B68">
      <w:pPr>
        <w:pStyle w:val="BodyText"/>
        <w:spacing w:after="120"/>
      </w:pPr>
      <w:r w:rsidRPr="009B40BB">
        <w:t>Allow plenty of time</w:t>
      </w:r>
      <w:r w:rsidR="00A7528C" w:rsidRPr="009B40BB">
        <w:t xml:space="preserve"> and</w:t>
      </w:r>
      <w:r w:rsidRPr="009B40BB">
        <w:t xml:space="preserve"> provide clear deadlines for data submission by jurisdictions</w:t>
      </w:r>
      <w:r w:rsidR="00354B68" w:rsidRPr="009B40BB">
        <w:t>.</w:t>
      </w:r>
      <w:r w:rsidR="00A374C7" w:rsidRPr="009B40BB">
        <w:t xml:space="preserve"> </w:t>
      </w:r>
      <w:r w:rsidR="00354B68" w:rsidRPr="009B40BB">
        <w:t xml:space="preserve">This project suffered from a lack of forceful deadlines from the outset, so that some jurisdictions lagged as much as </w:t>
      </w:r>
      <w:r w:rsidR="00A7528C" w:rsidRPr="009B40BB">
        <w:t>two</w:t>
      </w:r>
      <w:r w:rsidR="00354B68" w:rsidRPr="009B40BB">
        <w:t xml:space="preserve"> months behind.</w:t>
      </w:r>
    </w:p>
    <w:p w:rsidR="00354B68" w:rsidRPr="009B40BB" w:rsidRDefault="00A7528C" w:rsidP="0087471A">
      <w:pPr>
        <w:pStyle w:val="Heading3"/>
      </w:pPr>
      <w:r w:rsidRPr="009B40BB">
        <w:t>Provide</w:t>
      </w:r>
      <w:r w:rsidR="00354B68" w:rsidRPr="009B40BB">
        <w:t xml:space="preserve"> jurisdictions time for </w:t>
      </w:r>
      <w:r w:rsidRPr="009B40BB">
        <w:t xml:space="preserve">post-submission </w:t>
      </w:r>
      <w:r w:rsidR="00354B68" w:rsidRPr="009B40BB">
        <w:t>review</w:t>
      </w:r>
    </w:p>
    <w:p w:rsidR="00C74589" w:rsidRPr="009B40BB" w:rsidRDefault="00C74589" w:rsidP="00354B68">
      <w:pPr>
        <w:pStyle w:val="BodyText"/>
        <w:spacing w:after="120"/>
      </w:pPr>
      <w:r w:rsidRPr="009B40BB">
        <w:t>Allow a quality assurance loop</w:t>
      </w:r>
      <w:r w:rsidR="00A7528C" w:rsidRPr="009B40BB">
        <w:t xml:space="preserve"> after </w:t>
      </w:r>
      <w:r w:rsidRPr="009B40BB">
        <w:t xml:space="preserve">the data has been submitted, gaps filled, overarching quality assurance </w:t>
      </w:r>
      <w:r w:rsidR="00B2186E" w:rsidRPr="009B40BB">
        <w:t xml:space="preserve">conducted </w:t>
      </w:r>
      <w:r w:rsidR="00354B68" w:rsidRPr="009B40BB">
        <w:t xml:space="preserve">at the Commonwealth level </w:t>
      </w:r>
      <w:r w:rsidR="00B2186E" w:rsidRPr="009B40BB">
        <w:t>and</w:t>
      </w:r>
      <w:r w:rsidRPr="009B40BB">
        <w:t xml:space="preserve"> all jurisdictional data </w:t>
      </w:r>
      <w:r w:rsidR="00354B68" w:rsidRPr="009B40BB">
        <w:t xml:space="preserve">has been </w:t>
      </w:r>
      <w:r w:rsidRPr="009B40BB">
        <w:t>compiled into a national report</w:t>
      </w:r>
      <w:r w:rsidR="00354B68" w:rsidRPr="009B40BB">
        <w:t>.</w:t>
      </w:r>
      <w:r w:rsidR="00A374C7" w:rsidRPr="009B40BB">
        <w:t xml:space="preserve"> </w:t>
      </w:r>
      <w:r w:rsidR="00354B68" w:rsidRPr="009B40BB">
        <w:t>S</w:t>
      </w:r>
      <w:r w:rsidRPr="009B40BB">
        <w:t>tates and territories should be given good opportunity to review their data again</w:t>
      </w:r>
      <w:r w:rsidR="00B2186E" w:rsidRPr="009B40BB">
        <w:t xml:space="preserve"> in this broader context.</w:t>
      </w:r>
      <w:r w:rsidR="00A374C7" w:rsidRPr="009B40BB">
        <w:t xml:space="preserve"> </w:t>
      </w:r>
      <w:r w:rsidR="00B2186E" w:rsidRPr="009B40BB">
        <w:t>This is also an opportunity to engage them in discussions about data interpretation and jurisdiction-specific aspects to their data that might help explain anomalies</w:t>
      </w:r>
      <w:r w:rsidR="0059297C" w:rsidRPr="009B40BB">
        <w:t>.</w:t>
      </w:r>
    </w:p>
    <w:p w:rsidR="00354B68" w:rsidRPr="009B40BB" w:rsidRDefault="00354B68" w:rsidP="0087471A">
      <w:pPr>
        <w:pStyle w:val="Heading3"/>
      </w:pPr>
      <w:r w:rsidRPr="009B40BB">
        <w:t xml:space="preserve">Classification differences are </w:t>
      </w:r>
      <w:r w:rsidR="00A7528C" w:rsidRPr="009B40BB">
        <w:t>nuanced</w:t>
      </w:r>
    </w:p>
    <w:p w:rsidR="00B2186E" w:rsidRPr="009B40BB" w:rsidRDefault="00A7528C" w:rsidP="00354B68">
      <w:pPr>
        <w:pStyle w:val="BodyText"/>
        <w:spacing w:after="120"/>
      </w:pPr>
      <w:r w:rsidRPr="009B40BB">
        <w:t>I</w:t>
      </w:r>
      <w:r w:rsidR="00B2186E" w:rsidRPr="009B40BB">
        <w:t>t was understood</w:t>
      </w:r>
      <w:r w:rsidRPr="009B40BB">
        <w:t xml:space="preserve"> at the outset</w:t>
      </w:r>
      <w:r w:rsidR="00B2186E" w:rsidRPr="009B40BB">
        <w:t xml:space="preserve"> that jurisdictions took different approaches to hazardous waste classification,</w:t>
      </w:r>
      <w:r w:rsidRPr="009B40BB">
        <w:t xml:space="preserve"> but</w:t>
      </w:r>
      <w:r w:rsidR="00B2186E" w:rsidRPr="009B40BB">
        <w:t xml:space="preserve"> the exact nature of these differences </w:t>
      </w:r>
      <w:r w:rsidRPr="009B40BB">
        <w:t>was not</w:t>
      </w:r>
      <w:r w:rsidR="00B2186E" w:rsidRPr="009B40BB">
        <w:t xml:space="preserve"> </w:t>
      </w:r>
      <w:r w:rsidRPr="009B40BB">
        <w:t xml:space="preserve">fully </w:t>
      </w:r>
      <w:r w:rsidR="00B2186E" w:rsidRPr="009B40BB">
        <w:t>appreciated</w:t>
      </w:r>
      <w:r w:rsidRPr="009B40BB">
        <w:t xml:space="preserve"> until this project’s comprehensive comparison was carried out</w:t>
      </w:r>
      <w:r w:rsidR="00B2186E" w:rsidRPr="009B40BB">
        <w:t>.</w:t>
      </w:r>
      <w:r w:rsidR="00A374C7" w:rsidRPr="009B40BB">
        <w:t xml:space="preserve"> </w:t>
      </w:r>
      <w:r w:rsidR="00B2186E" w:rsidRPr="009B40BB">
        <w:t xml:space="preserve">This project has demonstrated where the commonality and differences lie in classifications, which </w:t>
      </w:r>
      <w:r w:rsidRPr="009B40BB">
        <w:t>should</w:t>
      </w:r>
      <w:r w:rsidR="00B2186E" w:rsidRPr="009B40BB">
        <w:t xml:space="preserve"> lead to better comparison and cross-jurisdiction use of data in the future.</w:t>
      </w:r>
    </w:p>
    <w:p w:rsidR="00354B68" w:rsidRPr="009B40BB" w:rsidRDefault="00A7528C" w:rsidP="0087471A">
      <w:pPr>
        <w:pStyle w:val="Heading3"/>
      </w:pPr>
      <w:r w:rsidRPr="009B40BB">
        <w:t xml:space="preserve">More consideration is needed in relation to simultaneous collection of </w:t>
      </w:r>
      <w:r w:rsidR="001F4FF3">
        <w:t xml:space="preserve">Basel (generation) data and Controlled Waste </w:t>
      </w:r>
      <w:r w:rsidRPr="009B40BB">
        <w:t>NEPM data</w:t>
      </w:r>
      <w:r w:rsidR="001F4FF3">
        <w:t xml:space="preserve"> (cross-border receipt)</w:t>
      </w:r>
    </w:p>
    <w:p w:rsidR="0059297C" w:rsidRPr="009B40BB" w:rsidRDefault="0059297C" w:rsidP="00354B68">
      <w:pPr>
        <w:pStyle w:val="BodyText"/>
        <w:spacing w:after="120"/>
      </w:pPr>
      <w:r w:rsidRPr="009B40BB">
        <w:t xml:space="preserve">All jurisdictions were requested to, and provided templates for, reporting of </w:t>
      </w:r>
      <w:r w:rsidR="00A7528C" w:rsidRPr="009B40BB">
        <w:t>hazardous</w:t>
      </w:r>
      <w:r w:rsidRPr="009B40BB">
        <w:t xml:space="preserve"> wastes </w:t>
      </w:r>
      <w:r w:rsidR="00A7528C" w:rsidRPr="009B40BB">
        <w:t xml:space="preserve">under </w:t>
      </w:r>
      <w:r w:rsidRPr="009B40BB">
        <w:t xml:space="preserve">the Controlled Waste NEPM, which </w:t>
      </w:r>
      <w:r w:rsidR="00A7528C" w:rsidRPr="009B40BB">
        <w:t xml:space="preserve">covers the </w:t>
      </w:r>
      <w:r w:rsidR="009F2DB8">
        <w:t>transfer</w:t>
      </w:r>
      <w:r w:rsidR="001F4FF3">
        <w:t xml:space="preserve"> </w:t>
      </w:r>
      <w:r w:rsidR="00A7528C" w:rsidRPr="009B40BB">
        <w:t>of</w:t>
      </w:r>
      <w:r w:rsidRPr="009B40BB">
        <w:t xml:space="preserve"> hazardous wastes </w:t>
      </w:r>
      <w:r w:rsidR="00A7528C" w:rsidRPr="009B40BB">
        <w:t xml:space="preserve">into </w:t>
      </w:r>
      <w:r w:rsidRPr="009B40BB">
        <w:t xml:space="preserve">a </w:t>
      </w:r>
      <w:r w:rsidR="001F4FF3">
        <w:t>state or territory from another state or territory</w:t>
      </w:r>
      <w:r w:rsidR="00A7528C" w:rsidRPr="009B40BB">
        <w:t>.</w:t>
      </w:r>
      <w:r w:rsidRPr="009B40BB">
        <w:t xml:space="preserve"> </w:t>
      </w:r>
      <w:r w:rsidR="00A7528C" w:rsidRPr="009B40BB">
        <w:t>O</w:t>
      </w:r>
      <w:r w:rsidRPr="009B40BB">
        <w:t xml:space="preserve">nly Victoria, New South Wales and South Australia provided this NEPM </w:t>
      </w:r>
      <w:r w:rsidR="009F2DB8">
        <w:t>transfer</w:t>
      </w:r>
      <w:r w:rsidRPr="009B40BB">
        <w:t xml:space="preserve"> data separately by each </w:t>
      </w:r>
      <w:r w:rsidR="009F2DB8">
        <w:t>source</w:t>
      </w:r>
      <w:r w:rsidRPr="009B40BB">
        <w:t xml:space="preserve"> jurisdiction.</w:t>
      </w:r>
      <w:r w:rsidR="00A374C7" w:rsidRPr="009B40BB">
        <w:t xml:space="preserve"> </w:t>
      </w:r>
      <w:r w:rsidR="00806BF7" w:rsidRPr="009B40BB">
        <w:t xml:space="preserve">All jurisdictions are required to report this data under the Controlled Waste NEPM (albeit aggregated to the higher level of the 15 NEPM codes) and </w:t>
      </w:r>
      <w:r w:rsidRPr="009B40BB">
        <w:t>logically</w:t>
      </w:r>
      <w:r w:rsidR="00806BF7" w:rsidRPr="009B40BB">
        <w:t xml:space="preserve"> it</w:t>
      </w:r>
      <w:r w:rsidRPr="009B40BB">
        <w:t xml:space="preserve"> should be achievable</w:t>
      </w:r>
      <w:r w:rsidR="00806BF7" w:rsidRPr="009B40BB">
        <w:t xml:space="preserve"> to combine this with Basel reporting. However, </w:t>
      </w:r>
      <w:r w:rsidRPr="009B40BB">
        <w:t>the results from this project indicate that it may be more difficult for some to obtain</w:t>
      </w:r>
      <w:r w:rsidR="00A7528C" w:rsidRPr="009B40BB">
        <w:t xml:space="preserve"> </w:t>
      </w:r>
      <w:r w:rsidR="00806BF7" w:rsidRPr="009B40BB">
        <w:t xml:space="preserve">this information </w:t>
      </w:r>
      <w:r w:rsidR="00A7528C" w:rsidRPr="009B40BB">
        <w:t>than</w:t>
      </w:r>
      <w:r w:rsidR="00806BF7" w:rsidRPr="009B40BB">
        <w:t xml:space="preserve"> the</w:t>
      </w:r>
      <w:r w:rsidR="00A7528C" w:rsidRPr="009B40BB">
        <w:t xml:space="preserve"> generation data</w:t>
      </w:r>
      <w:r w:rsidRPr="009B40BB">
        <w:t>.</w:t>
      </w:r>
      <w:r w:rsidR="00806BF7" w:rsidRPr="009B40BB">
        <w:t xml:space="preserve"> In the cases where this data was supplied, it was useful in </w:t>
      </w:r>
      <w:r w:rsidRPr="009B40BB">
        <w:t xml:space="preserve">constructing </w:t>
      </w:r>
      <w:r w:rsidR="00806BF7" w:rsidRPr="009B40BB">
        <w:t xml:space="preserve">the </w:t>
      </w:r>
      <w:r w:rsidRPr="009B40BB">
        <w:t>data</w:t>
      </w:r>
      <w:r w:rsidR="00806BF7" w:rsidRPr="009B40BB">
        <w:t xml:space="preserve"> set</w:t>
      </w:r>
      <w:r w:rsidRPr="009B40BB">
        <w:t xml:space="preserve"> for the Northern Territory.</w:t>
      </w:r>
    </w:p>
    <w:p w:rsidR="00ED6613" w:rsidRPr="009B40BB" w:rsidRDefault="00ED6613">
      <w:pPr>
        <w:spacing w:line="240" w:lineRule="auto"/>
        <w:rPr>
          <w:color w:val="080808"/>
          <w:sz w:val="22"/>
        </w:rPr>
      </w:pPr>
      <w:r w:rsidRPr="009B40BB">
        <w:br w:type="page"/>
      </w:r>
    </w:p>
    <w:p w:rsidR="00ED6613" w:rsidRPr="009B40BB" w:rsidRDefault="00ED6613" w:rsidP="00ED6613">
      <w:pPr>
        <w:pStyle w:val="Heading1"/>
      </w:pPr>
      <w:bookmarkStart w:id="43" w:name="_Toc390770738"/>
      <w:r w:rsidRPr="009B40BB">
        <w:lastRenderedPageBreak/>
        <w:t>Recommendations</w:t>
      </w:r>
      <w:bookmarkEnd w:id="43"/>
    </w:p>
    <w:p w:rsidR="00FA6E37" w:rsidRPr="009B40BB" w:rsidRDefault="00B2186E" w:rsidP="00A768C4">
      <w:pPr>
        <w:pStyle w:val="ListNumber"/>
        <w:numPr>
          <w:ilvl w:val="0"/>
          <w:numId w:val="19"/>
        </w:numPr>
      </w:pPr>
      <w:r w:rsidRPr="009B40BB">
        <w:t>Adopt the 75 NEPM code classification system as a national framework for collecting, collating and reporting on hazardous waste in Australia, via the utility of the translation guidance</w:t>
      </w:r>
      <w:r w:rsidR="00661651" w:rsidRPr="009B40BB">
        <w:t xml:space="preserve"> and templates provides as</w:t>
      </w:r>
      <w:r w:rsidRPr="009B40BB">
        <w:t xml:space="preserve"> </w:t>
      </w:r>
      <w:r w:rsidR="005A7997" w:rsidRPr="009B40BB">
        <w:t>appendi</w:t>
      </w:r>
      <w:r w:rsidRPr="009B40BB">
        <w:t>ces A and B.</w:t>
      </w:r>
    </w:p>
    <w:p w:rsidR="00EE6514" w:rsidRPr="009B40BB" w:rsidRDefault="00EE6514" w:rsidP="00A768C4">
      <w:pPr>
        <w:pStyle w:val="ListNumber"/>
        <w:numPr>
          <w:ilvl w:val="0"/>
          <w:numId w:val="18"/>
        </w:numPr>
      </w:pPr>
      <w:r w:rsidRPr="009B40BB">
        <w:t xml:space="preserve">Consider mechanisms for obtaining ongoing data on the fate of hazardous wastes in order to eliminate the discrepancies between the data presented for Basel and the proposed National Waste Data System. </w:t>
      </w:r>
    </w:p>
    <w:p w:rsidR="008415F2" w:rsidRPr="009B40BB" w:rsidRDefault="008415F2" w:rsidP="00A768C4">
      <w:pPr>
        <w:pStyle w:val="ListNumber"/>
        <w:numPr>
          <w:ilvl w:val="0"/>
          <w:numId w:val="18"/>
        </w:numPr>
      </w:pPr>
      <w:r w:rsidRPr="009B40BB">
        <w:t xml:space="preserve">Align </w:t>
      </w:r>
      <w:r w:rsidR="00EE6514" w:rsidRPr="009B40BB">
        <w:t xml:space="preserve">the </w:t>
      </w:r>
      <w:r w:rsidRPr="009B40BB">
        <w:t xml:space="preserve">data collection task </w:t>
      </w:r>
      <w:r w:rsidR="00EE6514" w:rsidRPr="009B40BB">
        <w:t xml:space="preserve">and reporting timeframes </w:t>
      </w:r>
      <w:r w:rsidRPr="009B40BB">
        <w:t>with th</w:t>
      </w:r>
      <w:r w:rsidR="00EE6514" w:rsidRPr="009B40BB">
        <w:t>ose of</w:t>
      </w:r>
      <w:r w:rsidRPr="009B40BB">
        <w:t xml:space="preserve"> the</w:t>
      </w:r>
      <w:r w:rsidR="00661651" w:rsidRPr="009B40BB">
        <w:t xml:space="preserve"> </w:t>
      </w:r>
      <w:r w:rsidR="00EE6514" w:rsidRPr="009B40BB">
        <w:t xml:space="preserve">proposed </w:t>
      </w:r>
      <w:r w:rsidRPr="009B40BB">
        <w:t>N</w:t>
      </w:r>
      <w:r w:rsidR="007360C6" w:rsidRPr="009B40BB">
        <w:t xml:space="preserve">ational </w:t>
      </w:r>
      <w:r w:rsidRPr="009B40BB">
        <w:t>W</w:t>
      </w:r>
      <w:r w:rsidR="007360C6" w:rsidRPr="009B40BB">
        <w:t xml:space="preserve">aste </w:t>
      </w:r>
      <w:r w:rsidRPr="009B40BB">
        <w:t>D</w:t>
      </w:r>
      <w:r w:rsidR="007360C6" w:rsidRPr="009B40BB">
        <w:t xml:space="preserve">ata </w:t>
      </w:r>
      <w:r w:rsidR="00661651" w:rsidRPr="009B40BB">
        <w:t>System</w:t>
      </w:r>
      <w:r w:rsidR="007360C6" w:rsidRPr="009B40BB">
        <w:t>.</w:t>
      </w:r>
      <w:r w:rsidR="00A374C7" w:rsidRPr="009B40BB">
        <w:t xml:space="preserve"> </w:t>
      </w:r>
      <w:r w:rsidR="007360C6" w:rsidRPr="009B40BB">
        <w:t>In particular</w:t>
      </w:r>
      <w:r w:rsidR="00A374C7" w:rsidRPr="009B40BB">
        <w:t xml:space="preserve"> </w:t>
      </w:r>
      <w:r w:rsidR="007360C6" w:rsidRPr="009B40BB">
        <w:t xml:space="preserve">explore the feasibility of combining the data collection templates and timing developed for this project with any future data collection mechanisms developed under the National Waste Data </w:t>
      </w:r>
      <w:r w:rsidR="00661651" w:rsidRPr="009B40BB">
        <w:t>System</w:t>
      </w:r>
      <w:r w:rsidR="007360C6" w:rsidRPr="009B40BB">
        <w:t xml:space="preserve"> project.</w:t>
      </w:r>
    </w:p>
    <w:p w:rsidR="00B2186E" w:rsidRDefault="00EE6514" w:rsidP="00A768C4">
      <w:pPr>
        <w:pStyle w:val="ListNumber"/>
        <w:numPr>
          <w:ilvl w:val="0"/>
          <w:numId w:val="18"/>
        </w:numPr>
      </w:pPr>
      <w:r w:rsidRPr="009B40BB">
        <w:t>Update the reporting</w:t>
      </w:r>
      <w:r w:rsidR="003147D0" w:rsidRPr="009B40BB">
        <w:t xml:space="preserve"> and translation</w:t>
      </w:r>
      <w:r w:rsidRPr="009B40BB">
        <w:t xml:space="preserve"> template</w:t>
      </w:r>
      <w:r w:rsidR="003147D0" w:rsidRPr="009B40BB">
        <w:t xml:space="preserve"> for Western Australia</w:t>
      </w:r>
      <w:r w:rsidRPr="009B40BB">
        <w:t xml:space="preserve"> to</w:t>
      </w:r>
      <w:r w:rsidR="003147D0" w:rsidRPr="009B40BB">
        <w:t xml:space="preserve"> be consistent with</w:t>
      </w:r>
      <w:r w:rsidRPr="009B40BB">
        <w:t xml:space="preserve"> </w:t>
      </w:r>
      <w:r w:rsidR="003147D0" w:rsidRPr="009B40BB">
        <w:t xml:space="preserve">its new </w:t>
      </w:r>
      <w:r w:rsidR="00B2186E" w:rsidRPr="009B40BB">
        <w:t>waste classification approach</w:t>
      </w:r>
      <w:r w:rsidR="003147D0" w:rsidRPr="009B40BB">
        <w:t xml:space="preserve">, which is currently under development (the new approach will </w:t>
      </w:r>
      <w:r w:rsidR="00661651" w:rsidRPr="009B40BB">
        <w:t>closely</w:t>
      </w:r>
      <w:r w:rsidR="00B2186E" w:rsidRPr="009B40BB">
        <w:t xml:space="preserve"> align with the 75 NEPM categories</w:t>
      </w:r>
      <w:r w:rsidR="003147D0" w:rsidRPr="009B40BB">
        <w:t>)</w:t>
      </w:r>
      <w:r w:rsidR="00B2186E" w:rsidRPr="009B40BB">
        <w:t>.</w:t>
      </w:r>
      <w:r w:rsidR="00A374C7" w:rsidRPr="009B40BB">
        <w:t xml:space="preserve"> </w:t>
      </w:r>
    </w:p>
    <w:p w:rsidR="002A15E1" w:rsidRPr="009B40BB" w:rsidRDefault="002A15E1" w:rsidP="00A768C4">
      <w:pPr>
        <w:pStyle w:val="ListNumber"/>
        <w:numPr>
          <w:ilvl w:val="0"/>
          <w:numId w:val="18"/>
        </w:numPr>
      </w:pPr>
      <w:r>
        <w:t>Examine the potential to combine the date collection tasks for the Basel Convention and the Controlled Waste NEPM.</w:t>
      </w:r>
    </w:p>
    <w:p w:rsidR="007360C6" w:rsidRPr="009B40BB" w:rsidRDefault="007360C6" w:rsidP="00A768C4">
      <w:pPr>
        <w:pStyle w:val="ListNumber"/>
        <w:numPr>
          <w:ilvl w:val="0"/>
          <w:numId w:val="18"/>
        </w:numPr>
        <w:rPr>
          <w:rFonts w:asciiTheme="minorHAnsi" w:hAnsiTheme="minorHAnsi" w:cs="Arial"/>
          <w:color w:val="0C0C0C" w:themeColor="text1"/>
          <w:szCs w:val="36"/>
        </w:rPr>
      </w:pPr>
      <w:bookmarkStart w:id="44" w:name="_Toc333863321"/>
      <w:bookmarkStart w:id="45" w:name="_Toc333863575"/>
      <w:r w:rsidRPr="009B40BB">
        <w:rPr>
          <w:rFonts w:asciiTheme="minorHAnsi" w:hAnsiTheme="minorHAnsi" w:cs="Arial"/>
          <w:color w:val="0C0C0C" w:themeColor="text1"/>
          <w:szCs w:val="36"/>
        </w:rPr>
        <w:t>Conduct further investigation into the key waste stream issues of contaminated soils and asbestos, to address clear deficiencies in their data recording and tracking in:</w:t>
      </w:r>
    </w:p>
    <w:p w:rsidR="007360C6" w:rsidRPr="009B40BB" w:rsidRDefault="007360C6" w:rsidP="00987863">
      <w:pPr>
        <w:pStyle w:val="Bullet2"/>
      </w:pPr>
      <w:r w:rsidRPr="009B40BB">
        <w:t>Western Australia and New South Wales (for asbestos)</w:t>
      </w:r>
    </w:p>
    <w:p w:rsidR="007360C6" w:rsidRPr="009B40BB" w:rsidRDefault="003147D0" w:rsidP="00987863">
      <w:pPr>
        <w:pStyle w:val="Bullet2"/>
      </w:pPr>
      <w:proofErr w:type="gramStart"/>
      <w:r w:rsidRPr="009B40BB">
        <w:t>a</w:t>
      </w:r>
      <w:r w:rsidR="007360C6" w:rsidRPr="009B40BB">
        <w:t>ll</w:t>
      </w:r>
      <w:proofErr w:type="gramEnd"/>
      <w:r w:rsidR="007360C6" w:rsidRPr="009B40BB">
        <w:t xml:space="preserve"> jurisdictions outside of Victoria (for contaminated soils).</w:t>
      </w:r>
    </w:p>
    <w:p w:rsidR="001F4FF3" w:rsidRPr="009B40BB" w:rsidRDefault="001F4FF3" w:rsidP="001F4FF3">
      <w:pPr>
        <w:pStyle w:val="ListNumber"/>
        <w:numPr>
          <w:ilvl w:val="0"/>
          <w:numId w:val="18"/>
        </w:numPr>
      </w:pPr>
      <w:r>
        <w:t>Investigate the feasibility, effort requirement, accuracy of</w:t>
      </w:r>
      <w:r w:rsidR="002D644A">
        <w:t xml:space="preserve">, </w:t>
      </w:r>
      <w:r>
        <w:t xml:space="preserve">and extent to which any commercial confidentiality could be breached </w:t>
      </w:r>
      <w:r w:rsidR="002D644A">
        <w:t>if</w:t>
      </w:r>
      <w:r>
        <w:t xml:space="preserve"> jurisdictions provide</w:t>
      </w:r>
      <w:r w:rsidR="002D644A">
        <w:t>d</w:t>
      </w:r>
      <w:r>
        <w:t xml:space="preserve"> generation data by ANZSIC Code (Australian and New Zealand Standard Industry Classification)</w:t>
      </w:r>
      <w:r w:rsidR="002D644A">
        <w:t>. (</w:t>
      </w:r>
      <w:r>
        <w:t>ANZSIC Code breakdown</w:t>
      </w:r>
      <w:r w:rsidR="002D644A">
        <w:t xml:space="preserve"> would</w:t>
      </w:r>
      <w:r>
        <w:t xml:space="preserve"> provide more useability to the data; for example </w:t>
      </w:r>
      <w:r w:rsidR="00CF3B5C">
        <w:t>if linking to other data sets such as economic, labour figures and other environmental performance data, as reported by the Australian Bureau of Statistics</w:t>
      </w:r>
      <w:r w:rsidR="00D5090F">
        <w:t>.</w:t>
      </w:r>
      <w:r w:rsidR="00CF3B5C">
        <w:t>)</w:t>
      </w:r>
    </w:p>
    <w:p w:rsidR="001F4FF3" w:rsidRDefault="001F4FF3" w:rsidP="003147D0">
      <w:pPr>
        <w:spacing w:line="240" w:lineRule="auto"/>
        <w:rPr>
          <w:rFonts w:asciiTheme="minorHAnsi" w:hAnsiTheme="minorHAnsi" w:cs="Arial"/>
          <w:color w:val="0C0C0C" w:themeColor="text1"/>
          <w:sz w:val="22"/>
          <w:szCs w:val="36"/>
        </w:rPr>
      </w:pPr>
    </w:p>
    <w:p w:rsidR="00802F70" w:rsidRPr="009B40BB" w:rsidRDefault="003147D0" w:rsidP="003147D0">
      <w:pPr>
        <w:spacing w:line="240" w:lineRule="auto"/>
        <w:rPr>
          <w:rFonts w:asciiTheme="minorHAnsi" w:hAnsiTheme="minorHAnsi" w:cs="Arial"/>
          <w:color w:val="0C0C0C" w:themeColor="text1"/>
          <w:sz w:val="22"/>
          <w:szCs w:val="36"/>
        </w:rPr>
      </w:pPr>
      <w:r w:rsidRPr="009B40BB">
        <w:rPr>
          <w:rFonts w:asciiTheme="minorHAnsi" w:hAnsiTheme="minorHAnsi" w:cs="Arial"/>
          <w:color w:val="0C0C0C" w:themeColor="text1"/>
          <w:sz w:val="22"/>
          <w:szCs w:val="36"/>
        </w:rPr>
        <w:t xml:space="preserve">Additional outstanding recommendations </w:t>
      </w:r>
      <w:r w:rsidRPr="009B40BB">
        <w:rPr>
          <w:rFonts w:asciiTheme="minorHAnsi" w:hAnsiTheme="minorHAnsi" w:cs="Arial"/>
          <w:color w:val="0C0C0C" w:themeColor="text1"/>
          <w:sz w:val="22"/>
        </w:rPr>
        <w:t xml:space="preserve">from the KMH </w:t>
      </w:r>
      <w:r w:rsidRPr="009B40BB">
        <w:rPr>
          <w:i/>
          <w:sz w:val="22"/>
        </w:rPr>
        <w:t>Hazardous Waste Data Assessment</w:t>
      </w:r>
      <w:r w:rsidRPr="009B40BB">
        <w:rPr>
          <w:rFonts w:asciiTheme="minorHAnsi" w:hAnsiTheme="minorHAnsi" w:cs="Arial"/>
          <w:color w:val="0C0C0C" w:themeColor="text1"/>
          <w:sz w:val="22"/>
        </w:rPr>
        <w:t xml:space="preserve"> report are</w:t>
      </w:r>
      <w:r w:rsidRPr="009B40BB">
        <w:rPr>
          <w:rFonts w:asciiTheme="minorHAnsi" w:hAnsiTheme="minorHAnsi" w:cs="Arial"/>
          <w:color w:val="0C0C0C" w:themeColor="text1"/>
          <w:sz w:val="22"/>
          <w:szCs w:val="36"/>
        </w:rPr>
        <w:t xml:space="preserve"> given in </w:t>
      </w:r>
      <w:r w:rsidR="00A06695">
        <w:rPr>
          <w:rFonts w:asciiTheme="minorHAnsi" w:hAnsiTheme="minorHAnsi" w:cs="Arial"/>
          <w:color w:val="0C0C0C" w:themeColor="text1"/>
          <w:sz w:val="22"/>
          <w:szCs w:val="36"/>
        </w:rPr>
        <w:t>Appendix</w:t>
      </w:r>
      <w:r w:rsidRPr="009B40BB">
        <w:rPr>
          <w:rFonts w:asciiTheme="minorHAnsi" w:hAnsiTheme="minorHAnsi" w:cs="Arial"/>
          <w:color w:val="0C0C0C" w:themeColor="text1"/>
          <w:sz w:val="22"/>
          <w:szCs w:val="36"/>
        </w:rPr>
        <w:t xml:space="preserve"> F.</w:t>
      </w:r>
    </w:p>
    <w:p w:rsidR="00E75FEB" w:rsidRPr="009B40BB" w:rsidRDefault="00E75FEB" w:rsidP="00802F70">
      <w:pPr>
        <w:pStyle w:val="Heading1"/>
        <w:pageBreakBefore/>
        <w:numPr>
          <w:ilvl w:val="0"/>
          <w:numId w:val="0"/>
        </w:numPr>
        <w:ind w:left="851" w:hanging="851"/>
      </w:pPr>
      <w:bookmarkStart w:id="46" w:name="_Toc390770739"/>
      <w:r w:rsidRPr="009B40BB">
        <w:lastRenderedPageBreak/>
        <w:t>References</w:t>
      </w:r>
      <w:bookmarkEnd w:id="44"/>
      <w:bookmarkEnd w:id="45"/>
      <w:bookmarkEnd w:id="46"/>
    </w:p>
    <w:p w:rsidR="00B56A92" w:rsidRPr="009B40BB" w:rsidRDefault="00B56A92" w:rsidP="00B56A92">
      <w:pPr>
        <w:pStyle w:val="RptBodyText"/>
        <w:rPr>
          <w:rFonts w:asciiTheme="minorHAnsi" w:hAnsiTheme="minorHAnsi"/>
          <w:szCs w:val="22"/>
          <w:lang w:val="en-AU"/>
        </w:rPr>
      </w:pPr>
      <w:r w:rsidRPr="009B40BB">
        <w:rPr>
          <w:rFonts w:asciiTheme="minorHAnsi" w:hAnsiTheme="minorHAnsi"/>
          <w:szCs w:val="22"/>
          <w:lang w:val="en-AU"/>
        </w:rPr>
        <w:t xml:space="preserve">Basel Convention, </w:t>
      </w:r>
      <w:r w:rsidRPr="007E6E1B">
        <w:rPr>
          <w:rFonts w:asciiTheme="minorHAnsi" w:hAnsiTheme="minorHAnsi"/>
          <w:i/>
          <w:szCs w:val="22"/>
          <w:lang w:val="en-AU"/>
        </w:rPr>
        <w:t>Methodological guide for the development of inventories of hazardous wastes and other wastes under the Basel Convention</w:t>
      </w:r>
      <w:r w:rsidRPr="009B40BB">
        <w:rPr>
          <w:rFonts w:asciiTheme="minorHAnsi" w:hAnsiTheme="minorHAnsi"/>
          <w:szCs w:val="22"/>
          <w:lang w:val="en-AU"/>
        </w:rPr>
        <w:t>, (Draft, October 2013)</w:t>
      </w:r>
    </w:p>
    <w:p w:rsidR="00B56A92" w:rsidRPr="009B40BB" w:rsidRDefault="00B56A92" w:rsidP="00B56A92">
      <w:pPr>
        <w:pStyle w:val="RptBodyText"/>
        <w:rPr>
          <w:rFonts w:asciiTheme="minorHAnsi" w:hAnsiTheme="minorHAnsi"/>
          <w:szCs w:val="22"/>
          <w:lang w:val="en-AU"/>
        </w:rPr>
      </w:pPr>
      <w:r w:rsidRPr="009B40BB">
        <w:rPr>
          <w:rFonts w:asciiTheme="minorHAnsi" w:hAnsiTheme="minorHAnsi"/>
          <w:szCs w:val="22"/>
          <w:lang w:val="en-AU"/>
        </w:rPr>
        <w:t>Blue Environment (in association with Randell Environmental Consulting) (201</w:t>
      </w:r>
      <w:r w:rsidR="00626024" w:rsidRPr="009B40BB">
        <w:rPr>
          <w:rFonts w:asciiTheme="minorHAnsi" w:hAnsiTheme="minorHAnsi"/>
          <w:szCs w:val="22"/>
          <w:lang w:val="en-AU"/>
        </w:rPr>
        <w:t>3</w:t>
      </w:r>
      <w:r w:rsidRPr="009B40BB">
        <w:rPr>
          <w:rFonts w:asciiTheme="minorHAnsi" w:hAnsiTheme="minorHAnsi"/>
          <w:szCs w:val="22"/>
          <w:lang w:val="en-AU"/>
        </w:rPr>
        <w:t xml:space="preserve">) </w:t>
      </w:r>
      <w:r w:rsidRPr="009B40BB">
        <w:rPr>
          <w:rFonts w:asciiTheme="minorHAnsi" w:hAnsiTheme="minorHAnsi"/>
          <w:i/>
          <w:szCs w:val="22"/>
          <w:lang w:val="en-AU"/>
        </w:rPr>
        <w:t>Waste generation and resource recovery in Australia Reporting period 2010/11 (WGRRA),</w:t>
      </w:r>
      <w:r w:rsidRPr="009B40BB">
        <w:rPr>
          <w:rFonts w:asciiTheme="minorHAnsi" w:hAnsiTheme="minorHAnsi"/>
          <w:szCs w:val="22"/>
          <w:lang w:val="en-AU"/>
        </w:rPr>
        <w:t xml:space="preserve"> Department of Sustainability, Environment, Water, Population and Communities, available from: </w:t>
      </w:r>
      <w:hyperlink r:id="rId25" w:history="1">
        <w:r w:rsidRPr="009B40BB">
          <w:rPr>
            <w:rStyle w:val="Hyperlink"/>
            <w:rFonts w:asciiTheme="minorHAnsi" w:hAnsiTheme="minorHAnsi"/>
            <w:szCs w:val="22"/>
            <w:lang w:val="en-AU"/>
          </w:rPr>
          <w:t>http://www.environment.gov.au/resource/waste-generation-and-resource-recovery-australia-report-and-data-workbooks</w:t>
        </w:r>
      </w:hyperlink>
    </w:p>
    <w:p w:rsidR="00B56A92" w:rsidRPr="009B40BB" w:rsidRDefault="00B56A92" w:rsidP="00B56A92">
      <w:pPr>
        <w:pStyle w:val="RptBodyText"/>
        <w:rPr>
          <w:rFonts w:asciiTheme="minorHAnsi" w:hAnsiTheme="minorHAnsi"/>
          <w:szCs w:val="22"/>
          <w:lang w:val="en-AU"/>
        </w:rPr>
      </w:pPr>
      <w:r w:rsidRPr="009B40BB">
        <w:rPr>
          <w:rFonts w:asciiTheme="minorHAnsi" w:hAnsiTheme="minorHAnsi"/>
          <w:szCs w:val="22"/>
          <w:lang w:val="en-AU"/>
        </w:rPr>
        <w:t xml:space="preserve">DECCW (NSW Department of Environment, Climate Change and Water 2009) </w:t>
      </w:r>
      <w:r w:rsidRPr="009B40BB">
        <w:rPr>
          <w:rFonts w:asciiTheme="minorHAnsi" w:hAnsiTheme="minorHAnsi"/>
          <w:i/>
          <w:szCs w:val="22"/>
          <w:lang w:val="en-AU"/>
        </w:rPr>
        <w:t>Waste Classification Guidelines Part 1: Classifying Waste</w:t>
      </w:r>
      <w:r w:rsidRPr="009B40BB">
        <w:rPr>
          <w:rFonts w:asciiTheme="minorHAnsi" w:hAnsiTheme="minorHAnsi"/>
          <w:szCs w:val="22"/>
          <w:lang w:val="en-AU"/>
        </w:rPr>
        <w:t xml:space="preserve">, available from: </w:t>
      </w:r>
      <w:hyperlink r:id="rId26" w:history="1">
        <w:r w:rsidRPr="009B40BB">
          <w:rPr>
            <w:rStyle w:val="Hyperlink"/>
            <w:rFonts w:asciiTheme="minorHAnsi" w:hAnsiTheme="minorHAnsi"/>
            <w:szCs w:val="22"/>
            <w:lang w:val="en-AU"/>
          </w:rPr>
          <w:t>http://www.environment.nsw.gov.au/resources/waste/08202classifyingwaste.pdf</w:t>
        </w:r>
      </w:hyperlink>
    </w:p>
    <w:p w:rsidR="00B56A92" w:rsidRPr="009B40BB" w:rsidRDefault="00B56A92" w:rsidP="00B56A92">
      <w:pPr>
        <w:pStyle w:val="RptBodyText"/>
        <w:rPr>
          <w:rFonts w:asciiTheme="minorHAnsi" w:hAnsiTheme="minorHAnsi"/>
          <w:szCs w:val="22"/>
          <w:lang w:val="en-AU"/>
        </w:rPr>
      </w:pPr>
      <w:r w:rsidRPr="009B40BB">
        <w:rPr>
          <w:rFonts w:asciiTheme="minorHAnsi" w:hAnsiTheme="minorHAnsi"/>
          <w:szCs w:val="22"/>
          <w:lang w:val="en-AU"/>
        </w:rPr>
        <w:t xml:space="preserve">EPA Tasmania </w:t>
      </w:r>
      <w:r w:rsidRPr="009B40BB">
        <w:rPr>
          <w:rFonts w:asciiTheme="minorHAnsi" w:hAnsiTheme="minorHAnsi"/>
          <w:i/>
          <w:szCs w:val="22"/>
          <w:lang w:val="en-AU"/>
        </w:rPr>
        <w:t xml:space="preserve">Solid Waste Classification System, </w:t>
      </w:r>
      <w:r w:rsidRPr="009B40BB">
        <w:rPr>
          <w:rFonts w:asciiTheme="minorHAnsi" w:hAnsiTheme="minorHAnsi"/>
          <w:szCs w:val="22"/>
          <w:lang w:val="en-AU"/>
        </w:rPr>
        <w:t xml:space="preserve">available from: </w:t>
      </w:r>
      <w:hyperlink r:id="rId27" w:history="1">
        <w:r w:rsidRPr="009B40BB">
          <w:rPr>
            <w:rStyle w:val="Hyperlink"/>
            <w:rFonts w:asciiTheme="minorHAnsi" w:hAnsiTheme="minorHAnsi"/>
            <w:szCs w:val="22"/>
            <w:lang w:val="en-AU"/>
          </w:rPr>
          <w:t>http://epa.tas.gov.au/regulation/document?docid=640</w:t>
        </w:r>
      </w:hyperlink>
    </w:p>
    <w:p w:rsidR="00B56A92" w:rsidRPr="009B40BB" w:rsidRDefault="00B56A92" w:rsidP="00B56A92">
      <w:pPr>
        <w:pStyle w:val="RptBodyText"/>
        <w:rPr>
          <w:rFonts w:asciiTheme="minorHAnsi" w:hAnsiTheme="minorHAnsi"/>
          <w:szCs w:val="22"/>
          <w:lang w:val="en-AU"/>
        </w:rPr>
      </w:pPr>
      <w:r w:rsidRPr="009B40BB">
        <w:rPr>
          <w:rFonts w:asciiTheme="minorHAnsi" w:hAnsiTheme="minorHAnsi"/>
          <w:szCs w:val="22"/>
          <w:lang w:val="en-AU"/>
        </w:rPr>
        <w:t xml:space="preserve">Hyder </w:t>
      </w:r>
      <w:proofErr w:type="gramStart"/>
      <w:r w:rsidRPr="009B40BB">
        <w:rPr>
          <w:rFonts w:asciiTheme="minorHAnsi" w:hAnsiTheme="minorHAnsi"/>
          <w:szCs w:val="22"/>
          <w:lang w:val="en-AU"/>
        </w:rPr>
        <w:t>Consulting</w:t>
      </w:r>
      <w:proofErr w:type="gramEnd"/>
      <w:r w:rsidRPr="009B40BB">
        <w:rPr>
          <w:rFonts w:asciiTheme="minorHAnsi" w:hAnsiTheme="minorHAnsi"/>
          <w:szCs w:val="22"/>
          <w:lang w:val="en-AU"/>
        </w:rPr>
        <w:t xml:space="preserve"> (2011a) </w:t>
      </w:r>
      <w:r w:rsidRPr="009B40BB">
        <w:rPr>
          <w:rFonts w:asciiTheme="minorHAnsi" w:hAnsiTheme="minorHAnsi"/>
          <w:i/>
          <w:szCs w:val="22"/>
          <w:lang w:val="en-AU"/>
        </w:rPr>
        <w:t>National waste and recycling reporting A more uniform approach to data (the method report)</w:t>
      </w:r>
      <w:r w:rsidRPr="009B40BB">
        <w:rPr>
          <w:rFonts w:asciiTheme="minorHAnsi" w:hAnsiTheme="minorHAnsi"/>
          <w:szCs w:val="22"/>
          <w:lang w:val="en-AU"/>
        </w:rPr>
        <w:t xml:space="preserve">, Department of Sustainability, Environment, Water, Population and Communities (not publically available). </w:t>
      </w:r>
    </w:p>
    <w:p w:rsidR="00B56A92" w:rsidRPr="009B40BB" w:rsidRDefault="00B56A92" w:rsidP="00B56A92">
      <w:pPr>
        <w:pStyle w:val="RptBodyText"/>
        <w:rPr>
          <w:rFonts w:asciiTheme="minorHAnsi" w:hAnsiTheme="minorHAnsi"/>
          <w:szCs w:val="22"/>
          <w:lang w:val="en-AU"/>
        </w:rPr>
      </w:pPr>
      <w:r w:rsidRPr="009B40BB">
        <w:rPr>
          <w:rFonts w:asciiTheme="minorHAnsi" w:hAnsiTheme="minorHAnsi"/>
          <w:szCs w:val="22"/>
          <w:lang w:val="en-AU"/>
        </w:rPr>
        <w:t xml:space="preserve">Hyder Consulting (2011b) </w:t>
      </w:r>
      <w:r w:rsidRPr="009B40BB">
        <w:rPr>
          <w:rFonts w:asciiTheme="minorHAnsi" w:hAnsiTheme="minorHAnsi"/>
          <w:i/>
          <w:szCs w:val="22"/>
          <w:lang w:val="en-AU"/>
        </w:rPr>
        <w:t>Waste and Recycling in Australia 2011 (WRiA2011),</w:t>
      </w:r>
      <w:r w:rsidRPr="009B40BB">
        <w:rPr>
          <w:rFonts w:asciiTheme="minorHAnsi" w:hAnsiTheme="minorHAnsi"/>
          <w:szCs w:val="22"/>
          <w:lang w:val="en-AU"/>
        </w:rPr>
        <w:t xml:space="preserve"> Department of Sustainability, Environment, Water, Population and Communities, available from: </w:t>
      </w:r>
      <w:hyperlink r:id="rId28" w:history="1">
        <w:r w:rsidRPr="009B40BB">
          <w:rPr>
            <w:rStyle w:val="Hyperlink"/>
            <w:rFonts w:asciiTheme="minorHAnsi" w:hAnsiTheme="minorHAnsi"/>
            <w:szCs w:val="22"/>
            <w:lang w:val="en-AU"/>
          </w:rPr>
          <w:t>http://www.environment.gov.au/wastepolicy/publications/waste-recycling2011.html</w:t>
        </w:r>
      </w:hyperlink>
    </w:p>
    <w:p w:rsidR="00B56A92" w:rsidRPr="009B40BB" w:rsidRDefault="00B56A92" w:rsidP="00B56A92">
      <w:pPr>
        <w:pStyle w:val="RptBodyText"/>
        <w:rPr>
          <w:rFonts w:asciiTheme="minorHAnsi" w:hAnsiTheme="minorHAnsi"/>
          <w:szCs w:val="22"/>
          <w:lang w:val="en-AU"/>
        </w:rPr>
      </w:pPr>
      <w:r w:rsidRPr="009B40BB">
        <w:rPr>
          <w:rFonts w:asciiTheme="minorHAnsi" w:hAnsiTheme="minorHAnsi"/>
          <w:szCs w:val="22"/>
          <w:lang w:val="en-AU"/>
        </w:rPr>
        <w:t xml:space="preserve">Hyder Consulting (2011c) </w:t>
      </w:r>
      <w:r w:rsidRPr="009B40BB">
        <w:rPr>
          <w:rFonts w:asciiTheme="minorHAnsi" w:hAnsiTheme="minorHAnsi"/>
          <w:i/>
          <w:szCs w:val="22"/>
          <w:lang w:val="en-AU"/>
        </w:rPr>
        <w:t>Liquid Waste Assessment</w:t>
      </w:r>
      <w:r w:rsidRPr="009B40BB">
        <w:rPr>
          <w:rFonts w:asciiTheme="minorHAnsi" w:hAnsiTheme="minorHAnsi"/>
          <w:szCs w:val="22"/>
          <w:lang w:val="en-AU"/>
        </w:rPr>
        <w:t xml:space="preserve"> 2011, prepared for the Department of Sustainability, Environment, Water, Population and Communities, available from: </w:t>
      </w:r>
      <w:hyperlink r:id="rId29" w:history="1">
        <w:r w:rsidRPr="009B40BB">
          <w:rPr>
            <w:rStyle w:val="Hyperlink"/>
            <w:rFonts w:asciiTheme="minorHAnsi" w:hAnsiTheme="minorHAnsi"/>
            <w:szCs w:val="22"/>
            <w:lang w:val="en-AU"/>
          </w:rPr>
          <w:t>http://www.environment.gov.au/system/files/resources/fd8e59bd-b64d-42b3-8a73-5021d21310be/files/liquid-waste.pdf</w:t>
        </w:r>
      </w:hyperlink>
    </w:p>
    <w:p w:rsidR="009F3F29" w:rsidRPr="009B40BB" w:rsidRDefault="009F3F29" w:rsidP="009F3F29">
      <w:pPr>
        <w:pStyle w:val="RptBodyText"/>
        <w:spacing w:after="0"/>
        <w:rPr>
          <w:rFonts w:asciiTheme="minorHAnsi" w:hAnsiTheme="minorHAnsi"/>
          <w:szCs w:val="22"/>
          <w:lang w:val="en-AU"/>
        </w:rPr>
      </w:pPr>
      <w:r w:rsidRPr="009B40BB">
        <w:rPr>
          <w:rFonts w:asciiTheme="minorHAnsi" w:hAnsiTheme="minorHAnsi"/>
          <w:lang w:val="en-AU"/>
        </w:rPr>
        <w:t xml:space="preserve">KMH Environmental (2013) </w:t>
      </w:r>
      <w:r w:rsidRPr="009B40BB">
        <w:rPr>
          <w:rFonts w:asciiTheme="minorHAnsi" w:hAnsiTheme="minorHAnsi"/>
          <w:i/>
          <w:lang w:val="en-AU"/>
        </w:rPr>
        <w:t>Hazardous Waste Data Assessment Final Report</w:t>
      </w:r>
      <w:r w:rsidR="00AD70D4">
        <w:rPr>
          <w:rFonts w:asciiTheme="minorHAnsi" w:hAnsiTheme="minorHAnsi"/>
          <w:lang w:val="en-AU"/>
        </w:rPr>
        <w:t>, on the 2010-</w:t>
      </w:r>
      <w:r w:rsidRPr="009B40BB">
        <w:rPr>
          <w:rFonts w:asciiTheme="minorHAnsi" w:hAnsiTheme="minorHAnsi"/>
          <w:lang w:val="en-AU"/>
        </w:rPr>
        <w:t xml:space="preserve">11 data </w:t>
      </w:r>
      <w:proofErr w:type="gramStart"/>
      <w:r w:rsidRPr="009B40BB">
        <w:rPr>
          <w:rFonts w:asciiTheme="minorHAnsi" w:hAnsiTheme="minorHAnsi"/>
          <w:lang w:val="en-AU"/>
        </w:rPr>
        <w:t>set</w:t>
      </w:r>
      <w:proofErr w:type="gramEnd"/>
      <w:r w:rsidRPr="009B40BB">
        <w:rPr>
          <w:rFonts w:asciiTheme="minorHAnsi" w:hAnsiTheme="minorHAnsi"/>
          <w:lang w:val="en-AU"/>
        </w:rPr>
        <w:t xml:space="preserve">, prepared for </w:t>
      </w:r>
      <w:r w:rsidRPr="009B40BB">
        <w:rPr>
          <w:rFonts w:asciiTheme="minorHAnsi" w:hAnsiTheme="minorHAnsi"/>
          <w:szCs w:val="22"/>
          <w:lang w:val="en-AU"/>
        </w:rPr>
        <w:t>the Department of Sustainability, Environment, Water, Population and Communities, available from:</w:t>
      </w:r>
    </w:p>
    <w:p w:rsidR="009F3F29" w:rsidRPr="009B40BB" w:rsidRDefault="003E6F16" w:rsidP="00B56A92">
      <w:pPr>
        <w:pStyle w:val="RptBodyText"/>
        <w:rPr>
          <w:rFonts w:asciiTheme="minorHAnsi" w:hAnsiTheme="minorHAnsi"/>
          <w:color w:val="000000"/>
          <w:szCs w:val="22"/>
          <w:lang w:val="en-AU" w:eastAsia="en-AU"/>
        </w:rPr>
      </w:pPr>
      <w:hyperlink r:id="rId30" w:history="1">
        <w:r w:rsidR="009F3F29" w:rsidRPr="009B40BB">
          <w:rPr>
            <w:rStyle w:val="Hyperlink"/>
            <w:rFonts w:asciiTheme="minorHAnsi" w:hAnsiTheme="minorHAnsi"/>
            <w:szCs w:val="22"/>
            <w:lang w:val="en-AU" w:eastAsia="en-AU"/>
          </w:rPr>
          <w:t>http://www.environment.gov.au/resource/hazardous-waste-data-assessment</w:t>
        </w:r>
      </w:hyperlink>
      <w:r w:rsidR="009F3F29" w:rsidRPr="009B40BB">
        <w:rPr>
          <w:rFonts w:asciiTheme="minorHAnsi" w:hAnsiTheme="minorHAnsi"/>
          <w:color w:val="000000"/>
          <w:szCs w:val="22"/>
          <w:lang w:val="en-AU" w:eastAsia="en-AU"/>
        </w:rPr>
        <w:t xml:space="preserve"> </w:t>
      </w:r>
    </w:p>
    <w:p w:rsidR="009F3F29" w:rsidRPr="009B40BB" w:rsidRDefault="009F3F29" w:rsidP="009F3F29">
      <w:pPr>
        <w:pStyle w:val="RptBodyText"/>
        <w:spacing w:after="0"/>
        <w:rPr>
          <w:rFonts w:asciiTheme="minorHAnsi" w:hAnsiTheme="minorHAnsi"/>
          <w:szCs w:val="22"/>
          <w:lang w:val="en-AU"/>
        </w:rPr>
      </w:pPr>
      <w:r w:rsidRPr="009B40BB">
        <w:rPr>
          <w:rFonts w:asciiTheme="minorHAnsi" w:hAnsiTheme="minorHAnsi"/>
          <w:lang w:val="en-AU"/>
        </w:rPr>
        <w:t xml:space="preserve">KMH Environmental (2013) </w:t>
      </w:r>
      <w:r w:rsidRPr="009B40BB">
        <w:rPr>
          <w:rFonts w:asciiTheme="minorHAnsi" w:hAnsiTheme="minorHAnsi"/>
          <w:i/>
          <w:lang w:val="en-AU"/>
        </w:rPr>
        <w:t>Hazardous Waste Data Assessment Summary Report</w:t>
      </w:r>
      <w:r w:rsidR="00AD70D4">
        <w:rPr>
          <w:rFonts w:asciiTheme="minorHAnsi" w:hAnsiTheme="minorHAnsi"/>
          <w:lang w:val="en-AU"/>
        </w:rPr>
        <w:t>, on the 2010-</w:t>
      </w:r>
      <w:r w:rsidRPr="009B40BB">
        <w:rPr>
          <w:rFonts w:asciiTheme="minorHAnsi" w:hAnsiTheme="minorHAnsi"/>
          <w:lang w:val="en-AU"/>
        </w:rPr>
        <w:t xml:space="preserve">11 data </w:t>
      </w:r>
      <w:proofErr w:type="gramStart"/>
      <w:r w:rsidRPr="009B40BB">
        <w:rPr>
          <w:rFonts w:asciiTheme="minorHAnsi" w:hAnsiTheme="minorHAnsi"/>
          <w:lang w:val="en-AU"/>
        </w:rPr>
        <w:t>set</w:t>
      </w:r>
      <w:proofErr w:type="gramEnd"/>
      <w:r w:rsidRPr="009B40BB">
        <w:rPr>
          <w:rFonts w:asciiTheme="minorHAnsi" w:hAnsiTheme="minorHAnsi"/>
          <w:lang w:val="en-AU"/>
        </w:rPr>
        <w:t xml:space="preserve">, prepared for </w:t>
      </w:r>
      <w:r w:rsidRPr="009B40BB">
        <w:rPr>
          <w:rFonts w:asciiTheme="minorHAnsi" w:hAnsiTheme="minorHAnsi"/>
          <w:szCs w:val="22"/>
          <w:lang w:val="en-AU"/>
        </w:rPr>
        <w:t>the Department of Sustainability, Environment, Water, Population and Communities, available from:</w:t>
      </w:r>
    </w:p>
    <w:p w:rsidR="009F3F29" w:rsidRPr="009B40BB" w:rsidRDefault="003E6F16" w:rsidP="009F3F29">
      <w:pPr>
        <w:pStyle w:val="RptBodyText"/>
        <w:rPr>
          <w:rFonts w:asciiTheme="minorHAnsi" w:hAnsiTheme="minorHAnsi"/>
          <w:color w:val="000000"/>
          <w:szCs w:val="22"/>
          <w:lang w:val="en-AU" w:eastAsia="en-AU"/>
        </w:rPr>
      </w:pPr>
      <w:hyperlink r:id="rId31" w:history="1">
        <w:r w:rsidR="009F3F29" w:rsidRPr="009B40BB">
          <w:rPr>
            <w:rStyle w:val="Hyperlink"/>
            <w:rFonts w:asciiTheme="minorHAnsi" w:hAnsiTheme="minorHAnsi"/>
            <w:szCs w:val="22"/>
            <w:lang w:val="en-AU" w:eastAsia="en-AU"/>
          </w:rPr>
          <w:t>http://www.environment.gov.au/resource/hazardous-waste-data-assessment</w:t>
        </w:r>
      </w:hyperlink>
      <w:r w:rsidR="009F3F29" w:rsidRPr="009B40BB">
        <w:rPr>
          <w:rFonts w:asciiTheme="minorHAnsi" w:hAnsiTheme="minorHAnsi"/>
          <w:color w:val="000000"/>
          <w:szCs w:val="22"/>
          <w:lang w:val="en-AU" w:eastAsia="en-AU"/>
        </w:rPr>
        <w:t xml:space="preserve"> </w:t>
      </w:r>
    </w:p>
    <w:p w:rsidR="007E6E1B" w:rsidRPr="009B40BB" w:rsidRDefault="007E6E1B" w:rsidP="007E6E1B">
      <w:pPr>
        <w:pStyle w:val="BodyText"/>
        <w:rPr>
          <w:rFonts w:asciiTheme="minorHAnsi" w:hAnsiTheme="minorHAnsi"/>
        </w:rPr>
      </w:pPr>
      <w:r w:rsidRPr="007E6E1B">
        <w:rPr>
          <w:rFonts w:asciiTheme="minorHAnsi" w:hAnsiTheme="minorHAnsi"/>
        </w:rPr>
        <w:t>Net Balance</w:t>
      </w:r>
      <w:r>
        <w:rPr>
          <w:rFonts w:asciiTheme="minorHAnsi" w:hAnsiTheme="minorHAnsi"/>
          <w:i/>
        </w:rPr>
        <w:t xml:space="preserve">, </w:t>
      </w:r>
      <w:r w:rsidRPr="007E6E1B">
        <w:rPr>
          <w:rFonts w:asciiTheme="minorHAnsi" w:hAnsiTheme="minorHAnsi"/>
          <w:i/>
        </w:rPr>
        <w:t>National Waste Data System Requirements Study</w:t>
      </w:r>
      <w:r w:rsidRPr="009B40BB">
        <w:rPr>
          <w:rFonts w:asciiTheme="minorHAnsi" w:hAnsiTheme="minorHAnsi"/>
        </w:rPr>
        <w:t>, 2009:</w:t>
      </w:r>
    </w:p>
    <w:p w:rsidR="007E6E1B" w:rsidRPr="009B40BB" w:rsidRDefault="003E6F16" w:rsidP="007E6E1B">
      <w:pPr>
        <w:pStyle w:val="BodyText"/>
        <w:spacing w:after="240"/>
        <w:rPr>
          <w:rFonts w:asciiTheme="minorHAnsi" w:hAnsiTheme="minorHAnsi"/>
        </w:rPr>
      </w:pPr>
      <w:hyperlink r:id="rId32" w:history="1">
        <w:r w:rsidR="007E6E1B" w:rsidRPr="009B40BB">
          <w:rPr>
            <w:rStyle w:val="Hyperlink"/>
            <w:rFonts w:asciiTheme="minorHAnsi" w:hAnsiTheme="minorHAnsi"/>
          </w:rPr>
          <w:t>http://www.environment.gov.au/resource/national-waste-data-system-requirements-study</w:t>
        </w:r>
      </w:hyperlink>
      <w:r w:rsidR="007E6E1B" w:rsidRPr="009B40BB">
        <w:rPr>
          <w:rFonts w:asciiTheme="minorHAnsi" w:hAnsiTheme="minorHAnsi"/>
        </w:rPr>
        <w:t xml:space="preserve"> </w:t>
      </w:r>
    </w:p>
    <w:p w:rsidR="00B56A92" w:rsidRPr="009B40BB" w:rsidRDefault="00B56A92" w:rsidP="00B56A92">
      <w:pPr>
        <w:pStyle w:val="RptBodyText"/>
        <w:rPr>
          <w:rFonts w:asciiTheme="minorHAnsi" w:hAnsiTheme="minorHAnsi"/>
          <w:color w:val="0000FF"/>
          <w:szCs w:val="22"/>
          <w:u w:val="single"/>
          <w:lang w:val="en-AU" w:eastAsia="en-AU"/>
        </w:rPr>
      </w:pPr>
      <w:r w:rsidRPr="009B40BB">
        <w:rPr>
          <w:rFonts w:asciiTheme="minorHAnsi" w:hAnsiTheme="minorHAnsi"/>
          <w:color w:val="000000"/>
          <w:szCs w:val="22"/>
          <w:lang w:val="en-AU" w:eastAsia="en-AU"/>
        </w:rPr>
        <w:t xml:space="preserve">US EPA (United States Environmental Protection Agency 2011) </w:t>
      </w:r>
      <w:r w:rsidRPr="009B40BB">
        <w:rPr>
          <w:rFonts w:asciiTheme="minorHAnsi" w:hAnsiTheme="minorHAnsi"/>
          <w:i/>
          <w:iCs/>
          <w:color w:val="000000"/>
          <w:szCs w:val="22"/>
          <w:lang w:val="en-AU" w:eastAsia="en-AU"/>
        </w:rPr>
        <w:t>Municipal Solid Waste Generation, Recycling, and Disposal in the United States, Tables and Figures for 2010</w:t>
      </w:r>
      <w:r w:rsidRPr="009B40BB">
        <w:rPr>
          <w:rFonts w:asciiTheme="minorHAnsi" w:hAnsiTheme="minorHAnsi"/>
          <w:color w:val="000000"/>
          <w:szCs w:val="22"/>
          <w:lang w:val="en-AU" w:eastAsia="en-AU"/>
        </w:rPr>
        <w:t xml:space="preserve">, December, available from: </w:t>
      </w:r>
      <w:hyperlink r:id="rId33" w:history="1">
        <w:r w:rsidRPr="009B40BB">
          <w:rPr>
            <w:rFonts w:asciiTheme="minorHAnsi" w:hAnsiTheme="minorHAnsi"/>
            <w:color w:val="0000FF"/>
            <w:szCs w:val="22"/>
            <w:u w:val="single"/>
            <w:lang w:val="en-AU" w:eastAsia="en-AU"/>
          </w:rPr>
          <w:t>http://www.epa.gov/epawaste/nonhaz/municipal/pubs/2010_MSW_Tables_and_Figures_508.pdf</w:t>
        </w:r>
      </w:hyperlink>
    </w:p>
    <w:p w:rsidR="006A41D1" w:rsidRPr="009B40BB" w:rsidRDefault="006A41D1" w:rsidP="00AA6CD5">
      <w:pPr>
        <w:pStyle w:val="BodyText"/>
        <w:rPr>
          <w:rFonts w:asciiTheme="minorHAnsi" w:hAnsiTheme="minorHAnsi"/>
        </w:rPr>
      </w:pPr>
    </w:p>
    <w:p w:rsidR="005E2517" w:rsidRPr="009B40BB" w:rsidRDefault="005E2517" w:rsidP="00AA6CD5">
      <w:pPr>
        <w:pStyle w:val="BodyText"/>
      </w:pPr>
    </w:p>
    <w:p w:rsidR="00A16765" w:rsidRPr="009B40BB" w:rsidRDefault="00A16765" w:rsidP="00AA6CD5">
      <w:pPr>
        <w:pStyle w:val="BodyText"/>
        <w:sectPr w:rsidR="00A16765" w:rsidRPr="009B40BB" w:rsidSect="00AA6994">
          <w:headerReference w:type="even" r:id="rId34"/>
          <w:headerReference w:type="default" r:id="rId35"/>
          <w:footerReference w:type="even" r:id="rId36"/>
          <w:footerReference w:type="default" r:id="rId37"/>
          <w:headerReference w:type="first" r:id="rId38"/>
          <w:footerReference w:type="first" r:id="rId39"/>
          <w:pgSz w:w="11907" w:h="16840" w:code="9"/>
          <w:pgMar w:top="1531" w:right="1077" w:bottom="1418" w:left="1304" w:header="709" w:footer="709" w:gutter="0"/>
          <w:pgNumType w:start="1"/>
          <w:cols w:space="708"/>
          <w:docGrid w:linePitch="360"/>
        </w:sectPr>
      </w:pPr>
    </w:p>
    <w:p w:rsidR="00A16765" w:rsidRPr="009B40BB" w:rsidRDefault="00A16765" w:rsidP="00BF043F">
      <w:pPr>
        <w:pStyle w:val="AppendixSectionHolder"/>
      </w:pPr>
    </w:p>
    <w:p w:rsidR="00A16765" w:rsidRPr="009B40BB" w:rsidRDefault="00BF043F" w:rsidP="00BF043F">
      <w:pPr>
        <w:pStyle w:val="AppendixSectionnumber"/>
        <w:ind w:left="2127" w:hanging="2127"/>
      </w:pPr>
      <w:r w:rsidRPr="009B40BB">
        <w:t>Reporting hazardous waste under the Basel Convention – guidance to s</w:t>
      </w:r>
      <w:r w:rsidR="002419F3" w:rsidRPr="009B40BB">
        <w:t>tates and territories</w:t>
      </w:r>
    </w:p>
    <w:p w:rsidR="00A16765" w:rsidRPr="009B40BB" w:rsidRDefault="00A16765" w:rsidP="00BF043F">
      <w:pPr>
        <w:pStyle w:val="AppendixSection"/>
      </w:pPr>
    </w:p>
    <w:p w:rsidR="00A16765" w:rsidRPr="009B40BB" w:rsidRDefault="00D41D8A" w:rsidP="00D41D8A">
      <w:pPr>
        <w:pStyle w:val="BodyText"/>
      </w:pPr>
      <w:r w:rsidRPr="009B40BB">
        <w:t>(Provided as a separate Microsoft Word file)</w:t>
      </w:r>
    </w:p>
    <w:p w:rsidR="00A16765" w:rsidRPr="009B40BB" w:rsidRDefault="00A16765" w:rsidP="00BF043F">
      <w:pPr>
        <w:spacing w:line="240" w:lineRule="auto"/>
        <w:jc w:val="both"/>
        <w:sectPr w:rsidR="00A16765" w:rsidRPr="009B40BB" w:rsidSect="00A16765">
          <w:headerReference w:type="even" r:id="rId40"/>
          <w:headerReference w:type="default" r:id="rId41"/>
          <w:footerReference w:type="even" r:id="rId42"/>
          <w:footerReference w:type="default" r:id="rId43"/>
          <w:headerReference w:type="first" r:id="rId44"/>
          <w:footerReference w:type="first" r:id="rId45"/>
          <w:pgSz w:w="11907" w:h="16840" w:code="9"/>
          <w:pgMar w:top="1701" w:right="1077" w:bottom="1559" w:left="1474" w:header="709" w:footer="709" w:gutter="0"/>
          <w:cols w:space="708"/>
          <w:docGrid w:linePitch="360"/>
        </w:sectPr>
      </w:pPr>
    </w:p>
    <w:p w:rsidR="00BF043F" w:rsidRPr="009B40BB" w:rsidRDefault="00BF043F" w:rsidP="00BF043F">
      <w:pPr>
        <w:pStyle w:val="AppendixSectionHolder"/>
      </w:pPr>
    </w:p>
    <w:p w:rsidR="00A16765" w:rsidRPr="009B40BB" w:rsidRDefault="00BF043F" w:rsidP="00BF043F">
      <w:pPr>
        <w:pStyle w:val="AppendixSectionnumber"/>
        <w:ind w:left="2268" w:hanging="2268"/>
      </w:pPr>
      <w:r w:rsidRPr="009B40BB">
        <w:t>Guidance reporting &amp; translation templates</w:t>
      </w:r>
    </w:p>
    <w:p w:rsidR="00AA6CD5" w:rsidRPr="009B40BB" w:rsidRDefault="00AA6CD5" w:rsidP="00AA6CD5">
      <w:pPr>
        <w:pStyle w:val="BodyText"/>
      </w:pPr>
    </w:p>
    <w:p w:rsidR="00BF043F" w:rsidRPr="009B40BB" w:rsidRDefault="00BF043F" w:rsidP="00AA6CD5">
      <w:pPr>
        <w:pStyle w:val="BodyText"/>
      </w:pPr>
    </w:p>
    <w:p w:rsidR="00BF043F" w:rsidRPr="009B40BB" w:rsidRDefault="005A7997" w:rsidP="00AA6CD5">
      <w:pPr>
        <w:pStyle w:val="BodyText"/>
        <w:sectPr w:rsidR="00BF043F" w:rsidRPr="009B40BB" w:rsidSect="00A16765">
          <w:headerReference w:type="even" r:id="rId46"/>
          <w:headerReference w:type="default" r:id="rId47"/>
          <w:footerReference w:type="even" r:id="rId48"/>
          <w:footerReference w:type="default" r:id="rId49"/>
          <w:headerReference w:type="first" r:id="rId50"/>
          <w:footerReference w:type="first" r:id="rId51"/>
          <w:pgSz w:w="11907" w:h="16840" w:code="9"/>
          <w:pgMar w:top="1531" w:right="1077" w:bottom="1417" w:left="1304" w:header="709" w:footer="709" w:gutter="0"/>
          <w:cols w:space="708"/>
          <w:docGrid w:linePitch="360"/>
        </w:sectPr>
      </w:pPr>
      <w:r w:rsidRPr="009B40BB">
        <w:t>(Provided</w:t>
      </w:r>
      <w:r w:rsidR="005766A5">
        <w:t xml:space="preserve"> to DoE</w:t>
      </w:r>
      <w:r w:rsidRPr="009B40BB">
        <w:t xml:space="preserve"> as eight separate Microsoft Excel files: one for each jurisdiction except the Northern Territory, plus a data collation template)</w:t>
      </w:r>
    </w:p>
    <w:p w:rsidR="00BF043F" w:rsidRPr="009B40BB" w:rsidRDefault="00BF043F" w:rsidP="00BF043F">
      <w:pPr>
        <w:pStyle w:val="AppendixSectionHolder"/>
      </w:pPr>
    </w:p>
    <w:p w:rsidR="00BF043F" w:rsidRPr="009B40BB" w:rsidRDefault="00BF043F" w:rsidP="00AA6CD5">
      <w:pPr>
        <w:pStyle w:val="BodyText"/>
      </w:pPr>
    </w:p>
    <w:p w:rsidR="00BF043F" w:rsidRPr="009B40BB" w:rsidRDefault="00BF043F" w:rsidP="00BF043F">
      <w:pPr>
        <w:pStyle w:val="AppendixSectionnumber"/>
        <w:ind w:left="2268" w:hanging="2126"/>
      </w:pPr>
      <w:r w:rsidRPr="009B40BB">
        <w:t>Nat</w:t>
      </w:r>
      <w:r w:rsidR="00AD70D4">
        <w:t>ional hazardous waste data 2011-</w:t>
      </w:r>
      <w:r w:rsidRPr="009B40BB">
        <w:t>12 and 2012 – by NEPM code</w:t>
      </w:r>
    </w:p>
    <w:p w:rsidR="00BF043F" w:rsidRPr="009B40BB" w:rsidRDefault="00BF043F" w:rsidP="00AA6CD5">
      <w:pPr>
        <w:pStyle w:val="BodyText"/>
      </w:pPr>
    </w:p>
    <w:p w:rsidR="00BF043F" w:rsidRPr="009B40BB" w:rsidRDefault="00BF043F" w:rsidP="00AA6CD5">
      <w:pPr>
        <w:pStyle w:val="BodyText"/>
      </w:pPr>
    </w:p>
    <w:p w:rsidR="00BF043F" w:rsidRPr="009B40BB" w:rsidRDefault="00BF043F" w:rsidP="00AA6CD5">
      <w:pPr>
        <w:pStyle w:val="BodyText"/>
      </w:pPr>
    </w:p>
    <w:p w:rsidR="00BF043F" w:rsidRPr="009B40BB" w:rsidRDefault="00BF043F" w:rsidP="00AA6CD5">
      <w:pPr>
        <w:pStyle w:val="BodyText"/>
      </w:pPr>
    </w:p>
    <w:p w:rsidR="00BF043F" w:rsidRPr="009B40BB" w:rsidRDefault="00BF043F" w:rsidP="00AA6CD5">
      <w:pPr>
        <w:pStyle w:val="BodyText"/>
      </w:pPr>
    </w:p>
    <w:p w:rsidR="0043338A" w:rsidRPr="009B40BB" w:rsidRDefault="0043338A" w:rsidP="00AA6CD5">
      <w:pPr>
        <w:pStyle w:val="BodyText"/>
        <w:sectPr w:rsidR="0043338A" w:rsidRPr="009B40BB" w:rsidSect="00A16765">
          <w:pgSz w:w="11907" w:h="16840" w:code="9"/>
          <w:pgMar w:top="1531" w:right="1077" w:bottom="1417" w:left="1304" w:header="709" w:footer="709" w:gutter="0"/>
          <w:cols w:space="708"/>
          <w:docGrid w:linePitch="360"/>
        </w:sectPr>
      </w:pPr>
    </w:p>
    <w:tbl>
      <w:tblPr>
        <w:tblW w:w="13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635"/>
        <w:gridCol w:w="1890"/>
        <w:gridCol w:w="810"/>
        <w:gridCol w:w="5130"/>
        <w:gridCol w:w="1080"/>
        <w:gridCol w:w="1080"/>
        <w:gridCol w:w="1080"/>
        <w:gridCol w:w="1080"/>
        <w:gridCol w:w="1080"/>
      </w:tblGrid>
      <w:tr w:rsidR="0043338A" w:rsidRPr="009B40BB" w:rsidTr="00500C1D">
        <w:trPr>
          <w:trHeight w:val="375"/>
          <w:tblHeader/>
          <w:jc w:val="center"/>
        </w:trPr>
        <w:tc>
          <w:tcPr>
            <w:tcW w:w="8465" w:type="dxa"/>
            <w:gridSpan w:val="4"/>
            <w:shd w:val="clear" w:color="000000" w:fill="000000"/>
            <w:vAlign w:val="center"/>
            <w:hideMark/>
          </w:tcPr>
          <w:p w:rsidR="0043338A" w:rsidRPr="009B40BB" w:rsidRDefault="0043338A" w:rsidP="002734C0">
            <w:pPr>
              <w:spacing w:line="240" w:lineRule="auto"/>
              <w:rPr>
                <w:rFonts w:cs="Times New Roman"/>
                <w:b/>
                <w:bCs/>
                <w:color w:val="FFFFFF"/>
                <w:sz w:val="28"/>
                <w:szCs w:val="28"/>
              </w:rPr>
            </w:pPr>
            <w:r w:rsidRPr="009B40BB">
              <w:rPr>
                <w:rFonts w:cs="Times New Roman"/>
                <w:b/>
                <w:bCs/>
                <w:color w:val="FFFFFF"/>
                <w:sz w:val="28"/>
                <w:szCs w:val="28"/>
              </w:rPr>
              <w:lastRenderedPageBreak/>
              <w:t>National Environment Protection (Movement of Controlled Waste between States and Territories) Measure</w:t>
            </w:r>
          </w:p>
        </w:tc>
        <w:tc>
          <w:tcPr>
            <w:tcW w:w="5400" w:type="dxa"/>
            <w:gridSpan w:val="5"/>
            <w:shd w:val="clear" w:color="000000" w:fill="000000"/>
            <w:vAlign w:val="center"/>
          </w:tcPr>
          <w:p w:rsidR="0043338A" w:rsidRPr="009B40BB" w:rsidRDefault="0043338A" w:rsidP="002734C0">
            <w:pPr>
              <w:spacing w:line="240" w:lineRule="auto"/>
              <w:jc w:val="center"/>
              <w:rPr>
                <w:rFonts w:cs="Times New Roman"/>
                <w:b/>
                <w:bCs/>
                <w:color w:val="FFFFFF" w:themeColor="background1"/>
                <w:sz w:val="28"/>
                <w:szCs w:val="28"/>
              </w:rPr>
            </w:pPr>
            <w:r w:rsidRPr="009B40BB">
              <w:rPr>
                <w:rFonts w:cs="Times New Roman"/>
                <w:b/>
                <w:bCs/>
                <w:color w:val="FFFFFF" w:themeColor="background1"/>
                <w:sz w:val="28"/>
                <w:szCs w:val="28"/>
              </w:rPr>
              <w:t>Tonnes generated</w:t>
            </w:r>
          </w:p>
        </w:tc>
      </w:tr>
      <w:tr w:rsidR="0043338A" w:rsidRPr="009B40BB" w:rsidTr="00500C1D">
        <w:trPr>
          <w:trHeight w:val="510"/>
          <w:tblHeader/>
          <w:jc w:val="center"/>
        </w:trPr>
        <w:tc>
          <w:tcPr>
            <w:tcW w:w="635" w:type="dxa"/>
            <w:shd w:val="clear" w:color="000000" w:fill="000000"/>
            <w:vAlign w:val="center"/>
            <w:hideMark/>
          </w:tcPr>
          <w:p w:rsidR="0043338A" w:rsidRPr="009B40BB" w:rsidRDefault="0043338A" w:rsidP="002734C0">
            <w:pPr>
              <w:spacing w:line="240" w:lineRule="auto"/>
              <w:jc w:val="center"/>
              <w:rPr>
                <w:rFonts w:cs="Times New Roman"/>
                <w:b/>
                <w:bCs/>
                <w:color w:val="FFFFFF"/>
                <w:szCs w:val="20"/>
              </w:rPr>
            </w:pPr>
            <w:r w:rsidRPr="009B40BB">
              <w:rPr>
                <w:rFonts w:cs="Times New Roman"/>
                <w:b/>
                <w:bCs/>
                <w:color w:val="FFFFFF"/>
                <w:szCs w:val="20"/>
              </w:rPr>
              <w:t>"15" code</w:t>
            </w:r>
          </w:p>
        </w:tc>
        <w:tc>
          <w:tcPr>
            <w:tcW w:w="1890" w:type="dxa"/>
            <w:shd w:val="clear" w:color="000000" w:fill="000000"/>
            <w:vAlign w:val="center"/>
            <w:hideMark/>
          </w:tcPr>
          <w:p w:rsidR="0043338A" w:rsidRPr="009B40BB" w:rsidRDefault="0043338A" w:rsidP="002734C0">
            <w:pPr>
              <w:spacing w:line="240" w:lineRule="auto"/>
              <w:rPr>
                <w:rFonts w:cs="Times New Roman"/>
                <w:b/>
                <w:bCs/>
                <w:color w:val="FFFFFF"/>
                <w:szCs w:val="20"/>
              </w:rPr>
            </w:pPr>
            <w:r w:rsidRPr="009B40BB">
              <w:rPr>
                <w:rFonts w:cs="Times New Roman"/>
                <w:b/>
                <w:bCs/>
                <w:color w:val="FFFFFF"/>
                <w:szCs w:val="20"/>
              </w:rPr>
              <w:t>NEPM 15 waste description</w:t>
            </w:r>
          </w:p>
        </w:tc>
        <w:tc>
          <w:tcPr>
            <w:tcW w:w="810" w:type="dxa"/>
            <w:shd w:val="clear" w:color="000000" w:fill="000000"/>
            <w:vAlign w:val="center"/>
            <w:hideMark/>
          </w:tcPr>
          <w:p w:rsidR="0043338A" w:rsidRPr="009B40BB" w:rsidRDefault="0043338A" w:rsidP="002734C0">
            <w:pPr>
              <w:spacing w:line="240" w:lineRule="auto"/>
              <w:jc w:val="center"/>
              <w:rPr>
                <w:rFonts w:cs="Times New Roman"/>
                <w:b/>
                <w:bCs/>
                <w:color w:val="FFFFFF"/>
                <w:szCs w:val="20"/>
              </w:rPr>
            </w:pPr>
            <w:r w:rsidRPr="009B40BB">
              <w:rPr>
                <w:rFonts w:cs="Times New Roman"/>
                <w:b/>
                <w:bCs/>
                <w:color w:val="FFFFFF"/>
                <w:szCs w:val="20"/>
              </w:rPr>
              <w:t>"75" code</w:t>
            </w:r>
          </w:p>
        </w:tc>
        <w:tc>
          <w:tcPr>
            <w:tcW w:w="5130" w:type="dxa"/>
            <w:shd w:val="clear" w:color="000000" w:fill="000000"/>
            <w:vAlign w:val="center"/>
            <w:hideMark/>
          </w:tcPr>
          <w:p w:rsidR="0043338A" w:rsidRPr="009B40BB" w:rsidRDefault="0043338A" w:rsidP="002734C0">
            <w:pPr>
              <w:spacing w:line="240" w:lineRule="auto"/>
              <w:rPr>
                <w:rFonts w:cs="Times New Roman"/>
                <w:b/>
                <w:bCs/>
                <w:color w:val="FFFFFF"/>
                <w:szCs w:val="20"/>
              </w:rPr>
            </w:pPr>
            <w:r w:rsidRPr="009B40BB">
              <w:rPr>
                <w:rFonts w:cs="Times New Roman"/>
                <w:b/>
                <w:bCs/>
                <w:color w:val="FFFFFF"/>
                <w:szCs w:val="20"/>
              </w:rPr>
              <w:t>Waste description (NEPM Schedule A, List 1)</w:t>
            </w:r>
          </w:p>
        </w:tc>
        <w:tc>
          <w:tcPr>
            <w:tcW w:w="1080" w:type="dxa"/>
            <w:shd w:val="clear" w:color="000000" w:fill="000000"/>
            <w:vAlign w:val="center"/>
            <w:hideMark/>
          </w:tcPr>
          <w:p w:rsidR="0043338A" w:rsidRPr="009B40BB" w:rsidRDefault="0043338A" w:rsidP="002734C0">
            <w:pPr>
              <w:spacing w:line="240" w:lineRule="auto"/>
              <w:jc w:val="center"/>
              <w:rPr>
                <w:rFonts w:cs="Times New Roman"/>
                <w:b/>
                <w:bCs/>
                <w:color w:val="FFFFFF"/>
                <w:szCs w:val="20"/>
              </w:rPr>
            </w:pPr>
            <w:r w:rsidRPr="009B40BB">
              <w:rPr>
                <w:rFonts w:cs="Times New Roman"/>
                <w:b/>
                <w:bCs/>
                <w:color w:val="FFFFFF"/>
                <w:szCs w:val="20"/>
              </w:rPr>
              <w:t>Jul-Dec 2011</w:t>
            </w:r>
          </w:p>
        </w:tc>
        <w:tc>
          <w:tcPr>
            <w:tcW w:w="1080" w:type="dxa"/>
            <w:shd w:val="clear" w:color="000000" w:fill="000000"/>
            <w:vAlign w:val="center"/>
            <w:hideMark/>
          </w:tcPr>
          <w:p w:rsidR="0043338A" w:rsidRPr="009B40BB" w:rsidRDefault="0043338A" w:rsidP="002734C0">
            <w:pPr>
              <w:spacing w:line="240" w:lineRule="auto"/>
              <w:jc w:val="center"/>
              <w:rPr>
                <w:rFonts w:cs="Times New Roman"/>
                <w:b/>
                <w:bCs/>
                <w:color w:val="FFFFFF"/>
                <w:szCs w:val="20"/>
              </w:rPr>
            </w:pPr>
            <w:r w:rsidRPr="009B40BB">
              <w:rPr>
                <w:rFonts w:cs="Times New Roman"/>
                <w:b/>
                <w:bCs/>
                <w:color w:val="FFFFFF"/>
                <w:szCs w:val="20"/>
              </w:rPr>
              <w:t>Jan-Jun 2012</w:t>
            </w:r>
          </w:p>
        </w:tc>
        <w:tc>
          <w:tcPr>
            <w:tcW w:w="1080" w:type="dxa"/>
            <w:shd w:val="clear" w:color="000000" w:fill="000000"/>
            <w:vAlign w:val="center"/>
            <w:hideMark/>
          </w:tcPr>
          <w:p w:rsidR="0043338A" w:rsidRPr="009B40BB" w:rsidRDefault="0043338A" w:rsidP="002734C0">
            <w:pPr>
              <w:spacing w:line="240" w:lineRule="auto"/>
              <w:jc w:val="center"/>
              <w:rPr>
                <w:rFonts w:cs="Times New Roman"/>
                <w:b/>
                <w:bCs/>
                <w:color w:val="FFFFFF"/>
                <w:szCs w:val="20"/>
              </w:rPr>
            </w:pPr>
            <w:r w:rsidRPr="009B40BB">
              <w:rPr>
                <w:rFonts w:cs="Times New Roman"/>
                <w:b/>
                <w:bCs/>
                <w:color w:val="FFFFFF"/>
                <w:szCs w:val="20"/>
              </w:rPr>
              <w:t>Jul-Dec 2012</w:t>
            </w:r>
          </w:p>
        </w:tc>
        <w:tc>
          <w:tcPr>
            <w:tcW w:w="1080" w:type="dxa"/>
            <w:shd w:val="clear" w:color="000000" w:fill="000000"/>
            <w:vAlign w:val="center"/>
            <w:hideMark/>
          </w:tcPr>
          <w:p w:rsidR="0043338A" w:rsidRPr="009B40BB" w:rsidRDefault="00AD70D4" w:rsidP="002734C0">
            <w:pPr>
              <w:spacing w:line="240" w:lineRule="auto"/>
              <w:jc w:val="center"/>
              <w:rPr>
                <w:rFonts w:cs="Times New Roman"/>
                <w:b/>
                <w:bCs/>
                <w:color w:val="FFFFFF"/>
                <w:szCs w:val="20"/>
              </w:rPr>
            </w:pPr>
            <w:r>
              <w:rPr>
                <w:rFonts w:cs="Times New Roman"/>
                <w:b/>
                <w:bCs/>
                <w:color w:val="FFFFFF"/>
                <w:szCs w:val="20"/>
              </w:rPr>
              <w:t>2011-</w:t>
            </w:r>
            <w:r w:rsidR="0043338A" w:rsidRPr="009B40BB">
              <w:rPr>
                <w:rFonts w:cs="Times New Roman"/>
                <w:b/>
                <w:bCs/>
                <w:color w:val="FFFFFF"/>
                <w:szCs w:val="20"/>
              </w:rPr>
              <w:t>12</w:t>
            </w:r>
          </w:p>
        </w:tc>
        <w:tc>
          <w:tcPr>
            <w:tcW w:w="1080" w:type="dxa"/>
            <w:shd w:val="clear" w:color="000000" w:fill="000000"/>
            <w:vAlign w:val="center"/>
            <w:hideMark/>
          </w:tcPr>
          <w:p w:rsidR="0043338A" w:rsidRPr="009B40BB" w:rsidRDefault="0043338A" w:rsidP="002734C0">
            <w:pPr>
              <w:spacing w:line="240" w:lineRule="auto"/>
              <w:jc w:val="center"/>
              <w:rPr>
                <w:rFonts w:cs="Times New Roman"/>
                <w:b/>
                <w:bCs/>
                <w:color w:val="FFFFFF"/>
                <w:szCs w:val="20"/>
              </w:rPr>
            </w:pPr>
            <w:r w:rsidRPr="009B40BB">
              <w:rPr>
                <w:rFonts w:cs="Times New Roman"/>
                <w:b/>
                <w:bCs/>
                <w:color w:val="FFFFFF"/>
                <w:szCs w:val="20"/>
              </w:rPr>
              <w:t>2012</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A</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xml:space="preserve">Plating and heat treatment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A100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resulting from surface treatment of metals and plastics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1,176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3,080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2,871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4,256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5,951</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A110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from heat treatment and tempering operations containing cyanides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A130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Cyanides (inorganic)</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298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314</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634</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B</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Acids</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B100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Acidic solutions or acids in solid form</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18,784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22,377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22,348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41,161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44,725</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C</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Alkalis</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C100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Basic solutions or bases in solid form</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197,846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168,603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166,769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366,449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335,371</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Inorganic chemicals</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Metal carbonyls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109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167</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D110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Inorganic fluorine compounds excluding calcium fluoride</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729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856</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D120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Mercury; mercury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954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477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385</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1,431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862</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D130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Arsenic; arsenic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545</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469</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508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1,014</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977</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D140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Chromium compounds (hexavalent and trivalent)</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7,711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1,210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963</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8,922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2,173</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D150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Cadmium; cadmium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62</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D160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Beryllium; beryllium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D170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Antimony; antimony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32</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D180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Thallium; thallium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D190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Copper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527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745</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658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1,272</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D200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Cobalt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34</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52</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D210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Nickel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142</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254</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444</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D220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Lead; lead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14,608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24,987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14,472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39,595</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39,459</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D230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Zinc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16,363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64,346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80,116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80,709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144,462</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D240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Selenium; selenium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D250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Tellurium; tellurium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D270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Vanadium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237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268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47</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D290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Barium compounds (excluding barium sulphate)</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D300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Non-toxic salts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15,401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32,947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41,226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48,349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74,173</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lastRenderedPageBreak/>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D310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Boron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87</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90</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D330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Inorganic sulfides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69</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182</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179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251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361</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D340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Perchlorates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23</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61</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D350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Chlorates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102</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102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113</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204</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D360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Phosphorus compounds excluding mineral phosphates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216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234</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218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451</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E</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Reactive chemicals</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E100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containing peroxides other than hydrogen peroxide</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123</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249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259</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F</w:t>
            </w:r>
          </w:p>
        </w:tc>
        <w:tc>
          <w:tcPr>
            <w:tcW w:w="1890" w:type="dxa"/>
            <w:vMerge w:val="restart"/>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Paints, resins, inks, organic sludges</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F100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from the production, formulation and use of inks, dyes, pigments, paints, lacquers and varnish</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17,971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25,308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26,258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43,279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51,565</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vMerge/>
            <w:vAlign w:val="center"/>
            <w:hideMark/>
          </w:tcPr>
          <w:p w:rsidR="0043338A" w:rsidRPr="009B40BB" w:rsidRDefault="0043338A" w:rsidP="002734C0">
            <w:pPr>
              <w:spacing w:line="240" w:lineRule="auto"/>
              <w:rPr>
                <w:rFonts w:cs="Times New Roman"/>
                <w:color w:val="000000"/>
                <w:szCs w:val="20"/>
              </w:rPr>
            </w:pP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F110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from the production, formulation and use of resins, latex, plasticisers, glues and adhesives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3,349</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3,909</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7,898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7,258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11,808</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G</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Organic solvents</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G100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Ethers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1,138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611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913</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1,749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1,524</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G110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Organic solvents excluding halogenated solvents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7,807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8,147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8,641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15,954</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16,787</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G150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Halogenated organic solvents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295</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596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577</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890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1,173</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G160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from the production, formulation and use of organic solvents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853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7,205</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7,325</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8,058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14,530</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H</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Pesticides</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H100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from the production, formulation and use of biocides and phytopharmaceuticals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1,312</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1,816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2,181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3,128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3,997</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H110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Organic phosphorous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52</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156</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H170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from manufacture, formulation and use of wood-preserving chemicals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762</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155</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1,039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431</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J</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Oils</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J100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mineral oils unfit for their original intended use</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120,889</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196,709</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148,896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317,598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345,605</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J120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oil/water, hydrocarbons/water mixtures or emulsions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113,985</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206,824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204,283</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320,809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411,107</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J160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tarry residues arising from refining, distillation, and any pyrolytic treatment</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374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868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994</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1,242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1,862</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K</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Putrescible/ organic waste</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K100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Animal effluent and residues (abattoir effluent, poultry and fish processing wastes)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81,274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103,284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108,685</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184,558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211,969</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K110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Grease trap waste</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193,153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262,620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268,644</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455,773</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531,264</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K140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xml:space="preserve">Tannery wastes (including leather dust, ash, sludges and </w:t>
            </w:r>
            <w:r w:rsidRPr="009B40BB">
              <w:rPr>
                <w:rFonts w:cs="Times New Roman"/>
                <w:color w:val="000000"/>
                <w:szCs w:val="20"/>
              </w:rPr>
              <w:lastRenderedPageBreak/>
              <w:t>flours)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lastRenderedPageBreak/>
              <w:t>264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3,313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3,395</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3,577</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6,707</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lastRenderedPageBreak/>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K190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Wool scouring wastes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264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16,638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16,720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16,902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33,357</w:t>
            </w:r>
          </w:p>
        </w:tc>
      </w:tr>
      <w:tr w:rsidR="0043338A" w:rsidRPr="009B40BB" w:rsidTr="00500C1D">
        <w:trPr>
          <w:trHeight w:val="510"/>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M</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Organic chemicals</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M100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xml:space="preserve">Waste substances and articles containing or contaminated with polychlorinated biphenyls, polychlorinated </w:t>
            </w:r>
            <w:r w:rsidR="009B40BB" w:rsidRPr="009B40BB">
              <w:rPr>
                <w:rFonts w:cs="Times New Roman"/>
                <w:color w:val="000000"/>
                <w:szCs w:val="20"/>
              </w:rPr>
              <w:t>naphthalenes</w:t>
            </w:r>
            <w:r w:rsidRPr="009B40BB">
              <w:rPr>
                <w:rFonts w:cs="Times New Roman"/>
                <w:color w:val="000000"/>
                <w:szCs w:val="20"/>
              </w:rPr>
              <w:t>, polychlorinated terphenyls and/or polybrominated biphenyls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1,248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2,360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2,401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3,608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4,761</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M150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Phenols, phenol compounds including chlorophenols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561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540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676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1,100</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M160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Organo halogen compounds—other than substances referred to in this Table or Table 2</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205</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135</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339</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M170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Polychlorinated dibenzo-furan (any congener)</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M180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Polychlorinated dibenzo-p-dioxin (any congener)</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M210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Cyanides (organic)</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M220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Isocyanate compounds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82</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106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188</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M230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Triethylamine catalysts for setting foundry sands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316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2,779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446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3,095</w:t>
            </w:r>
          </w:p>
        </w:tc>
      </w:tr>
      <w:tr w:rsidR="0043338A" w:rsidRPr="009B40BB" w:rsidTr="00500C1D">
        <w:trPr>
          <w:trHeight w:val="510"/>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M250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Surface active agents (surfactants), containing principally organic constituents and which may contain metals and inorganic materials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7,234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7,317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5,563</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14,551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12,880</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M260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Highly odorous organic chemicals (including mercaptans and acrylates)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44</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52</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N</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Soil/ sludge</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N100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Containers and drums that are contaminated with residues of substances referred to in this list</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17,811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18,259</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20,124</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36,070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38,383</w:t>
            </w:r>
          </w:p>
        </w:tc>
      </w:tr>
      <w:tr w:rsidR="0043338A" w:rsidRPr="009B40BB" w:rsidTr="00500C1D">
        <w:trPr>
          <w:trHeight w:val="31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N120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Soils contaminated with a controlled waste</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618,111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833,550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707,677</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1,451,660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1,541,227</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N140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Fire debris and fire wash waters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604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1,136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1,532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1,740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2,667</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N150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Fly ash, excluding fly ash generated from Australian coal fired power stations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628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3,000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2,882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3,628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5,882</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N160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Encapsulated, chemically-fixed, solidified or polymerised wastes referred to in this list</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23,036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26,061</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39,553</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49,097</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65,614</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N190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Filter cake contaminated with residues of substances referred to in this list</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8,058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7,784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7,258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15,841</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15,042</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N205</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xml:space="preserve">Residues from industrial waste treatment/disposal </w:t>
            </w:r>
            <w:r w:rsidRPr="009B40BB">
              <w:rPr>
                <w:rFonts w:cs="Times New Roman"/>
                <w:color w:val="000000"/>
                <w:szCs w:val="20"/>
              </w:rPr>
              <w:lastRenderedPageBreak/>
              <w:t>operations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lastRenderedPageBreak/>
              <w:t>564,066</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818,709</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834,790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1,382,776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1,653,499</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lastRenderedPageBreak/>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N220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Asbestos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166,227</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231,209</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246,048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397,435</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477,257</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N230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Ceramic-based fibres with physico-chemical characteristics similar to those of asbestos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52</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44</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135</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96</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R</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Clinical and pharmaceutical</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R100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Clinical and related wastes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15,284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27,783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27,742</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43,067</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55,526</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R120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pharmaceuticals, drugs and medicines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6,023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6,592</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6,920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12,616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13,512</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R140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from the production and preparation of pharmaceutical products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785</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755</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886</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1,540</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1,641</w:t>
            </w:r>
          </w:p>
        </w:tc>
      </w:tr>
      <w:tr w:rsidR="0043338A" w:rsidRPr="009B40BB" w:rsidTr="00500C1D">
        <w:trPr>
          <w:trHeight w:val="76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T</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Miscellaneous</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T100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chemical substances arising from research and development or teaching activities, including those which are not identified and/or are new and whose effects on human health and/or the environment are not known</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1,903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2,714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2,809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4,617</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5,523</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T120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from the production, formulation and use of photographic chemicals and processing materials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640</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793</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699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1,433</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1,492</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T140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Tyres</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144,875</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193,874</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221,537</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338,748</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415,411</w:t>
            </w:r>
          </w:p>
        </w:tc>
      </w:tr>
      <w:tr w:rsidR="0043338A" w:rsidRPr="009B40BB" w:rsidTr="00500C1D">
        <w:trPr>
          <w:trHeight w:val="255"/>
          <w:jc w:val="center"/>
        </w:trPr>
        <w:tc>
          <w:tcPr>
            <w:tcW w:w="635" w:type="dxa"/>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 </w:t>
            </w:r>
          </w:p>
        </w:tc>
        <w:tc>
          <w:tcPr>
            <w:tcW w:w="189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 </w:t>
            </w:r>
          </w:p>
        </w:tc>
        <w:tc>
          <w:tcPr>
            <w:tcW w:w="810" w:type="dxa"/>
            <w:shd w:val="clear" w:color="auto" w:fill="auto"/>
            <w:noWrap/>
            <w:vAlign w:val="center"/>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T200</w:t>
            </w:r>
          </w:p>
        </w:tc>
        <w:tc>
          <w:tcPr>
            <w:tcW w:w="5130" w:type="dxa"/>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of an explosive nature not subject to other legislation</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45</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928</w:t>
            </w:r>
          </w:p>
        </w:tc>
        <w:tc>
          <w:tcPr>
            <w:tcW w:w="1080" w:type="dxa"/>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909</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973</w:t>
            </w:r>
          </w:p>
        </w:tc>
        <w:tc>
          <w:tcPr>
            <w:tcW w:w="1080" w:type="dxa"/>
            <w:shd w:val="clear" w:color="auto" w:fill="FFF4E0" w:themeFill="accent6" w:themeFillTint="33"/>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1,837</w:t>
            </w:r>
          </w:p>
        </w:tc>
      </w:tr>
      <w:tr w:rsidR="0043338A" w:rsidRPr="009B40BB" w:rsidTr="00500C1D">
        <w:trPr>
          <w:trHeight w:val="255"/>
          <w:jc w:val="center"/>
        </w:trPr>
        <w:tc>
          <w:tcPr>
            <w:tcW w:w="8465" w:type="dxa"/>
            <w:gridSpan w:val="4"/>
            <w:shd w:val="clear" w:color="000000" w:fill="FFFFFF"/>
            <w:noWrap/>
            <w:vAlign w:val="bottom"/>
            <w:hideMark/>
          </w:tcPr>
          <w:p w:rsidR="0043338A" w:rsidRPr="009B40BB" w:rsidRDefault="0043338A" w:rsidP="002734C0">
            <w:pPr>
              <w:spacing w:line="240" w:lineRule="auto"/>
              <w:jc w:val="right"/>
              <w:rPr>
                <w:rFonts w:cs="Times New Roman"/>
                <w:b/>
                <w:bCs/>
                <w:color w:val="000000"/>
                <w:szCs w:val="20"/>
              </w:rPr>
            </w:pPr>
            <w:r w:rsidRPr="009B40BB">
              <w:rPr>
                <w:rFonts w:cs="Times New Roman"/>
                <w:b/>
                <w:bCs/>
                <w:color w:val="000000"/>
                <w:szCs w:val="20"/>
              </w:rPr>
              <w:t>TOTAL</w:t>
            </w:r>
          </w:p>
        </w:tc>
        <w:tc>
          <w:tcPr>
            <w:tcW w:w="1080" w:type="dxa"/>
            <w:shd w:val="clear" w:color="000000" w:fill="FFFFFF"/>
            <w:noWrap/>
            <w:vAlign w:val="bottom"/>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2,395,148</w:t>
            </w:r>
          </w:p>
        </w:tc>
        <w:tc>
          <w:tcPr>
            <w:tcW w:w="1080" w:type="dxa"/>
            <w:shd w:val="clear" w:color="000000" w:fill="FFFFFF"/>
            <w:noWrap/>
            <w:vAlign w:val="bottom"/>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3,342,667</w:t>
            </w:r>
          </w:p>
        </w:tc>
        <w:tc>
          <w:tcPr>
            <w:tcW w:w="1080" w:type="dxa"/>
            <w:shd w:val="clear" w:color="000000" w:fill="FFFFFF"/>
            <w:noWrap/>
            <w:vAlign w:val="bottom"/>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3,271,361</w:t>
            </w:r>
          </w:p>
        </w:tc>
        <w:tc>
          <w:tcPr>
            <w:tcW w:w="1080" w:type="dxa"/>
            <w:shd w:val="clear" w:color="auto" w:fill="FFF4E0" w:themeFill="accent6" w:themeFillTint="33"/>
            <w:noWrap/>
            <w:vAlign w:val="bottom"/>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5,737,815</w:t>
            </w:r>
          </w:p>
        </w:tc>
        <w:tc>
          <w:tcPr>
            <w:tcW w:w="1080" w:type="dxa"/>
            <w:shd w:val="clear" w:color="auto" w:fill="FFF4E0" w:themeFill="accent6" w:themeFillTint="33"/>
            <w:noWrap/>
            <w:vAlign w:val="bottom"/>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6,614,028</w:t>
            </w:r>
          </w:p>
        </w:tc>
      </w:tr>
    </w:tbl>
    <w:p w:rsidR="0043338A" w:rsidRPr="009B40BB" w:rsidRDefault="0043338A" w:rsidP="00AA6CD5">
      <w:pPr>
        <w:pStyle w:val="BodyText"/>
        <w:sectPr w:rsidR="0043338A" w:rsidRPr="009B40BB" w:rsidSect="0043338A">
          <w:footerReference w:type="default" r:id="rId52"/>
          <w:pgSz w:w="16840" w:h="11907" w:orient="landscape" w:code="9"/>
          <w:pgMar w:top="1304" w:right="1531" w:bottom="1077" w:left="1417" w:header="709" w:footer="709" w:gutter="0"/>
          <w:cols w:space="708"/>
          <w:docGrid w:linePitch="360"/>
        </w:sectPr>
      </w:pPr>
    </w:p>
    <w:p w:rsidR="00BF043F" w:rsidRPr="009B40BB" w:rsidRDefault="00BF043F" w:rsidP="00BF043F">
      <w:pPr>
        <w:pStyle w:val="AppendixSectionHolder"/>
      </w:pPr>
    </w:p>
    <w:p w:rsidR="00BF043F" w:rsidRPr="009B40BB" w:rsidRDefault="006049F0" w:rsidP="006049F0">
      <w:pPr>
        <w:pStyle w:val="AppendixSectionnumber"/>
        <w:tabs>
          <w:tab w:val="left" w:pos="2268"/>
        </w:tabs>
        <w:ind w:left="2268" w:hanging="2126"/>
      </w:pPr>
      <w:r w:rsidRPr="009B40BB">
        <w:t>National hazardous waste data 2012 – by Basel Y code</w:t>
      </w:r>
    </w:p>
    <w:p w:rsidR="00BF043F" w:rsidRPr="009B40BB" w:rsidRDefault="00BF043F" w:rsidP="00AA6CD5">
      <w:pPr>
        <w:pStyle w:val="BodyText"/>
      </w:pPr>
    </w:p>
    <w:p w:rsidR="00BF043F" w:rsidRPr="009B40BB" w:rsidRDefault="00BF043F" w:rsidP="00AA6CD5">
      <w:pPr>
        <w:pStyle w:val="BodyText"/>
      </w:pPr>
    </w:p>
    <w:p w:rsidR="002419F3" w:rsidRPr="009B40BB" w:rsidRDefault="002419F3">
      <w:pPr>
        <w:spacing w:line="240" w:lineRule="auto"/>
        <w:rPr>
          <w:color w:val="080808"/>
          <w:sz w:val="22"/>
        </w:rPr>
      </w:pPr>
      <w:r w:rsidRPr="009B40BB">
        <w:br w:type="page"/>
      </w:r>
    </w:p>
    <w:p w:rsidR="0043338A" w:rsidRPr="009B40BB" w:rsidRDefault="0043338A" w:rsidP="002419F3">
      <w:pPr>
        <w:pStyle w:val="BodyText"/>
        <w:sectPr w:rsidR="0043338A" w:rsidRPr="009B40BB" w:rsidSect="00A16765">
          <w:footerReference w:type="default" r:id="rId53"/>
          <w:pgSz w:w="11907" w:h="16840" w:code="9"/>
          <w:pgMar w:top="1531" w:right="1077" w:bottom="1417" w:left="1304" w:header="709" w:footer="709" w:gutter="0"/>
          <w:cols w:space="708"/>
          <w:docGrid w:linePitch="360"/>
        </w:sectPr>
      </w:pPr>
    </w:p>
    <w:p w:rsidR="002419F3" w:rsidRPr="009B40BB" w:rsidRDefault="002419F3" w:rsidP="002419F3">
      <w:pPr>
        <w:pStyle w:val="BodyText"/>
      </w:pPr>
    </w:p>
    <w:tbl>
      <w:tblPr>
        <w:tblW w:w="13480" w:type="dxa"/>
        <w:tblInd w:w="103" w:type="dxa"/>
        <w:tblLook w:val="04A0"/>
      </w:tblPr>
      <w:tblGrid>
        <w:gridCol w:w="1020"/>
        <w:gridCol w:w="7260"/>
        <w:gridCol w:w="1300"/>
        <w:gridCol w:w="1300"/>
        <w:gridCol w:w="1300"/>
        <w:gridCol w:w="1300"/>
      </w:tblGrid>
      <w:tr w:rsidR="0043338A" w:rsidRPr="009B40BB" w:rsidTr="00500C1D">
        <w:trPr>
          <w:trHeight w:val="375"/>
          <w:tblHeader/>
        </w:trPr>
        <w:tc>
          <w:tcPr>
            <w:tcW w:w="8280" w:type="dxa"/>
            <w:gridSpan w:val="2"/>
            <w:tcBorders>
              <w:top w:val="single" w:sz="4" w:space="0" w:color="auto"/>
              <w:left w:val="single" w:sz="4" w:space="0" w:color="auto"/>
              <w:bottom w:val="nil"/>
              <w:right w:val="single" w:sz="4" w:space="0" w:color="000000"/>
            </w:tcBorders>
            <w:shd w:val="clear" w:color="000000" w:fill="CCFFFF"/>
            <w:vAlign w:val="center"/>
            <w:hideMark/>
          </w:tcPr>
          <w:p w:rsidR="0043338A" w:rsidRPr="009B40BB" w:rsidRDefault="0043338A" w:rsidP="002734C0">
            <w:pPr>
              <w:spacing w:line="240" w:lineRule="auto"/>
              <w:rPr>
                <w:rFonts w:cs="Times New Roman"/>
                <w:b/>
                <w:bCs/>
                <w:sz w:val="28"/>
                <w:szCs w:val="28"/>
              </w:rPr>
            </w:pPr>
            <w:r w:rsidRPr="009B40BB">
              <w:rPr>
                <w:rFonts w:cs="Times New Roman"/>
                <w:b/>
                <w:bCs/>
                <w:sz w:val="28"/>
                <w:szCs w:val="28"/>
              </w:rPr>
              <w:t>Basel Convention</w:t>
            </w:r>
          </w:p>
        </w:tc>
        <w:tc>
          <w:tcPr>
            <w:tcW w:w="5200" w:type="dxa"/>
            <w:gridSpan w:val="4"/>
            <w:tcBorders>
              <w:top w:val="single" w:sz="4" w:space="0" w:color="auto"/>
              <w:left w:val="nil"/>
              <w:bottom w:val="nil"/>
              <w:right w:val="single" w:sz="4" w:space="0" w:color="000000"/>
            </w:tcBorders>
            <w:shd w:val="clear" w:color="000000" w:fill="CCFFFF"/>
            <w:vAlign w:val="center"/>
            <w:hideMark/>
          </w:tcPr>
          <w:p w:rsidR="0043338A" w:rsidRPr="009B40BB" w:rsidRDefault="0043338A" w:rsidP="002734C0">
            <w:pPr>
              <w:spacing w:line="240" w:lineRule="auto"/>
              <w:jc w:val="center"/>
              <w:rPr>
                <w:rFonts w:cs="Times New Roman"/>
                <w:b/>
                <w:bCs/>
                <w:sz w:val="28"/>
                <w:szCs w:val="28"/>
              </w:rPr>
            </w:pPr>
            <w:r w:rsidRPr="009B40BB">
              <w:rPr>
                <w:rFonts w:cs="Times New Roman"/>
                <w:b/>
                <w:bCs/>
                <w:sz w:val="28"/>
                <w:szCs w:val="28"/>
              </w:rPr>
              <w:t>Tonnes generated</w:t>
            </w:r>
          </w:p>
        </w:tc>
      </w:tr>
      <w:tr w:rsidR="0043338A" w:rsidRPr="009B40BB" w:rsidTr="00500C1D">
        <w:trPr>
          <w:trHeight w:val="510"/>
          <w:tblHeader/>
        </w:trPr>
        <w:tc>
          <w:tcPr>
            <w:tcW w:w="1020" w:type="dxa"/>
            <w:tcBorders>
              <w:top w:val="nil"/>
              <w:left w:val="single" w:sz="4" w:space="0" w:color="auto"/>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Code</w:t>
            </w:r>
          </w:p>
        </w:tc>
        <w:tc>
          <w:tcPr>
            <w:tcW w:w="7260" w:type="dxa"/>
            <w:tcBorders>
              <w:top w:val="nil"/>
              <w:left w:val="nil"/>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rPr>
                <w:rFonts w:cs="Times New Roman"/>
                <w:b/>
                <w:bCs/>
                <w:szCs w:val="20"/>
              </w:rPr>
            </w:pPr>
            <w:r w:rsidRPr="009B40BB">
              <w:rPr>
                <w:rFonts w:cs="Times New Roman"/>
                <w:b/>
                <w:bCs/>
                <w:szCs w:val="20"/>
              </w:rPr>
              <w:t>Waste description (Annex 1)</w:t>
            </w:r>
          </w:p>
        </w:tc>
        <w:tc>
          <w:tcPr>
            <w:tcW w:w="1300" w:type="dxa"/>
            <w:tcBorders>
              <w:top w:val="nil"/>
              <w:left w:val="nil"/>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Jul-Dec 2011</w:t>
            </w:r>
          </w:p>
        </w:tc>
        <w:tc>
          <w:tcPr>
            <w:tcW w:w="1300" w:type="dxa"/>
            <w:tcBorders>
              <w:top w:val="nil"/>
              <w:left w:val="nil"/>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Jan-Jun 2012</w:t>
            </w:r>
          </w:p>
        </w:tc>
        <w:tc>
          <w:tcPr>
            <w:tcW w:w="1300" w:type="dxa"/>
            <w:tcBorders>
              <w:top w:val="nil"/>
              <w:left w:val="nil"/>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Jul-Dec 2012</w:t>
            </w:r>
          </w:p>
        </w:tc>
        <w:tc>
          <w:tcPr>
            <w:tcW w:w="1300" w:type="dxa"/>
            <w:tcBorders>
              <w:top w:val="nil"/>
              <w:left w:val="nil"/>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jc w:val="right"/>
              <w:rPr>
                <w:rFonts w:asciiTheme="minorHAnsi" w:hAnsiTheme="minorHAnsi" w:cs="Times New Roman"/>
                <w:b/>
                <w:bCs/>
                <w:szCs w:val="20"/>
              </w:rPr>
            </w:pPr>
            <w:r w:rsidRPr="009B40BB">
              <w:rPr>
                <w:rFonts w:asciiTheme="minorHAnsi" w:hAnsiTheme="minorHAnsi" w:cs="Times New Roman"/>
                <w:b/>
                <w:bCs/>
                <w:szCs w:val="20"/>
              </w:rPr>
              <w:t>2012</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Y1</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Clinical wastes from medical care in hospitals, medical centres and clinics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15,284</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27,783</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27,742</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55,526</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Y2</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Wastes from the production and preparation of pharmaceutical products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785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755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886</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1,641</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Y3</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 pharmaceuticals, drugs and medicines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6,023</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6,592</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6,920</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13,512</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Y4</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Wastes from the production…... of biocides and phytopharmaceuticals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1,312</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1,816</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2,181</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3,997</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Y5</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Wastes from the manufacture…... of wood preserving chemicals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762</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277</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155</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431</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Y6</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Wastes from the production, formulation and use of organic solvent</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853</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7,205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7,325</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14,530</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Y7</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Wastes from heat treatment and tempering operations containing cyanides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0</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Y8</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 mineral oils unfit for their originally intended use</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120,889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196,709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148,896</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345,605</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Y9</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 oils/water, hydrocarbons/water mixtures, emulsion</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113,985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206,824</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204,283</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411,107</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Y10</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 xml:space="preserve">Waste substances ….containing or contaminated with PCBs, PCTs, PBBs </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1,248</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2,360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2,401</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4,761</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Y11</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 tarry residues ... from refining, distillation and any pyrolytic treatment</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374</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868</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994</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1,862</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Y12</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 xml:space="preserve">Wastes from production…... of inks, dyes, pigments, paints, </w:t>
            </w:r>
            <w:r w:rsidR="009B40BB" w:rsidRPr="009B40BB">
              <w:rPr>
                <w:rFonts w:cs="Times New Roman"/>
                <w:szCs w:val="20"/>
              </w:rPr>
              <w:t>etc.</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17,971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25,308</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26,258</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51,565</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Y13</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 xml:space="preserve">Wastes from production……resins, latex, plasticizers, glues, </w:t>
            </w:r>
            <w:r w:rsidR="009B40BB" w:rsidRPr="009B40BB">
              <w:rPr>
                <w:rFonts w:cs="Times New Roman"/>
                <w:szCs w:val="20"/>
              </w:rPr>
              <w:t>etc.</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3,349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3,909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7,898</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11,808</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Y14</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 chemical substances arising ….. environment are not known</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1,903</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2,714</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2,809</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5,523</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Y15</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Wastes of an explosive nature not subject to other legislation</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179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1,179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1,183</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2,361</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Y16</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Wastes from production, formulation and use of photographic chemicals…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640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793</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699</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1,492</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Y17</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Wastes resulting from surface treatment of metals and plastics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1,176</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3,080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2,871</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5,951</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Y18</w:t>
            </w:r>
          </w:p>
        </w:tc>
        <w:tc>
          <w:tcPr>
            <w:tcW w:w="7260" w:type="dxa"/>
            <w:tcBorders>
              <w:top w:val="nil"/>
              <w:left w:val="nil"/>
              <w:bottom w:val="single" w:sz="4" w:space="0" w:color="auto"/>
              <w:right w:val="single" w:sz="4" w:space="0" w:color="auto"/>
            </w:tcBorders>
            <w:shd w:val="clear" w:color="auto" w:fill="auto"/>
            <w:noWrap/>
            <w:hideMark/>
          </w:tcPr>
          <w:p w:rsidR="0043338A" w:rsidRPr="009B40BB" w:rsidRDefault="0043338A" w:rsidP="002734C0">
            <w:pPr>
              <w:spacing w:line="240" w:lineRule="auto"/>
              <w:rPr>
                <w:rFonts w:cs="Times New Roman"/>
                <w:szCs w:val="20"/>
              </w:rPr>
            </w:pPr>
            <w:r w:rsidRPr="009B40BB">
              <w:rPr>
                <w:rFonts w:cs="Times New Roman"/>
                <w:szCs w:val="20"/>
              </w:rPr>
              <w:t>Residues arising from industrial waste disposal operations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587,813</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847,822</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877,269</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1,725,091</w:t>
            </w:r>
          </w:p>
        </w:tc>
      </w:tr>
      <w:tr w:rsidR="0043338A" w:rsidRPr="009B40BB" w:rsidTr="002734C0">
        <w:trPr>
          <w:trHeight w:val="255"/>
        </w:trPr>
        <w:tc>
          <w:tcPr>
            <w:tcW w:w="1020" w:type="dxa"/>
            <w:tcBorders>
              <w:top w:val="nil"/>
              <w:left w:val="single" w:sz="4" w:space="0" w:color="auto"/>
              <w:bottom w:val="single" w:sz="4" w:space="0" w:color="auto"/>
              <w:right w:val="nil"/>
            </w:tcBorders>
            <w:shd w:val="clear" w:color="000000" w:fill="CCFFFF"/>
            <w:vAlign w:val="center"/>
            <w:hideMark/>
          </w:tcPr>
          <w:p w:rsidR="0043338A" w:rsidRPr="009B40BB" w:rsidRDefault="0043338A" w:rsidP="002734C0">
            <w:pPr>
              <w:spacing w:line="240" w:lineRule="auto"/>
              <w:rPr>
                <w:rFonts w:cs="Times New Roman"/>
                <w:b/>
                <w:bCs/>
                <w:szCs w:val="20"/>
              </w:rPr>
            </w:pPr>
            <w:r w:rsidRPr="009B40BB">
              <w:rPr>
                <w:rFonts w:cs="Times New Roman"/>
                <w:b/>
                <w:bCs/>
                <w:szCs w:val="20"/>
              </w:rPr>
              <w:t> </w:t>
            </w:r>
          </w:p>
        </w:tc>
        <w:tc>
          <w:tcPr>
            <w:tcW w:w="7260" w:type="dxa"/>
            <w:tcBorders>
              <w:top w:val="nil"/>
              <w:left w:val="nil"/>
              <w:bottom w:val="single" w:sz="4" w:space="0" w:color="auto"/>
              <w:right w:val="nil"/>
            </w:tcBorders>
            <w:shd w:val="clear" w:color="000000" w:fill="CCFFFF"/>
            <w:vAlign w:val="center"/>
            <w:hideMark/>
          </w:tcPr>
          <w:p w:rsidR="0043338A" w:rsidRPr="009B40BB" w:rsidRDefault="0043338A" w:rsidP="002734C0">
            <w:pPr>
              <w:spacing w:line="240" w:lineRule="auto"/>
              <w:rPr>
                <w:rFonts w:cs="Times New Roman"/>
                <w:b/>
                <w:bCs/>
                <w:szCs w:val="20"/>
              </w:rPr>
            </w:pPr>
            <w:r w:rsidRPr="009B40BB">
              <w:rPr>
                <w:rFonts w:cs="Times New Roman"/>
                <w:b/>
                <w:bCs/>
                <w:szCs w:val="20"/>
              </w:rPr>
              <w:t>Wastes having as constituents …</w:t>
            </w:r>
          </w:p>
        </w:tc>
        <w:tc>
          <w:tcPr>
            <w:tcW w:w="1300" w:type="dxa"/>
            <w:tcBorders>
              <w:top w:val="nil"/>
              <w:left w:val="nil"/>
              <w:bottom w:val="single" w:sz="4" w:space="0" w:color="auto"/>
              <w:right w:val="nil"/>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 </w:t>
            </w:r>
          </w:p>
        </w:tc>
        <w:tc>
          <w:tcPr>
            <w:tcW w:w="1300" w:type="dxa"/>
            <w:tcBorders>
              <w:top w:val="nil"/>
              <w:left w:val="nil"/>
              <w:bottom w:val="single" w:sz="4" w:space="0" w:color="auto"/>
              <w:right w:val="nil"/>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 </w:t>
            </w:r>
          </w:p>
        </w:tc>
        <w:tc>
          <w:tcPr>
            <w:tcW w:w="1300" w:type="dxa"/>
            <w:tcBorders>
              <w:top w:val="nil"/>
              <w:left w:val="nil"/>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 </w:t>
            </w:r>
          </w:p>
        </w:tc>
        <w:tc>
          <w:tcPr>
            <w:tcW w:w="1300" w:type="dxa"/>
            <w:tcBorders>
              <w:top w:val="nil"/>
              <w:left w:val="nil"/>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jc w:val="center"/>
              <w:rPr>
                <w:rFonts w:asciiTheme="minorHAnsi" w:hAnsiTheme="minorHAnsi" w:cs="Times New Roman"/>
                <w:b/>
                <w:bCs/>
                <w:szCs w:val="20"/>
              </w:rPr>
            </w:pPr>
            <w:r w:rsidRPr="009B40BB">
              <w:rPr>
                <w:rFonts w:asciiTheme="minorHAnsi" w:hAnsiTheme="minorHAnsi" w:cs="Times New Roman"/>
                <w:b/>
                <w:bCs/>
                <w:szCs w:val="20"/>
              </w:rPr>
              <w:t> </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Y19</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Metal carbonyls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58</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109</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167</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Y20</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Beryllium; beryllium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8</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Y21</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Hexavalent chromium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7,711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1,210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963</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2,173</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Y22</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Copper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527</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745</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1,272</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Y23</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Zinc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16,363</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64,346</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80,116</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144,462</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Y24</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Arsenic; arsenic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545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469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508</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977</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lastRenderedPageBreak/>
              <w:t>Y25</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Selenium; selenium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0</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Y26</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Cadmium; cadmium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31</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62</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Y27</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Antimony; antimony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32</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27</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Y28</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Tellurium; tellurium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0</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Y29</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Mercury; mercury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954</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477</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385</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862</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Y30</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Thallium; thallium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7</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Y31</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Lead; lead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14,608</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24,987</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14,472</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39,459</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Y32</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Inorganic fluorine compounds excluding calcium fluoride</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128</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729</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856</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Y33</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Inorganic cyanides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298</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336</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634</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Y34</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Acidic solutions or acids in solid form</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18,784</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22,377</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22,348</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44,725</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Y35</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Basic solutions or bases in solid form</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197,846</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168,603</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166,769</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335,371</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Y36</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Asbestos (dust and fibres)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166,227</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231,209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246,048</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477,257</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Y37</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Organic phosphorus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52</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67</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89</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156</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Y38</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Organic cyanides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0</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Y39</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Phenols; phenol compounds including chlorophenols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116</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561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540</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1,100</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Y40</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Ethers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1,138</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611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913</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1,524</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Y41</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Halogenated organic solvents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295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596</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577</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1,173</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Y42</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Organic solvents excluding halogenated solvents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7,807</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8,147</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8,641</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16,787</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Y43</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Any congenor of polychlorinated dibenzo-furan</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0</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Y44</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Any congenor of polychlorinated dibenzo-p-dioxin</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0</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Y45</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Organohalogen compounds other than …(e.g. Y39, Y41, Y42, Y43, Y44)</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127</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205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135</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339</w:t>
            </w:r>
          </w:p>
        </w:tc>
      </w:tr>
      <w:tr w:rsidR="0043338A" w:rsidRPr="009B40BB" w:rsidTr="002734C0">
        <w:trPr>
          <w:trHeight w:val="510"/>
        </w:trPr>
        <w:tc>
          <w:tcPr>
            <w:tcW w:w="1020" w:type="dxa"/>
            <w:tcBorders>
              <w:top w:val="nil"/>
              <w:left w:val="single" w:sz="4" w:space="0" w:color="auto"/>
              <w:bottom w:val="single" w:sz="4" w:space="0" w:color="auto"/>
              <w:right w:val="nil"/>
            </w:tcBorders>
            <w:shd w:val="clear" w:color="000000" w:fill="CCFFFF"/>
            <w:vAlign w:val="center"/>
            <w:hideMark/>
          </w:tcPr>
          <w:p w:rsidR="0043338A" w:rsidRPr="009B40BB" w:rsidRDefault="0043338A" w:rsidP="002734C0">
            <w:pPr>
              <w:spacing w:line="240" w:lineRule="auto"/>
              <w:rPr>
                <w:rFonts w:cs="Times New Roman"/>
                <w:b/>
                <w:bCs/>
                <w:szCs w:val="20"/>
              </w:rPr>
            </w:pPr>
            <w:r w:rsidRPr="009B40BB">
              <w:rPr>
                <w:rFonts w:cs="Times New Roman"/>
                <w:b/>
                <w:bCs/>
                <w:szCs w:val="20"/>
              </w:rPr>
              <w:t> </w:t>
            </w:r>
          </w:p>
        </w:tc>
        <w:tc>
          <w:tcPr>
            <w:tcW w:w="7260" w:type="dxa"/>
            <w:tcBorders>
              <w:top w:val="nil"/>
              <w:left w:val="nil"/>
              <w:bottom w:val="single" w:sz="4" w:space="0" w:color="auto"/>
              <w:right w:val="nil"/>
            </w:tcBorders>
            <w:shd w:val="clear" w:color="000000" w:fill="CCFFFF"/>
            <w:vAlign w:val="center"/>
            <w:hideMark/>
          </w:tcPr>
          <w:p w:rsidR="0043338A" w:rsidRPr="009B40BB" w:rsidRDefault="0043338A" w:rsidP="002734C0">
            <w:pPr>
              <w:spacing w:line="240" w:lineRule="auto"/>
              <w:rPr>
                <w:rFonts w:cs="Times New Roman"/>
                <w:b/>
                <w:bCs/>
                <w:szCs w:val="20"/>
              </w:rPr>
            </w:pPr>
            <w:r w:rsidRPr="009B40BB">
              <w:rPr>
                <w:rFonts w:cs="Times New Roman"/>
                <w:b/>
                <w:bCs/>
                <w:szCs w:val="20"/>
              </w:rPr>
              <w:t>Categories of wastes requiring special consideration (Annex II)</w:t>
            </w:r>
          </w:p>
        </w:tc>
        <w:tc>
          <w:tcPr>
            <w:tcW w:w="1300" w:type="dxa"/>
            <w:tcBorders>
              <w:top w:val="nil"/>
              <w:left w:val="nil"/>
              <w:bottom w:val="single" w:sz="4" w:space="0" w:color="auto"/>
              <w:right w:val="nil"/>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 </w:t>
            </w:r>
          </w:p>
        </w:tc>
        <w:tc>
          <w:tcPr>
            <w:tcW w:w="1300" w:type="dxa"/>
            <w:tcBorders>
              <w:top w:val="nil"/>
              <w:left w:val="nil"/>
              <w:bottom w:val="single" w:sz="4" w:space="0" w:color="auto"/>
              <w:right w:val="nil"/>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 </w:t>
            </w:r>
          </w:p>
        </w:tc>
        <w:tc>
          <w:tcPr>
            <w:tcW w:w="1300" w:type="dxa"/>
            <w:tcBorders>
              <w:top w:val="nil"/>
              <w:left w:val="nil"/>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 </w:t>
            </w:r>
          </w:p>
        </w:tc>
        <w:tc>
          <w:tcPr>
            <w:tcW w:w="1300" w:type="dxa"/>
            <w:tcBorders>
              <w:top w:val="nil"/>
              <w:left w:val="nil"/>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jc w:val="center"/>
              <w:rPr>
                <w:rFonts w:asciiTheme="minorHAnsi" w:hAnsiTheme="minorHAnsi" w:cs="Times New Roman"/>
                <w:b/>
                <w:bCs/>
                <w:szCs w:val="20"/>
              </w:rPr>
            </w:pPr>
            <w:r w:rsidRPr="009B40BB">
              <w:rPr>
                <w:rFonts w:asciiTheme="minorHAnsi" w:hAnsiTheme="minorHAnsi" w:cs="Times New Roman"/>
                <w:b/>
                <w:bCs/>
                <w:szCs w:val="20"/>
              </w:rPr>
              <w:t> </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Y46</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Wastes collected from households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5,045,354</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6,556,006</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6,610,719</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13,166,725</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Y47</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szCs w:val="20"/>
              </w:rPr>
            </w:pPr>
            <w:r w:rsidRPr="009B40BB">
              <w:rPr>
                <w:rFonts w:cs="Times New Roman"/>
                <w:szCs w:val="20"/>
              </w:rPr>
              <w:t>Residues arising from the incineration of household wastes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0</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0</w:t>
            </w:r>
          </w:p>
        </w:tc>
      </w:tr>
      <w:tr w:rsidR="0043338A" w:rsidRPr="009B40BB" w:rsidTr="002734C0">
        <w:trPr>
          <w:trHeight w:val="255"/>
        </w:trPr>
        <w:tc>
          <w:tcPr>
            <w:tcW w:w="1020" w:type="dxa"/>
            <w:tcBorders>
              <w:top w:val="nil"/>
              <w:left w:val="single" w:sz="4" w:space="0" w:color="auto"/>
              <w:bottom w:val="single" w:sz="4" w:space="0" w:color="auto"/>
              <w:right w:val="nil"/>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 </w:t>
            </w:r>
          </w:p>
        </w:tc>
        <w:tc>
          <w:tcPr>
            <w:tcW w:w="7260" w:type="dxa"/>
            <w:tcBorders>
              <w:top w:val="nil"/>
              <w:left w:val="nil"/>
              <w:bottom w:val="single" w:sz="4" w:space="0" w:color="auto"/>
              <w:right w:val="nil"/>
            </w:tcBorders>
            <w:shd w:val="clear" w:color="000000" w:fill="CCFFFF"/>
            <w:vAlign w:val="center"/>
            <w:hideMark/>
          </w:tcPr>
          <w:p w:rsidR="0043338A" w:rsidRPr="009B40BB" w:rsidRDefault="0043338A" w:rsidP="002734C0">
            <w:pPr>
              <w:spacing w:line="240" w:lineRule="auto"/>
              <w:rPr>
                <w:rFonts w:cs="Times New Roman"/>
                <w:b/>
                <w:bCs/>
                <w:szCs w:val="20"/>
              </w:rPr>
            </w:pPr>
            <w:r w:rsidRPr="009B40BB">
              <w:rPr>
                <w:rFonts w:cs="Times New Roman"/>
                <w:b/>
                <w:bCs/>
                <w:szCs w:val="20"/>
              </w:rPr>
              <w:t>Additional waste categories not included in Y-Codes</w:t>
            </w:r>
          </w:p>
        </w:tc>
        <w:tc>
          <w:tcPr>
            <w:tcW w:w="1300" w:type="dxa"/>
            <w:tcBorders>
              <w:top w:val="nil"/>
              <w:left w:val="nil"/>
              <w:bottom w:val="single" w:sz="4" w:space="0" w:color="auto"/>
              <w:right w:val="nil"/>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 </w:t>
            </w:r>
          </w:p>
        </w:tc>
        <w:tc>
          <w:tcPr>
            <w:tcW w:w="1300" w:type="dxa"/>
            <w:tcBorders>
              <w:top w:val="nil"/>
              <w:left w:val="nil"/>
              <w:bottom w:val="single" w:sz="4" w:space="0" w:color="auto"/>
              <w:right w:val="nil"/>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 </w:t>
            </w:r>
          </w:p>
        </w:tc>
        <w:tc>
          <w:tcPr>
            <w:tcW w:w="1300" w:type="dxa"/>
            <w:tcBorders>
              <w:top w:val="nil"/>
              <w:left w:val="nil"/>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jc w:val="center"/>
              <w:rPr>
                <w:rFonts w:cs="Times New Roman"/>
                <w:b/>
                <w:bCs/>
                <w:szCs w:val="20"/>
              </w:rPr>
            </w:pPr>
            <w:r w:rsidRPr="009B40BB">
              <w:rPr>
                <w:rFonts w:cs="Times New Roman"/>
                <w:b/>
                <w:bCs/>
                <w:szCs w:val="20"/>
              </w:rPr>
              <w:t> </w:t>
            </w:r>
          </w:p>
        </w:tc>
        <w:tc>
          <w:tcPr>
            <w:tcW w:w="1300" w:type="dxa"/>
            <w:tcBorders>
              <w:top w:val="nil"/>
              <w:left w:val="nil"/>
              <w:bottom w:val="single" w:sz="4" w:space="0" w:color="auto"/>
              <w:right w:val="single" w:sz="4" w:space="0" w:color="auto"/>
            </w:tcBorders>
            <w:shd w:val="clear" w:color="000000" w:fill="CCFFFF"/>
            <w:vAlign w:val="center"/>
            <w:hideMark/>
          </w:tcPr>
          <w:p w:rsidR="0043338A" w:rsidRPr="009B40BB" w:rsidRDefault="0043338A" w:rsidP="002734C0">
            <w:pPr>
              <w:spacing w:line="240" w:lineRule="auto"/>
              <w:jc w:val="center"/>
              <w:rPr>
                <w:rFonts w:asciiTheme="minorHAnsi" w:hAnsiTheme="minorHAnsi" w:cs="Times New Roman"/>
                <w:b/>
                <w:bCs/>
                <w:szCs w:val="20"/>
              </w:rPr>
            </w:pPr>
            <w:r w:rsidRPr="009B40BB">
              <w:rPr>
                <w:rFonts w:asciiTheme="minorHAnsi" w:hAnsiTheme="minorHAnsi" w:cs="Times New Roman"/>
                <w:b/>
                <w:bCs/>
                <w:szCs w:val="20"/>
              </w:rPr>
              <w:t> </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lastRenderedPageBreak/>
              <w:t>1</w:t>
            </w:r>
          </w:p>
        </w:tc>
        <w:tc>
          <w:tcPr>
            <w:tcW w:w="7260" w:type="dxa"/>
            <w:tcBorders>
              <w:top w:val="nil"/>
              <w:left w:val="nil"/>
              <w:bottom w:val="single" w:sz="4" w:space="0" w:color="auto"/>
              <w:right w:val="single" w:sz="4" w:space="0" w:color="auto"/>
            </w:tcBorders>
            <w:shd w:val="clear" w:color="auto" w:fill="auto"/>
            <w:noWrap/>
            <w:vAlign w:val="bottom"/>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Other metal compounds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405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239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309</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548</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2</w:t>
            </w:r>
          </w:p>
        </w:tc>
        <w:tc>
          <w:tcPr>
            <w:tcW w:w="7260" w:type="dxa"/>
            <w:tcBorders>
              <w:top w:val="nil"/>
              <w:left w:val="nil"/>
              <w:bottom w:val="single" w:sz="4" w:space="0" w:color="auto"/>
              <w:right w:val="single" w:sz="4" w:space="0" w:color="auto"/>
            </w:tcBorders>
            <w:shd w:val="clear" w:color="auto" w:fill="auto"/>
            <w:noWrap/>
            <w:vAlign w:val="bottom"/>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Other inorganic chemicals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15,478</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33,349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41,726</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75,075</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3</w:t>
            </w:r>
          </w:p>
        </w:tc>
        <w:tc>
          <w:tcPr>
            <w:tcW w:w="7260" w:type="dxa"/>
            <w:tcBorders>
              <w:top w:val="nil"/>
              <w:left w:val="nil"/>
              <w:bottom w:val="single" w:sz="4" w:space="0" w:color="auto"/>
              <w:right w:val="single" w:sz="4" w:space="0" w:color="auto"/>
            </w:tcBorders>
            <w:shd w:val="clear" w:color="auto" w:fill="auto"/>
            <w:noWrap/>
            <w:vAlign w:val="bottom"/>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Other organic chemicals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7,379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7,607</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8,372</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15,978</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4</w:t>
            </w:r>
          </w:p>
        </w:tc>
        <w:tc>
          <w:tcPr>
            <w:tcW w:w="7260" w:type="dxa"/>
            <w:tcBorders>
              <w:top w:val="nil"/>
              <w:left w:val="nil"/>
              <w:bottom w:val="single" w:sz="4" w:space="0" w:color="auto"/>
              <w:right w:val="single" w:sz="4" w:space="0" w:color="auto"/>
            </w:tcBorders>
            <w:shd w:val="clear" w:color="auto" w:fill="auto"/>
            <w:noWrap/>
            <w:vAlign w:val="bottom"/>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Putrescible/ organic waste</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274,955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382,779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394,368</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777,147</w:t>
            </w:r>
          </w:p>
        </w:tc>
      </w:tr>
      <w:tr w:rsidR="0043338A" w:rsidRPr="009B40BB" w:rsidTr="002734C0">
        <w:trPr>
          <w:trHeight w:val="510"/>
        </w:trPr>
        <w:tc>
          <w:tcPr>
            <w:tcW w:w="1020" w:type="dxa"/>
            <w:tcBorders>
              <w:top w:val="nil"/>
              <w:left w:val="single" w:sz="4" w:space="0" w:color="auto"/>
              <w:bottom w:val="single" w:sz="4" w:space="0" w:color="auto"/>
              <w:right w:val="single" w:sz="4" w:space="0" w:color="auto"/>
            </w:tcBorders>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5</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Waste packages and containers containing Annex 1 substances in concentrations sufficient to exhibit Annex III hazard characteristics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17,811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18,259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20,124</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38,383</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6</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Soils contaminated with residues of substances in Basel Y-codes 19-45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618,111</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833,550</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707,677</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1,541,227</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7</w:t>
            </w:r>
          </w:p>
        </w:tc>
        <w:tc>
          <w:tcPr>
            <w:tcW w:w="7260" w:type="dxa"/>
            <w:tcBorders>
              <w:top w:val="nil"/>
              <w:left w:val="nil"/>
              <w:bottom w:val="single" w:sz="4" w:space="0" w:color="auto"/>
              <w:right w:val="single" w:sz="4" w:space="0" w:color="auto"/>
            </w:tcBorders>
            <w:shd w:val="clear" w:color="auto" w:fill="auto"/>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Sludges contaminated with residues of substances in Basel Y-codes 19-45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8,662</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8,919</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8,790</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17,709</w:t>
            </w:r>
          </w:p>
        </w:tc>
      </w:tr>
      <w:tr w:rsidR="0043338A" w:rsidRPr="009B40BB" w:rsidTr="002734C0">
        <w:trPr>
          <w:trHeight w:val="315"/>
        </w:trPr>
        <w:tc>
          <w:tcPr>
            <w:tcW w:w="1020" w:type="dxa"/>
            <w:tcBorders>
              <w:top w:val="nil"/>
              <w:left w:val="single" w:sz="4" w:space="0" w:color="auto"/>
              <w:bottom w:val="single" w:sz="4" w:space="0" w:color="auto"/>
              <w:right w:val="single" w:sz="4" w:space="0" w:color="auto"/>
            </w:tcBorders>
            <w:shd w:val="clear" w:color="auto" w:fill="auto"/>
            <w:noWrap/>
            <w:hideMark/>
          </w:tcPr>
          <w:p w:rsidR="0043338A" w:rsidRPr="009B40BB" w:rsidRDefault="0043338A" w:rsidP="002734C0">
            <w:pPr>
              <w:spacing w:line="240" w:lineRule="auto"/>
              <w:jc w:val="center"/>
              <w:rPr>
                <w:rFonts w:cs="Times New Roman"/>
                <w:color w:val="000000"/>
                <w:szCs w:val="20"/>
              </w:rPr>
            </w:pPr>
            <w:r w:rsidRPr="009B40BB">
              <w:rPr>
                <w:rFonts w:cs="Times New Roman"/>
                <w:color w:val="000000"/>
                <w:szCs w:val="20"/>
              </w:rPr>
              <w:t>8</w:t>
            </w:r>
          </w:p>
        </w:tc>
        <w:tc>
          <w:tcPr>
            <w:tcW w:w="7260" w:type="dxa"/>
            <w:tcBorders>
              <w:top w:val="nil"/>
              <w:left w:val="nil"/>
              <w:bottom w:val="single" w:sz="4" w:space="0" w:color="auto"/>
              <w:right w:val="single" w:sz="4" w:space="0" w:color="auto"/>
            </w:tcBorders>
            <w:shd w:val="clear" w:color="auto" w:fill="auto"/>
            <w:noWrap/>
            <w:vAlign w:val="bottom"/>
            <w:hideMark/>
          </w:tcPr>
          <w:p w:rsidR="0043338A" w:rsidRPr="009B40BB" w:rsidRDefault="0043338A" w:rsidP="002734C0">
            <w:pPr>
              <w:spacing w:line="240" w:lineRule="auto"/>
              <w:rPr>
                <w:rFonts w:cs="Times New Roman"/>
                <w:color w:val="000000"/>
                <w:szCs w:val="20"/>
              </w:rPr>
            </w:pPr>
            <w:r w:rsidRPr="009B40BB">
              <w:rPr>
                <w:rFonts w:cs="Times New Roman"/>
                <w:color w:val="000000"/>
                <w:szCs w:val="20"/>
              </w:rPr>
              <w:t>Tyres</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144,875</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193,874</w:t>
            </w:r>
          </w:p>
        </w:tc>
        <w:tc>
          <w:tcPr>
            <w:tcW w:w="1300" w:type="dxa"/>
            <w:tcBorders>
              <w:top w:val="nil"/>
              <w:left w:val="nil"/>
              <w:bottom w:val="single" w:sz="4" w:space="0" w:color="auto"/>
              <w:right w:val="single" w:sz="4" w:space="0" w:color="auto"/>
            </w:tcBorders>
            <w:shd w:val="clear" w:color="auto" w:fill="auto"/>
            <w:noWrap/>
            <w:vAlign w:val="center"/>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221,537</w:t>
            </w:r>
          </w:p>
        </w:tc>
        <w:tc>
          <w:tcPr>
            <w:tcW w:w="1300" w:type="dxa"/>
            <w:tcBorders>
              <w:top w:val="nil"/>
              <w:left w:val="nil"/>
              <w:bottom w:val="single" w:sz="4" w:space="0" w:color="auto"/>
              <w:right w:val="single" w:sz="4" w:space="0" w:color="auto"/>
            </w:tcBorders>
            <w:shd w:val="clear" w:color="auto" w:fill="FFF4E0" w:themeFill="accent6" w:themeFillTint="33"/>
            <w:noWrap/>
            <w:vAlign w:val="center"/>
            <w:hideMark/>
          </w:tcPr>
          <w:p w:rsidR="0043338A" w:rsidRPr="009B40BB" w:rsidRDefault="0043338A" w:rsidP="002734C0">
            <w:pPr>
              <w:spacing w:line="240" w:lineRule="auto"/>
              <w:jc w:val="right"/>
              <w:rPr>
                <w:rFonts w:asciiTheme="minorHAnsi" w:hAnsiTheme="minorHAnsi" w:cs="Times New Roman"/>
                <w:color w:val="000000"/>
                <w:szCs w:val="20"/>
              </w:rPr>
            </w:pPr>
            <w:r w:rsidRPr="009B40BB">
              <w:rPr>
                <w:rFonts w:asciiTheme="minorHAnsi" w:hAnsiTheme="minorHAnsi" w:cs="Times New Roman"/>
                <w:color w:val="000000"/>
                <w:szCs w:val="20"/>
              </w:rPr>
              <w:t>415,411</w:t>
            </w:r>
          </w:p>
        </w:tc>
      </w:tr>
      <w:tr w:rsidR="0043338A" w:rsidRPr="009B40BB" w:rsidTr="002734C0">
        <w:trPr>
          <w:trHeight w:val="255"/>
        </w:trPr>
        <w:tc>
          <w:tcPr>
            <w:tcW w:w="828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338A" w:rsidRPr="009B40BB" w:rsidRDefault="0043338A" w:rsidP="002734C0">
            <w:pPr>
              <w:spacing w:line="240" w:lineRule="auto"/>
              <w:jc w:val="right"/>
              <w:rPr>
                <w:rFonts w:cs="Times New Roman"/>
                <w:b/>
                <w:bCs/>
                <w:color w:val="000000"/>
                <w:szCs w:val="20"/>
              </w:rPr>
            </w:pPr>
            <w:r w:rsidRPr="009B40BB">
              <w:rPr>
                <w:rFonts w:cs="Times New Roman"/>
                <w:b/>
                <w:bCs/>
                <w:color w:val="000000"/>
                <w:szCs w:val="20"/>
              </w:rPr>
              <w:t>TOTAL</w:t>
            </w:r>
          </w:p>
        </w:tc>
        <w:tc>
          <w:tcPr>
            <w:tcW w:w="1300" w:type="dxa"/>
            <w:tcBorders>
              <w:top w:val="nil"/>
              <w:left w:val="nil"/>
              <w:bottom w:val="single" w:sz="4" w:space="0" w:color="auto"/>
              <w:right w:val="single" w:sz="4" w:space="0" w:color="auto"/>
            </w:tcBorders>
            <w:shd w:val="clear" w:color="000000" w:fill="FFFFFF"/>
            <w:noWrap/>
            <w:vAlign w:val="bottom"/>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7,440,387</w:t>
            </w:r>
          </w:p>
        </w:tc>
        <w:tc>
          <w:tcPr>
            <w:tcW w:w="1300" w:type="dxa"/>
            <w:tcBorders>
              <w:top w:val="nil"/>
              <w:left w:val="nil"/>
              <w:bottom w:val="single" w:sz="4" w:space="0" w:color="auto"/>
              <w:right w:val="single" w:sz="4" w:space="0" w:color="auto"/>
            </w:tcBorders>
            <w:shd w:val="clear" w:color="000000" w:fill="FFFFFF"/>
            <w:noWrap/>
            <w:vAlign w:val="bottom"/>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9,895,481</w:t>
            </w:r>
          </w:p>
        </w:tc>
        <w:tc>
          <w:tcPr>
            <w:tcW w:w="1300" w:type="dxa"/>
            <w:tcBorders>
              <w:top w:val="nil"/>
              <w:left w:val="nil"/>
              <w:bottom w:val="single" w:sz="4" w:space="0" w:color="auto"/>
              <w:right w:val="single" w:sz="4" w:space="0" w:color="auto"/>
            </w:tcBorders>
            <w:shd w:val="clear" w:color="000000" w:fill="FFFFFF"/>
            <w:noWrap/>
            <w:vAlign w:val="bottom"/>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9,878,886</w:t>
            </w:r>
          </w:p>
        </w:tc>
        <w:tc>
          <w:tcPr>
            <w:tcW w:w="1300" w:type="dxa"/>
            <w:tcBorders>
              <w:top w:val="nil"/>
              <w:left w:val="nil"/>
              <w:bottom w:val="single" w:sz="4" w:space="0" w:color="auto"/>
              <w:right w:val="single" w:sz="4" w:space="0" w:color="auto"/>
            </w:tcBorders>
            <w:shd w:val="clear" w:color="auto" w:fill="FFF4E0" w:themeFill="accent6" w:themeFillTint="33"/>
            <w:noWrap/>
            <w:vAlign w:val="bottom"/>
            <w:hideMark/>
          </w:tcPr>
          <w:p w:rsidR="0043338A" w:rsidRPr="009B40BB" w:rsidRDefault="0043338A" w:rsidP="002734C0">
            <w:pPr>
              <w:spacing w:line="240" w:lineRule="auto"/>
              <w:jc w:val="right"/>
              <w:rPr>
                <w:rFonts w:cs="Times New Roman"/>
                <w:color w:val="000000"/>
                <w:szCs w:val="20"/>
              </w:rPr>
            </w:pPr>
            <w:r w:rsidRPr="009B40BB">
              <w:rPr>
                <w:rFonts w:cs="Times New Roman"/>
                <w:color w:val="000000"/>
                <w:szCs w:val="20"/>
              </w:rPr>
              <w:t>19,774,367</w:t>
            </w:r>
          </w:p>
        </w:tc>
      </w:tr>
    </w:tbl>
    <w:p w:rsidR="0043338A" w:rsidRPr="009B40BB" w:rsidRDefault="0043338A" w:rsidP="002419F3">
      <w:pPr>
        <w:pStyle w:val="BodyText"/>
        <w:sectPr w:rsidR="0043338A" w:rsidRPr="009B40BB" w:rsidSect="0043338A">
          <w:footerReference w:type="default" r:id="rId54"/>
          <w:pgSz w:w="16840" w:h="11907" w:orient="landscape" w:code="9"/>
          <w:pgMar w:top="1304" w:right="1531" w:bottom="1077" w:left="1417" w:header="709" w:footer="709" w:gutter="0"/>
          <w:cols w:space="708"/>
          <w:docGrid w:linePitch="360"/>
        </w:sectPr>
      </w:pPr>
    </w:p>
    <w:p w:rsidR="002419F3" w:rsidRPr="009B40BB" w:rsidRDefault="002419F3" w:rsidP="002419F3">
      <w:pPr>
        <w:pStyle w:val="AppendixSectionHolder"/>
      </w:pPr>
    </w:p>
    <w:p w:rsidR="002419F3" w:rsidRPr="009B40BB" w:rsidRDefault="002419F3" w:rsidP="002419F3">
      <w:pPr>
        <w:pStyle w:val="AppendixSectionnumber"/>
        <w:tabs>
          <w:tab w:val="left" w:pos="2268"/>
        </w:tabs>
        <w:ind w:left="2268" w:hanging="2126"/>
      </w:pPr>
      <w:r w:rsidRPr="009B40BB">
        <w:t xml:space="preserve">National hazardous waste data 2012 – </w:t>
      </w:r>
      <w:r w:rsidR="00CA33F8" w:rsidRPr="009B40BB">
        <w:t>analysis &amp; key issues</w:t>
      </w:r>
    </w:p>
    <w:p w:rsidR="002419F3" w:rsidRPr="009B40BB" w:rsidRDefault="002419F3" w:rsidP="002419F3">
      <w:pPr>
        <w:pStyle w:val="BodyText"/>
      </w:pPr>
    </w:p>
    <w:p w:rsidR="0043338A" w:rsidRPr="009B40BB" w:rsidRDefault="0043338A">
      <w:pPr>
        <w:spacing w:line="240" w:lineRule="auto"/>
      </w:pPr>
      <w:r w:rsidRPr="009B40BB">
        <w:br w:type="page"/>
      </w:r>
    </w:p>
    <w:p w:rsidR="004408FC" w:rsidRPr="009B40BB" w:rsidRDefault="004408FC" w:rsidP="00837A33">
      <w:pPr>
        <w:spacing w:after="360" w:line="240" w:lineRule="auto"/>
        <w:rPr>
          <w:rFonts w:ascii="Arial Rounded MT Bold" w:hAnsi="Arial Rounded MT Bold" w:cs="Arial"/>
          <w:color w:val="0000FF" w:themeColor="accent1"/>
          <w:sz w:val="36"/>
          <w:szCs w:val="36"/>
        </w:rPr>
      </w:pPr>
      <w:r w:rsidRPr="009B40BB">
        <w:rPr>
          <w:rFonts w:ascii="Arial Rounded MT Bold" w:hAnsi="Arial Rounded MT Bold" w:cs="Arial"/>
          <w:color w:val="0000FF" w:themeColor="accent1"/>
          <w:sz w:val="36"/>
          <w:szCs w:val="36"/>
        </w:rPr>
        <w:lastRenderedPageBreak/>
        <w:t xml:space="preserve">National hazardous waste data 2012 – </w:t>
      </w:r>
      <w:r w:rsidR="00CA33F8" w:rsidRPr="009B40BB">
        <w:rPr>
          <w:rFonts w:ascii="Arial Rounded MT Bold" w:hAnsi="Arial Rounded MT Bold" w:cs="Arial"/>
          <w:color w:val="0000FF" w:themeColor="accent1"/>
          <w:sz w:val="36"/>
          <w:szCs w:val="36"/>
        </w:rPr>
        <w:t>analysis &amp; key is</w:t>
      </w:r>
      <w:r w:rsidRPr="009B40BB">
        <w:rPr>
          <w:rFonts w:ascii="Arial Rounded MT Bold" w:hAnsi="Arial Rounded MT Bold" w:cs="Arial"/>
          <w:color w:val="0000FF" w:themeColor="accent1"/>
          <w:sz w:val="36"/>
          <w:szCs w:val="36"/>
        </w:rPr>
        <w:t xml:space="preserve">sues </w:t>
      </w:r>
    </w:p>
    <w:p w:rsidR="004408FC" w:rsidRPr="009B40BB" w:rsidRDefault="004408FC">
      <w:pPr>
        <w:spacing w:line="240" w:lineRule="auto"/>
      </w:pPr>
    </w:p>
    <w:p w:rsidR="00341719" w:rsidRPr="009B40BB" w:rsidRDefault="00341719" w:rsidP="00A768C4">
      <w:pPr>
        <w:pStyle w:val="BodyText"/>
        <w:numPr>
          <w:ilvl w:val="0"/>
          <w:numId w:val="9"/>
        </w:numPr>
        <w:spacing w:after="360"/>
        <w:ind w:left="850" w:hanging="850"/>
        <w:rPr>
          <w:rFonts w:ascii="Arial Rounded MT Bold" w:hAnsi="Arial Rounded MT Bold"/>
          <w:color w:val="0000FF" w:themeColor="accent1"/>
          <w:sz w:val="36"/>
          <w:szCs w:val="36"/>
        </w:rPr>
      </w:pPr>
      <w:r w:rsidRPr="009B40BB">
        <w:rPr>
          <w:rFonts w:ascii="Arial Rounded MT Bold" w:hAnsi="Arial Rounded MT Bold"/>
          <w:color w:val="0000FF" w:themeColor="accent1"/>
          <w:sz w:val="36"/>
          <w:szCs w:val="36"/>
        </w:rPr>
        <w:t>Introduction</w:t>
      </w:r>
    </w:p>
    <w:p w:rsidR="00D7720D" w:rsidRPr="009B40BB" w:rsidRDefault="00D7720D" w:rsidP="00D7720D">
      <w:pPr>
        <w:pStyle w:val="BodyText"/>
        <w:spacing w:after="120"/>
      </w:pPr>
      <w:r w:rsidRPr="009B40BB">
        <w:t xml:space="preserve">This report—the </w:t>
      </w:r>
      <w:r w:rsidRPr="009B40BB">
        <w:rPr>
          <w:i/>
        </w:rPr>
        <w:t>National hazardous waste data 2012 – Analysis &amp; Key Issues</w:t>
      </w:r>
      <w:r w:rsidRPr="009B40BB">
        <w:t xml:space="preserve"> (Data Analysis)—is a companion report (as </w:t>
      </w:r>
      <w:r w:rsidR="00A06695">
        <w:t>Appendix</w:t>
      </w:r>
      <w:r w:rsidR="005A7997" w:rsidRPr="009B40BB">
        <w:t xml:space="preserve"> </w:t>
      </w:r>
      <w:r w:rsidRPr="009B40BB">
        <w:t xml:space="preserve">E) to </w:t>
      </w:r>
      <w:r w:rsidRPr="009B40BB">
        <w:rPr>
          <w:i/>
        </w:rPr>
        <w:t>Improving Australia's reporting on hazardous waste under the Basel Convention</w:t>
      </w:r>
      <w:r w:rsidR="008F5804" w:rsidRPr="009B40BB">
        <w:t xml:space="preserve"> (the Main Report)</w:t>
      </w:r>
      <w:r w:rsidRPr="009B40BB">
        <w:t>—a report prepared for the Department of the Environment by Blue Environment in association with ENV</w:t>
      </w:r>
      <w:r w:rsidR="007E6E1B">
        <w:t>I</w:t>
      </w:r>
      <w:r w:rsidRPr="009B40BB">
        <w:t>RON Australia and Randell Environmental Consulting</w:t>
      </w:r>
      <w:r w:rsidR="008F5804" w:rsidRPr="009B40BB">
        <w:t>.</w:t>
      </w:r>
    </w:p>
    <w:p w:rsidR="008F5804" w:rsidRPr="009B40BB" w:rsidRDefault="008F5804" w:rsidP="008F5804">
      <w:pPr>
        <w:pStyle w:val="BodyText"/>
        <w:spacing w:after="120"/>
      </w:pPr>
      <w:r w:rsidRPr="009B40BB">
        <w:t>The purpose of this companion report is to provide high level analysis and interpretation of the data presented in the main report.</w:t>
      </w:r>
    </w:p>
    <w:p w:rsidR="00CF3B5C" w:rsidRDefault="00D7720D" w:rsidP="00D7720D">
      <w:pPr>
        <w:pStyle w:val="BodyText"/>
        <w:spacing w:after="120"/>
      </w:pPr>
      <w:r w:rsidRPr="009B40BB">
        <w:t>Data was collected in six-monthly blocks, allowing aggregatio</w:t>
      </w:r>
      <w:r w:rsidR="00AD70D4">
        <w:t>n by either 2011-</w:t>
      </w:r>
      <w:r w:rsidRPr="009B40BB">
        <w:t xml:space="preserve">12 financial </w:t>
      </w:r>
      <w:proofErr w:type="gramStart"/>
      <w:r w:rsidRPr="009B40BB">
        <w:t>year</w:t>
      </w:r>
      <w:proofErr w:type="gramEnd"/>
      <w:r w:rsidRPr="009B40BB">
        <w:t xml:space="preserve"> or 2012 calendar year.</w:t>
      </w:r>
      <w:r w:rsidR="0065463B">
        <w:t xml:space="preserve"> </w:t>
      </w:r>
      <w:r w:rsidR="00CF3B5C">
        <w:t>This has advantages for data collation and comparison, where other programs or studies use (or have used) different reporting periods.</w:t>
      </w:r>
      <w:r w:rsidR="0065463B">
        <w:t xml:space="preserve"> </w:t>
      </w:r>
    </w:p>
    <w:p w:rsidR="00D7720D" w:rsidRPr="009B40BB" w:rsidRDefault="008F5804" w:rsidP="00D7720D">
      <w:pPr>
        <w:pStyle w:val="BodyText"/>
        <w:spacing w:after="120"/>
      </w:pPr>
      <w:r w:rsidRPr="009B40BB">
        <w:t>However,</w:t>
      </w:r>
      <w:r w:rsidR="00A374C7" w:rsidRPr="009B40BB">
        <w:t xml:space="preserve"> </w:t>
      </w:r>
      <w:r w:rsidR="00D7720D" w:rsidRPr="009B40BB">
        <w:t xml:space="preserve">the analysis </w:t>
      </w:r>
      <w:r w:rsidRPr="009B40BB">
        <w:t>below</w:t>
      </w:r>
      <w:r w:rsidR="00D7720D" w:rsidRPr="009B40BB">
        <w:t xml:space="preserve"> is based on the 2012 calendar year data set, because:</w:t>
      </w:r>
    </w:p>
    <w:p w:rsidR="00D7720D" w:rsidRPr="009B40BB" w:rsidRDefault="00D7720D" w:rsidP="00CA33F8">
      <w:pPr>
        <w:pStyle w:val="Bullet1"/>
      </w:pPr>
      <w:r w:rsidRPr="009B40BB">
        <w:t>Basel’s reporting period requirement is calendar year</w:t>
      </w:r>
    </w:p>
    <w:p w:rsidR="00D7720D" w:rsidRPr="009B40BB" w:rsidRDefault="00D7720D" w:rsidP="00CA33F8">
      <w:pPr>
        <w:pStyle w:val="Bullet1"/>
      </w:pPr>
      <w:r w:rsidRPr="009B40BB">
        <w:t>2012 data provides the most currency for readers of this report and</w:t>
      </w:r>
    </w:p>
    <w:p w:rsidR="00D7720D" w:rsidRPr="009B40BB" w:rsidRDefault="00D7720D" w:rsidP="00CA33F8">
      <w:pPr>
        <w:pStyle w:val="Bullet1"/>
      </w:pPr>
      <w:proofErr w:type="gramStart"/>
      <w:r w:rsidRPr="009B40BB">
        <w:t>the</w:t>
      </w:r>
      <w:proofErr w:type="gramEnd"/>
      <w:r w:rsidRPr="009B40BB">
        <w:t xml:space="preserve"> difference between calendar year collation and financial year collation</w:t>
      </w:r>
      <w:r w:rsidR="00AD70D4">
        <w:t xml:space="preserve"> for 2011-</w:t>
      </w:r>
      <w:r w:rsidR="008F5804" w:rsidRPr="009B40BB">
        <w:t>12 and 2012</w:t>
      </w:r>
      <w:r w:rsidRPr="009B40BB">
        <w:t xml:space="preserve"> is minor.</w:t>
      </w:r>
    </w:p>
    <w:p w:rsidR="00D7720D" w:rsidRPr="009B40BB" w:rsidRDefault="00D7720D" w:rsidP="00D7720D">
      <w:pPr>
        <w:pStyle w:val="BodyText"/>
      </w:pPr>
      <w:r w:rsidRPr="009B40BB">
        <w:t>The assumptions, possible explanations, reasoning and potential conclusions drawn in this report are limited by the extent of available data and collective kno</w:t>
      </w:r>
      <w:r w:rsidR="008F5804" w:rsidRPr="009B40BB">
        <w:t>wledge of the report’s authors.</w:t>
      </w:r>
      <w:r w:rsidR="00A374C7" w:rsidRPr="009B40BB">
        <w:t xml:space="preserve"> </w:t>
      </w:r>
      <w:r w:rsidRPr="009B40BB">
        <w:t xml:space="preserve">Any interpretative advice based on the analysis and opinions expressed in this report should first be verified with the relevant state or territory hazardous waste management agency before being relied upon as factually correct. </w:t>
      </w:r>
    </w:p>
    <w:p w:rsidR="00D7720D" w:rsidRPr="009B40BB" w:rsidRDefault="00D7720D" w:rsidP="00D7720D">
      <w:pPr>
        <w:pStyle w:val="BodyText"/>
      </w:pPr>
    </w:p>
    <w:p w:rsidR="00341719" w:rsidRPr="009B40BB" w:rsidRDefault="008F5804" w:rsidP="00D97253">
      <w:pPr>
        <w:spacing w:after="120" w:line="240" w:lineRule="auto"/>
        <w:rPr>
          <w:sz w:val="22"/>
        </w:rPr>
      </w:pPr>
      <w:r w:rsidRPr="009B40BB">
        <w:rPr>
          <w:sz w:val="22"/>
        </w:rPr>
        <w:t>Th</w:t>
      </w:r>
      <w:r w:rsidR="00D97253" w:rsidRPr="009B40BB">
        <w:rPr>
          <w:sz w:val="22"/>
        </w:rPr>
        <w:t>is</w:t>
      </w:r>
      <w:r w:rsidRPr="009B40BB">
        <w:rPr>
          <w:sz w:val="22"/>
        </w:rPr>
        <w:t xml:space="preserve"> Data Analysis uses the following structure:</w:t>
      </w:r>
    </w:p>
    <w:p w:rsidR="00D97253" w:rsidRPr="009B40BB" w:rsidRDefault="00D97253" w:rsidP="00CA33F8">
      <w:pPr>
        <w:pStyle w:val="Bullet1"/>
      </w:pPr>
      <w:r w:rsidRPr="009B40BB">
        <w:t>A comparison with past years:</w:t>
      </w:r>
    </w:p>
    <w:p w:rsidR="00D97253" w:rsidRPr="009B40BB" w:rsidRDefault="00D97253" w:rsidP="00CA33F8">
      <w:pPr>
        <w:pStyle w:val="Bullet2"/>
      </w:pPr>
      <w:r w:rsidRPr="009B40BB">
        <w:t>of National data by Basel classification</w:t>
      </w:r>
    </w:p>
    <w:p w:rsidR="00D97253" w:rsidRPr="009B40BB" w:rsidRDefault="00D97253" w:rsidP="00CA33F8">
      <w:pPr>
        <w:pStyle w:val="Bullet2"/>
      </w:pPr>
      <w:r w:rsidRPr="009B40BB">
        <w:t>of National data by NEPM classification – firstly looking at jurisdictional totals</w:t>
      </w:r>
    </w:p>
    <w:p w:rsidR="00D97253" w:rsidRPr="009B40BB" w:rsidRDefault="00D97253" w:rsidP="00CA33F8">
      <w:pPr>
        <w:pStyle w:val="Bullet2"/>
      </w:pPr>
      <w:r w:rsidRPr="009B40BB">
        <w:t>of National data by NEPM classification – secondly via breakdown into waste types</w:t>
      </w:r>
    </w:p>
    <w:p w:rsidR="00D97253" w:rsidRPr="009B40BB" w:rsidRDefault="00D97253" w:rsidP="00CA33F8">
      <w:pPr>
        <w:pStyle w:val="Bullet1"/>
      </w:pPr>
      <w:r w:rsidRPr="009B40BB">
        <w:t>A focus on the major wastes by tonnage</w:t>
      </w:r>
    </w:p>
    <w:p w:rsidR="00D97253" w:rsidRPr="009B40BB" w:rsidRDefault="00CA33F8" w:rsidP="00CA33F8">
      <w:pPr>
        <w:pStyle w:val="Bullet2"/>
      </w:pPr>
      <w:r w:rsidRPr="009B40BB">
        <w:t>nationally</w:t>
      </w:r>
    </w:p>
    <w:p w:rsidR="00D97253" w:rsidRPr="009B40BB" w:rsidRDefault="00CA33F8" w:rsidP="00CA33F8">
      <w:pPr>
        <w:pStyle w:val="Bullet2"/>
      </w:pPr>
      <w:r w:rsidRPr="009B40BB">
        <w:t xml:space="preserve">by </w:t>
      </w:r>
      <w:r w:rsidR="00D97253" w:rsidRPr="009B40BB">
        <w:t>jurisdiction</w:t>
      </w:r>
    </w:p>
    <w:p w:rsidR="00D97253" w:rsidRPr="009B40BB" w:rsidRDefault="00CA33F8" w:rsidP="00CA33F8">
      <w:pPr>
        <w:pStyle w:val="Bullet2"/>
      </w:pPr>
      <w:r w:rsidRPr="009B40BB">
        <w:t xml:space="preserve">per </w:t>
      </w:r>
      <w:r w:rsidR="00D97253" w:rsidRPr="009B40BB">
        <w:t>capita, both nationally and by jurisdiction</w:t>
      </w:r>
    </w:p>
    <w:p w:rsidR="00D97253" w:rsidRPr="009B40BB" w:rsidRDefault="00D97253" w:rsidP="00CA33F8">
      <w:pPr>
        <w:pStyle w:val="Bullet1"/>
      </w:pPr>
      <w:r w:rsidRPr="009B40BB">
        <w:t>A data quality assessment</w:t>
      </w:r>
    </w:p>
    <w:p w:rsidR="00D97253" w:rsidRPr="009B40BB" w:rsidRDefault="00D97253" w:rsidP="00CA33F8">
      <w:pPr>
        <w:pStyle w:val="Bullet1"/>
      </w:pPr>
      <w:r w:rsidRPr="009B40BB">
        <w:t>A summary of the key messages</w:t>
      </w:r>
      <w:r w:rsidR="00474863" w:rsidRPr="009B40BB">
        <w:t xml:space="preserve"> that can be taken from the 2012 data set</w:t>
      </w:r>
      <w:r w:rsidRPr="009B40BB">
        <w:t>.</w:t>
      </w:r>
    </w:p>
    <w:p w:rsidR="00D97253" w:rsidRPr="009B40BB" w:rsidRDefault="00D97253">
      <w:pPr>
        <w:spacing w:line="240" w:lineRule="auto"/>
        <w:rPr>
          <w:sz w:val="22"/>
        </w:rPr>
      </w:pPr>
    </w:p>
    <w:p w:rsidR="009415B8" w:rsidRPr="009B40BB" w:rsidRDefault="009415B8">
      <w:pPr>
        <w:spacing w:line="240" w:lineRule="auto"/>
        <w:rPr>
          <w:rFonts w:ascii="Arial Rounded MT Bold" w:hAnsi="Arial Rounded MT Bold"/>
          <w:color w:val="0000FF" w:themeColor="accent1"/>
          <w:sz w:val="36"/>
          <w:szCs w:val="36"/>
        </w:rPr>
      </w:pPr>
      <w:r w:rsidRPr="009B40BB">
        <w:rPr>
          <w:rFonts w:ascii="Arial Rounded MT Bold" w:hAnsi="Arial Rounded MT Bold"/>
          <w:color w:val="0000FF" w:themeColor="accent1"/>
          <w:sz w:val="36"/>
          <w:szCs w:val="36"/>
        </w:rPr>
        <w:br w:type="page"/>
      </w:r>
    </w:p>
    <w:p w:rsidR="00341719" w:rsidRPr="009B40BB" w:rsidRDefault="00341719" w:rsidP="00A768C4">
      <w:pPr>
        <w:pStyle w:val="BodyText"/>
        <w:numPr>
          <w:ilvl w:val="0"/>
          <w:numId w:val="9"/>
        </w:numPr>
        <w:spacing w:after="360"/>
        <w:ind w:left="850" w:hanging="850"/>
        <w:rPr>
          <w:rFonts w:ascii="Arial Rounded MT Bold" w:hAnsi="Arial Rounded MT Bold"/>
          <w:color w:val="0000FF" w:themeColor="accent1"/>
          <w:sz w:val="36"/>
          <w:szCs w:val="36"/>
        </w:rPr>
      </w:pPr>
      <w:r w:rsidRPr="009B40BB">
        <w:rPr>
          <w:rFonts w:ascii="Arial Rounded MT Bold" w:hAnsi="Arial Rounded MT Bold"/>
          <w:color w:val="0000FF" w:themeColor="accent1"/>
          <w:sz w:val="36"/>
          <w:szCs w:val="36"/>
        </w:rPr>
        <w:lastRenderedPageBreak/>
        <w:t>Comparison with past years</w:t>
      </w:r>
    </w:p>
    <w:p w:rsidR="00474863" w:rsidRPr="009B40BB" w:rsidRDefault="00D97253" w:rsidP="00474863">
      <w:pPr>
        <w:pStyle w:val="BodyText"/>
        <w:spacing w:after="120"/>
      </w:pPr>
      <w:r w:rsidRPr="009B40BB">
        <w:t>Quality hazardous waste data collation in Australia, at the national level at least, is in its infancy.</w:t>
      </w:r>
      <w:r w:rsidR="00A374C7" w:rsidRPr="009B40BB">
        <w:t xml:space="preserve"> </w:t>
      </w:r>
      <w:r w:rsidRPr="009B40BB">
        <w:t>However there is a recent history of provision of this data to the Basel Secretariat, albeit of questionable quality.</w:t>
      </w:r>
      <w:r w:rsidR="00A374C7" w:rsidRPr="009B40BB">
        <w:t xml:space="preserve"> </w:t>
      </w:r>
      <w:r w:rsidRPr="009B40BB">
        <w:t xml:space="preserve">In terms of a national data report of some detail for </w:t>
      </w:r>
      <w:r w:rsidR="00474863" w:rsidRPr="009B40BB">
        <w:t>hazardous waste data at the state and territory level</w:t>
      </w:r>
      <w:r w:rsidRPr="009B40BB">
        <w:t xml:space="preserve">, </w:t>
      </w:r>
      <w:r w:rsidR="00474863" w:rsidRPr="009B40BB">
        <w:t xml:space="preserve">the only notable recent project is the </w:t>
      </w:r>
      <w:r w:rsidR="00474863" w:rsidRPr="009B40BB">
        <w:rPr>
          <w:i/>
        </w:rPr>
        <w:t>Hazardous Waste Data Assessment</w:t>
      </w:r>
      <w:r w:rsidR="00474863" w:rsidRPr="009B40BB">
        <w:t>, KMH Environmental (2013), based</w:t>
      </w:r>
      <w:r w:rsidR="00AD70D4">
        <w:t xml:space="preserve"> on data collected for the 2010-</w:t>
      </w:r>
      <w:r w:rsidR="00474863" w:rsidRPr="009B40BB">
        <w:t>11 year.</w:t>
      </w:r>
      <w:r w:rsidR="00A374C7" w:rsidRPr="009B40BB">
        <w:t xml:space="preserve"> </w:t>
      </w:r>
    </w:p>
    <w:p w:rsidR="00474863" w:rsidRPr="009B40BB" w:rsidRDefault="00474863" w:rsidP="00474863">
      <w:pPr>
        <w:pStyle w:val="BodyText"/>
        <w:spacing w:after="120"/>
      </w:pPr>
      <w:r w:rsidRPr="009B40BB">
        <w:t xml:space="preserve">For these reasons, temporal comparison has been limited to previous submissions (for </w:t>
      </w:r>
      <w:r w:rsidR="00AD70D4">
        <w:t>Basel classified data) and 2010-</w:t>
      </w:r>
      <w:r w:rsidRPr="009B40BB">
        <w:t>11 data for NEPM classified data.</w:t>
      </w:r>
    </w:p>
    <w:p w:rsidR="00341719" w:rsidRPr="009B40BB" w:rsidRDefault="00341719" w:rsidP="00837A33">
      <w:pPr>
        <w:pStyle w:val="BodyText"/>
      </w:pPr>
    </w:p>
    <w:p w:rsidR="00341719" w:rsidRPr="009B40BB" w:rsidRDefault="00837A33" w:rsidP="00837A33">
      <w:pPr>
        <w:spacing w:after="240" w:line="240" w:lineRule="auto"/>
        <w:rPr>
          <w:rFonts w:ascii="Arial Rounded MT Bold" w:hAnsi="Arial Rounded MT Bold"/>
          <w:color w:val="0000FF" w:themeColor="accent1"/>
          <w:sz w:val="28"/>
          <w:szCs w:val="28"/>
        </w:rPr>
      </w:pPr>
      <w:r w:rsidRPr="009B40BB">
        <w:rPr>
          <w:rFonts w:ascii="Arial Rounded MT Bold" w:hAnsi="Arial Rounded MT Bold"/>
          <w:color w:val="0000FF" w:themeColor="accent1"/>
          <w:sz w:val="28"/>
          <w:szCs w:val="28"/>
        </w:rPr>
        <w:t>2.1</w:t>
      </w:r>
      <w:r w:rsidRPr="009B40BB">
        <w:rPr>
          <w:rFonts w:ascii="Arial Rounded MT Bold" w:hAnsi="Arial Rounded MT Bold"/>
          <w:color w:val="0000FF" w:themeColor="accent1"/>
          <w:sz w:val="28"/>
          <w:szCs w:val="28"/>
        </w:rPr>
        <w:tab/>
      </w:r>
      <w:r w:rsidR="00341719" w:rsidRPr="009B40BB">
        <w:rPr>
          <w:rFonts w:ascii="Arial Rounded MT Bold" w:hAnsi="Arial Rounded MT Bold"/>
          <w:color w:val="0000FF" w:themeColor="accent1"/>
          <w:sz w:val="28"/>
          <w:szCs w:val="28"/>
        </w:rPr>
        <w:t>National data by Basel classification</w:t>
      </w:r>
    </w:p>
    <w:p w:rsidR="00341719" w:rsidRPr="009B40BB" w:rsidRDefault="00474863">
      <w:pPr>
        <w:spacing w:line="240" w:lineRule="auto"/>
        <w:rPr>
          <w:sz w:val="22"/>
        </w:rPr>
      </w:pPr>
      <w:r w:rsidRPr="009B40BB">
        <w:rPr>
          <w:sz w:val="22"/>
        </w:rPr>
        <w:t xml:space="preserve">Figure 1 shows </w:t>
      </w:r>
      <w:r w:rsidR="007D7D0F" w:rsidRPr="009B40BB">
        <w:rPr>
          <w:sz w:val="22"/>
        </w:rPr>
        <w:t>the total tonnes of hazardous waste Australia has reported under the Basel Convention, in the classifications (Y-codes) determined by Basel, for each of the past 4 calendar years.</w:t>
      </w:r>
      <w:r w:rsidR="0065463B">
        <w:rPr>
          <w:sz w:val="22"/>
        </w:rPr>
        <w:t xml:space="preserve"> </w:t>
      </w:r>
      <w:r w:rsidR="007D7D0F" w:rsidRPr="009B40BB">
        <w:rPr>
          <w:sz w:val="22"/>
        </w:rPr>
        <w:t xml:space="preserve">2012 data depicted in this graph, for consistency purposes, includes </w:t>
      </w:r>
      <w:r w:rsidR="009F2DB8" w:rsidRPr="009B40BB">
        <w:rPr>
          <w:sz w:val="22"/>
        </w:rPr>
        <w:t xml:space="preserve">only </w:t>
      </w:r>
      <w:r w:rsidR="007D7D0F" w:rsidRPr="009B40BB">
        <w:rPr>
          <w:sz w:val="22"/>
        </w:rPr>
        <w:t>hazardous wastes listed under Art. 1 (1</w:t>
      </w:r>
      <w:proofErr w:type="gramStart"/>
      <w:r w:rsidR="007D7D0F" w:rsidRPr="009B40BB">
        <w:rPr>
          <w:sz w:val="22"/>
        </w:rPr>
        <w:t>)a</w:t>
      </w:r>
      <w:proofErr w:type="gramEnd"/>
      <w:r w:rsidR="007D7D0F" w:rsidRPr="009B40BB">
        <w:rPr>
          <w:sz w:val="22"/>
        </w:rPr>
        <w:t xml:space="preserve"> (Annex I) to the Convention, which correspond to</w:t>
      </w:r>
      <w:r w:rsidR="00A374C7" w:rsidRPr="009B40BB">
        <w:rPr>
          <w:sz w:val="22"/>
        </w:rPr>
        <w:t xml:space="preserve"> </w:t>
      </w:r>
      <w:r w:rsidR="007D7D0F" w:rsidRPr="009B40BB">
        <w:rPr>
          <w:sz w:val="22"/>
        </w:rPr>
        <w:t>Y1-Y45 waste codes.</w:t>
      </w:r>
      <w:r w:rsidR="00A374C7" w:rsidRPr="009B40BB">
        <w:rPr>
          <w:sz w:val="22"/>
        </w:rPr>
        <w:t xml:space="preserve"> </w:t>
      </w:r>
      <w:r w:rsidR="007D7D0F" w:rsidRPr="009B40BB">
        <w:rPr>
          <w:sz w:val="22"/>
        </w:rPr>
        <w:t>Reporting by Australia from 2009 to 2011 was limited to these categories.</w:t>
      </w:r>
    </w:p>
    <w:p w:rsidR="00474863" w:rsidRPr="009B40BB" w:rsidRDefault="00474863">
      <w:pPr>
        <w:spacing w:line="240" w:lineRule="auto"/>
        <w:rPr>
          <w:sz w:val="22"/>
        </w:rPr>
      </w:pPr>
    </w:p>
    <w:p w:rsidR="00474863" w:rsidRPr="009B40BB" w:rsidRDefault="00474863" w:rsidP="00474863">
      <w:pPr>
        <w:pStyle w:val="Figures"/>
      </w:pPr>
      <w:r w:rsidRPr="009B40BB">
        <w:t xml:space="preserve">Figure 1: </w:t>
      </w:r>
      <w:r w:rsidRPr="009B40BB">
        <w:tab/>
      </w:r>
      <w:r w:rsidR="002050E6">
        <w:t xml:space="preserve">Tonnes of waste reported under the </w:t>
      </w:r>
      <w:r w:rsidRPr="009B40BB">
        <w:t xml:space="preserve">Basel </w:t>
      </w:r>
      <w:r w:rsidR="002050E6">
        <w:t xml:space="preserve">Convention </w:t>
      </w:r>
      <w:r w:rsidRPr="009B40BB">
        <w:t>over the past 4 years</w:t>
      </w:r>
      <w:r w:rsidR="0097743E" w:rsidRPr="009B40BB">
        <w:t xml:space="preserve"> (consistently reported categories)</w:t>
      </w:r>
    </w:p>
    <w:p w:rsidR="00843CE9" w:rsidRPr="009B40BB" w:rsidRDefault="00537E86">
      <w:pPr>
        <w:spacing w:line="240" w:lineRule="auto"/>
        <w:rPr>
          <w:sz w:val="22"/>
        </w:rPr>
      </w:pPr>
      <w:r w:rsidRPr="009B40BB">
        <w:rPr>
          <w:noProof/>
          <w:sz w:val="22"/>
          <w:lang w:eastAsia="en-AU"/>
        </w:rPr>
        <w:drawing>
          <wp:inline distT="0" distB="0" distL="0" distR="0">
            <wp:extent cx="6067425" cy="283845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43CE9" w:rsidRPr="009B40BB" w:rsidRDefault="00843CE9">
      <w:pPr>
        <w:spacing w:line="240" w:lineRule="auto"/>
        <w:rPr>
          <w:sz w:val="22"/>
        </w:rPr>
      </w:pPr>
    </w:p>
    <w:p w:rsidR="007D7D0F" w:rsidRPr="009B40BB" w:rsidRDefault="007D7D0F">
      <w:pPr>
        <w:spacing w:line="240" w:lineRule="auto"/>
        <w:rPr>
          <w:sz w:val="22"/>
        </w:rPr>
      </w:pPr>
      <w:r w:rsidRPr="009B40BB">
        <w:rPr>
          <w:sz w:val="22"/>
        </w:rPr>
        <w:t>The data shows that for the same categories of waste, there was a dramatic increase in the quantity reported in 2012.</w:t>
      </w:r>
      <w:r w:rsidR="00A374C7" w:rsidRPr="009B40BB">
        <w:rPr>
          <w:sz w:val="22"/>
        </w:rPr>
        <w:t xml:space="preserve"> </w:t>
      </w:r>
      <w:r w:rsidRPr="009B40BB">
        <w:rPr>
          <w:sz w:val="22"/>
        </w:rPr>
        <w:t xml:space="preserve">The most likely cause for this is an increase in the quality and completeness of the </w:t>
      </w:r>
      <w:r w:rsidR="00906102" w:rsidRPr="009B40BB">
        <w:rPr>
          <w:sz w:val="22"/>
        </w:rPr>
        <w:t xml:space="preserve">2012 </w:t>
      </w:r>
      <w:r w:rsidRPr="009B40BB">
        <w:rPr>
          <w:sz w:val="22"/>
        </w:rPr>
        <w:t>data provided by states and territories.</w:t>
      </w:r>
      <w:r w:rsidR="00A374C7" w:rsidRPr="009B40BB">
        <w:rPr>
          <w:sz w:val="22"/>
        </w:rPr>
        <w:t xml:space="preserve"> </w:t>
      </w:r>
      <w:r w:rsidRPr="009B40BB">
        <w:rPr>
          <w:sz w:val="22"/>
        </w:rPr>
        <w:t>This is due to the introduction of a translation protocol and associated template – previously jurisdictions were likely to have simply not reported large quantities of wastes if there was not a clear Basel classification which matched their own.</w:t>
      </w:r>
      <w:r w:rsidR="00A374C7" w:rsidRPr="009B40BB">
        <w:rPr>
          <w:sz w:val="22"/>
        </w:rPr>
        <w:t xml:space="preserve"> </w:t>
      </w:r>
      <w:r w:rsidRPr="009B40BB">
        <w:rPr>
          <w:sz w:val="22"/>
        </w:rPr>
        <w:t>Withou</w:t>
      </w:r>
      <w:r w:rsidR="00906102" w:rsidRPr="009B40BB">
        <w:rPr>
          <w:sz w:val="22"/>
        </w:rPr>
        <w:t xml:space="preserve">t information to guide mapping </w:t>
      </w:r>
      <w:r w:rsidRPr="009B40BB">
        <w:rPr>
          <w:sz w:val="22"/>
        </w:rPr>
        <w:t>of such wastes</w:t>
      </w:r>
      <w:r w:rsidR="00906102" w:rsidRPr="009B40BB">
        <w:rPr>
          <w:sz w:val="22"/>
        </w:rPr>
        <w:t xml:space="preserve"> it is likely a literal assessment was made; that the waste, as specifically classified in Basel’s terms, was not present within their jurisdiction.</w:t>
      </w:r>
    </w:p>
    <w:p w:rsidR="0097743E" w:rsidRPr="009B40BB" w:rsidRDefault="0097743E">
      <w:pPr>
        <w:spacing w:line="240" w:lineRule="auto"/>
        <w:rPr>
          <w:sz w:val="22"/>
        </w:rPr>
      </w:pPr>
    </w:p>
    <w:p w:rsidR="0097743E" w:rsidRPr="009B40BB" w:rsidRDefault="0097743E">
      <w:pPr>
        <w:spacing w:line="240" w:lineRule="auto"/>
        <w:rPr>
          <w:sz w:val="22"/>
        </w:rPr>
      </w:pPr>
      <w:r w:rsidRPr="009B40BB">
        <w:rPr>
          <w:sz w:val="22"/>
        </w:rPr>
        <w:t xml:space="preserve">This illustrates the outcomes of an </w:t>
      </w:r>
      <w:r w:rsidRPr="009B40BB">
        <w:rPr>
          <w:b/>
          <w:i/>
          <w:sz w:val="22"/>
        </w:rPr>
        <w:t>improved process</w:t>
      </w:r>
      <w:r w:rsidRPr="009B40BB">
        <w:rPr>
          <w:sz w:val="22"/>
        </w:rPr>
        <w:t xml:space="preserve"> of data collection and collation for 2012 data.</w:t>
      </w:r>
    </w:p>
    <w:p w:rsidR="00906102" w:rsidRPr="009B40BB" w:rsidRDefault="00906102">
      <w:pPr>
        <w:spacing w:line="240" w:lineRule="auto"/>
        <w:rPr>
          <w:sz w:val="22"/>
        </w:rPr>
      </w:pPr>
    </w:p>
    <w:p w:rsidR="00906102" w:rsidRPr="009B40BB" w:rsidRDefault="00906102">
      <w:pPr>
        <w:spacing w:line="240" w:lineRule="auto"/>
        <w:rPr>
          <w:sz w:val="22"/>
        </w:rPr>
      </w:pPr>
      <w:r w:rsidRPr="009B40BB">
        <w:rPr>
          <w:sz w:val="22"/>
        </w:rPr>
        <w:lastRenderedPageBreak/>
        <w:t xml:space="preserve">As part of the development of the translation protocol documented in </w:t>
      </w:r>
      <w:r w:rsidR="00A06695">
        <w:rPr>
          <w:sz w:val="22"/>
        </w:rPr>
        <w:t>Appendix</w:t>
      </w:r>
      <w:r w:rsidRPr="009B40BB">
        <w:rPr>
          <w:sz w:val="22"/>
        </w:rPr>
        <w:t xml:space="preserve"> A to the Main Report, there were a number of wastes that were clearly classified under the Controlled Waste NEPM as hazardous but could not reasonably be mapped to any of the Basel Y-codes</w:t>
      </w:r>
      <w:r w:rsidR="00713F82" w:rsidRPr="009B40BB">
        <w:rPr>
          <w:sz w:val="22"/>
        </w:rPr>
        <w:t>.</w:t>
      </w:r>
      <w:r w:rsidR="00A374C7" w:rsidRPr="009B40BB">
        <w:rPr>
          <w:sz w:val="22"/>
        </w:rPr>
        <w:t xml:space="preserve"> </w:t>
      </w:r>
      <w:r w:rsidR="00713F82" w:rsidRPr="009B40BB">
        <w:rPr>
          <w:sz w:val="22"/>
        </w:rPr>
        <w:t>These become a set of 8 new Basel “codes”, simply called 1-8, for which figures were reported to Basel in the 2012 dataset.</w:t>
      </w:r>
      <w:r w:rsidR="00A374C7" w:rsidRPr="009B40BB">
        <w:rPr>
          <w:sz w:val="22"/>
        </w:rPr>
        <w:t xml:space="preserve"> </w:t>
      </w:r>
      <w:r w:rsidR="00713F82" w:rsidRPr="009B40BB">
        <w:rPr>
          <w:sz w:val="22"/>
        </w:rPr>
        <w:t xml:space="preserve">In addition, </w:t>
      </w:r>
      <w:r w:rsidR="00713F82" w:rsidRPr="009B40BB">
        <w:rPr>
          <w:i/>
          <w:sz w:val="22"/>
        </w:rPr>
        <w:t>Y46 Wastes collected from households</w:t>
      </w:r>
      <w:r w:rsidR="00713F82" w:rsidRPr="009B40BB">
        <w:rPr>
          <w:sz w:val="22"/>
        </w:rPr>
        <w:t xml:space="preserve"> was estimated and reported for the first time in the 2012 Basel data.</w:t>
      </w:r>
      <w:r w:rsidR="00A374C7" w:rsidRPr="009B40BB">
        <w:rPr>
          <w:sz w:val="22"/>
        </w:rPr>
        <w:t xml:space="preserve"> </w:t>
      </w:r>
      <w:r w:rsidR="00713F82" w:rsidRPr="009B40BB">
        <w:rPr>
          <w:sz w:val="22"/>
        </w:rPr>
        <w:t>These new categories, and their associated tonnages, are shown in Table 1.</w:t>
      </w:r>
    </w:p>
    <w:p w:rsidR="007D7D0F" w:rsidRPr="009B40BB" w:rsidRDefault="007D7D0F">
      <w:pPr>
        <w:spacing w:line="240" w:lineRule="auto"/>
        <w:rPr>
          <w:sz w:val="22"/>
        </w:rPr>
      </w:pPr>
    </w:p>
    <w:p w:rsidR="0097743E" w:rsidRPr="009B40BB" w:rsidRDefault="0097743E" w:rsidP="0097743E">
      <w:pPr>
        <w:spacing w:line="240" w:lineRule="auto"/>
        <w:rPr>
          <w:sz w:val="22"/>
        </w:rPr>
      </w:pPr>
      <w:r w:rsidRPr="009B40BB">
        <w:rPr>
          <w:sz w:val="22"/>
        </w:rPr>
        <w:t>When the entire 2012 Basel report tonnages are included, the actual comparison with previous years looks much more dramatic (see Figure 2).</w:t>
      </w:r>
      <w:r w:rsidR="00A374C7" w:rsidRPr="009B40BB">
        <w:rPr>
          <w:sz w:val="22"/>
        </w:rPr>
        <w:t xml:space="preserve"> </w:t>
      </w:r>
      <w:r w:rsidRPr="009B40BB">
        <w:rPr>
          <w:sz w:val="22"/>
        </w:rPr>
        <w:t xml:space="preserve">This illustrates </w:t>
      </w:r>
      <w:r w:rsidRPr="009B40BB">
        <w:rPr>
          <w:b/>
          <w:i/>
          <w:sz w:val="22"/>
        </w:rPr>
        <w:t>improved data</w:t>
      </w:r>
      <w:r w:rsidRPr="009B40BB">
        <w:rPr>
          <w:sz w:val="22"/>
        </w:rPr>
        <w:t xml:space="preserve"> for Australia’s 2012 submission</w:t>
      </w:r>
      <w:r w:rsidR="008E6A77" w:rsidRPr="009B40BB">
        <w:rPr>
          <w:sz w:val="22"/>
        </w:rPr>
        <w:t>, because it is more reflective of a broader range of hazardous wastes generated in Australia compared to previous years’ submissions.</w:t>
      </w:r>
    </w:p>
    <w:p w:rsidR="0097743E" w:rsidRPr="009B40BB" w:rsidRDefault="0097743E" w:rsidP="0097743E">
      <w:pPr>
        <w:spacing w:line="240" w:lineRule="auto"/>
        <w:rPr>
          <w:sz w:val="22"/>
        </w:rPr>
      </w:pPr>
    </w:p>
    <w:p w:rsidR="008E6A77" w:rsidRDefault="008E6A77" w:rsidP="0097743E">
      <w:pPr>
        <w:spacing w:line="240" w:lineRule="auto"/>
        <w:rPr>
          <w:sz w:val="22"/>
        </w:rPr>
      </w:pPr>
      <w:r w:rsidRPr="009B40BB">
        <w:rPr>
          <w:sz w:val="22"/>
        </w:rPr>
        <w:t xml:space="preserve">It is also a stark illustration of the significance of </w:t>
      </w:r>
      <w:r w:rsidRPr="009B40BB">
        <w:rPr>
          <w:i/>
          <w:sz w:val="22"/>
        </w:rPr>
        <w:t>Y46 Wastes collected from households</w:t>
      </w:r>
      <w:r w:rsidRPr="009B40BB">
        <w:rPr>
          <w:sz w:val="22"/>
        </w:rPr>
        <w:t xml:space="preserve">, </w:t>
      </w:r>
      <w:r w:rsidR="0066281D" w:rsidRPr="009B40BB">
        <w:rPr>
          <w:sz w:val="22"/>
        </w:rPr>
        <w:t xml:space="preserve">a waste not classified or regulated as “hazardous” in Australia, </w:t>
      </w:r>
      <w:r w:rsidRPr="009B40BB">
        <w:rPr>
          <w:sz w:val="22"/>
        </w:rPr>
        <w:t xml:space="preserve">at 13,166,725 </w:t>
      </w:r>
      <w:r w:rsidR="0066281D" w:rsidRPr="009B40BB">
        <w:rPr>
          <w:sz w:val="22"/>
        </w:rPr>
        <w:t xml:space="preserve">tonnes out of a total 19,774,367 </w:t>
      </w:r>
      <w:r w:rsidRPr="009B40BB">
        <w:rPr>
          <w:sz w:val="22"/>
        </w:rPr>
        <w:t>tonnes</w:t>
      </w:r>
      <w:r w:rsidR="0066281D" w:rsidRPr="009B40BB">
        <w:rPr>
          <w:sz w:val="22"/>
        </w:rPr>
        <w:t xml:space="preserve"> reported for 2012 under Basel</w:t>
      </w:r>
      <w:r w:rsidRPr="009B40BB">
        <w:rPr>
          <w:sz w:val="22"/>
        </w:rPr>
        <w:t>.</w:t>
      </w:r>
    </w:p>
    <w:p w:rsidR="00CF3B5C" w:rsidRDefault="00CF3B5C" w:rsidP="0097743E">
      <w:pPr>
        <w:spacing w:line="240" w:lineRule="auto"/>
        <w:rPr>
          <w:sz w:val="22"/>
        </w:rPr>
      </w:pPr>
    </w:p>
    <w:p w:rsidR="00CF3B5C" w:rsidRPr="009B40BB" w:rsidRDefault="00CF3B5C" w:rsidP="0097743E">
      <w:pPr>
        <w:spacing w:line="240" w:lineRule="auto"/>
        <w:rPr>
          <w:sz w:val="22"/>
        </w:rPr>
      </w:pPr>
      <w:r>
        <w:rPr>
          <w:sz w:val="22"/>
        </w:rPr>
        <w:t xml:space="preserve">A footnote to this discussion is the fact that </w:t>
      </w:r>
      <w:r w:rsidRPr="00B32D8B">
        <w:rPr>
          <w:i/>
          <w:sz w:val="22"/>
        </w:rPr>
        <w:t>Y</w:t>
      </w:r>
      <w:r w:rsidR="00B32D8B" w:rsidRPr="00B32D8B">
        <w:rPr>
          <w:i/>
          <w:sz w:val="22"/>
        </w:rPr>
        <w:t>47 Residues arising from the incineration of household wastes</w:t>
      </w:r>
      <w:r w:rsidR="00B32D8B">
        <w:rPr>
          <w:sz w:val="22"/>
        </w:rPr>
        <w:t xml:space="preserve"> has neither historically nor currently been reported as part of the national data set.</w:t>
      </w:r>
      <w:r w:rsidR="0065463B">
        <w:rPr>
          <w:sz w:val="22"/>
        </w:rPr>
        <w:t xml:space="preserve"> </w:t>
      </w:r>
      <w:r w:rsidR="00B32D8B">
        <w:rPr>
          <w:sz w:val="22"/>
        </w:rPr>
        <w:t>This is because household waste is not typically incinerated in Australia at present, like in other parts of the world, but in the main sent to landfill.</w:t>
      </w:r>
      <w:r w:rsidR="0065463B">
        <w:rPr>
          <w:sz w:val="22"/>
        </w:rPr>
        <w:t xml:space="preserve"> </w:t>
      </w:r>
      <w:r w:rsidR="00B32D8B">
        <w:rPr>
          <w:sz w:val="22"/>
        </w:rPr>
        <w:t>Reportable amounts are likely to be very small, and are data is not captured at present, or it may even be reported as part of other codes.</w:t>
      </w:r>
    </w:p>
    <w:p w:rsidR="0097743E" w:rsidRPr="009B40BB" w:rsidRDefault="0097743E">
      <w:pPr>
        <w:spacing w:line="240" w:lineRule="auto"/>
        <w:rPr>
          <w:rFonts w:cs="Calibri"/>
          <w:b/>
          <w:color w:val="0000FF"/>
          <w:sz w:val="24"/>
          <w:szCs w:val="20"/>
        </w:rPr>
      </w:pPr>
    </w:p>
    <w:p w:rsidR="00713F82" w:rsidRPr="009B40BB" w:rsidRDefault="00713F82" w:rsidP="00713F82">
      <w:pPr>
        <w:pStyle w:val="Figures"/>
      </w:pPr>
      <w:r w:rsidRPr="009B40BB">
        <w:t xml:space="preserve">Table 1: </w:t>
      </w:r>
      <w:r w:rsidRPr="009B40BB">
        <w:tab/>
        <w:t>Additional</w:t>
      </w:r>
      <w:r w:rsidR="0097743E" w:rsidRPr="009B40BB">
        <w:t>ly reported</w:t>
      </w:r>
      <w:r w:rsidRPr="009B40BB">
        <w:t xml:space="preserve"> </w:t>
      </w:r>
      <w:r w:rsidR="0097743E" w:rsidRPr="009B40BB">
        <w:t>Basel 2012 waste</w:t>
      </w:r>
      <w:r w:rsidRPr="009B40BB">
        <w:t xml:space="preserve"> </w:t>
      </w:r>
      <w:r w:rsidR="0097743E" w:rsidRPr="009B40BB">
        <w:t xml:space="preserve">data </w:t>
      </w:r>
      <w:r w:rsidRPr="009B40BB">
        <w:t>categories</w:t>
      </w:r>
      <w:r w:rsidR="002050E6">
        <w:t xml:space="preserve"> (tonnes of waste)</w:t>
      </w:r>
    </w:p>
    <w:p w:rsidR="00537E86" w:rsidRPr="009B40BB" w:rsidRDefault="000E4DA6">
      <w:pPr>
        <w:spacing w:line="240" w:lineRule="auto"/>
      </w:pPr>
      <w:r w:rsidRPr="009B40BB">
        <w:rPr>
          <w:noProof/>
          <w:lang w:eastAsia="en-AU"/>
        </w:rPr>
        <w:drawing>
          <wp:inline distT="0" distB="0" distL="0" distR="0">
            <wp:extent cx="6258296" cy="226371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5398" cy="2266279"/>
                    </a:xfrm>
                    <a:prstGeom prst="rect">
                      <a:avLst/>
                    </a:prstGeom>
                    <a:noFill/>
                    <a:ln>
                      <a:noFill/>
                    </a:ln>
                  </pic:spPr>
                </pic:pic>
              </a:graphicData>
            </a:graphic>
          </wp:inline>
        </w:drawing>
      </w:r>
    </w:p>
    <w:p w:rsidR="00537E86" w:rsidRPr="009B40BB" w:rsidRDefault="00537E86">
      <w:pPr>
        <w:spacing w:line="240" w:lineRule="auto"/>
      </w:pPr>
    </w:p>
    <w:p w:rsidR="00B32D8B" w:rsidRDefault="00B32D8B">
      <w:pPr>
        <w:spacing w:line="240" w:lineRule="auto"/>
        <w:rPr>
          <w:rFonts w:cs="Calibri"/>
          <w:b/>
          <w:color w:val="0000FF"/>
          <w:sz w:val="22"/>
          <w:szCs w:val="20"/>
        </w:rPr>
      </w:pPr>
      <w:r>
        <w:br w:type="page"/>
      </w:r>
    </w:p>
    <w:p w:rsidR="0097743E" w:rsidRPr="009B40BB" w:rsidRDefault="0097743E" w:rsidP="0097743E">
      <w:pPr>
        <w:pStyle w:val="Figures"/>
      </w:pPr>
      <w:r w:rsidRPr="009B40BB">
        <w:lastRenderedPageBreak/>
        <w:t xml:space="preserve">Figure 2: </w:t>
      </w:r>
      <w:r w:rsidRPr="009B40BB">
        <w:tab/>
      </w:r>
      <w:r w:rsidR="002050E6">
        <w:t xml:space="preserve">Tonnes of waste reported under the </w:t>
      </w:r>
      <w:r w:rsidR="002050E6" w:rsidRPr="009B40BB">
        <w:t xml:space="preserve">Basel </w:t>
      </w:r>
      <w:r w:rsidR="002050E6">
        <w:t xml:space="preserve">Convention </w:t>
      </w:r>
      <w:r w:rsidR="002050E6" w:rsidRPr="009B40BB">
        <w:t>over the past 4 years</w:t>
      </w:r>
      <w:r w:rsidR="002050E6">
        <w:t xml:space="preserve"> </w:t>
      </w:r>
      <w:r w:rsidRPr="009B40BB">
        <w:t>(all reporting categories included)</w:t>
      </w:r>
    </w:p>
    <w:p w:rsidR="00537E86" w:rsidRPr="009B40BB" w:rsidRDefault="00537E86">
      <w:pPr>
        <w:spacing w:line="240" w:lineRule="auto"/>
      </w:pPr>
      <w:r w:rsidRPr="009B40BB">
        <w:rPr>
          <w:noProof/>
          <w:lang w:eastAsia="en-AU"/>
        </w:rPr>
        <w:drawing>
          <wp:inline distT="0" distB="0" distL="0" distR="0">
            <wp:extent cx="6057900" cy="241935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37E86" w:rsidRPr="009B40BB" w:rsidRDefault="00537E86">
      <w:pPr>
        <w:spacing w:line="240" w:lineRule="auto"/>
      </w:pPr>
    </w:p>
    <w:p w:rsidR="00341719" w:rsidRPr="009B40BB" w:rsidRDefault="00837A33" w:rsidP="00837A33">
      <w:pPr>
        <w:spacing w:after="240" w:line="240" w:lineRule="auto"/>
        <w:rPr>
          <w:rFonts w:ascii="Arial Rounded MT Bold" w:hAnsi="Arial Rounded MT Bold"/>
          <w:color w:val="0000FF" w:themeColor="accent1"/>
          <w:sz w:val="28"/>
          <w:szCs w:val="28"/>
        </w:rPr>
      </w:pPr>
      <w:r w:rsidRPr="009B40BB">
        <w:rPr>
          <w:rFonts w:ascii="Arial Rounded MT Bold" w:hAnsi="Arial Rounded MT Bold"/>
          <w:color w:val="0000FF" w:themeColor="accent1"/>
          <w:sz w:val="28"/>
          <w:szCs w:val="28"/>
        </w:rPr>
        <w:t>2.2</w:t>
      </w:r>
      <w:r w:rsidRPr="009B40BB">
        <w:rPr>
          <w:rFonts w:ascii="Arial Rounded MT Bold" w:hAnsi="Arial Rounded MT Bold"/>
          <w:color w:val="0000FF" w:themeColor="accent1"/>
          <w:sz w:val="28"/>
          <w:szCs w:val="28"/>
        </w:rPr>
        <w:tab/>
      </w:r>
      <w:r w:rsidR="00341719" w:rsidRPr="009B40BB">
        <w:rPr>
          <w:rFonts w:ascii="Arial Rounded MT Bold" w:hAnsi="Arial Rounded MT Bold"/>
          <w:color w:val="0000FF" w:themeColor="accent1"/>
          <w:sz w:val="28"/>
          <w:szCs w:val="28"/>
        </w:rPr>
        <w:t>National data by NEPM classification – totals</w:t>
      </w:r>
    </w:p>
    <w:p w:rsidR="00E87392" w:rsidRPr="009B40BB" w:rsidRDefault="005A554C">
      <w:pPr>
        <w:spacing w:line="240" w:lineRule="auto"/>
        <w:rPr>
          <w:sz w:val="22"/>
        </w:rPr>
      </w:pPr>
      <w:r w:rsidRPr="009B40BB">
        <w:rPr>
          <w:sz w:val="22"/>
        </w:rPr>
        <w:t xml:space="preserve">Table 2 below totals all hazardous wastes reported </w:t>
      </w:r>
      <w:r w:rsidR="00E87392" w:rsidRPr="009B40BB">
        <w:rPr>
          <w:sz w:val="22"/>
        </w:rPr>
        <w:t>using</w:t>
      </w:r>
      <w:r w:rsidRPr="009B40BB">
        <w:rPr>
          <w:sz w:val="22"/>
        </w:rPr>
        <w:t xml:space="preserve"> the Controlled Waste NEPM classification system</w:t>
      </w:r>
      <w:r w:rsidR="00E87392" w:rsidRPr="009B40BB">
        <w:rPr>
          <w:sz w:val="22"/>
        </w:rPr>
        <w:t xml:space="preserve"> by each state and territory, for both 2012 and the pr</w:t>
      </w:r>
      <w:r w:rsidR="00AD70D4">
        <w:rPr>
          <w:sz w:val="22"/>
        </w:rPr>
        <w:t>evious period (2010-</w:t>
      </w:r>
      <w:r w:rsidR="00E87392" w:rsidRPr="009B40BB">
        <w:rPr>
          <w:sz w:val="22"/>
        </w:rPr>
        <w:t>11).</w:t>
      </w:r>
      <w:r w:rsidR="00A374C7" w:rsidRPr="009B40BB">
        <w:rPr>
          <w:sz w:val="22"/>
        </w:rPr>
        <w:t xml:space="preserve"> </w:t>
      </w:r>
    </w:p>
    <w:p w:rsidR="00E87392" w:rsidRPr="009B40BB" w:rsidRDefault="00E87392">
      <w:pPr>
        <w:spacing w:line="240" w:lineRule="auto"/>
        <w:rPr>
          <w:sz w:val="22"/>
        </w:rPr>
      </w:pPr>
    </w:p>
    <w:p w:rsidR="005A554C" w:rsidRPr="009B40BB" w:rsidRDefault="005A554C" w:rsidP="005A554C">
      <w:pPr>
        <w:pStyle w:val="Figures"/>
      </w:pPr>
      <w:r w:rsidRPr="009B40BB">
        <w:t xml:space="preserve">Table 2: </w:t>
      </w:r>
      <w:r w:rsidRPr="009B40BB">
        <w:tab/>
      </w:r>
      <w:r w:rsidR="00E87392" w:rsidRPr="009B40BB">
        <w:t xml:space="preserve">Jurisdictional hazardous waste </w:t>
      </w:r>
      <w:r w:rsidR="002050E6">
        <w:t xml:space="preserve">(tonnes) </w:t>
      </w:r>
      <w:r w:rsidR="00E87392" w:rsidRPr="009B40BB">
        <w:t>by tot</w:t>
      </w:r>
      <w:r w:rsidR="00AD70D4">
        <w:t>al NEPM categories, 2012 v 2010-</w:t>
      </w:r>
      <w:r w:rsidR="00E87392" w:rsidRPr="009B40BB">
        <w:t>11</w:t>
      </w:r>
    </w:p>
    <w:tbl>
      <w:tblPr>
        <w:tblW w:w="8560" w:type="dxa"/>
        <w:tblInd w:w="98" w:type="dxa"/>
        <w:tblLook w:val="04A0"/>
      </w:tblPr>
      <w:tblGrid>
        <w:gridCol w:w="2980"/>
        <w:gridCol w:w="2880"/>
        <w:gridCol w:w="2700"/>
      </w:tblGrid>
      <w:tr w:rsidR="002D1579" w:rsidRPr="009B40BB" w:rsidTr="005A554C">
        <w:trPr>
          <w:trHeight w:val="675"/>
        </w:trPr>
        <w:tc>
          <w:tcPr>
            <w:tcW w:w="2980" w:type="dxa"/>
            <w:tcBorders>
              <w:top w:val="single" w:sz="8" w:space="0" w:color="auto"/>
              <w:left w:val="single" w:sz="8" w:space="0" w:color="auto"/>
              <w:bottom w:val="single" w:sz="8" w:space="0" w:color="auto"/>
              <w:right w:val="single" w:sz="8" w:space="0" w:color="auto"/>
            </w:tcBorders>
            <w:shd w:val="clear" w:color="000000" w:fill="0000FF"/>
            <w:vAlign w:val="center"/>
            <w:hideMark/>
          </w:tcPr>
          <w:p w:rsidR="002D1579" w:rsidRPr="009B40BB" w:rsidRDefault="002D1579" w:rsidP="002D1579">
            <w:pPr>
              <w:spacing w:line="240" w:lineRule="auto"/>
              <w:jc w:val="center"/>
              <w:rPr>
                <w:rFonts w:asciiTheme="minorHAnsi" w:hAnsiTheme="minorHAnsi" w:cs="Arial"/>
                <w:b/>
                <w:bCs/>
                <w:color w:val="FFFFFF"/>
                <w:sz w:val="22"/>
                <w:szCs w:val="20"/>
              </w:rPr>
            </w:pPr>
            <w:r w:rsidRPr="009B40BB">
              <w:rPr>
                <w:rFonts w:asciiTheme="minorHAnsi" w:hAnsiTheme="minorHAnsi" w:cs="Arial"/>
                <w:b/>
                <w:bCs/>
                <w:color w:val="FFFFFF"/>
                <w:sz w:val="22"/>
                <w:szCs w:val="20"/>
              </w:rPr>
              <w:t> </w:t>
            </w:r>
          </w:p>
        </w:tc>
        <w:tc>
          <w:tcPr>
            <w:tcW w:w="5580" w:type="dxa"/>
            <w:gridSpan w:val="2"/>
            <w:tcBorders>
              <w:top w:val="single" w:sz="8" w:space="0" w:color="auto"/>
              <w:left w:val="nil"/>
              <w:bottom w:val="single" w:sz="8" w:space="0" w:color="auto"/>
              <w:right w:val="single" w:sz="8" w:space="0" w:color="000000"/>
            </w:tcBorders>
            <w:shd w:val="clear" w:color="000000" w:fill="0000FF"/>
            <w:vAlign w:val="center"/>
            <w:hideMark/>
          </w:tcPr>
          <w:p w:rsidR="002D1579" w:rsidRPr="009B40BB" w:rsidRDefault="002D1579" w:rsidP="002D1579">
            <w:pPr>
              <w:spacing w:line="240" w:lineRule="auto"/>
              <w:jc w:val="center"/>
              <w:rPr>
                <w:rFonts w:asciiTheme="minorHAnsi" w:hAnsiTheme="minorHAnsi" w:cs="Arial"/>
                <w:b/>
                <w:bCs/>
                <w:color w:val="FFFFFF"/>
                <w:sz w:val="22"/>
                <w:szCs w:val="20"/>
              </w:rPr>
            </w:pPr>
            <w:r w:rsidRPr="009B40BB">
              <w:rPr>
                <w:rFonts w:asciiTheme="minorHAnsi" w:hAnsiTheme="minorHAnsi" w:cs="Arial"/>
                <w:b/>
                <w:bCs/>
                <w:color w:val="FFFFFF"/>
                <w:sz w:val="22"/>
                <w:szCs w:val="20"/>
              </w:rPr>
              <w:t>Waste generated (tonnes)</w:t>
            </w:r>
          </w:p>
        </w:tc>
      </w:tr>
      <w:tr w:rsidR="002D1579" w:rsidRPr="009B40BB" w:rsidTr="005A554C">
        <w:trPr>
          <w:trHeight w:val="525"/>
        </w:trPr>
        <w:tc>
          <w:tcPr>
            <w:tcW w:w="2980" w:type="dxa"/>
            <w:tcBorders>
              <w:top w:val="nil"/>
              <w:left w:val="single" w:sz="8" w:space="0" w:color="auto"/>
              <w:bottom w:val="single" w:sz="8" w:space="0" w:color="auto"/>
              <w:right w:val="single" w:sz="8" w:space="0" w:color="auto"/>
            </w:tcBorders>
            <w:shd w:val="clear" w:color="000000" w:fill="0000FF"/>
            <w:vAlign w:val="center"/>
            <w:hideMark/>
          </w:tcPr>
          <w:p w:rsidR="002D1579" w:rsidRPr="009B40BB" w:rsidRDefault="002D1579" w:rsidP="002D1579">
            <w:pPr>
              <w:spacing w:line="240" w:lineRule="auto"/>
              <w:jc w:val="center"/>
              <w:rPr>
                <w:rFonts w:asciiTheme="minorHAnsi" w:hAnsiTheme="minorHAnsi" w:cs="Arial"/>
                <w:b/>
                <w:bCs/>
                <w:color w:val="FFFFFF"/>
                <w:sz w:val="22"/>
                <w:szCs w:val="20"/>
              </w:rPr>
            </w:pPr>
            <w:r w:rsidRPr="009B40BB">
              <w:rPr>
                <w:rFonts w:asciiTheme="minorHAnsi" w:hAnsiTheme="minorHAnsi" w:cs="Arial"/>
                <w:b/>
                <w:bCs/>
                <w:color w:val="FFFFFF"/>
                <w:sz w:val="22"/>
                <w:szCs w:val="20"/>
              </w:rPr>
              <w:t>State/ Territory</w:t>
            </w:r>
          </w:p>
        </w:tc>
        <w:tc>
          <w:tcPr>
            <w:tcW w:w="2880" w:type="dxa"/>
            <w:tcBorders>
              <w:top w:val="nil"/>
              <w:left w:val="nil"/>
              <w:bottom w:val="single" w:sz="8" w:space="0" w:color="auto"/>
              <w:right w:val="single" w:sz="8" w:space="0" w:color="auto"/>
            </w:tcBorders>
            <w:shd w:val="clear" w:color="000000" w:fill="0000FF"/>
            <w:vAlign w:val="center"/>
            <w:hideMark/>
          </w:tcPr>
          <w:p w:rsidR="002D1579" w:rsidRPr="009B40BB" w:rsidRDefault="00AD70D4" w:rsidP="002D1579">
            <w:pPr>
              <w:spacing w:line="240" w:lineRule="auto"/>
              <w:jc w:val="center"/>
              <w:rPr>
                <w:rFonts w:asciiTheme="minorHAnsi" w:hAnsiTheme="minorHAnsi" w:cs="Arial"/>
                <w:b/>
                <w:bCs/>
                <w:color w:val="FFFFFF"/>
                <w:sz w:val="22"/>
                <w:szCs w:val="20"/>
              </w:rPr>
            </w:pPr>
            <w:r>
              <w:rPr>
                <w:rFonts w:asciiTheme="minorHAnsi" w:hAnsiTheme="minorHAnsi" w:cs="Arial"/>
                <w:b/>
                <w:bCs/>
                <w:color w:val="FFFFFF"/>
                <w:sz w:val="22"/>
                <w:szCs w:val="20"/>
              </w:rPr>
              <w:t>Total Waste Generated 2010-1</w:t>
            </w:r>
            <w:r w:rsidR="002D1579" w:rsidRPr="009B40BB">
              <w:rPr>
                <w:rFonts w:asciiTheme="minorHAnsi" w:hAnsiTheme="minorHAnsi" w:cs="Arial"/>
                <w:b/>
                <w:bCs/>
                <w:color w:val="FFFFFF"/>
                <w:sz w:val="22"/>
                <w:szCs w:val="20"/>
              </w:rPr>
              <w:t>1</w:t>
            </w:r>
          </w:p>
        </w:tc>
        <w:tc>
          <w:tcPr>
            <w:tcW w:w="2700" w:type="dxa"/>
            <w:tcBorders>
              <w:top w:val="nil"/>
              <w:left w:val="nil"/>
              <w:bottom w:val="single" w:sz="8" w:space="0" w:color="auto"/>
              <w:right w:val="single" w:sz="8" w:space="0" w:color="auto"/>
            </w:tcBorders>
            <w:shd w:val="clear" w:color="000000" w:fill="0000FF"/>
            <w:vAlign w:val="center"/>
            <w:hideMark/>
          </w:tcPr>
          <w:p w:rsidR="002D1579" w:rsidRPr="009B40BB" w:rsidRDefault="002D1579" w:rsidP="002D1579">
            <w:pPr>
              <w:spacing w:line="240" w:lineRule="auto"/>
              <w:jc w:val="center"/>
              <w:rPr>
                <w:rFonts w:asciiTheme="minorHAnsi" w:hAnsiTheme="minorHAnsi" w:cs="Arial"/>
                <w:b/>
                <w:bCs/>
                <w:color w:val="FFFFFF"/>
                <w:sz w:val="22"/>
                <w:szCs w:val="20"/>
              </w:rPr>
            </w:pPr>
            <w:r w:rsidRPr="009B40BB">
              <w:rPr>
                <w:rFonts w:asciiTheme="minorHAnsi" w:hAnsiTheme="minorHAnsi" w:cs="Arial"/>
                <w:b/>
                <w:bCs/>
                <w:color w:val="FFFFFF"/>
                <w:sz w:val="22"/>
                <w:szCs w:val="20"/>
              </w:rPr>
              <w:t>Total Waste Generated 2012</w:t>
            </w:r>
          </w:p>
        </w:tc>
      </w:tr>
      <w:tr w:rsidR="002D1579" w:rsidRPr="009B40BB" w:rsidTr="005A554C">
        <w:trPr>
          <w:trHeight w:val="315"/>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2D1579" w:rsidRPr="009B40BB" w:rsidRDefault="002D1579" w:rsidP="002D1579">
            <w:pPr>
              <w:spacing w:line="240" w:lineRule="auto"/>
              <w:rPr>
                <w:rFonts w:asciiTheme="minorHAnsi" w:hAnsiTheme="minorHAnsi" w:cs="Arial"/>
                <w:color w:val="000000"/>
                <w:sz w:val="22"/>
                <w:szCs w:val="20"/>
              </w:rPr>
            </w:pPr>
            <w:r w:rsidRPr="009B40BB">
              <w:rPr>
                <w:rFonts w:asciiTheme="minorHAnsi" w:hAnsiTheme="minorHAnsi" w:cs="Arial"/>
                <w:color w:val="000000"/>
                <w:sz w:val="22"/>
                <w:szCs w:val="20"/>
              </w:rPr>
              <w:t>ACT</w:t>
            </w:r>
          </w:p>
        </w:tc>
        <w:tc>
          <w:tcPr>
            <w:tcW w:w="288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66,381</w:t>
            </w:r>
          </w:p>
        </w:tc>
        <w:tc>
          <w:tcPr>
            <w:tcW w:w="270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68,309</w:t>
            </w:r>
          </w:p>
        </w:tc>
      </w:tr>
      <w:tr w:rsidR="002D1579" w:rsidRPr="009B40BB" w:rsidTr="005A554C">
        <w:trPr>
          <w:trHeight w:val="315"/>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2D1579" w:rsidRPr="009B40BB" w:rsidRDefault="002D1579" w:rsidP="002D1579">
            <w:pPr>
              <w:spacing w:line="240" w:lineRule="auto"/>
              <w:rPr>
                <w:rFonts w:asciiTheme="minorHAnsi" w:hAnsiTheme="minorHAnsi" w:cs="Arial"/>
                <w:color w:val="000000"/>
                <w:sz w:val="22"/>
                <w:szCs w:val="20"/>
              </w:rPr>
            </w:pPr>
            <w:r w:rsidRPr="009B40BB">
              <w:rPr>
                <w:rFonts w:asciiTheme="minorHAnsi" w:hAnsiTheme="minorHAnsi" w:cs="Arial"/>
                <w:color w:val="000000"/>
                <w:sz w:val="22"/>
                <w:szCs w:val="20"/>
              </w:rPr>
              <w:t>NSW</w:t>
            </w:r>
          </w:p>
        </w:tc>
        <w:tc>
          <w:tcPr>
            <w:tcW w:w="288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1,584,659</w:t>
            </w:r>
          </w:p>
        </w:tc>
        <w:tc>
          <w:tcPr>
            <w:tcW w:w="270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1,768,996</w:t>
            </w:r>
          </w:p>
        </w:tc>
      </w:tr>
      <w:tr w:rsidR="002D1579" w:rsidRPr="009B40BB" w:rsidTr="005A554C">
        <w:trPr>
          <w:trHeight w:val="315"/>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2D1579" w:rsidRPr="009B40BB" w:rsidRDefault="002D1579" w:rsidP="002D1579">
            <w:pPr>
              <w:spacing w:line="240" w:lineRule="auto"/>
              <w:rPr>
                <w:rFonts w:asciiTheme="minorHAnsi" w:hAnsiTheme="minorHAnsi" w:cs="Arial"/>
                <w:color w:val="000000"/>
                <w:sz w:val="22"/>
                <w:szCs w:val="20"/>
              </w:rPr>
            </w:pPr>
            <w:r w:rsidRPr="009B40BB">
              <w:rPr>
                <w:rFonts w:asciiTheme="minorHAnsi" w:hAnsiTheme="minorHAnsi" w:cs="Arial"/>
                <w:color w:val="000000"/>
                <w:sz w:val="22"/>
                <w:szCs w:val="20"/>
              </w:rPr>
              <w:t>NT</w:t>
            </w:r>
          </w:p>
        </w:tc>
        <w:tc>
          <w:tcPr>
            <w:tcW w:w="288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45,556</w:t>
            </w:r>
          </w:p>
        </w:tc>
        <w:tc>
          <w:tcPr>
            <w:tcW w:w="270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24,516</w:t>
            </w:r>
          </w:p>
        </w:tc>
      </w:tr>
      <w:tr w:rsidR="002D1579" w:rsidRPr="009B40BB" w:rsidTr="005A554C">
        <w:trPr>
          <w:trHeight w:val="315"/>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2D1579" w:rsidRPr="009B40BB" w:rsidRDefault="002D1579" w:rsidP="002D1579">
            <w:pPr>
              <w:spacing w:line="240" w:lineRule="auto"/>
              <w:rPr>
                <w:rFonts w:asciiTheme="minorHAnsi" w:hAnsiTheme="minorHAnsi" w:cs="Arial"/>
                <w:color w:val="000000"/>
                <w:sz w:val="22"/>
                <w:szCs w:val="20"/>
              </w:rPr>
            </w:pPr>
            <w:r w:rsidRPr="009B40BB">
              <w:rPr>
                <w:rFonts w:asciiTheme="minorHAnsi" w:hAnsiTheme="minorHAnsi" w:cs="Arial"/>
                <w:color w:val="000000"/>
                <w:sz w:val="22"/>
                <w:szCs w:val="20"/>
              </w:rPr>
              <w:t>QLD</w:t>
            </w:r>
          </w:p>
        </w:tc>
        <w:tc>
          <w:tcPr>
            <w:tcW w:w="288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1,492,737</w:t>
            </w:r>
          </w:p>
        </w:tc>
        <w:tc>
          <w:tcPr>
            <w:tcW w:w="270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1,733,396</w:t>
            </w:r>
          </w:p>
        </w:tc>
      </w:tr>
      <w:tr w:rsidR="002D1579" w:rsidRPr="009B40BB" w:rsidTr="005A554C">
        <w:trPr>
          <w:trHeight w:val="270"/>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2D1579" w:rsidRPr="009B40BB" w:rsidRDefault="002D1579" w:rsidP="002D1579">
            <w:pPr>
              <w:spacing w:line="240" w:lineRule="auto"/>
              <w:rPr>
                <w:rFonts w:asciiTheme="minorHAnsi" w:hAnsiTheme="minorHAnsi" w:cs="Arial"/>
                <w:color w:val="000000"/>
                <w:sz w:val="22"/>
                <w:szCs w:val="20"/>
              </w:rPr>
            </w:pPr>
            <w:r w:rsidRPr="009B40BB">
              <w:rPr>
                <w:rFonts w:asciiTheme="minorHAnsi" w:hAnsiTheme="minorHAnsi" w:cs="Arial"/>
                <w:color w:val="000000"/>
                <w:sz w:val="22"/>
                <w:szCs w:val="20"/>
              </w:rPr>
              <w:t>SA</w:t>
            </w:r>
          </w:p>
        </w:tc>
        <w:tc>
          <w:tcPr>
            <w:tcW w:w="288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624,800</w:t>
            </w:r>
          </w:p>
        </w:tc>
        <w:tc>
          <w:tcPr>
            <w:tcW w:w="270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880,292</w:t>
            </w:r>
          </w:p>
        </w:tc>
      </w:tr>
      <w:tr w:rsidR="002D1579" w:rsidRPr="009B40BB" w:rsidTr="005A554C">
        <w:trPr>
          <w:trHeight w:val="270"/>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2D1579" w:rsidRPr="009B40BB" w:rsidRDefault="002D1579" w:rsidP="002D1579">
            <w:pPr>
              <w:spacing w:line="240" w:lineRule="auto"/>
              <w:rPr>
                <w:rFonts w:asciiTheme="minorHAnsi" w:hAnsiTheme="minorHAnsi" w:cs="Arial"/>
                <w:color w:val="000000"/>
                <w:sz w:val="22"/>
                <w:szCs w:val="20"/>
              </w:rPr>
            </w:pPr>
            <w:r w:rsidRPr="009B40BB">
              <w:rPr>
                <w:rFonts w:asciiTheme="minorHAnsi" w:hAnsiTheme="minorHAnsi" w:cs="Arial"/>
                <w:color w:val="000000"/>
                <w:sz w:val="22"/>
                <w:szCs w:val="20"/>
              </w:rPr>
              <w:t>TAS</w:t>
            </w:r>
          </w:p>
        </w:tc>
        <w:tc>
          <w:tcPr>
            <w:tcW w:w="288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45,763</w:t>
            </w:r>
          </w:p>
        </w:tc>
        <w:tc>
          <w:tcPr>
            <w:tcW w:w="270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172,781</w:t>
            </w:r>
          </w:p>
        </w:tc>
      </w:tr>
      <w:tr w:rsidR="002D1579" w:rsidRPr="009B40BB" w:rsidTr="005A554C">
        <w:trPr>
          <w:trHeight w:val="270"/>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2D1579" w:rsidRPr="009B40BB" w:rsidRDefault="002D1579" w:rsidP="002D1579">
            <w:pPr>
              <w:spacing w:line="240" w:lineRule="auto"/>
              <w:rPr>
                <w:rFonts w:asciiTheme="minorHAnsi" w:hAnsiTheme="minorHAnsi" w:cs="Arial"/>
                <w:color w:val="000000"/>
                <w:sz w:val="22"/>
                <w:szCs w:val="20"/>
              </w:rPr>
            </w:pPr>
            <w:r w:rsidRPr="009B40BB">
              <w:rPr>
                <w:rFonts w:asciiTheme="minorHAnsi" w:hAnsiTheme="minorHAnsi" w:cs="Arial"/>
                <w:color w:val="000000"/>
                <w:sz w:val="22"/>
                <w:szCs w:val="20"/>
              </w:rPr>
              <w:t>VIC</w:t>
            </w:r>
          </w:p>
        </w:tc>
        <w:tc>
          <w:tcPr>
            <w:tcW w:w="288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1,358,904</w:t>
            </w:r>
          </w:p>
        </w:tc>
        <w:tc>
          <w:tcPr>
            <w:tcW w:w="270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1,359,529</w:t>
            </w:r>
          </w:p>
        </w:tc>
      </w:tr>
      <w:tr w:rsidR="002D1579" w:rsidRPr="009B40BB" w:rsidTr="005A554C">
        <w:trPr>
          <w:trHeight w:val="270"/>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2D1579" w:rsidRPr="009B40BB" w:rsidRDefault="002D1579" w:rsidP="002D1579">
            <w:pPr>
              <w:spacing w:line="240" w:lineRule="auto"/>
              <w:rPr>
                <w:rFonts w:asciiTheme="minorHAnsi" w:hAnsiTheme="minorHAnsi" w:cs="Arial"/>
                <w:color w:val="000000"/>
                <w:sz w:val="22"/>
                <w:szCs w:val="20"/>
              </w:rPr>
            </w:pPr>
            <w:r w:rsidRPr="009B40BB">
              <w:rPr>
                <w:rFonts w:asciiTheme="minorHAnsi" w:hAnsiTheme="minorHAnsi" w:cs="Arial"/>
                <w:color w:val="000000"/>
                <w:sz w:val="22"/>
                <w:szCs w:val="20"/>
              </w:rPr>
              <w:t>WA</w:t>
            </w:r>
          </w:p>
        </w:tc>
        <w:tc>
          <w:tcPr>
            <w:tcW w:w="288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722,863</w:t>
            </w:r>
          </w:p>
        </w:tc>
        <w:tc>
          <w:tcPr>
            <w:tcW w:w="270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color w:val="000000"/>
                <w:sz w:val="22"/>
                <w:szCs w:val="20"/>
              </w:rPr>
            </w:pPr>
            <w:r w:rsidRPr="009B40BB">
              <w:rPr>
                <w:rFonts w:asciiTheme="minorHAnsi" w:hAnsiTheme="minorHAnsi" w:cs="Arial"/>
                <w:color w:val="000000"/>
                <w:sz w:val="22"/>
                <w:szCs w:val="20"/>
              </w:rPr>
              <w:t>606,211</w:t>
            </w:r>
          </w:p>
        </w:tc>
      </w:tr>
      <w:tr w:rsidR="002D1579" w:rsidRPr="009B40BB" w:rsidTr="005A554C">
        <w:trPr>
          <w:trHeight w:val="270"/>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2D1579" w:rsidRPr="009B40BB" w:rsidRDefault="002D1579" w:rsidP="002D1579">
            <w:pPr>
              <w:spacing w:line="240" w:lineRule="auto"/>
              <w:rPr>
                <w:rFonts w:asciiTheme="minorHAnsi" w:hAnsiTheme="minorHAnsi" w:cs="Arial"/>
                <w:b/>
                <w:bCs/>
                <w:color w:val="000000"/>
                <w:sz w:val="22"/>
                <w:szCs w:val="20"/>
              </w:rPr>
            </w:pPr>
            <w:r w:rsidRPr="009B40BB">
              <w:rPr>
                <w:rFonts w:asciiTheme="minorHAnsi" w:hAnsiTheme="minorHAnsi" w:cs="Arial"/>
                <w:b/>
                <w:bCs/>
                <w:color w:val="000000"/>
                <w:sz w:val="22"/>
                <w:szCs w:val="20"/>
              </w:rPr>
              <w:t>Total</w:t>
            </w:r>
          </w:p>
        </w:tc>
        <w:tc>
          <w:tcPr>
            <w:tcW w:w="288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b/>
                <w:bCs/>
                <w:color w:val="000000"/>
                <w:sz w:val="22"/>
                <w:szCs w:val="20"/>
              </w:rPr>
            </w:pPr>
            <w:r w:rsidRPr="009B40BB">
              <w:rPr>
                <w:rFonts w:asciiTheme="minorHAnsi" w:hAnsiTheme="minorHAnsi" w:cs="Arial"/>
                <w:b/>
                <w:bCs/>
                <w:color w:val="000000"/>
                <w:sz w:val="22"/>
                <w:szCs w:val="20"/>
              </w:rPr>
              <w:t>5,941,663</w:t>
            </w:r>
          </w:p>
        </w:tc>
        <w:tc>
          <w:tcPr>
            <w:tcW w:w="2700" w:type="dxa"/>
            <w:tcBorders>
              <w:top w:val="nil"/>
              <w:left w:val="nil"/>
              <w:bottom w:val="single" w:sz="8" w:space="0" w:color="auto"/>
              <w:right w:val="single" w:sz="8" w:space="0" w:color="auto"/>
            </w:tcBorders>
            <w:shd w:val="clear" w:color="auto" w:fill="auto"/>
            <w:vAlign w:val="center"/>
            <w:hideMark/>
          </w:tcPr>
          <w:p w:rsidR="002D1579" w:rsidRPr="009B40BB" w:rsidRDefault="002D1579" w:rsidP="002D1579">
            <w:pPr>
              <w:spacing w:line="240" w:lineRule="auto"/>
              <w:jc w:val="right"/>
              <w:rPr>
                <w:rFonts w:asciiTheme="minorHAnsi" w:hAnsiTheme="minorHAnsi" w:cs="Arial"/>
                <w:b/>
                <w:bCs/>
                <w:color w:val="000000"/>
                <w:sz w:val="22"/>
                <w:szCs w:val="20"/>
              </w:rPr>
            </w:pPr>
            <w:r w:rsidRPr="009B40BB">
              <w:rPr>
                <w:rFonts w:asciiTheme="minorHAnsi" w:hAnsiTheme="minorHAnsi" w:cs="Arial"/>
                <w:b/>
                <w:bCs/>
                <w:color w:val="000000"/>
                <w:sz w:val="22"/>
                <w:szCs w:val="20"/>
              </w:rPr>
              <w:t>6,614,029</w:t>
            </w:r>
          </w:p>
        </w:tc>
      </w:tr>
    </w:tbl>
    <w:p w:rsidR="00E87392" w:rsidRPr="009B40BB" w:rsidRDefault="00E87392">
      <w:pPr>
        <w:spacing w:line="240" w:lineRule="auto"/>
        <w:rPr>
          <w:sz w:val="22"/>
        </w:rPr>
      </w:pPr>
    </w:p>
    <w:p w:rsidR="005A554C" w:rsidRPr="009B40BB" w:rsidRDefault="005A554C">
      <w:pPr>
        <w:spacing w:line="240" w:lineRule="auto"/>
        <w:rPr>
          <w:sz w:val="22"/>
        </w:rPr>
      </w:pPr>
      <w:r w:rsidRPr="009B40BB">
        <w:rPr>
          <w:sz w:val="22"/>
        </w:rPr>
        <w:t>This data is presented graphically in Figure 3.</w:t>
      </w:r>
    </w:p>
    <w:p w:rsidR="005A554C" w:rsidRPr="009B40BB" w:rsidRDefault="005A554C">
      <w:pPr>
        <w:spacing w:line="240" w:lineRule="auto"/>
        <w:rPr>
          <w:sz w:val="22"/>
        </w:rPr>
      </w:pPr>
    </w:p>
    <w:p w:rsidR="00B32D8B" w:rsidRDefault="00B32D8B">
      <w:pPr>
        <w:spacing w:line="240" w:lineRule="auto"/>
        <w:rPr>
          <w:rFonts w:cs="Calibri"/>
          <w:b/>
          <w:color w:val="0000FF"/>
          <w:sz w:val="22"/>
          <w:szCs w:val="20"/>
        </w:rPr>
      </w:pPr>
      <w:r>
        <w:br w:type="page"/>
      </w:r>
    </w:p>
    <w:p w:rsidR="005A554C" w:rsidRPr="009B40BB" w:rsidRDefault="005A554C" w:rsidP="005A554C">
      <w:pPr>
        <w:pStyle w:val="Figures"/>
      </w:pPr>
      <w:r w:rsidRPr="009B40BB">
        <w:lastRenderedPageBreak/>
        <w:t xml:space="preserve">Figure 3: </w:t>
      </w:r>
      <w:r w:rsidRPr="009B40BB">
        <w:tab/>
      </w:r>
      <w:r w:rsidR="0030444D" w:rsidRPr="009B40BB">
        <w:t xml:space="preserve">Jurisdictional hazardous waste </w:t>
      </w:r>
      <w:r w:rsidR="000315AE">
        <w:t>(</w:t>
      </w:r>
      <w:r w:rsidR="002050E6">
        <w:t>tonnes</w:t>
      </w:r>
      <w:r w:rsidR="000315AE">
        <w:t>)</w:t>
      </w:r>
      <w:r w:rsidR="002050E6">
        <w:t xml:space="preserve"> </w:t>
      </w:r>
      <w:r w:rsidR="0030444D" w:rsidRPr="009B40BB">
        <w:t xml:space="preserve">by total </w:t>
      </w:r>
      <w:r w:rsidR="00AD70D4">
        <w:t>NEPM categories, 2012 v 2010-</w:t>
      </w:r>
      <w:r w:rsidR="0030444D" w:rsidRPr="009B40BB">
        <w:t>11</w:t>
      </w:r>
    </w:p>
    <w:p w:rsidR="00843CE9" w:rsidRPr="009B40BB" w:rsidRDefault="005C3179">
      <w:pPr>
        <w:spacing w:line="240" w:lineRule="auto"/>
      </w:pPr>
      <w:r>
        <w:rPr>
          <w:noProof/>
          <w:lang w:eastAsia="en-AU"/>
        </w:rPr>
        <w:drawing>
          <wp:inline distT="0" distB="0" distL="0" distR="0">
            <wp:extent cx="5478183" cy="4238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698" cy="4244440"/>
                    </a:xfrm>
                    <a:prstGeom prst="rect">
                      <a:avLst/>
                    </a:prstGeom>
                    <a:noFill/>
                  </pic:spPr>
                </pic:pic>
              </a:graphicData>
            </a:graphic>
          </wp:inline>
        </w:drawing>
      </w:r>
    </w:p>
    <w:p w:rsidR="00843CE9" w:rsidRPr="009B40BB" w:rsidRDefault="00E87392" w:rsidP="00E87392">
      <w:pPr>
        <w:spacing w:after="120" w:line="240" w:lineRule="auto"/>
        <w:rPr>
          <w:sz w:val="22"/>
        </w:rPr>
      </w:pPr>
      <w:r w:rsidRPr="009B40BB">
        <w:rPr>
          <w:sz w:val="22"/>
        </w:rPr>
        <w:t>Some key trends from this comparison are:</w:t>
      </w:r>
    </w:p>
    <w:p w:rsidR="00E87392" w:rsidRPr="009B40BB" w:rsidRDefault="00E87392" w:rsidP="00CA33F8">
      <w:pPr>
        <w:pStyle w:val="Bullet1"/>
      </w:pPr>
      <w:r w:rsidRPr="009B40BB">
        <w:t xml:space="preserve">The total hazardous waste </w:t>
      </w:r>
      <w:r w:rsidR="00DD66DC" w:rsidRPr="009B40BB">
        <w:t xml:space="preserve">generated </w:t>
      </w:r>
      <w:r w:rsidRPr="009B40BB">
        <w:t xml:space="preserve">in Australia for 2012 </w:t>
      </w:r>
      <w:r w:rsidR="00DD66DC" w:rsidRPr="009B40BB">
        <w:t xml:space="preserve">(as reported by NEPM categories) </w:t>
      </w:r>
      <w:r w:rsidRPr="009B40BB">
        <w:t>increased by</w:t>
      </w:r>
      <w:r w:rsidR="00AD70D4">
        <w:t xml:space="preserve"> 11.3% overall compared to 2010-</w:t>
      </w:r>
      <w:r w:rsidRPr="009B40BB">
        <w:t xml:space="preserve">11 data, adjusted to reflect </w:t>
      </w:r>
      <w:r w:rsidR="00DD66DC" w:rsidRPr="009B40BB">
        <w:t>a consistent</w:t>
      </w:r>
      <w:r w:rsidRPr="009B40BB">
        <w:t xml:space="preserve"> reporting approach </w:t>
      </w:r>
      <w:r w:rsidR="00DD66DC" w:rsidRPr="009B40BB">
        <w:t xml:space="preserve">between years </w:t>
      </w:r>
      <w:r w:rsidRPr="009B40BB">
        <w:t>(as</w:t>
      </w:r>
      <w:r w:rsidR="00AD70D4">
        <w:t xml:space="preserve"> outlined in the update to 2010-</w:t>
      </w:r>
      <w:r w:rsidRPr="009B40BB">
        <w:t xml:space="preserve">11 data detailed at </w:t>
      </w:r>
      <w:r w:rsidR="00A06695">
        <w:t>Appendix</w:t>
      </w:r>
      <w:r w:rsidRPr="009B40BB">
        <w:t xml:space="preserve"> F).</w:t>
      </w:r>
    </w:p>
    <w:p w:rsidR="00E87392" w:rsidRPr="009B40BB" w:rsidRDefault="00DD66DC" w:rsidP="00CA33F8">
      <w:pPr>
        <w:pStyle w:val="Bullet1"/>
      </w:pPr>
      <w:r w:rsidRPr="009B40BB">
        <w:t>Given that each data period was constructed from bottom up data, in an entirely separate collation exercise, this represents reasonable agreement between years.</w:t>
      </w:r>
    </w:p>
    <w:p w:rsidR="00DD66DC" w:rsidRPr="009B40BB" w:rsidRDefault="00DD66DC" w:rsidP="00CA33F8">
      <w:pPr>
        <w:pStyle w:val="Bullet1"/>
      </w:pPr>
      <w:r w:rsidRPr="009B40BB">
        <w:t>Year to year variability, data accuracy limitations, the potential for improved data collection practices (in 2012) and other uncertainties in the data preclude any trend-based</w:t>
      </w:r>
      <w:r w:rsidR="00A374C7" w:rsidRPr="009B40BB">
        <w:t xml:space="preserve"> </w:t>
      </w:r>
      <w:r w:rsidRPr="009B40BB">
        <w:t>conclusions being confidently drawn from one year to the next.</w:t>
      </w:r>
      <w:r w:rsidR="00A374C7" w:rsidRPr="009B40BB">
        <w:t xml:space="preserve"> </w:t>
      </w:r>
      <w:r w:rsidRPr="009B40BB">
        <w:t>However, with a repeatable collection system now in place these years will act as reliable data points in drawing long time series conclusions in future years.</w:t>
      </w:r>
    </w:p>
    <w:p w:rsidR="00DD66DC" w:rsidRPr="009B40BB" w:rsidRDefault="00E4469E" w:rsidP="00CA33F8">
      <w:pPr>
        <w:pStyle w:val="Bullet1"/>
      </w:pPr>
      <w:r w:rsidRPr="009B40BB">
        <w:t xml:space="preserve">Of the larger jurisdictions, New South Wales’ and Queensland’s reported quantities rose by 12% and 16% respectively, Victoria’s stayed steady, Western Australia’s dropped by 17% and South Australia’s rose most sharply (41% - </w:t>
      </w:r>
      <w:r w:rsidR="00C23DF0" w:rsidRPr="009B40BB">
        <w:t xml:space="preserve">due to the impact of contaminated soils from key construction projects; </w:t>
      </w:r>
      <w:r w:rsidRPr="009B40BB">
        <w:t xml:space="preserve">see section </w:t>
      </w:r>
      <w:r w:rsidR="0025458E" w:rsidRPr="009B40BB">
        <w:t>3.3</w:t>
      </w:r>
      <w:r w:rsidRPr="009B40BB">
        <w:t xml:space="preserve"> for further interpretation).</w:t>
      </w:r>
    </w:p>
    <w:p w:rsidR="00DD66DC" w:rsidRPr="009B40BB" w:rsidRDefault="00E4469E" w:rsidP="00CA33F8">
      <w:pPr>
        <w:pStyle w:val="Bullet1"/>
      </w:pPr>
      <w:r w:rsidRPr="009B40BB">
        <w:t>Of the s</w:t>
      </w:r>
      <w:r w:rsidR="00DD66DC" w:rsidRPr="009B40BB">
        <w:t>mall</w:t>
      </w:r>
      <w:r w:rsidRPr="009B40BB">
        <w:t>er</w:t>
      </w:r>
      <w:r w:rsidR="00DD66DC" w:rsidRPr="009B40BB">
        <w:t xml:space="preserve"> jurisdictions</w:t>
      </w:r>
      <w:r w:rsidRPr="009B40BB">
        <w:t>, the Australian Capital Territory</w:t>
      </w:r>
      <w:r w:rsidR="00C23DF0" w:rsidRPr="009B40BB">
        <w:t>’s reported figures</w:t>
      </w:r>
      <w:r w:rsidRPr="009B40BB">
        <w:t xml:space="preserve"> stayed relatively constant; the Northern Territory</w:t>
      </w:r>
      <w:r w:rsidR="00C23DF0" w:rsidRPr="009B40BB">
        <w:t>’s</w:t>
      </w:r>
      <w:r w:rsidRPr="009B40BB">
        <w:t xml:space="preserve"> dropped sharply (46%) and Tasmania</w:t>
      </w:r>
      <w:r w:rsidR="00C23DF0" w:rsidRPr="009B40BB">
        <w:t>’s</w:t>
      </w:r>
      <w:r w:rsidRPr="009B40BB">
        <w:t xml:space="preserve"> increased dramatically (almost 4-fold)</w:t>
      </w:r>
      <w:r w:rsidR="00C23DF0" w:rsidRPr="009B40BB">
        <w:t>.</w:t>
      </w:r>
    </w:p>
    <w:p w:rsidR="00C23DF0" w:rsidRPr="009B40BB" w:rsidRDefault="00C23DF0" w:rsidP="00CA33F8">
      <w:pPr>
        <w:pStyle w:val="Bullet2"/>
      </w:pPr>
      <w:r w:rsidRPr="009B40BB">
        <w:t>The Northern Territory does not employ a hazardous waste tracking system, at least not in an electronic form.</w:t>
      </w:r>
      <w:r w:rsidR="00A374C7" w:rsidRPr="009B40BB">
        <w:t xml:space="preserve"> </w:t>
      </w:r>
      <w:r w:rsidRPr="009B40BB">
        <w:t>This has made collation of data for 2012 Basel reporting difficult for them.</w:t>
      </w:r>
      <w:r w:rsidR="00A374C7" w:rsidRPr="009B40BB">
        <w:t xml:space="preserve"> </w:t>
      </w:r>
      <w:r w:rsidRPr="009B40BB">
        <w:t xml:space="preserve">In recognition of this, and of the fact that the NT </w:t>
      </w:r>
      <w:r w:rsidR="00C44CE3" w:rsidRPr="009B40BB">
        <w:t xml:space="preserve">essentially </w:t>
      </w:r>
      <w:r w:rsidRPr="009B40BB">
        <w:t>sends all of its hazardous waste interstate for treatment</w:t>
      </w:r>
      <w:r w:rsidR="00C44CE3" w:rsidRPr="009B40BB">
        <w:t xml:space="preserve">, the NT data for 2012 was compiled from the Controlled Waste NEPM </w:t>
      </w:r>
      <w:r w:rsidR="009F2DB8">
        <w:t>transfer</w:t>
      </w:r>
      <w:r w:rsidR="00C44CE3" w:rsidRPr="009B40BB">
        <w:t xml:space="preserve"> records from other jurisdictions.</w:t>
      </w:r>
      <w:r w:rsidR="00A374C7" w:rsidRPr="009B40BB">
        <w:t xml:space="preserve"> </w:t>
      </w:r>
      <w:r w:rsidR="00C44CE3" w:rsidRPr="009B40BB">
        <w:t>For the NT these accepting jurisdictions are Queensland, South Australia and New South Wales.</w:t>
      </w:r>
      <w:r w:rsidR="00A374C7" w:rsidRPr="009B40BB">
        <w:t xml:space="preserve"> </w:t>
      </w:r>
      <w:r w:rsidR="00C44CE3" w:rsidRPr="009B40BB">
        <w:t xml:space="preserve">The NT estimate is lower than expected </w:t>
      </w:r>
      <w:r w:rsidR="00C44CE3" w:rsidRPr="009B40BB">
        <w:lastRenderedPageBreak/>
        <w:t xml:space="preserve">because Queensland record keeping systems were unable to distinguish between all forms of hazardous waste </w:t>
      </w:r>
      <w:r w:rsidR="009F2DB8">
        <w:t>transfer</w:t>
      </w:r>
      <w:r w:rsidR="00C44CE3" w:rsidRPr="009B40BB">
        <w:t>s into Queensland and those specifically from the NT; hence none could be attributed as coming from NT.</w:t>
      </w:r>
    </w:p>
    <w:p w:rsidR="00C44CE3" w:rsidRPr="009B40BB" w:rsidRDefault="00C44CE3" w:rsidP="00CA33F8">
      <w:pPr>
        <w:pStyle w:val="Bullet2"/>
      </w:pPr>
      <w:r w:rsidRPr="009B40BB">
        <w:t>Tasmania also does not employ an electronic hazardous waste tracking system.</w:t>
      </w:r>
      <w:r w:rsidR="00A374C7" w:rsidRPr="009B40BB">
        <w:t xml:space="preserve"> </w:t>
      </w:r>
      <w:r w:rsidRPr="009B40BB">
        <w:t>It</w:t>
      </w:r>
      <w:r w:rsidR="00AD70D4">
        <w:t>s 2012 v 2010-</w:t>
      </w:r>
      <w:r w:rsidR="004E6FEA" w:rsidRPr="009B40BB">
        <w:t>11 data anomaly can be explained through a single and significant data point,</w:t>
      </w:r>
      <w:r w:rsidR="00AD70D4">
        <w:t xml:space="preserve"> which was not reported in 2010-</w:t>
      </w:r>
      <w:r w:rsidR="004E6FEA" w:rsidRPr="009B40BB">
        <w:t>11.</w:t>
      </w:r>
      <w:r w:rsidR="00A374C7" w:rsidRPr="009B40BB">
        <w:t xml:space="preserve"> </w:t>
      </w:r>
      <w:r w:rsidR="004E6FEA" w:rsidRPr="009B40BB">
        <w:t xml:space="preserve">Waste category </w:t>
      </w:r>
      <w:r w:rsidR="004E6FEA" w:rsidRPr="009B40BB">
        <w:rPr>
          <w:i/>
        </w:rPr>
        <w:t>D230 Zinc compounds</w:t>
      </w:r>
      <w:r w:rsidR="004E6FEA" w:rsidRPr="009B40BB">
        <w:t xml:space="preserve"> made up 95% of the total reported for the current period.</w:t>
      </w:r>
      <w:r w:rsidR="00A374C7" w:rsidRPr="009B40BB">
        <w:t xml:space="preserve"> </w:t>
      </w:r>
      <w:r w:rsidR="004E6FEA" w:rsidRPr="009B40BB">
        <w:t xml:space="preserve">Data on hazardous waste managed within Tasmania, and confidence around it, </w:t>
      </w:r>
      <w:r w:rsidR="00484118">
        <w:t>is</w:t>
      </w:r>
      <w:r w:rsidR="004E6FEA" w:rsidRPr="009B40BB">
        <w:t xml:space="preserve"> a developing space.</w:t>
      </w:r>
    </w:p>
    <w:p w:rsidR="00CA33F8" w:rsidRPr="009B40BB" w:rsidRDefault="00CA33F8" w:rsidP="00CA33F8">
      <w:pPr>
        <w:pStyle w:val="BodyText"/>
      </w:pPr>
    </w:p>
    <w:p w:rsidR="00341719" w:rsidRPr="009B40BB" w:rsidRDefault="00837A33" w:rsidP="00837A33">
      <w:pPr>
        <w:spacing w:after="240" w:line="240" w:lineRule="auto"/>
        <w:rPr>
          <w:rFonts w:ascii="Arial Rounded MT Bold" w:hAnsi="Arial Rounded MT Bold"/>
          <w:color w:val="0000FF" w:themeColor="accent1"/>
          <w:sz w:val="28"/>
          <w:szCs w:val="28"/>
        </w:rPr>
      </w:pPr>
      <w:r w:rsidRPr="009B40BB">
        <w:rPr>
          <w:rFonts w:ascii="Arial Rounded MT Bold" w:hAnsi="Arial Rounded MT Bold"/>
          <w:color w:val="0000FF" w:themeColor="accent1"/>
          <w:sz w:val="28"/>
          <w:szCs w:val="28"/>
        </w:rPr>
        <w:t>2.3</w:t>
      </w:r>
      <w:r w:rsidRPr="009B40BB">
        <w:rPr>
          <w:rFonts w:ascii="Arial Rounded MT Bold" w:hAnsi="Arial Rounded MT Bold"/>
          <w:color w:val="0000FF" w:themeColor="accent1"/>
          <w:sz w:val="28"/>
          <w:szCs w:val="28"/>
        </w:rPr>
        <w:tab/>
      </w:r>
      <w:r w:rsidR="00341719" w:rsidRPr="009B40BB">
        <w:rPr>
          <w:rFonts w:ascii="Arial Rounded MT Bold" w:hAnsi="Arial Rounded MT Bold"/>
          <w:color w:val="0000FF" w:themeColor="accent1"/>
          <w:sz w:val="28"/>
          <w:szCs w:val="28"/>
        </w:rPr>
        <w:t>National data by NEPM classification – breakdown</w:t>
      </w:r>
    </w:p>
    <w:p w:rsidR="00341719" w:rsidRPr="009B40BB" w:rsidRDefault="0030444D">
      <w:pPr>
        <w:spacing w:line="240" w:lineRule="auto"/>
        <w:rPr>
          <w:sz w:val="22"/>
        </w:rPr>
      </w:pPr>
      <w:r w:rsidRPr="009B40BB">
        <w:rPr>
          <w:sz w:val="22"/>
        </w:rPr>
        <w:t xml:space="preserve">Table 3 reflects national hazardous waste totals across </w:t>
      </w:r>
      <w:r w:rsidR="004E6FEA" w:rsidRPr="009B40BB">
        <w:rPr>
          <w:sz w:val="22"/>
        </w:rPr>
        <w:t xml:space="preserve">the current and previous </w:t>
      </w:r>
      <w:r w:rsidRPr="009B40BB">
        <w:rPr>
          <w:sz w:val="22"/>
        </w:rPr>
        <w:t>reporting years by the 15 high-level NEPM classification categories.</w:t>
      </w:r>
    </w:p>
    <w:p w:rsidR="0030444D" w:rsidRPr="009B40BB" w:rsidRDefault="0030444D">
      <w:pPr>
        <w:spacing w:line="240" w:lineRule="auto"/>
        <w:rPr>
          <w:sz w:val="22"/>
        </w:rPr>
      </w:pPr>
    </w:p>
    <w:p w:rsidR="004E6FEA" w:rsidRPr="009B40BB" w:rsidRDefault="004E6FEA" w:rsidP="004E6FEA">
      <w:pPr>
        <w:spacing w:after="120" w:line="240" w:lineRule="auto"/>
        <w:rPr>
          <w:sz w:val="22"/>
        </w:rPr>
      </w:pPr>
      <w:r w:rsidRPr="009B40BB">
        <w:rPr>
          <w:sz w:val="22"/>
        </w:rPr>
        <w:t>By quantity, the most dominant hazardous waste categories nationally are:</w:t>
      </w:r>
    </w:p>
    <w:p w:rsidR="004E6FEA" w:rsidRPr="009B40BB" w:rsidRDefault="00812B4A" w:rsidP="00CA33F8">
      <w:pPr>
        <w:pStyle w:val="Bullet1"/>
      </w:pPr>
      <w:r w:rsidRPr="009B40BB">
        <w:t>Solid/</w:t>
      </w:r>
      <w:r w:rsidR="004E6FEA" w:rsidRPr="009B40BB">
        <w:t>sludge wastes, which is an aggregation of a number wastes but inc</w:t>
      </w:r>
      <w:r w:rsidR="00CA33F8" w:rsidRPr="009B40BB">
        <w:t>ludes the key sub-categories of c</w:t>
      </w:r>
      <w:r w:rsidR="004E6FEA" w:rsidRPr="009B40BB">
        <w:t>ontaminated soils</w:t>
      </w:r>
      <w:r w:rsidRPr="009B40BB">
        <w:t>, biosolids and asbestos, in that (quantitative) order</w:t>
      </w:r>
    </w:p>
    <w:p w:rsidR="004E6FEA" w:rsidRPr="009B40BB" w:rsidRDefault="00812B4A" w:rsidP="00CA33F8">
      <w:pPr>
        <w:pStyle w:val="Bullet1"/>
      </w:pPr>
      <w:r w:rsidRPr="009B40BB">
        <w:t>Putrescible/organic wastes, made up chiefly of grease trap waste and animal effluent and residues</w:t>
      </w:r>
    </w:p>
    <w:p w:rsidR="00812B4A" w:rsidRPr="009B40BB" w:rsidRDefault="00812B4A" w:rsidP="00CA33F8">
      <w:pPr>
        <w:pStyle w:val="Bullet1"/>
      </w:pPr>
      <w:r w:rsidRPr="009B40BB">
        <w:t>The category of used o</w:t>
      </w:r>
      <w:r w:rsidRPr="009B40BB">
        <w:rPr>
          <w:rFonts w:cs="Times New Roman"/>
          <w:color w:val="000000"/>
        </w:rPr>
        <w:t>ils, hydrocarbons and emulsions.</w:t>
      </w:r>
    </w:p>
    <w:p w:rsidR="00CA33F8" w:rsidRPr="009B40BB" w:rsidRDefault="00CA33F8">
      <w:pPr>
        <w:spacing w:line="240" w:lineRule="auto"/>
        <w:rPr>
          <w:sz w:val="22"/>
        </w:rPr>
      </w:pPr>
    </w:p>
    <w:p w:rsidR="004E6FEA" w:rsidRPr="009B40BB" w:rsidRDefault="00812B4A" w:rsidP="00B32D8B">
      <w:pPr>
        <w:spacing w:after="120" w:line="240" w:lineRule="auto"/>
        <w:rPr>
          <w:rFonts w:cs="Calibri"/>
          <w:b/>
          <w:color w:val="0000FF"/>
          <w:sz w:val="24"/>
          <w:szCs w:val="20"/>
        </w:rPr>
      </w:pPr>
      <w:r w:rsidRPr="009B40BB">
        <w:rPr>
          <w:sz w:val="22"/>
        </w:rPr>
        <w:t>Quantities of these major categories show</w:t>
      </w:r>
      <w:r w:rsidR="00AD70D4">
        <w:rPr>
          <w:sz w:val="22"/>
        </w:rPr>
        <w:t xml:space="preserve"> reasonable agreement from 2010-</w:t>
      </w:r>
      <w:r w:rsidRPr="009B40BB">
        <w:rPr>
          <w:sz w:val="22"/>
        </w:rPr>
        <w:t>11 to 2012.</w:t>
      </w:r>
    </w:p>
    <w:p w:rsidR="005A554C" w:rsidRPr="009B40BB" w:rsidRDefault="005A554C" w:rsidP="005A554C">
      <w:pPr>
        <w:pStyle w:val="Figures"/>
      </w:pPr>
      <w:r w:rsidRPr="009B40BB">
        <w:t xml:space="preserve">Table </w:t>
      </w:r>
      <w:r w:rsidR="0030444D" w:rsidRPr="009B40BB">
        <w:t>3</w:t>
      </w:r>
      <w:r w:rsidRPr="009B40BB">
        <w:t xml:space="preserve">: </w:t>
      </w:r>
      <w:r w:rsidR="0030444D" w:rsidRPr="009B40BB">
        <w:tab/>
        <w:t xml:space="preserve">National hazardous waste </w:t>
      </w:r>
      <w:r w:rsidR="002050E6">
        <w:t xml:space="preserve">(tonnes) </w:t>
      </w:r>
      <w:r w:rsidR="0030444D" w:rsidRPr="009B40BB">
        <w:t>by high-lev</w:t>
      </w:r>
      <w:r w:rsidR="00AD70D4">
        <w:t>el NEPM categories, 2012 v 2010-</w:t>
      </w:r>
      <w:r w:rsidR="0030444D" w:rsidRPr="009B40BB">
        <w:t>11</w:t>
      </w:r>
    </w:p>
    <w:tbl>
      <w:tblPr>
        <w:tblW w:w="9280" w:type="dxa"/>
        <w:tblInd w:w="98" w:type="dxa"/>
        <w:tblLook w:val="04A0"/>
      </w:tblPr>
      <w:tblGrid>
        <w:gridCol w:w="960"/>
        <w:gridCol w:w="5540"/>
        <w:gridCol w:w="1260"/>
        <w:gridCol w:w="1520"/>
      </w:tblGrid>
      <w:tr w:rsidR="00537E86" w:rsidRPr="009B40BB" w:rsidTr="00537E86">
        <w:trPr>
          <w:trHeight w:val="645"/>
        </w:trPr>
        <w:tc>
          <w:tcPr>
            <w:tcW w:w="6500" w:type="dxa"/>
            <w:gridSpan w:val="2"/>
            <w:tcBorders>
              <w:top w:val="single" w:sz="8" w:space="0" w:color="auto"/>
              <w:left w:val="single" w:sz="8" w:space="0" w:color="auto"/>
              <w:bottom w:val="single" w:sz="8" w:space="0" w:color="auto"/>
              <w:right w:val="single" w:sz="8" w:space="0" w:color="000000"/>
            </w:tcBorders>
            <w:shd w:val="clear" w:color="000000" w:fill="0000FF"/>
            <w:vAlign w:val="center"/>
            <w:hideMark/>
          </w:tcPr>
          <w:p w:rsidR="00537E86" w:rsidRPr="009B40BB" w:rsidRDefault="00537E86" w:rsidP="00537E86">
            <w:pPr>
              <w:spacing w:line="240" w:lineRule="auto"/>
              <w:jc w:val="center"/>
              <w:rPr>
                <w:rFonts w:cs="Times New Roman"/>
                <w:b/>
                <w:bCs/>
                <w:color w:val="FFFFFF"/>
                <w:sz w:val="22"/>
              </w:rPr>
            </w:pPr>
            <w:r w:rsidRPr="009B40BB">
              <w:rPr>
                <w:rFonts w:cs="Times New Roman"/>
                <w:b/>
                <w:bCs/>
                <w:color w:val="FFFFFF"/>
                <w:sz w:val="22"/>
              </w:rPr>
              <w:t>Hazardous waste classification</w:t>
            </w:r>
          </w:p>
        </w:tc>
        <w:tc>
          <w:tcPr>
            <w:tcW w:w="2780" w:type="dxa"/>
            <w:gridSpan w:val="2"/>
            <w:tcBorders>
              <w:top w:val="single" w:sz="8" w:space="0" w:color="auto"/>
              <w:left w:val="nil"/>
              <w:bottom w:val="single" w:sz="8" w:space="0" w:color="auto"/>
              <w:right w:val="single" w:sz="8" w:space="0" w:color="000000"/>
            </w:tcBorders>
            <w:shd w:val="clear" w:color="000000" w:fill="0000FF"/>
            <w:vAlign w:val="center"/>
            <w:hideMark/>
          </w:tcPr>
          <w:p w:rsidR="00537E86" w:rsidRPr="009B40BB" w:rsidRDefault="00537E86" w:rsidP="00537E86">
            <w:pPr>
              <w:spacing w:line="240" w:lineRule="auto"/>
              <w:jc w:val="center"/>
              <w:rPr>
                <w:rFonts w:cs="Times New Roman"/>
                <w:b/>
                <w:bCs/>
                <w:color w:val="FFFFFF"/>
                <w:sz w:val="22"/>
              </w:rPr>
            </w:pPr>
            <w:r w:rsidRPr="009B40BB">
              <w:rPr>
                <w:rFonts w:cs="Times New Roman"/>
                <w:b/>
                <w:bCs/>
                <w:color w:val="FFFFFF"/>
                <w:sz w:val="22"/>
              </w:rPr>
              <w:t>Waste generated (tonnes)</w:t>
            </w:r>
          </w:p>
        </w:tc>
      </w:tr>
      <w:tr w:rsidR="00537E86" w:rsidRPr="009B40BB" w:rsidTr="00537E86">
        <w:trPr>
          <w:trHeight w:val="465"/>
        </w:trPr>
        <w:tc>
          <w:tcPr>
            <w:tcW w:w="960" w:type="dxa"/>
            <w:tcBorders>
              <w:top w:val="nil"/>
              <w:left w:val="single" w:sz="8" w:space="0" w:color="auto"/>
              <w:bottom w:val="single" w:sz="8" w:space="0" w:color="auto"/>
              <w:right w:val="single" w:sz="8" w:space="0" w:color="auto"/>
            </w:tcBorders>
            <w:shd w:val="clear" w:color="000000" w:fill="0000FF"/>
            <w:vAlign w:val="center"/>
            <w:hideMark/>
          </w:tcPr>
          <w:p w:rsidR="00537E86" w:rsidRPr="009B40BB" w:rsidRDefault="00537E86" w:rsidP="00537E86">
            <w:pPr>
              <w:spacing w:line="240" w:lineRule="auto"/>
              <w:jc w:val="center"/>
              <w:rPr>
                <w:rFonts w:cs="Times New Roman"/>
                <w:b/>
                <w:bCs/>
                <w:color w:val="FFFFFF"/>
                <w:sz w:val="22"/>
              </w:rPr>
            </w:pPr>
            <w:r w:rsidRPr="009B40BB">
              <w:rPr>
                <w:rFonts w:cs="Times New Roman"/>
                <w:b/>
                <w:bCs/>
                <w:color w:val="FFFFFF"/>
                <w:sz w:val="22"/>
              </w:rPr>
              <w:t>Code</w:t>
            </w:r>
          </w:p>
        </w:tc>
        <w:tc>
          <w:tcPr>
            <w:tcW w:w="5540" w:type="dxa"/>
            <w:tcBorders>
              <w:top w:val="nil"/>
              <w:left w:val="nil"/>
              <w:bottom w:val="single" w:sz="8" w:space="0" w:color="auto"/>
              <w:right w:val="single" w:sz="8" w:space="0" w:color="auto"/>
            </w:tcBorders>
            <w:shd w:val="clear" w:color="000000" w:fill="0000FF"/>
            <w:vAlign w:val="center"/>
            <w:hideMark/>
          </w:tcPr>
          <w:p w:rsidR="00537E86" w:rsidRPr="009B40BB" w:rsidRDefault="00537E86" w:rsidP="00537E86">
            <w:pPr>
              <w:spacing w:line="240" w:lineRule="auto"/>
              <w:jc w:val="center"/>
              <w:rPr>
                <w:rFonts w:cs="Times New Roman"/>
                <w:b/>
                <w:bCs/>
                <w:color w:val="FFFFFF"/>
                <w:sz w:val="22"/>
              </w:rPr>
            </w:pPr>
            <w:r w:rsidRPr="009B40BB">
              <w:rPr>
                <w:rFonts w:cs="Times New Roman"/>
                <w:b/>
                <w:bCs/>
                <w:color w:val="FFFFFF"/>
                <w:sz w:val="22"/>
              </w:rPr>
              <w:t>Waste description</w:t>
            </w:r>
          </w:p>
        </w:tc>
        <w:tc>
          <w:tcPr>
            <w:tcW w:w="1260" w:type="dxa"/>
            <w:tcBorders>
              <w:top w:val="nil"/>
              <w:left w:val="nil"/>
              <w:bottom w:val="single" w:sz="8" w:space="0" w:color="auto"/>
              <w:right w:val="single" w:sz="8" w:space="0" w:color="auto"/>
            </w:tcBorders>
            <w:shd w:val="clear" w:color="000000" w:fill="0000FF"/>
            <w:vAlign w:val="center"/>
            <w:hideMark/>
          </w:tcPr>
          <w:p w:rsidR="00537E86" w:rsidRPr="009B40BB" w:rsidRDefault="00AD70D4" w:rsidP="00537E86">
            <w:pPr>
              <w:spacing w:line="240" w:lineRule="auto"/>
              <w:jc w:val="center"/>
              <w:rPr>
                <w:rFonts w:cs="Times New Roman"/>
                <w:b/>
                <w:bCs/>
                <w:color w:val="FFFFFF"/>
                <w:sz w:val="22"/>
              </w:rPr>
            </w:pPr>
            <w:r>
              <w:rPr>
                <w:rFonts w:cs="Times New Roman"/>
                <w:b/>
                <w:bCs/>
                <w:color w:val="FFFFFF"/>
                <w:sz w:val="22"/>
              </w:rPr>
              <w:t>2010-</w:t>
            </w:r>
            <w:r w:rsidR="00537E86" w:rsidRPr="009B40BB">
              <w:rPr>
                <w:rFonts w:cs="Times New Roman"/>
                <w:b/>
                <w:bCs/>
                <w:color w:val="FFFFFF"/>
                <w:sz w:val="22"/>
              </w:rPr>
              <w:t>11</w:t>
            </w:r>
          </w:p>
        </w:tc>
        <w:tc>
          <w:tcPr>
            <w:tcW w:w="1520" w:type="dxa"/>
            <w:tcBorders>
              <w:top w:val="nil"/>
              <w:left w:val="nil"/>
              <w:bottom w:val="single" w:sz="8" w:space="0" w:color="auto"/>
              <w:right w:val="nil"/>
            </w:tcBorders>
            <w:shd w:val="clear" w:color="000000" w:fill="0000FF"/>
            <w:vAlign w:val="center"/>
            <w:hideMark/>
          </w:tcPr>
          <w:p w:rsidR="00537E86" w:rsidRPr="009B40BB" w:rsidRDefault="00537E86" w:rsidP="00537E86">
            <w:pPr>
              <w:spacing w:line="240" w:lineRule="auto"/>
              <w:jc w:val="center"/>
              <w:rPr>
                <w:rFonts w:cs="Times New Roman"/>
                <w:b/>
                <w:bCs/>
                <w:color w:val="FFFFFF"/>
                <w:sz w:val="22"/>
              </w:rPr>
            </w:pPr>
            <w:r w:rsidRPr="009B40BB">
              <w:rPr>
                <w:rFonts w:cs="Times New Roman"/>
                <w:b/>
                <w:bCs/>
                <w:color w:val="FFFFFF"/>
                <w:sz w:val="22"/>
              </w:rPr>
              <w:t>2012</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A</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 xml:space="preserve">Plating and heat treatment </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7,917</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6,585</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B</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Acids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37,165</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44,725</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C</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Alkaline wastes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266,759</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335,371</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D</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Inorganic chemicals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295,893</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266,221</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E</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Reactive chemicals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1,462</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259</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F</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 xml:space="preserve">Paints, lacquers, varnish, </w:t>
            </w:r>
            <w:r w:rsidR="009B40BB" w:rsidRPr="009B40BB">
              <w:rPr>
                <w:rFonts w:cs="Times New Roman"/>
                <w:color w:val="000000"/>
                <w:sz w:val="22"/>
              </w:rPr>
              <w:t>etc.</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44,441</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63,373</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G</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Organic solvents, solvent residues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27,985</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34,014</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H</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Pesticides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2,606</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4,584</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J</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Oils, hydrocarbons, emulsions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601,848</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758,575</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K</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Putrescible/organic wastes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779,409</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783,297</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L</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Industrial washwaters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0</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0</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M</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Organic chemicals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18,553</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22,418</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N</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 xml:space="preserve">Solid/sludge wastes </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3,402,092</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3,799,667</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R</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Clinical and pharmaceutical wastes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59,946</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70,678</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T</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Miscellaneous</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395,585</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color w:val="000000"/>
                <w:sz w:val="22"/>
              </w:rPr>
            </w:pPr>
            <w:r w:rsidRPr="009B40BB">
              <w:rPr>
                <w:rFonts w:cs="Times New Roman"/>
                <w:color w:val="000000"/>
                <w:sz w:val="22"/>
              </w:rPr>
              <w:t>424,262</w:t>
            </w:r>
          </w:p>
        </w:tc>
      </w:tr>
      <w:tr w:rsidR="00537E86" w:rsidRPr="009B40BB" w:rsidTr="00537E86">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b/>
                <w:bCs/>
                <w:color w:val="000000"/>
                <w:sz w:val="22"/>
              </w:rPr>
            </w:pPr>
            <w:r w:rsidRPr="009B40BB">
              <w:rPr>
                <w:rFonts w:cs="Times New Roman"/>
                <w:b/>
                <w:bCs/>
                <w:color w:val="000000"/>
                <w:sz w:val="22"/>
              </w:rPr>
              <w:t>Total</w:t>
            </w:r>
          </w:p>
        </w:tc>
        <w:tc>
          <w:tcPr>
            <w:tcW w:w="5540" w:type="dxa"/>
            <w:tcBorders>
              <w:top w:val="nil"/>
              <w:left w:val="nil"/>
              <w:bottom w:val="single" w:sz="8" w:space="0" w:color="auto"/>
              <w:right w:val="single" w:sz="8" w:space="0" w:color="auto"/>
            </w:tcBorders>
            <w:shd w:val="clear" w:color="auto" w:fill="auto"/>
            <w:noWrap/>
            <w:vAlign w:val="center"/>
            <w:hideMark/>
          </w:tcPr>
          <w:p w:rsidR="00537E86" w:rsidRPr="009B40BB" w:rsidRDefault="00537E86" w:rsidP="00537E86">
            <w:pPr>
              <w:spacing w:line="240" w:lineRule="auto"/>
              <w:rPr>
                <w:rFonts w:cs="Times New Roman"/>
                <w:color w:val="000000"/>
                <w:sz w:val="22"/>
              </w:rPr>
            </w:pPr>
            <w:r w:rsidRPr="009B40BB">
              <w:rPr>
                <w:rFonts w:cs="Times New Roman"/>
                <w:color w:val="000000"/>
                <w:sz w:val="22"/>
              </w:rPr>
              <w:t> </w:t>
            </w:r>
          </w:p>
        </w:tc>
        <w:tc>
          <w:tcPr>
            <w:tcW w:w="126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b/>
                <w:bCs/>
                <w:color w:val="000000"/>
                <w:sz w:val="22"/>
              </w:rPr>
            </w:pPr>
            <w:r w:rsidRPr="009B40BB">
              <w:rPr>
                <w:rFonts w:cs="Times New Roman"/>
                <w:b/>
                <w:bCs/>
                <w:color w:val="000000"/>
                <w:sz w:val="22"/>
              </w:rPr>
              <w:t>5,941,663</w:t>
            </w:r>
          </w:p>
        </w:tc>
        <w:tc>
          <w:tcPr>
            <w:tcW w:w="1520" w:type="dxa"/>
            <w:tcBorders>
              <w:top w:val="nil"/>
              <w:left w:val="nil"/>
              <w:bottom w:val="single" w:sz="8" w:space="0" w:color="auto"/>
              <w:right w:val="single" w:sz="8" w:space="0" w:color="auto"/>
            </w:tcBorders>
            <w:shd w:val="clear" w:color="auto" w:fill="auto"/>
            <w:vAlign w:val="center"/>
            <w:hideMark/>
          </w:tcPr>
          <w:p w:rsidR="00537E86" w:rsidRPr="009B40BB" w:rsidRDefault="00537E86" w:rsidP="00537E86">
            <w:pPr>
              <w:spacing w:line="240" w:lineRule="auto"/>
              <w:jc w:val="right"/>
              <w:rPr>
                <w:rFonts w:cs="Times New Roman"/>
                <w:b/>
                <w:bCs/>
                <w:color w:val="000000"/>
                <w:sz w:val="22"/>
              </w:rPr>
            </w:pPr>
            <w:r w:rsidRPr="009B40BB">
              <w:rPr>
                <w:rFonts w:cs="Times New Roman"/>
                <w:b/>
                <w:bCs/>
                <w:color w:val="000000"/>
                <w:sz w:val="22"/>
              </w:rPr>
              <w:t>6,614,029</w:t>
            </w:r>
          </w:p>
        </w:tc>
      </w:tr>
    </w:tbl>
    <w:p w:rsidR="00812B4A" w:rsidRPr="009B40BB" w:rsidRDefault="00812B4A" w:rsidP="00537E86">
      <w:pPr>
        <w:tabs>
          <w:tab w:val="left" w:pos="1058"/>
          <w:tab w:val="left" w:pos="6598"/>
          <w:tab w:val="left" w:pos="7858"/>
        </w:tabs>
        <w:spacing w:line="240" w:lineRule="auto"/>
        <w:ind w:left="98"/>
        <w:rPr>
          <w:sz w:val="22"/>
        </w:rPr>
      </w:pPr>
    </w:p>
    <w:p w:rsidR="0030444D" w:rsidRPr="009B40BB" w:rsidRDefault="0030444D" w:rsidP="00537E86">
      <w:pPr>
        <w:tabs>
          <w:tab w:val="left" w:pos="1058"/>
          <w:tab w:val="left" w:pos="6598"/>
          <w:tab w:val="left" w:pos="7858"/>
        </w:tabs>
        <w:spacing w:line="240" w:lineRule="auto"/>
        <w:ind w:left="98"/>
        <w:rPr>
          <w:sz w:val="22"/>
        </w:rPr>
      </w:pPr>
      <w:r w:rsidRPr="009B40BB">
        <w:rPr>
          <w:sz w:val="22"/>
        </w:rPr>
        <w:t>This data is presented graphically in Figure 4.</w:t>
      </w:r>
    </w:p>
    <w:p w:rsidR="0030444D" w:rsidRPr="009B40BB" w:rsidRDefault="0030444D" w:rsidP="00537E86">
      <w:pPr>
        <w:tabs>
          <w:tab w:val="left" w:pos="1058"/>
          <w:tab w:val="left" w:pos="6598"/>
          <w:tab w:val="left" w:pos="7858"/>
        </w:tabs>
        <w:spacing w:line="240" w:lineRule="auto"/>
        <w:ind w:left="98"/>
        <w:rPr>
          <w:sz w:val="22"/>
        </w:rPr>
      </w:pPr>
    </w:p>
    <w:p w:rsidR="0030444D" w:rsidRPr="009B40BB" w:rsidRDefault="0030444D" w:rsidP="0030444D">
      <w:pPr>
        <w:pStyle w:val="Figures"/>
      </w:pPr>
      <w:r w:rsidRPr="009B40BB">
        <w:t xml:space="preserve">Figure 4: </w:t>
      </w:r>
      <w:r w:rsidRPr="009B40BB">
        <w:tab/>
        <w:t xml:space="preserve">National hazardous waste </w:t>
      </w:r>
      <w:r w:rsidR="009E7E04">
        <w:t>generat</w:t>
      </w:r>
      <w:r w:rsidR="005C3179">
        <w:t>ed</w:t>
      </w:r>
      <w:r w:rsidR="009E7E04">
        <w:t xml:space="preserve"> </w:t>
      </w:r>
      <w:r w:rsidR="00CF3B5C">
        <w:t xml:space="preserve">(tonnes) </w:t>
      </w:r>
      <w:r w:rsidRPr="009B40BB">
        <w:t>by high-lev</w:t>
      </w:r>
      <w:r w:rsidR="00AD70D4">
        <w:t>el NEPM categories, 2012 v 2010-</w:t>
      </w:r>
      <w:r w:rsidRPr="009B40BB">
        <w:t>11</w:t>
      </w:r>
    </w:p>
    <w:p w:rsidR="00537E86" w:rsidRPr="009B40BB" w:rsidRDefault="000E4DA6">
      <w:pPr>
        <w:spacing w:line="240" w:lineRule="auto"/>
      </w:pPr>
      <w:r w:rsidRPr="009B40BB">
        <w:rPr>
          <w:noProof/>
          <w:lang w:eastAsia="en-AU"/>
        </w:rPr>
        <w:drawing>
          <wp:inline distT="0" distB="0" distL="0" distR="0">
            <wp:extent cx="5943600" cy="3457575"/>
            <wp:effectExtent l="0" t="0" r="1905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37E86" w:rsidRPr="009B40BB" w:rsidRDefault="00812B4A" w:rsidP="00B32D8B">
      <w:pPr>
        <w:spacing w:before="120" w:line="240" w:lineRule="auto"/>
        <w:rPr>
          <w:sz w:val="22"/>
        </w:rPr>
      </w:pPr>
      <w:r w:rsidRPr="009B40BB">
        <w:rPr>
          <w:sz w:val="22"/>
        </w:rPr>
        <w:t>Solid/sludge wastes (NEPM category N) dwarf all other high-level categories – it is almost 5-fold higher than its nearest generating category for the 2012 dataset (</w:t>
      </w:r>
      <w:r w:rsidR="002061A1" w:rsidRPr="009B40BB">
        <w:rPr>
          <w:sz w:val="22"/>
        </w:rPr>
        <w:t>K Putrescible/organic wastes).</w:t>
      </w:r>
      <w:r w:rsidR="00A374C7" w:rsidRPr="009B40BB">
        <w:rPr>
          <w:sz w:val="22"/>
        </w:rPr>
        <w:t xml:space="preserve"> </w:t>
      </w:r>
      <w:r w:rsidR="002061A1" w:rsidRPr="009B40BB">
        <w:rPr>
          <w:sz w:val="22"/>
        </w:rPr>
        <w:t>For this reason it has been excluded from Figure 5 below, which allows a closer inspection of the other highest contributors.</w:t>
      </w:r>
    </w:p>
    <w:p w:rsidR="00812B4A" w:rsidRPr="009B40BB" w:rsidRDefault="00812B4A">
      <w:pPr>
        <w:spacing w:line="240" w:lineRule="auto"/>
      </w:pPr>
    </w:p>
    <w:p w:rsidR="0030444D" w:rsidRPr="009B40BB" w:rsidRDefault="0030444D" w:rsidP="0030444D">
      <w:pPr>
        <w:pStyle w:val="Figures"/>
      </w:pPr>
      <w:r w:rsidRPr="009B40BB">
        <w:t xml:space="preserve">Figure 5: </w:t>
      </w:r>
      <w:r w:rsidRPr="009B40BB">
        <w:tab/>
        <w:t xml:space="preserve">National hazardous </w:t>
      </w:r>
      <w:r w:rsidR="00617059">
        <w:t>waste generated</w:t>
      </w:r>
      <w:r w:rsidR="002050E6">
        <w:t xml:space="preserve"> </w:t>
      </w:r>
      <w:r w:rsidR="00CF3B5C">
        <w:t xml:space="preserve">(tonnes) </w:t>
      </w:r>
      <w:r w:rsidRPr="009B40BB">
        <w:t>by high-lev</w:t>
      </w:r>
      <w:r w:rsidR="00AD70D4">
        <w:t>el NEPM categories, 2012 v 2010-</w:t>
      </w:r>
      <w:r w:rsidRPr="009B40BB">
        <w:t>11 (excluding Solid/ sludge wastes)</w:t>
      </w:r>
    </w:p>
    <w:p w:rsidR="000E4DA6" w:rsidRPr="009B40BB" w:rsidRDefault="005C3179">
      <w:pPr>
        <w:spacing w:line="240" w:lineRule="auto"/>
      </w:pPr>
      <w:r>
        <w:rPr>
          <w:noProof/>
          <w:lang w:eastAsia="en-AU"/>
        </w:rPr>
        <w:drawing>
          <wp:inline distT="0" distB="0" distL="0" distR="0">
            <wp:extent cx="5962650" cy="3711595"/>
            <wp:effectExtent l="19050" t="19050" r="19050" b="222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3950" cy="3712405"/>
                    </a:xfrm>
                    <a:prstGeom prst="rect">
                      <a:avLst/>
                    </a:prstGeom>
                    <a:noFill/>
                    <a:ln>
                      <a:solidFill>
                        <a:schemeClr val="tx1"/>
                      </a:solidFill>
                    </a:ln>
                  </pic:spPr>
                </pic:pic>
              </a:graphicData>
            </a:graphic>
          </wp:inline>
        </w:drawing>
      </w:r>
    </w:p>
    <w:p w:rsidR="000E4DA6" w:rsidRPr="009B40BB" w:rsidRDefault="000E4DA6">
      <w:pPr>
        <w:spacing w:line="240" w:lineRule="auto"/>
      </w:pPr>
    </w:p>
    <w:p w:rsidR="00341719" w:rsidRPr="009B40BB" w:rsidRDefault="00341719" w:rsidP="00A768C4">
      <w:pPr>
        <w:pStyle w:val="BodyText"/>
        <w:numPr>
          <w:ilvl w:val="0"/>
          <w:numId w:val="9"/>
        </w:numPr>
        <w:spacing w:after="360"/>
        <w:ind w:left="850" w:hanging="850"/>
        <w:rPr>
          <w:rFonts w:ascii="Arial Rounded MT Bold" w:hAnsi="Arial Rounded MT Bold"/>
          <w:color w:val="0000FF" w:themeColor="accent1"/>
          <w:sz w:val="36"/>
          <w:szCs w:val="36"/>
        </w:rPr>
      </w:pPr>
      <w:r w:rsidRPr="009B40BB">
        <w:rPr>
          <w:rFonts w:ascii="Arial Rounded MT Bold" w:hAnsi="Arial Rounded MT Bold"/>
          <w:color w:val="0000FF" w:themeColor="accent1"/>
          <w:sz w:val="36"/>
          <w:szCs w:val="36"/>
        </w:rPr>
        <w:t>Major wastes</w:t>
      </w:r>
    </w:p>
    <w:p w:rsidR="00341719" w:rsidRPr="009B40BB" w:rsidRDefault="00837A33" w:rsidP="00837A33">
      <w:pPr>
        <w:spacing w:after="240" w:line="240" w:lineRule="auto"/>
        <w:rPr>
          <w:rFonts w:ascii="Arial Rounded MT Bold" w:hAnsi="Arial Rounded MT Bold"/>
          <w:color w:val="0000FF" w:themeColor="accent1"/>
          <w:sz w:val="28"/>
          <w:szCs w:val="28"/>
        </w:rPr>
      </w:pPr>
      <w:r w:rsidRPr="009B40BB">
        <w:rPr>
          <w:rFonts w:ascii="Arial Rounded MT Bold" w:hAnsi="Arial Rounded MT Bold"/>
          <w:color w:val="0000FF" w:themeColor="accent1"/>
          <w:sz w:val="28"/>
          <w:szCs w:val="28"/>
        </w:rPr>
        <w:t>3.1</w:t>
      </w:r>
      <w:r w:rsidRPr="009B40BB">
        <w:rPr>
          <w:rFonts w:ascii="Arial Rounded MT Bold" w:hAnsi="Arial Rounded MT Bold"/>
          <w:color w:val="0000FF" w:themeColor="accent1"/>
          <w:sz w:val="28"/>
          <w:szCs w:val="28"/>
        </w:rPr>
        <w:tab/>
      </w:r>
      <w:r w:rsidR="00341719" w:rsidRPr="009B40BB">
        <w:rPr>
          <w:rFonts w:ascii="Arial Rounded MT Bold" w:hAnsi="Arial Rounded MT Bold"/>
          <w:color w:val="0000FF" w:themeColor="accent1"/>
          <w:sz w:val="28"/>
          <w:szCs w:val="28"/>
        </w:rPr>
        <w:t>National</w:t>
      </w:r>
    </w:p>
    <w:p w:rsidR="00B32D8B" w:rsidRDefault="00B32D8B" w:rsidP="002061A1">
      <w:pPr>
        <w:pStyle w:val="BodyText"/>
        <w:spacing w:after="120"/>
      </w:pPr>
      <w:r>
        <w:t xml:space="preserve">The NEPM 15 levels </w:t>
      </w:r>
      <w:r w:rsidR="000A12A4">
        <w:t>have limitations for data analysis in that they group important waste categories together.</w:t>
      </w:r>
      <w:r w:rsidR="0065463B">
        <w:t xml:space="preserve"> </w:t>
      </w:r>
      <w:r w:rsidR="000A12A4">
        <w:t xml:space="preserve">For example N Solid/ sludge waste is comprised of such important and different wastes </w:t>
      </w:r>
      <w:proofErr w:type="gramStart"/>
      <w:r w:rsidR="000A12A4">
        <w:t>as :</w:t>
      </w:r>
      <w:proofErr w:type="gramEnd"/>
    </w:p>
    <w:p w:rsidR="000A12A4" w:rsidRDefault="000A12A4" w:rsidP="000A12A4">
      <w:pPr>
        <w:pStyle w:val="BodyText"/>
        <w:numPr>
          <w:ilvl w:val="0"/>
          <w:numId w:val="25"/>
        </w:numPr>
        <w:spacing w:after="80"/>
      </w:pPr>
      <w:r>
        <w:t>Contaminated soils</w:t>
      </w:r>
    </w:p>
    <w:p w:rsidR="000A12A4" w:rsidRDefault="000A12A4" w:rsidP="000A12A4">
      <w:pPr>
        <w:pStyle w:val="BodyText"/>
        <w:numPr>
          <w:ilvl w:val="0"/>
          <w:numId w:val="25"/>
        </w:numPr>
        <w:spacing w:after="80"/>
      </w:pPr>
      <w:r>
        <w:t>Asbestos</w:t>
      </w:r>
    </w:p>
    <w:p w:rsidR="000A12A4" w:rsidRDefault="000A12A4" w:rsidP="000A12A4">
      <w:pPr>
        <w:pStyle w:val="BodyText"/>
        <w:numPr>
          <w:ilvl w:val="0"/>
          <w:numId w:val="25"/>
        </w:numPr>
        <w:spacing w:after="120"/>
      </w:pPr>
      <w:r>
        <w:t xml:space="preserve">Biosolids (recorded as </w:t>
      </w:r>
      <w:r w:rsidRPr="000A12A4">
        <w:rPr>
          <w:i/>
        </w:rPr>
        <w:t>N205 Residues from industrial waste treatment/disposal operations</w:t>
      </w:r>
      <w:r>
        <w:t>)</w:t>
      </w:r>
    </w:p>
    <w:p w:rsidR="002061A1" w:rsidRPr="009B40BB" w:rsidRDefault="000A12A4" w:rsidP="002061A1">
      <w:pPr>
        <w:pStyle w:val="BodyText"/>
        <w:spacing w:after="120"/>
      </w:pPr>
      <w:r>
        <w:t>Drilling</w:t>
      </w:r>
      <w:r w:rsidR="002061A1" w:rsidRPr="009B40BB">
        <w:t xml:space="preserve"> beyond the 15 high-level NEPM categories to the 75 </w:t>
      </w:r>
      <w:r>
        <w:t>provides much more utility.</w:t>
      </w:r>
      <w:r w:rsidR="0065463B">
        <w:t xml:space="preserve"> </w:t>
      </w:r>
      <w:r>
        <w:t xml:space="preserve">Analysis of this more </w:t>
      </w:r>
      <w:r w:rsidR="002061A1" w:rsidRPr="009B40BB">
        <w:t>detailed code</w:t>
      </w:r>
      <w:r>
        <w:t xml:space="preserve"> </w:t>
      </w:r>
      <w:r w:rsidR="002061A1" w:rsidRPr="009B40BB">
        <w:t>s</w:t>
      </w:r>
      <w:r>
        <w:t>et</w:t>
      </w:r>
      <w:r w:rsidR="002061A1" w:rsidRPr="009B40BB">
        <w:t xml:space="preserve"> shows that 94% of all reported NEPM</w:t>
      </w:r>
      <w:r w:rsidR="006F2483" w:rsidRPr="009B40BB">
        <w:t>-</w:t>
      </w:r>
      <w:r w:rsidR="002061A1" w:rsidRPr="009B40BB">
        <w:t>classified wastes generated in Australia for 2012 can be captured by focusing on the following nine wastes:</w:t>
      </w:r>
    </w:p>
    <w:p w:rsidR="002061A1" w:rsidRPr="009B40BB" w:rsidRDefault="002061A1" w:rsidP="00A768C4">
      <w:pPr>
        <w:pStyle w:val="BodyText"/>
        <w:numPr>
          <w:ilvl w:val="0"/>
          <w:numId w:val="10"/>
        </w:numPr>
      </w:pPr>
      <w:r w:rsidRPr="009B40BB">
        <w:t>Alkalis</w:t>
      </w:r>
    </w:p>
    <w:p w:rsidR="002061A1" w:rsidRPr="009B40BB" w:rsidRDefault="002061A1" w:rsidP="00A768C4">
      <w:pPr>
        <w:pStyle w:val="BodyText"/>
        <w:numPr>
          <w:ilvl w:val="0"/>
          <w:numId w:val="10"/>
        </w:numPr>
      </w:pPr>
      <w:r w:rsidRPr="009B40BB">
        <w:t>Inorganic chemicals</w:t>
      </w:r>
    </w:p>
    <w:p w:rsidR="002061A1" w:rsidRPr="009B40BB" w:rsidRDefault="002061A1" w:rsidP="00A768C4">
      <w:pPr>
        <w:pStyle w:val="BodyText"/>
        <w:numPr>
          <w:ilvl w:val="0"/>
          <w:numId w:val="10"/>
        </w:numPr>
      </w:pPr>
      <w:r w:rsidRPr="009B40BB">
        <w:t>Oils</w:t>
      </w:r>
    </w:p>
    <w:p w:rsidR="002061A1" w:rsidRPr="009B40BB" w:rsidRDefault="002061A1" w:rsidP="00A768C4">
      <w:pPr>
        <w:pStyle w:val="BodyText"/>
        <w:numPr>
          <w:ilvl w:val="0"/>
          <w:numId w:val="10"/>
        </w:numPr>
      </w:pPr>
      <w:r w:rsidRPr="009B40BB">
        <w:t>Animal effluent and residues</w:t>
      </w:r>
    </w:p>
    <w:p w:rsidR="002061A1" w:rsidRPr="009B40BB" w:rsidRDefault="002061A1" w:rsidP="00A768C4">
      <w:pPr>
        <w:pStyle w:val="BodyText"/>
        <w:numPr>
          <w:ilvl w:val="0"/>
          <w:numId w:val="10"/>
        </w:numPr>
      </w:pPr>
      <w:r w:rsidRPr="009B40BB">
        <w:t>Grease trap waste</w:t>
      </w:r>
    </w:p>
    <w:p w:rsidR="002061A1" w:rsidRPr="009B40BB" w:rsidRDefault="002061A1" w:rsidP="00A768C4">
      <w:pPr>
        <w:pStyle w:val="BodyText"/>
        <w:numPr>
          <w:ilvl w:val="0"/>
          <w:numId w:val="10"/>
        </w:numPr>
      </w:pPr>
      <w:r w:rsidRPr="009B40BB">
        <w:t>Contaminated soils</w:t>
      </w:r>
    </w:p>
    <w:p w:rsidR="002061A1" w:rsidRPr="009B40BB" w:rsidRDefault="002061A1" w:rsidP="00A768C4">
      <w:pPr>
        <w:pStyle w:val="BodyText"/>
        <w:numPr>
          <w:ilvl w:val="0"/>
          <w:numId w:val="10"/>
        </w:numPr>
      </w:pPr>
      <w:r w:rsidRPr="009B40BB">
        <w:t>Biosolids</w:t>
      </w:r>
    </w:p>
    <w:p w:rsidR="002061A1" w:rsidRPr="009B40BB" w:rsidRDefault="002061A1" w:rsidP="00A768C4">
      <w:pPr>
        <w:pStyle w:val="BodyText"/>
        <w:numPr>
          <w:ilvl w:val="0"/>
          <w:numId w:val="10"/>
        </w:numPr>
      </w:pPr>
      <w:r w:rsidRPr="009B40BB">
        <w:t>Asbestos</w:t>
      </w:r>
    </w:p>
    <w:p w:rsidR="002061A1" w:rsidRPr="009B40BB" w:rsidRDefault="002061A1" w:rsidP="00A768C4">
      <w:pPr>
        <w:pStyle w:val="BodyText"/>
        <w:numPr>
          <w:ilvl w:val="0"/>
          <w:numId w:val="10"/>
        </w:numPr>
        <w:spacing w:after="120"/>
      </w:pPr>
      <w:r w:rsidRPr="009B40BB">
        <w:t>Tyres</w:t>
      </w:r>
      <w:r w:rsidR="00CA33F8" w:rsidRPr="009B40BB">
        <w:t>.</w:t>
      </w:r>
    </w:p>
    <w:p w:rsidR="002061A1" w:rsidRPr="009B40BB" w:rsidRDefault="002061A1" w:rsidP="002061A1">
      <w:pPr>
        <w:pStyle w:val="BodyText"/>
      </w:pPr>
      <w:r w:rsidRPr="009B40BB">
        <w:t>These are charted in tonnes for the 2012 dataset in Figure 6 below.</w:t>
      </w:r>
    </w:p>
    <w:p w:rsidR="00341719" w:rsidRPr="009B40BB" w:rsidRDefault="00341719">
      <w:pPr>
        <w:spacing w:line="240" w:lineRule="auto"/>
        <w:rPr>
          <w:sz w:val="22"/>
        </w:rPr>
      </w:pPr>
    </w:p>
    <w:p w:rsidR="002061A1" w:rsidRPr="009B40BB" w:rsidRDefault="002061A1" w:rsidP="002061A1">
      <w:pPr>
        <w:pStyle w:val="Figures"/>
      </w:pPr>
      <w:r w:rsidRPr="009B40BB">
        <w:t xml:space="preserve">Figure 6: </w:t>
      </w:r>
      <w:r w:rsidRPr="009B40BB">
        <w:tab/>
        <w:t>Major hazardous wastes</w:t>
      </w:r>
      <w:r w:rsidR="005C3179">
        <w:t xml:space="preserve"> generated </w:t>
      </w:r>
      <w:r w:rsidR="00CF3B5C">
        <w:t xml:space="preserve">(tonnes) </w:t>
      </w:r>
      <w:r w:rsidR="005C3179">
        <w:t>-</w:t>
      </w:r>
      <w:r w:rsidR="002050E6">
        <w:t xml:space="preserve"> </w:t>
      </w:r>
      <w:r w:rsidRPr="009B40BB">
        <w:t>reported nationally for 2012</w:t>
      </w:r>
    </w:p>
    <w:p w:rsidR="002061A1" w:rsidRPr="009B40BB" w:rsidRDefault="002061A1" w:rsidP="002061A1">
      <w:pPr>
        <w:pStyle w:val="BodyText"/>
      </w:pPr>
      <w:r w:rsidRPr="009B40BB">
        <w:rPr>
          <w:noProof/>
          <w:lang w:eastAsia="en-AU"/>
        </w:rPr>
        <w:drawing>
          <wp:inline distT="0" distB="0" distL="0" distR="0">
            <wp:extent cx="5943600" cy="3727450"/>
            <wp:effectExtent l="0" t="0" r="19050" b="2540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D1579" w:rsidRPr="009B40BB" w:rsidRDefault="006F2483">
      <w:pPr>
        <w:spacing w:line="240" w:lineRule="auto"/>
        <w:rPr>
          <w:sz w:val="22"/>
        </w:rPr>
      </w:pPr>
      <w:r w:rsidRPr="009B40BB">
        <w:rPr>
          <w:sz w:val="22"/>
        </w:rPr>
        <w:lastRenderedPageBreak/>
        <w:t xml:space="preserve">Figure 6 shows the largest generated amounts are of </w:t>
      </w:r>
      <w:r w:rsidRPr="009B40BB">
        <w:rPr>
          <w:b/>
          <w:sz w:val="22"/>
        </w:rPr>
        <w:t>biosolids</w:t>
      </w:r>
      <w:r w:rsidRPr="009B40BB">
        <w:rPr>
          <w:sz w:val="22"/>
        </w:rPr>
        <w:t xml:space="preserve">, followed closely by </w:t>
      </w:r>
      <w:r w:rsidRPr="009B40BB">
        <w:rPr>
          <w:b/>
          <w:sz w:val="22"/>
        </w:rPr>
        <w:t>contaminated soils</w:t>
      </w:r>
      <w:r w:rsidRPr="009B40BB">
        <w:rPr>
          <w:sz w:val="22"/>
        </w:rPr>
        <w:t>.</w:t>
      </w:r>
      <w:r w:rsidR="00A374C7" w:rsidRPr="009B40BB">
        <w:rPr>
          <w:sz w:val="22"/>
        </w:rPr>
        <w:t xml:space="preserve"> </w:t>
      </w:r>
      <w:r w:rsidRPr="009B40BB">
        <w:rPr>
          <w:sz w:val="22"/>
        </w:rPr>
        <w:t xml:space="preserve">Although these respective quantities are very similar, biosolids are estimated for </w:t>
      </w:r>
      <w:r w:rsidRPr="009B40BB">
        <w:rPr>
          <w:sz w:val="22"/>
          <w:u w:val="single"/>
        </w:rPr>
        <w:t>all</w:t>
      </w:r>
      <w:r w:rsidRPr="009B40BB">
        <w:rPr>
          <w:sz w:val="22"/>
        </w:rPr>
        <w:t xml:space="preserve"> jurisdictions, whereas </w:t>
      </w:r>
      <w:r w:rsidR="0009236A" w:rsidRPr="009B40BB">
        <w:rPr>
          <w:sz w:val="22"/>
        </w:rPr>
        <w:t>contaminated soils data is notable by its absence from Western Australian data which, if it was measured, would likely bump it above the national figure for biosolids.</w:t>
      </w:r>
      <w:r w:rsidR="00A374C7" w:rsidRPr="009B40BB">
        <w:rPr>
          <w:sz w:val="22"/>
        </w:rPr>
        <w:t xml:space="preserve"> </w:t>
      </w:r>
      <w:r w:rsidR="0009236A" w:rsidRPr="009B40BB">
        <w:rPr>
          <w:sz w:val="22"/>
        </w:rPr>
        <w:t>Technically Western Australia does report generation of some contaminated soil, but it is so small compared to other jurisdictions as to be negligible.</w:t>
      </w:r>
      <w:r w:rsidR="00A374C7" w:rsidRPr="009B40BB">
        <w:rPr>
          <w:sz w:val="22"/>
        </w:rPr>
        <w:t xml:space="preserve"> </w:t>
      </w:r>
      <w:r w:rsidR="0009236A" w:rsidRPr="009B40BB">
        <w:rPr>
          <w:sz w:val="22"/>
        </w:rPr>
        <w:t>This issue is illustrated by reference to the collection of the largest states’ contaminated soils data in the column graph of Figure 7.</w:t>
      </w:r>
    </w:p>
    <w:p w:rsidR="0009236A" w:rsidRPr="009B40BB" w:rsidRDefault="0009236A">
      <w:pPr>
        <w:spacing w:line="240" w:lineRule="auto"/>
        <w:rPr>
          <w:sz w:val="22"/>
        </w:rPr>
      </w:pPr>
    </w:p>
    <w:p w:rsidR="0009236A" w:rsidRPr="009B40BB" w:rsidRDefault="0009236A">
      <w:pPr>
        <w:spacing w:line="240" w:lineRule="auto"/>
        <w:rPr>
          <w:sz w:val="22"/>
        </w:rPr>
      </w:pPr>
      <w:r w:rsidRPr="009B40BB">
        <w:rPr>
          <w:sz w:val="22"/>
        </w:rPr>
        <w:t xml:space="preserve">The next range of wastes by volume are </w:t>
      </w:r>
      <w:r w:rsidRPr="009B40BB">
        <w:rPr>
          <w:b/>
          <w:sz w:val="22"/>
        </w:rPr>
        <w:t>oils</w:t>
      </w:r>
      <w:r w:rsidRPr="009B40BB">
        <w:rPr>
          <w:sz w:val="22"/>
        </w:rPr>
        <w:t xml:space="preserve">, </w:t>
      </w:r>
      <w:r w:rsidRPr="009B40BB">
        <w:rPr>
          <w:b/>
          <w:sz w:val="22"/>
        </w:rPr>
        <w:t>grease trap waste</w:t>
      </w:r>
      <w:r w:rsidRPr="009B40BB">
        <w:rPr>
          <w:sz w:val="22"/>
        </w:rPr>
        <w:t xml:space="preserve">, </w:t>
      </w:r>
      <w:r w:rsidRPr="009B40BB">
        <w:rPr>
          <w:b/>
          <w:sz w:val="22"/>
        </w:rPr>
        <w:t>asbestos</w:t>
      </w:r>
      <w:r w:rsidRPr="009B40BB">
        <w:rPr>
          <w:sz w:val="22"/>
        </w:rPr>
        <w:t xml:space="preserve"> and </w:t>
      </w:r>
      <w:r w:rsidRPr="009B40BB">
        <w:rPr>
          <w:b/>
          <w:sz w:val="22"/>
        </w:rPr>
        <w:t>tyres</w:t>
      </w:r>
      <w:r w:rsidRPr="009B40BB">
        <w:rPr>
          <w:sz w:val="22"/>
        </w:rPr>
        <w:t xml:space="preserve">, in that order, followed at a lower level again </w:t>
      </w:r>
      <w:r w:rsidR="00A17AD5" w:rsidRPr="009B40BB">
        <w:rPr>
          <w:sz w:val="22"/>
        </w:rPr>
        <w:t xml:space="preserve">in descending order </w:t>
      </w:r>
      <w:r w:rsidRPr="009B40BB">
        <w:rPr>
          <w:sz w:val="22"/>
        </w:rPr>
        <w:t xml:space="preserve">by </w:t>
      </w:r>
      <w:r w:rsidRPr="009B40BB">
        <w:rPr>
          <w:b/>
          <w:sz w:val="22"/>
        </w:rPr>
        <w:t>alkalis</w:t>
      </w:r>
      <w:r w:rsidRPr="009B40BB">
        <w:rPr>
          <w:sz w:val="22"/>
        </w:rPr>
        <w:t xml:space="preserve">, </w:t>
      </w:r>
      <w:r w:rsidRPr="009B40BB">
        <w:rPr>
          <w:b/>
          <w:sz w:val="22"/>
        </w:rPr>
        <w:t>inorganic chemicals</w:t>
      </w:r>
      <w:r w:rsidRPr="009B40BB">
        <w:rPr>
          <w:sz w:val="22"/>
        </w:rPr>
        <w:t xml:space="preserve"> and </w:t>
      </w:r>
      <w:r w:rsidRPr="009B40BB">
        <w:rPr>
          <w:b/>
          <w:sz w:val="22"/>
        </w:rPr>
        <w:t>animal effluent and residues</w:t>
      </w:r>
      <w:r w:rsidRPr="009B40BB">
        <w:rPr>
          <w:sz w:val="22"/>
        </w:rPr>
        <w:t>, respectively.</w:t>
      </w:r>
    </w:p>
    <w:p w:rsidR="002061A1" w:rsidRPr="009B40BB" w:rsidRDefault="002061A1">
      <w:pPr>
        <w:spacing w:line="240" w:lineRule="auto"/>
        <w:rPr>
          <w:sz w:val="22"/>
        </w:rPr>
      </w:pPr>
    </w:p>
    <w:p w:rsidR="00341719" w:rsidRPr="009B40BB" w:rsidRDefault="00837A33" w:rsidP="00837A33">
      <w:pPr>
        <w:spacing w:after="240" w:line="240" w:lineRule="auto"/>
        <w:rPr>
          <w:rFonts w:ascii="Arial Rounded MT Bold" w:hAnsi="Arial Rounded MT Bold"/>
          <w:color w:val="0000FF" w:themeColor="accent1"/>
          <w:sz w:val="28"/>
          <w:szCs w:val="28"/>
        </w:rPr>
      </w:pPr>
      <w:r w:rsidRPr="009B40BB">
        <w:rPr>
          <w:rFonts w:ascii="Arial Rounded MT Bold" w:hAnsi="Arial Rounded MT Bold"/>
          <w:color w:val="0000FF" w:themeColor="accent1"/>
          <w:sz w:val="28"/>
          <w:szCs w:val="28"/>
        </w:rPr>
        <w:t>3.2</w:t>
      </w:r>
      <w:r w:rsidRPr="009B40BB">
        <w:rPr>
          <w:rFonts w:ascii="Arial Rounded MT Bold" w:hAnsi="Arial Rounded MT Bold"/>
          <w:color w:val="0000FF" w:themeColor="accent1"/>
          <w:sz w:val="28"/>
          <w:szCs w:val="28"/>
        </w:rPr>
        <w:tab/>
      </w:r>
      <w:r w:rsidR="00341719" w:rsidRPr="009B40BB">
        <w:rPr>
          <w:rFonts w:ascii="Arial Rounded MT Bold" w:hAnsi="Arial Rounded MT Bold"/>
          <w:color w:val="0000FF" w:themeColor="accent1"/>
          <w:sz w:val="28"/>
          <w:szCs w:val="28"/>
        </w:rPr>
        <w:t>By jurisdiction</w:t>
      </w:r>
    </w:p>
    <w:p w:rsidR="0009236A" w:rsidRPr="009B40BB" w:rsidRDefault="00A17AD5" w:rsidP="0009236A">
      <w:pPr>
        <w:pStyle w:val="BodyText"/>
      </w:pPr>
      <w:r w:rsidRPr="009B40BB">
        <w:t>This national comparison of major wastes by quantity is split further by each of the largest states: New South Wales, Queensland, South Australia, Victoria and Western Australia, in Figure 7.</w:t>
      </w:r>
    </w:p>
    <w:p w:rsidR="0009236A" w:rsidRPr="009B40BB" w:rsidRDefault="0009236A" w:rsidP="0009236A">
      <w:pPr>
        <w:pStyle w:val="BodyText"/>
      </w:pPr>
    </w:p>
    <w:p w:rsidR="0009236A" w:rsidRPr="009B40BB" w:rsidRDefault="00A17AD5" w:rsidP="000C5845">
      <w:pPr>
        <w:pStyle w:val="BodyText"/>
        <w:spacing w:after="120"/>
      </w:pPr>
      <w:r w:rsidRPr="009B40BB">
        <w:t>Observations from this breakdown include:</w:t>
      </w:r>
    </w:p>
    <w:p w:rsidR="00A17AD5" w:rsidRPr="009B40BB" w:rsidRDefault="00A17AD5" w:rsidP="00CA33F8">
      <w:pPr>
        <w:pStyle w:val="Bullet1"/>
      </w:pPr>
      <w:r w:rsidRPr="009B40BB">
        <w:t>Some waste types follow generation rates that mirror population-based patterns of consumption (and therefore waste production).</w:t>
      </w:r>
      <w:r w:rsidR="00A374C7" w:rsidRPr="009B40BB">
        <w:t xml:space="preserve"> </w:t>
      </w:r>
      <w:r w:rsidRPr="009B40BB">
        <w:t>These include animal effluent and residues, grease trap waste, biosolids</w:t>
      </w:r>
      <w:r w:rsidR="000C5845" w:rsidRPr="009B40BB">
        <w:t xml:space="preserve"> and to some extent asbestos and oils, although </w:t>
      </w:r>
      <w:r w:rsidR="00BD1298">
        <w:t>the South Australian oils</w:t>
      </w:r>
      <w:r w:rsidR="000C5845" w:rsidRPr="009B40BB">
        <w:t xml:space="preserve"> </w:t>
      </w:r>
      <w:r w:rsidR="00BD1298">
        <w:t xml:space="preserve">figure </w:t>
      </w:r>
      <w:r w:rsidR="000C5845" w:rsidRPr="009B40BB">
        <w:t xml:space="preserve">is notable </w:t>
      </w:r>
      <w:r w:rsidR="00BD1298">
        <w:t>due to its</w:t>
      </w:r>
      <w:r w:rsidR="000C5845" w:rsidRPr="009B40BB">
        <w:t xml:space="preserve"> extremely low quantity relative to other states.</w:t>
      </w:r>
    </w:p>
    <w:p w:rsidR="000C5845" w:rsidRPr="009B40BB" w:rsidRDefault="000C5845" w:rsidP="00CA33F8">
      <w:pPr>
        <w:pStyle w:val="Bullet1"/>
      </w:pPr>
      <w:r w:rsidRPr="009B40BB">
        <w:t>Alkalis and inorganic chemicals follow a less distinct pattern, which suggests their generation is likely to be from a smaller number of distinct industrial operations present in some jurisdictions but not others, or there are different management or legislative arrangements in place across these states.</w:t>
      </w:r>
    </w:p>
    <w:p w:rsidR="000C5845" w:rsidRPr="009B40BB" w:rsidRDefault="000C5845" w:rsidP="00CA33F8">
      <w:pPr>
        <w:pStyle w:val="Bullet1"/>
      </w:pPr>
      <w:r w:rsidRPr="009B40BB">
        <w:t>Contaminated soils are unusually high for South Australia, compared to other states’ data.</w:t>
      </w:r>
    </w:p>
    <w:p w:rsidR="0009236A" w:rsidRPr="009B40BB" w:rsidRDefault="0009236A" w:rsidP="0009236A">
      <w:pPr>
        <w:pStyle w:val="BodyText"/>
      </w:pPr>
    </w:p>
    <w:p w:rsidR="0009236A" w:rsidRPr="009B40BB" w:rsidRDefault="0009236A" w:rsidP="0009236A">
      <w:pPr>
        <w:pStyle w:val="Figures"/>
      </w:pPr>
      <w:r w:rsidRPr="009B40BB">
        <w:t>Fi</w:t>
      </w:r>
      <w:r w:rsidR="000315AE">
        <w:t xml:space="preserve">gure 7: </w:t>
      </w:r>
      <w:r w:rsidR="000315AE">
        <w:tab/>
        <w:t>Major hazardous wastes</w:t>
      </w:r>
      <w:r w:rsidR="002050E6">
        <w:t xml:space="preserve"> </w:t>
      </w:r>
      <w:r w:rsidR="005C3179">
        <w:t xml:space="preserve">generated </w:t>
      </w:r>
      <w:r w:rsidR="00CF3B5C">
        <w:t xml:space="preserve">(tonnes) </w:t>
      </w:r>
      <w:r w:rsidRPr="009B40BB">
        <w:t>per major state for 2012</w:t>
      </w:r>
    </w:p>
    <w:p w:rsidR="00341719" w:rsidRPr="009B40BB" w:rsidRDefault="00CE564A">
      <w:pPr>
        <w:spacing w:line="240" w:lineRule="auto"/>
        <w:rPr>
          <w:sz w:val="22"/>
        </w:rPr>
      </w:pPr>
      <w:r w:rsidRPr="009B40BB">
        <w:rPr>
          <w:noProof/>
          <w:sz w:val="22"/>
          <w:lang w:eastAsia="en-AU"/>
        </w:rPr>
        <w:drawing>
          <wp:inline distT="0" distB="0" distL="0" distR="0">
            <wp:extent cx="6353175" cy="3152775"/>
            <wp:effectExtent l="0" t="0" r="9525"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E564A" w:rsidRPr="009B40BB" w:rsidRDefault="00CE564A">
      <w:pPr>
        <w:spacing w:line="240" w:lineRule="auto"/>
        <w:rPr>
          <w:sz w:val="22"/>
        </w:rPr>
      </w:pPr>
    </w:p>
    <w:p w:rsidR="00BD1298" w:rsidRDefault="00BD1298" w:rsidP="00837A33">
      <w:pPr>
        <w:spacing w:after="240" w:line="240" w:lineRule="auto"/>
        <w:rPr>
          <w:rFonts w:ascii="Arial Rounded MT Bold" w:hAnsi="Arial Rounded MT Bold"/>
          <w:color w:val="0000FF" w:themeColor="accent1"/>
          <w:sz w:val="28"/>
          <w:szCs w:val="28"/>
        </w:rPr>
      </w:pPr>
    </w:p>
    <w:p w:rsidR="00341719" w:rsidRPr="009B40BB" w:rsidRDefault="00837A33" w:rsidP="00837A33">
      <w:pPr>
        <w:spacing w:after="240" w:line="240" w:lineRule="auto"/>
        <w:rPr>
          <w:rFonts w:ascii="Arial Rounded MT Bold" w:hAnsi="Arial Rounded MT Bold"/>
          <w:color w:val="0000FF" w:themeColor="accent1"/>
          <w:sz w:val="28"/>
          <w:szCs w:val="28"/>
        </w:rPr>
      </w:pPr>
      <w:r w:rsidRPr="009B40BB">
        <w:rPr>
          <w:rFonts w:ascii="Arial Rounded MT Bold" w:hAnsi="Arial Rounded MT Bold"/>
          <w:color w:val="0000FF" w:themeColor="accent1"/>
          <w:sz w:val="28"/>
          <w:szCs w:val="28"/>
        </w:rPr>
        <w:lastRenderedPageBreak/>
        <w:t>3.3</w:t>
      </w:r>
      <w:r w:rsidRPr="009B40BB">
        <w:rPr>
          <w:rFonts w:ascii="Arial Rounded MT Bold" w:hAnsi="Arial Rounded MT Bold"/>
          <w:color w:val="0000FF" w:themeColor="accent1"/>
          <w:sz w:val="28"/>
          <w:szCs w:val="28"/>
        </w:rPr>
        <w:tab/>
      </w:r>
      <w:r w:rsidR="00341719" w:rsidRPr="009B40BB">
        <w:rPr>
          <w:rFonts w:ascii="Arial Rounded MT Bold" w:hAnsi="Arial Rounded MT Bold"/>
          <w:color w:val="0000FF" w:themeColor="accent1"/>
          <w:sz w:val="28"/>
          <w:szCs w:val="28"/>
        </w:rPr>
        <w:t>Per capita</w:t>
      </w:r>
    </w:p>
    <w:p w:rsidR="00341719" w:rsidRPr="009B40BB" w:rsidRDefault="000C5845">
      <w:pPr>
        <w:spacing w:line="240" w:lineRule="auto"/>
        <w:rPr>
          <w:sz w:val="22"/>
        </w:rPr>
      </w:pPr>
      <w:r w:rsidRPr="009B40BB">
        <w:rPr>
          <w:sz w:val="22"/>
        </w:rPr>
        <w:t>When the tonnages of Figure 7 are converted to a per capita basis (Figure 8) this accentuates some of the observations above.</w:t>
      </w:r>
      <w:r w:rsidR="00A374C7" w:rsidRPr="009B40BB">
        <w:rPr>
          <w:sz w:val="22"/>
        </w:rPr>
        <w:t xml:space="preserve"> </w:t>
      </w:r>
      <w:r w:rsidRPr="009B40BB">
        <w:rPr>
          <w:sz w:val="22"/>
        </w:rPr>
        <w:t xml:space="preserve">The South Australian contaminated soils “outlier” has been removed from the data </w:t>
      </w:r>
      <w:r w:rsidR="0025458E" w:rsidRPr="009B40BB">
        <w:rPr>
          <w:sz w:val="22"/>
        </w:rPr>
        <w:t>and recast as Figure 9, to allow closer relative inspection of the remaining per capita data.</w:t>
      </w:r>
    </w:p>
    <w:p w:rsidR="000C5845" w:rsidRPr="009B40BB" w:rsidRDefault="000C5845">
      <w:pPr>
        <w:spacing w:line="240" w:lineRule="auto"/>
        <w:rPr>
          <w:sz w:val="22"/>
        </w:rPr>
      </w:pPr>
    </w:p>
    <w:p w:rsidR="000C5845" w:rsidRPr="009B40BB" w:rsidRDefault="000C5845" w:rsidP="000C5845">
      <w:pPr>
        <w:pStyle w:val="Figures"/>
      </w:pPr>
      <w:r w:rsidRPr="009B40BB">
        <w:t xml:space="preserve">Figure 8: </w:t>
      </w:r>
      <w:r w:rsidRPr="009B40BB">
        <w:tab/>
        <w:t>Major hazardous wastes</w:t>
      </w:r>
      <w:r w:rsidR="002050E6">
        <w:t xml:space="preserve"> </w:t>
      </w:r>
      <w:r w:rsidRPr="009B40BB">
        <w:t xml:space="preserve">reported per major state for 2012, on a </w:t>
      </w:r>
      <w:r w:rsidR="000315AE">
        <w:t xml:space="preserve">kg </w:t>
      </w:r>
      <w:r w:rsidRPr="009B40BB">
        <w:t>per capita basis</w:t>
      </w:r>
    </w:p>
    <w:p w:rsidR="00CE564A" w:rsidRPr="009B40BB" w:rsidRDefault="00CE564A">
      <w:pPr>
        <w:spacing w:line="240" w:lineRule="auto"/>
        <w:rPr>
          <w:sz w:val="22"/>
        </w:rPr>
      </w:pPr>
      <w:r w:rsidRPr="009B40BB">
        <w:rPr>
          <w:noProof/>
          <w:sz w:val="22"/>
          <w:lang w:eastAsia="en-AU"/>
        </w:rPr>
        <w:drawing>
          <wp:inline distT="0" distB="0" distL="0" distR="0">
            <wp:extent cx="6349429" cy="2753474"/>
            <wp:effectExtent l="0" t="0" r="13335" b="2794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E564A" w:rsidRPr="009B40BB" w:rsidRDefault="00CE564A">
      <w:pPr>
        <w:spacing w:line="240" w:lineRule="auto"/>
        <w:rPr>
          <w:sz w:val="22"/>
        </w:rPr>
      </w:pPr>
    </w:p>
    <w:p w:rsidR="0025458E" w:rsidRPr="009B40BB" w:rsidRDefault="0025458E">
      <w:pPr>
        <w:spacing w:line="240" w:lineRule="auto"/>
        <w:rPr>
          <w:sz w:val="22"/>
        </w:rPr>
      </w:pPr>
    </w:p>
    <w:p w:rsidR="0025458E" w:rsidRPr="009B40BB" w:rsidRDefault="0025458E" w:rsidP="0025458E">
      <w:pPr>
        <w:pStyle w:val="Figures"/>
      </w:pPr>
      <w:r w:rsidRPr="009B40BB">
        <w:t xml:space="preserve">Figure 9: </w:t>
      </w:r>
      <w:r w:rsidRPr="009B40BB">
        <w:tab/>
        <w:t xml:space="preserve">Major hazardous wastes reported per major state for 2012, on a </w:t>
      </w:r>
      <w:r w:rsidR="002050E6">
        <w:t xml:space="preserve">kg </w:t>
      </w:r>
      <w:r w:rsidRPr="009B40BB">
        <w:t>per capita basis (excluding SA contaminated soil data outlier)</w:t>
      </w:r>
    </w:p>
    <w:p w:rsidR="00CE564A" w:rsidRPr="009B40BB" w:rsidRDefault="00CE564A">
      <w:pPr>
        <w:spacing w:line="240" w:lineRule="auto"/>
        <w:rPr>
          <w:sz w:val="22"/>
        </w:rPr>
      </w:pPr>
      <w:r w:rsidRPr="009B40BB">
        <w:rPr>
          <w:noProof/>
          <w:sz w:val="22"/>
          <w:lang w:eastAsia="en-AU"/>
        </w:rPr>
        <w:drawing>
          <wp:inline distT="0" distB="0" distL="0" distR="0">
            <wp:extent cx="6328881" cy="3030876"/>
            <wp:effectExtent l="0" t="0" r="15240" b="1714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E564A" w:rsidRPr="009B40BB" w:rsidRDefault="00CE564A">
      <w:pPr>
        <w:spacing w:line="240" w:lineRule="auto"/>
        <w:rPr>
          <w:sz w:val="22"/>
        </w:rPr>
      </w:pPr>
    </w:p>
    <w:p w:rsidR="00BD1298" w:rsidRDefault="00BD1298">
      <w:pPr>
        <w:spacing w:line="240" w:lineRule="auto"/>
        <w:rPr>
          <w:rFonts w:ascii="Arial Rounded MT Bold" w:hAnsi="Arial Rounded MT Bold" w:cs="Arial"/>
          <w:color w:val="0000FF"/>
          <w:sz w:val="22"/>
        </w:rPr>
      </w:pPr>
      <w:r>
        <w:br w:type="page"/>
      </w:r>
    </w:p>
    <w:p w:rsidR="0025458E" w:rsidRPr="009B40BB" w:rsidRDefault="0025458E" w:rsidP="00267308">
      <w:pPr>
        <w:pStyle w:val="Heading3"/>
      </w:pPr>
      <w:r w:rsidRPr="009B40BB">
        <w:lastRenderedPageBreak/>
        <w:t>Contaminated soils in South Australia</w:t>
      </w:r>
    </w:p>
    <w:p w:rsidR="0025458E" w:rsidRPr="009B40BB" w:rsidRDefault="00EE3534" w:rsidP="00EE3534">
      <w:pPr>
        <w:spacing w:after="120" w:line="240" w:lineRule="auto"/>
        <w:rPr>
          <w:sz w:val="22"/>
        </w:rPr>
      </w:pPr>
      <w:r w:rsidRPr="009B40BB">
        <w:rPr>
          <w:sz w:val="22"/>
        </w:rPr>
        <w:t>Contaminated soils are clearly elevated in South Australian generation figures compared to other jurisdictions.</w:t>
      </w:r>
      <w:r w:rsidR="00A374C7" w:rsidRPr="009B40BB">
        <w:rPr>
          <w:sz w:val="22"/>
        </w:rPr>
        <w:t xml:space="preserve"> </w:t>
      </w:r>
      <w:r w:rsidRPr="009B40BB">
        <w:rPr>
          <w:sz w:val="22"/>
        </w:rPr>
        <w:t>This is because of two major construction projects at various stages of progress throughout the data collection period:</w:t>
      </w:r>
    </w:p>
    <w:p w:rsidR="00EE3534" w:rsidRPr="009B40BB" w:rsidRDefault="00EE3534" w:rsidP="00267308">
      <w:pPr>
        <w:pStyle w:val="Bullet1"/>
      </w:pPr>
      <w:r w:rsidRPr="009B40BB">
        <w:t>The 2012-2013 renovation and up</w:t>
      </w:r>
      <w:r w:rsidR="00267308" w:rsidRPr="009B40BB">
        <w:t>grade of the Adelaide Oval</w:t>
      </w:r>
    </w:p>
    <w:p w:rsidR="00EE3534" w:rsidRPr="009B40BB" w:rsidRDefault="00EE3534" w:rsidP="00267308">
      <w:pPr>
        <w:pStyle w:val="Bullet1"/>
        <w:rPr>
          <w:sz w:val="24"/>
        </w:rPr>
      </w:pPr>
      <w:r w:rsidRPr="009B40BB">
        <w:t>The new Royal Adelaide Hospital construction on railyards at the west end of Adelaide.</w:t>
      </w:r>
    </w:p>
    <w:p w:rsidR="00EE3534" w:rsidRPr="009B40BB" w:rsidRDefault="00EE3534" w:rsidP="00EE3534">
      <w:pPr>
        <w:spacing w:line="240" w:lineRule="auto"/>
        <w:rPr>
          <w:sz w:val="22"/>
        </w:rPr>
      </w:pPr>
    </w:p>
    <w:p w:rsidR="0025458E" w:rsidRPr="009B40BB" w:rsidRDefault="00EE3534">
      <w:pPr>
        <w:spacing w:line="240" w:lineRule="auto"/>
        <w:rPr>
          <w:sz w:val="22"/>
        </w:rPr>
      </w:pPr>
      <w:r w:rsidRPr="009B40BB">
        <w:rPr>
          <w:sz w:val="22"/>
        </w:rPr>
        <w:t xml:space="preserve">This example well-illustrates the point made in the </w:t>
      </w:r>
      <w:r w:rsidRPr="00484118">
        <w:rPr>
          <w:i/>
          <w:sz w:val="22"/>
        </w:rPr>
        <w:t xml:space="preserve">Hazardous Waste Data Assessment Summary Report </w:t>
      </w:r>
      <w:r w:rsidRPr="009B40BB">
        <w:rPr>
          <w:sz w:val="22"/>
        </w:rPr>
        <w:t xml:space="preserve">at </w:t>
      </w:r>
      <w:r w:rsidR="00A06695">
        <w:rPr>
          <w:sz w:val="22"/>
        </w:rPr>
        <w:t>Appendix</w:t>
      </w:r>
      <w:r w:rsidRPr="009B40BB">
        <w:rPr>
          <w:sz w:val="22"/>
        </w:rPr>
        <w:t xml:space="preserve"> F, about the arbitrary nature of contaminated soils in the context of waste and product consumption patterns:</w:t>
      </w:r>
    </w:p>
    <w:p w:rsidR="00EE3534" w:rsidRPr="009B40BB" w:rsidRDefault="00EE3534">
      <w:pPr>
        <w:spacing w:line="240" w:lineRule="auto"/>
        <w:rPr>
          <w:sz w:val="22"/>
        </w:rPr>
      </w:pPr>
    </w:p>
    <w:p w:rsidR="00B22D64" w:rsidRPr="009B40BB" w:rsidRDefault="00B22D64" w:rsidP="00B22D64">
      <w:pPr>
        <w:spacing w:line="240" w:lineRule="auto"/>
        <w:ind w:left="720"/>
        <w:rPr>
          <w:i/>
          <w:sz w:val="22"/>
        </w:rPr>
      </w:pPr>
      <w:r w:rsidRPr="009B40BB">
        <w:rPr>
          <w:i/>
          <w:sz w:val="22"/>
        </w:rPr>
        <w:t>“Contaminated soil is a special case in the assessment of hazardous waste data.</w:t>
      </w:r>
      <w:r w:rsidR="00A374C7" w:rsidRPr="009B40BB">
        <w:rPr>
          <w:i/>
          <w:sz w:val="22"/>
        </w:rPr>
        <w:t xml:space="preserve"> </w:t>
      </w:r>
      <w:r w:rsidRPr="009B40BB">
        <w:rPr>
          <w:i/>
          <w:sz w:val="22"/>
        </w:rPr>
        <w:t>It is a result of construction and development (including demolition) activities that require the excavation of contaminated material.</w:t>
      </w:r>
      <w:r w:rsidR="00A374C7" w:rsidRPr="009B40BB">
        <w:rPr>
          <w:i/>
          <w:sz w:val="22"/>
        </w:rPr>
        <w:t xml:space="preserve"> </w:t>
      </w:r>
      <w:r w:rsidRPr="009B40BB">
        <w:rPr>
          <w:i/>
          <w:sz w:val="22"/>
        </w:rPr>
        <w:t>The level of contamination is an historical legacy issue, whereas the quantity produced in any given year fluctuates with the level of development activity in contaminant prone geographical areas.</w:t>
      </w:r>
      <w:r w:rsidR="00A374C7" w:rsidRPr="009B40BB">
        <w:rPr>
          <w:i/>
          <w:sz w:val="22"/>
        </w:rPr>
        <w:t xml:space="preserve"> </w:t>
      </w:r>
      <w:r w:rsidRPr="009B40BB">
        <w:rPr>
          <w:i/>
          <w:sz w:val="22"/>
        </w:rPr>
        <w:t>Influences such as economic climate, industry growth and demographic changes can all impact on the amount of development undertaken.</w:t>
      </w:r>
    </w:p>
    <w:p w:rsidR="00B22D64" w:rsidRPr="009B40BB" w:rsidRDefault="00B22D64" w:rsidP="00B22D64">
      <w:pPr>
        <w:spacing w:line="240" w:lineRule="auto"/>
        <w:ind w:left="720"/>
        <w:rPr>
          <w:i/>
          <w:sz w:val="22"/>
        </w:rPr>
      </w:pPr>
    </w:p>
    <w:p w:rsidR="00EE3534" w:rsidRPr="009B40BB" w:rsidRDefault="00B22D64" w:rsidP="00B22D64">
      <w:pPr>
        <w:spacing w:line="240" w:lineRule="auto"/>
        <w:ind w:left="720"/>
        <w:rPr>
          <w:i/>
          <w:sz w:val="22"/>
        </w:rPr>
      </w:pPr>
      <w:r w:rsidRPr="009B40BB">
        <w:rPr>
          <w:i/>
          <w:sz w:val="22"/>
        </w:rPr>
        <w:t>These drivers are quite different from virtually all other hazardous waste categories, perhaps with the exception of asbestos, which exhibits similar drivers.</w:t>
      </w:r>
      <w:r w:rsidR="00A374C7" w:rsidRPr="009B40BB">
        <w:rPr>
          <w:i/>
          <w:sz w:val="22"/>
        </w:rPr>
        <w:t xml:space="preserve"> </w:t>
      </w:r>
      <w:r w:rsidRPr="009B40BB">
        <w:rPr>
          <w:i/>
          <w:sz w:val="22"/>
        </w:rPr>
        <w:t>Other wastes are more directly related to current activities and therefore strategies to tackle their reduction can tap into consumption behaviours, including efficiencies and resource recovery.</w:t>
      </w:r>
      <w:r w:rsidR="00A374C7" w:rsidRPr="009B40BB">
        <w:rPr>
          <w:i/>
          <w:sz w:val="22"/>
        </w:rPr>
        <w:t xml:space="preserve"> </w:t>
      </w:r>
      <w:r w:rsidRPr="009B40BB">
        <w:rPr>
          <w:i/>
          <w:sz w:val="22"/>
        </w:rPr>
        <w:t>Conversely, contaminated soil quantities can vary widely from year to year due to factors unrelated to the activity that caused the contamination, which overwhelms all other waste data and introduces the potential for misleading messages to be concluded from the data around trend and broader waste producer behaviours.”</w:t>
      </w:r>
    </w:p>
    <w:p w:rsidR="00EE3534" w:rsidRPr="009B40BB" w:rsidRDefault="00EE3534">
      <w:pPr>
        <w:spacing w:line="240" w:lineRule="auto"/>
      </w:pPr>
    </w:p>
    <w:p w:rsidR="00267308" w:rsidRPr="00BD1298" w:rsidRDefault="00BD1298" w:rsidP="00BD1298">
      <w:pPr>
        <w:spacing w:after="120" w:line="240" w:lineRule="auto"/>
        <w:rPr>
          <w:sz w:val="22"/>
        </w:rPr>
      </w:pPr>
      <w:r>
        <w:rPr>
          <w:sz w:val="22"/>
        </w:rPr>
        <w:t>C</w:t>
      </w:r>
      <w:r w:rsidRPr="00BD1298">
        <w:rPr>
          <w:sz w:val="22"/>
        </w:rPr>
        <w:t xml:space="preserve">ontaminated soils arising as wastes and being disposed of </w:t>
      </w:r>
      <w:r w:rsidRPr="00BD1298">
        <w:rPr>
          <w:sz w:val="22"/>
          <w:u w:val="single"/>
        </w:rPr>
        <w:t>on site</w:t>
      </w:r>
      <w:r w:rsidRPr="00BD1298">
        <w:rPr>
          <w:sz w:val="22"/>
        </w:rPr>
        <w:t>, with or without treatment, are often not included in hazardous waste or broader waste data.</w:t>
      </w:r>
      <w:r w:rsidR="0065463B">
        <w:rPr>
          <w:sz w:val="22"/>
        </w:rPr>
        <w:t xml:space="preserve"> </w:t>
      </w:r>
      <w:r>
        <w:rPr>
          <w:sz w:val="22"/>
        </w:rPr>
        <w:t>This is a broader issue common to other wastes as well, illustrated with some weight by the example of coal-fired power station fly ash</w:t>
      </w:r>
      <w:r>
        <w:rPr>
          <w:rStyle w:val="FootnoteReference"/>
          <w:sz w:val="22"/>
        </w:rPr>
        <w:footnoteReference w:id="2"/>
      </w:r>
      <w:r w:rsidR="00267308" w:rsidRPr="00BD1298">
        <w:rPr>
          <w:sz w:val="22"/>
        </w:rPr>
        <w:br w:type="page"/>
      </w:r>
    </w:p>
    <w:p w:rsidR="00807C3E" w:rsidRPr="009B40BB" w:rsidRDefault="00807C3E" w:rsidP="00267308">
      <w:pPr>
        <w:pStyle w:val="Heading3"/>
      </w:pPr>
      <w:r w:rsidRPr="009B40BB">
        <w:lastRenderedPageBreak/>
        <w:t xml:space="preserve">Waste oils in South Australia </w:t>
      </w:r>
    </w:p>
    <w:p w:rsidR="00B22D64" w:rsidRPr="009B40BB" w:rsidRDefault="00B22D64">
      <w:pPr>
        <w:spacing w:line="240" w:lineRule="auto"/>
        <w:rPr>
          <w:sz w:val="22"/>
        </w:rPr>
      </w:pPr>
      <w:r w:rsidRPr="009B40BB">
        <w:rPr>
          <w:sz w:val="22"/>
        </w:rPr>
        <w:t>Figure 9 indicates a very low generation rate for waste oils, yet South Australia is known to have a progressive waste oil collection and recycling capacity and program.</w:t>
      </w:r>
      <w:r w:rsidR="00A374C7" w:rsidRPr="009B40BB">
        <w:rPr>
          <w:sz w:val="22"/>
        </w:rPr>
        <w:t xml:space="preserve"> </w:t>
      </w:r>
      <w:r w:rsidRPr="009B40BB">
        <w:rPr>
          <w:sz w:val="22"/>
        </w:rPr>
        <w:t>While the author is not aware of waste oils being exempt from listed waste tracking in South Australia, there may be aspects of the recycling program that do not require certain quantities to be recorded in tracking systems.</w:t>
      </w:r>
    </w:p>
    <w:p w:rsidR="00807C3E" w:rsidRPr="009B40BB" w:rsidRDefault="00807C3E">
      <w:pPr>
        <w:spacing w:line="240" w:lineRule="auto"/>
        <w:rPr>
          <w:sz w:val="22"/>
        </w:rPr>
      </w:pPr>
    </w:p>
    <w:p w:rsidR="00807C3E" w:rsidRPr="009B40BB" w:rsidRDefault="00807C3E" w:rsidP="00267308">
      <w:pPr>
        <w:pStyle w:val="Heading3"/>
      </w:pPr>
      <w:r w:rsidRPr="009B40BB">
        <w:t xml:space="preserve">Inorganic chemicals in South Australia </w:t>
      </w:r>
    </w:p>
    <w:p w:rsidR="00CE564A" w:rsidRPr="009B40BB" w:rsidRDefault="00B22D64" w:rsidP="009C0E26">
      <w:pPr>
        <w:spacing w:line="240" w:lineRule="auto"/>
        <w:rPr>
          <w:sz w:val="22"/>
        </w:rPr>
      </w:pPr>
      <w:r w:rsidRPr="009B40BB">
        <w:rPr>
          <w:sz w:val="22"/>
        </w:rPr>
        <w:t>Figure 9 indicates a disproportionately high generation figure for inorganic chemicals in South Australia.</w:t>
      </w:r>
      <w:r w:rsidR="00A374C7" w:rsidRPr="009B40BB">
        <w:rPr>
          <w:sz w:val="22"/>
        </w:rPr>
        <w:t xml:space="preserve"> </w:t>
      </w:r>
      <w:r w:rsidRPr="009B40BB">
        <w:rPr>
          <w:sz w:val="22"/>
        </w:rPr>
        <w:t>This is likely to be correct and an illustration of the impact of large industrial operations with unique waste</w:t>
      </w:r>
      <w:r w:rsidR="00252EE7" w:rsidRPr="009B40BB">
        <w:rPr>
          <w:sz w:val="22"/>
        </w:rPr>
        <w:t xml:space="preserve"> </w:t>
      </w:r>
      <w:r w:rsidRPr="009B40BB">
        <w:rPr>
          <w:sz w:val="22"/>
        </w:rPr>
        <w:t>streams.</w:t>
      </w:r>
      <w:r w:rsidR="00A374C7" w:rsidRPr="009B40BB">
        <w:rPr>
          <w:sz w:val="22"/>
        </w:rPr>
        <w:t xml:space="preserve"> </w:t>
      </w:r>
      <w:r w:rsidRPr="009B40BB">
        <w:rPr>
          <w:sz w:val="22"/>
        </w:rPr>
        <w:t xml:space="preserve">This is primarily comprised of </w:t>
      </w:r>
      <w:r w:rsidR="009C0E26" w:rsidRPr="009B40BB">
        <w:rPr>
          <w:i/>
          <w:sz w:val="22"/>
        </w:rPr>
        <w:t>D230</w:t>
      </w:r>
      <w:r w:rsidRPr="009B40BB">
        <w:rPr>
          <w:i/>
          <w:sz w:val="22"/>
        </w:rPr>
        <w:t xml:space="preserve"> zinc compounds</w:t>
      </w:r>
      <w:r w:rsidR="009C0E26" w:rsidRPr="009B40BB">
        <w:rPr>
          <w:sz w:val="22"/>
        </w:rPr>
        <w:t xml:space="preserve"> and </w:t>
      </w:r>
      <w:r w:rsidR="009C0E26" w:rsidRPr="009B40BB">
        <w:rPr>
          <w:i/>
          <w:sz w:val="22"/>
        </w:rPr>
        <w:t>D220 lead; lead compounds</w:t>
      </w:r>
      <w:r w:rsidRPr="009B40BB">
        <w:rPr>
          <w:sz w:val="22"/>
        </w:rPr>
        <w:t xml:space="preserve"> waste</w:t>
      </w:r>
      <w:r w:rsidR="009C0E26" w:rsidRPr="009B40BB">
        <w:rPr>
          <w:sz w:val="22"/>
        </w:rPr>
        <w:t>, likely to be specific to the s</w:t>
      </w:r>
      <w:r w:rsidRPr="009B40BB">
        <w:rPr>
          <w:sz w:val="22"/>
        </w:rPr>
        <w:t xml:space="preserve">melter </w:t>
      </w:r>
      <w:r w:rsidR="009C0E26" w:rsidRPr="009B40BB">
        <w:rPr>
          <w:sz w:val="22"/>
        </w:rPr>
        <w:t xml:space="preserve">operations </w:t>
      </w:r>
      <w:r w:rsidRPr="009B40BB">
        <w:rPr>
          <w:sz w:val="22"/>
        </w:rPr>
        <w:t xml:space="preserve">at Port Pirie. </w:t>
      </w:r>
    </w:p>
    <w:p w:rsidR="009C0E26" w:rsidRPr="009B40BB" w:rsidRDefault="009C0E26">
      <w:pPr>
        <w:spacing w:line="240" w:lineRule="auto"/>
        <w:rPr>
          <w:b/>
          <w:sz w:val="24"/>
          <w:szCs w:val="24"/>
        </w:rPr>
      </w:pPr>
    </w:p>
    <w:p w:rsidR="00CE564A" w:rsidRPr="009B40BB" w:rsidRDefault="009C0E26" w:rsidP="00267308">
      <w:pPr>
        <w:pStyle w:val="Heading3"/>
      </w:pPr>
      <w:r w:rsidRPr="009B40BB">
        <w:t>All Wastes/ all jurisdictions per capita</w:t>
      </w:r>
    </w:p>
    <w:p w:rsidR="00252EE7" w:rsidRPr="009B40BB" w:rsidRDefault="009C0E26" w:rsidP="00907861">
      <w:pPr>
        <w:spacing w:after="120" w:line="240" w:lineRule="auto"/>
        <w:rPr>
          <w:sz w:val="22"/>
        </w:rPr>
      </w:pPr>
      <w:r w:rsidRPr="009B40BB">
        <w:rPr>
          <w:sz w:val="22"/>
        </w:rPr>
        <w:t>Figure 10 summarises per capita waste generation for each jurisdiction in Australia in 2012 for all hazardous wastes.</w:t>
      </w:r>
      <w:r w:rsidR="00A374C7" w:rsidRPr="009B40BB">
        <w:rPr>
          <w:sz w:val="22"/>
        </w:rPr>
        <w:t xml:space="preserve"> </w:t>
      </w:r>
      <w:r w:rsidR="00252EE7" w:rsidRPr="009B40BB">
        <w:rPr>
          <w:sz w:val="22"/>
        </w:rPr>
        <w:t>The main points evident from this presentation of data are South Australia’s per capita generation is disproportionately high and the Northern Territory’s is disproportionately low, with Tasmania higher than would be expected.</w:t>
      </w:r>
      <w:r w:rsidR="00A374C7" w:rsidRPr="009B40BB">
        <w:rPr>
          <w:sz w:val="22"/>
        </w:rPr>
        <w:t xml:space="preserve"> </w:t>
      </w:r>
      <w:r w:rsidR="00252EE7" w:rsidRPr="009B40BB">
        <w:rPr>
          <w:sz w:val="22"/>
        </w:rPr>
        <w:t>The explanations for these are most likely:</w:t>
      </w:r>
    </w:p>
    <w:p w:rsidR="00252EE7" w:rsidRPr="009B40BB" w:rsidRDefault="00252EE7" w:rsidP="00A768C4">
      <w:pPr>
        <w:pStyle w:val="ListParagraph"/>
        <w:numPr>
          <w:ilvl w:val="0"/>
          <w:numId w:val="11"/>
        </w:numPr>
        <w:spacing w:after="120" w:line="240" w:lineRule="auto"/>
        <w:contextualSpacing w:val="0"/>
        <w:rPr>
          <w:sz w:val="22"/>
        </w:rPr>
      </w:pPr>
      <w:r w:rsidRPr="009B40BB">
        <w:rPr>
          <w:sz w:val="22"/>
        </w:rPr>
        <w:t>South Australia’s skewed contaminated soil figures from its recent large construction projects previously discussed</w:t>
      </w:r>
      <w:r w:rsidR="00907861" w:rsidRPr="009B40BB">
        <w:rPr>
          <w:sz w:val="22"/>
        </w:rPr>
        <w:t>.</w:t>
      </w:r>
      <w:r w:rsidR="00A374C7" w:rsidRPr="009B40BB">
        <w:rPr>
          <w:sz w:val="22"/>
        </w:rPr>
        <w:t xml:space="preserve"> </w:t>
      </w:r>
      <w:r w:rsidR="00907861" w:rsidRPr="009B40BB">
        <w:rPr>
          <w:sz w:val="22"/>
        </w:rPr>
        <w:t>Other jurisdictions will be influenced by contaminated soil from construction projects also, which skews this sort of analysis as discussed in “Contaminated soils in South Australia” above</w:t>
      </w:r>
    </w:p>
    <w:p w:rsidR="00252EE7" w:rsidRPr="009B40BB" w:rsidRDefault="00252EE7" w:rsidP="00A768C4">
      <w:pPr>
        <w:pStyle w:val="ListParagraph"/>
        <w:numPr>
          <w:ilvl w:val="0"/>
          <w:numId w:val="11"/>
        </w:numPr>
        <w:spacing w:after="120" w:line="240" w:lineRule="auto"/>
        <w:contextualSpacing w:val="0"/>
        <w:rPr>
          <w:sz w:val="22"/>
        </w:rPr>
      </w:pPr>
      <w:r w:rsidRPr="009B40BB">
        <w:rPr>
          <w:sz w:val="22"/>
        </w:rPr>
        <w:t>Data limitations for the Northern Territory’s 2012 submission discussed above and</w:t>
      </w:r>
    </w:p>
    <w:p w:rsidR="00252EE7" w:rsidRPr="009B40BB" w:rsidRDefault="00252EE7" w:rsidP="00A768C4">
      <w:pPr>
        <w:pStyle w:val="ListParagraph"/>
        <w:numPr>
          <w:ilvl w:val="0"/>
          <w:numId w:val="11"/>
        </w:numPr>
        <w:spacing w:after="120" w:line="240" w:lineRule="auto"/>
        <w:contextualSpacing w:val="0"/>
        <w:rPr>
          <w:sz w:val="22"/>
        </w:rPr>
      </w:pPr>
      <w:r w:rsidRPr="009B40BB">
        <w:rPr>
          <w:sz w:val="22"/>
        </w:rPr>
        <w:t>Tasmania’s</w:t>
      </w:r>
      <w:r w:rsidR="00907861" w:rsidRPr="009B40BB">
        <w:rPr>
          <w:sz w:val="22"/>
        </w:rPr>
        <w:t xml:space="preserve"> 2012</w:t>
      </w:r>
      <w:r w:rsidRPr="009B40BB">
        <w:rPr>
          <w:sz w:val="22"/>
        </w:rPr>
        <w:t xml:space="preserve"> data is influenced heavily by </w:t>
      </w:r>
      <w:r w:rsidR="00907861" w:rsidRPr="009B40BB">
        <w:rPr>
          <w:sz w:val="22"/>
        </w:rPr>
        <w:t xml:space="preserve">waste category </w:t>
      </w:r>
      <w:r w:rsidR="00907861" w:rsidRPr="009B40BB">
        <w:rPr>
          <w:i/>
          <w:sz w:val="22"/>
        </w:rPr>
        <w:t>D230 Zinc compounds</w:t>
      </w:r>
      <w:r w:rsidR="00907861" w:rsidRPr="009B40BB">
        <w:rPr>
          <w:sz w:val="22"/>
        </w:rPr>
        <w:t>, which makes up 95% of the total reported as also discussed above.</w:t>
      </w:r>
    </w:p>
    <w:p w:rsidR="00907861" w:rsidRPr="009B40BB" w:rsidRDefault="00907861">
      <w:pPr>
        <w:spacing w:line="240" w:lineRule="auto"/>
        <w:rPr>
          <w:sz w:val="22"/>
        </w:rPr>
      </w:pPr>
      <w:r w:rsidRPr="009B40BB">
        <w:rPr>
          <w:sz w:val="22"/>
        </w:rPr>
        <w:t>Perhaps a better way to view per capita waste generation at the overall level is to also remove contaminated soils data from all jurisdictions, as was done for South Australian data in Figure 9.</w:t>
      </w:r>
      <w:r w:rsidR="00A374C7" w:rsidRPr="009B40BB">
        <w:rPr>
          <w:sz w:val="22"/>
        </w:rPr>
        <w:t xml:space="preserve"> </w:t>
      </w:r>
      <w:r w:rsidRPr="009B40BB">
        <w:rPr>
          <w:sz w:val="22"/>
        </w:rPr>
        <w:t>Figure 11 does exactly this, and recasts the chart.</w:t>
      </w:r>
    </w:p>
    <w:p w:rsidR="009C0E26" w:rsidRPr="009B40BB" w:rsidRDefault="009C0E26">
      <w:pPr>
        <w:spacing w:line="240" w:lineRule="auto"/>
        <w:rPr>
          <w:sz w:val="22"/>
        </w:rPr>
      </w:pPr>
    </w:p>
    <w:p w:rsidR="00C97FA2" w:rsidRPr="009B40BB" w:rsidRDefault="00907861">
      <w:pPr>
        <w:spacing w:line="240" w:lineRule="auto"/>
        <w:rPr>
          <w:sz w:val="22"/>
        </w:rPr>
      </w:pPr>
      <w:r w:rsidRPr="009B40BB">
        <w:rPr>
          <w:sz w:val="22"/>
        </w:rPr>
        <w:t xml:space="preserve">Analysis of Figure 11 shows </w:t>
      </w:r>
      <w:r w:rsidR="00C97FA2" w:rsidRPr="009B40BB">
        <w:rPr>
          <w:sz w:val="22"/>
        </w:rPr>
        <w:t>some</w:t>
      </w:r>
      <w:r w:rsidRPr="009B40BB">
        <w:rPr>
          <w:sz w:val="22"/>
        </w:rPr>
        <w:t xml:space="preserve"> correlation to Figure </w:t>
      </w:r>
      <w:r w:rsidR="00C97FA2" w:rsidRPr="009B40BB">
        <w:rPr>
          <w:sz w:val="22"/>
        </w:rPr>
        <w:t xml:space="preserve">4 of the </w:t>
      </w:r>
      <w:r w:rsidR="00C97FA2" w:rsidRPr="007E6E1B">
        <w:rPr>
          <w:i/>
          <w:sz w:val="22"/>
        </w:rPr>
        <w:t xml:space="preserve">Hazardous Waste Data </w:t>
      </w:r>
      <w:r w:rsidR="00AD70D4" w:rsidRPr="007E6E1B">
        <w:rPr>
          <w:i/>
          <w:sz w:val="22"/>
        </w:rPr>
        <w:t>Assessment Summary Report (2010-</w:t>
      </w:r>
      <w:r w:rsidR="00C97FA2" w:rsidRPr="007E6E1B">
        <w:rPr>
          <w:i/>
          <w:sz w:val="22"/>
        </w:rPr>
        <w:t>11 data)</w:t>
      </w:r>
      <w:r w:rsidR="00C97FA2" w:rsidRPr="009B40BB">
        <w:rPr>
          <w:sz w:val="22"/>
        </w:rPr>
        <w:t>, which asserts that, in the context of the five “large” population states of New South Wales, Queensland, South Australia, Victoria and Western Australia, the smaller of these (Qld, SA and WA) seem to exhibit higher rates of hazardous waste generation per capita than the largest two; Victoria and New South Wales.</w:t>
      </w:r>
    </w:p>
    <w:p w:rsidR="00C97FA2" w:rsidRPr="009B40BB" w:rsidRDefault="00C97FA2">
      <w:pPr>
        <w:spacing w:line="240" w:lineRule="auto"/>
        <w:rPr>
          <w:sz w:val="22"/>
        </w:rPr>
      </w:pPr>
    </w:p>
    <w:p w:rsidR="00907861" w:rsidRPr="009B40BB" w:rsidRDefault="00C97FA2">
      <w:pPr>
        <w:spacing w:line="240" w:lineRule="auto"/>
        <w:rPr>
          <w:rFonts w:cs="Calibri"/>
          <w:b/>
          <w:color w:val="0000FF"/>
          <w:sz w:val="24"/>
          <w:szCs w:val="20"/>
        </w:rPr>
      </w:pPr>
      <w:r w:rsidRPr="009B40BB">
        <w:rPr>
          <w:sz w:val="22"/>
        </w:rPr>
        <w:t xml:space="preserve">Noting the impact of the </w:t>
      </w:r>
      <w:r w:rsidRPr="009B40BB">
        <w:rPr>
          <w:i/>
          <w:sz w:val="22"/>
        </w:rPr>
        <w:t>D230 Zinc compounds</w:t>
      </w:r>
      <w:r w:rsidRPr="009B40BB">
        <w:rPr>
          <w:sz w:val="22"/>
        </w:rPr>
        <w:t xml:space="preserve"> data point to Tasmanian data, the under-reporting of Northern Territory data and the lack of asbestos data supplied from Western Australia (something of the elephant in the room), the jurisdictions of </w:t>
      </w:r>
      <w:r w:rsidR="009415B8" w:rsidRPr="009B40BB">
        <w:rPr>
          <w:sz w:val="22"/>
        </w:rPr>
        <w:t xml:space="preserve">the ACT, New South Wales and </w:t>
      </w:r>
      <w:r w:rsidRPr="009B40BB">
        <w:rPr>
          <w:sz w:val="22"/>
        </w:rPr>
        <w:t>Victoria a</w:t>
      </w:r>
      <w:r w:rsidR="009415B8" w:rsidRPr="009B40BB">
        <w:rPr>
          <w:sz w:val="22"/>
        </w:rPr>
        <w:t>ppear to produce lower per capita quantities of hazardous waste with Queensland, South Australia and Western Australia the highest.</w:t>
      </w:r>
      <w:r w:rsidRPr="009B40BB">
        <w:rPr>
          <w:sz w:val="22"/>
        </w:rPr>
        <w:t xml:space="preserve"> </w:t>
      </w:r>
      <w:r w:rsidR="00907861" w:rsidRPr="009B40BB">
        <w:rPr>
          <w:sz w:val="22"/>
        </w:rPr>
        <w:br w:type="page"/>
      </w:r>
    </w:p>
    <w:p w:rsidR="009C0E26" w:rsidRPr="009B40BB" w:rsidRDefault="009C0E26" w:rsidP="009C0E26">
      <w:pPr>
        <w:pStyle w:val="Figures"/>
      </w:pPr>
      <w:r w:rsidRPr="009B40BB">
        <w:lastRenderedPageBreak/>
        <w:t xml:space="preserve">Figure 10: </w:t>
      </w:r>
      <w:r w:rsidRPr="009B40BB">
        <w:tab/>
        <w:t xml:space="preserve">All hazardous wastes reported per jurisdiction for 2012, on a </w:t>
      </w:r>
      <w:r w:rsidR="002050E6">
        <w:t xml:space="preserve">kg </w:t>
      </w:r>
      <w:r w:rsidRPr="009B40BB">
        <w:t xml:space="preserve">per capita basis </w:t>
      </w:r>
    </w:p>
    <w:p w:rsidR="00CE564A" w:rsidRPr="009B40BB" w:rsidRDefault="00CE564A">
      <w:pPr>
        <w:spacing w:line="240" w:lineRule="auto"/>
        <w:rPr>
          <w:sz w:val="22"/>
        </w:rPr>
      </w:pPr>
      <w:r w:rsidRPr="009B40BB">
        <w:rPr>
          <w:noProof/>
          <w:sz w:val="22"/>
          <w:lang w:eastAsia="en-AU"/>
        </w:rPr>
        <w:drawing>
          <wp:inline distT="0" distB="0" distL="0" distR="0">
            <wp:extent cx="5342562" cy="2917861"/>
            <wp:effectExtent l="0" t="0" r="10795" b="1587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E564A" w:rsidRPr="009B40BB" w:rsidRDefault="00CE564A">
      <w:pPr>
        <w:spacing w:line="240" w:lineRule="auto"/>
        <w:rPr>
          <w:sz w:val="22"/>
        </w:rPr>
      </w:pPr>
    </w:p>
    <w:p w:rsidR="009C0E26" w:rsidRPr="009B40BB" w:rsidRDefault="009C0E26" w:rsidP="009C0E26">
      <w:pPr>
        <w:pStyle w:val="Figures"/>
      </w:pPr>
      <w:r w:rsidRPr="009B40BB">
        <w:t xml:space="preserve">Figure 11: </w:t>
      </w:r>
      <w:r w:rsidRPr="009B40BB">
        <w:tab/>
        <w:t xml:space="preserve">All hazardous wastes reported per jurisdiction for 2012, on a </w:t>
      </w:r>
      <w:r w:rsidR="002050E6">
        <w:t xml:space="preserve">kg </w:t>
      </w:r>
      <w:r w:rsidRPr="009B40BB">
        <w:t>per capita basis (excluding all contaminated soil data)</w:t>
      </w:r>
    </w:p>
    <w:p w:rsidR="00CE564A" w:rsidRPr="009B40BB" w:rsidRDefault="00CE564A">
      <w:pPr>
        <w:spacing w:line="240" w:lineRule="auto"/>
        <w:rPr>
          <w:sz w:val="22"/>
        </w:rPr>
      </w:pPr>
      <w:r w:rsidRPr="009B40BB">
        <w:rPr>
          <w:noProof/>
          <w:sz w:val="22"/>
          <w:lang w:eastAsia="en-AU"/>
        </w:rPr>
        <w:drawing>
          <wp:inline distT="0" distB="0" distL="0" distR="0">
            <wp:extent cx="5342562" cy="3380198"/>
            <wp:effectExtent l="0" t="0" r="10795" b="1079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E564A" w:rsidRPr="009B40BB" w:rsidRDefault="00CE564A">
      <w:pPr>
        <w:spacing w:line="240" w:lineRule="auto"/>
        <w:rPr>
          <w:sz w:val="22"/>
        </w:rPr>
      </w:pPr>
    </w:p>
    <w:p w:rsidR="00303914" w:rsidRPr="009B40BB" w:rsidRDefault="00303914">
      <w:pPr>
        <w:spacing w:line="240" w:lineRule="auto"/>
        <w:rPr>
          <w:rFonts w:ascii="Arial Rounded MT Bold" w:hAnsi="Arial Rounded MT Bold"/>
          <w:color w:val="0000FF" w:themeColor="accent1"/>
          <w:sz w:val="36"/>
          <w:szCs w:val="36"/>
        </w:rPr>
      </w:pPr>
      <w:r w:rsidRPr="009B40BB">
        <w:rPr>
          <w:rFonts w:ascii="Arial Rounded MT Bold" w:hAnsi="Arial Rounded MT Bold"/>
          <w:color w:val="0000FF" w:themeColor="accent1"/>
          <w:sz w:val="36"/>
          <w:szCs w:val="36"/>
        </w:rPr>
        <w:br w:type="page"/>
      </w:r>
    </w:p>
    <w:p w:rsidR="00341719" w:rsidRPr="009B40BB" w:rsidRDefault="00341719" w:rsidP="00A768C4">
      <w:pPr>
        <w:pStyle w:val="BodyText"/>
        <w:numPr>
          <w:ilvl w:val="0"/>
          <w:numId w:val="9"/>
        </w:numPr>
        <w:spacing w:after="360"/>
        <w:ind w:left="850" w:hanging="850"/>
        <w:rPr>
          <w:rFonts w:ascii="Arial Rounded MT Bold" w:hAnsi="Arial Rounded MT Bold"/>
          <w:color w:val="0000FF" w:themeColor="accent1"/>
          <w:sz w:val="36"/>
          <w:szCs w:val="36"/>
        </w:rPr>
      </w:pPr>
      <w:r w:rsidRPr="009B40BB">
        <w:rPr>
          <w:rFonts w:ascii="Arial Rounded MT Bold" w:hAnsi="Arial Rounded MT Bold"/>
          <w:color w:val="0000FF" w:themeColor="accent1"/>
          <w:sz w:val="36"/>
          <w:szCs w:val="36"/>
        </w:rPr>
        <w:lastRenderedPageBreak/>
        <w:t>Data quality assessment</w:t>
      </w:r>
    </w:p>
    <w:p w:rsidR="00630830" w:rsidRPr="009B40BB" w:rsidRDefault="00630830" w:rsidP="00837A33">
      <w:pPr>
        <w:pStyle w:val="BodyText"/>
      </w:pPr>
      <w:r w:rsidRPr="009B40BB">
        <w:t xml:space="preserve">A consistent set of data quality principles, taken from </w:t>
      </w:r>
      <w:r w:rsidR="00A83CEC" w:rsidRPr="009B40BB">
        <w:t xml:space="preserve">historical </w:t>
      </w:r>
      <w:r w:rsidRPr="009B40BB">
        <w:t>National Waste Policy work on the national waste data system</w:t>
      </w:r>
      <w:r w:rsidR="00A83CEC" w:rsidRPr="009B40BB">
        <w:t xml:space="preserve">, the Global Reporting Initiative and other </w:t>
      </w:r>
      <w:r w:rsidRPr="009B40BB">
        <w:t xml:space="preserve">international </w:t>
      </w:r>
      <w:r w:rsidR="00A83CEC" w:rsidRPr="009B40BB">
        <w:t xml:space="preserve">approaches to </w:t>
      </w:r>
      <w:r w:rsidRPr="009B40BB">
        <w:t xml:space="preserve">data and reporting </w:t>
      </w:r>
      <w:r w:rsidR="00A83CEC" w:rsidRPr="009B40BB">
        <w:t>is listed in Table</w:t>
      </w:r>
      <w:r w:rsidR="007E6E1B">
        <w:t xml:space="preserve"> </w:t>
      </w:r>
      <w:r w:rsidR="00A83CEC" w:rsidRPr="009B40BB">
        <w:t>4 below.</w:t>
      </w:r>
      <w:r w:rsidR="00A374C7" w:rsidRPr="009B40BB">
        <w:t xml:space="preserve"> </w:t>
      </w:r>
      <w:r w:rsidR="00A83CEC" w:rsidRPr="009B40BB">
        <w:t>Table 4 uses these to assess the overall data quality of the 2012 Basel report, and subsequent national data set.</w:t>
      </w:r>
      <w:r w:rsidR="00A374C7" w:rsidRPr="009B40BB">
        <w:t xml:space="preserve"> </w:t>
      </w:r>
      <w:r w:rsidR="00A83CEC" w:rsidRPr="009B40BB">
        <w:t>Further assessment at the state and territory level, which could vary, is not provided in this report.</w:t>
      </w:r>
    </w:p>
    <w:p w:rsidR="004537BE" w:rsidRPr="009B40BB" w:rsidRDefault="004537BE" w:rsidP="00837A33">
      <w:pPr>
        <w:pStyle w:val="BodyText"/>
      </w:pPr>
    </w:p>
    <w:p w:rsidR="004537BE" w:rsidRPr="009B40BB" w:rsidRDefault="004537BE" w:rsidP="004537BE">
      <w:pPr>
        <w:pStyle w:val="BodyText"/>
        <w:spacing w:after="120"/>
      </w:pPr>
      <w:r w:rsidRPr="009B40BB">
        <w:t>Data management scores against these principles have been applied.</w:t>
      </w:r>
      <w:r w:rsidR="00A374C7" w:rsidRPr="009B40BB">
        <w:t xml:space="preserve"> </w:t>
      </w:r>
      <w:r w:rsidRPr="009B40BB">
        <w:t>These are consistent with approaches by Net Balance (2009) and others in the context of these principle</w:t>
      </w:r>
      <w:r w:rsidR="007E279D">
        <w:t>s</w:t>
      </w:r>
      <w:r w:rsidRPr="009B40BB">
        <w:t xml:space="preserve"> and include: </w:t>
      </w:r>
    </w:p>
    <w:p w:rsidR="004537BE" w:rsidRPr="009B40BB" w:rsidRDefault="004537BE" w:rsidP="00267308">
      <w:pPr>
        <w:pStyle w:val="Bullet1"/>
      </w:pPr>
      <w:r w:rsidRPr="009B40BB">
        <w:rPr>
          <w:b/>
        </w:rPr>
        <w:t>Robust</w:t>
      </w:r>
      <w:r w:rsidRPr="009B40BB">
        <w:t xml:space="preserve"> - Evidence of a sound, mature and rigid reporting system, where room for error is negligible. Examples would include use of spreadsheets, databases and on-line reporting (e.g. banking - accounts). </w:t>
      </w:r>
    </w:p>
    <w:p w:rsidR="004537BE" w:rsidRPr="009B40BB" w:rsidRDefault="004537BE" w:rsidP="00267308">
      <w:pPr>
        <w:pStyle w:val="Bullet1"/>
      </w:pPr>
      <w:r w:rsidRPr="009B40BB">
        <w:rPr>
          <w:b/>
        </w:rPr>
        <w:t>Satisfactory</w:t>
      </w:r>
      <w:r w:rsidRPr="009B40BB">
        <w:t xml:space="preserve"> - Some potential exists for error or loss of data. Examples would include manual, but structured keeping of records, files and results (e.g. household taxation). </w:t>
      </w:r>
    </w:p>
    <w:p w:rsidR="004537BE" w:rsidRPr="009B40BB" w:rsidRDefault="004537BE" w:rsidP="00267308">
      <w:pPr>
        <w:pStyle w:val="Bullet1"/>
      </w:pPr>
      <w:r w:rsidRPr="009B40BB">
        <w:rPr>
          <w:b/>
        </w:rPr>
        <w:t>Questionable</w:t>
      </w:r>
      <w:r w:rsidRPr="009B40BB">
        <w:t xml:space="preserve"> - No logical or structured approach to data or record kee</w:t>
      </w:r>
      <w:r w:rsidR="00AD70D4">
        <w:t>ping. High potential for error and</w:t>
      </w:r>
      <w:r w:rsidRPr="009B40BB">
        <w:t>/or loss of data. Data may appear to differ from those initially reported (e.g. open crowd estimation).</w:t>
      </w:r>
    </w:p>
    <w:p w:rsidR="00630830" w:rsidRPr="009B40BB" w:rsidRDefault="00630830" w:rsidP="00837A33">
      <w:pPr>
        <w:pStyle w:val="BodyText"/>
      </w:pPr>
    </w:p>
    <w:p w:rsidR="00D50F92" w:rsidRPr="009B40BB" w:rsidRDefault="00D50F92" w:rsidP="00837A33">
      <w:pPr>
        <w:pStyle w:val="BodyText"/>
      </w:pPr>
      <w:r w:rsidRPr="009B40BB">
        <w:t xml:space="preserve">This assessment has been applied to all data </w:t>
      </w:r>
      <w:r w:rsidRPr="009B40BB">
        <w:rPr>
          <w:u w:val="single"/>
        </w:rPr>
        <w:t>except</w:t>
      </w:r>
      <w:r w:rsidRPr="009B40BB">
        <w:t xml:space="preserve"> the Basel category </w:t>
      </w:r>
      <w:r w:rsidRPr="009B40BB">
        <w:rPr>
          <w:i/>
        </w:rPr>
        <w:t xml:space="preserve">Y46 </w:t>
      </w:r>
      <w:r w:rsidRPr="009B40BB">
        <w:rPr>
          <w:rFonts w:cs="Times New Roman"/>
          <w:i/>
          <w:szCs w:val="20"/>
        </w:rPr>
        <w:t>Wastes collected from households</w:t>
      </w:r>
      <w:r w:rsidRPr="009B40BB">
        <w:rPr>
          <w:rFonts w:cs="Times New Roman"/>
          <w:szCs w:val="20"/>
        </w:rPr>
        <w:t xml:space="preserve">, as this is not </w:t>
      </w:r>
      <w:r w:rsidR="002E3088">
        <w:rPr>
          <w:rFonts w:cs="Times New Roman"/>
          <w:szCs w:val="20"/>
        </w:rPr>
        <w:t>classified as hazardous waste in Australia and not collected in jurisdictional hazardous waste tracking systems.</w:t>
      </w:r>
    </w:p>
    <w:p w:rsidR="00D50F92" w:rsidRPr="009B40BB" w:rsidRDefault="00D50F92" w:rsidP="00837A33">
      <w:pPr>
        <w:pStyle w:val="BodyText"/>
      </w:pPr>
    </w:p>
    <w:p w:rsidR="00630830" w:rsidRPr="009B40BB" w:rsidRDefault="00630830" w:rsidP="00630830">
      <w:pPr>
        <w:pStyle w:val="Figures"/>
      </w:pPr>
      <w:r w:rsidRPr="009B40BB">
        <w:t>Table</w:t>
      </w:r>
      <w:r w:rsidR="00A83CEC" w:rsidRPr="009B40BB">
        <w:t xml:space="preserve"> 4</w:t>
      </w:r>
      <w:r w:rsidRPr="009B40BB">
        <w:t xml:space="preserve">: </w:t>
      </w:r>
      <w:r w:rsidRPr="009B40BB">
        <w:tab/>
        <w:t>2012 data assessment against data quality principles</w:t>
      </w:r>
    </w:p>
    <w:tbl>
      <w:tblPr>
        <w:tblW w:w="9397" w:type="dxa"/>
        <w:jc w:val="center"/>
        <w:tblLook w:val="04A0"/>
      </w:tblPr>
      <w:tblGrid>
        <w:gridCol w:w="1556"/>
        <w:gridCol w:w="3420"/>
        <w:gridCol w:w="4421"/>
      </w:tblGrid>
      <w:tr w:rsidR="00630830" w:rsidRPr="009B40BB" w:rsidTr="00964CC6">
        <w:trPr>
          <w:trHeight w:val="465"/>
          <w:tblHeader/>
          <w:jc w:val="center"/>
        </w:trPr>
        <w:tc>
          <w:tcPr>
            <w:tcW w:w="1556" w:type="dxa"/>
            <w:tcBorders>
              <w:top w:val="nil"/>
              <w:left w:val="single" w:sz="8" w:space="0" w:color="auto"/>
              <w:bottom w:val="single" w:sz="8" w:space="0" w:color="auto"/>
              <w:right w:val="single" w:sz="8" w:space="0" w:color="auto"/>
            </w:tcBorders>
            <w:shd w:val="clear" w:color="auto" w:fill="0000FF" w:themeFill="accent1"/>
            <w:vAlign w:val="center"/>
            <w:hideMark/>
          </w:tcPr>
          <w:p w:rsidR="00630830" w:rsidRPr="009B40BB" w:rsidRDefault="00630830" w:rsidP="00630830">
            <w:pPr>
              <w:spacing w:line="240" w:lineRule="auto"/>
              <w:jc w:val="center"/>
              <w:rPr>
                <w:rFonts w:asciiTheme="minorHAnsi" w:hAnsiTheme="minorHAnsi" w:cs="Times New Roman"/>
                <w:b/>
                <w:bCs/>
                <w:color w:val="FFFFFF"/>
                <w:sz w:val="22"/>
              </w:rPr>
            </w:pPr>
            <w:r w:rsidRPr="009B40BB">
              <w:rPr>
                <w:rFonts w:asciiTheme="minorHAnsi" w:hAnsiTheme="minorHAnsi" w:cs="Times New Roman"/>
                <w:b/>
                <w:bCs/>
                <w:color w:val="FFFFFF"/>
                <w:sz w:val="22"/>
              </w:rPr>
              <w:t>Principle</w:t>
            </w:r>
          </w:p>
        </w:tc>
        <w:tc>
          <w:tcPr>
            <w:tcW w:w="3420" w:type="dxa"/>
            <w:tcBorders>
              <w:top w:val="nil"/>
              <w:left w:val="nil"/>
              <w:bottom w:val="single" w:sz="8" w:space="0" w:color="auto"/>
              <w:right w:val="single" w:sz="8" w:space="0" w:color="auto"/>
            </w:tcBorders>
            <w:shd w:val="clear" w:color="auto" w:fill="0000FF" w:themeFill="accent1"/>
            <w:vAlign w:val="center"/>
            <w:hideMark/>
          </w:tcPr>
          <w:p w:rsidR="00630830" w:rsidRPr="009B40BB" w:rsidRDefault="00630830" w:rsidP="00630830">
            <w:pPr>
              <w:spacing w:line="240" w:lineRule="auto"/>
              <w:jc w:val="center"/>
              <w:rPr>
                <w:rFonts w:asciiTheme="minorHAnsi" w:hAnsiTheme="minorHAnsi" w:cs="Times New Roman"/>
                <w:b/>
                <w:bCs/>
                <w:color w:val="FFFFFF"/>
                <w:sz w:val="22"/>
              </w:rPr>
            </w:pPr>
            <w:r w:rsidRPr="009B40BB">
              <w:rPr>
                <w:rFonts w:asciiTheme="minorHAnsi" w:hAnsiTheme="minorHAnsi" w:cs="Times New Roman"/>
                <w:b/>
                <w:bCs/>
                <w:color w:val="FFFFFF"/>
                <w:sz w:val="22"/>
              </w:rPr>
              <w:t>Criteria</w:t>
            </w:r>
          </w:p>
        </w:tc>
        <w:tc>
          <w:tcPr>
            <w:tcW w:w="4421" w:type="dxa"/>
            <w:tcBorders>
              <w:top w:val="nil"/>
              <w:left w:val="nil"/>
              <w:bottom w:val="single" w:sz="8" w:space="0" w:color="auto"/>
              <w:right w:val="nil"/>
            </w:tcBorders>
            <w:shd w:val="clear" w:color="auto" w:fill="0000FF" w:themeFill="accent1"/>
            <w:vAlign w:val="center"/>
            <w:hideMark/>
          </w:tcPr>
          <w:p w:rsidR="00630830" w:rsidRPr="009B40BB" w:rsidRDefault="00630830" w:rsidP="00630830">
            <w:pPr>
              <w:spacing w:line="240" w:lineRule="auto"/>
              <w:jc w:val="center"/>
              <w:rPr>
                <w:rFonts w:asciiTheme="minorHAnsi" w:hAnsiTheme="minorHAnsi" w:cs="Times New Roman"/>
                <w:b/>
                <w:bCs/>
                <w:color w:val="FFFFFF"/>
                <w:sz w:val="22"/>
              </w:rPr>
            </w:pPr>
            <w:r w:rsidRPr="009B40BB">
              <w:rPr>
                <w:rFonts w:asciiTheme="minorHAnsi" w:hAnsiTheme="minorHAnsi" w:cs="Times New Roman"/>
                <w:b/>
                <w:bCs/>
                <w:color w:val="FFFFFF"/>
                <w:sz w:val="22"/>
              </w:rPr>
              <w:t>Assessment of 2012 data against criteria</w:t>
            </w:r>
          </w:p>
        </w:tc>
      </w:tr>
      <w:tr w:rsidR="00630830" w:rsidRPr="009B40BB" w:rsidTr="00964CC6">
        <w:trPr>
          <w:trHeight w:val="330"/>
          <w:jc w:val="center"/>
        </w:trPr>
        <w:tc>
          <w:tcPr>
            <w:tcW w:w="1556" w:type="dxa"/>
            <w:tcBorders>
              <w:top w:val="nil"/>
              <w:left w:val="single" w:sz="8" w:space="0" w:color="auto"/>
              <w:bottom w:val="single" w:sz="8" w:space="0" w:color="auto"/>
              <w:right w:val="single" w:sz="8" w:space="0" w:color="auto"/>
            </w:tcBorders>
            <w:shd w:val="clear" w:color="auto" w:fill="auto"/>
            <w:noWrap/>
            <w:vAlign w:val="center"/>
          </w:tcPr>
          <w:p w:rsidR="00630830" w:rsidRPr="009B40BB" w:rsidRDefault="00630830" w:rsidP="00630830">
            <w:pPr>
              <w:spacing w:line="240" w:lineRule="auto"/>
              <w:rPr>
                <w:rFonts w:asciiTheme="minorHAnsi" w:hAnsiTheme="minorHAnsi" w:cs="Times New Roman"/>
                <w:color w:val="000000"/>
                <w:sz w:val="22"/>
              </w:rPr>
            </w:pPr>
            <w:r w:rsidRPr="009B40BB">
              <w:rPr>
                <w:rFonts w:asciiTheme="minorHAnsi" w:hAnsiTheme="minorHAnsi" w:cs="Times New Roman"/>
                <w:color w:val="000000"/>
                <w:sz w:val="22"/>
              </w:rPr>
              <w:t>Transparency</w:t>
            </w:r>
          </w:p>
        </w:tc>
        <w:tc>
          <w:tcPr>
            <w:tcW w:w="3420" w:type="dxa"/>
            <w:tcBorders>
              <w:top w:val="nil"/>
              <w:left w:val="nil"/>
              <w:bottom w:val="single" w:sz="8" w:space="0" w:color="auto"/>
              <w:right w:val="single" w:sz="8" w:space="0" w:color="auto"/>
            </w:tcBorders>
            <w:shd w:val="clear" w:color="auto" w:fill="auto"/>
            <w:noWrap/>
            <w:vAlign w:val="center"/>
          </w:tcPr>
          <w:p w:rsidR="00630830" w:rsidRPr="009B40BB" w:rsidRDefault="00A83CEC" w:rsidP="00630830">
            <w:pPr>
              <w:spacing w:line="240" w:lineRule="auto"/>
              <w:rPr>
                <w:rFonts w:asciiTheme="minorHAnsi" w:hAnsiTheme="minorHAnsi" w:cs="Times New Roman"/>
                <w:color w:val="000000"/>
                <w:sz w:val="22"/>
              </w:rPr>
            </w:pPr>
            <w:r w:rsidRPr="009B40BB">
              <w:rPr>
                <w:rFonts w:asciiTheme="minorHAnsi" w:hAnsiTheme="minorHAnsi" w:cs="Times New Roman"/>
                <w:color w:val="000000"/>
                <w:sz w:val="22"/>
              </w:rPr>
              <w:t>Data is documented and verifiable</w:t>
            </w:r>
          </w:p>
        </w:tc>
        <w:tc>
          <w:tcPr>
            <w:tcW w:w="4421" w:type="dxa"/>
            <w:tcBorders>
              <w:top w:val="nil"/>
              <w:left w:val="nil"/>
              <w:bottom w:val="single" w:sz="8" w:space="0" w:color="auto"/>
              <w:right w:val="single" w:sz="8" w:space="0" w:color="auto"/>
            </w:tcBorders>
            <w:shd w:val="clear" w:color="auto" w:fill="auto"/>
            <w:vAlign w:val="center"/>
          </w:tcPr>
          <w:p w:rsidR="00630830" w:rsidRPr="009B40BB" w:rsidRDefault="002D4502" w:rsidP="002D4502">
            <w:pPr>
              <w:spacing w:line="240" w:lineRule="auto"/>
              <w:rPr>
                <w:rFonts w:asciiTheme="minorHAnsi" w:hAnsiTheme="minorHAnsi" w:cs="Times New Roman"/>
                <w:color w:val="000000"/>
                <w:sz w:val="22"/>
              </w:rPr>
            </w:pPr>
            <w:r w:rsidRPr="009B40BB">
              <w:rPr>
                <w:rFonts w:asciiTheme="minorHAnsi" w:hAnsiTheme="minorHAnsi" w:cs="Times New Roman"/>
                <w:b/>
                <w:color w:val="000000"/>
                <w:sz w:val="22"/>
              </w:rPr>
              <w:t>ROBUST</w:t>
            </w:r>
            <w:r w:rsidR="00A83CEC" w:rsidRPr="009B40BB">
              <w:rPr>
                <w:rFonts w:asciiTheme="minorHAnsi" w:hAnsiTheme="minorHAnsi" w:cs="Times New Roman"/>
                <w:color w:val="000000"/>
                <w:sz w:val="22"/>
              </w:rPr>
              <w:t>.</w:t>
            </w:r>
            <w:r w:rsidR="00A374C7" w:rsidRPr="009B40BB">
              <w:rPr>
                <w:rFonts w:asciiTheme="minorHAnsi" w:hAnsiTheme="minorHAnsi" w:cs="Times New Roman"/>
                <w:color w:val="000000"/>
                <w:sz w:val="22"/>
              </w:rPr>
              <w:t xml:space="preserve"> </w:t>
            </w:r>
            <w:r w:rsidRPr="009B40BB">
              <w:rPr>
                <w:rFonts w:asciiTheme="minorHAnsi" w:hAnsiTheme="minorHAnsi" w:cs="Times New Roman"/>
                <w:color w:val="000000"/>
                <w:sz w:val="22"/>
              </w:rPr>
              <w:t>Given that 96% of all reported data in 2012 came from jurisdictions with detailed hazardous waste tracking database systems, built from signed records of daily transactions, the vast majority of reported data is deemed to be highly transparent.</w:t>
            </w:r>
          </w:p>
        </w:tc>
      </w:tr>
      <w:tr w:rsidR="00630830" w:rsidRPr="009B40BB" w:rsidTr="00964CC6">
        <w:trPr>
          <w:trHeight w:val="330"/>
          <w:jc w:val="center"/>
        </w:trPr>
        <w:tc>
          <w:tcPr>
            <w:tcW w:w="1556" w:type="dxa"/>
            <w:tcBorders>
              <w:top w:val="nil"/>
              <w:left w:val="single" w:sz="8" w:space="0" w:color="auto"/>
              <w:bottom w:val="single" w:sz="8" w:space="0" w:color="auto"/>
              <w:right w:val="single" w:sz="8" w:space="0" w:color="auto"/>
            </w:tcBorders>
            <w:shd w:val="clear" w:color="auto" w:fill="auto"/>
            <w:noWrap/>
            <w:vAlign w:val="center"/>
          </w:tcPr>
          <w:p w:rsidR="00630830" w:rsidRPr="009B40BB" w:rsidRDefault="00630830" w:rsidP="00630830">
            <w:pPr>
              <w:spacing w:line="240" w:lineRule="auto"/>
              <w:rPr>
                <w:rFonts w:asciiTheme="minorHAnsi" w:hAnsiTheme="minorHAnsi" w:cs="Times New Roman"/>
                <w:color w:val="000000"/>
                <w:sz w:val="22"/>
              </w:rPr>
            </w:pPr>
            <w:r w:rsidRPr="009B40BB">
              <w:rPr>
                <w:rFonts w:asciiTheme="minorHAnsi" w:hAnsiTheme="minorHAnsi" w:cs="Times New Roman"/>
                <w:color w:val="000000"/>
                <w:sz w:val="22"/>
              </w:rPr>
              <w:t>Comparability</w:t>
            </w:r>
          </w:p>
        </w:tc>
        <w:tc>
          <w:tcPr>
            <w:tcW w:w="3420" w:type="dxa"/>
            <w:tcBorders>
              <w:top w:val="nil"/>
              <w:left w:val="nil"/>
              <w:bottom w:val="single" w:sz="8" w:space="0" w:color="auto"/>
              <w:right w:val="single" w:sz="8" w:space="0" w:color="auto"/>
            </w:tcBorders>
            <w:shd w:val="clear" w:color="auto" w:fill="auto"/>
            <w:noWrap/>
            <w:vAlign w:val="center"/>
          </w:tcPr>
          <w:p w:rsidR="00630830" w:rsidRPr="009B40BB" w:rsidRDefault="00A83CEC" w:rsidP="00630830">
            <w:pPr>
              <w:spacing w:line="240" w:lineRule="auto"/>
              <w:rPr>
                <w:rFonts w:asciiTheme="minorHAnsi" w:hAnsiTheme="minorHAnsi" w:cs="Times New Roman"/>
                <w:color w:val="000000"/>
                <w:sz w:val="22"/>
              </w:rPr>
            </w:pPr>
            <w:r w:rsidRPr="009B40BB">
              <w:rPr>
                <w:rFonts w:asciiTheme="minorHAnsi" w:hAnsiTheme="minorHAnsi" w:cs="Arial"/>
                <w:iCs/>
                <w:sz w:val="22"/>
              </w:rPr>
              <w:t xml:space="preserve">Data is produced by consistent methodologies and can be compared across jurisdictions, </w:t>
            </w:r>
            <w:r w:rsidRPr="009B40BB">
              <w:rPr>
                <w:rFonts w:asciiTheme="minorHAnsi" w:hAnsiTheme="minorHAnsi" w:cs="Arial"/>
                <w:i/>
                <w:iCs/>
                <w:sz w:val="22"/>
              </w:rPr>
              <w:t>and between reporting periods</w:t>
            </w:r>
          </w:p>
        </w:tc>
        <w:tc>
          <w:tcPr>
            <w:tcW w:w="4421" w:type="dxa"/>
            <w:tcBorders>
              <w:top w:val="nil"/>
              <w:left w:val="nil"/>
              <w:bottom w:val="single" w:sz="8" w:space="0" w:color="auto"/>
              <w:right w:val="single" w:sz="8" w:space="0" w:color="auto"/>
            </w:tcBorders>
            <w:shd w:val="clear" w:color="auto" w:fill="auto"/>
            <w:vAlign w:val="center"/>
          </w:tcPr>
          <w:p w:rsidR="00630830" w:rsidRPr="009B40BB" w:rsidRDefault="002D4502" w:rsidP="00D50F92">
            <w:pPr>
              <w:spacing w:line="240" w:lineRule="auto"/>
              <w:rPr>
                <w:rFonts w:asciiTheme="minorHAnsi" w:hAnsiTheme="minorHAnsi" w:cs="Times New Roman"/>
                <w:color w:val="000000"/>
                <w:sz w:val="22"/>
              </w:rPr>
            </w:pPr>
            <w:r w:rsidRPr="009B40BB">
              <w:rPr>
                <w:rFonts w:asciiTheme="minorHAnsi" w:hAnsiTheme="minorHAnsi" w:cs="Times New Roman"/>
                <w:b/>
                <w:color w:val="000000"/>
                <w:sz w:val="22"/>
              </w:rPr>
              <w:t>SATISFACTORY</w:t>
            </w:r>
            <w:r w:rsidRPr="009B40BB">
              <w:rPr>
                <w:rFonts w:asciiTheme="minorHAnsi" w:hAnsiTheme="minorHAnsi" w:cs="Times New Roman"/>
                <w:color w:val="000000"/>
                <w:sz w:val="22"/>
              </w:rPr>
              <w:t>.</w:t>
            </w:r>
            <w:r w:rsidR="00A374C7" w:rsidRPr="009B40BB">
              <w:rPr>
                <w:rFonts w:asciiTheme="minorHAnsi" w:hAnsiTheme="minorHAnsi" w:cs="Times New Roman"/>
                <w:color w:val="000000"/>
                <w:sz w:val="22"/>
              </w:rPr>
              <w:t xml:space="preserve"> </w:t>
            </w:r>
            <w:r w:rsidRPr="009B40BB">
              <w:rPr>
                <w:rFonts w:asciiTheme="minorHAnsi" w:hAnsiTheme="minorHAnsi" w:cs="Times New Roman"/>
                <w:color w:val="000000"/>
                <w:sz w:val="22"/>
              </w:rPr>
              <w:t>Particularly with regard to the jurisdictions running tracking systems, the method of aggregation of individual waste movement transactions into annual collations is consistent.</w:t>
            </w:r>
            <w:r w:rsidR="00A374C7" w:rsidRPr="009B40BB">
              <w:rPr>
                <w:rFonts w:asciiTheme="minorHAnsi" w:hAnsiTheme="minorHAnsi" w:cs="Times New Roman"/>
                <w:color w:val="000000"/>
                <w:sz w:val="22"/>
              </w:rPr>
              <w:t xml:space="preserve"> </w:t>
            </w:r>
            <w:r w:rsidRPr="009B40BB">
              <w:rPr>
                <w:rFonts w:asciiTheme="minorHAnsi" w:hAnsiTheme="minorHAnsi" w:cs="Times New Roman"/>
                <w:color w:val="000000"/>
                <w:sz w:val="22"/>
              </w:rPr>
              <w:t>This has been enhanced substantially in 2014 with the introduction of an agreed mapping approach for translating jurisdictional classifications to an agreed national classification set.</w:t>
            </w:r>
            <w:r w:rsidR="00A374C7" w:rsidRPr="009B40BB">
              <w:rPr>
                <w:rFonts w:asciiTheme="minorHAnsi" w:hAnsiTheme="minorHAnsi" w:cs="Times New Roman"/>
                <w:color w:val="000000"/>
                <w:sz w:val="22"/>
              </w:rPr>
              <w:t xml:space="preserve"> </w:t>
            </w:r>
            <w:r w:rsidR="00D50F92" w:rsidRPr="009B40BB">
              <w:rPr>
                <w:rFonts w:asciiTheme="minorHAnsi" w:hAnsiTheme="minorHAnsi" w:cs="Times New Roman"/>
                <w:color w:val="000000"/>
                <w:sz w:val="22"/>
              </w:rPr>
              <w:t>The d</w:t>
            </w:r>
            <w:r w:rsidRPr="009B40BB">
              <w:rPr>
                <w:rFonts w:asciiTheme="minorHAnsi" w:hAnsiTheme="minorHAnsi" w:cs="Times New Roman"/>
                <w:color w:val="000000"/>
                <w:sz w:val="22"/>
              </w:rPr>
              <w:t xml:space="preserve">ata </w:t>
            </w:r>
            <w:r w:rsidR="00D50F92" w:rsidRPr="009B40BB">
              <w:rPr>
                <w:rFonts w:asciiTheme="minorHAnsi" w:hAnsiTheme="minorHAnsi" w:cs="Times New Roman"/>
                <w:color w:val="000000"/>
                <w:sz w:val="22"/>
              </w:rPr>
              <w:t xml:space="preserve">itself </w:t>
            </w:r>
            <w:r w:rsidRPr="009B40BB">
              <w:rPr>
                <w:rFonts w:asciiTheme="minorHAnsi" w:hAnsiTheme="minorHAnsi" w:cs="Times New Roman"/>
                <w:color w:val="000000"/>
                <w:sz w:val="22"/>
              </w:rPr>
              <w:t>will need more time to mature before comparability between annual periods is reliable, but the infrastructure is in place for this to occur in future.</w:t>
            </w:r>
          </w:p>
        </w:tc>
      </w:tr>
      <w:tr w:rsidR="002D4502" w:rsidRPr="009B40BB" w:rsidTr="00964CC6">
        <w:trPr>
          <w:trHeight w:val="330"/>
          <w:jc w:val="center"/>
        </w:trPr>
        <w:tc>
          <w:tcPr>
            <w:tcW w:w="1556" w:type="dxa"/>
            <w:tcBorders>
              <w:top w:val="nil"/>
              <w:left w:val="single" w:sz="8" w:space="0" w:color="auto"/>
              <w:bottom w:val="single" w:sz="8" w:space="0" w:color="auto"/>
              <w:right w:val="single" w:sz="8" w:space="0" w:color="auto"/>
            </w:tcBorders>
            <w:shd w:val="clear" w:color="auto" w:fill="auto"/>
            <w:noWrap/>
            <w:vAlign w:val="center"/>
          </w:tcPr>
          <w:p w:rsidR="002D4502" w:rsidRPr="009B40BB" w:rsidRDefault="002D4502" w:rsidP="00630830">
            <w:pPr>
              <w:spacing w:line="240" w:lineRule="auto"/>
              <w:rPr>
                <w:rFonts w:asciiTheme="minorHAnsi" w:hAnsiTheme="minorHAnsi" w:cs="Times New Roman"/>
                <w:color w:val="000000"/>
                <w:sz w:val="22"/>
              </w:rPr>
            </w:pPr>
            <w:r w:rsidRPr="009B40BB">
              <w:rPr>
                <w:rFonts w:asciiTheme="minorHAnsi" w:hAnsiTheme="minorHAnsi" w:cs="Times New Roman"/>
                <w:color w:val="000000"/>
                <w:sz w:val="22"/>
              </w:rPr>
              <w:t>Accuracy</w:t>
            </w:r>
          </w:p>
        </w:tc>
        <w:tc>
          <w:tcPr>
            <w:tcW w:w="3420" w:type="dxa"/>
            <w:tcBorders>
              <w:top w:val="nil"/>
              <w:left w:val="nil"/>
              <w:bottom w:val="single" w:sz="8" w:space="0" w:color="auto"/>
              <w:right w:val="single" w:sz="8" w:space="0" w:color="auto"/>
            </w:tcBorders>
            <w:shd w:val="clear" w:color="auto" w:fill="auto"/>
            <w:noWrap/>
            <w:vAlign w:val="center"/>
          </w:tcPr>
          <w:p w:rsidR="002D4502" w:rsidRPr="009B40BB" w:rsidRDefault="002D4502" w:rsidP="00630830">
            <w:pPr>
              <w:spacing w:line="240" w:lineRule="auto"/>
              <w:rPr>
                <w:rFonts w:asciiTheme="minorHAnsi" w:hAnsiTheme="minorHAnsi" w:cs="Times New Roman"/>
                <w:color w:val="000000"/>
                <w:sz w:val="22"/>
              </w:rPr>
            </w:pPr>
            <w:r w:rsidRPr="009B40BB">
              <w:rPr>
                <w:rFonts w:asciiTheme="minorHAnsi" w:hAnsiTheme="minorHAnsi" w:cs="Arial"/>
                <w:iCs/>
                <w:sz w:val="22"/>
              </w:rPr>
              <w:t xml:space="preserve">Uncertainty in data values is minimized, </w:t>
            </w:r>
            <w:r w:rsidRPr="009B40BB">
              <w:rPr>
                <w:rFonts w:asciiTheme="minorHAnsi" w:hAnsiTheme="minorHAnsi" w:cs="Arial"/>
                <w:i/>
                <w:iCs/>
                <w:sz w:val="22"/>
              </w:rPr>
              <w:t xml:space="preserve">and where estimates are required, an appropriate method is used and clearly </w:t>
            </w:r>
            <w:r w:rsidRPr="009B40BB">
              <w:rPr>
                <w:rFonts w:asciiTheme="minorHAnsi" w:hAnsiTheme="minorHAnsi" w:cs="Arial"/>
                <w:i/>
                <w:iCs/>
                <w:sz w:val="22"/>
              </w:rPr>
              <w:lastRenderedPageBreak/>
              <w:t>documented</w:t>
            </w:r>
          </w:p>
        </w:tc>
        <w:tc>
          <w:tcPr>
            <w:tcW w:w="4421" w:type="dxa"/>
            <w:tcBorders>
              <w:top w:val="nil"/>
              <w:left w:val="nil"/>
              <w:bottom w:val="single" w:sz="8" w:space="0" w:color="auto"/>
              <w:right w:val="single" w:sz="8" w:space="0" w:color="auto"/>
            </w:tcBorders>
            <w:shd w:val="clear" w:color="auto" w:fill="auto"/>
            <w:vAlign w:val="center"/>
          </w:tcPr>
          <w:p w:rsidR="002D4502" w:rsidRPr="009B40BB" w:rsidRDefault="002D4502" w:rsidP="00D50F92">
            <w:pPr>
              <w:spacing w:line="240" w:lineRule="auto"/>
              <w:rPr>
                <w:rFonts w:asciiTheme="minorHAnsi" w:hAnsiTheme="minorHAnsi" w:cs="Times New Roman"/>
                <w:color w:val="000000"/>
                <w:sz w:val="22"/>
              </w:rPr>
            </w:pPr>
            <w:r w:rsidRPr="009B40BB">
              <w:rPr>
                <w:rFonts w:asciiTheme="minorHAnsi" w:hAnsiTheme="minorHAnsi" w:cs="Times New Roman"/>
                <w:b/>
                <w:color w:val="000000"/>
                <w:sz w:val="22"/>
              </w:rPr>
              <w:lastRenderedPageBreak/>
              <w:t>SATISFACTORY</w:t>
            </w:r>
            <w:r w:rsidR="00D50F92" w:rsidRPr="009B40BB">
              <w:rPr>
                <w:rFonts w:asciiTheme="minorHAnsi" w:hAnsiTheme="minorHAnsi" w:cs="Times New Roman"/>
                <w:b/>
                <w:color w:val="000000"/>
                <w:sz w:val="22"/>
              </w:rPr>
              <w:t xml:space="preserve"> to ROBUST</w:t>
            </w:r>
            <w:r w:rsidRPr="009B40BB">
              <w:rPr>
                <w:rFonts w:asciiTheme="minorHAnsi" w:hAnsiTheme="minorHAnsi" w:cs="Times New Roman"/>
                <w:color w:val="000000"/>
                <w:sz w:val="22"/>
              </w:rPr>
              <w:t>.</w:t>
            </w:r>
            <w:r w:rsidR="00A374C7" w:rsidRPr="009B40BB">
              <w:rPr>
                <w:rFonts w:asciiTheme="minorHAnsi" w:hAnsiTheme="minorHAnsi" w:cs="Times New Roman"/>
                <w:color w:val="000000"/>
                <w:sz w:val="22"/>
              </w:rPr>
              <w:t xml:space="preserve"> </w:t>
            </w:r>
            <w:r w:rsidRPr="009B40BB">
              <w:rPr>
                <w:rFonts w:asciiTheme="minorHAnsi" w:hAnsiTheme="minorHAnsi" w:cs="Times New Roman"/>
                <w:color w:val="000000"/>
                <w:sz w:val="22"/>
              </w:rPr>
              <w:t>Particularly with regard to the data from jurisdictions running tracking systems.</w:t>
            </w:r>
            <w:r w:rsidR="00A374C7" w:rsidRPr="009B40BB">
              <w:rPr>
                <w:rFonts w:asciiTheme="minorHAnsi" w:hAnsiTheme="minorHAnsi" w:cs="Times New Roman"/>
                <w:color w:val="000000"/>
                <w:sz w:val="22"/>
              </w:rPr>
              <w:t xml:space="preserve"> </w:t>
            </w:r>
            <w:r w:rsidR="00D50F92" w:rsidRPr="009B40BB">
              <w:rPr>
                <w:rFonts w:asciiTheme="minorHAnsi" w:hAnsiTheme="minorHAnsi" w:cs="Times New Roman"/>
                <w:color w:val="000000"/>
                <w:sz w:val="22"/>
              </w:rPr>
              <w:t xml:space="preserve">This has been enhanced substantially in 2014 with the introduction of </w:t>
            </w:r>
            <w:r w:rsidR="00D50F92" w:rsidRPr="009B40BB">
              <w:rPr>
                <w:rFonts w:asciiTheme="minorHAnsi" w:hAnsiTheme="minorHAnsi" w:cs="Times New Roman"/>
                <w:color w:val="000000"/>
                <w:sz w:val="22"/>
              </w:rPr>
              <w:lastRenderedPageBreak/>
              <w:t>an agreed mapping approach for translating jurisdictional classifications to an agreed national classification set, guidelines for its use and templates for calculating estimates.</w:t>
            </w:r>
            <w:r w:rsidR="00A374C7" w:rsidRPr="009B40BB">
              <w:rPr>
                <w:rFonts w:asciiTheme="minorHAnsi" w:hAnsiTheme="minorHAnsi" w:cs="Times New Roman"/>
                <w:color w:val="000000"/>
                <w:sz w:val="22"/>
              </w:rPr>
              <w:t xml:space="preserve"> </w:t>
            </w:r>
            <w:r w:rsidR="00D50F92" w:rsidRPr="009B40BB">
              <w:rPr>
                <w:rFonts w:asciiTheme="minorHAnsi" w:hAnsiTheme="minorHAnsi" w:cs="Times New Roman"/>
                <w:color w:val="000000"/>
                <w:sz w:val="22"/>
              </w:rPr>
              <w:t>Not quite robust yet but better than satisfactory in comparison with other waste data in Australia.</w:t>
            </w:r>
          </w:p>
        </w:tc>
      </w:tr>
      <w:tr w:rsidR="002D4502" w:rsidRPr="009B40BB" w:rsidTr="00964CC6">
        <w:trPr>
          <w:trHeight w:val="330"/>
          <w:jc w:val="center"/>
        </w:trPr>
        <w:tc>
          <w:tcPr>
            <w:tcW w:w="1556" w:type="dxa"/>
            <w:tcBorders>
              <w:top w:val="nil"/>
              <w:left w:val="single" w:sz="8" w:space="0" w:color="auto"/>
              <w:bottom w:val="single" w:sz="8" w:space="0" w:color="auto"/>
              <w:right w:val="single" w:sz="8" w:space="0" w:color="auto"/>
            </w:tcBorders>
            <w:shd w:val="clear" w:color="auto" w:fill="auto"/>
            <w:noWrap/>
            <w:vAlign w:val="center"/>
          </w:tcPr>
          <w:p w:rsidR="002D4502" w:rsidRPr="009B40BB" w:rsidRDefault="002D4502" w:rsidP="00630830">
            <w:pPr>
              <w:spacing w:line="240" w:lineRule="auto"/>
              <w:rPr>
                <w:rFonts w:asciiTheme="minorHAnsi" w:hAnsiTheme="minorHAnsi" w:cs="Times New Roman"/>
                <w:color w:val="000000"/>
                <w:sz w:val="22"/>
              </w:rPr>
            </w:pPr>
            <w:r w:rsidRPr="009B40BB">
              <w:rPr>
                <w:rFonts w:asciiTheme="minorHAnsi" w:hAnsiTheme="minorHAnsi" w:cs="Times New Roman"/>
                <w:color w:val="000000"/>
                <w:sz w:val="22"/>
              </w:rPr>
              <w:lastRenderedPageBreak/>
              <w:t>Completeness</w:t>
            </w:r>
          </w:p>
        </w:tc>
        <w:tc>
          <w:tcPr>
            <w:tcW w:w="3420" w:type="dxa"/>
            <w:tcBorders>
              <w:top w:val="nil"/>
              <w:left w:val="nil"/>
              <w:bottom w:val="single" w:sz="8" w:space="0" w:color="auto"/>
              <w:right w:val="single" w:sz="8" w:space="0" w:color="auto"/>
            </w:tcBorders>
            <w:shd w:val="clear" w:color="auto" w:fill="auto"/>
            <w:noWrap/>
            <w:vAlign w:val="center"/>
          </w:tcPr>
          <w:p w:rsidR="002D4502" w:rsidRPr="009B40BB" w:rsidRDefault="002D4502" w:rsidP="00630830">
            <w:pPr>
              <w:spacing w:line="240" w:lineRule="auto"/>
              <w:rPr>
                <w:rFonts w:asciiTheme="minorHAnsi" w:hAnsiTheme="minorHAnsi" w:cs="Times New Roman"/>
                <w:color w:val="000000"/>
                <w:sz w:val="22"/>
              </w:rPr>
            </w:pPr>
            <w:r w:rsidRPr="009B40BB">
              <w:rPr>
                <w:rFonts w:asciiTheme="minorHAnsi" w:hAnsiTheme="minorHAnsi" w:cs="Arial"/>
                <w:iCs/>
                <w:sz w:val="22"/>
              </w:rPr>
              <w:t>All sources within state boundaries are identified and accounted for</w:t>
            </w:r>
          </w:p>
        </w:tc>
        <w:tc>
          <w:tcPr>
            <w:tcW w:w="4421" w:type="dxa"/>
            <w:tcBorders>
              <w:top w:val="nil"/>
              <w:left w:val="nil"/>
              <w:bottom w:val="single" w:sz="8" w:space="0" w:color="auto"/>
              <w:right w:val="single" w:sz="8" w:space="0" w:color="auto"/>
            </w:tcBorders>
            <w:shd w:val="clear" w:color="auto" w:fill="auto"/>
            <w:vAlign w:val="center"/>
          </w:tcPr>
          <w:p w:rsidR="002D4502" w:rsidRPr="009B40BB" w:rsidRDefault="00D50F92" w:rsidP="002E3088">
            <w:pPr>
              <w:spacing w:line="240" w:lineRule="auto"/>
              <w:rPr>
                <w:rFonts w:asciiTheme="minorHAnsi" w:hAnsiTheme="minorHAnsi" w:cs="Times New Roman"/>
                <w:color w:val="000000"/>
                <w:sz w:val="22"/>
              </w:rPr>
            </w:pPr>
            <w:r w:rsidRPr="009B40BB">
              <w:rPr>
                <w:rFonts w:asciiTheme="minorHAnsi" w:hAnsiTheme="minorHAnsi" w:cs="Times New Roman"/>
                <w:b/>
                <w:color w:val="000000"/>
                <w:sz w:val="22"/>
              </w:rPr>
              <w:t>SATISFACTORY</w:t>
            </w:r>
            <w:r w:rsidRPr="009B40BB">
              <w:rPr>
                <w:rFonts w:asciiTheme="minorHAnsi" w:hAnsiTheme="minorHAnsi" w:cs="Times New Roman"/>
                <w:color w:val="000000"/>
                <w:sz w:val="22"/>
              </w:rPr>
              <w:t>.</w:t>
            </w:r>
            <w:r w:rsidR="00A374C7" w:rsidRPr="009B40BB">
              <w:rPr>
                <w:rFonts w:asciiTheme="minorHAnsi" w:hAnsiTheme="minorHAnsi" w:cs="Times New Roman"/>
                <w:color w:val="000000"/>
                <w:sz w:val="22"/>
              </w:rPr>
              <w:t xml:space="preserve"> </w:t>
            </w:r>
            <w:r w:rsidRPr="009B40BB">
              <w:rPr>
                <w:rFonts w:asciiTheme="minorHAnsi" w:hAnsiTheme="minorHAnsi" w:cs="Times New Roman"/>
                <w:color w:val="000000"/>
                <w:sz w:val="22"/>
              </w:rPr>
              <w:t>Within the context of what Basel (and the NEPM classifications) consider hazardous wastes, this ranges from questionable in smaller jurisdictions without tracking systems to robust in larger jurisdictions with tracking systems.</w:t>
            </w:r>
            <w:r w:rsidR="00A374C7" w:rsidRPr="009B40BB">
              <w:rPr>
                <w:rFonts w:asciiTheme="minorHAnsi" w:hAnsiTheme="minorHAnsi" w:cs="Times New Roman"/>
                <w:color w:val="000000"/>
                <w:sz w:val="22"/>
              </w:rPr>
              <w:t xml:space="preserve"> </w:t>
            </w:r>
            <w:r w:rsidRPr="009B40BB">
              <w:rPr>
                <w:rFonts w:asciiTheme="minorHAnsi" w:hAnsiTheme="minorHAnsi" w:cs="Times New Roman"/>
                <w:color w:val="000000"/>
                <w:sz w:val="22"/>
              </w:rPr>
              <w:t>There has been a major improvement in completeness as a result of the collation tools of this project.</w:t>
            </w:r>
            <w:r w:rsidR="0065463B">
              <w:rPr>
                <w:rFonts w:asciiTheme="minorHAnsi" w:hAnsiTheme="minorHAnsi" w:cs="Times New Roman"/>
                <w:color w:val="000000"/>
                <w:sz w:val="22"/>
              </w:rPr>
              <w:t xml:space="preserve"> </w:t>
            </w:r>
            <w:r w:rsidR="002E3088">
              <w:rPr>
                <w:rFonts w:asciiTheme="minorHAnsi" w:hAnsiTheme="minorHAnsi" w:cs="Times New Roman"/>
                <w:color w:val="000000"/>
                <w:sz w:val="22"/>
              </w:rPr>
              <w:t>Although jurisdictionally variable, o</w:t>
            </w:r>
            <w:r w:rsidRPr="009B40BB">
              <w:rPr>
                <w:rFonts w:asciiTheme="minorHAnsi" w:hAnsiTheme="minorHAnsi" w:cs="Times New Roman"/>
                <w:color w:val="000000"/>
                <w:sz w:val="22"/>
              </w:rPr>
              <w:t xml:space="preserve">verall </w:t>
            </w:r>
            <w:r w:rsidR="002E3088">
              <w:rPr>
                <w:rFonts w:asciiTheme="minorHAnsi" w:hAnsiTheme="minorHAnsi" w:cs="Times New Roman"/>
                <w:color w:val="000000"/>
                <w:sz w:val="22"/>
              </w:rPr>
              <w:t xml:space="preserve">it is </w:t>
            </w:r>
            <w:r w:rsidRPr="009B40BB">
              <w:rPr>
                <w:rFonts w:asciiTheme="minorHAnsi" w:hAnsiTheme="minorHAnsi" w:cs="Times New Roman"/>
                <w:color w:val="000000"/>
                <w:sz w:val="22"/>
              </w:rPr>
              <w:t>rated as satisfactory.</w:t>
            </w:r>
          </w:p>
        </w:tc>
      </w:tr>
      <w:tr w:rsidR="002D4502" w:rsidRPr="009B40BB" w:rsidTr="00964CC6">
        <w:trPr>
          <w:trHeight w:val="330"/>
          <w:jc w:val="center"/>
        </w:trPr>
        <w:tc>
          <w:tcPr>
            <w:tcW w:w="1556" w:type="dxa"/>
            <w:tcBorders>
              <w:top w:val="nil"/>
              <w:left w:val="single" w:sz="8" w:space="0" w:color="auto"/>
              <w:bottom w:val="single" w:sz="8" w:space="0" w:color="auto"/>
              <w:right w:val="single" w:sz="8" w:space="0" w:color="auto"/>
            </w:tcBorders>
            <w:shd w:val="clear" w:color="auto" w:fill="auto"/>
            <w:noWrap/>
            <w:vAlign w:val="center"/>
          </w:tcPr>
          <w:p w:rsidR="002D4502" w:rsidRPr="009B40BB" w:rsidRDefault="002D4502" w:rsidP="00630830">
            <w:pPr>
              <w:spacing w:line="240" w:lineRule="auto"/>
              <w:rPr>
                <w:rFonts w:asciiTheme="minorHAnsi" w:hAnsiTheme="minorHAnsi" w:cs="Times New Roman"/>
                <w:color w:val="000000"/>
                <w:sz w:val="22"/>
              </w:rPr>
            </w:pPr>
            <w:r w:rsidRPr="009B40BB">
              <w:rPr>
                <w:rFonts w:asciiTheme="minorHAnsi" w:hAnsiTheme="minorHAnsi" w:cs="Times New Roman"/>
                <w:color w:val="000000"/>
                <w:sz w:val="22"/>
              </w:rPr>
              <w:t>Clarity</w:t>
            </w:r>
          </w:p>
        </w:tc>
        <w:tc>
          <w:tcPr>
            <w:tcW w:w="3420" w:type="dxa"/>
            <w:tcBorders>
              <w:top w:val="nil"/>
              <w:left w:val="nil"/>
              <w:bottom w:val="single" w:sz="8" w:space="0" w:color="auto"/>
              <w:right w:val="single" w:sz="8" w:space="0" w:color="auto"/>
            </w:tcBorders>
            <w:shd w:val="clear" w:color="auto" w:fill="auto"/>
            <w:noWrap/>
            <w:vAlign w:val="center"/>
          </w:tcPr>
          <w:p w:rsidR="002D4502" w:rsidRPr="009B40BB" w:rsidRDefault="002D4502" w:rsidP="00630830">
            <w:pPr>
              <w:spacing w:line="240" w:lineRule="auto"/>
              <w:rPr>
                <w:rFonts w:asciiTheme="minorHAnsi" w:hAnsiTheme="minorHAnsi" w:cs="Times New Roman"/>
                <w:color w:val="000000"/>
                <w:sz w:val="22"/>
              </w:rPr>
            </w:pPr>
            <w:r w:rsidRPr="009B40BB">
              <w:rPr>
                <w:rFonts w:asciiTheme="minorHAnsi" w:hAnsiTheme="minorHAnsi" w:cs="Times New Roman"/>
                <w:color w:val="000000"/>
                <w:sz w:val="22"/>
              </w:rPr>
              <w:t>Information is understandable and accessible</w:t>
            </w:r>
          </w:p>
        </w:tc>
        <w:tc>
          <w:tcPr>
            <w:tcW w:w="4421" w:type="dxa"/>
            <w:tcBorders>
              <w:top w:val="nil"/>
              <w:left w:val="nil"/>
              <w:bottom w:val="single" w:sz="8" w:space="0" w:color="auto"/>
              <w:right w:val="single" w:sz="8" w:space="0" w:color="auto"/>
            </w:tcBorders>
            <w:shd w:val="clear" w:color="auto" w:fill="auto"/>
            <w:vAlign w:val="center"/>
          </w:tcPr>
          <w:p w:rsidR="002D4502" w:rsidRPr="009B40BB" w:rsidRDefault="00D50F92" w:rsidP="00630830">
            <w:pPr>
              <w:spacing w:line="240" w:lineRule="auto"/>
              <w:rPr>
                <w:rFonts w:asciiTheme="minorHAnsi" w:hAnsiTheme="minorHAnsi" w:cs="Times New Roman"/>
                <w:color w:val="000000"/>
                <w:sz w:val="22"/>
              </w:rPr>
            </w:pPr>
            <w:r w:rsidRPr="009B40BB">
              <w:rPr>
                <w:rFonts w:asciiTheme="minorHAnsi" w:hAnsiTheme="minorHAnsi" w:cs="Times New Roman"/>
                <w:b/>
                <w:color w:val="000000"/>
                <w:sz w:val="22"/>
              </w:rPr>
              <w:t>ROBUST</w:t>
            </w:r>
            <w:r w:rsidRPr="009B40BB">
              <w:rPr>
                <w:rFonts w:asciiTheme="minorHAnsi" w:hAnsiTheme="minorHAnsi" w:cs="Times New Roman"/>
                <w:color w:val="000000"/>
                <w:sz w:val="22"/>
              </w:rPr>
              <w:t>.</w:t>
            </w:r>
            <w:r w:rsidR="00A374C7" w:rsidRPr="009B40BB">
              <w:rPr>
                <w:rFonts w:asciiTheme="minorHAnsi" w:hAnsiTheme="minorHAnsi" w:cs="Times New Roman"/>
                <w:color w:val="000000"/>
                <w:sz w:val="22"/>
              </w:rPr>
              <w:t xml:space="preserve"> </w:t>
            </w:r>
            <w:r w:rsidR="00F37052" w:rsidRPr="009B40BB">
              <w:rPr>
                <w:rFonts w:asciiTheme="minorHAnsi" w:hAnsiTheme="minorHAnsi" w:cs="Times New Roman"/>
                <w:color w:val="000000"/>
                <w:sz w:val="22"/>
              </w:rPr>
              <w:t>On account of the very recent efforts of the Department of Environment to publish national hazardous waste data, broken down by jurisdiction and waste classification, including spreadsheets of underlying data, this principle has increased substantially in the last two years.</w:t>
            </w:r>
          </w:p>
        </w:tc>
      </w:tr>
      <w:tr w:rsidR="00F37052" w:rsidRPr="009B40BB" w:rsidTr="00964CC6">
        <w:trPr>
          <w:trHeight w:val="330"/>
          <w:jc w:val="center"/>
        </w:trPr>
        <w:tc>
          <w:tcPr>
            <w:tcW w:w="1556" w:type="dxa"/>
            <w:tcBorders>
              <w:top w:val="nil"/>
              <w:left w:val="single" w:sz="8" w:space="0" w:color="auto"/>
              <w:bottom w:val="single" w:sz="8" w:space="0" w:color="auto"/>
              <w:right w:val="single" w:sz="8" w:space="0" w:color="auto"/>
            </w:tcBorders>
            <w:shd w:val="clear" w:color="auto" w:fill="auto"/>
            <w:noWrap/>
            <w:vAlign w:val="center"/>
          </w:tcPr>
          <w:p w:rsidR="00F37052" w:rsidRPr="009B40BB" w:rsidRDefault="00F37052" w:rsidP="00630830">
            <w:pPr>
              <w:spacing w:line="240" w:lineRule="auto"/>
              <w:rPr>
                <w:rFonts w:asciiTheme="minorHAnsi" w:hAnsiTheme="minorHAnsi" w:cs="Times New Roman"/>
                <w:color w:val="000000"/>
                <w:sz w:val="22"/>
              </w:rPr>
            </w:pPr>
            <w:r w:rsidRPr="009B40BB">
              <w:rPr>
                <w:rFonts w:asciiTheme="minorHAnsi" w:hAnsiTheme="minorHAnsi" w:cs="Times New Roman"/>
                <w:color w:val="000000"/>
                <w:sz w:val="22"/>
              </w:rPr>
              <w:t>Timeliness</w:t>
            </w:r>
          </w:p>
        </w:tc>
        <w:tc>
          <w:tcPr>
            <w:tcW w:w="3420" w:type="dxa"/>
            <w:tcBorders>
              <w:top w:val="nil"/>
              <w:left w:val="nil"/>
              <w:bottom w:val="single" w:sz="8" w:space="0" w:color="auto"/>
              <w:right w:val="single" w:sz="8" w:space="0" w:color="auto"/>
            </w:tcBorders>
            <w:shd w:val="clear" w:color="auto" w:fill="auto"/>
            <w:noWrap/>
            <w:vAlign w:val="center"/>
          </w:tcPr>
          <w:p w:rsidR="00F37052" w:rsidRPr="009B40BB" w:rsidRDefault="00F37052" w:rsidP="00630830">
            <w:pPr>
              <w:spacing w:line="240" w:lineRule="auto"/>
              <w:rPr>
                <w:rFonts w:asciiTheme="minorHAnsi" w:hAnsiTheme="minorHAnsi" w:cs="Times New Roman"/>
                <w:color w:val="000000"/>
                <w:sz w:val="22"/>
              </w:rPr>
            </w:pPr>
            <w:r w:rsidRPr="009B40BB">
              <w:rPr>
                <w:rFonts w:asciiTheme="minorHAnsi" w:hAnsiTheme="minorHAnsi" w:cs="Times New Roman"/>
                <w:color w:val="000000"/>
                <w:sz w:val="22"/>
              </w:rPr>
              <w:t>Reporting is occurring on a regular schedule, within a suitable timeframe to enable informed decisions to be made.</w:t>
            </w:r>
          </w:p>
        </w:tc>
        <w:tc>
          <w:tcPr>
            <w:tcW w:w="4421" w:type="dxa"/>
            <w:tcBorders>
              <w:top w:val="nil"/>
              <w:left w:val="nil"/>
              <w:bottom w:val="single" w:sz="8" w:space="0" w:color="auto"/>
              <w:right w:val="single" w:sz="8" w:space="0" w:color="auto"/>
            </w:tcBorders>
            <w:shd w:val="clear" w:color="auto" w:fill="auto"/>
            <w:vAlign w:val="center"/>
          </w:tcPr>
          <w:p w:rsidR="00F37052" w:rsidRPr="009B40BB" w:rsidRDefault="00F37052" w:rsidP="00F37052">
            <w:pPr>
              <w:spacing w:line="240" w:lineRule="auto"/>
              <w:rPr>
                <w:rFonts w:asciiTheme="minorHAnsi" w:hAnsiTheme="minorHAnsi" w:cs="Times New Roman"/>
                <w:color w:val="000000"/>
                <w:sz w:val="22"/>
              </w:rPr>
            </w:pPr>
            <w:r w:rsidRPr="009B40BB">
              <w:rPr>
                <w:rFonts w:asciiTheme="minorHAnsi" w:hAnsiTheme="minorHAnsi" w:cs="Times New Roman"/>
                <w:b/>
                <w:color w:val="000000"/>
                <w:sz w:val="22"/>
              </w:rPr>
              <w:t>SATISFACTORY</w:t>
            </w:r>
            <w:r w:rsidRPr="009B40BB">
              <w:rPr>
                <w:rFonts w:asciiTheme="minorHAnsi" w:hAnsiTheme="minorHAnsi" w:cs="Times New Roman"/>
                <w:color w:val="000000"/>
                <w:sz w:val="22"/>
              </w:rPr>
              <w:t>.</w:t>
            </w:r>
            <w:r w:rsidR="00A374C7" w:rsidRPr="009B40BB">
              <w:rPr>
                <w:rFonts w:asciiTheme="minorHAnsi" w:hAnsiTheme="minorHAnsi" w:cs="Times New Roman"/>
                <w:color w:val="000000"/>
                <w:sz w:val="22"/>
              </w:rPr>
              <w:t xml:space="preserve"> </w:t>
            </w:r>
            <w:r w:rsidRPr="009B40BB">
              <w:rPr>
                <w:rFonts w:asciiTheme="minorHAnsi" w:hAnsiTheme="minorHAnsi" w:cs="Times New Roman"/>
                <w:color w:val="000000"/>
                <w:sz w:val="22"/>
              </w:rPr>
              <w:t>Again, this rating owes itself to more recent efforts to both improve on Basel data collection and publish national data sets.</w:t>
            </w:r>
            <w:r w:rsidR="00A374C7" w:rsidRPr="009B40BB">
              <w:rPr>
                <w:rFonts w:asciiTheme="minorHAnsi" w:hAnsiTheme="minorHAnsi" w:cs="Times New Roman"/>
                <w:color w:val="000000"/>
                <w:sz w:val="22"/>
              </w:rPr>
              <w:t xml:space="preserve"> </w:t>
            </w:r>
            <w:r w:rsidRPr="009B40BB">
              <w:rPr>
                <w:rFonts w:asciiTheme="minorHAnsi" w:hAnsiTheme="minorHAnsi" w:cs="Times New Roman"/>
                <w:color w:val="000000"/>
                <w:sz w:val="22"/>
              </w:rPr>
              <w:t>Timing will improve through the use of the streamlined and simplified reporting tools made available through this project.</w:t>
            </w:r>
            <w:r w:rsidR="00A374C7" w:rsidRPr="009B40BB">
              <w:rPr>
                <w:rFonts w:asciiTheme="minorHAnsi" w:hAnsiTheme="minorHAnsi" w:cs="Times New Roman"/>
                <w:color w:val="000000"/>
                <w:sz w:val="22"/>
              </w:rPr>
              <w:t xml:space="preserve"> </w:t>
            </w:r>
            <w:r w:rsidRPr="009B40BB">
              <w:rPr>
                <w:rFonts w:asciiTheme="minorHAnsi" w:hAnsiTheme="minorHAnsi" w:cs="Times New Roman"/>
                <w:color w:val="000000"/>
                <w:sz w:val="22"/>
              </w:rPr>
              <w:t>This principle is likely to improve to a higher rating if reporting arrangements developed now bed down over the next couple of years.</w:t>
            </w:r>
          </w:p>
        </w:tc>
      </w:tr>
    </w:tbl>
    <w:p w:rsidR="00630830" w:rsidRPr="009B40BB" w:rsidRDefault="00630830" w:rsidP="00837A33">
      <w:pPr>
        <w:pStyle w:val="BodyText"/>
      </w:pPr>
    </w:p>
    <w:p w:rsidR="004537BE" w:rsidRPr="009B40BB" w:rsidRDefault="00A83CEC" w:rsidP="00F37052">
      <w:pPr>
        <w:spacing w:line="240" w:lineRule="auto"/>
        <w:rPr>
          <w:sz w:val="22"/>
        </w:rPr>
      </w:pPr>
      <w:r w:rsidRPr="009B40BB">
        <w:rPr>
          <w:sz w:val="22"/>
        </w:rPr>
        <w:t>Overall</w:t>
      </w:r>
      <w:r w:rsidR="00F37052" w:rsidRPr="009B40BB">
        <w:rPr>
          <w:sz w:val="22"/>
        </w:rPr>
        <w:t xml:space="preserve"> data quality has improved substantially through the tools and outcomes arising from this project.</w:t>
      </w:r>
      <w:r w:rsidR="00A374C7" w:rsidRPr="009B40BB">
        <w:rPr>
          <w:sz w:val="22"/>
        </w:rPr>
        <w:t xml:space="preserve"> </w:t>
      </w:r>
      <w:r w:rsidR="00F37052" w:rsidRPr="009B40BB">
        <w:rPr>
          <w:sz w:val="22"/>
        </w:rPr>
        <w:t>This is confirmed through assessment of the assessment of Table 4 against the 2009 Net Balance assessment shown in Table 5.</w:t>
      </w:r>
    </w:p>
    <w:p w:rsidR="00F37052" w:rsidRPr="009B40BB" w:rsidRDefault="00F37052" w:rsidP="00F37052">
      <w:pPr>
        <w:spacing w:line="240" w:lineRule="auto"/>
      </w:pPr>
    </w:p>
    <w:p w:rsidR="004537BE" w:rsidRPr="009B40BB" w:rsidRDefault="004537BE" w:rsidP="004537BE">
      <w:pPr>
        <w:pStyle w:val="Figures"/>
      </w:pPr>
      <w:r w:rsidRPr="009B40BB">
        <w:t xml:space="preserve">Table 5: </w:t>
      </w:r>
      <w:r w:rsidRPr="009B40BB">
        <w:tab/>
        <w:t>2009 data assessment against data quality principles</w:t>
      </w:r>
    </w:p>
    <w:tbl>
      <w:tblPr>
        <w:tblW w:w="0" w:type="auto"/>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tblPr>
      <w:tblGrid>
        <w:gridCol w:w="2084"/>
        <w:gridCol w:w="2083"/>
        <w:gridCol w:w="2083"/>
      </w:tblGrid>
      <w:tr w:rsidR="004537BE" w:rsidRPr="009B40BB" w:rsidTr="004537BE">
        <w:tc>
          <w:tcPr>
            <w:tcW w:w="2084" w:type="dxa"/>
            <w:shd w:val="clear" w:color="auto" w:fill="E36C0A"/>
          </w:tcPr>
          <w:p w:rsidR="004537BE" w:rsidRPr="009B40BB" w:rsidRDefault="004537BE" w:rsidP="004537BE">
            <w:pPr>
              <w:pStyle w:val="TableText"/>
              <w:rPr>
                <w:rStyle w:val="TableTextBold"/>
              </w:rPr>
            </w:pPr>
            <w:r w:rsidRPr="009B40BB">
              <w:rPr>
                <w:rStyle w:val="TableTextBold"/>
              </w:rPr>
              <w:t>Principles</w:t>
            </w:r>
          </w:p>
        </w:tc>
        <w:tc>
          <w:tcPr>
            <w:tcW w:w="2083" w:type="dxa"/>
            <w:shd w:val="clear" w:color="auto" w:fill="E36C0A"/>
          </w:tcPr>
          <w:p w:rsidR="004537BE" w:rsidRPr="009B40BB" w:rsidRDefault="004537BE" w:rsidP="004537BE">
            <w:pPr>
              <w:pStyle w:val="TableText"/>
              <w:rPr>
                <w:rStyle w:val="TableTextBold"/>
              </w:rPr>
            </w:pPr>
            <w:r w:rsidRPr="009B40BB">
              <w:rPr>
                <w:rStyle w:val="TableTextBold"/>
              </w:rPr>
              <w:t>Hazardous Waste tracking System</w:t>
            </w:r>
          </w:p>
        </w:tc>
        <w:tc>
          <w:tcPr>
            <w:tcW w:w="2083" w:type="dxa"/>
            <w:shd w:val="clear" w:color="auto" w:fill="E36C0A"/>
          </w:tcPr>
          <w:p w:rsidR="004537BE" w:rsidRPr="009B40BB" w:rsidRDefault="004537BE" w:rsidP="004537BE">
            <w:pPr>
              <w:pStyle w:val="TableText"/>
              <w:rPr>
                <w:rStyle w:val="TableTextBold"/>
              </w:rPr>
            </w:pPr>
            <w:r w:rsidRPr="009B40BB">
              <w:rPr>
                <w:rStyle w:val="TableTextBold"/>
              </w:rPr>
              <w:t>Hazardous Waste Generation</w:t>
            </w:r>
          </w:p>
        </w:tc>
      </w:tr>
      <w:tr w:rsidR="004537BE" w:rsidRPr="009B40BB" w:rsidTr="004537BE">
        <w:tc>
          <w:tcPr>
            <w:tcW w:w="2084" w:type="dxa"/>
            <w:shd w:val="clear" w:color="auto" w:fill="FDE9D9"/>
          </w:tcPr>
          <w:p w:rsidR="004537BE" w:rsidRPr="009B40BB" w:rsidRDefault="004537BE" w:rsidP="004537BE">
            <w:pPr>
              <w:pStyle w:val="TableText"/>
              <w:rPr>
                <w:rStyle w:val="TableTextBold"/>
              </w:rPr>
            </w:pPr>
            <w:r w:rsidRPr="009B40BB">
              <w:rPr>
                <w:rStyle w:val="TableTextBold"/>
              </w:rPr>
              <w:t>Transparency</w:t>
            </w:r>
          </w:p>
        </w:tc>
        <w:tc>
          <w:tcPr>
            <w:tcW w:w="2083" w:type="dxa"/>
            <w:shd w:val="clear" w:color="auto" w:fill="FFFFFF"/>
          </w:tcPr>
          <w:p w:rsidR="004537BE" w:rsidRPr="009B40BB" w:rsidRDefault="004537BE" w:rsidP="004537BE">
            <w:pPr>
              <w:pStyle w:val="TableText"/>
              <w:rPr>
                <w:rStyle w:val="TableTextBold"/>
                <w:b w:val="0"/>
              </w:rPr>
            </w:pPr>
            <w:r w:rsidRPr="009B40BB">
              <w:rPr>
                <w:rStyle w:val="TableTextBold"/>
                <w:b w:val="0"/>
              </w:rPr>
              <w:t>Robust</w:t>
            </w:r>
          </w:p>
        </w:tc>
        <w:tc>
          <w:tcPr>
            <w:tcW w:w="2083" w:type="dxa"/>
            <w:shd w:val="clear" w:color="auto" w:fill="FFFFFF"/>
          </w:tcPr>
          <w:p w:rsidR="004537BE" w:rsidRPr="009B40BB" w:rsidRDefault="004537BE" w:rsidP="004537BE">
            <w:pPr>
              <w:pStyle w:val="TableText"/>
              <w:rPr>
                <w:rStyle w:val="TableTextBold"/>
                <w:b w:val="0"/>
              </w:rPr>
            </w:pPr>
            <w:r w:rsidRPr="009B40BB">
              <w:rPr>
                <w:rStyle w:val="TableTextBold"/>
                <w:b w:val="0"/>
              </w:rPr>
              <w:t>Questionable</w:t>
            </w:r>
          </w:p>
        </w:tc>
      </w:tr>
      <w:tr w:rsidR="004537BE" w:rsidRPr="009B40BB" w:rsidTr="004537BE">
        <w:tc>
          <w:tcPr>
            <w:tcW w:w="2084" w:type="dxa"/>
            <w:tcBorders>
              <w:top w:val="single" w:sz="8" w:space="0" w:color="000000"/>
              <w:left w:val="single" w:sz="8" w:space="0" w:color="000000"/>
              <w:bottom w:val="single" w:sz="8" w:space="0" w:color="000000"/>
              <w:right w:val="single" w:sz="8" w:space="0" w:color="000000"/>
              <w:tl2br w:val="nil"/>
              <w:tr2bl w:val="nil"/>
            </w:tcBorders>
            <w:shd w:val="clear" w:color="auto" w:fill="FDE9D9"/>
          </w:tcPr>
          <w:p w:rsidR="004537BE" w:rsidRPr="009B40BB" w:rsidRDefault="004537BE" w:rsidP="004537BE">
            <w:pPr>
              <w:pStyle w:val="TableText"/>
              <w:rPr>
                <w:rStyle w:val="TableTextBold"/>
              </w:rPr>
            </w:pPr>
            <w:r w:rsidRPr="009B40BB">
              <w:rPr>
                <w:rStyle w:val="TableTextBold"/>
              </w:rPr>
              <w:t>Comparability</w:t>
            </w:r>
          </w:p>
        </w:tc>
        <w:tc>
          <w:tcPr>
            <w:tcW w:w="2083" w:type="dxa"/>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4537BE" w:rsidRPr="009B40BB" w:rsidRDefault="004537BE" w:rsidP="004537BE">
            <w:pPr>
              <w:pStyle w:val="TableText"/>
              <w:rPr>
                <w:rStyle w:val="TableTextBold"/>
                <w:b w:val="0"/>
              </w:rPr>
            </w:pPr>
            <w:r w:rsidRPr="009B40BB">
              <w:rPr>
                <w:rStyle w:val="TableTextBold"/>
                <w:b w:val="0"/>
              </w:rPr>
              <w:t>Satisfactory</w:t>
            </w:r>
          </w:p>
        </w:tc>
        <w:tc>
          <w:tcPr>
            <w:tcW w:w="2083" w:type="dxa"/>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4537BE" w:rsidRPr="009B40BB" w:rsidRDefault="004537BE" w:rsidP="004537BE">
            <w:pPr>
              <w:pStyle w:val="TableText"/>
              <w:rPr>
                <w:rStyle w:val="TableTextBold"/>
                <w:b w:val="0"/>
              </w:rPr>
            </w:pPr>
            <w:r w:rsidRPr="009B40BB">
              <w:rPr>
                <w:rStyle w:val="TableTextBold"/>
                <w:b w:val="0"/>
              </w:rPr>
              <w:t>Satisfactory</w:t>
            </w:r>
          </w:p>
        </w:tc>
      </w:tr>
      <w:tr w:rsidR="004537BE" w:rsidRPr="009B40BB" w:rsidTr="004537BE">
        <w:tc>
          <w:tcPr>
            <w:tcW w:w="2084" w:type="dxa"/>
            <w:shd w:val="clear" w:color="auto" w:fill="FDE9D9"/>
          </w:tcPr>
          <w:p w:rsidR="004537BE" w:rsidRPr="009B40BB" w:rsidRDefault="004537BE" w:rsidP="004537BE">
            <w:pPr>
              <w:pStyle w:val="TableText"/>
              <w:rPr>
                <w:rStyle w:val="TableTextBold"/>
              </w:rPr>
            </w:pPr>
            <w:r w:rsidRPr="009B40BB">
              <w:rPr>
                <w:rStyle w:val="TableTextBold"/>
              </w:rPr>
              <w:t>Accuracy</w:t>
            </w:r>
          </w:p>
        </w:tc>
        <w:tc>
          <w:tcPr>
            <w:tcW w:w="2083" w:type="dxa"/>
            <w:shd w:val="clear" w:color="auto" w:fill="FFFFFF"/>
          </w:tcPr>
          <w:p w:rsidR="004537BE" w:rsidRPr="009B40BB" w:rsidRDefault="004537BE" w:rsidP="004537BE">
            <w:pPr>
              <w:pStyle w:val="TableText"/>
              <w:rPr>
                <w:rStyle w:val="TableTextBold"/>
                <w:b w:val="0"/>
              </w:rPr>
            </w:pPr>
            <w:r w:rsidRPr="009B40BB">
              <w:rPr>
                <w:rStyle w:val="TableTextBold"/>
                <w:b w:val="0"/>
              </w:rPr>
              <w:t>Robust</w:t>
            </w:r>
          </w:p>
        </w:tc>
        <w:tc>
          <w:tcPr>
            <w:tcW w:w="2083" w:type="dxa"/>
            <w:shd w:val="clear" w:color="auto" w:fill="FFFFFF"/>
          </w:tcPr>
          <w:p w:rsidR="004537BE" w:rsidRPr="009B40BB" w:rsidRDefault="004537BE" w:rsidP="004537BE">
            <w:pPr>
              <w:pStyle w:val="TableText"/>
              <w:rPr>
                <w:rStyle w:val="TableTextBold"/>
                <w:b w:val="0"/>
              </w:rPr>
            </w:pPr>
            <w:r w:rsidRPr="009B40BB">
              <w:rPr>
                <w:rStyle w:val="TableTextBold"/>
                <w:b w:val="0"/>
              </w:rPr>
              <w:t>Questionable</w:t>
            </w:r>
          </w:p>
        </w:tc>
      </w:tr>
      <w:tr w:rsidR="004537BE" w:rsidRPr="009B40BB" w:rsidTr="004537BE">
        <w:tc>
          <w:tcPr>
            <w:tcW w:w="2084" w:type="dxa"/>
            <w:tcBorders>
              <w:top w:val="single" w:sz="8" w:space="0" w:color="000000"/>
              <w:left w:val="single" w:sz="8" w:space="0" w:color="000000"/>
              <w:bottom w:val="single" w:sz="8" w:space="0" w:color="000000"/>
              <w:right w:val="single" w:sz="8" w:space="0" w:color="000000"/>
              <w:tl2br w:val="nil"/>
              <w:tr2bl w:val="nil"/>
            </w:tcBorders>
            <w:shd w:val="clear" w:color="auto" w:fill="FDE9D9"/>
          </w:tcPr>
          <w:p w:rsidR="004537BE" w:rsidRPr="009B40BB" w:rsidRDefault="004537BE" w:rsidP="004537BE">
            <w:pPr>
              <w:pStyle w:val="TableText"/>
              <w:rPr>
                <w:rStyle w:val="TableTextBold"/>
              </w:rPr>
            </w:pPr>
            <w:r w:rsidRPr="009B40BB">
              <w:rPr>
                <w:rStyle w:val="TableTextBold"/>
              </w:rPr>
              <w:t>Completeness</w:t>
            </w:r>
          </w:p>
        </w:tc>
        <w:tc>
          <w:tcPr>
            <w:tcW w:w="2083" w:type="dxa"/>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4537BE" w:rsidRPr="009B40BB" w:rsidRDefault="004537BE" w:rsidP="004537BE">
            <w:pPr>
              <w:pStyle w:val="TableText"/>
              <w:rPr>
                <w:rStyle w:val="TableTextBold"/>
                <w:b w:val="0"/>
              </w:rPr>
            </w:pPr>
            <w:r w:rsidRPr="009B40BB">
              <w:rPr>
                <w:rStyle w:val="TableTextBold"/>
                <w:b w:val="0"/>
              </w:rPr>
              <w:t>Satisfactory</w:t>
            </w:r>
          </w:p>
        </w:tc>
        <w:tc>
          <w:tcPr>
            <w:tcW w:w="2083" w:type="dxa"/>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4537BE" w:rsidRPr="009B40BB" w:rsidRDefault="004537BE" w:rsidP="004537BE">
            <w:pPr>
              <w:pStyle w:val="TableText"/>
              <w:rPr>
                <w:rStyle w:val="TableTextBold"/>
                <w:b w:val="0"/>
              </w:rPr>
            </w:pPr>
            <w:r w:rsidRPr="009B40BB">
              <w:rPr>
                <w:rStyle w:val="TableTextBold"/>
                <w:b w:val="0"/>
              </w:rPr>
              <w:t>Questionable</w:t>
            </w:r>
          </w:p>
        </w:tc>
      </w:tr>
      <w:tr w:rsidR="004537BE" w:rsidRPr="009B40BB" w:rsidTr="004537BE">
        <w:tc>
          <w:tcPr>
            <w:tcW w:w="2084" w:type="dxa"/>
            <w:shd w:val="clear" w:color="auto" w:fill="FDE9D9"/>
          </w:tcPr>
          <w:p w:rsidR="004537BE" w:rsidRPr="009B40BB" w:rsidRDefault="004537BE" w:rsidP="004537BE">
            <w:pPr>
              <w:pStyle w:val="TableText"/>
              <w:rPr>
                <w:rStyle w:val="TableTextBold"/>
              </w:rPr>
            </w:pPr>
            <w:r w:rsidRPr="009B40BB">
              <w:rPr>
                <w:rStyle w:val="TableTextBold"/>
              </w:rPr>
              <w:t>Clarity</w:t>
            </w:r>
          </w:p>
        </w:tc>
        <w:tc>
          <w:tcPr>
            <w:tcW w:w="2083" w:type="dxa"/>
            <w:shd w:val="clear" w:color="auto" w:fill="FFFFFF"/>
          </w:tcPr>
          <w:p w:rsidR="004537BE" w:rsidRPr="009B40BB" w:rsidRDefault="004537BE" w:rsidP="004537BE">
            <w:pPr>
              <w:pStyle w:val="TableText"/>
              <w:rPr>
                <w:rStyle w:val="TableTextBold"/>
                <w:b w:val="0"/>
              </w:rPr>
            </w:pPr>
            <w:r w:rsidRPr="009B40BB">
              <w:rPr>
                <w:rStyle w:val="TableTextBold"/>
                <w:b w:val="0"/>
              </w:rPr>
              <w:t>Questionable</w:t>
            </w:r>
          </w:p>
        </w:tc>
        <w:tc>
          <w:tcPr>
            <w:tcW w:w="2083" w:type="dxa"/>
            <w:shd w:val="clear" w:color="auto" w:fill="FFFFFF"/>
          </w:tcPr>
          <w:p w:rsidR="004537BE" w:rsidRPr="009B40BB" w:rsidRDefault="004537BE" w:rsidP="004537BE">
            <w:pPr>
              <w:pStyle w:val="TableText"/>
              <w:rPr>
                <w:rStyle w:val="TableTextBold"/>
                <w:b w:val="0"/>
              </w:rPr>
            </w:pPr>
            <w:r w:rsidRPr="009B40BB">
              <w:rPr>
                <w:rStyle w:val="TableTextBold"/>
                <w:b w:val="0"/>
              </w:rPr>
              <w:t>Questionable</w:t>
            </w:r>
          </w:p>
        </w:tc>
      </w:tr>
      <w:tr w:rsidR="004537BE" w:rsidRPr="009B40BB" w:rsidTr="004537BE">
        <w:tc>
          <w:tcPr>
            <w:tcW w:w="2084" w:type="dxa"/>
            <w:tcBorders>
              <w:top w:val="single" w:sz="8" w:space="0" w:color="000000"/>
              <w:left w:val="single" w:sz="8" w:space="0" w:color="000000"/>
              <w:bottom w:val="single" w:sz="8" w:space="0" w:color="000000"/>
              <w:right w:val="single" w:sz="8" w:space="0" w:color="000000"/>
              <w:tl2br w:val="nil"/>
              <w:tr2bl w:val="nil"/>
            </w:tcBorders>
            <w:shd w:val="clear" w:color="auto" w:fill="FDE9D9"/>
          </w:tcPr>
          <w:p w:rsidR="004537BE" w:rsidRPr="009B40BB" w:rsidRDefault="004537BE" w:rsidP="004537BE">
            <w:pPr>
              <w:pStyle w:val="TableText"/>
              <w:rPr>
                <w:rStyle w:val="TableTextBold"/>
              </w:rPr>
            </w:pPr>
            <w:r w:rsidRPr="009B40BB">
              <w:rPr>
                <w:rStyle w:val="TableTextBold"/>
              </w:rPr>
              <w:t>Timeliness</w:t>
            </w:r>
          </w:p>
        </w:tc>
        <w:tc>
          <w:tcPr>
            <w:tcW w:w="2083" w:type="dxa"/>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4537BE" w:rsidRPr="009B40BB" w:rsidRDefault="004537BE" w:rsidP="004537BE">
            <w:pPr>
              <w:pStyle w:val="TableText"/>
              <w:rPr>
                <w:rStyle w:val="TableTextBold"/>
                <w:b w:val="0"/>
              </w:rPr>
            </w:pPr>
            <w:r w:rsidRPr="009B40BB">
              <w:rPr>
                <w:rStyle w:val="TableTextBold"/>
                <w:b w:val="0"/>
              </w:rPr>
              <w:t>Robust</w:t>
            </w:r>
          </w:p>
        </w:tc>
        <w:tc>
          <w:tcPr>
            <w:tcW w:w="2083" w:type="dxa"/>
            <w:tcBorders>
              <w:top w:val="single" w:sz="8" w:space="0" w:color="000000"/>
              <w:left w:val="single" w:sz="8" w:space="0" w:color="000000"/>
              <w:bottom w:val="single" w:sz="8" w:space="0" w:color="000000"/>
              <w:right w:val="single" w:sz="8" w:space="0" w:color="000000"/>
              <w:tl2br w:val="nil"/>
              <w:tr2bl w:val="nil"/>
            </w:tcBorders>
            <w:shd w:val="clear" w:color="auto" w:fill="FFFFFF"/>
          </w:tcPr>
          <w:p w:rsidR="004537BE" w:rsidRPr="009B40BB" w:rsidRDefault="004537BE" w:rsidP="004537BE">
            <w:pPr>
              <w:pStyle w:val="TableText"/>
              <w:rPr>
                <w:rStyle w:val="TableTextBold"/>
                <w:b w:val="0"/>
              </w:rPr>
            </w:pPr>
            <w:r w:rsidRPr="009B40BB">
              <w:rPr>
                <w:rStyle w:val="TableTextBold"/>
                <w:b w:val="0"/>
              </w:rPr>
              <w:t>Satisfactory</w:t>
            </w:r>
          </w:p>
        </w:tc>
      </w:tr>
    </w:tbl>
    <w:p w:rsidR="00303914" w:rsidRPr="009B40BB" w:rsidRDefault="004537BE" w:rsidP="004537BE">
      <w:pPr>
        <w:pStyle w:val="BodyText"/>
        <w:rPr>
          <w:sz w:val="18"/>
        </w:rPr>
      </w:pPr>
      <w:r w:rsidRPr="009B40BB">
        <w:rPr>
          <w:sz w:val="18"/>
        </w:rPr>
        <w:t xml:space="preserve">Source: Department of the Environment, Water, Heritage and the Arts, </w:t>
      </w:r>
      <w:r w:rsidRPr="009B40BB">
        <w:rPr>
          <w:i/>
          <w:sz w:val="18"/>
        </w:rPr>
        <w:t>National Waste Data System Requirements Study,</w:t>
      </w:r>
      <w:r w:rsidRPr="009B40BB">
        <w:rPr>
          <w:sz w:val="18"/>
        </w:rPr>
        <w:t xml:space="preserve"> Net Balance 2009 (Table 2-9(d): Summary of Reporting and Quality of other Australian Waste Data)</w:t>
      </w:r>
      <w:r w:rsidR="00303914" w:rsidRPr="009B40BB">
        <w:rPr>
          <w:sz w:val="18"/>
        </w:rPr>
        <w:br w:type="page"/>
      </w:r>
    </w:p>
    <w:p w:rsidR="00341719" w:rsidRPr="009B40BB" w:rsidRDefault="00341719" w:rsidP="00A768C4">
      <w:pPr>
        <w:pStyle w:val="BodyText"/>
        <w:numPr>
          <w:ilvl w:val="0"/>
          <w:numId w:val="9"/>
        </w:numPr>
        <w:spacing w:after="360"/>
        <w:ind w:left="850" w:hanging="850"/>
        <w:rPr>
          <w:rFonts w:ascii="Arial Rounded MT Bold" w:hAnsi="Arial Rounded MT Bold"/>
          <w:color w:val="0000FF" w:themeColor="accent1"/>
          <w:sz w:val="36"/>
          <w:szCs w:val="36"/>
        </w:rPr>
      </w:pPr>
      <w:r w:rsidRPr="009B40BB">
        <w:rPr>
          <w:rFonts w:ascii="Arial Rounded MT Bold" w:hAnsi="Arial Rounded MT Bold"/>
          <w:color w:val="0000FF" w:themeColor="accent1"/>
          <w:sz w:val="36"/>
          <w:szCs w:val="36"/>
        </w:rPr>
        <w:lastRenderedPageBreak/>
        <w:t>Key Messages</w:t>
      </w:r>
    </w:p>
    <w:p w:rsidR="009415B8" w:rsidRPr="009B40BB" w:rsidRDefault="009415B8" w:rsidP="00303914">
      <w:pPr>
        <w:spacing w:line="240" w:lineRule="auto"/>
        <w:rPr>
          <w:rFonts w:asciiTheme="minorHAnsi" w:hAnsiTheme="minorHAnsi" w:cs="Arial"/>
          <w:b/>
          <w:color w:val="0000FF" w:themeColor="accent1"/>
          <w:sz w:val="24"/>
          <w:szCs w:val="36"/>
        </w:rPr>
      </w:pPr>
      <w:r w:rsidRPr="009B40BB">
        <w:rPr>
          <w:rFonts w:asciiTheme="minorHAnsi" w:hAnsiTheme="minorHAnsi" w:cs="Arial"/>
          <w:b/>
          <w:color w:val="0000FF" w:themeColor="accent1"/>
          <w:sz w:val="24"/>
          <w:szCs w:val="36"/>
        </w:rPr>
        <w:t>This project has provided a major improvement to national hazardous waste data quality</w:t>
      </w:r>
    </w:p>
    <w:p w:rsidR="009415B8" w:rsidRPr="009B40BB" w:rsidRDefault="009415B8" w:rsidP="00303914">
      <w:pPr>
        <w:spacing w:line="240" w:lineRule="auto"/>
        <w:rPr>
          <w:rFonts w:asciiTheme="minorHAnsi" w:hAnsiTheme="minorHAnsi" w:cs="Arial"/>
          <w:color w:val="0C0C0C" w:themeColor="text1"/>
          <w:sz w:val="22"/>
          <w:szCs w:val="36"/>
        </w:rPr>
      </w:pPr>
    </w:p>
    <w:p w:rsidR="00303914" w:rsidRPr="009B40BB" w:rsidRDefault="009415B8" w:rsidP="001A0A88">
      <w:pPr>
        <w:spacing w:after="120" w:line="240" w:lineRule="auto"/>
        <w:rPr>
          <w:rFonts w:asciiTheme="minorHAnsi" w:hAnsiTheme="minorHAnsi" w:cs="Arial"/>
          <w:color w:val="0C0C0C" w:themeColor="text1"/>
          <w:sz w:val="22"/>
          <w:szCs w:val="36"/>
        </w:rPr>
      </w:pPr>
      <w:r w:rsidRPr="009B40BB">
        <w:rPr>
          <w:i/>
          <w:sz w:val="22"/>
        </w:rPr>
        <w:t>Improving Australia's reporting on hazardous waste under the Basel Convention</w:t>
      </w:r>
      <w:r w:rsidRPr="009B40BB">
        <w:rPr>
          <w:sz w:val="22"/>
        </w:rPr>
        <w:t xml:space="preserve"> has led to major improvements in </w:t>
      </w:r>
      <w:r w:rsidR="00484118">
        <w:rPr>
          <w:sz w:val="22"/>
        </w:rPr>
        <w:t xml:space="preserve">the quality and reporting of </w:t>
      </w:r>
      <w:r w:rsidRPr="009B40BB">
        <w:rPr>
          <w:sz w:val="22"/>
        </w:rPr>
        <w:t>hazardous waste data in Australia.</w:t>
      </w:r>
      <w:r w:rsidR="00A374C7" w:rsidRPr="009B40BB">
        <w:rPr>
          <w:sz w:val="22"/>
        </w:rPr>
        <w:t xml:space="preserve"> </w:t>
      </w:r>
      <w:r w:rsidR="001A0A88" w:rsidRPr="009B40BB">
        <w:rPr>
          <w:sz w:val="22"/>
        </w:rPr>
        <w:t>Templates and guidance t</w:t>
      </w:r>
      <w:r w:rsidR="00303914" w:rsidRPr="009B40BB">
        <w:rPr>
          <w:rFonts w:asciiTheme="minorHAnsi" w:hAnsiTheme="minorHAnsi" w:cs="Arial"/>
          <w:color w:val="0C0C0C" w:themeColor="text1"/>
          <w:sz w:val="22"/>
        </w:rPr>
        <w:t>ools</w:t>
      </w:r>
      <w:r w:rsidR="00303914" w:rsidRPr="009B40BB">
        <w:rPr>
          <w:rFonts w:asciiTheme="minorHAnsi" w:hAnsiTheme="minorHAnsi" w:cs="Arial"/>
          <w:color w:val="0C0C0C" w:themeColor="text1"/>
          <w:sz w:val="22"/>
          <w:szCs w:val="36"/>
        </w:rPr>
        <w:t xml:space="preserve"> to translate</w:t>
      </w:r>
      <w:r w:rsidR="001A0A88" w:rsidRPr="009B40BB">
        <w:rPr>
          <w:rFonts w:asciiTheme="minorHAnsi" w:hAnsiTheme="minorHAnsi" w:cs="Arial"/>
          <w:color w:val="0C0C0C" w:themeColor="text1"/>
          <w:sz w:val="22"/>
          <w:szCs w:val="36"/>
        </w:rPr>
        <w:t xml:space="preserve"> waste recorded </w:t>
      </w:r>
      <w:r w:rsidR="002E3088">
        <w:rPr>
          <w:rFonts w:asciiTheme="minorHAnsi" w:hAnsiTheme="minorHAnsi" w:cs="Arial"/>
          <w:color w:val="0C0C0C" w:themeColor="text1"/>
          <w:sz w:val="22"/>
          <w:szCs w:val="36"/>
        </w:rPr>
        <w:t xml:space="preserve">in </w:t>
      </w:r>
      <w:r w:rsidR="001A0A88" w:rsidRPr="009B40BB">
        <w:rPr>
          <w:rFonts w:asciiTheme="minorHAnsi" w:hAnsiTheme="minorHAnsi" w:cs="Arial"/>
          <w:color w:val="0C0C0C" w:themeColor="text1"/>
          <w:sz w:val="22"/>
          <w:szCs w:val="36"/>
        </w:rPr>
        <w:t>specific state and territory classification systems</w:t>
      </w:r>
      <w:r w:rsidR="00303914" w:rsidRPr="009B40BB">
        <w:rPr>
          <w:rFonts w:asciiTheme="minorHAnsi" w:hAnsiTheme="minorHAnsi" w:cs="Arial"/>
          <w:color w:val="0C0C0C" w:themeColor="text1"/>
          <w:sz w:val="22"/>
          <w:szCs w:val="36"/>
        </w:rPr>
        <w:t xml:space="preserve"> </w:t>
      </w:r>
      <w:r w:rsidR="001A0A88" w:rsidRPr="009B40BB">
        <w:rPr>
          <w:rFonts w:asciiTheme="minorHAnsi" w:hAnsiTheme="minorHAnsi" w:cs="Arial"/>
          <w:color w:val="0C0C0C" w:themeColor="text1"/>
          <w:sz w:val="22"/>
          <w:szCs w:val="36"/>
        </w:rPr>
        <w:t>in</w:t>
      </w:r>
      <w:r w:rsidR="00303914" w:rsidRPr="009B40BB">
        <w:rPr>
          <w:rFonts w:asciiTheme="minorHAnsi" w:hAnsiTheme="minorHAnsi" w:cs="Arial"/>
          <w:color w:val="0C0C0C" w:themeColor="text1"/>
          <w:sz w:val="22"/>
          <w:szCs w:val="36"/>
        </w:rPr>
        <w:t xml:space="preserve">to </w:t>
      </w:r>
      <w:r w:rsidR="001A0A88" w:rsidRPr="009B40BB">
        <w:rPr>
          <w:rFonts w:asciiTheme="minorHAnsi" w:hAnsiTheme="minorHAnsi" w:cs="Arial"/>
          <w:color w:val="0C0C0C" w:themeColor="text1"/>
          <w:sz w:val="22"/>
          <w:szCs w:val="36"/>
        </w:rPr>
        <w:t xml:space="preserve">a </w:t>
      </w:r>
      <w:r w:rsidR="00303914" w:rsidRPr="009B40BB">
        <w:rPr>
          <w:rFonts w:asciiTheme="minorHAnsi" w:hAnsiTheme="minorHAnsi" w:cs="Arial"/>
          <w:color w:val="0C0C0C" w:themeColor="text1"/>
          <w:sz w:val="22"/>
          <w:szCs w:val="36"/>
        </w:rPr>
        <w:t xml:space="preserve">common </w:t>
      </w:r>
      <w:r w:rsidR="001A0A88" w:rsidRPr="009B40BB">
        <w:rPr>
          <w:rFonts w:asciiTheme="minorHAnsi" w:hAnsiTheme="minorHAnsi" w:cs="Arial"/>
          <w:color w:val="0C0C0C" w:themeColor="text1"/>
          <w:sz w:val="22"/>
          <w:szCs w:val="36"/>
        </w:rPr>
        <w:t xml:space="preserve">national </w:t>
      </w:r>
      <w:r w:rsidR="00303914" w:rsidRPr="009B40BB">
        <w:rPr>
          <w:rFonts w:asciiTheme="minorHAnsi" w:hAnsiTheme="minorHAnsi" w:cs="Arial"/>
          <w:color w:val="0C0C0C" w:themeColor="text1"/>
          <w:sz w:val="22"/>
          <w:szCs w:val="36"/>
        </w:rPr>
        <w:t>classification schema (</w:t>
      </w:r>
      <w:r w:rsidR="001A0A88" w:rsidRPr="009B40BB">
        <w:rPr>
          <w:rFonts w:asciiTheme="minorHAnsi" w:hAnsiTheme="minorHAnsi" w:cs="Arial"/>
          <w:color w:val="0C0C0C" w:themeColor="text1"/>
          <w:sz w:val="22"/>
          <w:szCs w:val="36"/>
        </w:rPr>
        <w:t xml:space="preserve">provided by the Controlled Waste </w:t>
      </w:r>
      <w:r w:rsidR="00303914" w:rsidRPr="009B40BB">
        <w:rPr>
          <w:rFonts w:asciiTheme="minorHAnsi" w:hAnsiTheme="minorHAnsi" w:cs="Arial"/>
          <w:color w:val="0C0C0C" w:themeColor="text1"/>
          <w:sz w:val="22"/>
          <w:szCs w:val="36"/>
        </w:rPr>
        <w:t>NEPM) have:</w:t>
      </w:r>
    </w:p>
    <w:p w:rsidR="00303914" w:rsidRPr="009B40BB" w:rsidRDefault="00303914" w:rsidP="00267308">
      <w:pPr>
        <w:pStyle w:val="Bullet1"/>
      </w:pPr>
      <w:r w:rsidRPr="009B40BB">
        <w:t xml:space="preserve">Dramatically improved data quality in reporting </w:t>
      </w:r>
      <w:r w:rsidR="001A0A88" w:rsidRPr="009B40BB">
        <w:t>–</w:t>
      </w:r>
      <w:r w:rsidRPr="009B40BB">
        <w:t xml:space="preserve"> </w:t>
      </w:r>
      <w:r w:rsidR="001A0A88" w:rsidRPr="009B40BB">
        <w:t>transparency, comparability, accuracy, completeness, clarity and timeliness have all measurably improved at the national level</w:t>
      </w:r>
    </w:p>
    <w:p w:rsidR="00303914" w:rsidRPr="009B40BB" w:rsidRDefault="00303914" w:rsidP="00267308">
      <w:pPr>
        <w:pStyle w:val="Bullet1"/>
      </w:pPr>
      <w:r w:rsidRPr="009B40BB">
        <w:t>Significantly reduced jurisdictional effort</w:t>
      </w:r>
      <w:r w:rsidR="001A0A88" w:rsidRPr="009B40BB">
        <w:t xml:space="preserve"> in collecting, quality assuring and forwarding the data to the Australian Government</w:t>
      </w:r>
    </w:p>
    <w:p w:rsidR="001A0A88" w:rsidRPr="009B40BB" w:rsidRDefault="001A0A88" w:rsidP="00267308">
      <w:pPr>
        <w:pStyle w:val="Bullet1"/>
      </w:pPr>
      <w:r w:rsidRPr="009B40BB">
        <w:t>Provided a framework, template and increased confidence for the Australian Government to take an active role in gap filling estimation calculations and data quality assurance, prior to report submission</w:t>
      </w:r>
    </w:p>
    <w:p w:rsidR="00303914" w:rsidRPr="009B40BB" w:rsidRDefault="00303914" w:rsidP="00267308">
      <w:pPr>
        <w:pStyle w:val="Bullet1"/>
      </w:pPr>
      <w:r w:rsidRPr="009B40BB">
        <w:t>Provided a robust and replicable method for future reporting</w:t>
      </w:r>
      <w:r w:rsidR="001A0A88" w:rsidRPr="009B40BB">
        <w:t>.</w:t>
      </w:r>
    </w:p>
    <w:p w:rsidR="009415B8" w:rsidRPr="009B40BB" w:rsidRDefault="009415B8" w:rsidP="00303914">
      <w:pPr>
        <w:spacing w:line="240" w:lineRule="auto"/>
        <w:rPr>
          <w:rFonts w:asciiTheme="minorHAnsi" w:hAnsiTheme="minorHAnsi" w:cs="Arial"/>
          <w:color w:val="0C0C0C" w:themeColor="text1"/>
          <w:sz w:val="22"/>
          <w:szCs w:val="36"/>
        </w:rPr>
      </w:pPr>
    </w:p>
    <w:p w:rsidR="009415B8" w:rsidRPr="009B40BB" w:rsidRDefault="009415B8" w:rsidP="00303914">
      <w:pPr>
        <w:spacing w:line="240" w:lineRule="auto"/>
        <w:rPr>
          <w:rFonts w:asciiTheme="minorHAnsi" w:hAnsiTheme="minorHAnsi" w:cs="Arial"/>
          <w:b/>
          <w:color w:val="0000FF" w:themeColor="accent1"/>
          <w:sz w:val="24"/>
          <w:szCs w:val="36"/>
        </w:rPr>
      </w:pPr>
      <w:r w:rsidRPr="009B40BB">
        <w:rPr>
          <w:rFonts w:asciiTheme="minorHAnsi" w:hAnsiTheme="minorHAnsi" w:cs="Arial"/>
          <w:b/>
          <w:color w:val="0000FF" w:themeColor="accent1"/>
          <w:sz w:val="24"/>
          <w:szCs w:val="36"/>
        </w:rPr>
        <w:t>Specific d</w:t>
      </w:r>
      <w:r w:rsidR="00303914" w:rsidRPr="009B40BB">
        <w:rPr>
          <w:rFonts w:asciiTheme="minorHAnsi" w:hAnsiTheme="minorHAnsi" w:cs="Arial"/>
          <w:b/>
          <w:color w:val="0000FF" w:themeColor="accent1"/>
          <w:sz w:val="24"/>
          <w:szCs w:val="36"/>
        </w:rPr>
        <w:t>ifferences remain re tracking &amp; regulatory approaches</w:t>
      </w:r>
      <w:r w:rsidRPr="009B40BB">
        <w:rPr>
          <w:rFonts w:asciiTheme="minorHAnsi" w:hAnsiTheme="minorHAnsi" w:cs="Arial"/>
          <w:b/>
          <w:color w:val="0000FF" w:themeColor="accent1"/>
          <w:sz w:val="24"/>
          <w:szCs w:val="36"/>
        </w:rPr>
        <w:t>, which impacts some data</w:t>
      </w:r>
      <w:r w:rsidR="00303914" w:rsidRPr="009B40BB">
        <w:rPr>
          <w:rFonts w:asciiTheme="minorHAnsi" w:hAnsiTheme="minorHAnsi" w:cs="Arial"/>
          <w:b/>
          <w:color w:val="0000FF" w:themeColor="accent1"/>
          <w:sz w:val="24"/>
          <w:szCs w:val="36"/>
        </w:rPr>
        <w:t xml:space="preserve"> </w:t>
      </w:r>
    </w:p>
    <w:p w:rsidR="009415B8" w:rsidRPr="009B40BB" w:rsidRDefault="009415B8" w:rsidP="00303914">
      <w:pPr>
        <w:spacing w:line="240" w:lineRule="auto"/>
        <w:rPr>
          <w:rFonts w:asciiTheme="minorHAnsi" w:hAnsiTheme="minorHAnsi" w:cs="Arial"/>
          <w:color w:val="0C0C0C" w:themeColor="text1"/>
          <w:sz w:val="22"/>
          <w:szCs w:val="36"/>
        </w:rPr>
      </w:pPr>
    </w:p>
    <w:p w:rsidR="001A0A88" w:rsidRPr="009B40BB" w:rsidRDefault="001A0A88" w:rsidP="00D74F95">
      <w:pPr>
        <w:spacing w:after="120" w:line="240" w:lineRule="auto"/>
        <w:rPr>
          <w:rFonts w:asciiTheme="minorHAnsi" w:hAnsiTheme="minorHAnsi" w:cs="Arial"/>
          <w:color w:val="0C0C0C" w:themeColor="text1"/>
          <w:sz w:val="22"/>
          <w:szCs w:val="36"/>
        </w:rPr>
      </w:pPr>
      <w:r w:rsidRPr="009B40BB">
        <w:rPr>
          <w:rFonts w:asciiTheme="minorHAnsi" w:hAnsiTheme="minorHAnsi" w:cs="Arial"/>
          <w:color w:val="0C0C0C" w:themeColor="text1"/>
          <w:sz w:val="22"/>
          <w:szCs w:val="36"/>
        </w:rPr>
        <w:t xml:space="preserve">Although the general approach to classification and management </w:t>
      </w:r>
      <w:r w:rsidR="00D74F95" w:rsidRPr="009B40BB">
        <w:rPr>
          <w:rFonts w:asciiTheme="minorHAnsi" w:hAnsiTheme="minorHAnsi" w:cs="Arial"/>
          <w:color w:val="0C0C0C" w:themeColor="text1"/>
          <w:sz w:val="22"/>
          <w:szCs w:val="36"/>
        </w:rPr>
        <w:t xml:space="preserve">of hazardous wastes </w:t>
      </w:r>
      <w:r w:rsidRPr="009B40BB">
        <w:rPr>
          <w:rFonts w:asciiTheme="minorHAnsi" w:hAnsiTheme="minorHAnsi" w:cs="Arial"/>
          <w:color w:val="0C0C0C" w:themeColor="text1"/>
          <w:sz w:val="22"/>
          <w:szCs w:val="36"/>
        </w:rPr>
        <w:t xml:space="preserve">across jurisdictions is </w:t>
      </w:r>
      <w:r w:rsidR="00D74F95" w:rsidRPr="009B40BB">
        <w:rPr>
          <w:rFonts w:asciiTheme="minorHAnsi" w:hAnsiTheme="minorHAnsi" w:cs="Arial"/>
          <w:color w:val="0C0C0C" w:themeColor="text1"/>
          <w:sz w:val="22"/>
          <w:szCs w:val="36"/>
        </w:rPr>
        <w:t>relatively</w:t>
      </w:r>
      <w:r w:rsidRPr="009B40BB">
        <w:rPr>
          <w:rFonts w:asciiTheme="minorHAnsi" w:hAnsiTheme="minorHAnsi" w:cs="Arial"/>
          <w:color w:val="0C0C0C" w:themeColor="text1"/>
          <w:sz w:val="22"/>
          <w:szCs w:val="36"/>
        </w:rPr>
        <w:t xml:space="preserve"> consistent, historically evolved differences </w:t>
      </w:r>
      <w:r w:rsidR="00D74F95" w:rsidRPr="009B40BB">
        <w:rPr>
          <w:rFonts w:asciiTheme="minorHAnsi" w:hAnsiTheme="minorHAnsi" w:cs="Arial"/>
          <w:color w:val="0C0C0C" w:themeColor="text1"/>
          <w:sz w:val="22"/>
          <w:szCs w:val="36"/>
        </w:rPr>
        <w:t xml:space="preserve">can </w:t>
      </w:r>
      <w:r w:rsidRPr="009B40BB">
        <w:rPr>
          <w:rFonts w:asciiTheme="minorHAnsi" w:hAnsiTheme="minorHAnsi" w:cs="Arial"/>
          <w:color w:val="0C0C0C" w:themeColor="text1"/>
          <w:sz w:val="22"/>
          <w:szCs w:val="36"/>
        </w:rPr>
        <w:t>make data collection, collation and comparison difficult.</w:t>
      </w:r>
      <w:r w:rsidR="00A374C7" w:rsidRPr="009B40BB">
        <w:rPr>
          <w:rFonts w:asciiTheme="minorHAnsi" w:hAnsiTheme="minorHAnsi" w:cs="Arial"/>
          <w:color w:val="0C0C0C" w:themeColor="text1"/>
          <w:sz w:val="22"/>
          <w:szCs w:val="36"/>
        </w:rPr>
        <w:t xml:space="preserve"> </w:t>
      </w:r>
      <w:r w:rsidR="00D74F95" w:rsidRPr="009B40BB">
        <w:rPr>
          <w:rFonts w:asciiTheme="minorHAnsi" w:hAnsiTheme="minorHAnsi" w:cs="Arial"/>
          <w:color w:val="0C0C0C" w:themeColor="text1"/>
          <w:sz w:val="22"/>
          <w:szCs w:val="36"/>
        </w:rPr>
        <w:t>This can still lead to pockets of questionable data quality, particularly at a jurisdictional level, such as:</w:t>
      </w:r>
    </w:p>
    <w:p w:rsidR="00303914" w:rsidRPr="009B40BB" w:rsidRDefault="00303914" w:rsidP="00267308">
      <w:pPr>
        <w:pStyle w:val="Bullet1"/>
      </w:pPr>
      <w:r w:rsidRPr="009B40BB">
        <w:t>Tas</w:t>
      </w:r>
      <w:r w:rsidR="00D74F95" w:rsidRPr="009B40BB">
        <w:t>mania</w:t>
      </w:r>
      <w:r w:rsidRPr="009B40BB">
        <w:t xml:space="preserve"> and N</w:t>
      </w:r>
      <w:r w:rsidR="00D74F95" w:rsidRPr="009B40BB">
        <w:t xml:space="preserve">orthern </w:t>
      </w:r>
      <w:r w:rsidRPr="009B40BB">
        <w:t>T</w:t>
      </w:r>
      <w:r w:rsidR="00D74F95" w:rsidRPr="009B40BB">
        <w:t>erritory</w:t>
      </w:r>
      <w:r w:rsidRPr="009B40BB">
        <w:t xml:space="preserve"> have no tracking system</w:t>
      </w:r>
      <w:r w:rsidR="00484118">
        <w:t>, l</w:t>
      </w:r>
      <w:r w:rsidR="00D74F95" w:rsidRPr="009B40BB">
        <w:t>eading to under-reporting of hazardous waste quantities.</w:t>
      </w:r>
    </w:p>
    <w:p w:rsidR="00303914" w:rsidRPr="009B40BB" w:rsidRDefault="00303914" w:rsidP="00267308">
      <w:pPr>
        <w:pStyle w:val="Bullet1"/>
      </w:pPr>
      <w:r w:rsidRPr="009B40BB">
        <w:t xml:space="preserve">Asbestos data </w:t>
      </w:r>
      <w:r w:rsidR="00D74F95" w:rsidRPr="009B40BB">
        <w:t>is not tracked (so must be estimated) for New South Wales, whereas Western Australia has no reliable asbestos data at all at present.</w:t>
      </w:r>
    </w:p>
    <w:p w:rsidR="00303914" w:rsidRPr="009B40BB" w:rsidRDefault="00D74F95" w:rsidP="00267308">
      <w:pPr>
        <w:pStyle w:val="Bullet1"/>
      </w:pPr>
      <w:r w:rsidRPr="009B40BB">
        <w:t>Contaminated soils</w:t>
      </w:r>
      <w:r w:rsidR="00484118">
        <w:t xml:space="preserve"> - </w:t>
      </w:r>
      <w:r w:rsidRPr="009B40BB">
        <w:t xml:space="preserve">due to the combination of a high-volume waste with varied tracking requirements across jurisdictions, there are data </w:t>
      </w:r>
      <w:r w:rsidR="00303914" w:rsidRPr="009B40BB">
        <w:t xml:space="preserve">quality issues </w:t>
      </w:r>
      <w:r w:rsidRPr="009B40BB">
        <w:t>for most jurisdictions, except Victoria.</w:t>
      </w:r>
      <w:r w:rsidR="00A374C7" w:rsidRPr="009B40BB">
        <w:t xml:space="preserve"> </w:t>
      </w:r>
      <w:r w:rsidRPr="009B40BB">
        <w:t>For the purposes of hazardous waste reporting, estimation methods are adopted for many jurisdictions’ contaminated soils, but this would be more accurately obtained through tracking systems such as that employed in Victoria.</w:t>
      </w:r>
    </w:p>
    <w:p w:rsidR="009415B8" w:rsidRPr="009B40BB" w:rsidRDefault="009415B8" w:rsidP="00303914">
      <w:pPr>
        <w:spacing w:line="240" w:lineRule="auto"/>
        <w:rPr>
          <w:rFonts w:asciiTheme="minorHAnsi" w:hAnsiTheme="minorHAnsi" w:cs="Arial"/>
          <w:color w:val="0C0C0C" w:themeColor="text1"/>
          <w:sz w:val="22"/>
          <w:szCs w:val="36"/>
        </w:rPr>
      </w:pPr>
    </w:p>
    <w:p w:rsidR="009415B8" w:rsidRPr="009B40BB" w:rsidRDefault="00303914" w:rsidP="00303914">
      <w:pPr>
        <w:spacing w:line="240" w:lineRule="auto"/>
        <w:rPr>
          <w:rFonts w:asciiTheme="minorHAnsi" w:hAnsiTheme="minorHAnsi" w:cs="Arial"/>
          <w:b/>
          <w:color w:val="0000FF" w:themeColor="accent1"/>
          <w:sz w:val="24"/>
          <w:szCs w:val="36"/>
        </w:rPr>
      </w:pPr>
      <w:r w:rsidRPr="009B40BB">
        <w:rPr>
          <w:rFonts w:asciiTheme="minorHAnsi" w:hAnsiTheme="minorHAnsi" w:cs="Arial"/>
          <w:b/>
          <w:color w:val="0000FF" w:themeColor="accent1"/>
          <w:sz w:val="24"/>
          <w:szCs w:val="36"/>
        </w:rPr>
        <w:t>Less populated states appear to produce more waste per capita than more densely populated jurisdictions</w:t>
      </w:r>
    </w:p>
    <w:p w:rsidR="009415B8" w:rsidRPr="009B40BB" w:rsidRDefault="009415B8" w:rsidP="00303914">
      <w:pPr>
        <w:spacing w:line="240" w:lineRule="auto"/>
        <w:rPr>
          <w:rFonts w:asciiTheme="minorHAnsi" w:hAnsiTheme="minorHAnsi" w:cs="Arial"/>
          <w:color w:val="0C0C0C" w:themeColor="text1"/>
          <w:sz w:val="22"/>
          <w:szCs w:val="36"/>
        </w:rPr>
      </w:pPr>
    </w:p>
    <w:p w:rsidR="009415B8" w:rsidRPr="009B40BB" w:rsidRDefault="00D74F95" w:rsidP="00381913">
      <w:pPr>
        <w:spacing w:line="240" w:lineRule="auto"/>
        <w:rPr>
          <w:rFonts w:asciiTheme="minorHAnsi" w:hAnsiTheme="minorHAnsi" w:cs="Arial"/>
          <w:color w:val="0C0C0C" w:themeColor="text1"/>
          <w:sz w:val="22"/>
          <w:szCs w:val="36"/>
        </w:rPr>
      </w:pPr>
      <w:r w:rsidRPr="009B40BB">
        <w:rPr>
          <w:rFonts w:asciiTheme="minorHAnsi" w:hAnsiTheme="minorHAnsi" w:cs="Arial"/>
          <w:color w:val="0C0C0C" w:themeColor="text1"/>
          <w:sz w:val="22"/>
          <w:szCs w:val="36"/>
        </w:rPr>
        <w:t xml:space="preserve">This observation from 2012 data </w:t>
      </w:r>
      <w:r w:rsidR="00381913" w:rsidRPr="009B40BB">
        <w:rPr>
          <w:rFonts w:asciiTheme="minorHAnsi" w:hAnsiTheme="minorHAnsi" w:cs="Arial"/>
          <w:color w:val="0C0C0C" w:themeColor="text1"/>
          <w:sz w:val="22"/>
          <w:szCs w:val="36"/>
        </w:rPr>
        <w:t xml:space="preserve">shows reasonable </w:t>
      </w:r>
      <w:r w:rsidRPr="009B40BB">
        <w:rPr>
          <w:rFonts w:asciiTheme="minorHAnsi" w:hAnsiTheme="minorHAnsi" w:cs="Arial"/>
          <w:color w:val="0C0C0C" w:themeColor="text1"/>
          <w:sz w:val="22"/>
          <w:szCs w:val="36"/>
        </w:rPr>
        <w:t>agree</w:t>
      </w:r>
      <w:r w:rsidR="00381913" w:rsidRPr="009B40BB">
        <w:rPr>
          <w:rFonts w:asciiTheme="minorHAnsi" w:hAnsiTheme="minorHAnsi" w:cs="Arial"/>
          <w:color w:val="0C0C0C" w:themeColor="text1"/>
          <w:sz w:val="22"/>
          <w:szCs w:val="36"/>
        </w:rPr>
        <w:t>ment</w:t>
      </w:r>
      <w:r w:rsidRPr="009B40BB">
        <w:rPr>
          <w:rFonts w:asciiTheme="minorHAnsi" w:hAnsiTheme="minorHAnsi" w:cs="Arial"/>
          <w:color w:val="0C0C0C" w:themeColor="text1"/>
          <w:sz w:val="22"/>
          <w:szCs w:val="36"/>
        </w:rPr>
        <w:t xml:space="preserve"> with </w:t>
      </w:r>
      <w:r w:rsidR="00381913" w:rsidRPr="009B40BB">
        <w:rPr>
          <w:rFonts w:asciiTheme="minorHAnsi" w:hAnsiTheme="minorHAnsi" w:cs="Arial"/>
          <w:color w:val="0C0C0C" w:themeColor="text1"/>
          <w:sz w:val="22"/>
          <w:szCs w:val="36"/>
        </w:rPr>
        <w:t>the s</w:t>
      </w:r>
      <w:r w:rsidR="00AD70D4">
        <w:rPr>
          <w:rFonts w:asciiTheme="minorHAnsi" w:hAnsiTheme="minorHAnsi" w:cs="Arial"/>
          <w:color w:val="0C0C0C" w:themeColor="text1"/>
          <w:sz w:val="22"/>
          <w:szCs w:val="36"/>
        </w:rPr>
        <w:t>ame assertion made for the 2010-</w:t>
      </w:r>
      <w:r w:rsidR="00381913" w:rsidRPr="009B40BB">
        <w:rPr>
          <w:rFonts w:asciiTheme="minorHAnsi" w:hAnsiTheme="minorHAnsi" w:cs="Arial"/>
          <w:color w:val="0C0C0C" w:themeColor="text1"/>
          <w:sz w:val="22"/>
          <w:szCs w:val="36"/>
        </w:rPr>
        <w:t xml:space="preserve">11 data </w:t>
      </w:r>
      <w:proofErr w:type="gramStart"/>
      <w:r w:rsidR="00381913" w:rsidRPr="009B40BB">
        <w:rPr>
          <w:rFonts w:asciiTheme="minorHAnsi" w:hAnsiTheme="minorHAnsi" w:cs="Arial"/>
          <w:color w:val="0C0C0C" w:themeColor="text1"/>
          <w:sz w:val="22"/>
          <w:szCs w:val="36"/>
        </w:rPr>
        <w:t>set</w:t>
      </w:r>
      <w:proofErr w:type="gramEnd"/>
      <w:r w:rsidR="00381913" w:rsidRPr="009B40BB">
        <w:rPr>
          <w:rFonts w:asciiTheme="minorHAnsi" w:hAnsiTheme="minorHAnsi" w:cs="Arial"/>
          <w:color w:val="0C0C0C" w:themeColor="text1"/>
          <w:sz w:val="22"/>
          <w:szCs w:val="36"/>
        </w:rPr>
        <w:t>, although that was made in the context of the five large states only.</w:t>
      </w:r>
      <w:r w:rsidR="00A374C7" w:rsidRPr="009B40BB">
        <w:rPr>
          <w:rFonts w:asciiTheme="minorHAnsi" w:hAnsiTheme="minorHAnsi" w:cs="Arial"/>
          <w:color w:val="0C0C0C" w:themeColor="text1"/>
          <w:sz w:val="22"/>
          <w:szCs w:val="36"/>
        </w:rPr>
        <w:t xml:space="preserve"> </w:t>
      </w:r>
      <w:r w:rsidR="00381913" w:rsidRPr="009B40BB">
        <w:rPr>
          <w:sz w:val="22"/>
        </w:rPr>
        <w:t xml:space="preserve">Noting the impact of the </w:t>
      </w:r>
      <w:r w:rsidR="00381913" w:rsidRPr="009B40BB">
        <w:rPr>
          <w:i/>
          <w:sz w:val="22"/>
        </w:rPr>
        <w:t>D230 Zinc compounds</w:t>
      </w:r>
      <w:r w:rsidR="00381913" w:rsidRPr="009B40BB">
        <w:rPr>
          <w:sz w:val="22"/>
        </w:rPr>
        <w:t xml:space="preserve"> data point to Tasmanian data, the under-reporting of Northern Territory data and the lack of asbestos data supplied from Western Australia (something of the elephant in the room), the jurisdictions of the ACT, New South Wales and Victoria appear to produce lower per capita quantities of hazardous waste with Queensland, South Australia and Western Australia the highest.</w:t>
      </w:r>
    </w:p>
    <w:p w:rsidR="00381913" w:rsidRPr="009B40BB" w:rsidRDefault="00381913" w:rsidP="00303914">
      <w:pPr>
        <w:spacing w:line="240" w:lineRule="auto"/>
        <w:rPr>
          <w:rFonts w:asciiTheme="minorHAnsi" w:hAnsiTheme="minorHAnsi" w:cs="Arial"/>
          <w:b/>
          <w:color w:val="0000FF" w:themeColor="accent1"/>
          <w:sz w:val="24"/>
          <w:szCs w:val="36"/>
        </w:rPr>
      </w:pPr>
    </w:p>
    <w:p w:rsidR="009415B8" w:rsidRPr="009B40BB" w:rsidRDefault="009415B8" w:rsidP="00303914">
      <w:pPr>
        <w:spacing w:line="240" w:lineRule="auto"/>
        <w:rPr>
          <w:rFonts w:asciiTheme="minorHAnsi" w:hAnsiTheme="minorHAnsi" w:cs="Arial"/>
          <w:b/>
          <w:color w:val="0000FF" w:themeColor="accent1"/>
          <w:sz w:val="24"/>
          <w:szCs w:val="36"/>
        </w:rPr>
      </w:pPr>
      <w:r w:rsidRPr="009B40BB">
        <w:rPr>
          <w:rFonts w:asciiTheme="minorHAnsi" w:hAnsiTheme="minorHAnsi" w:cs="Arial"/>
          <w:b/>
          <w:color w:val="0000FF" w:themeColor="accent1"/>
          <w:sz w:val="24"/>
          <w:szCs w:val="36"/>
        </w:rPr>
        <w:t>Analysis of data containing contaminated soils should be treated with caution</w:t>
      </w:r>
    </w:p>
    <w:p w:rsidR="009415B8" w:rsidRPr="009B40BB" w:rsidRDefault="009415B8" w:rsidP="00303914">
      <w:pPr>
        <w:spacing w:line="240" w:lineRule="auto"/>
        <w:rPr>
          <w:rFonts w:asciiTheme="minorHAnsi" w:hAnsiTheme="minorHAnsi" w:cs="Arial"/>
          <w:color w:val="0C0C0C" w:themeColor="text1"/>
          <w:sz w:val="22"/>
          <w:szCs w:val="36"/>
        </w:rPr>
      </w:pPr>
    </w:p>
    <w:p w:rsidR="00381913" w:rsidRPr="009B40BB" w:rsidRDefault="00381913" w:rsidP="00381913">
      <w:pPr>
        <w:spacing w:line="240" w:lineRule="auto"/>
        <w:rPr>
          <w:sz w:val="22"/>
        </w:rPr>
      </w:pPr>
      <w:r w:rsidRPr="009B40BB">
        <w:rPr>
          <w:sz w:val="22"/>
        </w:rPr>
        <w:t>The example of two major construction projects in South Australia causing disproportionate contaminated soils generation rates for 2012 is a case in point that caution should be observed when making observations about hazardous waste data that contains contaminated soils figures.</w:t>
      </w:r>
    </w:p>
    <w:p w:rsidR="00381913" w:rsidRPr="009B40BB" w:rsidRDefault="00381913" w:rsidP="00381913">
      <w:pPr>
        <w:spacing w:line="240" w:lineRule="auto"/>
        <w:rPr>
          <w:sz w:val="22"/>
        </w:rPr>
      </w:pPr>
    </w:p>
    <w:p w:rsidR="00381913" w:rsidRPr="009B40BB" w:rsidRDefault="00381913" w:rsidP="00381913">
      <w:pPr>
        <w:spacing w:line="240" w:lineRule="auto"/>
        <w:rPr>
          <w:sz w:val="22"/>
        </w:rPr>
      </w:pPr>
      <w:r w:rsidRPr="009B40BB">
        <w:rPr>
          <w:sz w:val="22"/>
        </w:rPr>
        <w:t>This waste is a result of construction and development (including demolition) activities that require the excavation of contaminated material.</w:t>
      </w:r>
      <w:r w:rsidR="00A374C7" w:rsidRPr="009B40BB">
        <w:rPr>
          <w:sz w:val="22"/>
        </w:rPr>
        <w:t xml:space="preserve"> </w:t>
      </w:r>
      <w:r w:rsidRPr="009B40BB">
        <w:rPr>
          <w:sz w:val="22"/>
        </w:rPr>
        <w:t>The level of contamination is an historical legacy issue, whereas the quantity produced in any given year fluctuates with the level of development activity in contaminant prone geographical areas.</w:t>
      </w:r>
      <w:r w:rsidR="00A374C7" w:rsidRPr="009B40BB">
        <w:rPr>
          <w:sz w:val="22"/>
        </w:rPr>
        <w:t xml:space="preserve"> </w:t>
      </w:r>
      <w:r w:rsidRPr="009B40BB">
        <w:rPr>
          <w:sz w:val="22"/>
        </w:rPr>
        <w:t>Influences such as economic climate, industry growth and demographic changes can all impact on the amount of development undertaken.</w:t>
      </w:r>
    </w:p>
    <w:p w:rsidR="00381913" w:rsidRPr="009B40BB" w:rsidRDefault="00381913" w:rsidP="00381913">
      <w:pPr>
        <w:spacing w:line="240" w:lineRule="auto"/>
        <w:rPr>
          <w:sz w:val="22"/>
        </w:rPr>
      </w:pPr>
    </w:p>
    <w:p w:rsidR="00381913" w:rsidRPr="009B40BB" w:rsidRDefault="00381913" w:rsidP="00381913">
      <w:pPr>
        <w:spacing w:line="240" w:lineRule="auto"/>
        <w:rPr>
          <w:sz w:val="22"/>
        </w:rPr>
      </w:pPr>
      <w:r w:rsidRPr="009B40BB">
        <w:rPr>
          <w:sz w:val="22"/>
        </w:rPr>
        <w:t>These drivers are quite different from virtually all other hazardous waste categories, perhaps with the exception of asbestos, which are more directly related to current activities and therefore strategies to tackle their reduction can tap into consumption behaviours, including efficiencies and resource recovery.</w:t>
      </w:r>
      <w:r w:rsidR="00A374C7" w:rsidRPr="009B40BB">
        <w:rPr>
          <w:sz w:val="22"/>
        </w:rPr>
        <w:t xml:space="preserve"> </w:t>
      </w:r>
    </w:p>
    <w:p w:rsidR="00381913" w:rsidRPr="009B40BB" w:rsidRDefault="00381913" w:rsidP="00381913">
      <w:pPr>
        <w:spacing w:line="240" w:lineRule="auto"/>
        <w:rPr>
          <w:sz w:val="22"/>
        </w:rPr>
      </w:pPr>
    </w:p>
    <w:p w:rsidR="002419F3" w:rsidRPr="009B40BB" w:rsidRDefault="00381913" w:rsidP="00303914">
      <w:pPr>
        <w:spacing w:line="240" w:lineRule="auto"/>
        <w:rPr>
          <w:rFonts w:asciiTheme="minorHAnsi" w:hAnsiTheme="minorHAnsi" w:cs="Arial"/>
          <w:color w:val="0C0C0C" w:themeColor="text1"/>
          <w:sz w:val="22"/>
          <w:szCs w:val="36"/>
        </w:rPr>
      </w:pPr>
      <w:r w:rsidRPr="009B40BB">
        <w:rPr>
          <w:sz w:val="22"/>
        </w:rPr>
        <w:t>Contaminated soils</w:t>
      </w:r>
      <w:r w:rsidR="002E3088">
        <w:rPr>
          <w:sz w:val="22"/>
        </w:rPr>
        <w:t xml:space="preserve">, due to their volume and sometimes sporadic </w:t>
      </w:r>
      <w:r w:rsidR="00637DD8">
        <w:rPr>
          <w:sz w:val="22"/>
        </w:rPr>
        <w:t xml:space="preserve">rate of </w:t>
      </w:r>
      <w:r w:rsidR="002E3088">
        <w:rPr>
          <w:sz w:val="22"/>
        </w:rPr>
        <w:t>generation,</w:t>
      </w:r>
      <w:r w:rsidRPr="009B40BB">
        <w:rPr>
          <w:sz w:val="22"/>
        </w:rPr>
        <w:t xml:space="preserve"> </w:t>
      </w:r>
      <w:r w:rsidR="00637DD8">
        <w:rPr>
          <w:sz w:val="22"/>
        </w:rPr>
        <w:t>can easily skew</w:t>
      </w:r>
      <w:r w:rsidRPr="009B40BB">
        <w:rPr>
          <w:sz w:val="22"/>
        </w:rPr>
        <w:t xml:space="preserve"> consumption-based analysis of hazardous waste while</w:t>
      </w:r>
      <w:r w:rsidR="00637DD8">
        <w:rPr>
          <w:sz w:val="22"/>
        </w:rPr>
        <w:t>,</w:t>
      </w:r>
      <w:r w:rsidRPr="009B40BB">
        <w:rPr>
          <w:sz w:val="22"/>
        </w:rPr>
        <w:t xml:space="preserve"> in a similar vein, biosolids can </w:t>
      </w:r>
      <w:r w:rsidR="00637DD8">
        <w:rPr>
          <w:sz w:val="22"/>
        </w:rPr>
        <w:t>swamp other wastes due to their massive volume</w:t>
      </w:r>
      <w:r w:rsidRPr="009B40BB">
        <w:rPr>
          <w:sz w:val="22"/>
        </w:rPr>
        <w:t>.</w:t>
      </w:r>
      <w:r w:rsidR="002419F3" w:rsidRPr="009B40BB">
        <w:rPr>
          <w:rFonts w:asciiTheme="minorHAnsi" w:hAnsiTheme="minorHAnsi" w:cs="Arial"/>
          <w:color w:val="0C0C0C" w:themeColor="text1"/>
          <w:sz w:val="22"/>
          <w:szCs w:val="36"/>
        </w:rPr>
        <w:br w:type="page"/>
      </w:r>
    </w:p>
    <w:p w:rsidR="006049F0" w:rsidRPr="009B40BB" w:rsidRDefault="006049F0" w:rsidP="00AA6CD5">
      <w:pPr>
        <w:pStyle w:val="BodyText"/>
        <w:rPr>
          <w:rFonts w:asciiTheme="minorHAnsi" w:hAnsiTheme="minorHAnsi" w:cs="Arial"/>
          <w:color w:val="0C0C0C" w:themeColor="text1"/>
          <w:szCs w:val="36"/>
        </w:rPr>
        <w:sectPr w:rsidR="006049F0" w:rsidRPr="009B40BB" w:rsidSect="00A16765">
          <w:footerReference w:type="default" r:id="rId67"/>
          <w:pgSz w:w="11907" w:h="16840" w:code="9"/>
          <w:pgMar w:top="1531" w:right="1077" w:bottom="1417" w:left="1304" w:header="709" w:footer="709" w:gutter="0"/>
          <w:cols w:space="708"/>
          <w:docGrid w:linePitch="360"/>
        </w:sectPr>
      </w:pPr>
    </w:p>
    <w:p w:rsidR="006049F0" w:rsidRPr="009B40BB" w:rsidRDefault="006049F0" w:rsidP="006049F0">
      <w:pPr>
        <w:pStyle w:val="AppendixSectionHolder"/>
      </w:pPr>
    </w:p>
    <w:p w:rsidR="00BF043F" w:rsidRPr="009B40BB" w:rsidRDefault="002419F3" w:rsidP="006049F0">
      <w:pPr>
        <w:pStyle w:val="AppendixSectionnumber"/>
        <w:ind w:left="2268" w:hanging="2126"/>
      </w:pPr>
      <w:r w:rsidRPr="009B40BB">
        <w:t xml:space="preserve">Update of </w:t>
      </w:r>
      <w:r w:rsidRPr="009B40BB">
        <w:rPr>
          <w:i/>
        </w:rPr>
        <w:t>Hazardous Waste Data Summary Report</w:t>
      </w:r>
      <w:r w:rsidR="00A374C7" w:rsidRPr="009B40BB">
        <w:t xml:space="preserve"> </w:t>
      </w:r>
      <w:r w:rsidR="00AD70D4">
        <w:t>(2010-</w:t>
      </w:r>
      <w:r w:rsidRPr="009B40BB">
        <w:t>11 data)</w:t>
      </w:r>
    </w:p>
    <w:p w:rsidR="00BF043F" w:rsidRPr="009B40BB" w:rsidRDefault="00BF043F" w:rsidP="00AA6CD5">
      <w:pPr>
        <w:pStyle w:val="BodyText"/>
      </w:pPr>
    </w:p>
    <w:p w:rsidR="00D41D8A" w:rsidRPr="009B40BB" w:rsidRDefault="00D41D8A" w:rsidP="00D41D8A">
      <w:pPr>
        <w:spacing w:line="240" w:lineRule="auto"/>
        <w:rPr>
          <w:color w:val="080808"/>
          <w:sz w:val="22"/>
        </w:rPr>
      </w:pPr>
      <w:r w:rsidRPr="009B40BB">
        <w:rPr>
          <w:color w:val="080808"/>
          <w:sz w:val="22"/>
        </w:rPr>
        <w:t>(Provided as a separate Microsoft Word file)</w:t>
      </w:r>
    </w:p>
    <w:p w:rsidR="00D41D8A" w:rsidRPr="009B40BB" w:rsidRDefault="00D41D8A" w:rsidP="00D41D8A">
      <w:pPr>
        <w:spacing w:line="240" w:lineRule="auto"/>
        <w:rPr>
          <w:color w:val="080808"/>
          <w:sz w:val="22"/>
        </w:rPr>
      </w:pPr>
    </w:p>
    <w:p w:rsidR="00BF043F" w:rsidRPr="009B40BB" w:rsidRDefault="00BF043F" w:rsidP="00EF153E">
      <w:pPr>
        <w:spacing w:line="240" w:lineRule="auto"/>
        <w:rPr>
          <w:color w:val="080808"/>
          <w:sz w:val="22"/>
        </w:rPr>
      </w:pPr>
    </w:p>
    <w:sectPr w:rsidR="00BF043F" w:rsidRPr="009B40BB" w:rsidSect="00A16765">
      <w:pgSz w:w="11907" w:h="16840" w:code="9"/>
      <w:pgMar w:top="1531" w:right="1077" w:bottom="1417"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B50" w:rsidRDefault="00310B50" w:rsidP="00E82ECD">
      <w:r>
        <w:separator/>
      </w:r>
    </w:p>
  </w:endnote>
  <w:endnote w:type="continuationSeparator" w:id="0">
    <w:p w:rsidR="00310B50" w:rsidRDefault="00310B50" w:rsidP="00E82E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altName w:val="Nyal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Pr="00F34D00" w:rsidRDefault="002E3088" w:rsidP="00F34D0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3E6F16" w:rsidP="00BF043F">
    <w:pPr>
      <w:pStyle w:val="Footer"/>
    </w:pPr>
    <w:fldSimple w:instr=" DOCPROPERTY  xTitle  \* MERGEFORMAT ">
      <w:r w:rsidR="005B2F4C">
        <w:t>Improving Australia's reporting on hazardous waste under the Basel Convention</w:t>
      </w:r>
    </w:fldSimple>
    <w:r w:rsidR="002E3088">
      <w:tab/>
    </w:r>
    <w:r w:rsidR="002E3088">
      <w:tab/>
    </w:r>
    <w:r w:rsidR="002E3088" w:rsidRPr="00E45412">
      <w:t>Project</w:t>
    </w:r>
    <w:r w:rsidR="002E3088">
      <w:t xml:space="preserve"> number </w:t>
    </w:r>
    <w:fldSimple w:instr=" DOCPROPERTY  xProjectNumber  \* MERGEFORMAT ">
      <w:r w:rsidR="005B2F4C">
        <w:t>P459</w:t>
      </w:r>
    </w:fldSimple>
    <w:r w:rsidR="002E3088">
      <w:t xml:space="preserve"> </w:t>
    </w:r>
    <w:fldSimple w:instr=" DOCPROPERTY  xDraft  \* MERGEFORMAT ">
      <w:r w:rsidR="005B2F4C">
        <w:t>Final</w:t>
      </w:r>
    </w:fldSimple>
    <w:r w:rsidR="002E3088">
      <w:t xml:space="preserve"> report Version </w:t>
    </w:r>
    <w:r>
      <w:fldChar w:fldCharType="begin"/>
    </w:r>
    <w:r w:rsidR="002E3088">
      <w:instrText xml:space="preserve"> DOCPROPERTY  xVersion  \* MERGEFORMAT </w:instrText>
    </w:r>
    <w:r>
      <w:fldChar w:fldCharType="end"/>
    </w:r>
  </w:p>
  <w:p w:rsidR="002E3088" w:rsidRPr="005459E4" w:rsidRDefault="002E3088" w:rsidP="00BF043F">
    <w:pPr>
      <w:pStyle w:val="Footer"/>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C33A49">
      <w:rPr>
        <w:rStyle w:val="PageNumber"/>
        <w:rFonts w:cs="Arial"/>
        <w:noProof/>
        <w:szCs w:val="18"/>
      </w:rPr>
      <w:t>19</w:t>
    </w:r>
    <w:r w:rsidR="003E6F16" w:rsidRPr="00EE4519">
      <w:rPr>
        <w:rStyle w:val="PageNumber"/>
        <w:rFonts w:cs="Arial"/>
        <w:szCs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rsidP="00FC6EEF">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3E6F16" w:rsidP="00A16765">
    <w:pPr>
      <w:pStyle w:val="Footer"/>
    </w:pPr>
    <w:fldSimple w:instr=" DOCPROPERTY  xTitle  \* MERGEFORMAT ">
      <w:r w:rsidR="005B2F4C">
        <w:t>Improving Australia's reporting on hazardous waste under the Basel Convention</w:t>
      </w:r>
    </w:fldSimple>
    <w:r w:rsidR="002E3088">
      <w:tab/>
    </w:r>
    <w:fldSimple w:instr=" DOCPROPERTY  xProjectNumber  \* MERGEFORMAT ">
      <w:r w:rsidR="005B2F4C">
        <w:t>P459</w:t>
      </w:r>
    </w:fldSimple>
    <w:r w:rsidR="002E3088">
      <w:t xml:space="preserve"> </w:t>
    </w:r>
    <w:fldSimple w:instr=" DOCPROPERTY  xDraft  \* MERGEFORMAT ">
      <w:r w:rsidR="005B2F4C">
        <w:t>Final</w:t>
      </w:r>
    </w:fldSimple>
    <w:r w:rsidR="002E3088">
      <w:t xml:space="preserve"> report</w:t>
    </w:r>
  </w:p>
  <w:p w:rsidR="002E3088" w:rsidRPr="009A582D" w:rsidRDefault="002E3088" w:rsidP="00A16765">
    <w:pPr>
      <w:pStyle w:val="Footer"/>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4B759B">
      <w:rPr>
        <w:rStyle w:val="PageNumber"/>
        <w:rFonts w:cs="Arial"/>
        <w:noProof/>
        <w:szCs w:val="18"/>
      </w:rPr>
      <w:t>21</w:t>
    </w:r>
    <w:r w:rsidR="003E6F16" w:rsidRPr="00EE4519">
      <w:rPr>
        <w:rStyle w:val="PageNumber"/>
        <w:rFonts w:cs="Arial"/>
        <w:szCs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3E6F16" w:rsidP="00FC6EEF">
    <w:pPr>
      <w:pStyle w:val="Footer"/>
    </w:pPr>
    <w:fldSimple w:instr=" DOCPROPERTY  xTitle  \* MERGEFORMAT ">
      <w:r w:rsidR="005B2F4C">
        <w:t>Improving Australia's reporting on hazardous waste under the Basel Convention</w:t>
      </w:r>
    </w:fldSimple>
    <w:r w:rsidR="002E3088">
      <w:tab/>
    </w:r>
    <w:r w:rsidR="002E3088">
      <w:tab/>
    </w:r>
    <w:r w:rsidR="002E3088" w:rsidRPr="00E45412">
      <w:t>Project</w:t>
    </w:r>
    <w:r w:rsidR="002E3088">
      <w:t xml:space="preserve"> number </w:t>
    </w:r>
    <w:fldSimple w:instr=" DOCPROPERTY  xProjectNumber  \* MERGEFORMAT ">
      <w:r w:rsidR="005B2F4C">
        <w:t>P459</w:t>
      </w:r>
    </w:fldSimple>
    <w:r w:rsidR="002E3088">
      <w:t xml:space="preserve"> </w:t>
    </w:r>
    <w:fldSimple w:instr=" DOCPROPERTY  xDraft  \* MERGEFORMAT ">
      <w:r w:rsidR="005B2F4C">
        <w:t>Final</w:t>
      </w:r>
    </w:fldSimple>
    <w:r w:rsidR="002E3088">
      <w:t xml:space="preserve"> report Version </w:t>
    </w:r>
    <w:r>
      <w:fldChar w:fldCharType="begin"/>
    </w:r>
    <w:r w:rsidR="002E3088">
      <w:instrText xml:space="preserve"> DOCPROPERTY  xVersion  \* MERGEFORMAT </w:instrText>
    </w:r>
    <w:r>
      <w:fldChar w:fldCharType="end"/>
    </w:r>
  </w:p>
  <w:p w:rsidR="002E3088" w:rsidRPr="005459E4" w:rsidRDefault="002E3088" w:rsidP="00FC6EEF">
    <w:pPr>
      <w:pStyle w:val="Footer"/>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C33A49">
      <w:rPr>
        <w:rStyle w:val="PageNumber"/>
        <w:rFonts w:cs="Arial"/>
        <w:noProof/>
        <w:szCs w:val="18"/>
      </w:rPr>
      <w:t>48</w:t>
    </w:r>
    <w:r w:rsidR="003E6F16" w:rsidRPr="00EE4519">
      <w:rPr>
        <w:rStyle w:val="PageNumber"/>
        <w:rFonts w:cs="Arial"/>
        <w:szCs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DFE" w:rsidRDefault="003E6F16" w:rsidP="00957DFE">
    <w:pPr>
      <w:pStyle w:val="Footer"/>
      <w:tabs>
        <w:tab w:val="clear" w:pos="9356"/>
        <w:tab w:val="right" w:pos="13892"/>
      </w:tabs>
    </w:pPr>
    <w:fldSimple w:instr=" DOCPROPERTY  xTitle  \* MERGEFORMAT ">
      <w:r w:rsidR="005B2F4C">
        <w:t>Improving Australia's reporting on hazardous waste under the Basel Convention</w:t>
      </w:r>
    </w:fldSimple>
    <w:r w:rsidR="00957DFE">
      <w:tab/>
    </w:r>
    <w:fldSimple w:instr=" DOCPROPERTY  xProjectNumber  \* MERGEFORMAT ">
      <w:r w:rsidR="005B2F4C">
        <w:t>P459</w:t>
      </w:r>
    </w:fldSimple>
    <w:r w:rsidR="00957DFE">
      <w:t xml:space="preserve"> </w:t>
    </w:r>
    <w:fldSimple w:instr=" DOCPROPERTY  xDraft  \* MERGEFORMAT ">
      <w:r w:rsidR="005B2F4C">
        <w:t>Final</w:t>
      </w:r>
    </w:fldSimple>
    <w:r w:rsidR="00957DFE">
      <w:t xml:space="preserve"> report</w:t>
    </w:r>
  </w:p>
  <w:p w:rsidR="00957DFE" w:rsidRPr="009A582D" w:rsidRDefault="00957DFE" w:rsidP="00957DFE">
    <w:pPr>
      <w:pStyle w:val="Footer"/>
      <w:tabs>
        <w:tab w:val="clear" w:pos="4678"/>
        <w:tab w:val="center" w:pos="6946"/>
      </w:tabs>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4B759B">
      <w:rPr>
        <w:rStyle w:val="PageNumber"/>
        <w:rFonts w:cs="Arial"/>
        <w:noProof/>
        <w:szCs w:val="18"/>
      </w:rPr>
      <w:t>25</w:t>
    </w:r>
    <w:r w:rsidR="003E6F16" w:rsidRPr="00EE4519">
      <w:rPr>
        <w:rStyle w:val="PageNumber"/>
        <w:rFonts w:cs="Arial"/>
        <w:szCs w:val="1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DFE" w:rsidRDefault="003E6F16" w:rsidP="00A67EA5">
    <w:pPr>
      <w:pStyle w:val="Footer"/>
      <w:tabs>
        <w:tab w:val="clear" w:pos="9356"/>
        <w:tab w:val="right" w:pos="9498"/>
      </w:tabs>
    </w:pPr>
    <w:fldSimple w:instr=" DOCPROPERTY  xTitle  \* MERGEFORMAT ">
      <w:r w:rsidR="005B2F4C">
        <w:t>Improving Australia's reporting on hazardous waste under the Basel Convention</w:t>
      </w:r>
    </w:fldSimple>
    <w:r w:rsidR="00957DFE">
      <w:tab/>
    </w:r>
    <w:fldSimple w:instr=" DOCPROPERTY  xProjectNumber  \* MERGEFORMAT ">
      <w:r w:rsidR="005B2F4C">
        <w:t>P459</w:t>
      </w:r>
    </w:fldSimple>
    <w:r w:rsidR="00957DFE">
      <w:t xml:space="preserve"> </w:t>
    </w:r>
    <w:fldSimple w:instr=" DOCPROPERTY  xDraft  \* MERGEFORMAT ">
      <w:r w:rsidR="005B2F4C">
        <w:t>Final</w:t>
      </w:r>
    </w:fldSimple>
    <w:r w:rsidR="00957DFE">
      <w:t xml:space="preserve"> report</w:t>
    </w:r>
  </w:p>
  <w:p w:rsidR="00957DFE" w:rsidRPr="009A582D" w:rsidRDefault="00957DFE" w:rsidP="00A16765">
    <w:pPr>
      <w:pStyle w:val="Footer"/>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4B759B">
      <w:rPr>
        <w:rStyle w:val="PageNumber"/>
        <w:rFonts w:cs="Arial"/>
        <w:noProof/>
        <w:szCs w:val="18"/>
      </w:rPr>
      <w:t>26</w:t>
    </w:r>
    <w:r w:rsidR="003E6F16" w:rsidRPr="00EE4519">
      <w:rPr>
        <w:rStyle w:val="PageNumber"/>
        <w:rFonts w:cs="Arial"/>
        <w:szCs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EA5" w:rsidRDefault="003E6F16" w:rsidP="00A67EA5">
    <w:pPr>
      <w:pStyle w:val="Footer"/>
      <w:tabs>
        <w:tab w:val="clear" w:pos="9356"/>
        <w:tab w:val="right" w:pos="13892"/>
      </w:tabs>
    </w:pPr>
    <w:fldSimple w:instr=" DOCPROPERTY  xTitle  \* MERGEFORMAT ">
      <w:r w:rsidR="005B2F4C">
        <w:t>Improving Australia's reporting on hazardous waste under the Basel Convention</w:t>
      </w:r>
    </w:fldSimple>
    <w:r w:rsidR="00A67EA5">
      <w:tab/>
    </w:r>
    <w:fldSimple w:instr=" DOCPROPERTY  xProjectNumber  \* MERGEFORMAT ">
      <w:r w:rsidR="005B2F4C">
        <w:t>P459</w:t>
      </w:r>
    </w:fldSimple>
    <w:r w:rsidR="00A67EA5">
      <w:t xml:space="preserve"> </w:t>
    </w:r>
    <w:fldSimple w:instr=" DOCPROPERTY  xDraft  \* MERGEFORMAT ">
      <w:r w:rsidR="005B2F4C">
        <w:t>Final</w:t>
      </w:r>
    </w:fldSimple>
    <w:r w:rsidR="00A67EA5">
      <w:t xml:space="preserve"> report</w:t>
    </w:r>
  </w:p>
  <w:p w:rsidR="00A67EA5" w:rsidRPr="009A582D" w:rsidRDefault="00A67EA5" w:rsidP="00A67EA5">
    <w:pPr>
      <w:pStyle w:val="Footer"/>
      <w:tabs>
        <w:tab w:val="clear" w:pos="4678"/>
        <w:tab w:val="center" w:pos="6946"/>
      </w:tabs>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4B759B">
      <w:rPr>
        <w:rStyle w:val="PageNumber"/>
        <w:rFonts w:cs="Arial"/>
        <w:noProof/>
        <w:szCs w:val="18"/>
      </w:rPr>
      <w:t>29</w:t>
    </w:r>
    <w:r w:rsidR="003E6F16" w:rsidRPr="00EE4519">
      <w:rPr>
        <w:rStyle w:val="PageNumber"/>
        <w:rFonts w:cs="Arial"/>
        <w:szCs w:val="18"/>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EA5" w:rsidRDefault="003E6F16" w:rsidP="00A67EA5">
    <w:pPr>
      <w:pStyle w:val="Footer"/>
      <w:tabs>
        <w:tab w:val="clear" w:pos="9356"/>
        <w:tab w:val="right" w:pos="9498"/>
      </w:tabs>
    </w:pPr>
    <w:fldSimple w:instr=" DOCPROPERTY  xTitle  \* MERGEFORMAT ">
      <w:r w:rsidR="005B2F4C">
        <w:t>Improving Australia's reporting on hazardous waste under the Basel Convention</w:t>
      </w:r>
    </w:fldSimple>
    <w:r w:rsidR="00A67EA5">
      <w:tab/>
    </w:r>
    <w:fldSimple w:instr=" DOCPROPERTY  xProjectNumber  \* MERGEFORMAT ">
      <w:r w:rsidR="005B2F4C">
        <w:t>P459</w:t>
      </w:r>
    </w:fldSimple>
    <w:r w:rsidR="00A67EA5">
      <w:t xml:space="preserve"> </w:t>
    </w:r>
    <w:fldSimple w:instr=" DOCPROPERTY  xDraft  \* MERGEFORMAT ">
      <w:r w:rsidR="005B2F4C">
        <w:t>Final</w:t>
      </w:r>
    </w:fldSimple>
    <w:r w:rsidR="00A67EA5">
      <w:t xml:space="preserve"> report</w:t>
    </w:r>
  </w:p>
  <w:p w:rsidR="00A67EA5" w:rsidRPr="009A582D" w:rsidRDefault="00A67EA5" w:rsidP="00A16765">
    <w:pPr>
      <w:pStyle w:val="Footer"/>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4B759B">
      <w:rPr>
        <w:rStyle w:val="PageNumber"/>
        <w:rFonts w:cs="Arial"/>
        <w:noProof/>
        <w:szCs w:val="18"/>
      </w:rPr>
      <w:t>48</w:t>
    </w:r>
    <w:r w:rsidR="003E6F16" w:rsidRPr="00EE4519">
      <w:rPr>
        <w:rStyle w:val="PageNumber"/>
        <w:rFonts w:cs="Arial"/>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rsidP="00FC6EEF">
    <w:pPr>
      <w:pStyle w:val="Footernolin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3E6F16" w:rsidP="00D149AC">
    <w:pPr>
      <w:pStyle w:val="Footer"/>
    </w:pPr>
    <w:fldSimple w:instr=" DOCPROPERTY  xTitle  \* MERGEFORMAT ">
      <w:r w:rsidR="005B2F4C">
        <w:t>Improving Australia's reporting on hazardous waste under the Basel Convention</w:t>
      </w:r>
    </w:fldSimple>
    <w:r w:rsidR="002E3088">
      <w:tab/>
    </w:r>
    <w:fldSimple w:instr=" DOCPROPERTY  xProjectNumber  \* MERGEFORMAT ">
      <w:r w:rsidR="005B2F4C">
        <w:t>P459</w:t>
      </w:r>
    </w:fldSimple>
    <w:r w:rsidR="002E3088">
      <w:t xml:space="preserve"> </w:t>
    </w:r>
    <w:fldSimple w:instr=" DOCPROPERTY  xDraft  \* MERGEFORMAT ">
      <w:r w:rsidR="005B2F4C">
        <w:t>Final</w:t>
      </w:r>
    </w:fldSimple>
    <w:r w:rsidR="002E3088">
      <w:t xml:space="preserve"> report</w:t>
    </w:r>
  </w:p>
  <w:p w:rsidR="002E3088" w:rsidRPr="00EE4519" w:rsidRDefault="002E3088" w:rsidP="00D149AC">
    <w:pPr>
      <w:pStyle w:val="Footer"/>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4B759B">
      <w:rPr>
        <w:rStyle w:val="PageNumber"/>
        <w:rFonts w:cs="Arial"/>
        <w:noProof/>
        <w:szCs w:val="18"/>
      </w:rPr>
      <w:t>vi</w:t>
    </w:r>
    <w:r w:rsidR="003E6F16" w:rsidRPr="00EE4519">
      <w:rPr>
        <w:rStyle w:val="PageNumber"/>
        <w:rFonts w:cs="Arial"/>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3E6F16" w:rsidP="00FC6EEF">
    <w:pPr>
      <w:pStyle w:val="Footer"/>
    </w:pPr>
    <w:fldSimple w:instr=" DOCPROPERTY  xTitle  \* MERGEFORMAT ">
      <w:r w:rsidR="005B2F4C">
        <w:t>Improving Australia's reporting on hazardous waste under the Basel Convention</w:t>
      </w:r>
    </w:fldSimple>
    <w:r w:rsidR="002E3088">
      <w:tab/>
    </w:r>
    <w:r w:rsidR="002E3088">
      <w:tab/>
    </w:r>
    <w:r w:rsidR="002E3088" w:rsidRPr="00E45412">
      <w:t>Project</w:t>
    </w:r>
    <w:r w:rsidR="002E3088">
      <w:t xml:space="preserve"> number </w:t>
    </w:r>
    <w:fldSimple w:instr=" DOCPROPERTY  xProjectNumber  \* MERGEFORMAT ">
      <w:r w:rsidR="005B2F4C">
        <w:t>P459</w:t>
      </w:r>
    </w:fldSimple>
    <w:r w:rsidR="002E3088">
      <w:t xml:space="preserve"> </w:t>
    </w:r>
    <w:fldSimple w:instr=" DOCPROPERTY  xDraft  \* MERGEFORMAT ">
      <w:r w:rsidR="005B2F4C">
        <w:t>Final</w:t>
      </w:r>
    </w:fldSimple>
    <w:r w:rsidR="002E3088">
      <w:t xml:space="preserve"> report Version </w:t>
    </w:r>
    <w:r>
      <w:fldChar w:fldCharType="begin"/>
    </w:r>
    <w:r w:rsidR="002E3088">
      <w:instrText xml:space="preserve"> DOCPROPERTY  xVersion  \* MERGEFORMAT </w:instrText>
    </w:r>
    <w:r>
      <w:fldChar w:fldCharType="end"/>
    </w:r>
  </w:p>
  <w:p w:rsidR="002E3088" w:rsidRPr="005459E4" w:rsidRDefault="002E3088" w:rsidP="00FC6EEF">
    <w:pPr>
      <w:pStyle w:val="Footer"/>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C33A49">
      <w:rPr>
        <w:rStyle w:val="PageNumber"/>
        <w:rFonts w:cs="Arial"/>
        <w:noProof/>
        <w:szCs w:val="18"/>
      </w:rPr>
      <w:t>vi</w:t>
    </w:r>
    <w:r w:rsidR="003E6F16" w:rsidRPr="00EE4519">
      <w:rPr>
        <w:rStyle w:val="PageNumber"/>
        <w:rFonts w:cs="Arial"/>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rsidP="00FC6EE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3E6F16" w:rsidP="00A67EA5">
    <w:pPr>
      <w:pStyle w:val="Footer"/>
      <w:tabs>
        <w:tab w:val="clear" w:pos="9356"/>
        <w:tab w:val="right" w:pos="9498"/>
      </w:tabs>
    </w:pPr>
    <w:fldSimple w:instr=" DOCPROPERTY  xTitle  \* MERGEFORMAT ">
      <w:r w:rsidR="005B2F4C">
        <w:t>Improving Australia's reporting on hazardous waste under the Basel Convention</w:t>
      </w:r>
    </w:fldSimple>
    <w:r w:rsidR="002E3088">
      <w:tab/>
    </w:r>
    <w:fldSimple w:instr=" DOCPROPERTY  xProjectNumber  \* MERGEFORMAT ">
      <w:r w:rsidR="005B2F4C">
        <w:t>P459</w:t>
      </w:r>
    </w:fldSimple>
    <w:r w:rsidR="002E3088">
      <w:t xml:space="preserve"> </w:t>
    </w:r>
    <w:fldSimple w:instr=" DOCPROPERTY  xDraft  \* MERGEFORMAT ">
      <w:r w:rsidR="005B2F4C">
        <w:t>Final</w:t>
      </w:r>
    </w:fldSimple>
    <w:r w:rsidR="002E3088">
      <w:t xml:space="preserve"> report</w:t>
    </w:r>
  </w:p>
  <w:p w:rsidR="002E3088" w:rsidRPr="009A582D" w:rsidRDefault="002E3088" w:rsidP="005046D3">
    <w:pPr>
      <w:pStyle w:val="Footer"/>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4B759B">
      <w:rPr>
        <w:rStyle w:val="PageNumber"/>
        <w:rFonts w:cs="Arial"/>
        <w:noProof/>
        <w:szCs w:val="18"/>
      </w:rPr>
      <w:t>18</w:t>
    </w:r>
    <w:r w:rsidR="003E6F16" w:rsidRPr="00EE4519">
      <w:rPr>
        <w:rStyle w:val="PageNumber"/>
        <w:rFonts w:cs="Arial"/>
        <w:szCs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3E6F16" w:rsidP="00FC6EEF">
    <w:pPr>
      <w:pStyle w:val="Footer"/>
    </w:pPr>
    <w:fldSimple w:instr=" DOCPROPERTY  xTitle  \* MERGEFORMAT ">
      <w:r w:rsidR="005B2F4C">
        <w:t>Improving Australia's reporting on hazardous waste under the Basel Convention</w:t>
      </w:r>
    </w:fldSimple>
    <w:r w:rsidR="002E3088">
      <w:tab/>
    </w:r>
    <w:r w:rsidR="002E3088">
      <w:tab/>
    </w:r>
    <w:r w:rsidR="002E3088" w:rsidRPr="00E45412">
      <w:t>Project</w:t>
    </w:r>
    <w:r w:rsidR="002E3088">
      <w:t xml:space="preserve"> number </w:t>
    </w:r>
    <w:fldSimple w:instr=" DOCPROPERTY  xProjectNumber  \* MERGEFORMAT ">
      <w:r w:rsidR="005B2F4C">
        <w:t>P459</w:t>
      </w:r>
    </w:fldSimple>
    <w:r w:rsidR="002E3088">
      <w:t xml:space="preserve"> </w:t>
    </w:r>
    <w:fldSimple w:instr=" DOCPROPERTY  xDraft  \* MERGEFORMAT ">
      <w:r w:rsidR="005B2F4C">
        <w:t>Final</w:t>
      </w:r>
    </w:fldSimple>
    <w:r w:rsidR="002E3088">
      <w:t xml:space="preserve"> report Version </w:t>
    </w:r>
    <w:r>
      <w:fldChar w:fldCharType="begin"/>
    </w:r>
    <w:r w:rsidR="002E3088">
      <w:instrText xml:space="preserve"> DOCPROPERTY  xVersion  \* MERGEFORMAT </w:instrText>
    </w:r>
    <w:r>
      <w:fldChar w:fldCharType="end"/>
    </w:r>
  </w:p>
  <w:p w:rsidR="002E3088" w:rsidRPr="005459E4" w:rsidRDefault="002E3088" w:rsidP="00FC6EEF">
    <w:pPr>
      <w:pStyle w:val="Footer"/>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C33A49">
      <w:rPr>
        <w:rStyle w:val="PageNumber"/>
        <w:rFonts w:cs="Arial"/>
        <w:noProof/>
        <w:szCs w:val="18"/>
      </w:rPr>
      <w:t>18</w:t>
    </w:r>
    <w:r w:rsidR="003E6F16" w:rsidRPr="00EE4519">
      <w:rPr>
        <w:rStyle w:val="PageNumber"/>
        <w:rFonts w:cs="Arial"/>
        <w:szCs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rsidP="00BF043F">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3E6F16" w:rsidP="00A16765">
    <w:pPr>
      <w:pStyle w:val="Footer"/>
    </w:pPr>
    <w:fldSimple w:instr=" DOCPROPERTY  xTitle  \* MERGEFORMAT ">
      <w:r w:rsidR="005B2F4C">
        <w:t>Improving Australia's reporting on hazardous waste under the Basel Convention</w:t>
      </w:r>
    </w:fldSimple>
    <w:r w:rsidR="002E3088">
      <w:tab/>
    </w:r>
    <w:fldSimple w:instr=" DOCPROPERTY  xProjectNumber  \* MERGEFORMAT ">
      <w:r w:rsidR="005B2F4C">
        <w:t>P459</w:t>
      </w:r>
    </w:fldSimple>
    <w:r w:rsidR="002E3088">
      <w:t xml:space="preserve"> </w:t>
    </w:r>
    <w:fldSimple w:instr=" DOCPROPERTY  xDraft  \* MERGEFORMAT ">
      <w:r w:rsidR="005B2F4C">
        <w:t>Final</w:t>
      </w:r>
    </w:fldSimple>
    <w:r w:rsidR="002E3088">
      <w:t xml:space="preserve"> report</w:t>
    </w:r>
  </w:p>
  <w:p w:rsidR="002E3088" w:rsidRPr="009A582D" w:rsidRDefault="002E3088" w:rsidP="00A16765">
    <w:pPr>
      <w:pStyle w:val="Footer"/>
    </w:pPr>
    <w:r>
      <w:tab/>
    </w:r>
    <w:r w:rsidRPr="00EE4519">
      <w:t xml:space="preserve">Page </w:t>
    </w:r>
    <w:r w:rsidR="003E6F16" w:rsidRPr="00EE4519">
      <w:rPr>
        <w:rStyle w:val="PageNumber"/>
        <w:rFonts w:cs="Arial"/>
        <w:szCs w:val="18"/>
      </w:rPr>
      <w:fldChar w:fldCharType="begin"/>
    </w:r>
    <w:r w:rsidRPr="00EE4519">
      <w:rPr>
        <w:rStyle w:val="PageNumber"/>
        <w:rFonts w:cs="Arial"/>
        <w:szCs w:val="18"/>
      </w:rPr>
      <w:instrText xml:space="preserve"> PAGE </w:instrText>
    </w:r>
    <w:r w:rsidR="003E6F16" w:rsidRPr="00EE4519">
      <w:rPr>
        <w:rStyle w:val="PageNumber"/>
        <w:rFonts w:cs="Arial"/>
        <w:szCs w:val="18"/>
      </w:rPr>
      <w:fldChar w:fldCharType="separate"/>
    </w:r>
    <w:r w:rsidR="004B759B">
      <w:rPr>
        <w:rStyle w:val="PageNumber"/>
        <w:rFonts w:cs="Arial"/>
        <w:noProof/>
        <w:szCs w:val="18"/>
      </w:rPr>
      <w:t>19</w:t>
    </w:r>
    <w:r w:rsidR="003E6F16" w:rsidRPr="00EE4519">
      <w:rPr>
        <w:rStyle w:val="PageNumber"/>
        <w:rFonts w:cs="Arial"/>
        <w:szCs w:val="18"/>
      </w:rPr>
      <w:fldChar w:fldCharType="end"/>
    </w:r>
  </w:p>
  <w:p w:rsidR="002E3088" w:rsidRPr="00A16765" w:rsidRDefault="002E3088" w:rsidP="00A167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B50" w:rsidRDefault="00310B50" w:rsidP="00E82ECD">
      <w:r>
        <w:separator/>
      </w:r>
    </w:p>
  </w:footnote>
  <w:footnote w:type="continuationSeparator" w:id="0">
    <w:p w:rsidR="00310B50" w:rsidRDefault="00310B50" w:rsidP="00E82ECD">
      <w:r>
        <w:continuationSeparator/>
      </w:r>
    </w:p>
  </w:footnote>
  <w:footnote w:id="1">
    <w:p w:rsidR="002E3088" w:rsidRPr="004C6DC2" w:rsidRDefault="002E3088" w:rsidP="00DF2447">
      <w:pPr>
        <w:pStyle w:val="FootnoteText"/>
        <w:rPr>
          <w:lang w:val="en-US"/>
        </w:rPr>
      </w:pPr>
      <w:r>
        <w:rPr>
          <w:rStyle w:val="FootnoteReference"/>
        </w:rPr>
        <w:footnoteRef/>
      </w:r>
      <w:r>
        <w:t xml:space="preserve"> </w:t>
      </w:r>
      <w:proofErr w:type="gramStart"/>
      <w:r w:rsidRPr="00DF2447">
        <w:rPr>
          <w:i/>
          <w:lang w:val="en-US"/>
        </w:rPr>
        <w:t>Hazardous Waste Summary Final Report</w:t>
      </w:r>
      <w:r>
        <w:rPr>
          <w:lang w:val="en-US"/>
        </w:rPr>
        <w:t>, by KMH Environmental for the Department of Sustainability, Environment, Population and Communities, 2013.</w:t>
      </w:r>
      <w:proofErr w:type="gramEnd"/>
    </w:p>
  </w:footnote>
  <w:footnote w:id="2">
    <w:p w:rsidR="002E3088" w:rsidRPr="002E3088" w:rsidRDefault="002E3088">
      <w:pPr>
        <w:pStyle w:val="FootnoteText"/>
        <w:rPr>
          <w:lang w:val="en-US"/>
        </w:rPr>
      </w:pPr>
      <w:r>
        <w:rPr>
          <w:rStyle w:val="FootnoteReference"/>
        </w:rPr>
        <w:footnoteRef/>
      </w:r>
      <w:r>
        <w:t xml:space="preserve"> </w:t>
      </w:r>
      <w:r w:rsidRPr="00484118">
        <w:rPr>
          <w:i/>
          <w:sz w:val="22"/>
        </w:rPr>
        <w:t>Hazardous Waste Data Assessment Summary Report</w:t>
      </w:r>
      <w:r>
        <w:rPr>
          <w:sz w:val="22"/>
        </w:rPr>
        <w:t>, KMH Environmental (2013), p.18.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pPr>
      <w:pStyle w:val="Header"/>
    </w:pPr>
    <w:r w:rsidRPr="00D95F6B">
      <w:rPr>
        <w:noProof/>
        <w:lang w:eastAsia="en-AU"/>
      </w:rPr>
      <w:drawing>
        <wp:inline distT="0" distB="0" distL="0" distR="0">
          <wp:extent cx="2447925" cy="430112"/>
          <wp:effectExtent l="19050" t="0" r="0" b="0"/>
          <wp:docPr id="18"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Pr="007F6A5B" w:rsidRDefault="002E3088" w:rsidP="005459E4">
    <w:pPr>
      <w:pStyle w:val="Header"/>
    </w:pPr>
    <w:r>
      <w:rPr>
        <w:noProof/>
        <w:lang w:eastAsia="en-AU"/>
      </w:rPr>
      <w:drawing>
        <wp:inline distT="0" distB="0" distL="0" distR="0">
          <wp:extent cx="2286000" cy="393700"/>
          <wp:effectExtent l="19050" t="0" r="0" b="0"/>
          <wp:docPr id="20"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E3088" w:rsidRPr="005459E4" w:rsidRDefault="002E3088" w:rsidP="005459E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rsidP="000C2BB8">
    <w:pPr>
      <w:pStyle w:val="Header"/>
    </w:pPr>
    <w:r>
      <w:rPr>
        <w:noProof/>
        <w:lang w:eastAsia="en-AU"/>
      </w:rPr>
      <w:drawing>
        <wp:anchor distT="0" distB="0" distL="114300" distR="114300" simplePos="0" relativeHeight="251734016" behindDoc="0" locked="0" layoutInCell="1" allowOverlap="1">
          <wp:simplePos x="0" y="0"/>
          <wp:positionH relativeFrom="column">
            <wp:posOffset>2330450</wp:posOffset>
          </wp:positionH>
          <wp:positionV relativeFrom="paragraph">
            <wp:posOffset>-60325</wp:posOffset>
          </wp:positionV>
          <wp:extent cx="1450340" cy="314325"/>
          <wp:effectExtent l="0" t="0" r="0" b="9525"/>
          <wp:wrapSquare wrapText="bothSides"/>
          <wp:docPr id="12" name="Picture 12" descr="C:\Users\Joe\Documents\A) BE projects\P459 Hazwaste reporting\Incoming info\Env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cuments\A) BE projects\P459 Hazwaste reporting\Incoming info\Enviro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340" cy="314325"/>
                  </a:xfrm>
                  <a:prstGeom prst="rect">
                    <a:avLst/>
                  </a:prstGeom>
                  <a:noFill/>
                  <a:ln>
                    <a:noFill/>
                  </a:ln>
                </pic:spPr>
              </pic:pic>
            </a:graphicData>
          </a:graphic>
        </wp:anchor>
      </w:drawing>
    </w:r>
    <w:r>
      <w:rPr>
        <w:noProof/>
        <w:lang w:eastAsia="en-AU"/>
      </w:rPr>
      <w:drawing>
        <wp:anchor distT="0" distB="0" distL="114300" distR="114300" simplePos="0" relativeHeight="251735040" behindDoc="0" locked="0" layoutInCell="1" allowOverlap="1">
          <wp:simplePos x="0" y="0"/>
          <wp:positionH relativeFrom="column">
            <wp:posOffset>4490085</wp:posOffset>
          </wp:positionH>
          <wp:positionV relativeFrom="paragraph">
            <wp:posOffset>-50165</wp:posOffset>
          </wp:positionV>
          <wp:extent cx="1400175" cy="258445"/>
          <wp:effectExtent l="0" t="0" r="9525" b="8255"/>
          <wp:wrapSquare wrapText="bothSides"/>
          <wp:docPr id="14" name="Picture 14" descr="C:\Users\Joe\Documents\A) BE projects\P459 Hazwaste reporting\Incoming info\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ocuments\A) BE projects\P459 Hazwaste reporting\Incoming info\REC.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258445"/>
                  </a:xfrm>
                  <a:prstGeom prst="rect">
                    <a:avLst/>
                  </a:prstGeom>
                  <a:noFill/>
                  <a:ln>
                    <a:noFill/>
                  </a:ln>
                </pic:spPr>
              </pic:pic>
            </a:graphicData>
          </a:graphic>
        </wp:anchor>
      </w:drawing>
    </w:r>
    <w:r>
      <w:rPr>
        <w:noProof/>
        <w:lang w:eastAsia="en-AU"/>
      </w:rPr>
      <w:drawing>
        <wp:anchor distT="0" distB="0" distL="114300" distR="114300" simplePos="0" relativeHeight="251732992"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5" name="Picture 15"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p w:rsidR="002E3088" w:rsidRPr="00C71B0F" w:rsidRDefault="002E3088" w:rsidP="00A16765">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Pr="007F6A5B" w:rsidRDefault="002E3088" w:rsidP="00BF043F">
    <w:pPr>
      <w:pStyle w:val="Header"/>
    </w:pPr>
    <w:r>
      <w:rPr>
        <w:noProof/>
        <w:lang w:eastAsia="en-AU"/>
      </w:rPr>
      <w:drawing>
        <wp:inline distT="0" distB="0" distL="0" distR="0">
          <wp:extent cx="2286000" cy="393700"/>
          <wp:effectExtent l="19050" t="0" r="0" b="0"/>
          <wp:docPr id="26"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E3088" w:rsidRPr="005459E4" w:rsidRDefault="002E3088" w:rsidP="00BF043F">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rsidP="000C2BB8">
    <w:pPr>
      <w:pStyle w:val="Header"/>
    </w:pPr>
    <w:r>
      <w:rPr>
        <w:noProof/>
        <w:lang w:eastAsia="en-AU"/>
      </w:rPr>
      <w:drawing>
        <wp:anchor distT="0" distB="0" distL="114300" distR="114300" simplePos="0" relativeHeight="251738112" behindDoc="0" locked="0" layoutInCell="1" allowOverlap="1">
          <wp:simplePos x="0" y="0"/>
          <wp:positionH relativeFrom="column">
            <wp:posOffset>2330450</wp:posOffset>
          </wp:positionH>
          <wp:positionV relativeFrom="paragraph">
            <wp:posOffset>-60325</wp:posOffset>
          </wp:positionV>
          <wp:extent cx="1450340" cy="314325"/>
          <wp:effectExtent l="0" t="0" r="0" b="9525"/>
          <wp:wrapSquare wrapText="bothSides"/>
          <wp:docPr id="16" name="Picture 16" descr="C:\Users\Joe\Documents\A) BE projects\P459 Hazwaste reporting\Incoming info\Env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cuments\A) BE projects\P459 Hazwaste reporting\Incoming info\Enviro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340" cy="314325"/>
                  </a:xfrm>
                  <a:prstGeom prst="rect">
                    <a:avLst/>
                  </a:prstGeom>
                  <a:noFill/>
                  <a:ln>
                    <a:noFill/>
                  </a:ln>
                </pic:spPr>
              </pic:pic>
            </a:graphicData>
          </a:graphic>
        </wp:anchor>
      </w:drawing>
    </w:r>
    <w:r>
      <w:rPr>
        <w:noProof/>
        <w:lang w:eastAsia="en-AU"/>
      </w:rPr>
      <w:drawing>
        <wp:anchor distT="0" distB="0" distL="114300" distR="114300" simplePos="0" relativeHeight="251739136" behindDoc="0" locked="0" layoutInCell="1" allowOverlap="1">
          <wp:simplePos x="0" y="0"/>
          <wp:positionH relativeFrom="column">
            <wp:posOffset>4490085</wp:posOffset>
          </wp:positionH>
          <wp:positionV relativeFrom="paragraph">
            <wp:posOffset>-50165</wp:posOffset>
          </wp:positionV>
          <wp:extent cx="1400175" cy="258445"/>
          <wp:effectExtent l="0" t="0" r="9525" b="8255"/>
          <wp:wrapSquare wrapText="bothSides"/>
          <wp:docPr id="19" name="Picture 19" descr="C:\Users\Joe\Documents\A) BE projects\P459 Hazwaste reporting\Incoming info\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ocuments\A) BE projects\P459 Hazwaste reporting\Incoming info\REC.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258445"/>
                  </a:xfrm>
                  <a:prstGeom prst="rect">
                    <a:avLst/>
                  </a:prstGeom>
                  <a:noFill/>
                  <a:ln>
                    <a:noFill/>
                  </a:ln>
                </pic:spPr>
              </pic:pic>
            </a:graphicData>
          </a:graphic>
        </wp:anchor>
      </w:drawing>
    </w:r>
    <w:r>
      <w:rPr>
        <w:noProof/>
        <w:lang w:eastAsia="en-AU"/>
      </w:rPr>
      <w:drawing>
        <wp:anchor distT="0" distB="0" distL="114300" distR="114300" simplePos="0" relativeHeight="251737088"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22" name="Picture 2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p w:rsidR="002E3088" w:rsidRPr="00C71B0F" w:rsidRDefault="002E3088" w:rsidP="00C71B0F">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Pr="007F6A5B" w:rsidRDefault="002E3088" w:rsidP="005459E4">
    <w:pPr>
      <w:pStyle w:val="Header"/>
    </w:pPr>
    <w:r>
      <w:rPr>
        <w:noProof/>
        <w:lang w:eastAsia="en-AU"/>
      </w:rPr>
      <w:drawing>
        <wp:inline distT="0" distB="0" distL="0" distR="0">
          <wp:extent cx="2286000" cy="393700"/>
          <wp:effectExtent l="19050" t="0" r="0" b="0"/>
          <wp:docPr id="33"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E3088" w:rsidRPr="005459E4" w:rsidRDefault="002E3088" w:rsidP="005459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Pr="00D76756" w:rsidRDefault="002E3088" w:rsidP="00D76756">
    <w:pPr>
      <w:pStyle w:val="Header"/>
    </w:pPr>
    <w:r>
      <w:rPr>
        <w:noProof/>
        <w:lang w:eastAsia="en-AU"/>
      </w:rPr>
      <w:drawing>
        <wp:anchor distT="0" distB="0" distL="114300" distR="114300" simplePos="0" relativeHeight="251717632" behindDoc="0" locked="0" layoutInCell="1" allowOverlap="1">
          <wp:simplePos x="0" y="0"/>
          <wp:positionH relativeFrom="column">
            <wp:posOffset>2549525</wp:posOffset>
          </wp:positionH>
          <wp:positionV relativeFrom="paragraph">
            <wp:posOffset>6985</wp:posOffset>
          </wp:positionV>
          <wp:extent cx="1450340" cy="314325"/>
          <wp:effectExtent l="0" t="0" r="0" b="9525"/>
          <wp:wrapSquare wrapText="bothSides"/>
          <wp:docPr id="51" name="Picture 51" descr="C:\Users\Joe\Documents\A) BE projects\P459 Hazwaste reporting\Incoming info\Environ.jpg"/>
          <wp:cNvGraphicFramePr/>
          <a:graphic xmlns:a="http://schemas.openxmlformats.org/drawingml/2006/main">
            <a:graphicData uri="http://schemas.openxmlformats.org/drawingml/2006/picture">
              <pic:pic xmlns:pic="http://schemas.openxmlformats.org/drawingml/2006/picture">
                <pic:nvPicPr>
                  <pic:cNvPr id="1" name="Picture 1" descr="C:\Users\Joe\Documents\A) BE projects\P459 Hazwaste reporting\Incoming info\Environ.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340" cy="314325"/>
                  </a:xfrm>
                  <a:prstGeom prst="rect">
                    <a:avLst/>
                  </a:prstGeom>
                  <a:noFill/>
                  <a:ln>
                    <a:noFill/>
                  </a:ln>
                </pic:spPr>
              </pic:pic>
            </a:graphicData>
          </a:graphic>
        </wp:anchor>
      </w:drawing>
    </w:r>
    <w:r>
      <w:rPr>
        <w:noProof/>
        <w:lang w:eastAsia="en-AU"/>
      </w:rPr>
      <w:drawing>
        <wp:anchor distT="0" distB="0" distL="114300" distR="114300" simplePos="0" relativeHeight="251718656" behindDoc="0" locked="0" layoutInCell="1" allowOverlap="1">
          <wp:simplePos x="0" y="0"/>
          <wp:positionH relativeFrom="column">
            <wp:posOffset>4160520</wp:posOffset>
          </wp:positionH>
          <wp:positionV relativeFrom="paragraph">
            <wp:posOffset>14605</wp:posOffset>
          </wp:positionV>
          <wp:extent cx="1400175" cy="258445"/>
          <wp:effectExtent l="0" t="0" r="9525" b="8255"/>
          <wp:wrapSquare wrapText="bothSides"/>
          <wp:docPr id="13" name="Picture 13" descr="C:\Users\Joe\Documents\A) BE projects\P459 Hazwaste reporting\Incoming info\REC.jpg"/>
          <wp:cNvGraphicFramePr/>
          <a:graphic xmlns:a="http://schemas.openxmlformats.org/drawingml/2006/main">
            <a:graphicData uri="http://schemas.openxmlformats.org/drawingml/2006/picture">
              <pic:pic xmlns:pic="http://schemas.openxmlformats.org/drawingml/2006/picture">
                <pic:nvPicPr>
                  <pic:cNvPr id="13" name="Picture 13" descr="C:\Users\Joe\Documents\A) BE projects\P459 Hazwaste reporting\Incoming info\REC.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258445"/>
                  </a:xfrm>
                  <a:prstGeom prst="rect">
                    <a:avLst/>
                  </a:prstGeom>
                  <a:noFill/>
                  <a:ln>
                    <a:noFill/>
                  </a:ln>
                </pic:spPr>
              </pic:pic>
            </a:graphicData>
          </a:graphic>
        </wp:anchor>
      </w:drawing>
    </w:r>
    <w:r w:rsidRPr="00F4272F">
      <w:rPr>
        <w:noProof/>
        <w:lang w:eastAsia="en-AU"/>
      </w:rPr>
      <w:drawing>
        <wp:anchor distT="0" distB="0" distL="114300" distR="114300" simplePos="0" relativeHeight="251661312" behindDoc="1" locked="0" layoutInCell="1" allowOverlap="1">
          <wp:simplePos x="0" y="0"/>
          <wp:positionH relativeFrom="margin">
            <wp:posOffset>-19355</wp:posOffset>
          </wp:positionH>
          <wp:positionV relativeFrom="page">
            <wp:posOffset>412750</wp:posOffset>
          </wp:positionV>
          <wp:extent cx="2372995" cy="411480"/>
          <wp:effectExtent l="0" t="0" r="8255" b="7620"/>
          <wp:wrapNone/>
          <wp:docPr id="8"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2372995" cy="411480"/>
                  </a:xfrm>
                  <a:prstGeom prst="rect">
                    <a:avLst/>
                  </a:prstGeom>
                  <a:noFill/>
                  <a:ln w="9525">
                    <a:noFill/>
                    <a:miter lim="800000"/>
                    <a:headEnd/>
                    <a:tailEnd/>
                  </a:ln>
                </pic:spPr>
              </pic:pic>
            </a:graphicData>
          </a:graphic>
        </wp:anchor>
      </w:drawing>
    </w:r>
    <w:r w:rsidRPr="00F4272F">
      <w:rPr>
        <w:noProof/>
        <w:lang w:eastAsia="en-AU"/>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Pr="005459E4" w:rsidRDefault="002E3088" w:rsidP="005459E4">
    <w:pPr>
      <w:pStyle w:val="Header"/>
    </w:pPr>
    <w:r w:rsidRPr="00F4272F">
      <w:rPr>
        <w:noProof/>
        <w:lang w:eastAsia="en-AU"/>
      </w:rPr>
      <w:drawing>
        <wp:anchor distT="0" distB="0" distL="114300" distR="114300" simplePos="0" relativeHeight="251664384" behindDoc="1" locked="0" layoutInCell="1" allowOverlap="1">
          <wp:simplePos x="0" y="0"/>
          <wp:positionH relativeFrom="page">
            <wp:posOffset>1135469</wp:posOffset>
          </wp:positionH>
          <wp:positionV relativeFrom="page">
            <wp:posOffset>457200</wp:posOffset>
          </wp:positionV>
          <wp:extent cx="2979331" cy="531627"/>
          <wp:effectExtent l="19050" t="0" r="0" b="0"/>
          <wp:wrapNone/>
          <wp:docPr id="10"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979331" cy="531627"/>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rsidP="000C2BB8">
    <w:pPr>
      <w:pStyle w:val="Header"/>
    </w:pPr>
    <w:r>
      <w:rPr>
        <w:noProof/>
        <w:lang w:eastAsia="en-AU"/>
      </w:rPr>
      <w:drawing>
        <wp:anchor distT="0" distB="0" distL="114300" distR="114300" simplePos="0" relativeHeight="251721728" behindDoc="0" locked="0" layoutInCell="1" allowOverlap="1">
          <wp:simplePos x="0" y="0"/>
          <wp:positionH relativeFrom="column">
            <wp:posOffset>2330450</wp:posOffset>
          </wp:positionH>
          <wp:positionV relativeFrom="paragraph">
            <wp:posOffset>-60325</wp:posOffset>
          </wp:positionV>
          <wp:extent cx="1450340" cy="314325"/>
          <wp:effectExtent l="0" t="0" r="0" b="9525"/>
          <wp:wrapSquare wrapText="bothSides"/>
          <wp:docPr id="74" name="Picture 74" descr="C:\Users\Joe\Documents\A) BE projects\P459 Hazwaste reporting\Incoming info\Env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cuments\A) BE projects\P459 Hazwaste reporting\Incoming info\Enviro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340" cy="314325"/>
                  </a:xfrm>
                  <a:prstGeom prst="rect">
                    <a:avLst/>
                  </a:prstGeom>
                  <a:noFill/>
                  <a:ln>
                    <a:noFill/>
                  </a:ln>
                </pic:spPr>
              </pic:pic>
            </a:graphicData>
          </a:graphic>
        </wp:anchor>
      </w:drawing>
    </w:r>
    <w:r>
      <w:rPr>
        <w:noProof/>
        <w:lang w:eastAsia="en-AU"/>
      </w:rPr>
      <w:drawing>
        <wp:anchor distT="0" distB="0" distL="114300" distR="114300" simplePos="0" relativeHeight="251722752" behindDoc="0" locked="0" layoutInCell="1" allowOverlap="1">
          <wp:simplePos x="0" y="0"/>
          <wp:positionH relativeFrom="column">
            <wp:posOffset>4490085</wp:posOffset>
          </wp:positionH>
          <wp:positionV relativeFrom="paragraph">
            <wp:posOffset>-50165</wp:posOffset>
          </wp:positionV>
          <wp:extent cx="1400175" cy="258445"/>
          <wp:effectExtent l="0" t="0" r="9525" b="8255"/>
          <wp:wrapSquare wrapText="bothSides"/>
          <wp:docPr id="75" name="Picture 75" descr="C:\Users\Joe\Documents\A) BE projects\P459 Hazwaste reporting\Incoming info\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ocuments\A) BE projects\P459 Hazwaste reporting\Incoming info\REC.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258445"/>
                  </a:xfrm>
                  <a:prstGeom prst="rect">
                    <a:avLst/>
                  </a:prstGeom>
                  <a:noFill/>
                  <a:ln>
                    <a:noFill/>
                  </a:ln>
                </pic:spPr>
              </pic:pic>
            </a:graphicData>
          </a:graphic>
        </wp:anchor>
      </w:drawing>
    </w:r>
    <w:r>
      <w:rPr>
        <w:noProof/>
        <w:lang w:eastAsia="en-AU"/>
      </w:rPr>
      <w:drawing>
        <wp:anchor distT="0" distB="0" distL="114300" distR="114300" simplePos="0" relativeHeight="251720704"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76" name="Picture 76"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p w:rsidR="002E3088" w:rsidRPr="000C2BB8" w:rsidRDefault="002E3088" w:rsidP="000C2BB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rsidP="005459E4">
    <w:pPr>
      <w:pStyle w:val="Header"/>
    </w:pPr>
    <w:r>
      <w:rPr>
        <w:noProof/>
        <w:lang w:eastAsia="en-AU"/>
      </w:rPr>
      <w:drawing>
        <wp:anchor distT="0" distB="0" distL="114300" distR="114300" simplePos="0" relativeHeight="251667456" behindDoc="1" locked="0" layoutInCell="1" allowOverlap="1">
          <wp:simplePos x="0" y="0"/>
          <wp:positionH relativeFrom="page">
            <wp:posOffset>1135469</wp:posOffset>
          </wp:positionH>
          <wp:positionV relativeFrom="page">
            <wp:posOffset>435934</wp:posOffset>
          </wp:positionV>
          <wp:extent cx="2288215" cy="404038"/>
          <wp:effectExtent l="19050" t="0" r="0" b="0"/>
          <wp:wrapNone/>
          <wp:docPr id="21"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288215" cy="404038"/>
                  </a:xfrm>
                  <a:prstGeom prst="rect">
                    <a:avLst/>
                  </a:prstGeom>
                  <a:noFill/>
                  <a:ln w="9525">
                    <a:noFill/>
                    <a:miter lim="800000"/>
                    <a:headEnd/>
                    <a:tailEnd/>
                  </a:ln>
                </pic:spPr>
              </pic:pic>
            </a:graphicData>
          </a:graphic>
        </wp:anchor>
      </w:drawing>
    </w:r>
  </w:p>
  <w:p w:rsidR="002E3088" w:rsidRPr="005459E4" w:rsidRDefault="002E3088" w:rsidP="005459E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rsidP="000C2BB8">
    <w:pPr>
      <w:pStyle w:val="Header"/>
    </w:pPr>
    <w:r>
      <w:rPr>
        <w:noProof/>
        <w:lang w:eastAsia="en-AU"/>
      </w:rPr>
      <w:drawing>
        <wp:anchor distT="0" distB="0" distL="114300" distR="114300" simplePos="0" relativeHeight="251725824" behindDoc="0" locked="0" layoutInCell="1" allowOverlap="1">
          <wp:simplePos x="0" y="0"/>
          <wp:positionH relativeFrom="column">
            <wp:posOffset>2330450</wp:posOffset>
          </wp:positionH>
          <wp:positionV relativeFrom="paragraph">
            <wp:posOffset>-60325</wp:posOffset>
          </wp:positionV>
          <wp:extent cx="1450340" cy="314325"/>
          <wp:effectExtent l="0" t="0" r="0" b="9525"/>
          <wp:wrapSquare wrapText="bothSides"/>
          <wp:docPr id="1" name="Picture 1" descr="C:\Users\Joe\Documents\A) BE projects\P459 Hazwaste reporting\Incoming info\Env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cuments\A) BE projects\P459 Hazwaste reporting\Incoming info\Enviro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340" cy="314325"/>
                  </a:xfrm>
                  <a:prstGeom prst="rect">
                    <a:avLst/>
                  </a:prstGeom>
                  <a:noFill/>
                  <a:ln>
                    <a:noFill/>
                  </a:ln>
                </pic:spPr>
              </pic:pic>
            </a:graphicData>
          </a:graphic>
        </wp:anchor>
      </w:drawing>
    </w:r>
    <w:r>
      <w:rPr>
        <w:noProof/>
        <w:lang w:eastAsia="en-AU"/>
      </w:rPr>
      <w:drawing>
        <wp:anchor distT="0" distB="0" distL="114300" distR="114300" simplePos="0" relativeHeight="251726848" behindDoc="0" locked="0" layoutInCell="1" allowOverlap="1">
          <wp:simplePos x="0" y="0"/>
          <wp:positionH relativeFrom="column">
            <wp:posOffset>4490085</wp:posOffset>
          </wp:positionH>
          <wp:positionV relativeFrom="paragraph">
            <wp:posOffset>-50165</wp:posOffset>
          </wp:positionV>
          <wp:extent cx="1400175" cy="258445"/>
          <wp:effectExtent l="0" t="0" r="9525" b="8255"/>
          <wp:wrapSquare wrapText="bothSides"/>
          <wp:docPr id="3" name="Picture 3" descr="C:\Users\Joe\Documents\A) BE projects\P459 Hazwaste reporting\Incoming info\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ocuments\A) BE projects\P459 Hazwaste reporting\Incoming info\REC.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258445"/>
                  </a:xfrm>
                  <a:prstGeom prst="rect">
                    <a:avLst/>
                  </a:prstGeom>
                  <a:noFill/>
                  <a:ln>
                    <a:noFill/>
                  </a:ln>
                </pic:spPr>
              </pic:pic>
            </a:graphicData>
          </a:graphic>
        </wp:anchor>
      </w:drawing>
    </w:r>
    <w:r>
      <w:rPr>
        <w:noProof/>
        <w:lang w:eastAsia="en-AU"/>
      </w:rPr>
      <w:drawing>
        <wp:anchor distT="0" distB="0" distL="114300" distR="114300" simplePos="0" relativeHeight="251724800"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4" name="Picture 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p w:rsidR="002E3088" w:rsidRPr="00C71B0F" w:rsidRDefault="002E3088" w:rsidP="00C71B0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Pr="007F6A5B" w:rsidRDefault="002E3088" w:rsidP="005459E4">
    <w:pPr>
      <w:pStyle w:val="Header"/>
    </w:pPr>
    <w:r>
      <w:rPr>
        <w:noProof/>
        <w:lang w:eastAsia="en-AU"/>
      </w:rPr>
      <w:drawing>
        <wp:inline distT="0" distB="0" distL="0" distR="0">
          <wp:extent cx="2286000" cy="393700"/>
          <wp:effectExtent l="19050" t="0" r="0" b="0"/>
          <wp:docPr id="7"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2E3088" w:rsidRPr="005459E4" w:rsidRDefault="002E3088" w:rsidP="005459E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88" w:rsidRDefault="002E3088" w:rsidP="000C2BB8">
    <w:pPr>
      <w:pStyle w:val="Header"/>
    </w:pPr>
    <w:r>
      <w:rPr>
        <w:noProof/>
        <w:lang w:eastAsia="en-AU"/>
      </w:rPr>
      <w:drawing>
        <wp:anchor distT="0" distB="0" distL="114300" distR="114300" simplePos="0" relativeHeight="251729920" behindDoc="0" locked="0" layoutInCell="1" allowOverlap="1">
          <wp:simplePos x="0" y="0"/>
          <wp:positionH relativeFrom="column">
            <wp:posOffset>2330450</wp:posOffset>
          </wp:positionH>
          <wp:positionV relativeFrom="paragraph">
            <wp:posOffset>-60325</wp:posOffset>
          </wp:positionV>
          <wp:extent cx="1450340" cy="314325"/>
          <wp:effectExtent l="0" t="0" r="0" b="9525"/>
          <wp:wrapSquare wrapText="bothSides"/>
          <wp:docPr id="5" name="Picture 5" descr="C:\Users\Joe\Documents\A) BE projects\P459 Hazwaste reporting\Incoming info\Env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cuments\A) BE projects\P459 Hazwaste reporting\Incoming info\Enviro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340" cy="314325"/>
                  </a:xfrm>
                  <a:prstGeom prst="rect">
                    <a:avLst/>
                  </a:prstGeom>
                  <a:noFill/>
                  <a:ln>
                    <a:noFill/>
                  </a:ln>
                </pic:spPr>
              </pic:pic>
            </a:graphicData>
          </a:graphic>
        </wp:anchor>
      </w:drawing>
    </w:r>
    <w:r>
      <w:rPr>
        <w:noProof/>
        <w:lang w:eastAsia="en-AU"/>
      </w:rPr>
      <w:drawing>
        <wp:anchor distT="0" distB="0" distL="114300" distR="114300" simplePos="0" relativeHeight="251730944" behindDoc="0" locked="0" layoutInCell="1" allowOverlap="1">
          <wp:simplePos x="0" y="0"/>
          <wp:positionH relativeFrom="column">
            <wp:posOffset>4490085</wp:posOffset>
          </wp:positionH>
          <wp:positionV relativeFrom="paragraph">
            <wp:posOffset>-50165</wp:posOffset>
          </wp:positionV>
          <wp:extent cx="1400175" cy="258445"/>
          <wp:effectExtent l="0" t="0" r="9525" b="8255"/>
          <wp:wrapSquare wrapText="bothSides"/>
          <wp:docPr id="9" name="Picture 9" descr="C:\Users\Joe\Documents\A) BE projects\P459 Hazwaste reporting\Incoming info\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Documents\A) BE projects\P459 Hazwaste reporting\Incoming info\REC.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258445"/>
                  </a:xfrm>
                  <a:prstGeom prst="rect">
                    <a:avLst/>
                  </a:prstGeom>
                  <a:noFill/>
                  <a:ln>
                    <a:noFill/>
                  </a:ln>
                </pic:spPr>
              </pic:pic>
            </a:graphicData>
          </a:graphic>
        </wp:anchor>
      </w:drawing>
    </w:r>
    <w:r>
      <w:rPr>
        <w:noProof/>
        <w:lang w:eastAsia="en-AU"/>
      </w:rPr>
      <w:drawing>
        <wp:anchor distT="0" distB="0" distL="114300" distR="114300" simplePos="0" relativeHeight="251728896" behindDoc="1" locked="0" layoutInCell="1" allowOverlap="1">
          <wp:simplePos x="0" y="0"/>
          <wp:positionH relativeFrom="margin">
            <wp:posOffset>46990</wp:posOffset>
          </wp:positionH>
          <wp:positionV relativeFrom="page">
            <wp:posOffset>436880</wp:posOffset>
          </wp:positionV>
          <wp:extent cx="1675130" cy="290195"/>
          <wp:effectExtent l="0" t="0" r="1270" b="0"/>
          <wp:wrapNone/>
          <wp:docPr id="11" name="Picture 11"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675130" cy="290195"/>
                  </a:xfrm>
                  <a:prstGeom prst="rect">
                    <a:avLst/>
                  </a:prstGeom>
                  <a:noFill/>
                  <a:ln w="9525">
                    <a:noFill/>
                    <a:miter lim="800000"/>
                    <a:headEnd/>
                    <a:tailEnd/>
                  </a:ln>
                </pic:spPr>
              </pic:pic>
            </a:graphicData>
          </a:graphic>
        </wp:anchor>
      </w:drawing>
    </w:r>
  </w:p>
  <w:p w:rsidR="002E3088" w:rsidRPr="00C71B0F" w:rsidRDefault="002E3088" w:rsidP="00C71B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615B7"/>
    <w:multiLevelType w:val="multilevel"/>
    <w:tmpl w:val="A69A0710"/>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22A01698"/>
    <w:multiLevelType w:val="hybridMultilevel"/>
    <w:tmpl w:val="F7C49B3C"/>
    <w:name w:val="BE Headings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763343"/>
    <w:multiLevelType w:val="multilevel"/>
    <w:tmpl w:val="D3B07E56"/>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F5923E4"/>
    <w:multiLevelType w:val="multilevel"/>
    <w:tmpl w:val="61940548"/>
    <w:name w:val="BE Headings2"/>
    <w:lvl w:ilvl="0">
      <w:start w:val="1"/>
      <w:numFmt w:val="decimal"/>
      <w:lvlText w:val="%1."/>
      <w:lvlJc w:val="left"/>
      <w:pPr>
        <w:ind w:left="851" w:hanging="851"/>
      </w:pPr>
      <w:rPr>
        <w:rFonts w:hint="default"/>
        <w:b w:val="0"/>
        <w:bCs w:val="0"/>
        <w:i w:val="0"/>
        <w:iCs w:val="0"/>
        <w:caps w:val="0"/>
        <w:smallCaps w:val="0"/>
        <w:strike w:val="0"/>
        <w:dstrike w:val="0"/>
        <w:vanish w:val="0"/>
        <w:color w:val="0000FF" w:themeColor="text2"/>
        <w:spacing w:val="0"/>
        <w:kern w:val="0"/>
        <w:position w:val="0"/>
        <w:u w:val="none"/>
        <w:vertAlign w:val="baseline"/>
        <w:em w:val="none"/>
      </w:rPr>
    </w:lvl>
    <w:lvl w:ilvl="1">
      <w:start w:val="1"/>
      <w:numFmt w:val="decimal"/>
      <w:lvlText w:val="%1.%2"/>
      <w:lvlJc w:val="left"/>
      <w:pPr>
        <w:ind w:left="851" w:hanging="851"/>
      </w:pPr>
      <w:rPr>
        <w:rFonts w:hint="default"/>
        <w:b w:val="0"/>
        <w:bCs w:val="0"/>
        <w:i w:val="0"/>
        <w:iCs w:val="0"/>
        <w:caps w:val="0"/>
        <w:smallCaps w:val="0"/>
        <w:strike w:val="0"/>
        <w:dstrike w:val="0"/>
        <w:vanish w:val="0"/>
        <w:color w:val="0000FF" w:themeColor="text2"/>
        <w:spacing w:val="0"/>
        <w:kern w:val="0"/>
        <w:position w:val="0"/>
        <w:u w:val="none"/>
        <w:vertAlign w:val="baseline"/>
        <w:em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329A05E9"/>
    <w:multiLevelType w:val="multilevel"/>
    <w:tmpl w:val="A036B586"/>
    <w:styleLink w:val="Dotpoints"/>
    <w:lvl w:ilvl="0">
      <w:start w:val="1"/>
      <w:numFmt w:val="bullet"/>
      <w:lvlText w:val=""/>
      <w:lvlJc w:val="left"/>
      <w:pPr>
        <w:ind w:left="357" w:hanging="357"/>
      </w:pPr>
      <w:rPr>
        <w:rFonts w:ascii="Symbol" w:hAnsi="Symbol" w:hint="default"/>
        <w:color w:val="auto"/>
      </w:rPr>
    </w:lvl>
    <w:lvl w:ilvl="1">
      <w:start w:val="1"/>
      <w:numFmt w:val="bullet"/>
      <w:lvlText w:val="-"/>
      <w:lvlJc w:val="left"/>
      <w:pPr>
        <w:tabs>
          <w:tab w:val="num" w:pos="907"/>
        </w:tabs>
        <w:ind w:left="907" w:hanging="550"/>
      </w:pPr>
      <w:rPr>
        <w:rFonts w:ascii="Courier New" w:hAnsi="Courier New" w:hint="default"/>
      </w:rPr>
    </w:lvl>
    <w:lvl w:ilvl="2">
      <w:start w:val="1"/>
      <w:numFmt w:val="bullet"/>
      <w:lvlText w:val=""/>
      <w:lvlJc w:val="left"/>
      <w:pPr>
        <w:tabs>
          <w:tab w:val="num" w:pos="1474"/>
        </w:tabs>
        <w:ind w:left="1474"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4612437"/>
    <w:multiLevelType w:val="hybridMultilevel"/>
    <w:tmpl w:val="1152D1A6"/>
    <w:name w:val="BE Headings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DC2418"/>
    <w:multiLevelType w:val="multilevel"/>
    <w:tmpl w:val="E1563BF6"/>
    <w:name w:val="BE Headings"/>
    <w:lvl w:ilvl="0">
      <w:start w:val="1"/>
      <w:numFmt w:val="decimal"/>
      <w:lvlText w:val="%1."/>
      <w:lvlJc w:val="left"/>
      <w:pPr>
        <w:ind w:left="851" w:hanging="851"/>
      </w:pPr>
      <w:rPr>
        <w:rFonts w:hint="default"/>
        <w:b w:val="0"/>
        <w:bCs w:val="0"/>
        <w:i w:val="0"/>
        <w:iCs w:val="0"/>
        <w:caps w:val="0"/>
        <w:smallCaps w:val="0"/>
        <w:strike w:val="0"/>
        <w:dstrike w:val="0"/>
        <w:noProof w:val="0"/>
        <w:vanish w:val="0"/>
        <w:color w:val="0000FF" w:themeColor="text2"/>
        <w:spacing w:val="0"/>
        <w:kern w:val="0"/>
        <w:position w:val="0"/>
        <w:u w:val="none"/>
        <w:vertAlign w:val="baseline"/>
        <w:em w:val="none"/>
      </w:rPr>
    </w:lvl>
    <w:lvl w:ilvl="1">
      <w:start w:val="1"/>
      <w:numFmt w:val="decimal"/>
      <w:lvlText w:val="%1.%2"/>
      <w:lvlJc w:val="left"/>
      <w:pPr>
        <w:ind w:left="851" w:hanging="851"/>
      </w:pPr>
      <w:rPr>
        <w:b w:val="0"/>
        <w:bCs w:val="0"/>
        <w:i w:val="0"/>
        <w:iCs w:val="0"/>
        <w:caps w:val="0"/>
        <w:smallCaps w:val="0"/>
        <w:strike w:val="0"/>
        <w:dstrike w:val="0"/>
        <w:noProof w:val="0"/>
        <w:vanish w:val="0"/>
        <w:color w:val="0000FF" w:themeColor="text2"/>
        <w:spacing w:val="0"/>
        <w:kern w:val="0"/>
        <w:position w:val="0"/>
        <w:u w:val="none"/>
        <w:vertAlign w:val="baseline"/>
        <w:em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EB151A5"/>
    <w:multiLevelType w:val="hybridMultilevel"/>
    <w:tmpl w:val="C81A2B6E"/>
    <w:name w:val="BE Headings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0B08EF"/>
    <w:multiLevelType w:val="multilevel"/>
    <w:tmpl w:val="E1563BF6"/>
    <w:lvl w:ilvl="0">
      <w:start w:val="1"/>
      <w:numFmt w:val="decimal"/>
      <w:lvlText w:val="%1."/>
      <w:lvlJc w:val="left"/>
      <w:pPr>
        <w:ind w:left="851" w:hanging="851"/>
      </w:pPr>
      <w:rPr>
        <w:rFonts w:hint="default"/>
        <w:b w:val="0"/>
        <w:bCs w:val="0"/>
        <w:i w:val="0"/>
        <w:iCs w:val="0"/>
        <w:caps w:val="0"/>
        <w:smallCaps w:val="0"/>
        <w:strike w:val="0"/>
        <w:dstrike w:val="0"/>
        <w:noProof w:val="0"/>
        <w:vanish w:val="0"/>
        <w:color w:val="0000FF" w:themeColor="text2"/>
        <w:spacing w:val="0"/>
        <w:kern w:val="0"/>
        <w:position w:val="0"/>
        <w:u w:val="none"/>
        <w:vertAlign w:val="baseline"/>
        <w:em w:val="none"/>
      </w:rPr>
    </w:lvl>
    <w:lvl w:ilvl="1">
      <w:start w:val="1"/>
      <w:numFmt w:val="decimal"/>
      <w:lvlText w:val="%1.%2"/>
      <w:lvlJc w:val="left"/>
      <w:pPr>
        <w:ind w:left="851" w:hanging="851"/>
      </w:pPr>
      <w:rPr>
        <w:b w:val="0"/>
        <w:bCs w:val="0"/>
        <w:i w:val="0"/>
        <w:iCs w:val="0"/>
        <w:caps w:val="0"/>
        <w:smallCaps w:val="0"/>
        <w:strike w:val="0"/>
        <w:dstrike w:val="0"/>
        <w:noProof w:val="0"/>
        <w:vanish w:val="0"/>
        <w:color w:val="0000FF" w:themeColor="text2"/>
        <w:spacing w:val="0"/>
        <w:kern w:val="0"/>
        <w:position w:val="0"/>
        <w:u w:val="none"/>
        <w:vertAlign w:val="baseline"/>
        <w:em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5311983"/>
    <w:multiLevelType w:val="hybridMultilevel"/>
    <w:tmpl w:val="D84A0A22"/>
    <w:name w:val="BE Headings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1022FF"/>
    <w:multiLevelType w:val="multilevel"/>
    <w:tmpl w:val="A69A0710"/>
    <w:lvl w:ilvl="0">
      <w:start w:val="1"/>
      <w:numFmt w:val="decimal"/>
      <w:lvlText w:val="%1."/>
      <w:lvlJc w:val="left"/>
      <w:pPr>
        <w:ind w:left="454" w:hanging="454"/>
      </w:pPr>
      <w:rPr>
        <w:rFonts w:hint="default"/>
        <w:color w:val="080808"/>
      </w:rPr>
    </w:lvl>
    <w:lvl w:ilvl="1">
      <w:start w:val="1"/>
      <w:numFmt w:val="bullet"/>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4634795E"/>
    <w:multiLevelType w:val="hybridMultilevel"/>
    <w:tmpl w:val="991E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612A6D"/>
    <w:multiLevelType w:val="multilevel"/>
    <w:tmpl w:val="220A2924"/>
    <w:lvl w:ilvl="0">
      <w:start w:val="1"/>
      <w:numFmt w:val="decimal"/>
      <w:pStyle w:val="ListNumber"/>
      <w:lvlText w:val="%1."/>
      <w:lvlJc w:val="left"/>
      <w:pPr>
        <w:ind w:left="340" w:hanging="340"/>
      </w:pPr>
      <w:rPr>
        <w:rFonts w:hint="default"/>
        <w:color w:val="auto"/>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78673A8"/>
    <w:multiLevelType w:val="multilevel"/>
    <w:tmpl w:val="6352C660"/>
    <w:styleLink w:val="BEList"/>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9683C85"/>
    <w:multiLevelType w:val="hybridMultilevel"/>
    <w:tmpl w:val="DA2C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2E320D"/>
    <w:multiLevelType w:val="hybridMultilevel"/>
    <w:tmpl w:val="AE2EBF6A"/>
    <w:lvl w:ilvl="0" w:tplc="8AA07F9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F95756"/>
    <w:multiLevelType w:val="multilevel"/>
    <w:tmpl w:val="DDCA3D52"/>
    <w:name w:val="BE Bullets"/>
    <w:lvl w:ilvl="0">
      <w:start w:val="1"/>
      <w:numFmt w:val="bullet"/>
      <w:pStyle w:val="Bullet1"/>
      <w:lvlText w:val=""/>
      <w:lvlJc w:val="left"/>
      <w:pPr>
        <w:ind w:left="454" w:hanging="454"/>
      </w:pPr>
      <w:rPr>
        <w:rFonts w:ascii="Symbol" w:hAnsi="Symbol" w:hint="default"/>
        <w:color w:val="080808"/>
      </w:rPr>
    </w:lvl>
    <w:lvl w:ilvl="1">
      <w:start w:val="1"/>
      <w:numFmt w:val="bullet"/>
      <w:pStyle w:val="Bullet2"/>
      <w:lvlText w:val=""/>
      <w:lvlJc w:val="left"/>
      <w:pPr>
        <w:ind w:left="907" w:hanging="453"/>
      </w:pPr>
      <w:rPr>
        <w:rFonts w:ascii="Symbol" w:hAnsi="Symbol" w:hint="default"/>
      </w:rPr>
    </w:lvl>
    <w:lvl w:ilvl="2">
      <w:start w:val="1"/>
      <w:numFmt w:val="bullet"/>
      <w:pStyle w:val="Bullet3"/>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618A2CB5"/>
    <w:multiLevelType w:val="multilevel"/>
    <w:tmpl w:val="24B0C0AE"/>
    <w:name w:val="BE Appendix Headings"/>
    <w:lvl w:ilvl="0">
      <w:start w:val="1"/>
      <w:numFmt w:val="upperLetter"/>
      <w:pStyle w:val="AppendixSectionnumber"/>
      <w:lvlText w:val="Appendix %1"/>
      <w:lvlJc w:val="left"/>
      <w:pPr>
        <w:ind w:left="2835" w:hanging="851"/>
      </w:pPr>
      <w:rPr>
        <w:rFonts w:hint="default"/>
        <w:b w:val="0"/>
        <w:bCs w:val="0"/>
        <w:i w:val="0"/>
        <w:iCs w:val="0"/>
        <w:caps w:val="0"/>
        <w:smallCaps w:val="0"/>
        <w:strike w:val="0"/>
        <w:dstrike w:val="0"/>
        <w:vanish w:val="0"/>
        <w:color w:val="0000FF" w:themeColor="text2"/>
        <w:spacing w:val="0"/>
        <w:kern w:val="0"/>
        <w:position w:val="0"/>
        <w:u w:val="none"/>
        <w:vertAlign w:val="baseline"/>
        <w:em w:val="none"/>
      </w:rPr>
    </w:lvl>
    <w:lvl w:ilvl="1">
      <w:start w:val="1"/>
      <w:numFmt w:val="decimal"/>
      <w:pStyle w:val="AppendixHeading1"/>
      <w:lvlText w:val="%1.%2"/>
      <w:lvlJc w:val="left"/>
      <w:pPr>
        <w:ind w:left="993" w:hanging="851"/>
      </w:pPr>
      <w:rPr>
        <w:rFonts w:ascii="Arial Rounded MT Bold" w:hAnsi="Arial Rounded MT Bold"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57452A2"/>
    <w:multiLevelType w:val="multilevel"/>
    <w:tmpl w:val="E7C04A7C"/>
    <w:name w:val="BE Headings22"/>
    <w:lvl w:ilvl="0">
      <w:start w:val="1"/>
      <w:numFmt w:val="decimal"/>
      <w:pStyle w:val="Heading1"/>
      <w:lvlText w:val="%1."/>
      <w:lvlJc w:val="left"/>
      <w:pPr>
        <w:ind w:left="851" w:hanging="851"/>
      </w:pPr>
      <w:rPr>
        <w:rFonts w:hint="default"/>
        <w:b w:val="0"/>
        <w:bCs w:val="0"/>
        <w:i w:val="0"/>
        <w:iCs w:val="0"/>
        <w:caps w:val="0"/>
        <w:smallCaps w:val="0"/>
        <w:strike w:val="0"/>
        <w:dstrike w:val="0"/>
        <w:vanish w:val="0"/>
        <w:color w:val="0000FF" w:themeColor="text2"/>
        <w:spacing w:val="0"/>
        <w:kern w:val="0"/>
        <w:position w:val="0"/>
        <w:u w:val="none"/>
        <w:vertAlign w:val="baseline"/>
        <w:em w:val="none"/>
      </w:rPr>
    </w:lvl>
    <w:lvl w:ilvl="1">
      <w:start w:val="1"/>
      <w:numFmt w:val="decimal"/>
      <w:pStyle w:val="Heading2"/>
      <w:lvlText w:val="%1.%2"/>
      <w:lvlJc w:val="left"/>
      <w:pPr>
        <w:ind w:left="851" w:hanging="851"/>
      </w:pPr>
      <w:rPr>
        <w:rFonts w:hint="default"/>
        <w:b w:val="0"/>
        <w:bCs w:val="0"/>
        <w:i w:val="0"/>
        <w:iCs w:val="0"/>
        <w:caps w:val="0"/>
        <w:smallCaps w:val="0"/>
        <w:strike w:val="0"/>
        <w:dstrike w:val="0"/>
        <w:vanish w:val="0"/>
        <w:color w:val="0000FF" w:themeColor="text2"/>
        <w:spacing w:val="0"/>
        <w:kern w:val="0"/>
        <w:position w:val="0"/>
        <w:u w:val="none"/>
        <w:vertAlign w:val="baseline"/>
        <w:em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6D4005AF"/>
    <w:multiLevelType w:val="multilevel"/>
    <w:tmpl w:val="7370F3DE"/>
    <w:lvl w:ilvl="0">
      <w:start w:val="1"/>
      <w:numFmt w:val="bullet"/>
      <w:pStyle w:val="KMHBulletLevel1"/>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723D5113"/>
    <w:multiLevelType w:val="multilevel"/>
    <w:tmpl w:val="D3B07E56"/>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74332B47"/>
    <w:multiLevelType w:val="hybridMultilevel"/>
    <w:tmpl w:val="F13E81CC"/>
    <w:name w:val="BE Headings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9A5940"/>
    <w:multiLevelType w:val="hybridMultilevel"/>
    <w:tmpl w:val="4E22F6B2"/>
    <w:name w:val="BE Headings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747681"/>
    <w:multiLevelType w:val="multilevel"/>
    <w:tmpl w:val="054A2CEE"/>
    <w:name w:val="BE_Appendix"/>
    <w:lvl w:ilvl="0">
      <w:start w:val="1"/>
      <w:numFmt w:val="decimal"/>
      <w:lvlText w:val="A%1"/>
      <w:lvlJc w:val="left"/>
      <w:pPr>
        <w:ind w:left="0" w:firstLine="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4">
    <w:nsid w:val="7B635D4B"/>
    <w:multiLevelType w:val="hybridMultilevel"/>
    <w:tmpl w:val="8F80B33C"/>
    <w:name w:val="BE Headings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7D5D4C"/>
    <w:multiLevelType w:val="hybridMultilevel"/>
    <w:tmpl w:val="609CA780"/>
    <w:name w:val="BE Headings222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4"/>
  </w:num>
  <w:num w:numId="3">
    <w:abstractNumId w:val="13"/>
  </w:num>
  <w:num w:numId="4">
    <w:abstractNumId w:val="16"/>
  </w:num>
  <w:num w:numId="5">
    <w:abstractNumId w:val="1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8"/>
  </w:num>
  <w:num w:numId="9">
    <w:abstractNumId w:val="8"/>
  </w:num>
  <w:num w:numId="10">
    <w:abstractNumId w:val="9"/>
  </w:num>
  <w:num w:numId="11">
    <w:abstractNumId w:val="5"/>
  </w:num>
  <w:num w:numId="12">
    <w:abstractNumId w:val="19"/>
  </w:num>
  <w:num w:numId="13">
    <w:abstractNumId w:val="12"/>
  </w:num>
  <w:num w:numId="14">
    <w:abstractNumId w:val="0"/>
  </w:num>
  <w:num w:numId="15">
    <w:abstractNumId w:val="2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4"/>
  </w:num>
  <w:num w:numId="23">
    <w:abstractNumId w:val="12"/>
  </w:num>
  <w:num w:numId="24">
    <w:abstractNumId w:val="16"/>
  </w:num>
  <w:num w:numId="25">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7F04"/>
  <w:defaultTabStop w:val="720"/>
  <w:drawingGridHorizontalSpacing w:val="100"/>
  <w:displayHorizontalDrawingGridEvery w:val="2"/>
  <w:noPunctuationKerning/>
  <w:characterSpacingControl w:val="doNotCompress"/>
  <w:hdrShapeDefaults>
    <o:shapedefaults v:ext="edit" spidmax="4097">
      <o:colormru v:ext="edit" colors="#c5c5ff,#dbe5f1"/>
    </o:shapedefaults>
  </w:hdrShapeDefaults>
  <w:footnotePr>
    <w:footnote w:id="-1"/>
    <w:footnote w:id="0"/>
  </w:footnotePr>
  <w:endnotePr>
    <w:endnote w:id="-1"/>
    <w:endnote w:id="0"/>
  </w:endnotePr>
  <w:compat/>
  <w:rsids>
    <w:rsidRoot w:val="00985C2E"/>
    <w:rsid w:val="00003B64"/>
    <w:rsid w:val="00003EEF"/>
    <w:rsid w:val="00004297"/>
    <w:rsid w:val="00012580"/>
    <w:rsid w:val="00014393"/>
    <w:rsid w:val="000170CD"/>
    <w:rsid w:val="0002354C"/>
    <w:rsid w:val="00023E0F"/>
    <w:rsid w:val="000244FC"/>
    <w:rsid w:val="00025AFF"/>
    <w:rsid w:val="0002606B"/>
    <w:rsid w:val="00026103"/>
    <w:rsid w:val="00027B92"/>
    <w:rsid w:val="00030167"/>
    <w:rsid w:val="000303B3"/>
    <w:rsid w:val="00030BB9"/>
    <w:rsid w:val="000315AE"/>
    <w:rsid w:val="00032EC4"/>
    <w:rsid w:val="00032F41"/>
    <w:rsid w:val="00033A47"/>
    <w:rsid w:val="00035BB8"/>
    <w:rsid w:val="00047114"/>
    <w:rsid w:val="0005251D"/>
    <w:rsid w:val="00053750"/>
    <w:rsid w:val="0005717D"/>
    <w:rsid w:val="00057DB0"/>
    <w:rsid w:val="000608F5"/>
    <w:rsid w:val="00061F1C"/>
    <w:rsid w:val="00063E72"/>
    <w:rsid w:val="00064D6C"/>
    <w:rsid w:val="000658F0"/>
    <w:rsid w:val="00066D45"/>
    <w:rsid w:val="00066FE6"/>
    <w:rsid w:val="00070CA4"/>
    <w:rsid w:val="000711DB"/>
    <w:rsid w:val="00075F62"/>
    <w:rsid w:val="00076997"/>
    <w:rsid w:val="00076FD5"/>
    <w:rsid w:val="00077BE4"/>
    <w:rsid w:val="00077D36"/>
    <w:rsid w:val="0008278B"/>
    <w:rsid w:val="000829A3"/>
    <w:rsid w:val="00083E9B"/>
    <w:rsid w:val="000848FC"/>
    <w:rsid w:val="00086F85"/>
    <w:rsid w:val="000878AB"/>
    <w:rsid w:val="00090B3F"/>
    <w:rsid w:val="0009236A"/>
    <w:rsid w:val="00092E4D"/>
    <w:rsid w:val="00093F02"/>
    <w:rsid w:val="000A12A4"/>
    <w:rsid w:val="000A17C4"/>
    <w:rsid w:val="000A3220"/>
    <w:rsid w:val="000A38C6"/>
    <w:rsid w:val="000A442C"/>
    <w:rsid w:val="000A57B0"/>
    <w:rsid w:val="000A7E55"/>
    <w:rsid w:val="000B0EAA"/>
    <w:rsid w:val="000B307C"/>
    <w:rsid w:val="000B3523"/>
    <w:rsid w:val="000B41C4"/>
    <w:rsid w:val="000B5B7D"/>
    <w:rsid w:val="000B5FF7"/>
    <w:rsid w:val="000B6E5F"/>
    <w:rsid w:val="000C02D8"/>
    <w:rsid w:val="000C0F5E"/>
    <w:rsid w:val="000C1394"/>
    <w:rsid w:val="000C2024"/>
    <w:rsid w:val="000C2BB8"/>
    <w:rsid w:val="000C5845"/>
    <w:rsid w:val="000C685B"/>
    <w:rsid w:val="000D07A3"/>
    <w:rsid w:val="000D0ED2"/>
    <w:rsid w:val="000D7DD5"/>
    <w:rsid w:val="000E48F3"/>
    <w:rsid w:val="000E49B6"/>
    <w:rsid w:val="000E4DA6"/>
    <w:rsid w:val="000E6CE3"/>
    <w:rsid w:val="000E78FD"/>
    <w:rsid w:val="000F302B"/>
    <w:rsid w:val="000F4399"/>
    <w:rsid w:val="000F5766"/>
    <w:rsid w:val="001008D3"/>
    <w:rsid w:val="00103AA3"/>
    <w:rsid w:val="0010595C"/>
    <w:rsid w:val="00110E4B"/>
    <w:rsid w:val="00111E0C"/>
    <w:rsid w:val="001127D3"/>
    <w:rsid w:val="00113339"/>
    <w:rsid w:val="001139EA"/>
    <w:rsid w:val="0011445C"/>
    <w:rsid w:val="00114CB5"/>
    <w:rsid w:val="0012047D"/>
    <w:rsid w:val="00120B35"/>
    <w:rsid w:val="00120EC5"/>
    <w:rsid w:val="0012221E"/>
    <w:rsid w:val="001228ED"/>
    <w:rsid w:val="00123C7B"/>
    <w:rsid w:val="001240C7"/>
    <w:rsid w:val="001306C7"/>
    <w:rsid w:val="00132E22"/>
    <w:rsid w:val="00132E70"/>
    <w:rsid w:val="00136BD8"/>
    <w:rsid w:val="00137623"/>
    <w:rsid w:val="00140240"/>
    <w:rsid w:val="00142B7B"/>
    <w:rsid w:val="00143F63"/>
    <w:rsid w:val="00144201"/>
    <w:rsid w:val="00146BE8"/>
    <w:rsid w:val="00146CF7"/>
    <w:rsid w:val="00147029"/>
    <w:rsid w:val="00152601"/>
    <w:rsid w:val="0015376F"/>
    <w:rsid w:val="00153F9C"/>
    <w:rsid w:val="0015422E"/>
    <w:rsid w:val="001542BA"/>
    <w:rsid w:val="00155B66"/>
    <w:rsid w:val="00155E47"/>
    <w:rsid w:val="00164317"/>
    <w:rsid w:val="00165E40"/>
    <w:rsid w:val="00166B74"/>
    <w:rsid w:val="00166FE3"/>
    <w:rsid w:val="00167CD1"/>
    <w:rsid w:val="001745F8"/>
    <w:rsid w:val="00175067"/>
    <w:rsid w:val="001750A7"/>
    <w:rsid w:val="001764D0"/>
    <w:rsid w:val="00177D21"/>
    <w:rsid w:val="001815F7"/>
    <w:rsid w:val="00182987"/>
    <w:rsid w:val="001849F9"/>
    <w:rsid w:val="00186C62"/>
    <w:rsid w:val="00187F9A"/>
    <w:rsid w:val="001944DC"/>
    <w:rsid w:val="0019721A"/>
    <w:rsid w:val="001A01C0"/>
    <w:rsid w:val="001A0A88"/>
    <w:rsid w:val="001A1455"/>
    <w:rsid w:val="001A3025"/>
    <w:rsid w:val="001A32F5"/>
    <w:rsid w:val="001A5B7B"/>
    <w:rsid w:val="001A5FF4"/>
    <w:rsid w:val="001B01E9"/>
    <w:rsid w:val="001B584E"/>
    <w:rsid w:val="001B5F44"/>
    <w:rsid w:val="001C267D"/>
    <w:rsid w:val="001C3239"/>
    <w:rsid w:val="001C3BB3"/>
    <w:rsid w:val="001C5FD3"/>
    <w:rsid w:val="001C6E03"/>
    <w:rsid w:val="001C707E"/>
    <w:rsid w:val="001D1FBF"/>
    <w:rsid w:val="001D2480"/>
    <w:rsid w:val="001D2906"/>
    <w:rsid w:val="001D7EBA"/>
    <w:rsid w:val="001E0CF6"/>
    <w:rsid w:val="001E2F09"/>
    <w:rsid w:val="001F0E73"/>
    <w:rsid w:val="001F2356"/>
    <w:rsid w:val="001F330F"/>
    <w:rsid w:val="001F4CB2"/>
    <w:rsid w:val="001F4FF3"/>
    <w:rsid w:val="001F5421"/>
    <w:rsid w:val="001F5DDD"/>
    <w:rsid w:val="001F7191"/>
    <w:rsid w:val="002008E3"/>
    <w:rsid w:val="00200C9E"/>
    <w:rsid w:val="00201EAD"/>
    <w:rsid w:val="002024AA"/>
    <w:rsid w:val="002049A8"/>
    <w:rsid w:val="002050E6"/>
    <w:rsid w:val="00205FDA"/>
    <w:rsid w:val="002061A1"/>
    <w:rsid w:val="00211331"/>
    <w:rsid w:val="002136D5"/>
    <w:rsid w:val="00213A21"/>
    <w:rsid w:val="0021626F"/>
    <w:rsid w:val="00221B10"/>
    <w:rsid w:val="002235BF"/>
    <w:rsid w:val="0022660C"/>
    <w:rsid w:val="002305FB"/>
    <w:rsid w:val="00231C31"/>
    <w:rsid w:val="00232E53"/>
    <w:rsid w:val="002349B6"/>
    <w:rsid w:val="00234C89"/>
    <w:rsid w:val="00236ADF"/>
    <w:rsid w:val="002419F3"/>
    <w:rsid w:val="00241D75"/>
    <w:rsid w:val="0024463A"/>
    <w:rsid w:val="002458A1"/>
    <w:rsid w:val="0024611D"/>
    <w:rsid w:val="0024759C"/>
    <w:rsid w:val="0025029F"/>
    <w:rsid w:val="00250396"/>
    <w:rsid w:val="00250F61"/>
    <w:rsid w:val="00252EE7"/>
    <w:rsid w:val="0025458E"/>
    <w:rsid w:val="00257208"/>
    <w:rsid w:val="00257C03"/>
    <w:rsid w:val="002603AF"/>
    <w:rsid w:val="00261351"/>
    <w:rsid w:val="00263170"/>
    <w:rsid w:val="00266FFB"/>
    <w:rsid w:val="00267308"/>
    <w:rsid w:val="00271068"/>
    <w:rsid w:val="002734C0"/>
    <w:rsid w:val="0027352E"/>
    <w:rsid w:val="002735F5"/>
    <w:rsid w:val="002737B5"/>
    <w:rsid w:val="002763ED"/>
    <w:rsid w:val="0028049B"/>
    <w:rsid w:val="002805B8"/>
    <w:rsid w:val="00281703"/>
    <w:rsid w:val="002838D7"/>
    <w:rsid w:val="00286B53"/>
    <w:rsid w:val="00287BFF"/>
    <w:rsid w:val="0029121A"/>
    <w:rsid w:val="0029323D"/>
    <w:rsid w:val="002969D1"/>
    <w:rsid w:val="0029755A"/>
    <w:rsid w:val="002A08D1"/>
    <w:rsid w:val="002A0F82"/>
    <w:rsid w:val="002A0F8C"/>
    <w:rsid w:val="002A15E1"/>
    <w:rsid w:val="002A25E2"/>
    <w:rsid w:val="002A633C"/>
    <w:rsid w:val="002B17E5"/>
    <w:rsid w:val="002B2757"/>
    <w:rsid w:val="002B7E2C"/>
    <w:rsid w:val="002C0BAE"/>
    <w:rsid w:val="002C367E"/>
    <w:rsid w:val="002C4D6B"/>
    <w:rsid w:val="002D0869"/>
    <w:rsid w:val="002D1579"/>
    <w:rsid w:val="002D3FDF"/>
    <w:rsid w:val="002D4502"/>
    <w:rsid w:val="002D6440"/>
    <w:rsid w:val="002D644A"/>
    <w:rsid w:val="002E0D24"/>
    <w:rsid w:val="002E19E4"/>
    <w:rsid w:val="002E2983"/>
    <w:rsid w:val="002E2B19"/>
    <w:rsid w:val="002E2D11"/>
    <w:rsid w:val="002E3088"/>
    <w:rsid w:val="002E3243"/>
    <w:rsid w:val="002E64B5"/>
    <w:rsid w:val="002F33E3"/>
    <w:rsid w:val="002F54A0"/>
    <w:rsid w:val="002F7810"/>
    <w:rsid w:val="00301CD7"/>
    <w:rsid w:val="00301CEC"/>
    <w:rsid w:val="003020DE"/>
    <w:rsid w:val="0030319E"/>
    <w:rsid w:val="00303914"/>
    <w:rsid w:val="0030444D"/>
    <w:rsid w:val="003075BC"/>
    <w:rsid w:val="00307623"/>
    <w:rsid w:val="00310224"/>
    <w:rsid w:val="0031034C"/>
    <w:rsid w:val="00310B50"/>
    <w:rsid w:val="00314534"/>
    <w:rsid w:val="003147D0"/>
    <w:rsid w:val="00314FA7"/>
    <w:rsid w:val="00315C08"/>
    <w:rsid w:val="00315FA8"/>
    <w:rsid w:val="00320F39"/>
    <w:rsid w:val="003246AE"/>
    <w:rsid w:val="00325B21"/>
    <w:rsid w:val="0033033D"/>
    <w:rsid w:val="00330986"/>
    <w:rsid w:val="00330AB6"/>
    <w:rsid w:val="00330BF2"/>
    <w:rsid w:val="00337EB0"/>
    <w:rsid w:val="00341719"/>
    <w:rsid w:val="00343084"/>
    <w:rsid w:val="0034544E"/>
    <w:rsid w:val="00351B9D"/>
    <w:rsid w:val="00352F03"/>
    <w:rsid w:val="0035339C"/>
    <w:rsid w:val="00354B68"/>
    <w:rsid w:val="0035798C"/>
    <w:rsid w:val="00357B03"/>
    <w:rsid w:val="00361228"/>
    <w:rsid w:val="00361332"/>
    <w:rsid w:val="00362FF7"/>
    <w:rsid w:val="003633DF"/>
    <w:rsid w:val="00363707"/>
    <w:rsid w:val="00364E47"/>
    <w:rsid w:val="00365FA6"/>
    <w:rsid w:val="0037083E"/>
    <w:rsid w:val="00370D82"/>
    <w:rsid w:val="00373E50"/>
    <w:rsid w:val="0037474C"/>
    <w:rsid w:val="00376103"/>
    <w:rsid w:val="003762F2"/>
    <w:rsid w:val="00380838"/>
    <w:rsid w:val="00381180"/>
    <w:rsid w:val="00381325"/>
    <w:rsid w:val="00381698"/>
    <w:rsid w:val="00381913"/>
    <w:rsid w:val="003819B8"/>
    <w:rsid w:val="00392D66"/>
    <w:rsid w:val="00394A22"/>
    <w:rsid w:val="00395AF7"/>
    <w:rsid w:val="00397CB9"/>
    <w:rsid w:val="003A1269"/>
    <w:rsid w:val="003A14F3"/>
    <w:rsid w:val="003A3CCA"/>
    <w:rsid w:val="003A4554"/>
    <w:rsid w:val="003A5862"/>
    <w:rsid w:val="003A64A1"/>
    <w:rsid w:val="003B205E"/>
    <w:rsid w:val="003B3BBE"/>
    <w:rsid w:val="003B680C"/>
    <w:rsid w:val="003C01E3"/>
    <w:rsid w:val="003C08DA"/>
    <w:rsid w:val="003C2033"/>
    <w:rsid w:val="003C2E4A"/>
    <w:rsid w:val="003C4A0D"/>
    <w:rsid w:val="003C6A48"/>
    <w:rsid w:val="003C6F3C"/>
    <w:rsid w:val="003D31F3"/>
    <w:rsid w:val="003D5B29"/>
    <w:rsid w:val="003D63F8"/>
    <w:rsid w:val="003D7F65"/>
    <w:rsid w:val="003E0704"/>
    <w:rsid w:val="003E1885"/>
    <w:rsid w:val="003E67CB"/>
    <w:rsid w:val="003E6A95"/>
    <w:rsid w:val="003E6F16"/>
    <w:rsid w:val="003F0A43"/>
    <w:rsid w:val="003F526B"/>
    <w:rsid w:val="003F5732"/>
    <w:rsid w:val="003F5F7E"/>
    <w:rsid w:val="004000AA"/>
    <w:rsid w:val="0040095B"/>
    <w:rsid w:val="00401139"/>
    <w:rsid w:val="0040188C"/>
    <w:rsid w:val="00402EDB"/>
    <w:rsid w:val="00403C42"/>
    <w:rsid w:val="00406F6A"/>
    <w:rsid w:val="004153D5"/>
    <w:rsid w:val="004162EF"/>
    <w:rsid w:val="004206C8"/>
    <w:rsid w:val="0042387C"/>
    <w:rsid w:val="0042693B"/>
    <w:rsid w:val="00427EAB"/>
    <w:rsid w:val="00432C8E"/>
    <w:rsid w:val="0043338A"/>
    <w:rsid w:val="004366AC"/>
    <w:rsid w:val="00437344"/>
    <w:rsid w:val="00437594"/>
    <w:rsid w:val="00437A9F"/>
    <w:rsid w:val="00440212"/>
    <w:rsid w:val="004408FC"/>
    <w:rsid w:val="00441524"/>
    <w:rsid w:val="0044363C"/>
    <w:rsid w:val="004456B8"/>
    <w:rsid w:val="004463AA"/>
    <w:rsid w:val="00446F16"/>
    <w:rsid w:val="004537BE"/>
    <w:rsid w:val="004545E0"/>
    <w:rsid w:val="00457733"/>
    <w:rsid w:val="00460EE5"/>
    <w:rsid w:val="0046118D"/>
    <w:rsid w:val="0046179C"/>
    <w:rsid w:val="00461C0E"/>
    <w:rsid w:val="00463D0F"/>
    <w:rsid w:val="004713CF"/>
    <w:rsid w:val="00472D3E"/>
    <w:rsid w:val="004745B8"/>
    <w:rsid w:val="00474863"/>
    <w:rsid w:val="004768F7"/>
    <w:rsid w:val="00476A1A"/>
    <w:rsid w:val="004801BA"/>
    <w:rsid w:val="00481D91"/>
    <w:rsid w:val="00482242"/>
    <w:rsid w:val="0048246D"/>
    <w:rsid w:val="00484118"/>
    <w:rsid w:val="00484BEC"/>
    <w:rsid w:val="00490CEC"/>
    <w:rsid w:val="004A2588"/>
    <w:rsid w:val="004A3976"/>
    <w:rsid w:val="004A4E6E"/>
    <w:rsid w:val="004B2404"/>
    <w:rsid w:val="004B43E8"/>
    <w:rsid w:val="004B464D"/>
    <w:rsid w:val="004B4EAA"/>
    <w:rsid w:val="004B6801"/>
    <w:rsid w:val="004B7187"/>
    <w:rsid w:val="004B759B"/>
    <w:rsid w:val="004C0112"/>
    <w:rsid w:val="004C1EF4"/>
    <w:rsid w:val="004C4E65"/>
    <w:rsid w:val="004C5347"/>
    <w:rsid w:val="004C6DC2"/>
    <w:rsid w:val="004D030D"/>
    <w:rsid w:val="004D077D"/>
    <w:rsid w:val="004D0F1B"/>
    <w:rsid w:val="004D25C7"/>
    <w:rsid w:val="004D43AB"/>
    <w:rsid w:val="004D4B6E"/>
    <w:rsid w:val="004D4CA6"/>
    <w:rsid w:val="004D4E94"/>
    <w:rsid w:val="004D533B"/>
    <w:rsid w:val="004D646B"/>
    <w:rsid w:val="004E090B"/>
    <w:rsid w:val="004E0945"/>
    <w:rsid w:val="004E40E4"/>
    <w:rsid w:val="004E6FEA"/>
    <w:rsid w:val="004F0930"/>
    <w:rsid w:val="004F1280"/>
    <w:rsid w:val="004F13E0"/>
    <w:rsid w:val="004F363C"/>
    <w:rsid w:val="004F4090"/>
    <w:rsid w:val="004F5741"/>
    <w:rsid w:val="00500C1D"/>
    <w:rsid w:val="0050339F"/>
    <w:rsid w:val="005039AE"/>
    <w:rsid w:val="00503B29"/>
    <w:rsid w:val="005046D3"/>
    <w:rsid w:val="00504836"/>
    <w:rsid w:val="00504C0E"/>
    <w:rsid w:val="00506510"/>
    <w:rsid w:val="00507B4A"/>
    <w:rsid w:val="00512AD6"/>
    <w:rsid w:val="00516C07"/>
    <w:rsid w:val="005176D5"/>
    <w:rsid w:val="005176F8"/>
    <w:rsid w:val="00521DA6"/>
    <w:rsid w:val="00523EB1"/>
    <w:rsid w:val="00524167"/>
    <w:rsid w:val="005246EC"/>
    <w:rsid w:val="00527B14"/>
    <w:rsid w:val="00527F30"/>
    <w:rsid w:val="00535CCF"/>
    <w:rsid w:val="00537E86"/>
    <w:rsid w:val="00540B41"/>
    <w:rsid w:val="00541C48"/>
    <w:rsid w:val="00542277"/>
    <w:rsid w:val="00543DC7"/>
    <w:rsid w:val="00543EB0"/>
    <w:rsid w:val="00544590"/>
    <w:rsid w:val="00544C02"/>
    <w:rsid w:val="0054567D"/>
    <w:rsid w:val="005459E4"/>
    <w:rsid w:val="005465B4"/>
    <w:rsid w:val="00546ACD"/>
    <w:rsid w:val="00550238"/>
    <w:rsid w:val="0055652A"/>
    <w:rsid w:val="005569CC"/>
    <w:rsid w:val="00560B9E"/>
    <w:rsid w:val="00560DA4"/>
    <w:rsid w:val="00561683"/>
    <w:rsid w:val="005622E4"/>
    <w:rsid w:val="00563136"/>
    <w:rsid w:val="00572467"/>
    <w:rsid w:val="005766A5"/>
    <w:rsid w:val="005800B4"/>
    <w:rsid w:val="005816B4"/>
    <w:rsid w:val="00585B75"/>
    <w:rsid w:val="00585F91"/>
    <w:rsid w:val="0058659C"/>
    <w:rsid w:val="005909A0"/>
    <w:rsid w:val="0059297C"/>
    <w:rsid w:val="00594416"/>
    <w:rsid w:val="00594565"/>
    <w:rsid w:val="005954F3"/>
    <w:rsid w:val="00596AE0"/>
    <w:rsid w:val="005A0312"/>
    <w:rsid w:val="005A09B1"/>
    <w:rsid w:val="005A245B"/>
    <w:rsid w:val="005A554C"/>
    <w:rsid w:val="005A7997"/>
    <w:rsid w:val="005B0674"/>
    <w:rsid w:val="005B0AAF"/>
    <w:rsid w:val="005B109F"/>
    <w:rsid w:val="005B229A"/>
    <w:rsid w:val="005B2F4C"/>
    <w:rsid w:val="005B4280"/>
    <w:rsid w:val="005B4CFD"/>
    <w:rsid w:val="005B7055"/>
    <w:rsid w:val="005C3179"/>
    <w:rsid w:val="005C4C6E"/>
    <w:rsid w:val="005C51FA"/>
    <w:rsid w:val="005C7A54"/>
    <w:rsid w:val="005D0192"/>
    <w:rsid w:val="005D1AA6"/>
    <w:rsid w:val="005D2FEB"/>
    <w:rsid w:val="005D3211"/>
    <w:rsid w:val="005D324E"/>
    <w:rsid w:val="005D41C9"/>
    <w:rsid w:val="005D56E4"/>
    <w:rsid w:val="005E2517"/>
    <w:rsid w:val="005E340F"/>
    <w:rsid w:val="005E4328"/>
    <w:rsid w:val="005E447E"/>
    <w:rsid w:val="005E6D4D"/>
    <w:rsid w:val="005F0657"/>
    <w:rsid w:val="005F61E2"/>
    <w:rsid w:val="005F6233"/>
    <w:rsid w:val="006049F0"/>
    <w:rsid w:val="00605E1B"/>
    <w:rsid w:val="00606D0E"/>
    <w:rsid w:val="00615C46"/>
    <w:rsid w:val="00617059"/>
    <w:rsid w:val="006202F6"/>
    <w:rsid w:val="0062362E"/>
    <w:rsid w:val="00623630"/>
    <w:rsid w:val="00626024"/>
    <w:rsid w:val="0062721C"/>
    <w:rsid w:val="0062795D"/>
    <w:rsid w:val="00630830"/>
    <w:rsid w:val="00631491"/>
    <w:rsid w:val="00637630"/>
    <w:rsid w:val="00637DD8"/>
    <w:rsid w:val="006406A9"/>
    <w:rsid w:val="00643403"/>
    <w:rsid w:val="006456BD"/>
    <w:rsid w:val="00645DD9"/>
    <w:rsid w:val="00646C15"/>
    <w:rsid w:val="00647B78"/>
    <w:rsid w:val="0065382B"/>
    <w:rsid w:val="006540CE"/>
    <w:rsid w:val="0065421E"/>
    <w:rsid w:val="006543DD"/>
    <w:rsid w:val="006545F1"/>
    <w:rsid w:val="0065463B"/>
    <w:rsid w:val="006562BA"/>
    <w:rsid w:val="00656BE1"/>
    <w:rsid w:val="00661651"/>
    <w:rsid w:val="00661C82"/>
    <w:rsid w:val="00661E13"/>
    <w:rsid w:val="00662086"/>
    <w:rsid w:val="00662421"/>
    <w:rsid w:val="0066281D"/>
    <w:rsid w:val="00663202"/>
    <w:rsid w:val="006640D2"/>
    <w:rsid w:val="006652BF"/>
    <w:rsid w:val="006667DF"/>
    <w:rsid w:val="0067009E"/>
    <w:rsid w:val="006733DB"/>
    <w:rsid w:val="00673DA9"/>
    <w:rsid w:val="00673E5C"/>
    <w:rsid w:val="006775DD"/>
    <w:rsid w:val="00677F7B"/>
    <w:rsid w:val="006910ED"/>
    <w:rsid w:val="00692DEE"/>
    <w:rsid w:val="006946D4"/>
    <w:rsid w:val="006962C3"/>
    <w:rsid w:val="00697A1C"/>
    <w:rsid w:val="00697CCA"/>
    <w:rsid w:val="006A41D1"/>
    <w:rsid w:val="006A4B61"/>
    <w:rsid w:val="006A5552"/>
    <w:rsid w:val="006A593B"/>
    <w:rsid w:val="006A65B1"/>
    <w:rsid w:val="006A7EA3"/>
    <w:rsid w:val="006B379A"/>
    <w:rsid w:val="006B68BF"/>
    <w:rsid w:val="006B6987"/>
    <w:rsid w:val="006B6D9F"/>
    <w:rsid w:val="006B7EC5"/>
    <w:rsid w:val="006C3633"/>
    <w:rsid w:val="006C56D6"/>
    <w:rsid w:val="006C6A4B"/>
    <w:rsid w:val="006C6AA9"/>
    <w:rsid w:val="006D0E9D"/>
    <w:rsid w:val="006D2C68"/>
    <w:rsid w:val="006D53EB"/>
    <w:rsid w:val="006D59DF"/>
    <w:rsid w:val="006D684C"/>
    <w:rsid w:val="006D6B36"/>
    <w:rsid w:val="006D739F"/>
    <w:rsid w:val="006E20AC"/>
    <w:rsid w:val="006E22C8"/>
    <w:rsid w:val="006E561D"/>
    <w:rsid w:val="006E6AB4"/>
    <w:rsid w:val="006F02D4"/>
    <w:rsid w:val="006F0A96"/>
    <w:rsid w:val="006F2483"/>
    <w:rsid w:val="006F4C4C"/>
    <w:rsid w:val="00704BD3"/>
    <w:rsid w:val="00710288"/>
    <w:rsid w:val="00711251"/>
    <w:rsid w:val="007130A3"/>
    <w:rsid w:val="00713F82"/>
    <w:rsid w:val="00720802"/>
    <w:rsid w:val="00720C74"/>
    <w:rsid w:val="00723594"/>
    <w:rsid w:val="0072366B"/>
    <w:rsid w:val="0072469A"/>
    <w:rsid w:val="00730BD8"/>
    <w:rsid w:val="00730D49"/>
    <w:rsid w:val="007320A3"/>
    <w:rsid w:val="007324E8"/>
    <w:rsid w:val="007360C6"/>
    <w:rsid w:val="0073652B"/>
    <w:rsid w:val="00742F2A"/>
    <w:rsid w:val="007456DC"/>
    <w:rsid w:val="0075205D"/>
    <w:rsid w:val="007553F8"/>
    <w:rsid w:val="0075546B"/>
    <w:rsid w:val="007611DE"/>
    <w:rsid w:val="007619D2"/>
    <w:rsid w:val="007624C2"/>
    <w:rsid w:val="00765D47"/>
    <w:rsid w:val="0076602E"/>
    <w:rsid w:val="007710A6"/>
    <w:rsid w:val="00771D48"/>
    <w:rsid w:val="0077224E"/>
    <w:rsid w:val="00773081"/>
    <w:rsid w:val="0077348C"/>
    <w:rsid w:val="00777923"/>
    <w:rsid w:val="00780D64"/>
    <w:rsid w:val="007822A0"/>
    <w:rsid w:val="00782733"/>
    <w:rsid w:val="00783238"/>
    <w:rsid w:val="00784D41"/>
    <w:rsid w:val="00784DD6"/>
    <w:rsid w:val="00785C09"/>
    <w:rsid w:val="00786995"/>
    <w:rsid w:val="00786F30"/>
    <w:rsid w:val="00787E1C"/>
    <w:rsid w:val="00791C80"/>
    <w:rsid w:val="00794147"/>
    <w:rsid w:val="007A1BC8"/>
    <w:rsid w:val="007A272B"/>
    <w:rsid w:val="007A29FB"/>
    <w:rsid w:val="007A4480"/>
    <w:rsid w:val="007B4DC2"/>
    <w:rsid w:val="007B53DA"/>
    <w:rsid w:val="007C2A04"/>
    <w:rsid w:val="007C7A57"/>
    <w:rsid w:val="007D35C6"/>
    <w:rsid w:val="007D3D62"/>
    <w:rsid w:val="007D4722"/>
    <w:rsid w:val="007D4D1E"/>
    <w:rsid w:val="007D4DB1"/>
    <w:rsid w:val="007D590E"/>
    <w:rsid w:val="007D7D0F"/>
    <w:rsid w:val="007E279D"/>
    <w:rsid w:val="007E2DC3"/>
    <w:rsid w:val="007E3446"/>
    <w:rsid w:val="007E5E0A"/>
    <w:rsid w:val="007E656E"/>
    <w:rsid w:val="007E6E1B"/>
    <w:rsid w:val="007F4FAB"/>
    <w:rsid w:val="007F59EA"/>
    <w:rsid w:val="007F6405"/>
    <w:rsid w:val="007F6A5B"/>
    <w:rsid w:val="007F7AEB"/>
    <w:rsid w:val="007F7C3B"/>
    <w:rsid w:val="00801340"/>
    <w:rsid w:val="00802F70"/>
    <w:rsid w:val="00803E52"/>
    <w:rsid w:val="008047C4"/>
    <w:rsid w:val="008066DE"/>
    <w:rsid w:val="00806BF7"/>
    <w:rsid w:val="00807C3E"/>
    <w:rsid w:val="00810F89"/>
    <w:rsid w:val="00812B4A"/>
    <w:rsid w:val="00813EE6"/>
    <w:rsid w:val="008153F5"/>
    <w:rsid w:val="0081561E"/>
    <w:rsid w:val="00816934"/>
    <w:rsid w:val="00825ECD"/>
    <w:rsid w:val="0082799B"/>
    <w:rsid w:val="00833134"/>
    <w:rsid w:val="00833657"/>
    <w:rsid w:val="00835D9A"/>
    <w:rsid w:val="00837A33"/>
    <w:rsid w:val="008415F2"/>
    <w:rsid w:val="008423F4"/>
    <w:rsid w:val="00843CE9"/>
    <w:rsid w:val="008501FC"/>
    <w:rsid w:val="00850914"/>
    <w:rsid w:val="008522C0"/>
    <w:rsid w:val="00852CE6"/>
    <w:rsid w:val="00853445"/>
    <w:rsid w:val="008562CB"/>
    <w:rsid w:val="0086013C"/>
    <w:rsid w:val="008610A8"/>
    <w:rsid w:val="00861DA3"/>
    <w:rsid w:val="00866892"/>
    <w:rsid w:val="00870492"/>
    <w:rsid w:val="00873278"/>
    <w:rsid w:val="0087471A"/>
    <w:rsid w:val="00875FE9"/>
    <w:rsid w:val="0088026E"/>
    <w:rsid w:val="0088481E"/>
    <w:rsid w:val="00887454"/>
    <w:rsid w:val="00896CAB"/>
    <w:rsid w:val="008A41DE"/>
    <w:rsid w:val="008A4C52"/>
    <w:rsid w:val="008A51C6"/>
    <w:rsid w:val="008A5335"/>
    <w:rsid w:val="008B085A"/>
    <w:rsid w:val="008B12B9"/>
    <w:rsid w:val="008B3350"/>
    <w:rsid w:val="008B3373"/>
    <w:rsid w:val="008B4825"/>
    <w:rsid w:val="008B4A24"/>
    <w:rsid w:val="008C03CB"/>
    <w:rsid w:val="008C33E2"/>
    <w:rsid w:val="008C34C9"/>
    <w:rsid w:val="008C5315"/>
    <w:rsid w:val="008C54F9"/>
    <w:rsid w:val="008C59EF"/>
    <w:rsid w:val="008C6430"/>
    <w:rsid w:val="008C69B0"/>
    <w:rsid w:val="008C7C07"/>
    <w:rsid w:val="008C7F84"/>
    <w:rsid w:val="008D2289"/>
    <w:rsid w:val="008D4B6C"/>
    <w:rsid w:val="008D608C"/>
    <w:rsid w:val="008E52AC"/>
    <w:rsid w:val="008E6A77"/>
    <w:rsid w:val="008F14CE"/>
    <w:rsid w:val="008F3285"/>
    <w:rsid w:val="008F4E67"/>
    <w:rsid w:val="008F5804"/>
    <w:rsid w:val="008F63BF"/>
    <w:rsid w:val="008F66B7"/>
    <w:rsid w:val="008F6B8D"/>
    <w:rsid w:val="008F6DD8"/>
    <w:rsid w:val="009014A7"/>
    <w:rsid w:val="00901618"/>
    <w:rsid w:val="00901CDA"/>
    <w:rsid w:val="0090313D"/>
    <w:rsid w:val="00903C21"/>
    <w:rsid w:val="00904479"/>
    <w:rsid w:val="00905B28"/>
    <w:rsid w:val="00906102"/>
    <w:rsid w:val="00906AAD"/>
    <w:rsid w:val="00907861"/>
    <w:rsid w:val="009111AA"/>
    <w:rsid w:val="009176EB"/>
    <w:rsid w:val="00920029"/>
    <w:rsid w:val="00924F03"/>
    <w:rsid w:val="009253DF"/>
    <w:rsid w:val="00930998"/>
    <w:rsid w:val="009415B8"/>
    <w:rsid w:val="0094230A"/>
    <w:rsid w:val="009424EC"/>
    <w:rsid w:val="00942ADC"/>
    <w:rsid w:val="0094550B"/>
    <w:rsid w:val="0094666C"/>
    <w:rsid w:val="009471FA"/>
    <w:rsid w:val="00947F6F"/>
    <w:rsid w:val="00951642"/>
    <w:rsid w:val="0095632E"/>
    <w:rsid w:val="00956ED9"/>
    <w:rsid w:val="00957DFE"/>
    <w:rsid w:val="00962490"/>
    <w:rsid w:val="00963F10"/>
    <w:rsid w:val="00964CC6"/>
    <w:rsid w:val="0096646E"/>
    <w:rsid w:val="00972B1B"/>
    <w:rsid w:val="00973E3A"/>
    <w:rsid w:val="0097686C"/>
    <w:rsid w:val="00976970"/>
    <w:rsid w:val="0097743E"/>
    <w:rsid w:val="00980BE0"/>
    <w:rsid w:val="00985670"/>
    <w:rsid w:val="00985C2E"/>
    <w:rsid w:val="00987863"/>
    <w:rsid w:val="0099442E"/>
    <w:rsid w:val="009A062E"/>
    <w:rsid w:val="009A1D53"/>
    <w:rsid w:val="009A3992"/>
    <w:rsid w:val="009A4380"/>
    <w:rsid w:val="009A4840"/>
    <w:rsid w:val="009A582D"/>
    <w:rsid w:val="009B40BB"/>
    <w:rsid w:val="009B4487"/>
    <w:rsid w:val="009B4996"/>
    <w:rsid w:val="009B780D"/>
    <w:rsid w:val="009C0E26"/>
    <w:rsid w:val="009C2484"/>
    <w:rsid w:val="009C4BA8"/>
    <w:rsid w:val="009C4BE7"/>
    <w:rsid w:val="009C4CFE"/>
    <w:rsid w:val="009C4D3E"/>
    <w:rsid w:val="009C633B"/>
    <w:rsid w:val="009C6E76"/>
    <w:rsid w:val="009C7E01"/>
    <w:rsid w:val="009D147E"/>
    <w:rsid w:val="009D67EE"/>
    <w:rsid w:val="009D7527"/>
    <w:rsid w:val="009D7707"/>
    <w:rsid w:val="009D78ED"/>
    <w:rsid w:val="009D7DC4"/>
    <w:rsid w:val="009E053D"/>
    <w:rsid w:val="009E0EF7"/>
    <w:rsid w:val="009E4190"/>
    <w:rsid w:val="009E4864"/>
    <w:rsid w:val="009E6CF2"/>
    <w:rsid w:val="009E7E04"/>
    <w:rsid w:val="009F2DB8"/>
    <w:rsid w:val="009F31BB"/>
    <w:rsid w:val="009F33EF"/>
    <w:rsid w:val="009F3F29"/>
    <w:rsid w:val="009F53C6"/>
    <w:rsid w:val="009F5582"/>
    <w:rsid w:val="009F74FF"/>
    <w:rsid w:val="00A01C56"/>
    <w:rsid w:val="00A043C7"/>
    <w:rsid w:val="00A053A3"/>
    <w:rsid w:val="00A06695"/>
    <w:rsid w:val="00A06709"/>
    <w:rsid w:val="00A06AE8"/>
    <w:rsid w:val="00A11BBE"/>
    <w:rsid w:val="00A13C38"/>
    <w:rsid w:val="00A147BD"/>
    <w:rsid w:val="00A149C9"/>
    <w:rsid w:val="00A16765"/>
    <w:rsid w:val="00A17AD5"/>
    <w:rsid w:val="00A23290"/>
    <w:rsid w:val="00A2446E"/>
    <w:rsid w:val="00A25662"/>
    <w:rsid w:val="00A30131"/>
    <w:rsid w:val="00A311C3"/>
    <w:rsid w:val="00A352E7"/>
    <w:rsid w:val="00A3533C"/>
    <w:rsid w:val="00A374C7"/>
    <w:rsid w:val="00A40349"/>
    <w:rsid w:val="00A41F00"/>
    <w:rsid w:val="00A42C72"/>
    <w:rsid w:val="00A5062A"/>
    <w:rsid w:val="00A522F5"/>
    <w:rsid w:val="00A53CC6"/>
    <w:rsid w:val="00A55F87"/>
    <w:rsid w:val="00A60C42"/>
    <w:rsid w:val="00A65EBA"/>
    <w:rsid w:val="00A67EA5"/>
    <w:rsid w:val="00A73BC5"/>
    <w:rsid w:val="00A7528C"/>
    <w:rsid w:val="00A768C4"/>
    <w:rsid w:val="00A7743C"/>
    <w:rsid w:val="00A775B6"/>
    <w:rsid w:val="00A80B4A"/>
    <w:rsid w:val="00A83CEC"/>
    <w:rsid w:val="00A84116"/>
    <w:rsid w:val="00A91A2A"/>
    <w:rsid w:val="00A922AD"/>
    <w:rsid w:val="00A92B33"/>
    <w:rsid w:val="00A93E31"/>
    <w:rsid w:val="00A955C0"/>
    <w:rsid w:val="00A959A0"/>
    <w:rsid w:val="00A96C91"/>
    <w:rsid w:val="00AA024E"/>
    <w:rsid w:val="00AA0BB6"/>
    <w:rsid w:val="00AA4419"/>
    <w:rsid w:val="00AA6994"/>
    <w:rsid w:val="00AA6A1A"/>
    <w:rsid w:val="00AA6CD5"/>
    <w:rsid w:val="00AA6F6E"/>
    <w:rsid w:val="00AA7F95"/>
    <w:rsid w:val="00AB1C21"/>
    <w:rsid w:val="00AB2F5F"/>
    <w:rsid w:val="00AB4294"/>
    <w:rsid w:val="00AB64F9"/>
    <w:rsid w:val="00AC1D9F"/>
    <w:rsid w:val="00AC39C5"/>
    <w:rsid w:val="00AC6CFD"/>
    <w:rsid w:val="00AC6FAF"/>
    <w:rsid w:val="00AD1240"/>
    <w:rsid w:val="00AD4FE9"/>
    <w:rsid w:val="00AD663C"/>
    <w:rsid w:val="00AD70D4"/>
    <w:rsid w:val="00AF3776"/>
    <w:rsid w:val="00AF6749"/>
    <w:rsid w:val="00B0424E"/>
    <w:rsid w:val="00B044DC"/>
    <w:rsid w:val="00B05609"/>
    <w:rsid w:val="00B10DAD"/>
    <w:rsid w:val="00B139BD"/>
    <w:rsid w:val="00B14D96"/>
    <w:rsid w:val="00B16CE3"/>
    <w:rsid w:val="00B173E0"/>
    <w:rsid w:val="00B2186E"/>
    <w:rsid w:val="00B21983"/>
    <w:rsid w:val="00B2253E"/>
    <w:rsid w:val="00B22D64"/>
    <w:rsid w:val="00B24FDC"/>
    <w:rsid w:val="00B2699B"/>
    <w:rsid w:val="00B27D28"/>
    <w:rsid w:val="00B30810"/>
    <w:rsid w:val="00B32D8B"/>
    <w:rsid w:val="00B36570"/>
    <w:rsid w:val="00B36590"/>
    <w:rsid w:val="00B45406"/>
    <w:rsid w:val="00B4732F"/>
    <w:rsid w:val="00B47C0A"/>
    <w:rsid w:val="00B50E5B"/>
    <w:rsid w:val="00B520D1"/>
    <w:rsid w:val="00B55B3A"/>
    <w:rsid w:val="00B56A92"/>
    <w:rsid w:val="00B60192"/>
    <w:rsid w:val="00B61ED5"/>
    <w:rsid w:val="00B62889"/>
    <w:rsid w:val="00B70288"/>
    <w:rsid w:val="00B70465"/>
    <w:rsid w:val="00B712E8"/>
    <w:rsid w:val="00B7571F"/>
    <w:rsid w:val="00B80C20"/>
    <w:rsid w:val="00B81FCF"/>
    <w:rsid w:val="00B821D2"/>
    <w:rsid w:val="00B82B9A"/>
    <w:rsid w:val="00B8410A"/>
    <w:rsid w:val="00B90162"/>
    <w:rsid w:val="00B90699"/>
    <w:rsid w:val="00B92228"/>
    <w:rsid w:val="00B924D3"/>
    <w:rsid w:val="00B94B3E"/>
    <w:rsid w:val="00B95661"/>
    <w:rsid w:val="00B9673F"/>
    <w:rsid w:val="00B967D1"/>
    <w:rsid w:val="00BA112F"/>
    <w:rsid w:val="00BA18DE"/>
    <w:rsid w:val="00BA1D14"/>
    <w:rsid w:val="00BA2A3B"/>
    <w:rsid w:val="00BA3F72"/>
    <w:rsid w:val="00BA643F"/>
    <w:rsid w:val="00BA66E3"/>
    <w:rsid w:val="00BA6A15"/>
    <w:rsid w:val="00BA7A1E"/>
    <w:rsid w:val="00BB0C8E"/>
    <w:rsid w:val="00BB3C39"/>
    <w:rsid w:val="00BB48B2"/>
    <w:rsid w:val="00BB56EC"/>
    <w:rsid w:val="00BB630E"/>
    <w:rsid w:val="00BC29A4"/>
    <w:rsid w:val="00BC3462"/>
    <w:rsid w:val="00BC4C9D"/>
    <w:rsid w:val="00BC5A3D"/>
    <w:rsid w:val="00BC6487"/>
    <w:rsid w:val="00BC6504"/>
    <w:rsid w:val="00BD0595"/>
    <w:rsid w:val="00BD1298"/>
    <w:rsid w:val="00BD2405"/>
    <w:rsid w:val="00BD37A4"/>
    <w:rsid w:val="00BD4DF6"/>
    <w:rsid w:val="00BD4E26"/>
    <w:rsid w:val="00BD57B3"/>
    <w:rsid w:val="00BD7711"/>
    <w:rsid w:val="00BE5F61"/>
    <w:rsid w:val="00BE74F5"/>
    <w:rsid w:val="00BF043F"/>
    <w:rsid w:val="00BF1269"/>
    <w:rsid w:val="00BF1DCC"/>
    <w:rsid w:val="00BF2519"/>
    <w:rsid w:val="00BF63A7"/>
    <w:rsid w:val="00BF6EBA"/>
    <w:rsid w:val="00BF7E47"/>
    <w:rsid w:val="00C01CF0"/>
    <w:rsid w:val="00C06345"/>
    <w:rsid w:val="00C06EEE"/>
    <w:rsid w:val="00C1117F"/>
    <w:rsid w:val="00C14774"/>
    <w:rsid w:val="00C1598C"/>
    <w:rsid w:val="00C16698"/>
    <w:rsid w:val="00C17042"/>
    <w:rsid w:val="00C20F8C"/>
    <w:rsid w:val="00C23536"/>
    <w:rsid w:val="00C23DF0"/>
    <w:rsid w:val="00C26894"/>
    <w:rsid w:val="00C33A49"/>
    <w:rsid w:val="00C33DA5"/>
    <w:rsid w:val="00C35B82"/>
    <w:rsid w:val="00C364E4"/>
    <w:rsid w:val="00C36D95"/>
    <w:rsid w:val="00C42FFA"/>
    <w:rsid w:val="00C44CE3"/>
    <w:rsid w:val="00C47E6C"/>
    <w:rsid w:val="00C5293E"/>
    <w:rsid w:val="00C53CE0"/>
    <w:rsid w:val="00C55DF2"/>
    <w:rsid w:val="00C5633B"/>
    <w:rsid w:val="00C57148"/>
    <w:rsid w:val="00C57249"/>
    <w:rsid w:val="00C60048"/>
    <w:rsid w:val="00C656D3"/>
    <w:rsid w:val="00C66698"/>
    <w:rsid w:val="00C67229"/>
    <w:rsid w:val="00C71B0F"/>
    <w:rsid w:val="00C73AE9"/>
    <w:rsid w:val="00C74589"/>
    <w:rsid w:val="00C75079"/>
    <w:rsid w:val="00C759D7"/>
    <w:rsid w:val="00C760C2"/>
    <w:rsid w:val="00C80BAA"/>
    <w:rsid w:val="00C852BA"/>
    <w:rsid w:val="00C87509"/>
    <w:rsid w:val="00C90054"/>
    <w:rsid w:val="00C91D27"/>
    <w:rsid w:val="00C9683F"/>
    <w:rsid w:val="00C97FA2"/>
    <w:rsid w:val="00CA1FEE"/>
    <w:rsid w:val="00CA33AE"/>
    <w:rsid w:val="00CA33F8"/>
    <w:rsid w:val="00CA42F1"/>
    <w:rsid w:val="00CA4C33"/>
    <w:rsid w:val="00CA6AAC"/>
    <w:rsid w:val="00CA7EC9"/>
    <w:rsid w:val="00CB1CB4"/>
    <w:rsid w:val="00CB2532"/>
    <w:rsid w:val="00CB3B3F"/>
    <w:rsid w:val="00CB58B1"/>
    <w:rsid w:val="00CB5E6D"/>
    <w:rsid w:val="00CB6C71"/>
    <w:rsid w:val="00CB7098"/>
    <w:rsid w:val="00CB7579"/>
    <w:rsid w:val="00CC436A"/>
    <w:rsid w:val="00CD448D"/>
    <w:rsid w:val="00CD5BFD"/>
    <w:rsid w:val="00CE3483"/>
    <w:rsid w:val="00CE370C"/>
    <w:rsid w:val="00CE39DD"/>
    <w:rsid w:val="00CE564A"/>
    <w:rsid w:val="00CF0070"/>
    <w:rsid w:val="00CF2961"/>
    <w:rsid w:val="00CF2A06"/>
    <w:rsid w:val="00CF3428"/>
    <w:rsid w:val="00CF3B5C"/>
    <w:rsid w:val="00CF73E4"/>
    <w:rsid w:val="00D00035"/>
    <w:rsid w:val="00D02674"/>
    <w:rsid w:val="00D03334"/>
    <w:rsid w:val="00D03B84"/>
    <w:rsid w:val="00D059C5"/>
    <w:rsid w:val="00D100C6"/>
    <w:rsid w:val="00D10578"/>
    <w:rsid w:val="00D10AE0"/>
    <w:rsid w:val="00D115DD"/>
    <w:rsid w:val="00D12FEC"/>
    <w:rsid w:val="00D149AC"/>
    <w:rsid w:val="00D17685"/>
    <w:rsid w:val="00D209DE"/>
    <w:rsid w:val="00D20D90"/>
    <w:rsid w:val="00D2239D"/>
    <w:rsid w:val="00D229E6"/>
    <w:rsid w:val="00D23040"/>
    <w:rsid w:val="00D24422"/>
    <w:rsid w:val="00D24476"/>
    <w:rsid w:val="00D245C7"/>
    <w:rsid w:val="00D24F4D"/>
    <w:rsid w:val="00D27C8B"/>
    <w:rsid w:val="00D30757"/>
    <w:rsid w:val="00D36286"/>
    <w:rsid w:val="00D40345"/>
    <w:rsid w:val="00D41D8A"/>
    <w:rsid w:val="00D42A26"/>
    <w:rsid w:val="00D45809"/>
    <w:rsid w:val="00D46D48"/>
    <w:rsid w:val="00D4700F"/>
    <w:rsid w:val="00D5027E"/>
    <w:rsid w:val="00D5090F"/>
    <w:rsid w:val="00D50C76"/>
    <w:rsid w:val="00D50C8E"/>
    <w:rsid w:val="00D50F92"/>
    <w:rsid w:val="00D519A0"/>
    <w:rsid w:val="00D53660"/>
    <w:rsid w:val="00D54D30"/>
    <w:rsid w:val="00D57BCA"/>
    <w:rsid w:val="00D60E76"/>
    <w:rsid w:val="00D62851"/>
    <w:rsid w:val="00D70670"/>
    <w:rsid w:val="00D7212A"/>
    <w:rsid w:val="00D72916"/>
    <w:rsid w:val="00D73107"/>
    <w:rsid w:val="00D734A5"/>
    <w:rsid w:val="00D74687"/>
    <w:rsid w:val="00D747A6"/>
    <w:rsid w:val="00D74F95"/>
    <w:rsid w:val="00D76583"/>
    <w:rsid w:val="00D76756"/>
    <w:rsid w:val="00D7720D"/>
    <w:rsid w:val="00D77B1B"/>
    <w:rsid w:val="00D83E4D"/>
    <w:rsid w:val="00D865D5"/>
    <w:rsid w:val="00D91C20"/>
    <w:rsid w:val="00D928EC"/>
    <w:rsid w:val="00D95F6B"/>
    <w:rsid w:val="00D97253"/>
    <w:rsid w:val="00DA010E"/>
    <w:rsid w:val="00DA0E5E"/>
    <w:rsid w:val="00DA18C8"/>
    <w:rsid w:val="00DA387A"/>
    <w:rsid w:val="00DA4B54"/>
    <w:rsid w:val="00DA4E28"/>
    <w:rsid w:val="00DB0629"/>
    <w:rsid w:val="00DB13BB"/>
    <w:rsid w:val="00DB1E22"/>
    <w:rsid w:val="00DB465C"/>
    <w:rsid w:val="00DB78B6"/>
    <w:rsid w:val="00DC0A2A"/>
    <w:rsid w:val="00DC1A06"/>
    <w:rsid w:val="00DC2334"/>
    <w:rsid w:val="00DC7378"/>
    <w:rsid w:val="00DC7CD4"/>
    <w:rsid w:val="00DD665D"/>
    <w:rsid w:val="00DD66DC"/>
    <w:rsid w:val="00DE1ACB"/>
    <w:rsid w:val="00DE1B42"/>
    <w:rsid w:val="00DE259B"/>
    <w:rsid w:val="00DE3E5D"/>
    <w:rsid w:val="00DE4ECF"/>
    <w:rsid w:val="00DE58BF"/>
    <w:rsid w:val="00DE609A"/>
    <w:rsid w:val="00DE6759"/>
    <w:rsid w:val="00DF2447"/>
    <w:rsid w:val="00DF2639"/>
    <w:rsid w:val="00DF2BED"/>
    <w:rsid w:val="00DF33DF"/>
    <w:rsid w:val="00DF59F0"/>
    <w:rsid w:val="00DF5B0F"/>
    <w:rsid w:val="00DF673F"/>
    <w:rsid w:val="00DF7285"/>
    <w:rsid w:val="00DF74BC"/>
    <w:rsid w:val="00E01300"/>
    <w:rsid w:val="00E01D75"/>
    <w:rsid w:val="00E0366E"/>
    <w:rsid w:val="00E03B0A"/>
    <w:rsid w:val="00E03CA6"/>
    <w:rsid w:val="00E044CC"/>
    <w:rsid w:val="00E11B21"/>
    <w:rsid w:val="00E13F25"/>
    <w:rsid w:val="00E14179"/>
    <w:rsid w:val="00E16D7C"/>
    <w:rsid w:val="00E213E3"/>
    <w:rsid w:val="00E23632"/>
    <w:rsid w:val="00E26DFC"/>
    <w:rsid w:val="00E27223"/>
    <w:rsid w:val="00E31BB4"/>
    <w:rsid w:val="00E327A1"/>
    <w:rsid w:val="00E33645"/>
    <w:rsid w:val="00E34CAE"/>
    <w:rsid w:val="00E35E08"/>
    <w:rsid w:val="00E42C4E"/>
    <w:rsid w:val="00E44065"/>
    <w:rsid w:val="00E4469E"/>
    <w:rsid w:val="00E45412"/>
    <w:rsid w:val="00E47F10"/>
    <w:rsid w:val="00E50626"/>
    <w:rsid w:val="00E50891"/>
    <w:rsid w:val="00E55D05"/>
    <w:rsid w:val="00E55E5B"/>
    <w:rsid w:val="00E5724F"/>
    <w:rsid w:val="00E574CF"/>
    <w:rsid w:val="00E60739"/>
    <w:rsid w:val="00E60B73"/>
    <w:rsid w:val="00E62D3E"/>
    <w:rsid w:val="00E75FEB"/>
    <w:rsid w:val="00E80726"/>
    <w:rsid w:val="00E822E2"/>
    <w:rsid w:val="00E82ECD"/>
    <w:rsid w:val="00E87392"/>
    <w:rsid w:val="00E87B9D"/>
    <w:rsid w:val="00E906D6"/>
    <w:rsid w:val="00E91085"/>
    <w:rsid w:val="00E91EF4"/>
    <w:rsid w:val="00E926AD"/>
    <w:rsid w:val="00E965E3"/>
    <w:rsid w:val="00E97687"/>
    <w:rsid w:val="00EA32C5"/>
    <w:rsid w:val="00EA414D"/>
    <w:rsid w:val="00EA45EE"/>
    <w:rsid w:val="00EA52DD"/>
    <w:rsid w:val="00EB02C4"/>
    <w:rsid w:val="00EB47FC"/>
    <w:rsid w:val="00EB495C"/>
    <w:rsid w:val="00EC3125"/>
    <w:rsid w:val="00EC5659"/>
    <w:rsid w:val="00EC5FB9"/>
    <w:rsid w:val="00ED1002"/>
    <w:rsid w:val="00ED18F1"/>
    <w:rsid w:val="00ED48B8"/>
    <w:rsid w:val="00ED54E8"/>
    <w:rsid w:val="00ED6613"/>
    <w:rsid w:val="00ED707B"/>
    <w:rsid w:val="00EE26BC"/>
    <w:rsid w:val="00EE2AA8"/>
    <w:rsid w:val="00EE3534"/>
    <w:rsid w:val="00EE4519"/>
    <w:rsid w:val="00EE6514"/>
    <w:rsid w:val="00EF153E"/>
    <w:rsid w:val="00EF334A"/>
    <w:rsid w:val="00EF34BB"/>
    <w:rsid w:val="00EF5522"/>
    <w:rsid w:val="00EF6042"/>
    <w:rsid w:val="00EF74B9"/>
    <w:rsid w:val="00F00061"/>
    <w:rsid w:val="00F04CE9"/>
    <w:rsid w:val="00F065BB"/>
    <w:rsid w:val="00F066BA"/>
    <w:rsid w:val="00F10220"/>
    <w:rsid w:val="00F11E21"/>
    <w:rsid w:val="00F12612"/>
    <w:rsid w:val="00F1394D"/>
    <w:rsid w:val="00F13E36"/>
    <w:rsid w:val="00F17F8B"/>
    <w:rsid w:val="00F21D1F"/>
    <w:rsid w:val="00F271B1"/>
    <w:rsid w:val="00F3119C"/>
    <w:rsid w:val="00F3379A"/>
    <w:rsid w:val="00F33E5F"/>
    <w:rsid w:val="00F34D00"/>
    <w:rsid w:val="00F37052"/>
    <w:rsid w:val="00F4194D"/>
    <w:rsid w:val="00F4272F"/>
    <w:rsid w:val="00F434C6"/>
    <w:rsid w:val="00F47A48"/>
    <w:rsid w:val="00F511C1"/>
    <w:rsid w:val="00F532EB"/>
    <w:rsid w:val="00F54916"/>
    <w:rsid w:val="00F551A0"/>
    <w:rsid w:val="00F5599D"/>
    <w:rsid w:val="00F57496"/>
    <w:rsid w:val="00F72AF3"/>
    <w:rsid w:val="00F73E03"/>
    <w:rsid w:val="00F74CD5"/>
    <w:rsid w:val="00F810CB"/>
    <w:rsid w:val="00F82278"/>
    <w:rsid w:val="00F82763"/>
    <w:rsid w:val="00F91E48"/>
    <w:rsid w:val="00F93C9E"/>
    <w:rsid w:val="00FA0524"/>
    <w:rsid w:val="00FA1665"/>
    <w:rsid w:val="00FA1AB6"/>
    <w:rsid w:val="00FA6E37"/>
    <w:rsid w:val="00FB42EB"/>
    <w:rsid w:val="00FB467D"/>
    <w:rsid w:val="00FB5725"/>
    <w:rsid w:val="00FB5BAC"/>
    <w:rsid w:val="00FB7C08"/>
    <w:rsid w:val="00FC0B0C"/>
    <w:rsid w:val="00FC11F0"/>
    <w:rsid w:val="00FC27CF"/>
    <w:rsid w:val="00FC3938"/>
    <w:rsid w:val="00FC39B6"/>
    <w:rsid w:val="00FC6EEF"/>
    <w:rsid w:val="00FD0D0B"/>
    <w:rsid w:val="00FD2B7F"/>
    <w:rsid w:val="00FD2F35"/>
    <w:rsid w:val="00FD5458"/>
    <w:rsid w:val="00FD6123"/>
    <w:rsid w:val="00FD65D9"/>
    <w:rsid w:val="00FE3FCD"/>
    <w:rsid w:val="00FE7B70"/>
    <w:rsid w:val="00FF0C61"/>
    <w:rsid w:val="00FF11C5"/>
    <w:rsid w:val="00FF59B4"/>
    <w:rsid w:val="00FF6BB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c5c5ff,#dbe5f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lsdException w:name="Normal Indent" w:semiHidden="1"/>
    <w:lsdException w:name="footnote text" w:qFormat="1"/>
    <w:lsdException w:name="annotation text" w:semiHidden="1"/>
    <w:lsdException w:name="footer" w:uiPriority="3"/>
    <w:lsdException w:name="index heading" w:semiHidden="1"/>
    <w:lsdException w:name="caption" w:uiPriority="35"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uiPriority="4"/>
    <w:lsdException w:name="List Bullet" w:semiHidden="1"/>
    <w:lsdException w:name="List Number" w:uiPriority="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uiPriority="1" w:qFormat="1"/>
    <w:lsdException w:name="List Number 3" w:uiPriority="1" w:qFormat="1"/>
    <w:lsdException w:name="List Number 4" w:semiHidden="1"/>
    <w:lsdException w:name="List Number 5" w:semiHidden="1"/>
    <w:lsdException w:name="Title" w:qFormat="1"/>
    <w:lsdException w:name="Closing" w:semiHidden="1"/>
    <w:lsdException w:name="Signature" w:semiHidden="1"/>
    <w:lsdException w:name="Body Tex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3" w:semiHidden="1"/>
    <w:lsdException w:name="Block Text" w:semiHidden="1"/>
    <w:lsdException w:name="Hyperlink" w:uiPriority="99"/>
    <w:lsdException w:name="Strong" w:semiHidden="1"/>
    <w:lsdException w:name="Emphasis" w:semiHidden="1"/>
    <w:lsdException w:name="Document Map" w:semiHidden="1"/>
    <w:lsdException w:name="Plain Text" w:semiHidden="1"/>
    <w:lsdException w:name="E-mail Signature"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uiPriority w:val="2"/>
    <w:rsid w:val="00EC5FB9"/>
    <w:pPr>
      <w:spacing w:line="260" w:lineRule="atLeast"/>
    </w:pPr>
    <w:rPr>
      <w:rFonts w:cstheme="minorHAnsi"/>
      <w:color w:val="181818" w:themeColor="text1" w:themeTint="F2"/>
      <w:szCs w:val="22"/>
      <w:lang w:eastAsia="en-US"/>
    </w:rPr>
  </w:style>
  <w:style w:type="paragraph" w:styleId="Heading1">
    <w:name w:val="heading 1"/>
    <w:next w:val="BodyText"/>
    <w:qFormat/>
    <w:rsid w:val="009C4CFE"/>
    <w:pPr>
      <w:numPr>
        <w:numId w:val="8"/>
      </w:numPr>
      <w:spacing w:after="360"/>
      <w:outlineLvl w:val="0"/>
    </w:pPr>
    <w:rPr>
      <w:rFonts w:ascii="Arial Rounded MT Bold" w:hAnsi="Arial Rounded MT Bold" w:cs="Arial"/>
      <w:color w:val="0000FF"/>
      <w:sz w:val="36"/>
      <w:szCs w:val="36"/>
      <w:lang w:eastAsia="en-US"/>
    </w:rPr>
  </w:style>
  <w:style w:type="paragraph" w:styleId="Heading2">
    <w:name w:val="heading 2"/>
    <w:next w:val="BodyText"/>
    <w:qFormat/>
    <w:rsid w:val="009C4CFE"/>
    <w:pPr>
      <w:numPr>
        <w:ilvl w:val="1"/>
        <w:numId w:val="8"/>
      </w:numPr>
      <w:spacing w:after="240"/>
      <w:outlineLvl w:val="1"/>
    </w:pPr>
    <w:rPr>
      <w:rFonts w:ascii="Arial Rounded MT Bold" w:hAnsi="Arial Rounded MT Bold" w:cs="Arial"/>
      <w:color w:val="0000FF"/>
      <w:sz w:val="28"/>
      <w:szCs w:val="28"/>
      <w:lang w:eastAsia="en-US"/>
    </w:rPr>
  </w:style>
  <w:style w:type="paragraph" w:styleId="Heading3">
    <w:name w:val="heading 3"/>
    <w:next w:val="BodyText"/>
    <w:qFormat/>
    <w:rsid w:val="005B4280"/>
    <w:pPr>
      <w:spacing w:after="120"/>
      <w:outlineLvl w:val="2"/>
    </w:pPr>
    <w:rPr>
      <w:rFonts w:ascii="Arial Rounded MT Bold" w:hAnsi="Arial Rounded MT Bold" w:cs="Arial"/>
      <w:color w:val="0000FF"/>
      <w:sz w:val="22"/>
      <w:szCs w:val="22"/>
      <w:lang w:eastAsia="en-US"/>
    </w:rPr>
  </w:style>
  <w:style w:type="paragraph" w:styleId="Heading4">
    <w:name w:val="heading 4"/>
    <w:basedOn w:val="Normal"/>
    <w:next w:val="Normal"/>
    <w:semiHidden/>
    <w:rsid w:val="004D4E9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6A5B"/>
    <w:pPr>
      <w:tabs>
        <w:tab w:val="center" w:pos="4320"/>
        <w:tab w:val="right" w:pos="8640"/>
      </w:tabs>
    </w:pPr>
  </w:style>
  <w:style w:type="paragraph" w:styleId="Footer">
    <w:name w:val="footer"/>
    <w:link w:val="FooterChar"/>
    <w:uiPriority w:val="3"/>
    <w:rsid w:val="00186C62"/>
    <w:pPr>
      <w:pBdr>
        <w:top w:val="single" w:sz="4" w:space="1" w:color="808080" w:themeColor="background1" w:themeShade="80"/>
      </w:pBdr>
      <w:tabs>
        <w:tab w:val="center" w:pos="4678"/>
        <w:tab w:val="right" w:pos="9356"/>
      </w:tabs>
    </w:pPr>
    <w:rPr>
      <w:rFonts w:cstheme="minorHAnsi"/>
      <w:color w:val="858585" w:themeColor="text1" w:themeTint="80"/>
      <w:sz w:val="16"/>
      <w:szCs w:val="22"/>
      <w:lang w:eastAsia="en-US"/>
    </w:rPr>
  </w:style>
  <w:style w:type="character" w:styleId="PageNumber">
    <w:name w:val="page number"/>
    <w:basedOn w:val="DefaultParagraphFont"/>
    <w:rsid w:val="007F6A5B"/>
  </w:style>
  <w:style w:type="table" w:styleId="TableGrid">
    <w:name w:val="Table Grid"/>
    <w:basedOn w:val="TableNormal"/>
    <w:rsid w:val="004D0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qFormat/>
    <w:rsid w:val="00DF7285"/>
    <w:pPr>
      <w:spacing w:after="60" w:line="180" w:lineRule="exact"/>
    </w:pPr>
    <w:rPr>
      <w:rFonts w:cs="Arial"/>
      <w:sz w:val="18"/>
      <w:szCs w:val="18"/>
    </w:rPr>
  </w:style>
  <w:style w:type="character" w:styleId="FootnoteReference">
    <w:name w:val="footnote reference"/>
    <w:basedOn w:val="DefaultParagraphFont"/>
    <w:semiHidden/>
    <w:rsid w:val="005E6D4D"/>
    <w:rPr>
      <w:vertAlign w:val="superscript"/>
    </w:rPr>
  </w:style>
  <w:style w:type="character" w:styleId="Hyperlink">
    <w:name w:val="Hyperlink"/>
    <w:basedOn w:val="DefaultParagraphFont"/>
    <w:uiPriority w:val="99"/>
    <w:rsid w:val="00AA0BB6"/>
    <w:rPr>
      <w:color w:val="0000FF"/>
      <w:u w:val="single"/>
    </w:rPr>
  </w:style>
  <w:style w:type="paragraph" w:styleId="BodyTextIndent">
    <w:name w:val="Body Text Indent"/>
    <w:basedOn w:val="Normal"/>
    <w:link w:val="BodyTextIndentChar"/>
    <w:semiHidden/>
    <w:rsid w:val="00BF6EBA"/>
    <w:pPr>
      <w:tabs>
        <w:tab w:val="left" w:pos="1134"/>
      </w:tabs>
      <w:suppressAutoHyphens/>
      <w:overflowPunct w:val="0"/>
      <w:autoSpaceDE w:val="0"/>
      <w:autoSpaceDN w:val="0"/>
      <w:adjustRightInd w:val="0"/>
      <w:spacing w:before="120"/>
      <w:ind w:left="1134" w:hanging="1134"/>
      <w:jc w:val="both"/>
      <w:textAlignment w:val="baseline"/>
    </w:pPr>
    <w:rPr>
      <w:rFonts w:ascii="Century Schoolbook" w:hAnsi="Century Schoolbook"/>
      <w:spacing w:val="-3"/>
      <w:szCs w:val="20"/>
    </w:rPr>
  </w:style>
  <w:style w:type="paragraph" w:styleId="BodyText">
    <w:name w:val="Body Text"/>
    <w:link w:val="BodyTextChar"/>
    <w:qFormat/>
    <w:rsid w:val="001008D3"/>
    <w:rPr>
      <w:rFonts w:cstheme="minorHAnsi"/>
      <w:color w:val="080808"/>
      <w:sz w:val="22"/>
      <w:szCs w:val="22"/>
      <w:lang w:eastAsia="en-US"/>
    </w:rPr>
  </w:style>
  <w:style w:type="paragraph" w:customStyle="1" w:styleId="AppendixSection">
    <w:name w:val="Appendix Section"/>
    <w:basedOn w:val="Normal"/>
    <w:rsid w:val="003E1885"/>
    <w:pPr>
      <w:spacing w:line="240" w:lineRule="auto"/>
      <w:jc w:val="both"/>
    </w:pPr>
    <w:rPr>
      <w:rFonts w:ascii="Arial Rounded MT Bold" w:hAnsi="Arial Rounded MT Bold"/>
      <w:color w:val="0000FF" w:themeColor="text2"/>
      <w:sz w:val="36"/>
      <w:szCs w:val="36"/>
    </w:rPr>
  </w:style>
  <w:style w:type="paragraph" w:styleId="BodyTextIndent2">
    <w:name w:val="Body Text Indent 2"/>
    <w:basedOn w:val="Normal"/>
    <w:semiHidden/>
    <w:rsid w:val="004D4E94"/>
    <w:pPr>
      <w:spacing w:after="120" w:line="480" w:lineRule="auto"/>
      <w:ind w:left="283"/>
    </w:pPr>
  </w:style>
  <w:style w:type="paragraph" w:styleId="Caption">
    <w:name w:val="caption"/>
    <w:basedOn w:val="Normal"/>
    <w:next w:val="Normal"/>
    <w:uiPriority w:val="35"/>
    <w:qFormat/>
    <w:rsid w:val="004D4E94"/>
    <w:pPr>
      <w:ind w:left="360"/>
    </w:pPr>
    <w:rPr>
      <w:rFonts w:ascii="Arial" w:hAnsi="Arial" w:cs="Arial"/>
      <w:i/>
      <w:iCs/>
      <w:sz w:val="18"/>
      <w:szCs w:val="20"/>
    </w:rPr>
  </w:style>
  <w:style w:type="table" w:styleId="TableList3">
    <w:name w:val="Table List 3"/>
    <w:basedOn w:val="TableNormal"/>
    <w:rsid w:val="004D0F1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F810CB"/>
    <w:pPr>
      <w:pageBreakBefore/>
      <w:spacing w:after="3840"/>
    </w:pPr>
    <w:rPr>
      <w:rFonts w:asciiTheme="minorHAnsi" w:hAnsiTheme="minorHAnsi" w:cs="Arial"/>
      <w:color w:val="0C0C0C" w:themeColor="text1"/>
      <w:szCs w:val="36"/>
      <w:lang w:eastAsia="en-US"/>
    </w:rPr>
  </w:style>
  <w:style w:type="character" w:styleId="FollowedHyperlink">
    <w:name w:val="FollowedHyperlink"/>
    <w:basedOn w:val="DefaultParagraphFont"/>
    <w:uiPriority w:val="4"/>
    <w:rsid w:val="000E6CE3"/>
    <w:rPr>
      <w:color w:val="800080"/>
      <w:u w:val="single"/>
    </w:rPr>
  </w:style>
  <w:style w:type="paragraph" w:styleId="TOC1">
    <w:name w:val="toc 1"/>
    <w:next w:val="Normal"/>
    <w:autoRedefine/>
    <w:uiPriority w:val="39"/>
    <w:qFormat/>
    <w:rsid w:val="00F82278"/>
    <w:pPr>
      <w:tabs>
        <w:tab w:val="right" w:leader="dot" w:pos="9346"/>
      </w:tabs>
      <w:spacing w:before="120" w:after="120"/>
      <w:ind w:left="567" w:hanging="567"/>
    </w:pPr>
    <w:rPr>
      <w:rFonts w:cstheme="minorHAnsi"/>
      <w:b/>
      <w:bCs/>
      <w:noProof/>
      <w:color w:val="181818" w:themeColor="text1" w:themeTint="F2"/>
      <w:sz w:val="24"/>
      <w:lang w:eastAsia="en-US"/>
    </w:rPr>
  </w:style>
  <w:style w:type="paragraph" w:styleId="TOC2">
    <w:name w:val="toc 2"/>
    <w:basedOn w:val="Normal"/>
    <w:next w:val="Normal"/>
    <w:autoRedefine/>
    <w:uiPriority w:val="39"/>
    <w:qFormat/>
    <w:rsid w:val="00DC7CD4"/>
    <w:pPr>
      <w:tabs>
        <w:tab w:val="right" w:leader="dot" w:pos="9346"/>
      </w:tabs>
      <w:ind w:left="1134" w:hanging="567"/>
    </w:pPr>
    <w:rPr>
      <w:noProof/>
      <w:sz w:val="22"/>
      <w:szCs w:val="20"/>
    </w:rPr>
  </w:style>
  <w:style w:type="paragraph" w:styleId="TOC3">
    <w:name w:val="toc 3"/>
    <w:basedOn w:val="Normal"/>
    <w:next w:val="Normal"/>
    <w:autoRedefine/>
    <w:uiPriority w:val="39"/>
    <w:rsid w:val="009014A7"/>
    <w:pPr>
      <w:ind w:left="480"/>
    </w:pPr>
    <w:rPr>
      <w:i/>
      <w:iCs/>
      <w:szCs w:val="20"/>
    </w:rPr>
  </w:style>
  <w:style w:type="paragraph" w:styleId="TOC4">
    <w:name w:val="toc 4"/>
    <w:basedOn w:val="Normal"/>
    <w:next w:val="Normal"/>
    <w:autoRedefine/>
    <w:semiHidden/>
    <w:rsid w:val="009014A7"/>
    <w:pPr>
      <w:ind w:left="720"/>
    </w:pPr>
    <w:rPr>
      <w:sz w:val="18"/>
      <w:szCs w:val="18"/>
    </w:rPr>
  </w:style>
  <w:style w:type="paragraph" w:styleId="TOC5">
    <w:name w:val="toc 5"/>
    <w:basedOn w:val="Normal"/>
    <w:next w:val="Normal"/>
    <w:autoRedefine/>
    <w:semiHidden/>
    <w:rsid w:val="009014A7"/>
    <w:pPr>
      <w:ind w:left="960"/>
    </w:pPr>
    <w:rPr>
      <w:sz w:val="18"/>
      <w:szCs w:val="18"/>
    </w:rPr>
  </w:style>
  <w:style w:type="paragraph" w:styleId="TOC6">
    <w:name w:val="toc 6"/>
    <w:basedOn w:val="Normal"/>
    <w:next w:val="Normal"/>
    <w:autoRedefine/>
    <w:semiHidden/>
    <w:rsid w:val="009014A7"/>
    <w:pPr>
      <w:ind w:left="1200"/>
    </w:pPr>
    <w:rPr>
      <w:sz w:val="18"/>
      <w:szCs w:val="18"/>
    </w:rPr>
  </w:style>
  <w:style w:type="paragraph" w:styleId="TOC7">
    <w:name w:val="toc 7"/>
    <w:basedOn w:val="Normal"/>
    <w:next w:val="Normal"/>
    <w:autoRedefine/>
    <w:semiHidden/>
    <w:rsid w:val="009014A7"/>
    <w:pPr>
      <w:ind w:left="1440"/>
    </w:pPr>
    <w:rPr>
      <w:sz w:val="18"/>
      <w:szCs w:val="18"/>
    </w:rPr>
  </w:style>
  <w:style w:type="paragraph" w:styleId="TOC8">
    <w:name w:val="toc 8"/>
    <w:basedOn w:val="Normal"/>
    <w:next w:val="Normal"/>
    <w:autoRedefine/>
    <w:semiHidden/>
    <w:rsid w:val="009014A7"/>
    <w:pPr>
      <w:ind w:left="1680"/>
    </w:pPr>
    <w:rPr>
      <w:sz w:val="18"/>
      <w:szCs w:val="18"/>
    </w:rPr>
  </w:style>
  <w:style w:type="paragraph" w:styleId="TOC9">
    <w:name w:val="toc 9"/>
    <w:basedOn w:val="Normal"/>
    <w:next w:val="Normal"/>
    <w:autoRedefine/>
    <w:semiHidden/>
    <w:rsid w:val="009014A7"/>
    <w:pPr>
      <w:ind w:left="1920"/>
    </w:pPr>
    <w:rPr>
      <w:sz w:val="18"/>
      <w:szCs w:val="18"/>
    </w:rPr>
  </w:style>
  <w:style w:type="paragraph" w:styleId="NormalWeb">
    <w:name w:val="Normal (Web)"/>
    <w:basedOn w:val="Normal"/>
    <w:semiHidden/>
    <w:rsid w:val="009A1D53"/>
    <w:pPr>
      <w:spacing w:before="100" w:beforeAutospacing="1" w:after="100" w:afterAutospacing="1"/>
    </w:pPr>
  </w:style>
  <w:style w:type="paragraph" w:customStyle="1" w:styleId="Tables">
    <w:name w:val="Tables"/>
    <w:basedOn w:val="Normal"/>
    <w:semiHidden/>
    <w:qFormat/>
    <w:rsid w:val="004801BA"/>
    <w:pPr>
      <w:tabs>
        <w:tab w:val="left" w:pos="2835"/>
      </w:tabs>
      <w:spacing w:after="120"/>
      <w:ind w:left="1395" w:hanging="1395"/>
    </w:pPr>
    <w:rPr>
      <w:rFonts w:ascii="Arial" w:hAnsi="Arial"/>
      <w:b/>
      <w:color w:val="0000FF"/>
      <w:szCs w:val="20"/>
    </w:rPr>
  </w:style>
  <w:style w:type="paragraph" w:customStyle="1" w:styleId="Figures">
    <w:name w:val="Figures"/>
    <w:basedOn w:val="Tables"/>
    <w:autoRedefine/>
    <w:uiPriority w:val="2"/>
    <w:rsid w:val="00F82278"/>
    <w:pPr>
      <w:tabs>
        <w:tab w:val="clear" w:pos="2835"/>
        <w:tab w:val="left" w:pos="0"/>
      </w:tabs>
      <w:ind w:left="993" w:hanging="993"/>
    </w:pPr>
    <w:rPr>
      <w:rFonts w:ascii="Calibri" w:hAnsi="Calibri" w:cs="Calibri"/>
      <w:sz w:val="22"/>
    </w:rPr>
  </w:style>
  <w:style w:type="paragraph" w:styleId="TableofFigures">
    <w:name w:val="table of figures"/>
    <w:basedOn w:val="Normal"/>
    <w:next w:val="Normal"/>
    <w:autoRedefine/>
    <w:uiPriority w:val="99"/>
    <w:rsid w:val="00DC7CD4"/>
    <w:pPr>
      <w:tabs>
        <w:tab w:val="left" w:pos="1134"/>
        <w:tab w:val="right" w:leader="dot" w:pos="9356"/>
      </w:tabs>
      <w:ind w:left="1134" w:hanging="1134"/>
    </w:pPr>
    <w:rPr>
      <w:rFonts w:asciiTheme="minorHAnsi" w:hAnsiTheme="minorHAnsi"/>
      <w:noProof/>
      <w:color w:val="0C0C0C" w:themeColor="text1"/>
      <w:sz w:val="22"/>
      <w:szCs w:val="20"/>
    </w:rPr>
  </w:style>
  <w:style w:type="paragraph" w:styleId="BalloonText">
    <w:name w:val="Balloon Text"/>
    <w:basedOn w:val="Normal"/>
    <w:link w:val="BalloonTextChar"/>
    <w:semiHidden/>
    <w:rsid w:val="00980BE0"/>
    <w:rPr>
      <w:rFonts w:ascii="Tahoma" w:hAnsi="Tahoma" w:cs="Tahoma"/>
      <w:sz w:val="16"/>
      <w:szCs w:val="16"/>
    </w:rPr>
  </w:style>
  <w:style w:type="character" w:customStyle="1" w:styleId="BalloonTextChar">
    <w:name w:val="Balloon Text Char"/>
    <w:basedOn w:val="DefaultParagraphFont"/>
    <w:link w:val="BalloonText"/>
    <w:semiHidden/>
    <w:rsid w:val="00F5599D"/>
    <w:rPr>
      <w:rFonts w:ascii="Tahoma" w:hAnsi="Tahoma" w:cs="Tahoma"/>
      <w:color w:val="181818" w:themeColor="text1" w:themeTint="F2"/>
      <w:sz w:val="16"/>
      <w:szCs w:val="16"/>
      <w:lang w:eastAsia="en-US"/>
    </w:rPr>
  </w:style>
  <w:style w:type="paragraph" w:styleId="Title">
    <w:name w:val="Title"/>
    <w:basedOn w:val="Normal"/>
    <w:next w:val="Normal"/>
    <w:link w:val="TitleChar"/>
    <w:semiHidden/>
    <w:qFormat/>
    <w:rsid w:val="00114CB5"/>
    <w:pPr>
      <w:pBdr>
        <w:bottom w:val="single" w:sz="4" w:space="1" w:color="0000FF"/>
      </w:pBdr>
      <w:spacing w:before="1240" w:line="240" w:lineRule="auto"/>
    </w:pPr>
    <w:rPr>
      <w:rFonts w:ascii="Arial Rounded MT Bold" w:hAnsi="Arial Rounded MT Bold" w:cs="Arial"/>
      <w:b/>
      <w:color w:val="0000FF"/>
      <w:sz w:val="40"/>
      <w:szCs w:val="48"/>
    </w:rPr>
  </w:style>
  <w:style w:type="character" w:customStyle="1" w:styleId="BodyTextChar">
    <w:name w:val="Body Text Char"/>
    <w:basedOn w:val="DefaultParagraphFont"/>
    <w:link w:val="BodyText"/>
    <w:rsid w:val="001008D3"/>
    <w:rPr>
      <w:rFonts w:cstheme="minorHAnsi"/>
      <w:color w:val="080808"/>
      <w:sz w:val="22"/>
      <w:szCs w:val="22"/>
      <w:lang w:eastAsia="en-US"/>
    </w:rPr>
  </w:style>
  <w:style w:type="character" w:customStyle="1" w:styleId="BodyTextIndentChar">
    <w:name w:val="Body Text Indent Char"/>
    <w:basedOn w:val="DefaultParagraphFont"/>
    <w:link w:val="BodyTextIndent"/>
    <w:semiHidden/>
    <w:rsid w:val="00F5599D"/>
    <w:rPr>
      <w:rFonts w:ascii="Century Schoolbook" w:hAnsi="Century Schoolbook" w:cstheme="minorHAnsi"/>
      <w:color w:val="181818" w:themeColor="text1" w:themeTint="F2"/>
      <w:spacing w:val="-3"/>
      <w:lang w:eastAsia="en-US"/>
    </w:rPr>
  </w:style>
  <w:style w:type="character" w:customStyle="1" w:styleId="TitleChar">
    <w:name w:val="Title Char"/>
    <w:basedOn w:val="DefaultParagraphFont"/>
    <w:link w:val="Title"/>
    <w:semiHidden/>
    <w:rsid w:val="00114CB5"/>
    <w:rPr>
      <w:rFonts w:ascii="Arial Rounded MT Bold" w:hAnsi="Arial Rounded MT Bold" w:cs="Arial"/>
      <w:b/>
      <w:color w:val="0000FF"/>
      <w:sz w:val="40"/>
      <w:szCs w:val="48"/>
      <w:lang w:eastAsia="en-US"/>
    </w:rPr>
  </w:style>
  <w:style w:type="paragraph" w:customStyle="1" w:styleId="Titlepagetext">
    <w:name w:val="Title page text"/>
    <w:basedOn w:val="Normal"/>
    <w:link w:val="TitlepagetextChar"/>
    <w:semiHidden/>
    <w:qFormat/>
    <w:rsid w:val="00EC5FB9"/>
    <w:pPr>
      <w:spacing w:before="2280" w:line="240" w:lineRule="auto"/>
    </w:pPr>
    <w:rPr>
      <w:rFonts w:ascii="Arial Rounded MT Bold" w:hAnsi="Arial Rounded MT Bold" w:cs="Arial"/>
      <w:b/>
      <w:color w:val="0000FF"/>
      <w:szCs w:val="20"/>
    </w:rPr>
  </w:style>
  <w:style w:type="paragraph" w:styleId="Subtitle">
    <w:name w:val="Subtitle"/>
    <w:basedOn w:val="Normal"/>
    <w:next w:val="Normal"/>
    <w:link w:val="SubtitleChar"/>
    <w:semiHidden/>
    <w:qFormat/>
    <w:rsid w:val="00D76756"/>
    <w:pPr>
      <w:spacing w:after="4320" w:line="240" w:lineRule="auto"/>
    </w:pPr>
    <w:rPr>
      <w:rFonts w:ascii="Arial Rounded MT Bold" w:hAnsi="Arial Rounded MT Bold" w:cs="Arial"/>
      <w:b/>
      <w:color w:val="0000FF"/>
      <w:sz w:val="36"/>
      <w:szCs w:val="36"/>
    </w:rPr>
  </w:style>
  <w:style w:type="character" w:customStyle="1" w:styleId="TitlepagetextChar">
    <w:name w:val="Title page text Char"/>
    <w:basedOn w:val="DefaultParagraphFont"/>
    <w:link w:val="Titlepagetext"/>
    <w:semiHidden/>
    <w:rsid w:val="00EC5FB9"/>
    <w:rPr>
      <w:rFonts w:ascii="Arial Rounded MT Bold" w:hAnsi="Arial Rounded MT Bold" w:cs="Arial"/>
      <w:b/>
      <w:color w:val="0000FF"/>
      <w:lang w:eastAsia="en-US"/>
    </w:rPr>
  </w:style>
  <w:style w:type="character" w:customStyle="1" w:styleId="SubtitleChar">
    <w:name w:val="Subtitle Char"/>
    <w:basedOn w:val="DefaultParagraphFont"/>
    <w:link w:val="Subtitle"/>
    <w:semiHidden/>
    <w:rsid w:val="00F5599D"/>
    <w:rPr>
      <w:rFonts w:ascii="Arial Rounded MT Bold" w:hAnsi="Arial Rounded MT Bold" w:cs="Arial"/>
      <w:b/>
      <w:color w:val="0000FF"/>
      <w:sz w:val="36"/>
      <w:szCs w:val="36"/>
      <w:lang w:eastAsia="en-US"/>
    </w:rPr>
  </w:style>
  <w:style w:type="paragraph" w:customStyle="1" w:styleId="Subsubtitle">
    <w:name w:val="Subsubtitle"/>
    <w:link w:val="SubsubtitleChar"/>
    <w:semiHidden/>
    <w:qFormat/>
    <w:rsid w:val="00186C62"/>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2A08D1"/>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186C62"/>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F5599D"/>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E82ECD"/>
    <w:pPr>
      <w:jc w:val="right"/>
    </w:pPr>
    <w:rPr>
      <w:rFonts w:ascii="Arial Rounded MT Bold" w:hAnsi="Arial Rounded MT Bold"/>
      <w:color w:val="858585" w:themeColor="text1" w:themeTint="80"/>
      <w:sz w:val="18"/>
      <w:lang w:val="en-GB"/>
    </w:rPr>
  </w:style>
  <w:style w:type="table" w:customStyle="1" w:styleId="BETable1">
    <w:name w:val="BE Table 1"/>
    <w:basedOn w:val="TableNormal"/>
    <w:uiPriority w:val="99"/>
    <w:qFormat/>
    <w:rsid w:val="009C4D3E"/>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left w:w="108" w:type="dxa"/>
        <w:bottom w:w="28" w:type="dxa"/>
        <w:right w:w="10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F5599D"/>
    <w:rPr>
      <w:rFonts w:ascii="Arial Rounded MT Bold" w:hAnsi="Arial Rounded MT Bold" w:cstheme="minorHAnsi"/>
      <w:color w:val="858585" w:themeColor="text1" w:themeTint="80"/>
      <w:sz w:val="18"/>
      <w:szCs w:val="22"/>
      <w:lang w:val="en-GB" w:eastAsia="en-US"/>
    </w:rPr>
  </w:style>
  <w:style w:type="paragraph" w:customStyle="1" w:styleId="AppendixHeading2">
    <w:name w:val="Appendix Heading 2"/>
    <w:next w:val="BodyText"/>
    <w:uiPriority w:val="2"/>
    <w:qFormat/>
    <w:rsid w:val="004D25C7"/>
    <w:pPr>
      <w:spacing w:after="240"/>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F810CB"/>
    <w:pPr>
      <w:numPr>
        <w:ilvl w:val="1"/>
        <w:numId w:val="5"/>
      </w:numPr>
      <w:spacing w:after="240"/>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4D25C7"/>
    <w:pPr>
      <w:spacing w:after="120"/>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F810CB"/>
    <w:rPr>
      <w:rFonts w:ascii="Arial Rounded MT Bold" w:hAnsi="Arial Rounded MT Bold" w:cs="Arial"/>
      <w:color w:val="0000FF"/>
      <w:sz w:val="36"/>
      <w:szCs w:val="36"/>
      <w:lang w:eastAsia="en-US"/>
    </w:rPr>
  </w:style>
  <w:style w:type="character" w:customStyle="1" w:styleId="FooterChar">
    <w:name w:val="Footer Char"/>
    <w:basedOn w:val="DefaultParagraphFont"/>
    <w:link w:val="Footer"/>
    <w:uiPriority w:val="3"/>
    <w:rsid w:val="00186C62"/>
    <w:rPr>
      <w:rFonts w:cstheme="minorHAnsi"/>
      <w:color w:val="858585" w:themeColor="text1" w:themeTint="80"/>
      <w:sz w:val="16"/>
      <w:szCs w:val="22"/>
      <w:lang w:eastAsia="en-US"/>
    </w:rPr>
  </w:style>
  <w:style w:type="paragraph" w:styleId="ListParagraph">
    <w:name w:val="List Paragraph"/>
    <w:basedOn w:val="Normal"/>
    <w:link w:val="ListParagraphChar"/>
    <w:uiPriority w:val="34"/>
    <w:qFormat/>
    <w:rsid w:val="00C5633B"/>
    <w:pPr>
      <w:numPr>
        <w:numId w:val="1"/>
      </w:numPr>
      <w:contextualSpacing/>
    </w:pPr>
  </w:style>
  <w:style w:type="character" w:styleId="BookTitle">
    <w:name w:val="Book Title"/>
    <w:basedOn w:val="DefaultParagraphFont"/>
    <w:uiPriority w:val="33"/>
    <w:semiHidden/>
    <w:rsid w:val="00F532EB"/>
    <w:rPr>
      <w:b/>
      <w:bCs/>
      <w:smallCaps/>
      <w:spacing w:val="5"/>
    </w:rPr>
  </w:style>
  <w:style w:type="paragraph" w:styleId="List">
    <w:name w:val="List"/>
    <w:basedOn w:val="Normal"/>
    <w:semiHidden/>
    <w:rsid w:val="00C5633B"/>
    <w:pPr>
      <w:ind w:left="283" w:hanging="283"/>
      <w:contextualSpacing/>
    </w:pPr>
  </w:style>
  <w:style w:type="paragraph" w:customStyle="1" w:styleId="Bullet2">
    <w:name w:val="Bullet 2"/>
    <w:link w:val="Bullet2Char1"/>
    <w:uiPriority w:val="1"/>
    <w:qFormat/>
    <w:rsid w:val="008C54F9"/>
    <w:pPr>
      <w:numPr>
        <w:ilvl w:val="1"/>
        <w:numId w:val="4"/>
      </w:numPr>
    </w:pPr>
    <w:rPr>
      <w:rFonts w:cstheme="minorHAnsi"/>
      <w:color w:val="181818" w:themeColor="text1" w:themeTint="F2"/>
      <w:sz w:val="22"/>
      <w:szCs w:val="22"/>
      <w:lang w:eastAsia="en-US"/>
    </w:rPr>
  </w:style>
  <w:style w:type="numbering" w:customStyle="1" w:styleId="Dotpoints">
    <w:name w:val="Dot points"/>
    <w:uiPriority w:val="99"/>
    <w:rsid w:val="00F532EB"/>
    <w:pPr>
      <w:numPr>
        <w:numId w:val="2"/>
      </w:numPr>
    </w:pPr>
  </w:style>
  <w:style w:type="numbering" w:customStyle="1" w:styleId="BEList">
    <w:name w:val="BE_List"/>
    <w:uiPriority w:val="99"/>
    <w:rsid w:val="00395AF7"/>
    <w:pPr>
      <w:numPr>
        <w:numId w:val="3"/>
      </w:numPr>
    </w:pPr>
  </w:style>
  <w:style w:type="character" w:customStyle="1" w:styleId="Bullet2Char">
    <w:name w:val="Bullet 2 Char"/>
    <w:basedOn w:val="DefaultParagraphFont"/>
    <w:rsid w:val="00F532EB"/>
    <w:rPr>
      <w:rFonts w:asciiTheme="minorHAnsi" w:hAnsiTheme="minorHAnsi" w:cstheme="minorHAnsi"/>
      <w:sz w:val="22"/>
      <w:szCs w:val="22"/>
      <w:lang w:eastAsia="en-US"/>
    </w:rPr>
  </w:style>
  <w:style w:type="paragraph" w:customStyle="1" w:styleId="Bullet1">
    <w:name w:val="Bullet 1"/>
    <w:link w:val="Bullet1Char"/>
    <w:uiPriority w:val="1"/>
    <w:qFormat/>
    <w:rsid w:val="00C36D95"/>
    <w:pPr>
      <w:numPr>
        <w:numId w:val="4"/>
      </w:numPr>
      <w:spacing w:before="80"/>
    </w:pPr>
    <w:rPr>
      <w:rFonts w:cstheme="minorHAnsi"/>
      <w:color w:val="181818" w:themeColor="text1" w:themeTint="F2"/>
      <w:sz w:val="22"/>
      <w:szCs w:val="22"/>
      <w:lang w:eastAsia="en-US"/>
    </w:rPr>
  </w:style>
  <w:style w:type="paragraph" w:customStyle="1" w:styleId="Bullet3">
    <w:name w:val="Bullet 3"/>
    <w:basedOn w:val="Bullet2"/>
    <w:link w:val="Bullet3Char"/>
    <w:uiPriority w:val="1"/>
    <w:qFormat/>
    <w:rsid w:val="008C54F9"/>
    <w:pPr>
      <w:numPr>
        <w:ilvl w:val="2"/>
      </w:numPr>
    </w:pPr>
  </w:style>
  <w:style w:type="character" w:customStyle="1" w:styleId="ListParagraphChar">
    <w:name w:val="List Paragraph Char"/>
    <w:basedOn w:val="DefaultParagraphFont"/>
    <w:link w:val="ListParagraph"/>
    <w:uiPriority w:val="34"/>
    <w:rsid w:val="00F5599D"/>
    <w:rPr>
      <w:rFonts w:cstheme="minorHAnsi"/>
      <w:color w:val="181818" w:themeColor="text1" w:themeTint="F2"/>
      <w:szCs w:val="22"/>
      <w:lang w:eastAsia="en-US"/>
    </w:rPr>
  </w:style>
  <w:style w:type="character" w:customStyle="1" w:styleId="Bullet1Char">
    <w:name w:val="Bullet 1 Char"/>
    <w:basedOn w:val="ListParagraphChar"/>
    <w:link w:val="Bullet1"/>
    <w:uiPriority w:val="1"/>
    <w:rsid w:val="00C36D95"/>
    <w:rPr>
      <w:rFonts w:cstheme="minorHAnsi"/>
      <w:color w:val="181818" w:themeColor="text1" w:themeTint="F2"/>
      <w:sz w:val="22"/>
      <w:szCs w:val="22"/>
      <w:lang w:eastAsia="en-US"/>
    </w:rPr>
  </w:style>
  <w:style w:type="paragraph" w:customStyle="1" w:styleId="AppendixH1Line2">
    <w:name w:val="Appendix H1 Line 2"/>
    <w:basedOn w:val="BodyText"/>
    <w:uiPriority w:val="3"/>
    <w:rsid w:val="00BF1269"/>
  </w:style>
  <w:style w:type="character" w:customStyle="1" w:styleId="Bullet2Char1">
    <w:name w:val="Bullet 2 Char1"/>
    <w:basedOn w:val="DefaultParagraphFont"/>
    <w:link w:val="Bullet2"/>
    <w:uiPriority w:val="1"/>
    <w:rsid w:val="00201EAD"/>
    <w:rPr>
      <w:rFonts w:cstheme="minorHAnsi"/>
      <w:color w:val="181818" w:themeColor="text1" w:themeTint="F2"/>
      <w:sz w:val="22"/>
      <w:szCs w:val="22"/>
      <w:lang w:eastAsia="en-US"/>
    </w:rPr>
  </w:style>
  <w:style w:type="character" w:customStyle="1" w:styleId="Bullet3Char">
    <w:name w:val="Bullet 3 Char"/>
    <w:basedOn w:val="Bullet2Char1"/>
    <w:link w:val="Bullet3"/>
    <w:uiPriority w:val="1"/>
    <w:rsid w:val="00201EAD"/>
    <w:rPr>
      <w:rFonts w:cstheme="minorHAnsi"/>
      <w:color w:val="181818" w:themeColor="text1" w:themeTint="F2"/>
      <w:sz w:val="22"/>
      <w:szCs w:val="22"/>
      <w:lang w:eastAsia="en-US"/>
    </w:rPr>
  </w:style>
  <w:style w:type="paragraph" w:customStyle="1" w:styleId="AppendixSectionnumber">
    <w:name w:val="Appendix Section number"/>
    <w:link w:val="AppendixSectionnumberChar"/>
    <w:qFormat/>
    <w:rsid w:val="00BF043F"/>
    <w:pPr>
      <w:numPr>
        <w:numId w:val="5"/>
      </w:numPr>
      <w:pBdr>
        <w:bottom w:val="single" w:sz="4" w:space="1" w:color="0000FF"/>
      </w:pBdr>
    </w:pPr>
    <w:rPr>
      <w:rFonts w:ascii="Arial Rounded MT Bold" w:hAnsi="Arial Rounded MT Bold" w:cs="Arial"/>
      <w:color w:val="0000FF" w:themeColor="accent1"/>
      <w:sz w:val="36"/>
      <w:szCs w:val="36"/>
      <w:lang w:eastAsia="en-US"/>
    </w:rPr>
  </w:style>
  <w:style w:type="character" w:customStyle="1" w:styleId="AppendixSectionnumberChar">
    <w:name w:val="Appendix Section number Char"/>
    <w:basedOn w:val="TitleChar"/>
    <w:link w:val="AppendixSectionnumber"/>
    <w:rsid w:val="00BF043F"/>
    <w:rPr>
      <w:rFonts w:ascii="Arial Rounded MT Bold" w:hAnsi="Arial Rounded MT Bold" w:cs="Arial"/>
      <w:b w:val="0"/>
      <w:color w:val="0000FF" w:themeColor="accent1"/>
      <w:sz w:val="36"/>
      <w:szCs w:val="36"/>
      <w:lang w:eastAsia="en-US"/>
    </w:rPr>
  </w:style>
  <w:style w:type="character" w:customStyle="1" w:styleId="Grey">
    <w:name w:val="Grey"/>
    <w:basedOn w:val="DefaultParagraphFont"/>
    <w:semiHidden/>
    <w:rsid w:val="00CB1CB4"/>
    <w:rPr>
      <w:color w:val="A6A6A6" w:themeColor="background1" w:themeShade="A6"/>
    </w:rPr>
  </w:style>
  <w:style w:type="paragraph" w:customStyle="1" w:styleId="Client">
    <w:name w:val="Client"/>
    <w:next w:val="Titlepagetext"/>
    <w:semiHidden/>
    <w:rsid w:val="00186C62"/>
    <w:pPr>
      <w:spacing w:after="3360"/>
    </w:pPr>
    <w:rPr>
      <w:rFonts w:ascii="Arial Rounded MT Bold" w:hAnsi="Arial Rounded MT Bold" w:cs="Arial"/>
      <w:b/>
      <w:color w:val="0000FF" w:themeColor="text2"/>
      <w:sz w:val="36"/>
      <w:szCs w:val="36"/>
      <w:lang w:eastAsia="en-US"/>
    </w:rPr>
  </w:style>
  <w:style w:type="paragraph" w:customStyle="1" w:styleId="Title2">
    <w:name w:val="Title2"/>
    <w:semiHidden/>
    <w:qFormat/>
    <w:rsid w:val="00186C62"/>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A2446E"/>
    <w:pPr>
      <w:spacing w:before="1080"/>
    </w:pPr>
    <w:rPr>
      <w:rFonts w:cs="Arial"/>
      <w:b/>
      <w:color w:val="0000FF"/>
      <w:lang w:eastAsia="en-US"/>
    </w:rPr>
  </w:style>
  <w:style w:type="paragraph" w:customStyle="1" w:styleId="DisclaimerText">
    <w:name w:val="Disclaimer Text"/>
    <w:semiHidden/>
    <w:rsid w:val="0073652B"/>
    <w:pPr>
      <w:spacing w:after="120"/>
    </w:pPr>
    <w:rPr>
      <w:rFonts w:cs="Arial"/>
      <w:sz w:val="18"/>
      <w:szCs w:val="18"/>
      <w:lang w:eastAsia="en-US"/>
    </w:rPr>
  </w:style>
  <w:style w:type="paragraph" w:customStyle="1" w:styleId="Copyright">
    <w:name w:val="Copyright"/>
    <w:semiHidden/>
    <w:rsid w:val="00A2446E"/>
    <w:pPr>
      <w:spacing w:before="840" w:after="560"/>
    </w:pPr>
    <w:rPr>
      <w:rFonts w:cs="Arial"/>
      <w:sz w:val="18"/>
      <w:szCs w:val="18"/>
      <w:lang w:eastAsia="en-US"/>
    </w:rPr>
  </w:style>
  <w:style w:type="paragraph" w:customStyle="1" w:styleId="AuthorHeading">
    <w:name w:val="Author Heading"/>
    <w:basedOn w:val="Titlepagetext"/>
    <w:semiHidden/>
    <w:rsid w:val="002A0F82"/>
    <w:pPr>
      <w:spacing w:before="520"/>
      <w:jc w:val="right"/>
    </w:pPr>
  </w:style>
  <w:style w:type="paragraph" w:customStyle="1" w:styleId="BEAddress">
    <w:name w:val="BE_Address"/>
    <w:semiHidden/>
    <w:rsid w:val="00B61ED5"/>
    <w:pPr>
      <w:framePr w:w="8826" w:h="1894" w:hRule="exact" w:hSpace="181" w:wrap="around" w:vAnchor="page" w:hAnchor="page" w:x="1986" w:y="11505"/>
      <w:ind w:right="-47"/>
      <w:jc w:val="right"/>
    </w:pPr>
    <w:rPr>
      <w:rFonts w:cstheme="minorHAnsi"/>
      <w:szCs w:val="22"/>
      <w:lang w:val="en-GB" w:eastAsia="en-US"/>
    </w:rPr>
  </w:style>
  <w:style w:type="paragraph" w:customStyle="1" w:styleId="Footernoline">
    <w:name w:val="Footer_no line"/>
    <w:basedOn w:val="Footer"/>
    <w:semiHidden/>
    <w:rsid w:val="00BD37A4"/>
    <w:pPr>
      <w:pBdr>
        <w:top w:val="none" w:sz="0" w:space="0" w:color="auto"/>
      </w:pBdr>
    </w:pPr>
  </w:style>
  <w:style w:type="table" w:customStyle="1" w:styleId="BETable2">
    <w:name w:val="BE Table 2"/>
    <w:basedOn w:val="BETable1"/>
    <w:uiPriority w:val="99"/>
    <w:qFormat/>
    <w:rsid w:val="00343084"/>
    <w:tblPr>
      <w:tblInd w:w="57" w:type="dxa"/>
      <w:tblBorders>
        <w:left w:val="single" w:sz="4" w:space="0" w:color="7F7F7F" w:themeColor="background2"/>
        <w:bottom w:val="single" w:sz="4" w:space="0" w:color="7F7F7F" w:themeColor="background2"/>
        <w:right w:val="single" w:sz="4" w:space="0" w:color="7F7F7F" w:themeColor="background2"/>
      </w:tblBorders>
      <w:tblCellMar>
        <w:top w:w="28" w:type="dxa"/>
        <w:left w:w="57" w:type="dxa"/>
        <w:bottom w:w="28" w:type="dxa"/>
        <w:right w:w="57"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5B109F"/>
    <w:pPr>
      <w:spacing w:after="360"/>
    </w:pPr>
    <w:rPr>
      <w:rFonts w:ascii="Arial Rounded MT Bold" w:hAnsi="Arial Rounded MT Bold" w:cs="Arial"/>
      <w:color w:val="0000FF"/>
      <w:sz w:val="36"/>
      <w:szCs w:val="36"/>
      <w:lang w:eastAsia="en-US"/>
    </w:rPr>
  </w:style>
  <w:style w:type="paragraph" w:customStyle="1" w:styleId="FigureTableinfo">
    <w:name w:val="Figure/Table info"/>
    <w:uiPriority w:val="2"/>
    <w:rsid w:val="00C55DF2"/>
    <w:pPr>
      <w:spacing w:before="80"/>
    </w:pPr>
    <w:rPr>
      <w:rFonts w:cs="Arial"/>
      <w:i/>
      <w:color w:val="0000FF"/>
      <w:lang w:eastAsia="en-US"/>
    </w:rPr>
  </w:style>
  <w:style w:type="paragraph" w:customStyle="1" w:styleId="FooterLandscape">
    <w:name w:val="Footer Landscape"/>
    <w:basedOn w:val="Footer"/>
    <w:semiHidden/>
    <w:qFormat/>
    <w:rsid w:val="00B50E5B"/>
    <w:pPr>
      <w:tabs>
        <w:tab w:val="clear" w:pos="4678"/>
        <w:tab w:val="clear" w:pos="9356"/>
        <w:tab w:val="center" w:pos="7909"/>
        <w:tab w:val="right" w:pos="14600"/>
      </w:tabs>
    </w:pPr>
  </w:style>
  <w:style w:type="character" w:styleId="PlaceholderText">
    <w:name w:val="Placeholder Text"/>
    <w:basedOn w:val="DefaultParagraphFont"/>
    <w:uiPriority w:val="99"/>
    <w:semiHidden/>
    <w:rsid w:val="002E2B19"/>
    <w:rPr>
      <w:color w:val="808080"/>
    </w:rPr>
  </w:style>
  <w:style w:type="paragraph" w:customStyle="1" w:styleId="TOCHeadings">
    <w:name w:val="TOC Headings"/>
    <w:qFormat/>
    <w:rsid w:val="00E44065"/>
    <w:rPr>
      <w:rFonts w:ascii="Arial Rounded MT Bold" w:hAnsi="Arial Rounded MT Bold" w:cs="Arial"/>
      <w:b/>
      <w:color w:val="0000FF"/>
      <w:szCs w:val="22"/>
      <w:lang w:eastAsia="en-US"/>
    </w:rPr>
  </w:style>
  <w:style w:type="character" w:customStyle="1" w:styleId="HeaderChar">
    <w:name w:val="Header Char"/>
    <w:basedOn w:val="DefaultParagraphFont"/>
    <w:link w:val="Header"/>
    <w:rsid w:val="00201EAD"/>
    <w:rPr>
      <w:rFonts w:cstheme="minorHAnsi"/>
      <w:color w:val="181818" w:themeColor="text1" w:themeTint="F2"/>
      <w:szCs w:val="22"/>
      <w:lang w:eastAsia="en-US"/>
    </w:rPr>
  </w:style>
  <w:style w:type="paragraph" w:styleId="ListNumber">
    <w:name w:val="List Number"/>
    <w:basedOn w:val="Normal"/>
    <w:uiPriority w:val="1"/>
    <w:qFormat/>
    <w:rsid w:val="00AF3776"/>
    <w:pPr>
      <w:numPr>
        <w:numId w:val="13"/>
      </w:numPr>
      <w:spacing w:before="80" w:line="240" w:lineRule="auto"/>
    </w:pPr>
    <w:rPr>
      <w:sz w:val="22"/>
    </w:rPr>
  </w:style>
  <w:style w:type="paragraph" w:styleId="ListNumber2">
    <w:name w:val="List Number 2"/>
    <w:basedOn w:val="Normal"/>
    <w:uiPriority w:val="1"/>
    <w:qFormat/>
    <w:rsid w:val="00F11E21"/>
    <w:pPr>
      <w:numPr>
        <w:ilvl w:val="1"/>
        <w:numId w:val="13"/>
      </w:numPr>
      <w:spacing w:line="240" w:lineRule="auto"/>
      <w:contextualSpacing/>
    </w:pPr>
    <w:rPr>
      <w:sz w:val="22"/>
    </w:rPr>
  </w:style>
  <w:style w:type="paragraph" w:styleId="ListNumber3">
    <w:name w:val="List Number 3"/>
    <w:basedOn w:val="Normal"/>
    <w:uiPriority w:val="1"/>
    <w:qFormat/>
    <w:rsid w:val="00F11E21"/>
    <w:pPr>
      <w:numPr>
        <w:ilvl w:val="2"/>
        <w:numId w:val="13"/>
      </w:numPr>
      <w:spacing w:line="240" w:lineRule="auto"/>
      <w:contextualSpacing/>
    </w:pPr>
    <w:rPr>
      <w:sz w:val="22"/>
    </w:rPr>
  </w:style>
  <w:style w:type="paragraph" w:customStyle="1" w:styleId="Draft">
    <w:name w:val="Draft"/>
    <w:basedOn w:val="Titlepagetext"/>
    <w:uiPriority w:val="2"/>
    <w:rsid w:val="00EC5FB9"/>
    <w:pPr>
      <w:spacing w:before="0"/>
    </w:pPr>
  </w:style>
  <w:style w:type="paragraph" w:customStyle="1" w:styleId="Reviewer">
    <w:name w:val="Reviewer"/>
    <w:uiPriority w:val="2"/>
    <w:rsid w:val="002A0F82"/>
    <w:pPr>
      <w:spacing w:before="360"/>
      <w:jc w:val="right"/>
    </w:pPr>
    <w:rPr>
      <w:rFonts w:cs="Arial"/>
      <w:b/>
      <w:color w:val="0000FF"/>
      <w:lang w:eastAsia="en-US"/>
    </w:rPr>
  </w:style>
  <w:style w:type="paragraph" w:customStyle="1" w:styleId="AuthorName">
    <w:name w:val="Author Name"/>
    <w:uiPriority w:val="2"/>
    <w:rsid w:val="002A0F82"/>
    <w:pPr>
      <w:jc w:val="right"/>
    </w:pPr>
    <w:rPr>
      <w:rFonts w:cstheme="minorHAnsi"/>
      <w:color w:val="181818" w:themeColor="text1" w:themeTint="F2"/>
      <w:szCs w:val="22"/>
      <w:lang w:eastAsia="en-US"/>
    </w:rPr>
  </w:style>
  <w:style w:type="paragraph" w:customStyle="1" w:styleId="Appendixheading">
    <w:name w:val="Appendix heading"/>
    <w:next w:val="BodyText"/>
    <w:link w:val="AppendixheadingChar"/>
    <w:qFormat/>
    <w:rsid w:val="00D50C8E"/>
    <w:pPr>
      <w:spacing w:after="240"/>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D50C8E"/>
    <w:rPr>
      <w:rFonts w:ascii="Arial Rounded MT Bold" w:hAnsi="Arial Rounded MT Bold" w:cs="Arial"/>
      <w:color w:val="0000FF"/>
      <w:sz w:val="36"/>
      <w:szCs w:val="36"/>
      <w:lang w:eastAsia="en-US"/>
    </w:rPr>
  </w:style>
  <w:style w:type="paragraph" w:customStyle="1" w:styleId="ParaIndent">
    <w:name w:val="_ParaIndent"/>
    <w:basedOn w:val="BodyText"/>
    <w:link w:val="ParaIndentChar"/>
    <w:rsid w:val="00A16765"/>
    <w:pPr>
      <w:spacing w:after="240" w:line="260" w:lineRule="atLeast"/>
      <w:ind w:left="1134"/>
    </w:pPr>
    <w:rPr>
      <w:rFonts w:ascii="Arial" w:hAnsi="Arial" w:cs="Times New Roman"/>
      <w:color w:val="auto"/>
      <w:sz w:val="20"/>
      <w:szCs w:val="20"/>
      <w:lang w:val="en-GB"/>
    </w:rPr>
  </w:style>
  <w:style w:type="character" w:customStyle="1" w:styleId="ParaIndentChar">
    <w:name w:val="_ParaIndent Char"/>
    <w:basedOn w:val="DefaultParagraphFont"/>
    <w:link w:val="ParaIndent"/>
    <w:rsid w:val="00A16765"/>
    <w:rPr>
      <w:rFonts w:ascii="Arial" w:hAnsi="Arial"/>
      <w:lang w:val="en-GB" w:eastAsia="en-US"/>
    </w:rPr>
  </w:style>
  <w:style w:type="paragraph" w:customStyle="1" w:styleId="Appendixnumber">
    <w:name w:val="Appendix number"/>
    <w:basedOn w:val="Title"/>
    <w:link w:val="AppendixnumberChar"/>
    <w:qFormat/>
    <w:rsid w:val="006049F0"/>
    <w:pPr>
      <w:spacing w:before="0"/>
    </w:pPr>
    <w:rPr>
      <w:b w:val="0"/>
      <w:spacing w:val="5"/>
      <w:kern w:val="28"/>
      <w:sz w:val="36"/>
      <w:szCs w:val="36"/>
    </w:rPr>
  </w:style>
  <w:style w:type="character" w:customStyle="1" w:styleId="AppendixnumberChar">
    <w:name w:val="Appendix number Char"/>
    <w:basedOn w:val="TitleChar"/>
    <w:link w:val="Appendixnumber"/>
    <w:rsid w:val="006049F0"/>
    <w:rPr>
      <w:rFonts w:ascii="Arial Rounded MT Bold" w:hAnsi="Arial Rounded MT Bold" w:cs="Arial"/>
      <w:b w:val="0"/>
      <w:color w:val="0000FF"/>
      <w:spacing w:val="5"/>
      <w:kern w:val="28"/>
      <w:sz w:val="36"/>
      <w:szCs w:val="36"/>
      <w:lang w:eastAsia="en-US"/>
    </w:rPr>
  </w:style>
  <w:style w:type="character" w:customStyle="1" w:styleId="FootnoteTextChar">
    <w:name w:val="Footnote Text Char"/>
    <w:basedOn w:val="DefaultParagraphFont"/>
    <w:link w:val="FootnoteText"/>
    <w:semiHidden/>
    <w:rsid w:val="002419F3"/>
    <w:rPr>
      <w:rFonts w:cs="Arial"/>
      <w:color w:val="181818" w:themeColor="text1" w:themeTint="F2"/>
      <w:sz w:val="18"/>
      <w:szCs w:val="18"/>
      <w:lang w:eastAsia="en-US"/>
    </w:rPr>
  </w:style>
  <w:style w:type="paragraph" w:customStyle="1" w:styleId="TableText">
    <w:name w:val="Table Text"/>
    <w:basedOn w:val="Normal"/>
    <w:qFormat/>
    <w:rsid w:val="004537BE"/>
    <w:pPr>
      <w:spacing w:before="40" w:after="40" w:line="288" w:lineRule="auto"/>
      <w:ind w:left="57"/>
    </w:pPr>
    <w:rPr>
      <w:rFonts w:ascii="Verdana" w:hAnsi="Verdana" w:cs="Times New Roman"/>
      <w:color w:val="262626"/>
      <w:sz w:val="16"/>
      <w:szCs w:val="24"/>
    </w:rPr>
  </w:style>
  <w:style w:type="character" w:customStyle="1" w:styleId="TableTextBold">
    <w:name w:val="Table Text Bold"/>
    <w:basedOn w:val="DefaultParagraphFont"/>
    <w:uiPriority w:val="1"/>
    <w:qFormat/>
    <w:rsid w:val="004537BE"/>
    <w:rPr>
      <w:rFonts w:ascii="Verdana" w:hAnsi="Verdana"/>
      <w:b/>
      <w:sz w:val="16"/>
    </w:rPr>
  </w:style>
  <w:style w:type="paragraph" w:customStyle="1" w:styleId="RptBodyText">
    <w:name w:val="(Rpt) Body Text"/>
    <w:rsid w:val="00B56A92"/>
    <w:pPr>
      <w:spacing w:after="240" w:line="280" w:lineRule="exact"/>
    </w:pPr>
    <w:rPr>
      <w:rFonts w:ascii="Arial" w:hAnsi="Arial"/>
      <w:sz w:val="22"/>
      <w:lang w:val="en-US" w:eastAsia="en-US"/>
    </w:rPr>
  </w:style>
  <w:style w:type="paragraph" w:customStyle="1" w:styleId="KMHBulletLevel1">
    <w:name w:val="KMH Bullet Level 1"/>
    <w:basedOn w:val="ListParagraph"/>
    <w:qFormat/>
    <w:rsid w:val="00142B7B"/>
    <w:pPr>
      <w:numPr>
        <w:numId w:val="12"/>
      </w:numPr>
      <w:tabs>
        <w:tab w:val="num" w:pos="360"/>
      </w:tabs>
      <w:spacing w:after="120" w:line="276" w:lineRule="auto"/>
      <w:ind w:left="720" w:firstLine="0"/>
      <w:jc w:val="both"/>
    </w:pPr>
    <w:rPr>
      <w:rFonts w:ascii="Arial" w:eastAsia="Calibri" w:hAnsi="Arial"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lsdException w:name="Normal Indent" w:semiHidden="1"/>
    <w:lsdException w:name="footnote text" w:qFormat="1"/>
    <w:lsdException w:name="annotation text" w:semiHidden="1"/>
    <w:lsdException w:name="footer" w:uiPriority="3"/>
    <w:lsdException w:name="index heading" w:semiHidden="1"/>
    <w:lsdException w:name="caption" w:uiPriority="35"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uiPriority="4"/>
    <w:lsdException w:name="List Bullet" w:semiHidden="1"/>
    <w:lsdException w:name="List Number" w:uiPriority="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uiPriority="1" w:qFormat="1"/>
    <w:lsdException w:name="List Number 3" w:uiPriority="1" w:qFormat="1"/>
    <w:lsdException w:name="List Number 4" w:semiHidden="1"/>
    <w:lsdException w:name="List Number 5" w:semiHidden="1"/>
    <w:lsdException w:name="Title" w:qFormat="1"/>
    <w:lsdException w:name="Closing" w:semiHidden="1"/>
    <w:lsdException w:name="Signature" w:semiHidden="1"/>
    <w:lsdException w:name="Body Tex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3" w:semiHidden="1"/>
    <w:lsdException w:name="Block Text" w:semiHidden="1"/>
    <w:lsdException w:name="Hyperlink" w:uiPriority="99"/>
    <w:lsdException w:name="Strong" w:semiHidden="1"/>
    <w:lsdException w:name="Emphasis" w:semiHidden="1"/>
    <w:lsdException w:name="Document Map" w:semiHidden="1"/>
    <w:lsdException w:name="Plain Text" w:semiHidden="1"/>
    <w:lsdException w:name="E-mail Signature"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uiPriority w:val="2"/>
    <w:rsid w:val="00EC5FB9"/>
    <w:pPr>
      <w:spacing w:line="260" w:lineRule="atLeast"/>
    </w:pPr>
    <w:rPr>
      <w:rFonts w:cstheme="minorHAnsi"/>
      <w:color w:val="181818" w:themeColor="text1" w:themeTint="F2"/>
      <w:szCs w:val="22"/>
      <w:lang w:eastAsia="en-US"/>
    </w:rPr>
  </w:style>
  <w:style w:type="paragraph" w:styleId="Heading1">
    <w:name w:val="heading 1"/>
    <w:next w:val="BodyText"/>
    <w:qFormat/>
    <w:rsid w:val="009C4CFE"/>
    <w:pPr>
      <w:numPr>
        <w:numId w:val="8"/>
      </w:numPr>
      <w:spacing w:after="360"/>
      <w:outlineLvl w:val="0"/>
    </w:pPr>
    <w:rPr>
      <w:rFonts w:ascii="Arial Rounded MT Bold" w:hAnsi="Arial Rounded MT Bold" w:cs="Arial"/>
      <w:color w:val="0000FF"/>
      <w:sz w:val="36"/>
      <w:szCs w:val="36"/>
      <w:lang w:eastAsia="en-US"/>
    </w:rPr>
  </w:style>
  <w:style w:type="paragraph" w:styleId="Heading2">
    <w:name w:val="heading 2"/>
    <w:next w:val="BodyText"/>
    <w:qFormat/>
    <w:rsid w:val="009C4CFE"/>
    <w:pPr>
      <w:numPr>
        <w:ilvl w:val="1"/>
        <w:numId w:val="8"/>
      </w:numPr>
      <w:spacing w:after="240"/>
      <w:outlineLvl w:val="1"/>
    </w:pPr>
    <w:rPr>
      <w:rFonts w:ascii="Arial Rounded MT Bold" w:hAnsi="Arial Rounded MT Bold" w:cs="Arial"/>
      <w:color w:val="0000FF"/>
      <w:sz w:val="28"/>
      <w:szCs w:val="28"/>
      <w:lang w:eastAsia="en-US"/>
    </w:rPr>
  </w:style>
  <w:style w:type="paragraph" w:styleId="Heading3">
    <w:name w:val="heading 3"/>
    <w:next w:val="BodyText"/>
    <w:qFormat/>
    <w:rsid w:val="005B4280"/>
    <w:pPr>
      <w:spacing w:after="120"/>
      <w:outlineLvl w:val="2"/>
    </w:pPr>
    <w:rPr>
      <w:rFonts w:ascii="Arial Rounded MT Bold" w:hAnsi="Arial Rounded MT Bold" w:cs="Arial"/>
      <w:color w:val="0000FF"/>
      <w:sz w:val="22"/>
      <w:szCs w:val="22"/>
      <w:lang w:eastAsia="en-US"/>
    </w:rPr>
  </w:style>
  <w:style w:type="paragraph" w:styleId="Heading4">
    <w:name w:val="heading 4"/>
    <w:basedOn w:val="Normal"/>
    <w:next w:val="Normal"/>
    <w:semiHidden/>
    <w:rsid w:val="004D4E9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6A5B"/>
    <w:pPr>
      <w:tabs>
        <w:tab w:val="center" w:pos="4320"/>
        <w:tab w:val="right" w:pos="8640"/>
      </w:tabs>
    </w:pPr>
  </w:style>
  <w:style w:type="paragraph" w:styleId="Footer">
    <w:name w:val="footer"/>
    <w:link w:val="FooterChar"/>
    <w:uiPriority w:val="3"/>
    <w:rsid w:val="00186C62"/>
    <w:pPr>
      <w:pBdr>
        <w:top w:val="single" w:sz="4" w:space="1" w:color="808080" w:themeColor="background1" w:themeShade="80"/>
      </w:pBdr>
      <w:tabs>
        <w:tab w:val="center" w:pos="4678"/>
        <w:tab w:val="right" w:pos="9356"/>
      </w:tabs>
    </w:pPr>
    <w:rPr>
      <w:rFonts w:cstheme="minorHAnsi"/>
      <w:color w:val="858585" w:themeColor="text1" w:themeTint="80"/>
      <w:sz w:val="16"/>
      <w:szCs w:val="22"/>
      <w:lang w:eastAsia="en-US"/>
    </w:rPr>
  </w:style>
  <w:style w:type="character" w:styleId="PageNumber">
    <w:name w:val="page number"/>
    <w:basedOn w:val="DefaultParagraphFont"/>
    <w:rsid w:val="007F6A5B"/>
  </w:style>
  <w:style w:type="table" w:styleId="TableGrid">
    <w:name w:val="Table Grid"/>
    <w:basedOn w:val="TableNormal"/>
    <w:rsid w:val="004D0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qFormat/>
    <w:rsid w:val="00DF7285"/>
    <w:pPr>
      <w:spacing w:after="60" w:line="180" w:lineRule="exact"/>
    </w:pPr>
    <w:rPr>
      <w:rFonts w:cs="Arial"/>
      <w:sz w:val="18"/>
      <w:szCs w:val="18"/>
    </w:rPr>
  </w:style>
  <w:style w:type="character" w:styleId="FootnoteReference">
    <w:name w:val="footnote reference"/>
    <w:basedOn w:val="DefaultParagraphFont"/>
    <w:semiHidden/>
    <w:rsid w:val="005E6D4D"/>
    <w:rPr>
      <w:vertAlign w:val="superscript"/>
    </w:rPr>
  </w:style>
  <w:style w:type="character" w:styleId="Hyperlink">
    <w:name w:val="Hyperlink"/>
    <w:basedOn w:val="DefaultParagraphFont"/>
    <w:uiPriority w:val="99"/>
    <w:rsid w:val="00AA0BB6"/>
    <w:rPr>
      <w:color w:val="0000FF"/>
      <w:u w:val="single"/>
    </w:rPr>
  </w:style>
  <w:style w:type="paragraph" w:styleId="BodyTextIndent">
    <w:name w:val="Body Text Indent"/>
    <w:basedOn w:val="Normal"/>
    <w:link w:val="BodyTextIndentChar"/>
    <w:semiHidden/>
    <w:rsid w:val="00BF6EBA"/>
    <w:pPr>
      <w:tabs>
        <w:tab w:val="left" w:pos="1134"/>
      </w:tabs>
      <w:suppressAutoHyphens/>
      <w:overflowPunct w:val="0"/>
      <w:autoSpaceDE w:val="0"/>
      <w:autoSpaceDN w:val="0"/>
      <w:adjustRightInd w:val="0"/>
      <w:spacing w:before="120"/>
      <w:ind w:left="1134" w:hanging="1134"/>
      <w:jc w:val="both"/>
      <w:textAlignment w:val="baseline"/>
    </w:pPr>
    <w:rPr>
      <w:rFonts w:ascii="Century Schoolbook" w:hAnsi="Century Schoolbook"/>
      <w:spacing w:val="-3"/>
      <w:szCs w:val="20"/>
    </w:rPr>
  </w:style>
  <w:style w:type="paragraph" w:styleId="BodyText">
    <w:name w:val="Body Text"/>
    <w:link w:val="BodyTextChar"/>
    <w:qFormat/>
    <w:rsid w:val="001008D3"/>
    <w:rPr>
      <w:rFonts w:cstheme="minorHAnsi"/>
      <w:color w:val="080808"/>
      <w:sz w:val="22"/>
      <w:szCs w:val="22"/>
      <w:lang w:eastAsia="en-US"/>
    </w:rPr>
  </w:style>
  <w:style w:type="paragraph" w:customStyle="1" w:styleId="AppendixSection">
    <w:name w:val="Appendix Section"/>
    <w:basedOn w:val="Normal"/>
    <w:rsid w:val="003E1885"/>
    <w:pPr>
      <w:spacing w:line="240" w:lineRule="auto"/>
      <w:jc w:val="both"/>
    </w:pPr>
    <w:rPr>
      <w:rFonts w:ascii="Arial Rounded MT Bold" w:hAnsi="Arial Rounded MT Bold"/>
      <w:color w:val="0000FF" w:themeColor="text2"/>
      <w:sz w:val="36"/>
      <w:szCs w:val="36"/>
    </w:rPr>
  </w:style>
  <w:style w:type="paragraph" w:styleId="BodyTextIndent2">
    <w:name w:val="Body Text Indent 2"/>
    <w:basedOn w:val="Normal"/>
    <w:semiHidden/>
    <w:rsid w:val="004D4E94"/>
    <w:pPr>
      <w:spacing w:after="120" w:line="480" w:lineRule="auto"/>
      <w:ind w:left="283"/>
    </w:pPr>
  </w:style>
  <w:style w:type="paragraph" w:styleId="Caption">
    <w:name w:val="caption"/>
    <w:basedOn w:val="Normal"/>
    <w:next w:val="Normal"/>
    <w:uiPriority w:val="35"/>
    <w:qFormat/>
    <w:rsid w:val="004D4E94"/>
    <w:pPr>
      <w:ind w:left="360"/>
    </w:pPr>
    <w:rPr>
      <w:rFonts w:ascii="Arial" w:hAnsi="Arial" w:cs="Arial"/>
      <w:i/>
      <w:iCs/>
      <w:sz w:val="18"/>
      <w:szCs w:val="20"/>
    </w:rPr>
  </w:style>
  <w:style w:type="table" w:styleId="TableList3">
    <w:name w:val="Table List 3"/>
    <w:basedOn w:val="TableNormal"/>
    <w:rsid w:val="004D0F1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F810CB"/>
    <w:pPr>
      <w:pageBreakBefore/>
      <w:spacing w:after="3840"/>
    </w:pPr>
    <w:rPr>
      <w:rFonts w:asciiTheme="minorHAnsi" w:hAnsiTheme="minorHAnsi" w:cs="Arial"/>
      <w:color w:val="0C0C0C" w:themeColor="text1"/>
      <w:szCs w:val="36"/>
      <w:lang w:eastAsia="en-US"/>
    </w:rPr>
  </w:style>
  <w:style w:type="character" w:styleId="FollowedHyperlink">
    <w:name w:val="FollowedHyperlink"/>
    <w:basedOn w:val="DefaultParagraphFont"/>
    <w:uiPriority w:val="4"/>
    <w:rsid w:val="000E6CE3"/>
    <w:rPr>
      <w:color w:val="800080"/>
      <w:u w:val="single"/>
    </w:rPr>
  </w:style>
  <w:style w:type="paragraph" w:styleId="TOC1">
    <w:name w:val="toc 1"/>
    <w:next w:val="Normal"/>
    <w:autoRedefine/>
    <w:uiPriority w:val="39"/>
    <w:qFormat/>
    <w:rsid w:val="00F82278"/>
    <w:pPr>
      <w:tabs>
        <w:tab w:val="right" w:leader="dot" w:pos="9346"/>
      </w:tabs>
      <w:spacing w:before="120" w:after="120"/>
      <w:ind w:left="567" w:hanging="567"/>
    </w:pPr>
    <w:rPr>
      <w:rFonts w:cstheme="minorHAnsi"/>
      <w:b/>
      <w:bCs/>
      <w:noProof/>
      <w:color w:val="181818" w:themeColor="text1" w:themeTint="F2"/>
      <w:sz w:val="24"/>
      <w:lang w:eastAsia="en-US"/>
    </w:rPr>
  </w:style>
  <w:style w:type="paragraph" w:styleId="TOC2">
    <w:name w:val="toc 2"/>
    <w:basedOn w:val="Normal"/>
    <w:next w:val="Normal"/>
    <w:autoRedefine/>
    <w:uiPriority w:val="39"/>
    <w:qFormat/>
    <w:rsid w:val="00DC7CD4"/>
    <w:pPr>
      <w:tabs>
        <w:tab w:val="right" w:leader="dot" w:pos="9346"/>
      </w:tabs>
      <w:ind w:left="1134" w:hanging="567"/>
    </w:pPr>
    <w:rPr>
      <w:noProof/>
      <w:sz w:val="22"/>
      <w:szCs w:val="20"/>
    </w:rPr>
  </w:style>
  <w:style w:type="paragraph" w:styleId="TOC3">
    <w:name w:val="toc 3"/>
    <w:basedOn w:val="Normal"/>
    <w:next w:val="Normal"/>
    <w:autoRedefine/>
    <w:uiPriority w:val="39"/>
    <w:rsid w:val="009014A7"/>
    <w:pPr>
      <w:ind w:left="480"/>
    </w:pPr>
    <w:rPr>
      <w:i/>
      <w:iCs/>
      <w:szCs w:val="20"/>
    </w:rPr>
  </w:style>
  <w:style w:type="paragraph" w:styleId="TOC4">
    <w:name w:val="toc 4"/>
    <w:basedOn w:val="Normal"/>
    <w:next w:val="Normal"/>
    <w:autoRedefine/>
    <w:semiHidden/>
    <w:rsid w:val="009014A7"/>
    <w:pPr>
      <w:ind w:left="720"/>
    </w:pPr>
    <w:rPr>
      <w:sz w:val="18"/>
      <w:szCs w:val="18"/>
    </w:rPr>
  </w:style>
  <w:style w:type="paragraph" w:styleId="TOC5">
    <w:name w:val="toc 5"/>
    <w:basedOn w:val="Normal"/>
    <w:next w:val="Normal"/>
    <w:autoRedefine/>
    <w:semiHidden/>
    <w:rsid w:val="009014A7"/>
    <w:pPr>
      <w:ind w:left="960"/>
    </w:pPr>
    <w:rPr>
      <w:sz w:val="18"/>
      <w:szCs w:val="18"/>
    </w:rPr>
  </w:style>
  <w:style w:type="paragraph" w:styleId="TOC6">
    <w:name w:val="toc 6"/>
    <w:basedOn w:val="Normal"/>
    <w:next w:val="Normal"/>
    <w:autoRedefine/>
    <w:semiHidden/>
    <w:rsid w:val="009014A7"/>
    <w:pPr>
      <w:ind w:left="1200"/>
    </w:pPr>
    <w:rPr>
      <w:sz w:val="18"/>
      <w:szCs w:val="18"/>
    </w:rPr>
  </w:style>
  <w:style w:type="paragraph" w:styleId="TOC7">
    <w:name w:val="toc 7"/>
    <w:basedOn w:val="Normal"/>
    <w:next w:val="Normal"/>
    <w:autoRedefine/>
    <w:semiHidden/>
    <w:rsid w:val="009014A7"/>
    <w:pPr>
      <w:ind w:left="1440"/>
    </w:pPr>
    <w:rPr>
      <w:sz w:val="18"/>
      <w:szCs w:val="18"/>
    </w:rPr>
  </w:style>
  <w:style w:type="paragraph" w:styleId="TOC8">
    <w:name w:val="toc 8"/>
    <w:basedOn w:val="Normal"/>
    <w:next w:val="Normal"/>
    <w:autoRedefine/>
    <w:semiHidden/>
    <w:rsid w:val="009014A7"/>
    <w:pPr>
      <w:ind w:left="1680"/>
    </w:pPr>
    <w:rPr>
      <w:sz w:val="18"/>
      <w:szCs w:val="18"/>
    </w:rPr>
  </w:style>
  <w:style w:type="paragraph" w:styleId="TOC9">
    <w:name w:val="toc 9"/>
    <w:basedOn w:val="Normal"/>
    <w:next w:val="Normal"/>
    <w:autoRedefine/>
    <w:semiHidden/>
    <w:rsid w:val="009014A7"/>
    <w:pPr>
      <w:ind w:left="1920"/>
    </w:pPr>
    <w:rPr>
      <w:sz w:val="18"/>
      <w:szCs w:val="18"/>
    </w:rPr>
  </w:style>
  <w:style w:type="paragraph" w:styleId="NormalWeb">
    <w:name w:val="Normal (Web)"/>
    <w:basedOn w:val="Normal"/>
    <w:semiHidden/>
    <w:rsid w:val="009A1D53"/>
    <w:pPr>
      <w:spacing w:before="100" w:beforeAutospacing="1" w:after="100" w:afterAutospacing="1"/>
    </w:pPr>
  </w:style>
  <w:style w:type="paragraph" w:customStyle="1" w:styleId="Tables">
    <w:name w:val="Tables"/>
    <w:basedOn w:val="Normal"/>
    <w:semiHidden/>
    <w:qFormat/>
    <w:rsid w:val="004801BA"/>
    <w:pPr>
      <w:tabs>
        <w:tab w:val="left" w:pos="2835"/>
      </w:tabs>
      <w:spacing w:after="120"/>
      <w:ind w:left="1395" w:hanging="1395"/>
    </w:pPr>
    <w:rPr>
      <w:rFonts w:ascii="Arial" w:hAnsi="Arial"/>
      <w:b/>
      <w:color w:val="0000FF"/>
      <w:szCs w:val="20"/>
    </w:rPr>
  </w:style>
  <w:style w:type="paragraph" w:customStyle="1" w:styleId="Figures">
    <w:name w:val="Figures"/>
    <w:basedOn w:val="Tables"/>
    <w:autoRedefine/>
    <w:uiPriority w:val="2"/>
    <w:rsid w:val="00F82278"/>
    <w:pPr>
      <w:tabs>
        <w:tab w:val="clear" w:pos="2835"/>
        <w:tab w:val="left" w:pos="0"/>
      </w:tabs>
      <w:ind w:left="993" w:hanging="993"/>
    </w:pPr>
    <w:rPr>
      <w:rFonts w:ascii="Calibri" w:hAnsi="Calibri" w:cs="Calibri"/>
      <w:sz w:val="22"/>
    </w:rPr>
  </w:style>
  <w:style w:type="paragraph" w:styleId="TableofFigures">
    <w:name w:val="table of figures"/>
    <w:basedOn w:val="Normal"/>
    <w:next w:val="Normal"/>
    <w:autoRedefine/>
    <w:uiPriority w:val="99"/>
    <w:rsid w:val="00DC7CD4"/>
    <w:pPr>
      <w:tabs>
        <w:tab w:val="left" w:pos="1134"/>
        <w:tab w:val="right" w:leader="dot" w:pos="9356"/>
      </w:tabs>
      <w:ind w:left="1134" w:hanging="1134"/>
    </w:pPr>
    <w:rPr>
      <w:rFonts w:asciiTheme="minorHAnsi" w:hAnsiTheme="minorHAnsi"/>
      <w:noProof/>
      <w:color w:val="0C0C0C" w:themeColor="text1"/>
      <w:sz w:val="22"/>
      <w:szCs w:val="20"/>
    </w:rPr>
  </w:style>
  <w:style w:type="paragraph" w:styleId="BalloonText">
    <w:name w:val="Balloon Text"/>
    <w:basedOn w:val="Normal"/>
    <w:link w:val="BalloonTextChar"/>
    <w:semiHidden/>
    <w:rsid w:val="00980BE0"/>
    <w:rPr>
      <w:rFonts w:ascii="Tahoma" w:hAnsi="Tahoma" w:cs="Tahoma"/>
      <w:sz w:val="16"/>
      <w:szCs w:val="16"/>
    </w:rPr>
  </w:style>
  <w:style w:type="character" w:customStyle="1" w:styleId="BalloonTextChar">
    <w:name w:val="Balloon Text Char"/>
    <w:basedOn w:val="DefaultParagraphFont"/>
    <w:link w:val="BalloonText"/>
    <w:semiHidden/>
    <w:rsid w:val="00F5599D"/>
    <w:rPr>
      <w:rFonts w:ascii="Tahoma" w:hAnsi="Tahoma" w:cs="Tahoma"/>
      <w:color w:val="181818" w:themeColor="text1" w:themeTint="F2"/>
      <w:sz w:val="16"/>
      <w:szCs w:val="16"/>
      <w:lang w:eastAsia="en-US"/>
    </w:rPr>
  </w:style>
  <w:style w:type="paragraph" w:styleId="Title">
    <w:name w:val="Title"/>
    <w:basedOn w:val="Normal"/>
    <w:next w:val="Normal"/>
    <w:link w:val="TitleChar"/>
    <w:semiHidden/>
    <w:qFormat/>
    <w:rsid w:val="00114CB5"/>
    <w:pPr>
      <w:pBdr>
        <w:bottom w:val="single" w:sz="4" w:space="1" w:color="0000FF"/>
      </w:pBdr>
      <w:spacing w:before="1240" w:line="240" w:lineRule="auto"/>
    </w:pPr>
    <w:rPr>
      <w:rFonts w:ascii="Arial Rounded MT Bold" w:hAnsi="Arial Rounded MT Bold" w:cs="Arial"/>
      <w:b/>
      <w:color w:val="0000FF"/>
      <w:sz w:val="40"/>
      <w:szCs w:val="48"/>
    </w:rPr>
  </w:style>
  <w:style w:type="character" w:customStyle="1" w:styleId="BodyTextChar">
    <w:name w:val="Body Text Char"/>
    <w:basedOn w:val="DefaultParagraphFont"/>
    <w:link w:val="BodyText"/>
    <w:rsid w:val="001008D3"/>
    <w:rPr>
      <w:rFonts w:cstheme="minorHAnsi"/>
      <w:color w:val="080808"/>
      <w:sz w:val="22"/>
      <w:szCs w:val="22"/>
      <w:lang w:eastAsia="en-US"/>
    </w:rPr>
  </w:style>
  <w:style w:type="character" w:customStyle="1" w:styleId="BodyTextIndentChar">
    <w:name w:val="Body Text Indent Char"/>
    <w:basedOn w:val="DefaultParagraphFont"/>
    <w:link w:val="BodyTextIndent"/>
    <w:semiHidden/>
    <w:rsid w:val="00F5599D"/>
    <w:rPr>
      <w:rFonts w:ascii="Century Schoolbook" w:hAnsi="Century Schoolbook" w:cstheme="minorHAnsi"/>
      <w:color w:val="181818" w:themeColor="text1" w:themeTint="F2"/>
      <w:spacing w:val="-3"/>
      <w:lang w:eastAsia="en-US"/>
    </w:rPr>
  </w:style>
  <w:style w:type="character" w:customStyle="1" w:styleId="TitleChar">
    <w:name w:val="Title Char"/>
    <w:basedOn w:val="DefaultParagraphFont"/>
    <w:link w:val="Title"/>
    <w:semiHidden/>
    <w:rsid w:val="00114CB5"/>
    <w:rPr>
      <w:rFonts w:ascii="Arial Rounded MT Bold" w:hAnsi="Arial Rounded MT Bold" w:cs="Arial"/>
      <w:b/>
      <w:color w:val="0000FF"/>
      <w:sz w:val="40"/>
      <w:szCs w:val="48"/>
      <w:lang w:eastAsia="en-US"/>
    </w:rPr>
  </w:style>
  <w:style w:type="paragraph" w:customStyle="1" w:styleId="Titlepagetext">
    <w:name w:val="Title page text"/>
    <w:basedOn w:val="Normal"/>
    <w:link w:val="TitlepagetextChar"/>
    <w:semiHidden/>
    <w:qFormat/>
    <w:rsid w:val="00EC5FB9"/>
    <w:pPr>
      <w:spacing w:before="2280" w:line="240" w:lineRule="auto"/>
    </w:pPr>
    <w:rPr>
      <w:rFonts w:ascii="Arial Rounded MT Bold" w:hAnsi="Arial Rounded MT Bold" w:cs="Arial"/>
      <w:b/>
      <w:color w:val="0000FF"/>
      <w:szCs w:val="20"/>
    </w:rPr>
  </w:style>
  <w:style w:type="paragraph" w:styleId="Subtitle">
    <w:name w:val="Subtitle"/>
    <w:basedOn w:val="Normal"/>
    <w:next w:val="Normal"/>
    <w:link w:val="SubtitleChar"/>
    <w:semiHidden/>
    <w:qFormat/>
    <w:rsid w:val="00D76756"/>
    <w:pPr>
      <w:spacing w:after="4320" w:line="240" w:lineRule="auto"/>
    </w:pPr>
    <w:rPr>
      <w:rFonts w:ascii="Arial Rounded MT Bold" w:hAnsi="Arial Rounded MT Bold" w:cs="Arial"/>
      <w:b/>
      <w:color w:val="0000FF"/>
      <w:sz w:val="36"/>
      <w:szCs w:val="36"/>
    </w:rPr>
  </w:style>
  <w:style w:type="character" w:customStyle="1" w:styleId="TitlepagetextChar">
    <w:name w:val="Title page text Char"/>
    <w:basedOn w:val="DefaultParagraphFont"/>
    <w:link w:val="Titlepagetext"/>
    <w:semiHidden/>
    <w:rsid w:val="00EC5FB9"/>
    <w:rPr>
      <w:rFonts w:ascii="Arial Rounded MT Bold" w:hAnsi="Arial Rounded MT Bold" w:cs="Arial"/>
      <w:b/>
      <w:color w:val="0000FF"/>
      <w:lang w:eastAsia="en-US"/>
    </w:rPr>
  </w:style>
  <w:style w:type="character" w:customStyle="1" w:styleId="SubtitleChar">
    <w:name w:val="Subtitle Char"/>
    <w:basedOn w:val="DefaultParagraphFont"/>
    <w:link w:val="Subtitle"/>
    <w:semiHidden/>
    <w:rsid w:val="00F5599D"/>
    <w:rPr>
      <w:rFonts w:ascii="Arial Rounded MT Bold" w:hAnsi="Arial Rounded MT Bold" w:cs="Arial"/>
      <w:b/>
      <w:color w:val="0000FF"/>
      <w:sz w:val="36"/>
      <w:szCs w:val="36"/>
      <w:lang w:eastAsia="en-US"/>
    </w:rPr>
  </w:style>
  <w:style w:type="paragraph" w:customStyle="1" w:styleId="Subsubtitle">
    <w:name w:val="Subsubtitle"/>
    <w:link w:val="SubsubtitleChar"/>
    <w:semiHidden/>
    <w:qFormat/>
    <w:rsid w:val="00186C62"/>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2A08D1"/>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186C62"/>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F5599D"/>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E82ECD"/>
    <w:pPr>
      <w:jc w:val="right"/>
    </w:pPr>
    <w:rPr>
      <w:rFonts w:ascii="Arial Rounded MT Bold" w:hAnsi="Arial Rounded MT Bold"/>
      <w:color w:val="858585" w:themeColor="text1" w:themeTint="80"/>
      <w:sz w:val="18"/>
      <w:lang w:val="en-GB"/>
    </w:rPr>
  </w:style>
  <w:style w:type="table" w:customStyle="1" w:styleId="BETable1">
    <w:name w:val="BE Table 1"/>
    <w:basedOn w:val="TableNormal"/>
    <w:uiPriority w:val="99"/>
    <w:qFormat/>
    <w:rsid w:val="009C4D3E"/>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F5599D"/>
    <w:rPr>
      <w:rFonts w:ascii="Arial Rounded MT Bold" w:hAnsi="Arial Rounded MT Bold" w:cstheme="minorHAnsi"/>
      <w:color w:val="858585" w:themeColor="text1" w:themeTint="80"/>
      <w:sz w:val="18"/>
      <w:szCs w:val="22"/>
      <w:lang w:val="en-GB" w:eastAsia="en-US"/>
    </w:rPr>
  </w:style>
  <w:style w:type="paragraph" w:customStyle="1" w:styleId="AppendixHeading2">
    <w:name w:val="Appendix Heading 2"/>
    <w:next w:val="BodyText"/>
    <w:uiPriority w:val="2"/>
    <w:qFormat/>
    <w:rsid w:val="004D25C7"/>
    <w:pPr>
      <w:spacing w:after="240"/>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F810CB"/>
    <w:pPr>
      <w:numPr>
        <w:ilvl w:val="1"/>
        <w:numId w:val="5"/>
      </w:numPr>
      <w:spacing w:after="240"/>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4D25C7"/>
    <w:pPr>
      <w:spacing w:after="120"/>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F810CB"/>
    <w:rPr>
      <w:rFonts w:ascii="Arial Rounded MT Bold" w:hAnsi="Arial Rounded MT Bold" w:cs="Arial"/>
      <w:color w:val="0000FF"/>
      <w:sz w:val="36"/>
      <w:szCs w:val="36"/>
      <w:lang w:eastAsia="en-US"/>
    </w:rPr>
  </w:style>
  <w:style w:type="character" w:customStyle="1" w:styleId="FooterChar">
    <w:name w:val="Footer Char"/>
    <w:basedOn w:val="DefaultParagraphFont"/>
    <w:link w:val="Footer"/>
    <w:uiPriority w:val="3"/>
    <w:rsid w:val="00186C62"/>
    <w:rPr>
      <w:rFonts w:cstheme="minorHAnsi"/>
      <w:color w:val="858585" w:themeColor="text1" w:themeTint="80"/>
      <w:sz w:val="16"/>
      <w:szCs w:val="22"/>
      <w:lang w:eastAsia="en-US"/>
    </w:rPr>
  </w:style>
  <w:style w:type="paragraph" w:styleId="ListParagraph">
    <w:name w:val="List Paragraph"/>
    <w:basedOn w:val="Normal"/>
    <w:link w:val="ListParagraphChar"/>
    <w:uiPriority w:val="34"/>
    <w:qFormat/>
    <w:rsid w:val="00C5633B"/>
    <w:pPr>
      <w:numPr>
        <w:numId w:val="1"/>
      </w:numPr>
      <w:contextualSpacing/>
    </w:pPr>
  </w:style>
  <w:style w:type="character" w:styleId="BookTitle">
    <w:name w:val="Book Title"/>
    <w:basedOn w:val="DefaultParagraphFont"/>
    <w:uiPriority w:val="33"/>
    <w:semiHidden/>
    <w:rsid w:val="00F532EB"/>
    <w:rPr>
      <w:b/>
      <w:bCs/>
      <w:smallCaps/>
      <w:spacing w:val="5"/>
    </w:rPr>
  </w:style>
  <w:style w:type="paragraph" w:styleId="List">
    <w:name w:val="List"/>
    <w:basedOn w:val="Normal"/>
    <w:semiHidden/>
    <w:rsid w:val="00C5633B"/>
    <w:pPr>
      <w:ind w:left="283" w:hanging="283"/>
      <w:contextualSpacing/>
    </w:pPr>
  </w:style>
  <w:style w:type="paragraph" w:customStyle="1" w:styleId="Bullet2">
    <w:name w:val="Bullet 2"/>
    <w:link w:val="Bullet2Char1"/>
    <w:uiPriority w:val="1"/>
    <w:qFormat/>
    <w:rsid w:val="008C54F9"/>
    <w:pPr>
      <w:numPr>
        <w:ilvl w:val="1"/>
        <w:numId w:val="4"/>
      </w:numPr>
    </w:pPr>
    <w:rPr>
      <w:rFonts w:cstheme="minorHAnsi"/>
      <w:color w:val="181818" w:themeColor="text1" w:themeTint="F2"/>
      <w:sz w:val="22"/>
      <w:szCs w:val="22"/>
      <w:lang w:eastAsia="en-US"/>
    </w:rPr>
  </w:style>
  <w:style w:type="numbering" w:customStyle="1" w:styleId="Dotpoints">
    <w:name w:val="Dot points"/>
    <w:uiPriority w:val="99"/>
    <w:rsid w:val="00F532EB"/>
    <w:pPr>
      <w:numPr>
        <w:numId w:val="2"/>
      </w:numPr>
    </w:pPr>
  </w:style>
  <w:style w:type="numbering" w:customStyle="1" w:styleId="BEList">
    <w:name w:val="BE_List"/>
    <w:uiPriority w:val="99"/>
    <w:rsid w:val="00395AF7"/>
    <w:pPr>
      <w:numPr>
        <w:numId w:val="3"/>
      </w:numPr>
    </w:pPr>
  </w:style>
  <w:style w:type="character" w:customStyle="1" w:styleId="Bullet2Char">
    <w:name w:val="Bullet 2 Char"/>
    <w:basedOn w:val="DefaultParagraphFont"/>
    <w:rsid w:val="00F532EB"/>
    <w:rPr>
      <w:rFonts w:asciiTheme="minorHAnsi" w:hAnsiTheme="minorHAnsi" w:cstheme="minorHAnsi"/>
      <w:sz w:val="22"/>
      <w:szCs w:val="22"/>
      <w:lang w:eastAsia="en-US"/>
    </w:rPr>
  </w:style>
  <w:style w:type="paragraph" w:customStyle="1" w:styleId="Bullet1">
    <w:name w:val="Bullet 1"/>
    <w:link w:val="Bullet1Char"/>
    <w:uiPriority w:val="1"/>
    <w:qFormat/>
    <w:rsid w:val="00C36D95"/>
    <w:pPr>
      <w:numPr>
        <w:numId w:val="4"/>
      </w:numPr>
      <w:spacing w:before="80"/>
    </w:pPr>
    <w:rPr>
      <w:rFonts w:cstheme="minorHAnsi"/>
      <w:color w:val="181818" w:themeColor="text1" w:themeTint="F2"/>
      <w:sz w:val="22"/>
      <w:szCs w:val="22"/>
      <w:lang w:eastAsia="en-US"/>
    </w:rPr>
  </w:style>
  <w:style w:type="paragraph" w:customStyle="1" w:styleId="Bullet3">
    <w:name w:val="Bullet 3"/>
    <w:basedOn w:val="Bullet2"/>
    <w:link w:val="Bullet3Char"/>
    <w:uiPriority w:val="1"/>
    <w:qFormat/>
    <w:rsid w:val="008C54F9"/>
    <w:pPr>
      <w:numPr>
        <w:ilvl w:val="2"/>
      </w:numPr>
    </w:pPr>
  </w:style>
  <w:style w:type="character" w:customStyle="1" w:styleId="ListParagraphChar">
    <w:name w:val="List Paragraph Char"/>
    <w:basedOn w:val="DefaultParagraphFont"/>
    <w:link w:val="ListParagraph"/>
    <w:uiPriority w:val="34"/>
    <w:rsid w:val="00F5599D"/>
    <w:rPr>
      <w:rFonts w:cstheme="minorHAnsi"/>
      <w:color w:val="181818" w:themeColor="text1" w:themeTint="F2"/>
      <w:szCs w:val="22"/>
      <w:lang w:eastAsia="en-US"/>
    </w:rPr>
  </w:style>
  <w:style w:type="character" w:customStyle="1" w:styleId="Bullet1Char">
    <w:name w:val="Bullet 1 Char"/>
    <w:basedOn w:val="ListParagraphChar"/>
    <w:link w:val="Bullet1"/>
    <w:uiPriority w:val="1"/>
    <w:rsid w:val="00C36D95"/>
    <w:rPr>
      <w:rFonts w:cstheme="minorHAnsi"/>
      <w:color w:val="181818" w:themeColor="text1" w:themeTint="F2"/>
      <w:sz w:val="22"/>
      <w:szCs w:val="22"/>
      <w:lang w:eastAsia="en-US"/>
    </w:rPr>
  </w:style>
  <w:style w:type="paragraph" w:customStyle="1" w:styleId="AppendixH1Line2">
    <w:name w:val="Appendix H1 Line 2"/>
    <w:basedOn w:val="BodyText"/>
    <w:uiPriority w:val="3"/>
    <w:rsid w:val="00BF1269"/>
  </w:style>
  <w:style w:type="character" w:customStyle="1" w:styleId="Bullet2Char1">
    <w:name w:val="Bullet 2 Char1"/>
    <w:basedOn w:val="DefaultParagraphFont"/>
    <w:link w:val="Bullet2"/>
    <w:uiPriority w:val="1"/>
    <w:rsid w:val="00201EAD"/>
    <w:rPr>
      <w:rFonts w:cstheme="minorHAnsi"/>
      <w:color w:val="181818" w:themeColor="text1" w:themeTint="F2"/>
      <w:sz w:val="22"/>
      <w:szCs w:val="22"/>
      <w:lang w:eastAsia="en-US"/>
    </w:rPr>
  </w:style>
  <w:style w:type="character" w:customStyle="1" w:styleId="Bullet3Char">
    <w:name w:val="Bullet 3 Char"/>
    <w:basedOn w:val="Bullet2Char1"/>
    <w:link w:val="Bullet3"/>
    <w:uiPriority w:val="1"/>
    <w:rsid w:val="00201EAD"/>
    <w:rPr>
      <w:rFonts w:cstheme="minorHAnsi"/>
      <w:color w:val="181818" w:themeColor="text1" w:themeTint="F2"/>
      <w:sz w:val="22"/>
      <w:szCs w:val="22"/>
      <w:lang w:eastAsia="en-US"/>
    </w:rPr>
  </w:style>
  <w:style w:type="paragraph" w:customStyle="1" w:styleId="AppendixSectionnumber">
    <w:name w:val="Appendix Section number"/>
    <w:link w:val="AppendixSectionnumberChar"/>
    <w:qFormat/>
    <w:rsid w:val="00BF043F"/>
    <w:pPr>
      <w:numPr>
        <w:numId w:val="5"/>
      </w:numPr>
      <w:pBdr>
        <w:bottom w:val="single" w:sz="4" w:space="1" w:color="0000FF"/>
      </w:pBdr>
    </w:pPr>
    <w:rPr>
      <w:rFonts w:ascii="Arial Rounded MT Bold" w:hAnsi="Arial Rounded MT Bold" w:cs="Arial"/>
      <w:color w:val="0000FF" w:themeColor="accent1"/>
      <w:sz w:val="36"/>
      <w:szCs w:val="36"/>
      <w:lang w:eastAsia="en-US"/>
    </w:rPr>
  </w:style>
  <w:style w:type="character" w:customStyle="1" w:styleId="AppendixSectionnumberChar">
    <w:name w:val="Appendix Section number Char"/>
    <w:basedOn w:val="TitleChar"/>
    <w:link w:val="AppendixSectionnumber"/>
    <w:rsid w:val="00BF043F"/>
    <w:rPr>
      <w:rFonts w:ascii="Arial Rounded MT Bold" w:hAnsi="Arial Rounded MT Bold" w:cs="Arial"/>
      <w:b w:val="0"/>
      <w:color w:val="0000FF" w:themeColor="accent1"/>
      <w:sz w:val="36"/>
      <w:szCs w:val="36"/>
      <w:lang w:eastAsia="en-US"/>
    </w:rPr>
  </w:style>
  <w:style w:type="character" w:customStyle="1" w:styleId="Grey">
    <w:name w:val="Grey"/>
    <w:basedOn w:val="DefaultParagraphFont"/>
    <w:semiHidden/>
    <w:rsid w:val="00CB1CB4"/>
    <w:rPr>
      <w:color w:val="A6A6A6" w:themeColor="background1" w:themeShade="A6"/>
    </w:rPr>
  </w:style>
  <w:style w:type="paragraph" w:customStyle="1" w:styleId="Client">
    <w:name w:val="Client"/>
    <w:next w:val="Titlepagetext"/>
    <w:semiHidden/>
    <w:rsid w:val="00186C62"/>
    <w:pPr>
      <w:spacing w:after="3360"/>
    </w:pPr>
    <w:rPr>
      <w:rFonts w:ascii="Arial Rounded MT Bold" w:hAnsi="Arial Rounded MT Bold" w:cs="Arial"/>
      <w:b/>
      <w:color w:val="0000FF" w:themeColor="text2"/>
      <w:sz w:val="36"/>
      <w:szCs w:val="36"/>
      <w:lang w:eastAsia="en-US"/>
    </w:rPr>
  </w:style>
  <w:style w:type="paragraph" w:customStyle="1" w:styleId="Title2">
    <w:name w:val="Title2"/>
    <w:semiHidden/>
    <w:qFormat/>
    <w:rsid w:val="00186C62"/>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A2446E"/>
    <w:pPr>
      <w:spacing w:before="1080"/>
    </w:pPr>
    <w:rPr>
      <w:rFonts w:cs="Arial"/>
      <w:b/>
      <w:color w:val="0000FF"/>
      <w:lang w:eastAsia="en-US"/>
    </w:rPr>
  </w:style>
  <w:style w:type="paragraph" w:customStyle="1" w:styleId="DisclaimerText">
    <w:name w:val="Disclaimer Text"/>
    <w:semiHidden/>
    <w:rsid w:val="0073652B"/>
    <w:pPr>
      <w:spacing w:after="120"/>
    </w:pPr>
    <w:rPr>
      <w:rFonts w:cs="Arial"/>
      <w:sz w:val="18"/>
      <w:szCs w:val="18"/>
      <w:lang w:eastAsia="en-US"/>
    </w:rPr>
  </w:style>
  <w:style w:type="paragraph" w:customStyle="1" w:styleId="Copyright">
    <w:name w:val="Copyright"/>
    <w:semiHidden/>
    <w:rsid w:val="00A2446E"/>
    <w:pPr>
      <w:spacing w:before="840" w:after="560"/>
    </w:pPr>
    <w:rPr>
      <w:rFonts w:cs="Arial"/>
      <w:sz w:val="18"/>
      <w:szCs w:val="18"/>
      <w:lang w:eastAsia="en-US"/>
    </w:rPr>
  </w:style>
  <w:style w:type="paragraph" w:customStyle="1" w:styleId="AuthorHeading">
    <w:name w:val="Author Heading"/>
    <w:basedOn w:val="Titlepagetext"/>
    <w:semiHidden/>
    <w:rsid w:val="002A0F82"/>
    <w:pPr>
      <w:spacing w:before="520"/>
      <w:jc w:val="right"/>
    </w:pPr>
  </w:style>
  <w:style w:type="paragraph" w:customStyle="1" w:styleId="BEAddress">
    <w:name w:val="BE_Address"/>
    <w:semiHidden/>
    <w:rsid w:val="00B61ED5"/>
    <w:pPr>
      <w:framePr w:w="8826" w:h="1894" w:hRule="exact" w:hSpace="181" w:wrap="around" w:vAnchor="page" w:hAnchor="page" w:x="1986" w:y="11505"/>
      <w:ind w:right="-47"/>
      <w:jc w:val="right"/>
    </w:pPr>
    <w:rPr>
      <w:rFonts w:cstheme="minorHAnsi"/>
      <w:szCs w:val="22"/>
      <w:lang w:val="en-GB" w:eastAsia="en-US"/>
    </w:rPr>
  </w:style>
  <w:style w:type="paragraph" w:customStyle="1" w:styleId="Footernoline">
    <w:name w:val="Footer_no line"/>
    <w:basedOn w:val="Footer"/>
    <w:semiHidden/>
    <w:rsid w:val="00BD37A4"/>
    <w:pPr>
      <w:pBdr>
        <w:top w:val="none" w:sz="0" w:space="0" w:color="auto"/>
      </w:pBdr>
    </w:pPr>
  </w:style>
  <w:style w:type="table" w:customStyle="1" w:styleId="BETable2">
    <w:name w:val="BE Table 2"/>
    <w:basedOn w:val="BETable1"/>
    <w:uiPriority w:val="99"/>
    <w:qFormat/>
    <w:rsid w:val="00343084"/>
    <w:tblPr>
      <w:tblBorders>
        <w:left w:val="single" w:sz="4" w:space="0" w:color="7F7F7F" w:themeColor="background2"/>
        <w:bottom w:val="single" w:sz="4" w:space="0" w:color="7F7F7F" w:themeColor="background2"/>
        <w:right w:val="single" w:sz="4" w:space="0" w:color="7F7F7F" w:themeColor="background2"/>
      </w:tblBorders>
      <w:tblCellMar>
        <w:left w:w="57" w:type="dxa"/>
        <w:right w:w="57" w:type="dxa"/>
      </w:tblCellMar>
    </w:tblPr>
    <w:tblStylePr w:type="firstRow">
      <w:rPr>
        <w:rFonts w:ascii="Calibri" w:hAnsi="Calibri"/>
        <w:b/>
        <w:i w:val="0"/>
        <w:sz w:val="20"/>
      </w:rPr>
      <w:tblPr/>
      <w:tcPr>
        <w:tc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5B109F"/>
    <w:pPr>
      <w:spacing w:after="360"/>
    </w:pPr>
    <w:rPr>
      <w:rFonts w:ascii="Arial Rounded MT Bold" w:hAnsi="Arial Rounded MT Bold" w:cs="Arial"/>
      <w:color w:val="0000FF"/>
      <w:sz w:val="36"/>
      <w:szCs w:val="36"/>
      <w:lang w:eastAsia="en-US"/>
    </w:rPr>
  </w:style>
  <w:style w:type="paragraph" w:customStyle="1" w:styleId="FigureTableinfo">
    <w:name w:val="Figure/Table info"/>
    <w:uiPriority w:val="2"/>
    <w:rsid w:val="00C55DF2"/>
    <w:pPr>
      <w:spacing w:before="80"/>
    </w:pPr>
    <w:rPr>
      <w:rFonts w:cs="Arial"/>
      <w:i/>
      <w:color w:val="0000FF"/>
      <w:lang w:eastAsia="en-US"/>
    </w:rPr>
  </w:style>
  <w:style w:type="paragraph" w:customStyle="1" w:styleId="FooterLandscape">
    <w:name w:val="Footer Landscape"/>
    <w:basedOn w:val="Footer"/>
    <w:semiHidden/>
    <w:qFormat/>
    <w:rsid w:val="00B50E5B"/>
    <w:pPr>
      <w:tabs>
        <w:tab w:val="clear" w:pos="4678"/>
        <w:tab w:val="clear" w:pos="9356"/>
        <w:tab w:val="center" w:pos="7909"/>
        <w:tab w:val="right" w:pos="14600"/>
      </w:tabs>
    </w:pPr>
  </w:style>
  <w:style w:type="character" w:styleId="PlaceholderText">
    <w:name w:val="Placeholder Text"/>
    <w:basedOn w:val="DefaultParagraphFont"/>
    <w:uiPriority w:val="99"/>
    <w:semiHidden/>
    <w:rsid w:val="002E2B19"/>
    <w:rPr>
      <w:color w:val="808080"/>
    </w:rPr>
  </w:style>
  <w:style w:type="paragraph" w:customStyle="1" w:styleId="TOCHeadings">
    <w:name w:val="TOC Headings"/>
    <w:qFormat/>
    <w:rsid w:val="00E44065"/>
    <w:rPr>
      <w:rFonts w:ascii="Arial Rounded MT Bold" w:hAnsi="Arial Rounded MT Bold" w:cs="Arial"/>
      <w:b/>
      <w:color w:val="0000FF"/>
      <w:szCs w:val="22"/>
      <w:lang w:eastAsia="en-US"/>
    </w:rPr>
  </w:style>
  <w:style w:type="character" w:customStyle="1" w:styleId="HeaderChar">
    <w:name w:val="Header Char"/>
    <w:basedOn w:val="DefaultParagraphFont"/>
    <w:link w:val="Header"/>
    <w:rsid w:val="00201EAD"/>
    <w:rPr>
      <w:rFonts w:cstheme="minorHAnsi"/>
      <w:color w:val="181818" w:themeColor="text1" w:themeTint="F2"/>
      <w:szCs w:val="22"/>
      <w:lang w:eastAsia="en-US"/>
    </w:rPr>
  </w:style>
  <w:style w:type="paragraph" w:styleId="ListNumber">
    <w:name w:val="List Number"/>
    <w:basedOn w:val="Normal"/>
    <w:uiPriority w:val="1"/>
    <w:qFormat/>
    <w:rsid w:val="00AF3776"/>
    <w:pPr>
      <w:numPr>
        <w:numId w:val="13"/>
      </w:numPr>
      <w:spacing w:before="80" w:line="240" w:lineRule="auto"/>
    </w:pPr>
    <w:rPr>
      <w:sz w:val="22"/>
    </w:rPr>
  </w:style>
  <w:style w:type="paragraph" w:styleId="ListNumber2">
    <w:name w:val="List Number 2"/>
    <w:basedOn w:val="Normal"/>
    <w:uiPriority w:val="1"/>
    <w:qFormat/>
    <w:rsid w:val="00F11E21"/>
    <w:pPr>
      <w:numPr>
        <w:ilvl w:val="1"/>
        <w:numId w:val="13"/>
      </w:numPr>
      <w:spacing w:line="240" w:lineRule="auto"/>
      <w:contextualSpacing/>
    </w:pPr>
    <w:rPr>
      <w:sz w:val="22"/>
    </w:rPr>
  </w:style>
  <w:style w:type="paragraph" w:styleId="ListNumber3">
    <w:name w:val="List Number 3"/>
    <w:basedOn w:val="Normal"/>
    <w:uiPriority w:val="1"/>
    <w:qFormat/>
    <w:rsid w:val="00F11E21"/>
    <w:pPr>
      <w:numPr>
        <w:ilvl w:val="2"/>
        <w:numId w:val="13"/>
      </w:numPr>
      <w:spacing w:line="240" w:lineRule="auto"/>
      <w:contextualSpacing/>
    </w:pPr>
    <w:rPr>
      <w:sz w:val="22"/>
    </w:rPr>
  </w:style>
  <w:style w:type="paragraph" w:customStyle="1" w:styleId="Draft">
    <w:name w:val="Draft"/>
    <w:basedOn w:val="Titlepagetext"/>
    <w:uiPriority w:val="2"/>
    <w:rsid w:val="00EC5FB9"/>
    <w:pPr>
      <w:spacing w:before="0"/>
    </w:pPr>
  </w:style>
  <w:style w:type="paragraph" w:customStyle="1" w:styleId="Reviewer">
    <w:name w:val="Reviewer"/>
    <w:uiPriority w:val="2"/>
    <w:rsid w:val="002A0F82"/>
    <w:pPr>
      <w:spacing w:before="360"/>
      <w:jc w:val="right"/>
    </w:pPr>
    <w:rPr>
      <w:rFonts w:cs="Arial"/>
      <w:b/>
      <w:color w:val="0000FF"/>
      <w:lang w:eastAsia="en-US"/>
    </w:rPr>
  </w:style>
  <w:style w:type="paragraph" w:customStyle="1" w:styleId="AuthorName">
    <w:name w:val="Author Name"/>
    <w:uiPriority w:val="2"/>
    <w:rsid w:val="002A0F82"/>
    <w:pPr>
      <w:jc w:val="right"/>
    </w:pPr>
    <w:rPr>
      <w:rFonts w:cstheme="minorHAnsi"/>
      <w:color w:val="181818" w:themeColor="text1" w:themeTint="F2"/>
      <w:szCs w:val="22"/>
      <w:lang w:eastAsia="en-US"/>
    </w:rPr>
  </w:style>
  <w:style w:type="paragraph" w:customStyle="1" w:styleId="Appendixheading">
    <w:name w:val="Appendix heading"/>
    <w:next w:val="BodyText"/>
    <w:link w:val="AppendixheadingChar"/>
    <w:qFormat/>
    <w:rsid w:val="00D50C8E"/>
    <w:pPr>
      <w:spacing w:after="240"/>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D50C8E"/>
    <w:rPr>
      <w:rFonts w:ascii="Arial Rounded MT Bold" w:hAnsi="Arial Rounded MT Bold" w:cs="Arial"/>
      <w:color w:val="0000FF"/>
      <w:sz w:val="36"/>
      <w:szCs w:val="36"/>
      <w:lang w:eastAsia="en-US"/>
    </w:rPr>
  </w:style>
  <w:style w:type="paragraph" w:customStyle="1" w:styleId="ParaIndent">
    <w:name w:val="_ParaIndent"/>
    <w:basedOn w:val="BodyText"/>
    <w:link w:val="ParaIndentChar"/>
    <w:rsid w:val="00A16765"/>
    <w:pPr>
      <w:spacing w:after="240" w:line="260" w:lineRule="atLeast"/>
      <w:ind w:left="1134"/>
    </w:pPr>
    <w:rPr>
      <w:rFonts w:ascii="Arial" w:hAnsi="Arial" w:cs="Times New Roman"/>
      <w:color w:val="auto"/>
      <w:sz w:val="20"/>
      <w:szCs w:val="20"/>
      <w:lang w:val="en-GB"/>
    </w:rPr>
  </w:style>
  <w:style w:type="character" w:customStyle="1" w:styleId="ParaIndentChar">
    <w:name w:val="_ParaIndent Char"/>
    <w:basedOn w:val="DefaultParagraphFont"/>
    <w:link w:val="ParaIndent"/>
    <w:rsid w:val="00A16765"/>
    <w:rPr>
      <w:rFonts w:ascii="Arial" w:hAnsi="Arial"/>
      <w:lang w:val="en-GB" w:eastAsia="en-US"/>
    </w:rPr>
  </w:style>
  <w:style w:type="paragraph" w:customStyle="1" w:styleId="Appendixnumber">
    <w:name w:val="Appendix number"/>
    <w:basedOn w:val="Title"/>
    <w:link w:val="AppendixnumberChar"/>
    <w:qFormat/>
    <w:rsid w:val="006049F0"/>
    <w:pPr>
      <w:spacing w:before="0"/>
    </w:pPr>
    <w:rPr>
      <w:b w:val="0"/>
      <w:spacing w:val="5"/>
      <w:kern w:val="28"/>
      <w:sz w:val="36"/>
      <w:szCs w:val="36"/>
    </w:rPr>
  </w:style>
  <w:style w:type="character" w:customStyle="1" w:styleId="AppendixnumberChar">
    <w:name w:val="Appendix number Char"/>
    <w:basedOn w:val="TitleChar"/>
    <w:link w:val="Appendixnumber"/>
    <w:rsid w:val="006049F0"/>
    <w:rPr>
      <w:rFonts w:ascii="Arial Rounded MT Bold" w:hAnsi="Arial Rounded MT Bold" w:cs="Arial"/>
      <w:b w:val="0"/>
      <w:color w:val="0000FF"/>
      <w:spacing w:val="5"/>
      <w:kern w:val="28"/>
      <w:sz w:val="36"/>
      <w:szCs w:val="36"/>
      <w:lang w:eastAsia="en-US"/>
    </w:rPr>
  </w:style>
  <w:style w:type="character" w:customStyle="1" w:styleId="FootnoteTextChar">
    <w:name w:val="Footnote Text Char"/>
    <w:basedOn w:val="DefaultParagraphFont"/>
    <w:link w:val="FootnoteText"/>
    <w:semiHidden/>
    <w:rsid w:val="002419F3"/>
    <w:rPr>
      <w:rFonts w:cs="Arial"/>
      <w:color w:val="181818" w:themeColor="text1" w:themeTint="F2"/>
      <w:sz w:val="18"/>
      <w:szCs w:val="18"/>
      <w:lang w:eastAsia="en-US"/>
    </w:rPr>
  </w:style>
  <w:style w:type="paragraph" w:customStyle="1" w:styleId="TableText">
    <w:name w:val="Table Text"/>
    <w:basedOn w:val="Normal"/>
    <w:qFormat/>
    <w:rsid w:val="004537BE"/>
    <w:pPr>
      <w:spacing w:before="40" w:after="40" w:line="288" w:lineRule="auto"/>
      <w:ind w:left="57"/>
    </w:pPr>
    <w:rPr>
      <w:rFonts w:ascii="Verdana" w:hAnsi="Verdana" w:cs="Times New Roman"/>
      <w:color w:val="262626"/>
      <w:sz w:val="16"/>
      <w:szCs w:val="24"/>
    </w:rPr>
  </w:style>
  <w:style w:type="character" w:customStyle="1" w:styleId="TableTextBold">
    <w:name w:val="Table Text Bold"/>
    <w:basedOn w:val="DefaultParagraphFont"/>
    <w:uiPriority w:val="1"/>
    <w:qFormat/>
    <w:rsid w:val="004537BE"/>
    <w:rPr>
      <w:rFonts w:ascii="Verdana" w:hAnsi="Verdana"/>
      <w:b/>
      <w:sz w:val="16"/>
    </w:rPr>
  </w:style>
  <w:style w:type="paragraph" w:customStyle="1" w:styleId="RptBodyText">
    <w:name w:val="(Rpt) Body Text"/>
    <w:rsid w:val="00B56A92"/>
    <w:pPr>
      <w:spacing w:after="240" w:line="280" w:lineRule="exact"/>
    </w:pPr>
    <w:rPr>
      <w:rFonts w:ascii="Arial" w:hAnsi="Arial"/>
      <w:sz w:val="22"/>
      <w:lang w:val="en-US" w:eastAsia="en-US"/>
    </w:rPr>
  </w:style>
  <w:style w:type="paragraph" w:customStyle="1" w:styleId="KMHBulletLevel1">
    <w:name w:val="KMH Bullet Level 1"/>
    <w:basedOn w:val="ListParagraph"/>
    <w:qFormat/>
    <w:rsid w:val="00142B7B"/>
    <w:pPr>
      <w:numPr>
        <w:numId w:val="12"/>
      </w:numPr>
      <w:tabs>
        <w:tab w:val="num" w:pos="360"/>
      </w:tabs>
      <w:spacing w:after="120" w:line="276" w:lineRule="auto"/>
      <w:ind w:left="720" w:firstLine="0"/>
      <w:jc w:val="both"/>
    </w:pPr>
    <w:rPr>
      <w:rFonts w:ascii="Arial" w:eastAsia="Calibri" w:hAnsi="Arial" w:cs="Times New Roman"/>
      <w:color w:val="auto"/>
    </w:rPr>
  </w:style>
</w:styles>
</file>

<file path=word/webSettings.xml><?xml version="1.0" encoding="utf-8"?>
<w:webSettings xmlns:r="http://schemas.openxmlformats.org/officeDocument/2006/relationships" xmlns:w="http://schemas.openxmlformats.org/wordprocessingml/2006/main">
  <w:divs>
    <w:div w:id="30810281">
      <w:bodyDiv w:val="1"/>
      <w:marLeft w:val="0"/>
      <w:marRight w:val="0"/>
      <w:marTop w:val="0"/>
      <w:marBottom w:val="0"/>
      <w:divBdr>
        <w:top w:val="none" w:sz="0" w:space="0" w:color="auto"/>
        <w:left w:val="none" w:sz="0" w:space="0" w:color="auto"/>
        <w:bottom w:val="none" w:sz="0" w:space="0" w:color="auto"/>
        <w:right w:val="none" w:sz="0" w:space="0" w:color="auto"/>
      </w:divBdr>
    </w:div>
    <w:div w:id="101189984">
      <w:bodyDiv w:val="1"/>
      <w:marLeft w:val="0"/>
      <w:marRight w:val="0"/>
      <w:marTop w:val="0"/>
      <w:marBottom w:val="0"/>
      <w:divBdr>
        <w:top w:val="none" w:sz="0" w:space="0" w:color="auto"/>
        <w:left w:val="none" w:sz="0" w:space="0" w:color="auto"/>
        <w:bottom w:val="none" w:sz="0" w:space="0" w:color="auto"/>
        <w:right w:val="none" w:sz="0" w:space="0" w:color="auto"/>
      </w:divBdr>
    </w:div>
    <w:div w:id="507446359">
      <w:bodyDiv w:val="1"/>
      <w:marLeft w:val="0"/>
      <w:marRight w:val="0"/>
      <w:marTop w:val="0"/>
      <w:marBottom w:val="0"/>
      <w:divBdr>
        <w:top w:val="none" w:sz="0" w:space="0" w:color="auto"/>
        <w:left w:val="none" w:sz="0" w:space="0" w:color="auto"/>
        <w:bottom w:val="none" w:sz="0" w:space="0" w:color="auto"/>
        <w:right w:val="none" w:sz="0" w:space="0" w:color="auto"/>
      </w:divBdr>
    </w:div>
    <w:div w:id="599220267">
      <w:bodyDiv w:val="1"/>
      <w:marLeft w:val="0"/>
      <w:marRight w:val="0"/>
      <w:marTop w:val="0"/>
      <w:marBottom w:val="0"/>
      <w:divBdr>
        <w:top w:val="none" w:sz="0" w:space="0" w:color="auto"/>
        <w:left w:val="none" w:sz="0" w:space="0" w:color="auto"/>
        <w:bottom w:val="none" w:sz="0" w:space="0" w:color="auto"/>
        <w:right w:val="none" w:sz="0" w:space="0" w:color="auto"/>
      </w:divBdr>
    </w:div>
    <w:div w:id="708410027">
      <w:bodyDiv w:val="1"/>
      <w:marLeft w:val="0"/>
      <w:marRight w:val="0"/>
      <w:marTop w:val="0"/>
      <w:marBottom w:val="0"/>
      <w:divBdr>
        <w:top w:val="none" w:sz="0" w:space="0" w:color="auto"/>
        <w:left w:val="none" w:sz="0" w:space="0" w:color="auto"/>
        <w:bottom w:val="none" w:sz="0" w:space="0" w:color="auto"/>
        <w:right w:val="none" w:sz="0" w:space="0" w:color="auto"/>
      </w:divBdr>
    </w:div>
    <w:div w:id="762452175">
      <w:bodyDiv w:val="1"/>
      <w:marLeft w:val="0"/>
      <w:marRight w:val="0"/>
      <w:marTop w:val="0"/>
      <w:marBottom w:val="0"/>
      <w:divBdr>
        <w:top w:val="none" w:sz="0" w:space="0" w:color="auto"/>
        <w:left w:val="none" w:sz="0" w:space="0" w:color="auto"/>
        <w:bottom w:val="none" w:sz="0" w:space="0" w:color="auto"/>
        <w:right w:val="none" w:sz="0" w:space="0" w:color="auto"/>
      </w:divBdr>
    </w:div>
    <w:div w:id="967054679">
      <w:bodyDiv w:val="1"/>
      <w:marLeft w:val="0"/>
      <w:marRight w:val="0"/>
      <w:marTop w:val="0"/>
      <w:marBottom w:val="0"/>
      <w:divBdr>
        <w:top w:val="none" w:sz="0" w:space="0" w:color="auto"/>
        <w:left w:val="none" w:sz="0" w:space="0" w:color="auto"/>
        <w:bottom w:val="none" w:sz="0" w:space="0" w:color="auto"/>
        <w:right w:val="none" w:sz="0" w:space="0" w:color="auto"/>
      </w:divBdr>
    </w:div>
    <w:div w:id="1257442400">
      <w:bodyDiv w:val="1"/>
      <w:marLeft w:val="0"/>
      <w:marRight w:val="0"/>
      <w:marTop w:val="0"/>
      <w:marBottom w:val="0"/>
      <w:divBdr>
        <w:top w:val="none" w:sz="0" w:space="0" w:color="auto"/>
        <w:left w:val="none" w:sz="0" w:space="0" w:color="auto"/>
        <w:bottom w:val="none" w:sz="0" w:space="0" w:color="auto"/>
        <w:right w:val="none" w:sz="0" w:space="0" w:color="auto"/>
      </w:divBdr>
    </w:div>
    <w:div w:id="1455518711">
      <w:bodyDiv w:val="1"/>
      <w:marLeft w:val="0"/>
      <w:marRight w:val="0"/>
      <w:marTop w:val="0"/>
      <w:marBottom w:val="0"/>
      <w:divBdr>
        <w:top w:val="none" w:sz="0" w:space="0" w:color="auto"/>
        <w:left w:val="none" w:sz="0" w:space="0" w:color="auto"/>
        <w:bottom w:val="none" w:sz="0" w:space="0" w:color="auto"/>
        <w:right w:val="none" w:sz="0" w:space="0" w:color="auto"/>
      </w:divBdr>
    </w:div>
    <w:div w:id="1545406558">
      <w:bodyDiv w:val="1"/>
      <w:marLeft w:val="0"/>
      <w:marRight w:val="0"/>
      <w:marTop w:val="0"/>
      <w:marBottom w:val="0"/>
      <w:divBdr>
        <w:top w:val="none" w:sz="0" w:space="0" w:color="auto"/>
        <w:left w:val="none" w:sz="0" w:space="0" w:color="auto"/>
        <w:bottom w:val="none" w:sz="0" w:space="0" w:color="auto"/>
        <w:right w:val="none" w:sz="0" w:space="0" w:color="auto"/>
      </w:divBdr>
    </w:div>
    <w:div w:id="1833831734">
      <w:bodyDiv w:val="1"/>
      <w:marLeft w:val="0"/>
      <w:marRight w:val="0"/>
      <w:marTop w:val="0"/>
      <w:marBottom w:val="0"/>
      <w:divBdr>
        <w:top w:val="none" w:sz="0" w:space="0" w:color="auto"/>
        <w:left w:val="none" w:sz="0" w:space="0" w:color="auto"/>
        <w:bottom w:val="none" w:sz="0" w:space="0" w:color="auto"/>
        <w:right w:val="none" w:sz="0" w:space="0" w:color="auto"/>
      </w:divBdr>
    </w:div>
    <w:div w:id="1904559434">
      <w:bodyDiv w:val="1"/>
      <w:marLeft w:val="0"/>
      <w:marRight w:val="0"/>
      <w:marTop w:val="0"/>
      <w:marBottom w:val="0"/>
      <w:divBdr>
        <w:top w:val="none" w:sz="0" w:space="0" w:color="auto"/>
        <w:left w:val="none" w:sz="0" w:space="0" w:color="auto"/>
        <w:bottom w:val="none" w:sz="0" w:space="0" w:color="auto"/>
        <w:right w:val="none" w:sz="0" w:space="0" w:color="auto"/>
      </w:divBdr>
    </w:div>
    <w:div w:id="1987514563">
      <w:bodyDiv w:val="1"/>
      <w:marLeft w:val="0"/>
      <w:marRight w:val="0"/>
      <w:marTop w:val="0"/>
      <w:marBottom w:val="0"/>
      <w:divBdr>
        <w:top w:val="none" w:sz="0" w:space="0" w:color="auto"/>
        <w:left w:val="none" w:sz="0" w:space="0" w:color="auto"/>
        <w:bottom w:val="none" w:sz="0" w:space="0" w:color="auto"/>
        <w:right w:val="none" w:sz="0" w:space="0" w:color="auto"/>
      </w:divBdr>
      <w:divsChild>
        <w:div w:id="2028942452">
          <w:marLeft w:val="720"/>
          <w:marRight w:val="0"/>
          <w:marTop w:val="120"/>
          <w:marBottom w:val="240"/>
          <w:divBdr>
            <w:top w:val="none" w:sz="0" w:space="0" w:color="auto"/>
            <w:left w:val="none" w:sz="0" w:space="0" w:color="auto"/>
            <w:bottom w:val="none" w:sz="0" w:space="0" w:color="auto"/>
            <w:right w:val="none" w:sz="0" w:space="0" w:color="auto"/>
          </w:divBdr>
        </w:div>
        <w:div w:id="1803186209">
          <w:marLeft w:val="1267"/>
          <w:marRight w:val="0"/>
          <w:marTop w:val="120"/>
          <w:marBottom w:val="240"/>
          <w:divBdr>
            <w:top w:val="none" w:sz="0" w:space="0" w:color="auto"/>
            <w:left w:val="none" w:sz="0" w:space="0" w:color="auto"/>
            <w:bottom w:val="none" w:sz="0" w:space="0" w:color="auto"/>
            <w:right w:val="none" w:sz="0" w:space="0" w:color="auto"/>
          </w:divBdr>
        </w:div>
        <w:div w:id="47654860">
          <w:marLeft w:val="1267"/>
          <w:marRight w:val="0"/>
          <w:marTop w:val="120"/>
          <w:marBottom w:val="240"/>
          <w:divBdr>
            <w:top w:val="none" w:sz="0" w:space="0" w:color="auto"/>
            <w:left w:val="none" w:sz="0" w:space="0" w:color="auto"/>
            <w:bottom w:val="none" w:sz="0" w:space="0" w:color="auto"/>
            <w:right w:val="none" w:sz="0" w:space="0" w:color="auto"/>
          </w:divBdr>
        </w:div>
        <w:div w:id="1225871666">
          <w:marLeft w:val="1267"/>
          <w:marRight w:val="0"/>
          <w:marTop w:val="120"/>
          <w:marBottom w:val="240"/>
          <w:divBdr>
            <w:top w:val="none" w:sz="0" w:space="0" w:color="auto"/>
            <w:left w:val="none" w:sz="0" w:space="0" w:color="auto"/>
            <w:bottom w:val="none" w:sz="0" w:space="0" w:color="auto"/>
            <w:right w:val="none" w:sz="0" w:space="0" w:color="auto"/>
          </w:divBdr>
        </w:div>
        <w:div w:id="1509059516">
          <w:marLeft w:val="720"/>
          <w:marRight w:val="0"/>
          <w:marTop w:val="120"/>
          <w:marBottom w:val="240"/>
          <w:divBdr>
            <w:top w:val="none" w:sz="0" w:space="0" w:color="auto"/>
            <w:left w:val="none" w:sz="0" w:space="0" w:color="auto"/>
            <w:bottom w:val="none" w:sz="0" w:space="0" w:color="auto"/>
            <w:right w:val="none" w:sz="0" w:space="0" w:color="auto"/>
          </w:divBdr>
        </w:div>
        <w:div w:id="1071149914">
          <w:marLeft w:val="1267"/>
          <w:marRight w:val="0"/>
          <w:marTop w:val="120"/>
          <w:marBottom w:val="240"/>
          <w:divBdr>
            <w:top w:val="none" w:sz="0" w:space="0" w:color="auto"/>
            <w:left w:val="none" w:sz="0" w:space="0" w:color="auto"/>
            <w:bottom w:val="none" w:sz="0" w:space="0" w:color="auto"/>
            <w:right w:val="none" w:sz="0" w:space="0" w:color="auto"/>
          </w:divBdr>
        </w:div>
        <w:div w:id="1606764659">
          <w:marLeft w:val="1267"/>
          <w:marRight w:val="0"/>
          <w:marTop w:val="120"/>
          <w:marBottom w:val="240"/>
          <w:divBdr>
            <w:top w:val="none" w:sz="0" w:space="0" w:color="auto"/>
            <w:left w:val="none" w:sz="0" w:space="0" w:color="auto"/>
            <w:bottom w:val="none" w:sz="0" w:space="0" w:color="auto"/>
            <w:right w:val="none" w:sz="0" w:space="0" w:color="auto"/>
          </w:divBdr>
        </w:div>
        <w:div w:id="500240377">
          <w:marLeft w:val="1267"/>
          <w:marRight w:val="0"/>
          <w:marTop w:val="120"/>
          <w:marBottom w:val="240"/>
          <w:divBdr>
            <w:top w:val="none" w:sz="0" w:space="0" w:color="auto"/>
            <w:left w:val="none" w:sz="0" w:space="0" w:color="auto"/>
            <w:bottom w:val="none" w:sz="0" w:space="0" w:color="auto"/>
            <w:right w:val="none" w:sz="0" w:space="0" w:color="auto"/>
          </w:divBdr>
        </w:div>
        <w:div w:id="1192307711">
          <w:marLeft w:val="720"/>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hyperlink" Target="http://www.environment.nsw.gov.au/resources/waste/08202classifyingwaste.pdf" TargetMode="External"/><Relationship Id="rId39" Type="http://schemas.openxmlformats.org/officeDocument/2006/relationships/footer" Target="footer7.xml"/><Relationship Id="rId21" Type="http://schemas.openxmlformats.org/officeDocument/2006/relationships/image" Target="media/image4.png"/><Relationship Id="rId34" Type="http://schemas.openxmlformats.org/officeDocument/2006/relationships/header" Target="header8.xml"/><Relationship Id="rId42" Type="http://schemas.openxmlformats.org/officeDocument/2006/relationships/footer" Target="footer8.xml"/><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chart" Target="charts/chart1.xml"/><Relationship Id="rId63" Type="http://schemas.openxmlformats.org/officeDocument/2006/relationships/chart" Target="charts/chart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environment.gov.au/system/files/resources/fd8e59bd-b64d-42b3-8a73-5021d21310be/files/liquid-wast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ue@blueenvironment.com.au" TargetMode="External"/><Relationship Id="rId24" Type="http://schemas.openxmlformats.org/officeDocument/2006/relationships/image" Target="media/image7.png"/><Relationship Id="rId32" Type="http://schemas.openxmlformats.org/officeDocument/2006/relationships/hyperlink" Target="http://www.environment.gov.au/resource/national-waste-data-system-requirements-study" TargetMode="External"/><Relationship Id="rId37" Type="http://schemas.openxmlformats.org/officeDocument/2006/relationships/footer" Target="footer6.xml"/><Relationship Id="rId40" Type="http://schemas.openxmlformats.org/officeDocument/2006/relationships/header" Target="header11.xml"/><Relationship Id="rId45" Type="http://schemas.openxmlformats.org/officeDocument/2006/relationships/footer" Target="footer10.xml"/><Relationship Id="rId53" Type="http://schemas.openxmlformats.org/officeDocument/2006/relationships/footer" Target="footer15.xml"/><Relationship Id="rId58" Type="http://schemas.openxmlformats.org/officeDocument/2006/relationships/image" Target="media/image9.png"/><Relationship Id="rId66"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hyperlink" Target="http://www.environment.gov.au/wastepolicy/publications/waste-recycling2011.html" TargetMode="External"/><Relationship Id="rId36" Type="http://schemas.openxmlformats.org/officeDocument/2006/relationships/footer" Target="footer5.xml"/><Relationship Id="rId49" Type="http://schemas.openxmlformats.org/officeDocument/2006/relationships/footer" Target="footer12.xml"/><Relationship Id="rId57" Type="http://schemas.openxmlformats.org/officeDocument/2006/relationships/chart" Target="charts/chart2.xml"/><Relationship Id="rId61" Type="http://schemas.openxmlformats.org/officeDocument/2006/relationships/chart" Target="charts/chart4.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hyperlink" Target="http://www.environment.gov.au/resource/hazardous-waste-data-assessment" TargetMode="External"/><Relationship Id="rId44" Type="http://schemas.openxmlformats.org/officeDocument/2006/relationships/header" Target="header13.xml"/><Relationship Id="rId52" Type="http://schemas.openxmlformats.org/officeDocument/2006/relationships/footer" Target="footer14.xml"/><Relationship Id="rId60" Type="http://schemas.openxmlformats.org/officeDocument/2006/relationships/image" Target="media/image10.png"/><Relationship Id="rId65"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epa.tas.gov.au/regulation/document?docid=640" TargetMode="External"/><Relationship Id="rId30" Type="http://schemas.openxmlformats.org/officeDocument/2006/relationships/hyperlink" Target="http://www.environment.gov.au/resource/hazardous-waste-data-assessment" TargetMode="External"/><Relationship Id="rId35" Type="http://schemas.openxmlformats.org/officeDocument/2006/relationships/header" Target="header9.xml"/><Relationship Id="rId43" Type="http://schemas.openxmlformats.org/officeDocument/2006/relationships/footer" Target="footer9.xml"/><Relationship Id="rId48" Type="http://schemas.openxmlformats.org/officeDocument/2006/relationships/footer" Target="footer11.xml"/><Relationship Id="rId56" Type="http://schemas.openxmlformats.org/officeDocument/2006/relationships/image" Target="media/image8.emf"/><Relationship Id="rId64" Type="http://schemas.openxmlformats.org/officeDocument/2006/relationships/chart" Target="charts/chart7.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yperlink" Target="http://www.blueenvironment.com.au" TargetMode="External"/><Relationship Id="rId17" Type="http://schemas.openxmlformats.org/officeDocument/2006/relationships/header" Target="header6.xml"/><Relationship Id="rId25" Type="http://schemas.openxmlformats.org/officeDocument/2006/relationships/hyperlink" Target="http://www.environment.gov.au/resource/waste-generation-and-resource-recovery-australia-report-and-data-workbooks" TargetMode="External"/><Relationship Id="rId33" Type="http://schemas.openxmlformats.org/officeDocument/2006/relationships/hyperlink" Target="http://www.epa.gov/epawaste/nonhaz/municipal/pubs/2010_MSW_Tables_and_Figures_508.pdf" TargetMode="Externa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chart" Target="charts/chart3.xml"/><Relationship Id="rId67" Type="http://schemas.openxmlformats.org/officeDocument/2006/relationships/footer" Target="footer17.xml"/><Relationship Id="rId20" Type="http://schemas.openxmlformats.org/officeDocument/2006/relationships/footer" Target="footer4.xml"/><Relationship Id="rId41" Type="http://schemas.openxmlformats.org/officeDocument/2006/relationships/header" Target="header12.xml"/><Relationship Id="rId54" Type="http://schemas.openxmlformats.org/officeDocument/2006/relationships/footer" Target="footer16.xml"/><Relationship Id="rId62" Type="http://schemas.openxmlformats.org/officeDocument/2006/relationships/chart" Target="charts/chart5.xml"/><Relationship Id="rId7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AppData\Roaming\Microsoft\Templates\Blue%20Environment%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AUMELFP1.ENVIRONCORP.INT\DATA\PROJECTS%20&amp;%20CLIENTS\Blue%20Environment\AS140205%20-%20Improving%20Basel%20Reporting\WMAA%20Coffs%20Harbour\National%20data%20analysis%20rev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AUMELFP1.ENVIRONCORP.INT\DATA\PROJECTS%20&amp;%20CLIENTS\Blue%20Environment\AS140205%20-%20Improving%20Basel%20Reporting\Project\Working\Reports\National%20data%20analysis%20rev2.1.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file:///\\AUMELFP1.ENVIRONCORP.INT\DATA\PROJECTS%20&amp;%20CLIENTS\Blue%20Environment\AS140205%20-%20Improving%20Basel%20Reporting\WMAA%20Coffs%20Harbour\National%20data%20analysis%20rev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UMELFP1.ENVIRONCORP.INT\DATA\PROJECTS%20&amp;%20CLIENTS\Blue%20Environment\AS140205%20-%20Improving%20Basel%20Reporting\WMAA%20Coffs%20Harbour\National%20data%20analysis%20re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4240507436570429"/>
          <c:y val="5.1400554097404488E-2"/>
          <c:w val="0.7432475940507437"/>
          <c:h val="0.8511380869058035"/>
        </c:manualLayout>
      </c:layout>
      <c:barChart>
        <c:barDir val="col"/>
        <c:grouping val="clustered"/>
        <c:ser>
          <c:idx val="0"/>
          <c:order val="0"/>
          <c:tx>
            <c:strRef>
              <c:f>'Basel years'!$C$66</c:f>
              <c:strCache>
                <c:ptCount val="1"/>
                <c:pt idx="0">
                  <c:v>Year</c:v>
                </c:pt>
              </c:strCache>
            </c:strRef>
          </c:tx>
          <c:cat>
            <c:numRef>
              <c:f>'Basel years'!$C$67:$C$70</c:f>
              <c:numCache>
                <c:formatCode>General</c:formatCode>
                <c:ptCount val="4"/>
                <c:pt idx="0">
                  <c:v>2009</c:v>
                </c:pt>
                <c:pt idx="1">
                  <c:v>2010</c:v>
                </c:pt>
                <c:pt idx="2">
                  <c:v>2011</c:v>
                </c:pt>
                <c:pt idx="3">
                  <c:v>2012</c:v>
                </c:pt>
              </c:numCache>
            </c:numRef>
          </c:cat>
          <c:val>
            <c:numRef>
              <c:f>'Basel years'!$C$67:$C$70</c:f>
              <c:numCache>
                <c:formatCode>General</c:formatCode>
                <c:ptCount val="4"/>
                <c:pt idx="0">
                  <c:v>2009</c:v>
                </c:pt>
                <c:pt idx="1">
                  <c:v>2010</c:v>
                </c:pt>
                <c:pt idx="2">
                  <c:v>2011</c:v>
                </c:pt>
                <c:pt idx="3">
                  <c:v>2012</c:v>
                </c:pt>
              </c:numCache>
            </c:numRef>
          </c:val>
        </c:ser>
        <c:ser>
          <c:idx val="1"/>
          <c:order val="1"/>
          <c:tx>
            <c:strRef>
              <c:f>'Basel years'!$D$66</c:f>
              <c:strCache>
                <c:ptCount val="1"/>
                <c:pt idx="0">
                  <c:v>Tonnes waste reported to Basel</c:v>
                </c:pt>
              </c:strCache>
            </c:strRef>
          </c:tx>
          <c:spPr>
            <a:solidFill>
              <a:schemeClr val="tx2"/>
            </a:solidFill>
          </c:spPr>
          <c:cat>
            <c:numRef>
              <c:f>'Basel years'!$C$67:$C$70</c:f>
              <c:numCache>
                <c:formatCode>General</c:formatCode>
                <c:ptCount val="4"/>
                <c:pt idx="0">
                  <c:v>2009</c:v>
                </c:pt>
                <c:pt idx="1">
                  <c:v>2010</c:v>
                </c:pt>
                <c:pt idx="2">
                  <c:v>2011</c:v>
                </c:pt>
                <c:pt idx="3">
                  <c:v>2012</c:v>
                </c:pt>
              </c:numCache>
            </c:numRef>
          </c:cat>
          <c:val>
            <c:numRef>
              <c:f>'Basel years'!$D$67:$D$70</c:f>
              <c:numCache>
                <c:formatCode>_(* #,##0_);_(* \(#,##0\);_(* "-"??_);_(@_)</c:formatCode>
                <c:ptCount val="4"/>
                <c:pt idx="0">
                  <c:v>1447065</c:v>
                </c:pt>
                <c:pt idx="1">
                  <c:v>1949417</c:v>
                </c:pt>
                <c:pt idx="2">
                  <c:v>2215509.7760000001</c:v>
                </c:pt>
                <c:pt idx="3">
                  <c:v>3726162.3195964061</c:v>
                </c:pt>
              </c:numCache>
            </c:numRef>
          </c:val>
        </c:ser>
        <c:dLbls/>
        <c:axId val="31659136"/>
        <c:axId val="31661056"/>
      </c:barChart>
      <c:catAx>
        <c:axId val="31659136"/>
        <c:scaling>
          <c:orientation val="minMax"/>
        </c:scaling>
        <c:axPos val="b"/>
        <c:title>
          <c:tx>
            <c:rich>
              <a:bodyPr/>
              <a:lstStyle/>
              <a:p>
                <a:pPr>
                  <a:defRPr/>
                </a:pPr>
                <a:r>
                  <a:rPr lang="en-US"/>
                  <a:t>Year</a:t>
                </a:r>
              </a:p>
            </c:rich>
          </c:tx>
        </c:title>
        <c:numFmt formatCode="General" sourceLinked="1"/>
        <c:tickLblPos val="nextTo"/>
        <c:crossAx val="31661056"/>
        <c:crosses val="autoZero"/>
        <c:auto val="1"/>
        <c:lblAlgn val="ctr"/>
        <c:lblOffset val="100"/>
      </c:catAx>
      <c:valAx>
        <c:axId val="31661056"/>
        <c:scaling>
          <c:orientation val="minMax"/>
        </c:scaling>
        <c:axPos val="l"/>
        <c:majorGridlines/>
        <c:title>
          <c:tx>
            <c:rich>
              <a:bodyPr rot="0" vert="wordArtVert"/>
              <a:lstStyle/>
              <a:p>
                <a:pPr>
                  <a:defRPr/>
                </a:pPr>
                <a:r>
                  <a:rPr lang="en-US"/>
                  <a:t>Tonnes</a:t>
                </a:r>
              </a:p>
            </c:rich>
          </c:tx>
        </c:title>
        <c:numFmt formatCode="General" sourceLinked="1"/>
        <c:tickLblPos val="nextTo"/>
        <c:crossAx val="31659136"/>
        <c:crosses val="autoZero"/>
        <c:crossBetween val="between"/>
      </c:valAx>
    </c:plotArea>
    <c:legend>
      <c:legendPos val="r"/>
      <c:legendEntry>
        <c:idx val="0"/>
        <c:delete val="1"/>
      </c:legendEntry>
      <c:layout>
        <c:manualLayout>
          <c:xMode val="edge"/>
          <c:yMode val="edge"/>
          <c:x val="0.1884304461942258"/>
          <c:y val="3.8619130941965653E-3"/>
          <c:w val="0.46712510936132984"/>
          <c:h val="0.25616506270049577"/>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4259951881014873"/>
          <c:y val="4.214129483814525E-2"/>
          <c:w val="0.73749759405074367"/>
          <c:h val="0.86502697579469234"/>
        </c:manualLayout>
      </c:layout>
      <c:barChart>
        <c:barDir val="col"/>
        <c:grouping val="clustered"/>
        <c:ser>
          <c:idx val="0"/>
          <c:order val="0"/>
          <c:tx>
            <c:strRef>
              <c:f>'Basel years'!$C$83</c:f>
              <c:strCache>
                <c:ptCount val="1"/>
                <c:pt idx="0">
                  <c:v>Year</c:v>
                </c:pt>
              </c:strCache>
            </c:strRef>
          </c:tx>
          <c:cat>
            <c:numRef>
              <c:f>'Basel years'!$C$84:$C$87</c:f>
              <c:numCache>
                <c:formatCode>General</c:formatCode>
                <c:ptCount val="4"/>
                <c:pt idx="0">
                  <c:v>2009</c:v>
                </c:pt>
                <c:pt idx="1">
                  <c:v>2010</c:v>
                </c:pt>
                <c:pt idx="2">
                  <c:v>2011</c:v>
                </c:pt>
                <c:pt idx="3">
                  <c:v>2012</c:v>
                </c:pt>
              </c:numCache>
            </c:numRef>
          </c:cat>
          <c:val>
            <c:numRef>
              <c:f>'Basel years'!$C$84:$C$87</c:f>
              <c:numCache>
                <c:formatCode>General</c:formatCode>
                <c:ptCount val="4"/>
                <c:pt idx="0">
                  <c:v>2009</c:v>
                </c:pt>
                <c:pt idx="1">
                  <c:v>2010</c:v>
                </c:pt>
                <c:pt idx="2">
                  <c:v>2011</c:v>
                </c:pt>
                <c:pt idx="3">
                  <c:v>2012</c:v>
                </c:pt>
              </c:numCache>
            </c:numRef>
          </c:val>
        </c:ser>
        <c:ser>
          <c:idx val="1"/>
          <c:order val="1"/>
          <c:tx>
            <c:strRef>
              <c:f>'Basel years'!$D$83</c:f>
              <c:strCache>
                <c:ptCount val="1"/>
                <c:pt idx="0">
                  <c:v>Tonnes waste reported to Basel</c:v>
                </c:pt>
              </c:strCache>
            </c:strRef>
          </c:tx>
          <c:spPr>
            <a:solidFill>
              <a:schemeClr val="tx2"/>
            </a:solidFill>
          </c:spPr>
          <c:cat>
            <c:numRef>
              <c:f>'Basel years'!$C$84:$C$87</c:f>
              <c:numCache>
                <c:formatCode>General</c:formatCode>
                <c:ptCount val="4"/>
                <c:pt idx="0">
                  <c:v>2009</c:v>
                </c:pt>
                <c:pt idx="1">
                  <c:v>2010</c:v>
                </c:pt>
                <c:pt idx="2">
                  <c:v>2011</c:v>
                </c:pt>
                <c:pt idx="3">
                  <c:v>2012</c:v>
                </c:pt>
              </c:numCache>
            </c:numRef>
          </c:cat>
          <c:val>
            <c:numRef>
              <c:f>'Basel years'!$D$84:$D$87</c:f>
              <c:numCache>
                <c:formatCode>_(* #,##0_);_(* \(#,##0\);_(* "-"??_);_(@_)</c:formatCode>
                <c:ptCount val="4"/>
                <c:pt idx="0">
                  <c:v>1447065</c:v>
                </c:pt>
                <c:pt idx="1">
                  <c:v>1949417</c:v>
                </c:pt>
                <c:pt idx="2">
                  <c:v>2215509.7760000001</c:v>
                </c:pt>
                <c:pt idx="3">
                  <c:v>19774366.570356075</c:v>
                </c:pt>
              </c:numCache>
            </c:numRef>
          </c:val>
        </c:ser>
        <c:dLbls/>
        <c:axId val="75007488"/>
        <c:axId val="75009408"/>
      </c:barChart>
      <c:catAx>
        <c:axId val="75007488"/>
        <c:scaling>
          <c:orientation val="minMax"/>
        </c:scaling>
        <c:axPos val="b"/>
        <c:title>
          <c:tx>
            <c:rich>
              <a:bodyPr/>
              <a:lstStyle/>
              <a:p>
                <a:pPr>
                  <a:defRPr/>
                </a:pPr>
                <a:r>
                  <a:rPr lang="en-US"/>
                  <a:t>Year</a:t>
                </a:r>
              </a:p>
            </c:rich>
          </c:tx>
        </c:title>
        <c:numFmt formatCode="General" sourceLinked="1"/>
        <c:tickLblPos val="nextTo"/>
        <c:crossAx val="75009408"/>
        <c:crosses val="autoZero"/>
        <c:auto val="1"/>
        <c:lblAlgn val="ctr"/>
        <c:lblOffset val="100"/>
      </c:catAx>
      <c:valAx>
        <c:axId val="75009408"/>
        <c:scaling>
          <c:orientation val="minMax"/>
        </c:scaling>
        <c:axPos val="l"/>
        <c:majorGridlines/>
        <c:title>
          <c:tx>
            <c:rich>
              <a:bodyPr rot="0" vert="wordArtVert"/>
              <a:lstStyle/>
              <a:p>
                <a:pPr>
                  <a:defRPr/>
                </a:pPr>
                <a:r>
                  <a:rPr lang="en-US"/>
                  <a:t>Tonnes</a:t>
                </a:r>
              </a:p>
            </c:rich>
          </c:tx>
        </c:title>
        <c:numFmt formatCode="General" sourceLinked="1"/>
        <c:tickLblPos val="nextTo"/>
        <c:crossAx val="75007488"/>
        <c:crosses val="autoZero"/>
        <c:crossBetween val="between"/>
      </c:valAx>
    </c:plotArea>
    <c:legend>
      <c:legendPos val="r"/>
      <c:legendEntry>
        <c:idx val="0"/>
        <c:delete val="1"/>
      </c:legendEntry>
      <c:layout>
        <c:manualLayout>
          <c:xMode val="edge"/>
          <c:yMode val="edge"/>
          <c:x val="0.18565266841644795"/>
          <c:y val="6.9060586176727903E-2"/>
          <c:w val="0.71950322235885689"/>
          <c:h val="0.13965660542432196"/>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'National 2012'!$P$7</c:f>
              <c:strCache>
                <c:ptCount val="1"/>
                <c:pt idx="0">
                  <c:v>2010/11</c:v>
                </c:pt>
              </c:strCache>
            </c:strRef>
          </c:tx>
          <c:cat>
            <c:strRef>
              <c:f>'National 2012'!$O$8:$O$22</c:f>
              <c:strCache>
                <c:ptCount val="15"/>
                <c:pt idx="0">
                  <c:v>Plating and heat treatment </c:v>
                </c:pt>
                <c:pt idx="1">
                  <c:v>Acids</c:v>
                </c:pt>
                <c:pt idx="2">
                  <c:v>Alkaline wastes</c:v>
                </c:pt>
                <c:pt idx="3">
                  <c:v>Inorganic chemicals</c:v>
                </c:pt>
                <c:pt idx="4">
                  <c:v>Reactive chemicals</c:v>
                </c:pt>
                <c:pt idx="5">
                  <c:v>Paints, lacquers, varnish, etc</c:v>
                </c:pt>
                <c:pt idx="6">
                  <c:v>Organic solvents, solvent residues</c:v>
                </c:pt>
                <c:pt idx="7">
                  <c:v>Pesticides</c:v>
                </c:pt>
                <c:pt idx="8">
                  <c:v>Oils, hydrocarbons, emulsions</c:v>
                </c:pt>
                <c:pt idx="9">
                  <c:v>Putrescible/organic wastes</c:v>
                </c:pt>
                <c:pt idx="10">
                  <c:v>Industrial washwaters</c:v>
                </c:pt>
                <c:pt idx="11">
                  <c:v>Organic chemicals</c:v>
                </c:pt>
                <c:pt idx="12">
                  <c:v>Solid/sludge wastes </c:v>
                </c:pt>
                <c:pt idx="13">
                  <c:v>Clinical and pharmaceutical wastes</c:v>
                </c:pt>
                <c:pt idx="14">
                  <c:v>Miscellaneous</c:v>
                </c:pt>
              </c:strCache>
            </c:strRef>
          </c:cat>
          <c:val>
            <c:numRef>
              <c:f>'National 2012'!$P$8:$P$22</c:f>
              <c:numCache>
                <c:formatCode>#,##0</c:formatCode>
                <c:ptCount val="15"/>
                <c:pt idx="0">
                  <c:v>7916.97</c:v>
                </c:pt>
                <c:pt idx="1">
                  <c:v>37165.18</c:v>
                </c:pt>
                <c:pt idx="2">
                  <c:v>266758.75800000003</c:v>
                </c:pt>
                <c:pt idx="3">
                  <c:v>295892.85499999992</c:v>
                </c:pt>
                <c:pt idx="4">
                  <c:v>1462.0839999999998</c:v>
                </c:pt>
                <c:pt idx="5">
                  <c:v>44440.542000000001</c:v>
                </c:pt>
                <c:pt idx="6">
                  <c:v>27985.448000000004</c:v>
                </c:pt>
                <c:pt idx="7">
                  <c:v>2606.4300000000007</c:v>
                </c:pt>
                <c:pt idx="8">
                  <c:v>601848.34299999988</c:v>
                </c:pt>
                <c:pt idx="9">
                  <c:v>779409.38727938686</c:v>
                </c:pt>
                <c:pt idx="10">
                  <c:v>0</c:v>
                </c:pt>
                <c:pt idx="11">
                  <c:v>18553.074000000001</c:v>
                </c:pt>
                <c:pt idx="12">
                  <c:v>3402092.0480000004</c:v>
                </c:pt>
                <c:pt idx="13">
                  <c:v>59946.401000000005</c:v>
                </c:pt>
                <c:pt idx="14">
                  <c:v>395585.37800000003</c:v>
                </c:pt>
              </c:numCache>
            </c:numRef>
          </c:val>
        </c:ser>
        <c:ser>
          <c:idx val="1"/>
          <c:order val="1"/>
          <c:tx>
            <c:strRef>
              <c:f>'National 2012'!$Q$7</c:f>
              <c:strCache>
                <c:ptCount val="1"/>
                <c:pt idx="0">
                  <c:v>2012</c:v>
                </c:pt>
              </c:strCache>
            </c:strRef>
          </c:tx>
          <c:cat>
            <c:strRef>
              <c:f>'National 2012'!$O$8:$O$22</c:f>
              <c:strCache>
                <c:ptCount val="15"/>
                <c:pt idx="0">
                  <c:v>Plating and heat treatment </c:v>
                </c:pt>
                <c:pt idx="1">
                  <c:v>Acids</c:v>
                </c:pt>
                <c:pt idx="2">
                  <c:v>Alkaline wastes</c:v>
                </c:pt>
                <c:pt idx="3">
                  <c:v>Inorganic chemicals</c:v>
                </c:pt>
                <c:pt idx="4">
                  <c:v>Reactive chemicals</c:v>
                </c:pt>
                <c:pt idx="5">
                  <c:v>Paints, lacquers, varnish, etc</c:v>
                </c:pt>
                <c:pt idx="6">
                  <c:v>Organic solvents, solvent residues</c:v>
                </c:pt>
                <c:pt idx="7">
                  <c:v>Pesticides</c:v>
                </c:pt>
                <c:pt idx="8">
                  <c:v>Oils, hydrocarbons, emulsions</c:v>
                </c:pt>
                <c:pt idx="9">
                  <c:v>Putrescible/organic wastes</c:v>
                </c:pt>
                <c:pt idx="10">
                  <c:v>Industrial washwaters</c:v>
                </c:pt>
                <c:pt idx="11">
                  <c:v>Organic chemicals</c:v>
                </c:pt>
                <c:pt idx="12">
                  <c:v>Solid/sludge wastes </c:v>
                </c:pt>
                <c:pt idx="13">
                  <c:v>Clinical and pharmaceutical wastes</c:v>
                </c:pt>
                <c:pt idx="14">
                  <c:v>Miscellaneous</c:v>
                </c:pt>
              </c:strCache>
            </c:strRef>
          </c:cat>
          <c:val>
            <c:numRef>
              <c:f>'National 2012'!$Q$8:$Q$22</c:f>
              <c:numCache>
                <c:formatCode>#,##0</c:formatCode>
                <c:ptCount val="15"/>
                <c:pt idx="0">
                  <c:v>6585</c:v>
                </c:pt>
                <c:pt idx="1">
                  <c:v>44725</c:v>
                </c:pt>
                <c:pt idx="2">
                  <c:v>335371</c:v>
                </c:pt>
                <c:pt idx="3">
                  <c:v>266221</c:v>
                </c:pt>
                <c:pt idx="4">
                  <c:v>259</c:v>
                </c:pt>
                <c:pt idx="5">
                  <c:v>63373</c:v>
                </c:pt>
                <c:pt idx="6">
                  <c:v>34014</c:v>
                </c:pt>
                <c:pt idx="7">
                  <c:v>4584</c:v>
                </c:pt>
                <c:pt idx="8">
                  <c:v>758575</c:v>
                </c:pt>
                <c:pt idx="9">
                  <c:v>783297</c:v>
                </c:pt>
                <c:pt idx="10" formatCode="General">
                  <c:v>0</c:v>
                </c:pt>
                <c:pt idx="11">
                  <c:v>22418</c:v>
                </c:pt>
                <c:pt idx="12">
                  <c:v>3799667.4104210474</c:v>
                </c:pt>
                <c:pt idx="13">
                  <c:v>70678</c:v>
                </c:pt>
                <c:pt idx="14">
                  <c:v>424262</c:v>
                </c:pt>
              </c:numCache>
            </c:numRef>
          </c:val>
        </c:ser>
        <c:dLbls/>
        <c:axId val="79431168"/>
        <c:axId val="79433088"/>
      </c:barChart>
      <c:catAx>
        <c:axId val="79431168"/>
        <c:scaling>
          <c:orientation val="minMax"/>
        </c:scaling>
        <c:axPos val="b"/>
        <c:title>
          <c:tx>
            <c:rich>
              <a:bodyPr/>
              <a:lstStyle/>
              <a:p>
                <a:pPr>
                  <a:defRPr/>
                </a:pPr>
                <a:r>
                  <a:rPr lang="en-US"/>
                  <a:t>NEPM Category</a:t>
                </a:r>
              </a:p>
            </c:rich>
          </c:tx>
        </c:title>
        <c:tickLblPos val="nextTo"/>
        <c:crossAx val="79433088"/>
        <c:crosses val="autoZero"/>
        <c:auto val="1"/>
        <c:lblAlgn val="ctr"/>
        <c:lblOffset val="100"/>
      </c:catAx>
      <c:valAx>
        <c:axId val="79433088"/>
        <c:scaling>
          <c:orientation val="minMax"/>
        </c:scaling>
        <c:axPos val="l"/>
        <c:majorGridlines/>
        <c:title>
          <c:tx>
            <c:rich>
              <a:bodyPr rot="0" vert="wordArtVert"/>
              <a:lstStyle/>
              <a:p>
                <a:pPr>
                  <a:defRPr/>
                </a:pPr>
                <a:r>
                  <a:rPr lang="en-US"/>
                  <a:t>Tonnes</a:t>
                </a:r>
              </a:p>
            </c:rich>
          </c:tx>
        </c:title>
        <c:numFmt formatCode="#,##0" sourceLinked="1"/>
        <c:tickLblPos val="nextTo"/>
        <c:crossAx val="79431168"/>
        <c:crosses val="autoZero"/>
        <c:crossBetween val="between"/>
      </c:valAx>
    </c:plotArea>
    <c:legend>
      <c:legendPos val="r"/>
      <c:layout>
        <c:manualLayout>
          <c:xMode val="edge"/>
          <c:yMode val="edge"/>
          <c:x val="0.17500234651963037"/>
          <c:y val="6.2703683350627495E-2"/>
          <c:w val="0.38728181341044765"/>
          <c:h val="0.18036067246897261"/>
        </c:manualLayout>
      </c:layout>
      <c:overlay val="1"/>
      <c:txPr>
        <a:bodyPr/>
        <a:lstStyle/>
        <a:p>
          <a:pPr>
            <a:defRPr baseline="0"/>
          </a:pPr>
          <a:endParaRPr lang="en-US"/>
        </a:p>
      </c:txPr>
    </c:legend>
    <c:plotVisOnly val="1"/>
    <c:dispBlanksAs val="gap"/>
  </c:chart>
  <c:txPr>
    <a:bodyPr/>
    <a:lstStyle/>
    <a:p>
      <a:pPr>
        <a:defRPr sz="800"/>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cat>
            <c:strRef>
              <c:f>'Main wastes_Nat'!$B$23:$B$31</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'Main wastes_Nat'!$C$23:$C$31</c:f>
              <c:numCache>
                <c:formatCode>0</c:formatCode>
                <c:ptCount val="9"/>
                <c:pt idx="0">
                  <c:v>335371.20900000009</c:v>
                </c:pt>
                <c:pt idx="1">
                  <c:v>266220.5</c:v>
                </c:pt>
                <c:pt idx="2">
                  <c:v>758574.5639999999</c:v>
                </c:pt>
                <c:pt idx="3">
                  <c:v>211969.37081244867</c:v>
                </c:pt>
                <c:pt idx="4">
                  <c:v>531263.99104737514</c:v>
                </c:pt>
                <c:pt idx="5">
                  <c:v>1541226.949</c:v>
                </c:pt>
                <c:pt idx="6">
                  <c:v>1653499.3890000002</c:v>
                </c:pt>
                <c:pt idx="7">
                  <c:v>477256.75659262569</c:v>
                </c:pt>
                <c:pt idx="8">
                  <c:v>415410.696</c:v>
                </c:pt>
              </c:numCache>
            </c:numRef>
          </c:val>
        </c:ser>
        <c:dLbls/>
        <c:axId val="75932032"/>
        <c:axId val="75933952"/>
      </c:barChart>
      <c:catAx>
        <c:axId val="75932032"/>
        <c:scaling>
          <c:orientation val="minMax"/>
        </c:scaling>
        <c:axPos val="b"/>
        <c:title>
          <c:tx>
            <c:rich>
              <a:bodyPr/>
              <a:lstStyle/>
              <a:p>
                <a:pPr>
                  <a:defRPr/>
                </a:pPr>
                <a:r>
                  <a:rPr lang="en-US"/>
                  <a:t>NEPM</a:t>
                </a:r>
                <a:r>
                  <a:rPr lang="en-US" baseline="0"/>
                  <a:t> Category</a:t>
                </a:r>
                <a:endParaRPr lang="en-US"/>
              </a:p>
            </c:rich>
          </c:tx>
        </c:title>
        <c:tickLblPos val="nextTo"/>
        <c:txPr>
          <a:bodyPr/>
          <a:lstStyle/>
          <a:p>
            <a:pPr>
              <a:defRPr kern="0" baseline="0"/>
            </a:pPr>
            <a:endParaRPr lang="en-US"/>
          </a:p>
        </c:txPr>
        <c:crossAx val="75933952"/>
        <c:crosses val="autoZero"/>
        <c:auto val="1"/>
        <c:lblAlgn val="ctr"/>
        <c:lblOffset val="100"/>
      </c:catAx>
      <c:valAx>
        <c:axId val="75933952"/>
        <c:scaling>
          <c:orientation val="minMax"/>
        </c:scaling>
        <c:axPos val="l"/>
        <c:majorGridlines/>
        <c:title>
          <c:tx>
            <c:rich>
              <a:bodyPr rot="0" vert="wordArtVert"/>
              <a:lstStyle/>
              <a:p>
                <a:pPr>
                  <a:defRPr/>
                </a:pPr>
                <a:r>
                  <a:rPr lang="en-US"/>
                  <a:t>Tonnes</a:t>
                </a:r>
              </a:p>
            </c:rich>
          </c:tx>
        </c:title>
        <c:numFmt formatCode="0" sourceLinked="1"/>
        <c:tickLblPos val="nextTo"/>
        <c:crossAx val="7593203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manualLayout>
          <c:layoutTarget val="inner"/>
          <c:xMode val="edge"/>
          <c:yMode val="edge"/>
          <c:x val="6.1775710153356568E-2"/>
          <c:y val="1.8325884940058171E-2"/>
          <c:w val="0.87762336404710095"/>
          <c:h val="0.64900993045972366"/>
        </c:manualLayout>
      </c:layout>
      <c:barChart>
        <c:barDir val="col"/>
        <c:grouping val="clustered"/>
        <c:ser>
          <c:idx val="0"/>
          <c:order val="0"/>
          <c:tx>
            <c:strRef>
              <c:f>'Adjusted jurisdiction data'!$C$629:$C$630</c:f>
              <c:strCache>
                <c:ptCount val="1"/>
                <c:pt idx="0">
                  <c:v>Tonnes of major wastes NSW</c:v>
                </c:pt>
              </c:strCache>
            </c:strRef>
          </c:tx>
          <c:spPr>
            <a:solidFill>
              <a:srgbClr val="00B0F0"/>
            </a:solidFill>
          </c:spPr>
          <c:cat>
            <c:strRef>
              <c:f>'Adjusted jurisdiction data'!$B$631:$B$639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data'!$C$631:$C$639</c:f>
              <c:numCache>
                <c:formatCode>#,##0</c:formatCode>
                <c:ptCount val="9"/>
                <c:pt idx="0">
                  <c:v>5215.38</c:v>
                </c:pt>
                <c:pt idx="1">
                  <c:v>27765.95</c:v>
                </c:pt>
                <c:pt idx="2">
                  <c:v>240323.97</c:v>
                </c:pt>
                <c:pt idx="3">
                  <c:v>68172.950247368019</c:v>
                </c:pt>
                <c:pt idx="4">
                  <c:v>168411.99430737409</c:v>
                </c:pt>
                <c:pt idx="5">
                  <c:v>504500</c:v>
                </c:pt>
                <c:pt idx="6">
                  <c:v>345919</c:v>
                </c:pt>
                <c:pt idx="7">
                  <c:v>199000</c:v>
                </c:pt>
                <c:pt idx="8">
                  <c:v>100967.88800000002</c:v>
                </c:pt>
              </c:numCache>
            </c:numRef>
          </c:val>
        </c:ser>
        <c:ser>
          <c:idx val="1"/>
          <c:order val="1"/>
          <c:tx>
            <c:strRef>
              <c:f>'Adjusted jurisdiction data'!$D$629:$D$630</c:f>
              <c:strCache>
                <c:ptCount val="1"/>
                <c:pt idx="0">
                  <c:v>Tonnes of major wastes Qld</c:v>
                </c:pt>
              </c:strCache>
            </c:strRef>
          </c:tx>
          <c:cat>
            <c:strRef>
              <c:f>'Adjusted jurisdiction data'!$B$631:$B$639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data'!$D$631:$D$639</c:f>
              <c:numCache>
                <c:formatCode>#,##0</c:formatCode>
                <c:ptCount val="9"/>
                <c:pt idx="0">
                  <c:v>167498</c:v>
                </c:pt>
                <c:pt idx="1">
                  <c:v>53049</c:v>
                </c:pt>
                <c:pt idx="2">
                  <c:v>257440</c:v>
                </c:pt>
                <c:pt idx="3">
                  <c:v>49674</c:v>
                </c:pt>
                <c:pt idx="4">
                  <c:v>133834</c:v>
                </c:pt>
                <c:pt idx="5">
                  <c:v>216854</c:v>
                </c:pt>
                <c:pt idx="6">
                  <c:v>501496</c:v>
                </c:pt>
                <c:pt idx="7">
                  <c:v>116480</c:v>
                </c:pt>
                <c:pt idx="8">
                  <c:v>88055.255999999994</c:v>
                </c:pt>
              </c:numCache>
            </c:numRef>
          </c:val>
        </c:ser>
        <c:ser>
          <c:idx val="2"/>
          <c:order val="2"/>
          <c:tx>
            <c:strRef>
              <c:f>'Adjusted jurisdiction data'!$E$629:$E$630</c:f>
              <c:strCache>
                <c:ptCount val="1"/>
                <c:pt idx="0">
                  <c:v>Tonnes of major wastes SA</c:v>
                </c:pt>
              </c:strCache>
            </c:strRef>
          </c:tx>
          <c:spPr>
            <a:solidFill>
              <a:srgbClr val="FF0000"/>
            </a:solidFill>
          </c:spPr>
          <c:cat>
            <c:strRef>
              <c:f>'Adjusted jurisdiction data'!$B$631:$B$639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data'!$E$631:$E$639</c:f>
              <c:numCache>
                <c:formatCode>#,##0</c:formatCode>
                <c:ptCount val="9"/>
                <c:pt idx="0">
                  <c:v>65576.209999999992</c:v>
                </c:pt>
                <c:pt idx="1">
                  <c:v>58159.810000000012</c:v>
                </c:pt>
                <c:pt idx="2">
                  <c:v>3735.6899999999991</c:v>
                </c:pt>
                <c:pt idx="3">
                  <c:v>15446.700207493182</c:v>
                </c:pt>
                <c:pt idx="4">
                  <c:v>38158.970353677621</c:v>
                </c:pt>
                <c:pt idx="5">
                  <c:v>439461.62</c:v>
                </c:pt>
                <c:pt idx="6">
                  <c:v>166084.49</c:v>
                </c:pt>
                <c:pt idx="7">
                  <c:v>21384.82</c:v>
                </c:pt>
                <c:pt idx="8">
                  <c:v>56449.063999999998</c:v>
                </c:pt>
              </c:numCache>
            </c:numRef>
          </c:val>
        </c:ser>
        <c:ser>
          <c:idx val="3"/>
          <c:order val="3"/>
          <c:tx>
            <c:strRef>
              <c:f>'Adjusted jurisdiction data'!$F$629:$F$630</c:f>
              <c:strCache>
                <c:ptCount val="1"/>
                <c:pt idx="0">
                  <c:v>Tonnes of major wastes Vic</c:v>
                </c:pt>
              </c:strCache>
            </c:strRef>
          </c:tx>
          <c:spPr>
            <a:solidFill>
              <a:srgbClr val="002060"/>
            </a:solidFill>
          </c:spPr>
          <c:cat>
            <c:strRef>
              <c:f>'Adjusted jurisdiction data'!$B$631:$B$639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data'!$F$631:$F$639</c:f>
              <c:numCache>
                <c:formatCode>#,##0</c:formatCode>
                <c:ptCount val="9"/>
                <c:pt idx="0">
                  <c:v>8595</c:v>
                </c:pt>
                <c:pt idx="1">
                  <c:v>19243</c:v>
                </c:pt>
                <c:pt idx="2">
                  <c:v>99157</c:v>
                </c:pt>
                <c:pt idx="3">
                  <c:v>56008</c:v>
                </c:pt>
                <c:pt idx="4">
                  <c:v>99175</c:v>
                </c:pt>
                <c:pt idx="5">
                  <c:v>373764</c:v>
                </c:pt>
                <c:pt idx="6">
                  <c:v>431660</c:v>
                </c:pt>
                <c:pt idx="7">
                  <c:v>74775</c:v>
                </c:pt>
                <c:pt idx="8">
                  <c:v>84112.751999999993</c:v>
                </c:pt>
              </c:numCache>
            </c:numRef>
          </c:val>
        </c:ser>
        <c:ser>
          <c:idx val="4"/>
          <c:order val="4"/>
          <c:tx>
            <c:strRef>
              <c:f>'Adjusted jurisdiction data'!$G$629:$G$630</c:f>
              <c:strCache>
                <c:ptCount val="1"/>
                <c:pt idx="0">
                  <c:v>Tonnes of major wastes WA</c:v>
                </c:pt>
              </c:strCache>
            </c:strRef>
          </c:tx>
          <c:spPr>
            <a:solidFill>
              <a:schemeClr val="accent6"/>
            </a:solidFill>
          </c:spPr>
          <c:cat>
            <c:strRef>
              <c:f>'Adjusted jurisdiction data'!$B$631:$B$639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data'!$G$631:$G$639</c:f>
              <c:numCache>
                <c:formatCode>#,##0</c:formatCode>
                <c:ptCount val="9"/>
                <c:pt idx="0">
                  <c:v>88354.733999999982</c:v>
                </c:pt>
                <c:pt idx="1">
                  <c:v>8376.1230000000032</c:v>
                </c:pt>
                <c:pt idx="2">
                  <c:v>153503.39399999997</c:v>
                </c:pt>
                <c:pt idx="3">
                  <c:v>15694.487999999996</c:v>
                </c:pt>
                <c:pt idx="4">
                  <c:v>68858.425000000003</c:v>
                </c:pt>
                <c:pt idx="5">
                  <c:v>6442.6690000000008</c:v>
                </c:pt>
                <c:pt idx="6">
                  <c:v>112497</c:v>
                </c:pt>
                <c:pt idx="7">
                  <c:v>50197.574044219044</c:v>
                </c:pt>
                <c:pt idx="8">
                  <c:v>67269.423999999999</c:v>
                </c:pt>
              </c:numCache>
            </c:numRef>
          </c:val>
        </c:ser>
        <c:dLbls/>
        <c:axId val="79497856"/>
        <c:axId val="80290560"/>
      </c:barChart>
      <c:catAx>
        <c:axId val="79497856"/>
        <c:scaling>
          <c:orientation val="minMax"/>
        </c:scaling>
        <c:axPos val="b"/>
        <c:title>
          <c:tx>
            <c:rich>
              <a:bodyPr/>
              <a:lstStyle/>
              <a:p>
                <a:pPr>
                  <a:defRPr/>
                </a:pPr>
                <a:r>
                  <a:rPr lang="en-US"/>
                  <a:t>NEPM Category</a:t>
                </a:r>
              </a:p>
            </c:rich>
          </c:tx>
        </c:title>
        <c:tickLblPos val="nextTo"/>
        <c:txPr>
          <a:bodyPr/>
          <a:lstStyle/>
          <a:p>
            <a:pPr>
              <a:defRPr sz="800"/>
            </a:pPr>
            <a:endParaRPr lang="en-US"/>
          </a:p>
        </c:txPr>
        <c:crossAx val="80290560"/>
        <c:crosses val="autoZero"/>
        <c:auto val="1"/>
        <c:lblAlgn val="ctr"/>
        <c:lblOffset val="100"/>
      </c:catAx>
      <c:valAx>
        <c:axId val="80290560"/>
        <c:scaling>
          <c:orientation val="minMax"/>
        </c:scaling>
        <c:axPos val="l"/>
        <c:majorGridlines/>
        <c:title>
          <c:tx>
            <c:rich>
              <a:bodyPr rot="0" vert="horz"/>
              <a:lstStyle/>
              <a:p>
                <a:pPr>
                  <a:defRPr/>
                </a:pPr>
                <a:r>
                  <a:rPr lang="en-US"/>
                  <a:t>Tonnes</a:t>
                </a:r>
              </a:p>
            </c:rich>
          </c:tx>
          <c:layout>
            <c:manualLayout>
              <c:xMode val="edge"/>
              <c:yMode val="edge"/>
              <c:x val="7.9960019990005012E-3"/>
              <c:y val="4.025739773182558E-2"/>
            </c:manualLayout>
          </c:layout>
        </c:title>
        <c:numFmt formatCode="#,##0" sourceLinked="1"/>
        <c:tickLblPos val="nextTo"/>
        <c:crossAx val="79497856"/>
        <c:crosses val="autoZero"/>
        <c:crossBetween val="between"/>
      </c:valAx>
    </c:plotArea>
    <c:legend>
      <c:legendPos val="r"/>
      <c:layout>
        <c:manualLayout>
          <c:xMode val="edge"/>
          <c:yMode val="edge"/>
          <c:x val="0.76990041151731925"/>
          <c:y val="0.11835462620152613"/>
          <c:w val="0.23009954538760966"/>
          <c:h val="0.31070297913791717"/>
        </c:manualLayout>
      </c:layout>
      <c:overlay val="1"/>
      <c:txPr>
        <a:bodyPr/>
        <a:lstStyle/>
        <a:p>
          <a:pPr>
            <a:defRPr sz="800" baseline="0"/>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manualLayout>
          <c:layoutTarget val="inner"/>
          <c:xMode val="edge"/>
          <c:yMode val="edge"/>
          <c:x val="6.1940683201706238E-2"/>
          <c:y val="4.2908288637833331E-2"/>
          <c:w val="0.91607031130104244"/>
          <c:h val="0.6902865201551297"/>
        </c:manualLayout>
      </c:layout>
      <c:barChart>
        <c:barDir val="col"/>
        <c:grouping val="clustered"/>
        <c:ser>
          <c:idx val="0"/>
          <c:order val="0"/>
          <c:tx>
            <c:strRef>
              <c:f>'Adjusted jurisdiction data (2)'!$C$629:$C$630</c:f>
              <c:strCache>
                <c:ptCount val="1"/>
                <c:pt idx="0">
                  <c:v>Kg of major wastes per capita NSW</c:v>
                </c:pt>
              </c:strCache>
            </c:strRef>
          </c:tx>
          <c:spPr>
            <a:solidFill>
              <a:srgbClr val="00B0F0"/>
            </a:solidFill>
          </c:spPr>
          <c:cat>
            <c:strRef>
              <c:f>'Adjusted jurisdiction data (2)'!$B$631:$B$639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 (2)'!$C$631:$C$639</c:f>
              <c:numCache>
                <c:formatCode>#,##0</c:formatCode>
                <c:ptCount val="9"/>
                <c:pt idx="0">
                  <c:v>0.71157110410461344</c:v>
                </c:pt>
                <c:pt idx="1">
                  <c:v>3.7883045335169236</c:v>
                </c:pt>
                <c:pt idx="2">
                  <c:v>32.789095459142757</c:v>
                </c:pt>
                <c:pt idx="3">
                  <c:v>9.3013167741542393</c:v>
                </c:pt>
                <c:pt idx="4">
                  <c:v>22.977637053054249</c:v>
                </c:pt>
                <c:pt idx="5">
                  <c:v>68.832495814452116</c:v>
                </c:pt>
                <c:pt idx="6">
                  <c:v>47.196170702952379</c:v>
                </c:pt>
                <c:pt idx="7">
                  <c:v>27.150974563084201</c:v>
                </c:pt>
                <c:pt idx="8">
                  <c:v>13.775761601891123</c:v>
                </c:pt>
              </c:numCache>
            </c:numRef>
          </c:val>
        </c:ser>
        <c:ser>
          <c:idx val="1"/>
          <c:order val="1"/>
          <c:tx>
            <c:strRef>
              <c:f>'Adjusted jurisdiction data (2)'!$D$629:$D$630</c:f>
              <c:strCache>
                <c:ptCount val="1"/>
                <c:pt idx="0">
                  <c:v>Kg of major wastes per capita Qld</c:v>
                </c:pt>
              </c:strCache>
            </c:strRef>
          </c:tx>
          <c:spPr>
            <a:solidFill>
              <a:srgbClr val="C00000"/>
            </a:solidFill>
          </c:spPr>
          <c:cat>
            <c:strRef>
              <c:f>'Adjusted jurisdiction data (2)'!$B$631:$B$639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 (2)'!$D$631:$D$639</c:f>
              <c:numCache>
                <c:formatCode>#,##0</c:formatCode>
                <c:ptCount val="9"/>
                <c:pt idx="0">
                  <c:v>36.465769445630954</c:v>
                </c:pt>
                <c:pt idx="1">
                  <c:v>11.549228070312937</c:v>
                </c:pt>
                <c:pt idx="2">
                  <c:v>56.046924059291641</c:v>
                </c:pt>
                <c:pt idx="3">
                  <c:v>10.81446125590916</c:v>
                </c:pt>
                <c:pt idx="4">
                  <c:v>29.136824248567585</c:v>
                </c:pt>
                <c:pt idx="5">
                  <c:v>47.210999339471861</c:v>
                </c:pt>
                <c:pt idx="6">
                  <c:v>109.1800350685151</c:v>
                </c:pt>
                <c:pt idx="7">
                  <c:v>25.358707716074786</c:v>
                </c:pt>
                <c:pt idx="8">
                  <c:v>19.170394057075381</c:v>
                </c:pt>
              </c:numCache>
            </c:numRef>
          </c:val>
        </c:ser>
        <c:ser>
          <c:idx val="2"/>
          <c:order val="2"/>
          <c:tx>
            <c:strRef>
              <c:f>'Adjusted jurisdiction data (2)'!$E$629:$E$630</c:f>
              <c:strCache>
                <c:ptCount val="1"/>
                <c:pt idx="0">
                  <c:v>Kg of major wastes per capita SA</c:v>
                </c:pt>
              </c:strCache>
            </c:strRef>
          </c:tx>
          <c:spPr>
            <a:solidFill>
              <a:srgbClr val="FF0000"/>
            </a:solidFill>
          </c:spPr>
          <c:cat>
            <c:strRef>
              <c:f>'Adjusted jurisdiction data (2)'!$B$631:$B$639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 (2)'!$E$631:$E$639</c:f>
              <c:numCache>
                <c:formatCode>#,##0</c:formatCode>
                <c:ptCount val="9"/>
                <c:pt idx="0">
                  <c:v>39.512095629859097</c:v>
                </c:pt>
                <c:pt idx="1">
                  <c:v>35.043439908076962</c:v>
                </c:pt>
                <c:pt idx="2">
                  <c:v>2.2508916041885962</c:v>
                </c:pt>
                <c:pt idx="3">
                  <c:v>9.3072090589595646</c:v>
                </c:pt>
                <c:pt idx="4">
                  <c:v>22.99219314064457</c:v>
                </c:pt>
                <c:pt idx="5">
                  <c:v>264.79190479432697</c:v>
                </c:pt>
                <c:pt idx="6">
                  <c:v>100.0720574049091</c:v>
                </c:pt>
                <c:pt idx="7">
                  <c:v>12.885146196575304</c:v>
                </c:pt>
                <c:pt idx="8">
                  <c:v>34.012652072817808</c:v>
                </c:pt>
              </c:numCache>
            </c:numRef>
          </c:val>
        </c:ser>
        <c:ser>
          <c:idx val="3"/>
          <c:order val="3"/>
          <c:tx>
            <c:strRef>
              <c:f>'Adjusted jurisdiction data (2)'!$F$629:$F$630</c:f>
              <c:strCache>
                <c:ptCount val="1"/>
                <c:pt idx="0">
                  <c:v>Kg of major wastes per capita Vic</c:v>
                </c:pt>
              </c:strCache>
            </c:strRef>
          </c:tx>
          <c:spPr>
            <a:solidFill>
              <a:srgbClr val="002060"/>
            </a:solidFill>
          </c:spPr>
          <c:cat>
            <c:strRef>
              <c:f>'Adjusted jurisdiction data (2)'!$B$631:$B$639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 (2)'!$F$631:$F$639</c:f>
              <c:numCache>
                <c:formatCode>#,##0</c:formatCode>
                <c:ptCount val="9"/>
                <c:pt idx="0">
                  <c:v>1.5193356004637022</c:v>
                </c:pt>
                <c:pt idx="1">
                  <c:v>3.4015794019456687</c:v>
                </c:pt>
                <c:pt idx="2">
                  <c:v>17.527953477042391</c:v>
                </c:pt>
                <c:pt idx="3">
                  <c:v>9.900517546337527</c:v>
                </c:pt>
                <c:pt idx="4">
                  <c:v>17.531135331703041</c:v>
                </c:pt>
                <c:pt idx="5">
                  <c:v>66.070151410321714</c:v>
                </c:pt>
                <c:pt idx="6">
                  <c:v>76.304410156621458</c:v>
                </c:pt>
                <c:pt idx="7">
                  <c:v>13.217954569479152</c:v>
                </c:pt>
                <c:pt idx="8">
                  <c:v>14.868586220660211</c:v>
                </c:pt>
              </c:numCache>
            </c:numRef>
          </c:val>
        </c:ser>
        <c:ser>
          <c:idx val="4"/>
          <c:order val="4"/>
          <c:tx>
            <c:strRef>
              <c:f>'Adjusted jurisdiction data (2)'!$G$629:$G$630</c:f>
              <c:strCache>
                <c:ptCount val="1"/>
                <c:pt idx="0">
                  <c:v>Kg of major wastes per capita WA</c:v>
                </c:pt>
              </c:strCache>
            </c:strRef>
          </c:tx>
          <c:spPr>
            <a:solidFill>
              <a:schemeClr val="accent6"/>
            </a:solidFill>
          </c:spPr>
          <c:cat>
            <c:strRef>
              <c:f>'Adjusted jurisdiction data (2)'!$B$631:$B$639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 (2)'!$G$631:$G$639</c:f>
              <c:numCache>
                <c:formatCode>#,##0</c:formatCode>
                <c:ptCount val="9"/>
                <c:pt idx="0">
                  <c:v>35.953418097740851</c:v>
                </c:pt>
                <c:pt idx="1">
                  <c:v>3.4084223744831088</c:v>
                </c:pt>
                <c:pt idx="2">
                  <c:v>62.463791740963714</c:v>
                </c:pt>
                <c:pt idx="3">
                  <c:v>6.3864205498482578</c:v>
                </c:pt>
                <c:pt idx="4">
                  <c:v>28.019955824629971</c:v>
                </c:pt>
                <c:pt idx="5">
                  <c:v>2.6216588714120741</c:v>
                </c:pt>
                <c:pt idx="6">
                  <c:v>45.777418963669255</c:v>
                </c:pt>
                <c:pt idx="7">
                  <c:v>20.426459176529363</c:v>
                </c:pt>
                <c:pt idx="8">
                  <c:v>27.373357564136892</c:v>
                </c:pt>
              </c:numCache>
            </c:numRef>
          </c:val>
        </c:ser>
        <c:dLbls/>
        <c:axId val="159991296"/>
        <c:axId val="159993216"/>
      </c:barChart>
      <c:catAx>
        <c:axId val="159991296"/>
        <c:scaling>
          <c:orientation val="minMax"/>
        </c:scaling>
        <c:axPos val="b"/>
        <c:title>
          <c:tx>
            <c:rich>
              <a:bodyPr/>
              <a:lstStyle/>
              <a:p>
                <a:pPr>
                  <a:defRPr/>
                </a:pPr>
                <a:r>
                  <a:rPr lang="en-US"/>
                  <a:t>NEPM Category</a:t>
                </a:r>
              </a:p>
            </c:rich>
          </c:tx>
        </c:title>
        <c:tickLblPos val="nextTo"/>
        <c:txPr>
          <a:bodyPr/>
          <a:lstStyle/>
          <a:p>
            <a:pPr>
              <a:defRPr sz="800" baseline="0"/>
            </a:pPr>
            <a:endParaRPr lang="en-US"/>
          </a:p>
        </c:txPr>
        <c:crossAx val="159993216"/>
        <c:crosses val="autoZero"/>
        <c:auto val="1"/>
        <c:lblAlgn val="ctr"/>
        <c:lblOffset val="100"/>
      </c:catAx>
      <c:valAx>
        <c:axId val="159993216"/>
        <c:scaling>
          <c:orientation val="minMax"/>
        </c:scaling>
        <c:axPos val="l"/>
        <c:majorGridlines/>
        <c:title>
          <c:tx>
            <c:rich>
              <a:bodyPr rot="0" vert="horz"/>
              <a:lstStyle/>
              <a:p>
                <a:pPr>
                  <a:defRPr/>
                </a:pPr>
                <a:r>
                  <a:rPr lang="en-US"/>
                  <a:t>kg</a:t>
                </a:r>
                <a:r>
                  <a:rPr lang="en-US" baseline="0"/>
                  <a:t> per capita</a:t>
                </a:r>
                <a:endParaRPr lang="en-US"/>
              </a:p>
            </c:rich>
          </c:tx>
          <c:layout>
            <c:manualLayout>
              <c:xMode val="edge"/>
              <c:yMode val="edge"/>
              <c:x val="9.995002498750627E-3"/>
              <c:y val="6.2176395386001101E-2"/>
            </c:manualLayout>
          </c:layout>
        </c:title>
        <c:numFmt formatCode="#,##0" sourceLinked="1"/>
        <c:tickLblPos val="nextTo"/>
        <c:crossAx val="159991296"/>
        <c:crosses val="autoZero"/>
        <c:crossBetween val="between"/>
      </c:valAx>
    </c:plotArea>
    <c:legend>
      <c:legendPos val="r"/>
      <c:layout>
        <c:manualLayout>
          <c:xMode val="edge"/>
          <c:yMode val="edge"/>
          <c:x val="0.71144301864815651"/>
          <c:y val="9.0661954847894952E-2"/>
          <c:w val="0.28600150752516695"/>
          <c:h val="0.35416109562270931"/>
        </c:manualLayout>
      </c:layout>
      <c:overlay val="1"/>
      <c:txPr>
        <a:bodyPr/>
        <a:lstStyle/>
        <a:p>
          <a:pPr>
            <a:defRPr sz="800" baseline="0"/>
          </a:pPr>
          <a:endParaRPr lang="en-US"/>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'Adjusted jurisdiction data (2)'!$C$629:$C$630</c:f>
              <c:strCache>
                <c:ptCount val="1"/>
                <c:pt idx="0">
                  <c:v>Kg of major wastes per capita NSW</c:v>
                </c:pt>
              </c:strCache>
            </c:strRef>
          </c:tx>
          <c:spPr>
            <a:solidFill>
              <a:srgbClr val="00B0F0"/>
            </a:solidFill>
          </c:spPr>
          <c:cat>
            <c:strRef>
              <c:f>'Adjusted jurisdiction data (2)'!$B$631:$B$639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 (2)'!$C$631:$C$639</c:f>
              <c:numCache>
                <c:formatCode>#,##0</c:formatCode>
                <c:ptCount val="9"/>
                <c:pt idx="0">
                  <c:v>0.71157110410461344</c:v>
                </c:pt>
                <c:pt idx="1">
                  <c:v>3.7883045335169236</c:v>
                </c:pt>
                <c:pt idx="2">
                  <c:v>32.789095459142757</c:v>
                </c:pt>
                <c:pt idx="3">
                  <c:v>9.3013167741542393</c:v>
                </c:pt>
                <c:pt idx="4">
                  <c:v>22.977637053054249</c:v>
                </c:pt>
                <c:pt idx="5">
                  <c:v>68.832495814452116</c:v>
                </c:pt>
                <c:pt idx="6">
                  <c:v>47.196170702952379</c:v>
                </c:pt>
                <c:pt idx="7">
                  <c:v>27.150974563084201</c:v>
                </c:pt>
                <c:pt idx="8">
                  <c:v>13.775761601891123</c:v>
                </c:pt>
              </c:numCache>
            </c:numRef>
          </c:val>
        </c:ser>
        <c:ser>
          <c:idx val="1"/>
          <c:order val="1"/>
          <c:tx>
            <c:strRef>
              <c:f>'Adjusted jurisdiction data (2)'!$D$629:$D$630</c:f>
              <c:strCache>
                <c:ptCount val="1"/>
                <c:pt idx="0">
                  <c:v>Kg of major wastes per capita Qld</c:v>
                </c:pt>
              </c:strCache>
            </c:strRef>
          </c:tx>
          <c:spPr>
            <a:solidFill>
              <a:srgbClr val="C00000"/>
            </a:solidFill>
          </c:spPr>
          <c:cat>
            <c:strRef>
              <c:f>'Adjusted jurisdiction data (2)'!$B$631:$B$639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 (2)'!$D$631:$D$639</c:f>
              <c:numCache>
                <c:formatCode>#,##0</c:formatCode>
                <c:ptCount val="9"/>
                <c:pt idx="0">
                  <c:v>36.465769445630954</c:v>
                </c:pt>
                <c:pt idx="1">
                  <c:v>11.549228070312937</c:v>
                </c:pt>
                <c:pt idx="2">
                  <c:v>56.046924059291641</c:v>
                </c:pt>
                <c:pt idx="3">
                  <c:v>10.81446125590916</c:v>
                </c:pt>
                <c:pt idx="4">
                  <c:v>29.136824248567585</c:v>
                </c:pt>
                <c:pt idx="5">
                  <c:v>47.210999339471861</c:v>
                </c:pt>
                <c:pt idx="6">
                  <c:v>109.1800350685151</c:v>
                </c:pt>
                <c:pt idx="7">
                  <c:v>25.358707716074786</c:v>
                </c:pt>
                <c:pt idx="8">
                  <c:v>19.170394057075381</c:v>
                </c:pt>
              </c:numCache>
            </c:numRef>
          </c:val>
        </c:ser>
        <c:ser>
          <c:idx val="2"/>
          <c:order val="2"/>
          <c:tx>
            <c:strRef>
              <c:f>'Adjusted jurisdiction data (2)'!$E$629:$E$630</c:f>
              <c:strCache>
                <c:ptCount val="1"/>
                <c:pt idx="0">
                  <c:v>Kg of major wastes per capita SA</c:v>
                </c:pt>
              </c:strCache>
            </c:strRef>
          </c:tx>
          <c:spPr>
            <a:solidFill>
              <a:srgbClr val="FF0000"/>
            </a:solidFill>
          </c:spPr>
          <c:cat>
            <c:strRef>
              <c:f>'Adjusted jurisdiction data (2)'!$B$631:$B$639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 (2)'!$E$631:$E$639</c:f>
              <c:numCache>
                <c:formatCode>#,##0</c:formatCode>
                <c:ptCount val="9"/>
                <c:pt idx="0">
                  <c:v>39.512095629859097</c:v>
                </c:pt>
                <c:pt idx="1">
                  <c:v>35.043439908076962</c:v>
                </c:pt>
                <c:pt idx="2">
                  <c:v>2.2508916041885962</c:v>
                </c:pt>
                <c:pt idx="3">
                  <c:v>9.3072090589595646</c:v>
                </c:pt>
                <c:pt idx="4">
                  <c:v>22.99219314064457</c:v>
                </c:pt>
                <c:pt idx="6">
                  <c:v>100.0720574049091</c:v>
                </c:pt>
                <c:pt idx="7">
                  <c:v>12.885146196575304</c:v>
                </c:pt>
                <c:pt idx="8">
                  <c:v>34.012652072817808</c:v>
                </c:pt>
              </c:numCache>
            </c:numRef>
          </c:val>
        </c:ser>
        <c:ser>
          <c:idx val="3"/>
          <c:order val="3"/>
          <c:tx>
            <c:strRef>
              <c:f>'Adjusted jurisdiction data (2)'!$F$629:$F$630</c:f>
              <c:strCache>
                <c:ptCount val="1"/>
                <c:pt idx="0">
                  <c:v>Kg of major wastes per capita Vic</c:v>
                </c:pt>
              </c:strCache>
            </c:strRef>
          </c:tx>
          <c:spPr>
            <a:solidFill>
              <a:srgbClr val="002060"/>
            </a:solidFill>
          </c:spPr>
          <c:cat>
            <c:strRef>
              <c:f>'Adjusted jurisdiction data (2)'!$B$631:$B$639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 (2)'!$F$631:$F$639</c:f>
              <c:numCache>
                <c:formatCode>#,##0</c:formatCode>
                <c:ptCount val="9"/>
                <c:pt idx="0">
                  <c:v>1.5193356004637022</c:v>
                </c:pt>
                <c:pt idx="1">
                  <c:v>3.4015794019456687</c:v>
                </c:pt>
                <c:pt idx="2">
                  <c:v>17.527953477042391</c:v>
                </c:pt>
                <c:pt idx="3">
                  <c:v>9.900517546337527</c:v>
                </c:pt>
                <c:pt idx="4">
                  <c:v>17.531135331703041</c:v>
                </c:pt>
                <c:pt idx="5">
                  <c:v>66.070151410321714</c:v>
                </c:pt>
                <c:pt idx="6">
                  <c:v>76.304410156621458</c:v>
                </c:pt>
                <c:pt idx="7">
                  <c:v>13.217954569479152</c:v>
                </c:pt>
                <c:pt idx="8">
                  <c:v>14.868586220660211</c:v>
                </c:pt>
              </c:numCache>
            </c:numRef>
          </c:val>
        </c:ser>
        <c:ser>
          <c:idx val="4"/>
          <c:order val="4"/>
          <c:tx>
            <c:strRef>
              <c:f>'Adjusted jurisdiction data (2)'!$G$629:$G$630</c:f>
              <c:strCache>
                <c:ptCount val="1"/>
                <c:pt idx="0">
                  <c:v>Kg of major wastes per capita WA</c:v>
                </c:pt>
              </c:strCache>
            </c:strRef>
          </c:tx>
          <c:spPr>
            <a:solidFill>
              <a:schemeClr val="accent6"/>
            </a:solidFill>
          </c:spPr>
          <c:cat>
            <c:strRef>
              <c:f>'Adjusted jurisdiction data (2)'!$B$631:$B$639</c:f>
              <c:strCache>
                <c:ptCount val="9"/>
                <c:pt idx="0">
                  <c:v>Alkalis</c:v>
                </c:pt>
                <c:pt idx="1">
                  <c:v>Inorganic chemicals</c:v>
                </c:pt>
                <c:pt idx="2">
                  <c:v>Oils</c:v>
                </c:pt>
                <c:pt idx="3">
                  <c:v>Animal effluent and residues</c:v>
                </c:pt>
                <c:pt idx="4">
                  <c:v>Grease trap waste</c:v>
                </c:pt>
                <c:pt idx="5">
                  <c:v>Contaminated soils</c:v>
                </c:pt>
                <c:pt idx="6">
                  <c:v>Biosolids</c:v>
                </c:pt>
                <c:pt idx="7">
                  <c:v>Asbestos</c:v>
                </c:pt>
                <c:pt idx="8">
                  <c:v>Tyres</c:v>
                </c:pt>
              </c:strCache>
            </c:strRef>
          </c:cat>
          <c:val>
            <c:numRef>
              <c:f>'Adjusted jurisdiction data (2)'!$G$631:$G$639</c:f>
              <c:numCache>
                <c:formatCode>#,##0</c:formatCode>
                <c:ptCount val="9"/>
                <c:pt idx="0">
                  <c:v>35.953418097740851</c:v>
                </c:pt>
                <c:pt idx="1">
                  <c:v>3.4084223744831088</c:v>
                </c:pt>
                <c:pt idx="2">
                  <c:v>62.463791740963714</c:v>
                </c:pt>
                <c:pt idx="3">
                  <c:v>6.3864205498482578</c:v>
                </c:pt>
                <c:pt idx="4">
                  <c:v>28.019955824629971</c:v>
                </c:pt>
                <c:pt idx="5">
                  <c:v>2.6216588714120741</c:v>
                </c:pt>
                <c:pt idx="6">
                  <c:v>45.777418963669255</c:v>
                </c:pt>
                <c:pt idx="7">
                  <c:v>20.426459176529363</c:v>
                </c:pt>
                <c:pt idx="8">
                  <c:v>27.373357564136892</c:v>
                </c:pt>
              </c:numCache>
            </c:numRef>
          </c:val>
        </c:ser>
        <c:dLbls/>
        <c:axId val="162611584"/>
        <c:axId val="162613504"/>
      </c:barChart>
      <c:catAx>
        <c:axId val="162611584"/>
        <c:scaling>
          <c:orientation val="minMax"/>
        </c:scaling>
        <c:axPos val="b"/>
        <c:title>
          <c:tx>
            <c:rich>
              <a:bodyPr/>
              <a:lstStyle/>
              <a:p>
                <a:pPr>
                  <a:defRPr/>
                </a:pPr>
                <a:r>
                  <a:rPr lang="en-US"/>
                  <a:t>NEPM Category</a:t>
                </a:r>
              </a:p>
            </c:rich>
          </c:tx>
        </c:title>
        <c:tickLblPos val="nextTo"/>
        <c:txPr>
          <a:bodyPr/>
          <a:lstStyle/>
          <a:p>
            <a:pPr>
              <a:defRPr sz="800" baseline="0"/>
            </a:pPr>
            <a:endParaRPr lang="en-US"/>
          </a:p>
        </c:txPr>
        <c:crossAx val="162613504"/>
        <c:crosses val="autoZero"/>
        <c:auto val="1"/>
        <c:lblAlgn val="ctr"/>
        <c:lblOffset val="100"/>
      </c:catAx>
      <c:valAx>
        <c:axId val="162613504"/>
        <c:scaling>
          <c:orientation val="minMax"/>
        </c:scaling>
        <c:axPos val="l"/>
        <c:majorGridlines/>
        <c:title>
          <c:tx>
            <c:rich>
              <a:bodyPr rot="-5400000" vert="horz"/>
              <a:lstStyle/>
              <a:p>
                <a:pPr>
                  <a:defRPr/>
                </a:pPr>
                <a:r>
                  <a:rPr lang="en-US"/>
                  <a:t>kg per capita</a:t>
                </a:r>
              </a:p>
            </c:rich>
          </c:tx>
        </c:title>
        <c:numFmt formatCode="#,##0" sourceLinked="1"/>
        <c:tickLblPos val="nextTo"/>
        <c:crossAx val="162611584"/>
        <c:crosses val="autoZero"/>
        <c:crossBetween val="between"/>
      </c:valAx>
    </c:plotArea>
    <c:legend>
      <c:legendPos val="r"/>
      <c:layout>
        <c:manualLayout>
          <c:xMode val="edge"/>
          <c:yMode val="edge"/>
          <c:x val="0.74793979065869798"/>
          <c:y val="6.6548878121850113E-4"/>
          <c:w val="0.24936152998936542"/>
          <c:h val="0.30597146168911638"/>
        </c:manualLayout>
      </c:layout>
      <c:overlay val="1"/>
      <c:txPr>
        <a:bodyPr/>
        <a:lstStyle/>
        <a:p>
          <a:pPr>
            <a:defRPr sz="800" baseline="0"/>
          </a:pPr>
          <a:endParaRPr lang="en-US"/>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AU"/>
  <c:chart>
    <c:title/>
    <c:view3D>
      <c:rAngAx val="1"/>
    </c:view3D>
    <c:plotArea>
      <c:layout/>
      <c:bar3DChart>
        <c:barDir val="col"/>
        <c:grouping val="clustered"/>
        <c:ser>
          <c:idx val="0"/>
          <c:order val="0"/>
          <c:tx>
            <c:strRef>
              <c:f>'Adjusted jurisdiction data'!$B$626</c:f>
              <c:strCache>
                <c:ptCount val="1"/>
                <c:pt idx="0">
                  <c:v>Totals (all wastes) kg per capita</c:v>
                </c:pt>
              </c:strCache>
            </c:strRef>
          </c:tx>
          <c:cat>
            <c:strRef>
              <c:f>'Adjusted jurisdiction data'!$C$625:$J$625</c:f>
              <c:strCache>
                <c:ptCount val="8"/>
                <c:pt idx="0">
                  <c:v>ACT</c:v>
                </c:pt>
                <c:pt idx="1">
                  <c:v>NSW</c:v>
                </c:pt>
                <c:pt idx="2">
                  <c:v>NT</c:v>
                </c:pt>
                <c:pt idx="3">
                  <c:v>Qld</c:v>
                </c:pt>
                <c:pt idx="4">
                  <c:v>SA</c:v>
                </c:pt>
                <c:pt idx="5">
                  <c:v>Tas</c:v>
                </c:pt>
                <c:pt idx="6">
                  <c:v>Vic</c:v>
                </c:pt>
                <c:pt idx="7">
                  <c:v>WA</c:v>
                </c:pt>
              </c:strCache>
            </c:strRef>
          </c:cat>
          <c:val>
            <c:numRef>
              <c:f>'Adjusted jurisdiction data'!$C$626:$J$626</c:f>
              <c:numCache>
                <c:formatCode>0</c:formatCode>
                <c:ptCount val="8"/>
                <c:pt idx="0">
                  <c:v>181.22641108973937</c:v>
                </c:pt>
                <c:pt idx="1">
                  <c:v>241.35655715640948</c:v>
                </c:pt>
                <c:pt idx="2">
                  <c:v>103.55654715927375</c:v>
                </c:pt>
                <c:pt idx="3">
                  <c:v>377.37542077646236</c:v>
                </c:pt>
                <c:pt idx="4">
                  <c:v>530.40846260936553</c:v>
                </c:pt>
                <c:pt idx="5">
                  <c:v>337.24331719980057</c:v>
                </c:pt>
                <c:pt idx="6">
                  <c:v>240.32349421379729</c:v>
                </c:pt>
                <c:pt idx="7">
                  <c:v>246.68017874170963</c:v>
                </c:pt>
              </c:numCache>
            </c:numRef>
          </c:val>
        </c:ser>
        <c:dLbls/>
        <c:shape val="box"/>
        <c:axId val="162588928"/>
        <c:axId val="162591104"/>
        <c:axId val="0"/>
      </c:bar3DChart>
      <c:catAx>
        <c:axId val="162588928"/>
        <c:scaling>
          <c:orientation val="minMax"/>
        </c:scaling>
        <c:axPos val="b"/>
        <c:title>
          <c:tx>
            <c:rich>
              <a:bodyPr/>
              <a:lstStyle/>
              <a:p>
                <a:pPr>
                  <a:defRPr/>
                </a:pPr>
                <a:r>
                  <a:rPr lang="en-US"/>
                  <a:t>State/</a:t>
                </a:r>
                <a:r>
                  <a:rPr lang="en-US" baseline="0"/>
                  <a:t> Territory</a:t>
                </a:r>
                <a:endParaRPr lang="en-US"/>
              </a:p>
            </c:rich>
          </c:tx>
        </c:title>
        <c:tickLblPos val="nextTo"/>
        <c:crossAx val="162591104"/>
        <c:crosses val="autoZero"/>
        <c:auto val="1"/>
        <c:lblAlgn val="ctr"/>
        <c:lblOffset val="100"/>
      </c:catAx>
      <c:valAx>
        <c:axId val="162591104"/>
        <c:scaling>
          <c:orientation val="minMax"/>
        </c:scaling>
        <c:axPos val="l"/>
        <c:majorGridlines/>
        <c:title>
          <c:tx>
            <c:rich>
              <a:bodyPr rot="-5400000" vert="horz"/>
              <a:lstStyle/>
              <a:p>
                <a:pPr>
                  <a:defRPr/>
                </a:pPr>
                <a:r>
                  <a:rPr lang="en-US"/>
                  <a:t>kg per capita</a:t>
                </a:r>
              </a:p>
            </c:rich>
          </c:tx>
        </c:title>
        <c:numFmt formatCode="0" sourceLinked="1"/>
        <c:tickLblPos val="nextTo"/>
        <c:crossAx val="162588928"/>
        <c:crosses val="autoZero"/>
        <c:crossBetween val="between"/>
      </c:valAx>
    </c:plotArea>
    <c:legend>
      <c:legendPos val="r"/>
      <c:layout>
        <c:manualLayout>
          <c:xMode val="edge"/>
          <c:yMode val="edge"/>
          <c:x val="0.63322184026329476"/>
          <c:y val="0.18722704399275655"/>
          <c:w val="0.36276140177909472"/>
          <c:h val="9.978712293327148E-2"/>
        </c:manualLayout>
      </c:layout>
      <c:overlay val="1"/>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a:pPr>
            <a:r>
              <a:rPr lang="en-US" dirty="0"/>
              <a:t>Totals (all wastes) kg per capita (ex </a:t>
            </a:r>
            <a:r>
              <a:rPr lang="en-US" dirty="0" smtClean="0"/>
              <a:t>contaminated </a:t>
            </a:r>
            <a:r>
              <a:rPr lang="en-US" dirty="0"/>
              <a:t>soils)</a:t>
            </a:r>
          </a:p>
        </c:rich>
      </c:tx>
    </c:title>
    <c:view3D>
      <c:rAngAx val="1"/>
    </c:view3D>
    <c:plotArea>
      <c:layout/>
      <c:bar3DChart>
        <c:barDir val="col"/>
        <c:grouping val="clustered"/>
        <c:ser>
          <c:idx val="0"/>
          <c:order val="0"/>
          <c:tx>
            <c:strRef>
              <c:f>'Adjusted jurisdiction data'!$B$659</c:f>
              <c:strCache>
                <c:ptCount val="1"/>
                <c:pt idx="0">
                  <c:v>Totals (all wastes) kg per capita (ex contamined soils)</c:v>
                </c:pt>
              </c:strCache>
            </c:strRef>
          </c:tx>
          <c:cat>
            <c:strRef>
              <c:f>'Adjusted jurisdiction data'!$C$658:$J$658</c:f>
              <c:strCache>
                <c:ptCount val="8"/>
                <c:pt idx="0">
                  <c:v>ACT</c:v>
                </c:pt>
                <c:pt idx="1">
                  <c:v>NSW</c:v>
                </c:pt>
                <c:pt idx="2">
                  <c:v>NT</c:v>
                </c:pt>
                <c:pt idx="3">
                  <c:v>Qld</c:v>
                </c:pt>
                <c:pt idx="4">
                  <c:v>SA</c:v>
                </c:pt>
                <c:pt idx="5">
                  <c:v>Tas</c:v>
                </c:pt>
                <c:pt idx="6">
                  <c:v>Vic</c:v>
                </c:pt>
                <c:pt idx="7">
                  <c:v>WA</c:v>
                </c:pt>
              </c:strCache>
            </c:strRef>
          </c:cat>
          <c:val>
            <c:numRef>
              <c:f>'Adjusted jurisdiction data'!$C$659:$J$659</c:f>
              <c:numCache>
                <c:formatCode>#,##0</c:formatCode>
                <c:ptCount val="8"/>
                <c:pt idx="0">
                  <c:v>180.68343834980436</c:v>
                </c:pt>
                <c:pt idx="1">
                  <c:v>172.52406134195726</c:v>
                </c:pt>
                <c:pt idx="2">
                  <c:v>103.55654715927375</c:v>
                </c:pt>
                <c:pt idx="3">
                  <c:v>330.16442143699061</c:v>
                </c:pt>
                <c:pt idx="4">
                  <c:v>265.6165578150385</c:v>
                </c:pt>
                <c:pt idx="5">
                  <c:v>337.24331719980057</c:v>
                </c:pt>
                <c:pt idx="6">
                  <c:v>174.25334280347562</c:v>
                </c:pt>
                <c:pt idx="7">
                  <c:v>244.05851987029757</c:v>
                </c:pt>
              </c:numCache>
            </c:numRef>
          </c:val>
        </c:ser>
        <c:dLbls/>
        <c:shape val="box"/>
        <c:axId val="75043968"/>
        <c:axId val="75045888"/>
        <c:axId val="0"/>
      </c:bar3DChart>
      <c:catAx>
        <c:axId val="75043968"/>
        <c:scaling>
          <c:orientation val="minMax"/>
        </c:scaling>
        <c:axPos val="b"/>
        <c:title>
          <c:tx>
            <c:rich>
              <a:bodyPr/>
              <a:lstStyle/>
              <a:p>
                <a:pPr>
                  <a:defRPr/>
                </a:pPr>
                <a:r>
                  <a:rPr lang="en-US"/>
                  <a:t>State/ Territory</a:t>
                </a:r>
              </a:p>
            </c:rich>
          </c:tx>
        </c:title>
        <c:tickLblPos val="nextTo"/>
        <c:crossAx val="75045888"/>
        <c:crosses val="autoZero"/>
        <c:auto val="1"/>
        <c:lblAlgn val="ctr"/>
        <c:lblOffset val="100"/>
      </c:catAx>
      <c:valAx>
        <c:axId val="75045888"/>
        <c:scaling>
          <c:orientation val="minMax"/>
        </c:scaling>
        <c:axPos val="l"/>
        <c:majorGridlines/>
        <c:title>
          <c:tx>
            <c:rich>
              <a:bodyPr rot="-5400000" vert="horz"/>
              <a:lstStyle/>
              <a:p>
                <a:pPr>
                  <a:defRPr/>
                </a:pPr>
                <a:r>
                  <a:rPr lang="en-US"/>
                  <a:t>kg per capita</a:t>
                </a:r>
              </a:p>
            </c:rich>
          </c:tx>
        </c:title>
        <c:numFmt formatCode="#,##0" sourceLinked="1"/>
        <c:tickLblPos val="nextTo"/>
        <c:crossAx val="75043968"/>
        <c:crosses val="autoZero"/>
        <c:crossBetween val="between"/>
      </c:valAx>
    </c:plotArea>
    <c:legend>
      <c:legendPos val="r"/>
      <c:layout>
        <c:manualLayout>
          <c:xMode val="edge"/>
          <c:yMode val="edge"/>
          <c:x val="0.34905350653862327"/>
          <c:y val="0.13892674931695909"/>
          <c:w val="0.65052815484406168"/>
          <c:h val="0.16097685371931375"/>
        </c:manualLayout>
      </c:layout>
      <c:overlay val="1"/>
    </c:legend>
    <c:plotVisOnly val="1"/>
    <c:dispBlanksAs val="gap"/>
  </c:chart>
  <c:externalData r:id="rId1"/>
</c:chartSpace>
</file>

<file path=word/theme/theme1.xml><?xml version="1.0" encoding="utf-8"?>
<a:theme xmlns:a="http://schemas.openxmlformats.org/drawingml/2006/main" name="Office Theme">
  <a:themeElements>
    <a:clrScheme name="Blue Environment">
      <a:dk1>
        <a:srgbClr val="0C0C0C"/>
      </a:dk1>
      <a:lt1>
        <a:sysClr val="window" lastClr="FFFFFF"/>
      </a:lt1>
      <a:dk2>
        <a:srgbClr val="0000FF"/>
      </a:dk2>
      <a:lt2>
        <a:srgbClr val="7F7F7F"/>
      </a:lt2>
      <a:accent1>
        <a:srgbClr val="0000FF"/>
      </a:accent1>
      <a:accent2>
        <a:srgbClr val="7F7F7F"/>
      </a:accent2>
      <a:accent3>
        <a:srgbClr val="F2F2F2"/>
      </a:accent3>
      <a:accent4>
        <a:srgbClr val="92D050"/>
      </a:accent4>
      <a:accent5>
        <a:srgbClr val="FF0000"/>
      </a:accent5>
      <a:accent6>
        <a:srgbClr val="FFCC66"/>
      </a:accent6>
      <a:hlink>
        <a:srgbClr val="0000FF"/>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70">
    <a:dk1>
      <a:srgbClr val="000000"/>
    </a:dk1>
    <a:lt1>
      <a:srgbClr val="FFFFFF"/>
    </a:lt1>
    <a:dk2>
      <a:srgbClr val="262626"/>
    </a:dk2>
    <a:lt2>
      <a:srgbClr val="BFBFBF"/>
    </a:lt2>
    <a:accent1>
      <a:srgbClr val="A8B500"/>
    </a:accent1>
    <a:accent2>
      <a:srgbClr val="F05025"/>
    </a:accent2>
    <a:accent3>
      <a:srgbClr val="8B6BAF"/>
    </a:accent3>
    <a:accent4>
      <a:srgbClr val="6E95C7"/>
    </a:accent4>
    <a:accent5>
      <a:srgbClr val="EFC63A"/>
    </a:accent5>
    <a:accent6>
      <a:srgbClr val="262626"/>
    </a:accent6>
    <a:hlink>
      <a:srgbClr val="000000"/>
    </a:hlink>
    <a:folHlink>
      <a:srgbClr val="7F7F7F"/>
    </a:folHlink>
  </a:clrScheme>
  <a:fontScheme name="Office 2">
    <a:majorFont>
      <a:latin typeface="Lucida Sans"/>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Lucida Sans"/>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86F5F-08EC-43A2-A4E4-788D2CADC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Environment Report.dotm</Template>
  <TotalTime>11</TotalTime>
  <Pages>56</Pages>
  <Words>13797</Words>
  <Characters>81654</Characters>
  <Application>Microsoft Office Word</Application>
  <DocSecurity>0</DocSecurity>
  <Lines>680</Lines>
  <Paragraphs>190</Paragraphs>
  <ScaleCrop>false</ScaleCrop>
  <HeadingPairs>
    <vt:vector size="2" baseType="variant">
      <vt:variant>
        <vt:lpstr>Title</vt:lpstr>
      </vt:variant>
      <vt:variant>
        <vt:i4>1</vt:i4>
      </vt:variant>
    </vt:vector>
  </HeadingPairs>
  <TitlesOfParts>
    <vt:vector size="1" baseType="lpstr">
      <vt:lpstr/>
    </vt:vector>
  </TitlesOfParts>
  <Company>ENVIRON</Company>
  <LinksUpToDate>false</LinksUpToDate>
  <CharactersWithSpaces>95261</CharactersWithSpaces>
  <SharedDoc>false</SharedDoc>
  <HLinks>
    <vt:vector size="60" baseType="variant">
      <vt:variant>
        <vt:i4>1966135</vt:i4>
      </vt:variant>
      <vt:variant>
        <vt:i4>44</vt:i4>
      </vt:variant>
      <vt:variant>
        <vt:i4>0</vt:i4>
      </vt:variant>
      <vt:variant>
        <vt:i4>5</vt:i4>
      </vt:variant>
      <vt:variant>
        <vt:lpwstr/>
      </vt:variant>
      <vt:variant>
        <vt:lpwstr>_Toc156623299</vt:lpwstr>
      </vt:variant>
      <vt:variant>
        <vt:i4>1966135</vt:i4>
      </vt:variant>
      <vt:variant>
        <vt:i4>38</vt:i4>
      </vt:variant>
      <vt:variant>
        <vt:i4>0</vt:i4>
      </vt:variant>
      <vt:variant>
        <vt:i4>5</vt:i4>
      </vt:variant>
      <vt:variant>
        <vt:lpwstr/>
      </vt:variant>
      <vt:variant>
        <vt:lpwstr>_Toc156623298</vt:lpwstr>
      </vt:variant>
      <vt:variant>
        <vt:i4>1966135</vt:i4>
      </vt:variant>
      <vt:variant>
        <vt:i4>32</vt:i4>
      </vt:variant>
      <vt:variant>
        <vt:i4>0</vt:i4>
      </vt:variant>
      <vt:variant>
        <vt:i4>5</vt:i4>
      </vt:variant>
      <vt:variant>
        <vt:lpwstr/>
      </vt:variant>
      <vt:variant>
        <vt:lpwstr>_Toc156623297</vt:lpwstr>
      </vt:variant>
      <vt:variant>
        <vt:i4>1966135</vt:i4>
      </vt:variant>
      <vt:variant>
        <vt:i4>26</vt:i4>
      </vt:variant>
      <vt:variant>
        <vt:i4>0</vt:i4>
      </vt:variant>
      <vt:variant>
        <vt:i4>5</vt:i4>
      </vt:variant>
      <vt:variant>
        <vt:lpwstr/>
      </vt:variant>
      <vt:variant>
        <vt:lpwstr>_Toc156623296</vt:lpwstr>
      </vt:variant>
      <vt:variant>
        <vt:i4>1966135</vt:i4>
      </vt:variant>
      <vt:variant>
        <vt:i4>20</vt:i4>
      </vt:variant>
      <vt:variant>
        <vt:i4>0</vt:i4>
      </vt:variant>
      <vt:variant>
        <vt:i4>5</vt:i4>
      </vt:variant>
      <vt:variant>
        <vt:lpwstr/>
      </vt:variant>
      <vt:variant>
        <vt:lpwstr>_Toc156623295</vt:lpwstr>
      </vt:variant>
      <vt:variant>
        <vt:i4>1966135</vt:i4>
      </vt:variant>
      <vt:variant>
        <vt:i4>14</vt:i4>
      </vt:variant>
      <vt:variant>
        <vt:i4>0</vt:i4>
      </vt:variant>
      <vt:variant>
        <vt:i4>5</vt:i4>
      </vt:variant>
      <vt:variant>
        <vt:lpwstr/>
      </vt:variant>
      <vt:variant>
        <vt:lpwstr>_Toc156623294</vt:lpwstr>
      </vt:variant>
      <vt:variant>
        <vt:i4>1966135</vt:i4>
      </vt:variant>
      <vt:variant>
        <vt:i4>8</vt:i4>
      </vt:variant>
      <vt:variant>
        <vt:i4>0</vt:i4>
      </vt:variant>
      <vt:variant>
        <vt:i4>5</vt:i4>
      </vt:variant>
      <vt:variant>
        <vt:lpwstr/>
      </vt:variant>
      <vt:variant>
        <vt:lpwstr>_Toc156623293</vt:lpwstr>
      </vt:variant>
      <vt:variant>
        <vt:i4>1966135</vt:i4>
      </vt:variant>
      <vt:variant>
        <vt:i4>2</vt:i4>
      </vt:variant>
      <vt:variant>
        <vt:i4>0</vt:i4>
      </vt:variant>
      <vt:variant>
        <vt:i4>5</vt:i4>
      </vt:variant>
      <vt:variant>
        <vt:lpwstr/>
      </vt:variant>
      <vt:variant>
        <vt:lpwstr>_Toc156623292</vt:lpwstr>
      </vt:variant>
      <vt:variant>
        <vt:i4>6422568</vt:i4>
      </vt:variant>
      <vt:variant>
        <vt:i4>3</vt:i4>
      </vt:variant>
      <vt:variant>
        <vt:i4>0</vt:i4>
      </vt:variant>
      <vt:variant>
        <vt:i4>5</vt:i4>
      </vt:variant>
      <vt:variant>
        <vt:lpwstr>http://www.blueenvironment.com.au/</vt:lpwstr>
      </vt:variant>
      <vt:variant>
        <vt:lpwstr/>
      </vt:variant>
      <vt:variant>
        <vt:i4>5046309</vt:i4>
      </vt:variant>
      <vt:variant>
        <vt:i4>0</vt:i4>
      </vt:variant>
      <vt:variant>
        <vt:i4>0</vt:i4>
      </vt:variant>
      <vt:variant>
        <vt:i4>5</vt:i4>
      </vt:variant>
      <vt:variant>
        <vt:lpwstr>mailto:blue@blueenvironment.com.au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Australia's reporting on hazardous waste under the Basel Convention</dc:title>
  <dc:creator>Joe Pickin</dc:creator>
  <cp:lastModifiedBy>Rebecca Durack</cp:lastModifiedBy>
  <cp:revision>2</cp:revision>
  <cp:lastPrinted>2014-06-17T06:36:00Z</cp:lastPrinted>
  <dcterms:created xsi:type="dcterms:W3CDTF">2015-01-19T00:52:00Z</dcterms:created>
  <dcterms:modified xsi:type="dcterms:W3CDTF">2015-01-19T00:52:00Z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Client">
    <vt:lpwstr>Department of the Environment</vt:lpwstr>
  </property>
  <property fmtid="{D5CDD505-2E9C-101B-9397-08002B2CF9AE}" pid="3" name="xDraft">
    <vt:lpwstr>Final</vt:lpwstr>
  </property>
  <property fmtid="{D5CDD505-2E9C-101B-9397-08002B2CF9AE}" pid="4" name="xVersion">
    <vt:lpwstr/>
  </property>
  <property fmtid="{D5CDD505-2E9C-101B-9397-08002B2CF9AE}" pid="5" name="xDate">
    <vt:lpwstr>17 June 2014</vt:lpwstr>
  </property>
  <property fmtid="{D5CDD505-2E9C-101B-9397-08002B2CF9AE}" pid="6" name="xContractDate">
    <vt:lpwstr>5 November 2013</vt:lpwstr>
  </property>
  <property fmtid="{D5CDD505-2E9C-101B-9397-08002B2CF9AE}" pid="7" name="xAuthor">
    <vt:lpwstr>Geoff Latimer</vt:lpwstr>
  </property>
  <property fmtid="{D5CDD505-2E9C-101B-9397-08002B2CF9AE}" pid="8" name="xReviewer">
    <vt:lpwstr>Joe Pickin</vt:lpwstr>
  </property>
  <property fmtid="{D5CDD505-2E9C-101B-9397-08002B2CF9AE}" pid="9" name="xCopyright">
    <vt:lpwstr>Department of the Environment and Blue Environment Pty Ltd</vt:lpwstr>
  </property>
  <property fmtid="{D5CDD505-2E9C-101B-9397-08002B2CF9AE}" pid="10" name="xProjectNumber">
    <vt:lpwstr>P459</vt:lpwstr>
  </property>
  <property fmtid="{D5CDD505-2E9C-101B-9397-08002B2CF9AE}" pid="11" name="xCurrentTo">
    <vt:lpwstr>January 2014</vt:lpwstr>
  </property>
  <property fmtid="{D5CDD505-2E9C-101B-9397-08002B2CF9AE}" pid="12" name="xTableTitle">
    <vt:lpwstr>True</vt:lpwstr>
  </property>
  <property fmtid="{D5CDD505-2E9C-101B-9397-08002B2CF9AE}" pid="13" name="xTableInfo">
    <vt:lpwstr>True</vt:lpwstr>
  </property>
  <property fmtid="{D5CDD505-2E9C-101B-9397-08002B2CF9AE}" pid="14" name="xTitle">
    <vt:lpwstr>Improving Australia's reporting on hazardous waste under the Basel Convention</vt:lpwstr>
  </property>
</Properties>
</file>