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723A" w14:textId="77777777" w:rsidR="00FD4513" w:rsidRDefault="00C87206" w:rsidP="0073212D">
      <w:pPr>
        <w:pStyle w:val="Heading1"/>
        <w:rPr>
          <w:sz w:val="22"/>
          <w:szCs w:val="22"/>
        </w:rPr>
      </w:pPr>
      <w:r>
        <w:t xml:space="preserve">Incidents resolved by the National Biosecurity Management Consultative Committee (NBMCC) and the National Biosecurity Management Group under the National Environmental </w:t>
      </w:r>
      <w:r w:rsidRPr="0073212D">
        <w:t>Biosecurity</w:t>
      </w:r>
      <w:r>
        <w:t xml:space="preserve"> Response Agreement (NEBRA)</w:t>
      </w:r>
      <w:r w:rsidRPr="00AC0C0B">
        <w:t xml:space="preserve"> </w:t>
      </w:r>
      <w:r w:rsidR="00FD4513">
        <w:sym w:font="Symbol" w:char="F02D"/>
      </w:r>
      <w:r w:rsidR="006F5D7E">
        <w:t xml:space="preserve"> 1 J</w:t>
      </w:r>
      <w:r w:rsidR="004C0ABF">
        <w:t>uly 2016 to 30</w:t>
      </w:r>
      <w:r w:rsidR="00FD4513">
        <w:t xml:space="preserve"> June 2017</w:t>
      </w:r>
    </w:p>
    <w:p w14:paraId="119CD4EB" w14:textId="77777777" w:rsidR="00FD4513" w:rsidRDefault="00FD4513" w:rsidP="008B768D">
      <w:pPr>
        <w:ind w:firstLine="72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133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1275"/>
        <w:gridCol w:w="1418"/>
        <w:gridCol w:w="1417"/>
        <w:gridCol w:w="6237"/>
      </w:tblGrid>
      <w:tr w:rsidR="00282AA8" w:rsidRPr="00C2015F" w14:paraId="2C5795A2" w14:textId="77777777" w:rsidTr="00282AA8">
        <w:trPr>
          <w:cantSplit/>
          <w:trHeight w:val="514"/>
          <w:tblHeader/>
        </w:trPr>
        <w:tc>
          <w:tcPr>
            <w:tcW w:w="1984" w:type="dxa"/>
            <w:shd w:val="clear" w:color="auto" w:fill="17365D"/>
          </w:tcPr>
          <w:p w14:paraId="48A0F78A" w14:textId="77777777" w:rsidR="00282AA8" w:rsidRDefault="00282AA8" w:rsidP="00500F29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2015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Scientific Name</w:t>
            </w:r>
          </w:p>
          <w:p w14:paraId="62454BDE" w14:textId="77777777" w:rsidR="00282AA8" w:rsidRPr="00C2015F" w:rsidRDefault="00282AA8" w:rsidP="00500F29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(common name)</w:t>
            </w:r>
          </w:p>
        </w:tc>
        <w:tc>
          <w:tcPr>
            <w:tcW w:w="993" w:type="dxa"/>
            <w:shd w:val="clear" w:color="auto" w:fill="17365D"/>
            <w:noWrap/>
            <w:hideMark/>
          </w:tcPr>
          <w:p w14:paraId="177C74CB" w14:textId="77777777" w:rsidR="00282AA8" w:rsidRPr="00C2015F" w:rsidRDefault="00282AA8" w:rsidP="00500F29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2015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Taxon Type</w:t>
            </w:r>
          </w:p>
        </w:tc>
        <w:tc>
          <w:tcPr>
            <w:tcW w:w="1275" w:type="dxa"/>
            <w:shd w:val="clear" w:color="auto" w:fill="17365D"/>
            <w:hideMark/>
          </w:tcPr>
          <w:p w14:paraId="1C994DDD" w14:textId="77777777" w:rsidR="00282AA8" w:rsidRPr="00C2015F" w:rsidRDefault="00282AA8" w:rsidP="00500F29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Notifying Jurisdiction</w:t>
            </w:r>
          </w:p>
        </w:tc>
        <w:tc>
          <w:tcPr>
            <w:tcW w:w="1418" w:type="dxa"/>
            <w:shd w:val="clear" w:color="auto" w:fill="17365D"/>
          </w:tcPr>
          <w:p w14:paraId="404CE104" w14:textId="77777777" w:rsidR="00282AA8" w:rsidRPr="00C2015F" w:rsidRDefault="00282AA8" w:rsidP="005E348F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2015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 xml:space="preserve">Date notified to </w:t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NBMCC</w:t>
            </w:r>
          </w:p>
        </w:tc>
        <w:tc>
          <w:tcPr>
            <w:tcW w:w="1417" w:type="dxa"/>
            <w:shd w:val="clear" w:color="auto" w:fill="17365D"/>
          </w:tcPr>
          <w:p w14:paraId="6061261A" w14:textId="77777777" w:rsidR="00282AA8" w:rsidRPr="00C2015F" w:rsidRDefault="00282AA8" w:rsidP="005E348F">
            <w:pP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Date NBMCC reached C</w:t>
            </w:r>
            <w:r w:rsidRPr="00C2015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onsensus</w:t>
            </w:r>
          </w:p>
        </w:tc>
        <w:tc>
          <w:tcPr>
            <w:tcW w:w="6237" w:type="dxa"/>
            <w:shd w:val="clear" w:color="auto" w:fill="17365D"/>
            <w:noWrap/>
            <w:hideMark/>
          </w:tcPr>
          <w:p w14:paraId="09FF9083" w14:textId="77777777" w:rsidR="00282AA8" w:rsidRPr="00C2015F" w:rsidRDefault="00282AA8" w:rsidP="00706260">
            <w:pPr>
              <w:tabs>
                <w:tab w:val="center" w:pos="2473"/>
              </w:tabs>
              <w:ind w:right="34"/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</w:pPr>
            <w:r w:rsidRPr="00C2015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Comment for N</w:t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B</w:t>
            </w:r>
            <w:r w:rsidRPr="00C2015F"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>MG</w:t>
            </w:r>
            <w:r>
              <w:rPr>
                <w:rFonts w:asciiTheme="minorHAnsi" w:hAnsiTheme="minorHAnsi" w:cs="Arial"/>
                <w:b/>
                <w:bCs/>
                <w:color w:val="FFFFFF"/>
                <w:sz w:val="22"/>
                <w:szCs w:val="22"/>
              </w:rPr>
              <w:tab/>
            </w:r>
          </w:p>
        </w:tc>
      </w:tr>
      <w:tr w:rsidR="00282AA8" w:rsidRPr="00706260" w14:paraId="63F3D0A4" w14:textId="77777777" w:rsidTr="00282AA8">
        <w:trPr>
          <w:cantSplit/>
          <w:trHeight w:val="229"/>
        </w:trPr>
        <w:tc>
          <w:tcPr>
            <w:tcW w:w="1984" w:type="dxa"/>
          </w:tcPr>
          <w:p w14:paraId="3714297D" w14:textId="77777777" w:rsidR="00282AA8" w:rsidRPr="009A2CA0" w:rsidRDefault="00282AA8" w:rsidP="00DB709D">
            <w:pPr>
              <w:rPr>
                <w:rFonts w:asciiTheme="minorHAnsi" w:hAnsiTheme="minorHAnsi"/>
                <w:sz w:val="20"/>
                <w:szCs w:val="20"/>
              </w:rPr>
            </w:pPr>
            <w:r w:rsidRPr="00A4262E">
              <w:rPr>
                <w:rFonts w:asciiTheme="minorHAnsi" w:hAnsiTheme="minorHAnsi"/>
                <w:i/>
                <w:sz w:val="20"/>
                <w:szCs w:val="20"/>
              </w:rPr>
              <w:t>Gamasolaelaps whartoni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(predatory mite)</w:t>
            </w:r>
          </w:p>
        </w:tc>
        <w:tc>
          <w:tcPr>
            <w:tcW w:w="993" w:type="dxa"/>
            <w:shd w:val="clear" w:color="auto" w:fill="auto"/>
            <w:noWrap/>
          </w:tcPr>
          <w:p w14:paraId="1B887EBF" w14:textId="77777777" w:rsidR="00282AA8" w:rsidRPr="006561F6" w:rsidRDefault="00282AA8" w:rsidP="00DB709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Mite</w:t>
            </w:r>
          </w:p>
        </w:tc>
        <w:tc>
          <w:tcPr>
            <w:tcW w:w="1275" w:type="dxa"/>
            <w:shd w:val="clear" w:color="auto" w:fill="auto"/>
            <w:noWrap/>
          </w:tcPr>
          <w:p w14:paraId="5E733329" w14:textId="77777777" w:rsidR="00282AA8" w:rsidRPr="006561F6" w:rsidRDefault="00282AA8" w:rsidP="00DB709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NSW</w:t>
            </w:r>
          </w:p>
        </w:tc>
        <w:tc>
          <w:tcPr>
            <w:tcW w:w="1418" w:type="dxa"/>
          </w:tcPr>
          <w:p w14:paraId="047E9A91" w14:textId="77777777" w:rsidR="00282AA8" w:rsidRPr="006561F6" w:rsidRDefault="00282AA8" w:rsidP="00DB709D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29/08/2016</w:t>
            </w:r>
          </w:p>
        </w:tc>
        <w:tc>
          <w:tcPr>
            <w:tcW w:w="1417" w:type="dxa"/>
          </w:tcPr>
          <w:p w14:paraId="07FC6B05" w14:textId="77777777" w:rsidR="00282AA8" w:rsidRPr="006561F6" w:rsidRDefault="00282AA8" w:rsidP="00DB709D">
            <w:pPr>
              <w:tabs>
                <w:tab w:val="left" w:pos="793"/>
              </w:tabs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13/09/2016</w:t>
            </w:r>
          </w:p>
        </w:tc>
        <w:tc>
          <w:tcPr>
            <w:tcW w:w="6237" w:type="dxa"/>
            <w:shd w:val="clear" w:color="auto" w:fill="auto"/>
          </w:tcPr>
          <w:p w14:paraId="79A25716" w14:textId="77777777" w:rsidR="00282AA8" w:rsidRPr="006561F6" w:rsidRDefault="00282AA8" w:rsidP="006561F6">
            <w:pPr>
              <w:rPr>
                <w:rFonts w:asciiTheme="minorHAnsi" w:hAnsiTheme="minorHAnsi"/>
                <w:sz w:val="20"/>
                <w:szCs w:val="20"/>
              </w:rPr>
            </w:pPr>
            <w:r w:rsidRPr="006561F6">
              <w:rPr>
                <w:rFonts w:asciiTheme="minorHAnsi" w:hAnsiTheme="minorHAnsi"/>
                <w:sz w:val="20"/>
                <w:szCs w:val="20"/>
              </w:rPr>
              <w:t xml:space="preserve">Consensus by the NBMCC that </w:t>
            </w:r>
            <w:r w:rsidRPr="00A4262E">
              <w:rPr>
                <w:rFonts w:asciiTheme="minorHAnsi" w:hAnsiTheme="minorHAnsi"/>
                <w:i/>
                <w:sz w:val="20"/>
                <w:szCs w:val="20"/>
              </w:rPr>
              <w:t>Gamasolaelaps whartoni</w:t>
            </w:r>
            <w:r w:rsidRPr="006561F6">
              <w:rPr>
                <w:rFonts w:asciiTheme="minorHAnsi" w:hAnsiTheme="minorHAnsi"/>
                <w:sz w:val="20"/>
                <w:szCs w:val="20"/>
              </w:rPr>
              <w:t xml:space="preserve"> is not nationally significant as defined under the NEBRA.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82AA8" w:rsidRPr="00706260" w14:paraId="2105C0F7" w14:textId="77777777" w:rsidTr="00282AA8">
        <w:trPr>
          <w:cantSplit/>
          <w:trHeight w:val="229"/>
        </w:trPr>
        <w:tc>
          <w:tcPr>
            <w:tcW w:w="1984" w:type="dxa"/>
          </w:tcPr>
          <w:p w14:paraId="1B9801EA" w14:textId="77777777" w:rsidR="00282AA8" w:rsidRPr="006561F6" w:rsidRDefault="00282AA8" w:rsidP="00A4262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4262E">
              <w:rPr>
                <w:rFonts w:asciiTheme="minorHAnsi" w:hAnsiTheme="minorHAnsi"/>
                <w:i/>
                <w:sz w:val="20"/>
                <w:szCs w:val="20"/>
              </w:rPr>
              <w:t>Holaspulus tenuipes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(predatory mite)</w:t>
            </w:r>
          </w:p>
        </w:tc>
        <w:tc>
          <w:tcPr>
            <w:tcW w:w="993" w:type="dxa"/>
            <w:shd w:val="clear" w:color="auto" w:fill="auto"/>
            <w:noWrap/>
          </w:tcPr>
          <w:p w14:paraId="318E3BC9" w14:textId="77777777" w:rsidR="00282AA8" w:rsidRPr="006561F6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Mite</w:t>
            </w:r>
          </w:p>
        </w:tc>
        <w:tc>
          <w:tcPr>
            <w:tcW w:w="1275" w:type="dxa"/>
            <w:shd w:val="clear" w:color="auto" w:fill="auto"/>
            <w:noWrap/>
          </w:tcPr>
          <w:p w14:paraId="38985653" w14:textId="77777777" w:rsidR="00282AA8" w:rsidRPr="006561F6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NSW</w:t>
            </w:r>
          </w:p>
        </w:tc>
        <w:tc>
          <w:tcPr>
            <w:tcW w:w="1418" w:type="dxa"/>
          </w:tcPr>
          <w:p w14:paraId="473492DB" w14:textId="77777777" w:rsidR="00282AA8" w:rsidRPr="006561F6" w:rsidRDefault="00282AA8" w:rsidP="00A4262E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29/08/2016</w:t>
            </w:r>
          </w:p>
        </w:tc>
        <w:tc>
          <w:tcPr>
            <w:tcW w:w="1417" w:type="dxa"/>
          </w:tcPr>
          <w:p w14:paraId="46F2BA31" w14:textId="77777777" w:rsidR="00282AA8" w:rsidRPr="006561F6" w:rsidRDefault="00282AA8" w:rsidP="00A4262E">
            <w:pPr>
              <w:tabs>
                <w:tab w:val="left" w:pos="793"/>
              </w:tabs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13/09/2016</w:t>
            </w:r>
          </w:p>
        </w:tc>
        <w:tc>
          <w:tcPr>
            <w:tcW w:w="6237" w:type="dxa"/>
            <w:shd w:val="clear" w:color="auto" w:fill="auto"/>
          </w:tcPr>
          <w:p w14:paraId="68DDD373" w14:textId="77777777" w:rsidR="00282AA8" w:rsidRPr="006561F6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6561F6">
              <w:rPr>
                <w:rFonts w:asciiTheme="minorHAnsi" w:hAnsiTheme="minorHAnsi"/>
                <w:sz w:val="20"/>
                <w:szCs w:val="20"/>
              </w:rPr>
              <w:t xml:space="preserve">Consensus by the NBMCC that </w:t>
            </w:r>
            <w:r w:rsidRPr="00A4262E">
              <w:rPr>
                <w:rFonts w:asciiTheme="minorHAnsi" w:hAnsiTheme="minorHAnsi"/>
                <w:i/>
                <w:sz w:val="20"/>
                <w:szCs w:val="20"/>
              </w:rPr>
              <w:t>Holaspulus tenuipes</w:t>
            </w:r>
            <w:r w:rsidRPr="006561F6">
              <w:rPr>
                <w:rFonts w:asciiTheme="minorHAnsi" w:hAnsiTheme="minorHAnsi"/>
                <w:sz w:val="20"/>
                <w:szCs w:val="20"/>
              </w:rPr>
              <w:t xml:space="preserve"> is not nationally significant as defined under the NEBRA.</w:t>
            </w:r>
          </w:p>
        </w:tc>
      </w:tr>
      <w:tr w:rsidR="00282AA8" w:rsidRPr="00706260" w14:paraId="79CB6D46" w14:textId="77777777" w:rsidTr="00282AA8">
        <w:trPr>
          <w:cantSplit/>
          <w:trHeight w:val="229"/>
        </w:trPr>
        <w:tc>
          <w:tcPr>
            <w:tcW w:w="1984" w:type="dxa"/>
          </w:tcPr>
          <w:p w14:paraId="74C88391" w14:textId="77777777" w:rsidR="00282AA8" w:rsidRPr="009A2CA0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6561F6">
              <w:rPr>
                <w:rFonts w:asciiTheme="minorHAnsi" w:hAnsiTheme="minorHAnsi"/>
                <w:i/>
                <w:sz w:val="20"/>
                <w:szCs w:val="20"/>
              </w:rPr>
              <w:t>Miomantis caffra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(South African mantid)</w:t>
            </w:r>
          </w:p>
        </w:tc>
        <w:tc>
          <w:tcPr>
            <w:tcW w:w="993" w:type="dxa"/>
            <w:shd w:val="clear" w:color="auto" w:fill="auto"/>
            <w:noWrap/>
          </w:tcPr>
          <w:p w14:paraId="4B6C4896" w14:textId="77777777" w:rsidR="00282AA8" w:rsidRPr="006561F6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6561F6">
              <w:rPr>
                <w:rFonts w:asciiTheme="minorHAnsi" w:hAnsiTheme="minorHAnsi"/>
                <w:sz w:val="20"/>
                <w:szCs w:val="20"/>
              </w:rPr>
              <w:t>Insect</w:t>
            </w:r>
          </w:p>
        </w:tc>
        <w:tc>
          <w:tcPr>
            <w:tcW w:w="1275" w:type="dxa"/>
            <w:shd w:val="clear" w:color="auto" w:fill="auto"/>
            <w:noWrap/>
          </w:tcPr>
          <w:p w14:paraId="14298686" w14:textId="77777777" w:rsidR="00282AA8" w:rsidRPr="006561F6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6561F6">
              <w:rPr>
                <w:rFonts w:asciiTheme="minorHAnsi" w:hAnsiTheme="minorHAnsi"/>
                <w:sz w:val="20"/>
                <w:szCs w:val="20"/>
              </w:rPr>
              <w:t>VIC</w:t>
            </w:r>
          </w:p>
        </w:tc>
        <w:tc>
          <w:tcPr>
            <w:tcW w:w="1418" w:type="dxa"/>
          </w:tcPr>
          <w:p w14:paraId="181A88F7" w14:textId="77777777" w:rsidR="00282AA8" w:rsidRPr="006561F6" w:rsidRDefault="00282AA8" w:rsidP="00A4262E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6561F6">
              <w:rPr>
                <w:rFonts w:asciiTheme="minorHAnsi" w:hAnsiTheme="minorHAnsi" w:cs="Arial"/>
                <w:iCs/>
                <w:sz w:val="20"/>
                <w:szCs w:val="20"/>
              </w:rPr>
              <w:t>4/04/2016</w:t>
            </w:r>
          </w:p>
        </w:tc>
        <w:tc>
          <w:tcPr>
            <w:tcW w:w="1417" w:type="dxa"/>
          </w:tcPr>
          <w:p w14:paraId="4D052DBE" w14:textId="77777777" w:rsidR="00282AA8" w:rsidRPr="006561F6" w:rsidRDefault="00282AA8" w:rsidP="00A4262E">
            <w:pPr>
              <w:tabs>
                <w:tab w:val="left" w:pos="793"/>
              </w:tabs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6561F6">
              <w:rPr>
                <w:rFonts w:asciiTheme="minorHAnsi" w:hAnsiTheme="minorHAnsi" w:cs="Arial"/>
                <w:iCs/>
                <w:sz w:val="20"/>
                <w:szCs w:val="20"/>
              </w:rPr>
              <w:t>16/07/2016</w:t>
            </w:r>
          </w:p>
        </w:tc>
        <w:tc>
          <w:tcPr>
            <w:tcW w:w="6237" w:type="dxa"/>
            <w:shd w:val="clear" w:color="auto" w:fill="auto"/>
          </w:tcPr>
          <w:p w14:paraId="5AB8ACD6" w14:textId="77777777" w:rsidR="00282AA8" w:rsidRPr="006561F6" w:rsidRDefault="00282AA8" w:rsidP="00C15A40">
            <w:pPr>
              <w:rPr>
                <w:rFonts w:asciiTheme="minorHAnsi" w:hAnsiTheme="minorHAnsi"/>
                <w:sz w:val="20"/>
                <w:szCs w:val="20"/>
              </w:rPr>
            </w:pPr>
            <w:r w:rsidRPr="006561F6">
              <w:rPr>
                <w:rFonts w:asciiTheme="minorHAnsi" w:hAnsiTheme="minorHAnsi"/>
                <w:sz w:val="20"/>
                <w:szCs w:val="20"/>
              </w:rPr>
              <w:t xml:space="preserve">Consensus by the NBMCC that </w:t>
            </w:r>
            <w:r w:rsidRPr="006561F6">
              <w:rPr>
                <w:rFonts w:asciiTheme="minorHAnsi" w:hAnsiTheme="minorHAnsi"/>
                <w:i/>
                <w:sz w:val="20"/>
                <w:szCs w:val="20"/>
              </w:rPr>
              <w:t xml:space="preserve">Miomantis caffra </w:t>
            </w:r>
            <w:r w:rsidRPr="006561F6">
              <w:rPr>
                <w:rFonts w:asciiTheme="minorHAnsi" w:hAnsiTheme="minorHAnsi"/>
                <w:sz w:val="20"/>
                <w:szCs w:val="20"/>
              </w:rPr>
              <w:t>is not nationally significant as defined under the NEBRA.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82AA8" w:rsidRPr="00706260" w14:paraId="0BD3CD5D" w14:textId="77777777" w:rsidTr="00282AA8">
        <w:trPr>
          <w:cantSplit/>
          <w:trHeight w:val="229"/>
        </w:trPr>
        <w:tc>
          <w:tcPr>
            <w:tcW w:w="1984" w:type="dxa"/>
          </w:tcPr>
          <w:p w14:paraId="0C2C06FA" w14:textId="77777777" w:rsidR="00282AA8" w:rsidRPr="009A2CA0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065329">
              <w:rPr>
                <w:rFonts w:asciiTheme="minorHAnsi" w:hAnsiTheme="minorHAnsi"/>
                <w:i/>
                <w:sz w:val="20"/>
                <w:szCs w:val="20"/>
              </w:rPr>
              <w:t>Oxalis micrantha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(dwarf woodsorrel)</w:t>
            </w:r>
          </w:p>
        </w:tc>
        <w:tc>
          <w:tcPr>
            <w:tcW w:w="993" w:type="dxa"/>
            <w:shd w:val="clear" w:color="auto" w:fill="auto"/>
            <w:noWrap/>
          </w:tcPr>
          <w:p w14:paraId="101451B5" w14:textId="77777777" w:rsidR="00282AA8" w:rsidRPr="00065329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065329">
              <w:rPr>
                <w:rFonts w:asciiTheme="minorHAnsi" w:hAnsiTheme="minorHAnsi"/>
                <w:sz w:val="20"/>
                <w:szCs w:val="20"/>
              </w:rPr>
              <w:t>Weed</w:t>
            </w:r>
          </w:p>
        </w:tc>
        <w:tc>
          <w:tcPr>
            <w:tcW w:w="1275" w:type="dxa"/>
            <w:shd w:val="clear" w:color="auto" w:fill="auto"/>
            <w:noWrap/>
          </w:tcPr>
          <w:p w14:paraId="768F38A9" w14:textId="77777777" w:rsidR="00282AA8" w:rsidRPr="00065329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065329">
              <w:rPr>
                <w:rFonts w:asciiTheme="minorHAnsi" w:hAnsiTheme="minorHAnsi"/>
                <w:sz w:val="20"/>
                <w:szCs w:val="20"/>
              </w:rPr>
              <w:t>VIC</w:t>
            </w:r>
          </w:p>
        </w:tc>
        <w:tc>
          <w:tcPr>
            <w:tcW w:w="1418" w:type="dxa"/>
          </w:tcPr>
          <w:p w14:paraId="6F7D962A" w14:textId="77777777" w:rsidR="00282AA8" w:rsidRPr="00065329" w:rsidRDefault="00282AA8" w:rsidP="00065329">
            <w:pPr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8</w:t>
            </w:r>
            <w:r w:rsidRPr="00065329">
              <w:rPr>
                <w:rFonts w:asciiTheme="minorHAnsi" w:hAnsiTheme="minorHAnsi" w:cs="Arial"/>
                <w:iCs/>
                <w:sz w:val="20"/>
                <w:szCs w:val="20"/>
              </w:rPr>
              <w:t>/02/2017</w:t>
            </w:r>
          </w:p>
        </w:tc>
        <w:tc>
          <w:tcPr>
            <w:tcW w:w="1417" w:type="dxa"/>
          </w:tcPr>
          <w:p w14:paraId="3FF6C351" w14:textId="77777777" w:rsidR="00282AA8" w:rsidRPr="00065329" w:rsidRDefault="00282AA8" w:rsidP="00A4262E">
            <w:pPr>
              <w:tabs>
                <w:tab w:val="left" w:pos="793"/>
              </w:tabs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Cs/>
                <w:sz w:val="20"/>
                <w:szCs w:val="20"/>
              </w:rPr>
              <w:t>15/03/2017</w:t>
            </w:r>
          </w:p>
        </w:tc>
        <w:tc>
          <w:tcPr>
            <w:tcW w:w="6237" w:type="dxa"/>
            <w:shd w:val="clear" w:color="auto" w:fill="auto"/>
          </w:tcPr>
          <w:p w14:paraId="78AFD037" w14:textId="77777777" w:rsidR="00282AA8" w:rsidRPr="00065329" w:rsidRDefault="00282AA8" w:rsidP="00BE326C">
            <w:pPr>
              <w:rPr>
                <w:rFonts w:asciiTheme="minorHAnsi" w:hAnsiTheme="minorHAnsi"/>
                <w:sz w:val="20"/>
                <w:szCs w:val="20"/>
              </w:rPr>
            </w:pPr>
            <w:r w:rsidRPr="006561F6">
              <w:rPr>
                <w:rFonts w:asciiTheme="minorHAnsi" w:hAnsiTheme="minorHAnsi"/>
                <w:sz w:val="20"/>
                <w:szCs w:val="20"/>
              </w:rPr>
              <w:t xml:space="preserve">Consensus by the NBMCC that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Oxalis micrantha</w:t>
            </w:r>
            <w:r w:rsidRPr="006561F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6561F6">
              <w:rPr>
                <w:rFonts w:asciiTheme="minorHAnsi" w:hAnsiTheme="minorHAnsi"/>
                <w:sz w:val="20"/>
                <w:szCs w:val="20"/>
              </w:rPr>
              <w:t>is not nationally significant as defined under the NEBRA.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82AA8" w:rsidRPr="00706260" w14:paraId="3300F822" w14:textId="77777777" w:rsidTr="00282AA8">
        <w:trPr>
          <w:cantSplit/>
          <w:trHeight w:val="229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A142B" w14:textId="77777777" w:rsidR="00282AA8" w:rsidRPr="009A2CA0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A4262E">
              <w:rPr>
                <w:rFonts w:asciiTheme="minorHAnsi" w:hAnsiTheme="minorHAnsi"/>
                <w:i/>
                <w:sz w:val="20"/>
                <w:szCs w:val="20"/>
              </w:rPr>
              <w:t>Pi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p</w:t>
            </w:r>
            <w:r w:rsidRPr="00A4262E">
              <w:rPr>
                <w:rFonts w:asciiTheme="minorHAnsi" w:hAnsiTheme="minorHAnsi"/>
                <w:i/>
                <w:sz w:val="20"/>
                <w:szCs w:val="20"/>
              </w:rPr>
              <w:t>tochaetum bicolor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(stipoid grass)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6495FC" w14:textId="77777777" w:rsidR="00282AA8" w:rsidRPr="00A4262E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A4262E">
              <w:rPr>
                <w:rFonts w:asciiTheme="minorHAnsi" w:hAnsiTheme="minorHAnsi"/>
                <w:sz w:val="20"/>
                <w:szCs w:val="20"/>
              </w:rPr>
              <w:t>Weed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DA884B" w14:textId="77777777" w:rsidR="00282AA8" w:rsidRPr="00A4262E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A4262E">
              <w:rPr>
                <w:rFonts w:asciiTheme="minorHAnsi" w:hAnsiTheme="minorHAnsi"/>
                <w:sz w:val="20"/>
                <w:szCs w:val="20"/>
              </w:rPr>
              <w:t>VIC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B4B02" w14:textId="77777777" w:rsidR="00282AA8" w:rsidRPr="00A4262E" w:rsidRDefault="00282AA8" w:rsidP="00A4262E">
            <w:pPr>
              <w:rPr>
                <w:rFonts w:asciiTheme="minorHAnsi" w:hAnsiTheme="minorHAnsi"/>
                <w:sz w:val="20"/>
                <w:szCs w:val="20"/>
              </w:rPr>
            </w:pPr>
            <w:r w:rsidRPr="00A4262E">
              <w:rPr>
                <w:rFonts w:asciiTheme="minorHAnsi" w:hAnsiTheme="minorHAnsi"/>
                <w:sz w:val="20"/>
                <w:szCs w:val="20"/>
              </w:rPr>
              <w:t>1/12/2016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860C" w14:textId="77777777" w:rsidR="00282AA8" w:rsidRPr="00A4262E" w:rsidRDefault="00282AA8" w:rsidP="00A4262E">
            <w:pPr>
              <w:tabs>
                <w:tab w:val="center" w:pos="719"/>
              </w:tabs>
              <w:rPr>
                <w:rFonts w:asciiTheme="minorHAnsi" w:hAnsiTheme="minorHAnsi"/>
                <w:sz w:val="20"/>
                <w:szCs w:val="20"/>
              </w:rPr>
            </w:pPr>
            <w:r w:rsidRPr="00A4262E">
              <w:rPr>
                <w:rFonts w:asciiTheme="minorHAnsi" w:hAnsiTheme="minorHAnsi"/>
                <w:sz w:val="20"/>
                <w:szCs w:val="20"/>
              </w:rPr>
              <w:t>3/12/2016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85566" w14:textId="77777777" w:rsidR="00282AA8" w:rsidRPr="00A4262E" w:rsidRDefault="00282AA8" w:rsidP="00BE32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Although there was no consensus by the NBMCC on the national significance of </w:t>
            </w:r>
            <w:r w:rsidRPr="00DB5C51">
              <w:rPr>
                <w:rFonts w:asciiTheme="minorHAnsi" w:hAnsiTheme="minorHAnsi"/>
                <w:i/>
                <w:sz w:val="20"/>
                <w:szCs w:val="20"/>
              </w:rPr>
              <w:t>Piptochaetum bicolor</w:t>
            </w:r>
            <w:r>
              <w:rPr>
                <w:rFonts w:asciiTheme="minorHAnsi" w:hAnsiTheme="minorHAnsi"/>
                <w:sz w:val="20"/>
                <w:szCs w:val="20"/>
              </w:rPr>
              <w:t>, no other plants were found at the site where the s</w:t>
            </w:r>
            <w:r w:rsidRPr="00A4262E">
              <w:rPr>
                <w:rFonts w:asciiTheme="minorHAnsi" w:hAnsiTheme="minorHAnsi"/>
                <w:sz w:val="20"/>
                <w:szCs w:val="20"/>
              </w:rPr>
              <w:t xml:space="preserve">pecimen </w:t>
            </w:r>
            <w:r>
              <w:rPr>
                <w:rFonts w:asciiTheme="minorHAnsi" w:hAnsiTheme="minorHAnsi"/>
                <w:sz w:val="20"/>
                <w:szCs w:val="20"/>
              </w:rPr>
              <w:t>was collected in 2014</w:t>
            </w:r>
            <w:r w:rsidRPr="00A4262E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There have been no further detections of this plant and it is not considered to be established or present in Australia.</w:t>
            </w:r>
          </w:p>
        </w:tc>
      </w:tr>
    </w:tbl>
    <w:p w14:paraId="473BEE2B" w14:textId="77777777" w:rsidR="00453E56" w:rsidRPr="008E7710" w:rsidRDefault="00453E56" w:rsidP="00C15A40">
      <w:pPr>
        <w:ind w:firstLine="720"/>
        <w:rPr>
          <w:rFonts w:asciiTheme="minorHAnsi" w:hAnsiTheme="minorHAnsi"/>
          <w:sz w:val="22"/>
          <w:szCs w:val="22"/>
        </w:rPr>
      </w:pPr>
    </w:p>
    <w:sectPr w:rsidR="00453E56" w:rsidRPr="008E7710" w:rsidSect="00FA6D2D">
      <w:footerReference w:type="default" r:id="rId8"/>
      <w:headerReference w:type="first" r:id="rId9"/>
      <w:pgSz w:w="16838" w:h="11906" w:orient="landscape"/>
      <w:pgMar w:top="720" w:right="720" w:bottom="720" w:left="720" w:header="425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28FD2" w14:textId="77777777" w:rsidR="00B75BC4" w:rsidRDefault="00B75BC4" w:rsidP="004F1017">
      <w:r>
        <w:separator/>
      </w:r>
    </w:p>
  </w:endnote>
  <w:endnote w:type="continuationSeparator" w:id="0">
    <w:p w14:paraId="4B425416" w14:textId="77777777" w:rsidR="00B75BC4" w:rsidRDefault="00B75BC4" w:rsidP="004F1017">
      <w:r>
        <w:continuationSeparator/>
      </w:r>
    </w:p>
  </w:endnote>
  <w:endnote w:type="continuationNotice" w:id="1">
    <w:p w14:paraId="11273BFA" w14:textId="77777777" w:rsidR="00B75BC4" w:rsidRDefault="00B75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B0B0D" w14:textId="77777777" w:rsidR="00B165E8" w:rsidRPr="00A406EB" w:rsidRDefault="00B165E8" w:rsidP="00B0357C">
    <w:pPr>
      <w:jc w:val="right"/>
      <w:rPr>
        <w:rFonts w:ascii="Calibri" w:hAnsi="Calibri"/>
        <w:color w:val="000000"/>
        <w:sz w:val="22"/>
        <w:szCs w:val="22"/>
      </w:rPr>
    </w:pPr>
    <w:r w:rsidRPr="00A406EB">
      <w:rPr>
        <w:rFonts w:ascii="Calibri" w:hAnsi="Calibri"/>
        <w:color w:val="000000"/>
        <w:sz w:val="22"/>
        <w:szCs w:val="22"/>
      </w:rPr>
      <w:t xml:space="preserve">Page </w:t>
    </w:r>
    <w:r w:rsidRPr="00A406EB">
      <w:rPr>
        <w:rFonts w:ascii="Calibri" w:hAnsi="Calibri"/>
        <w:color w:val="000000"/>
        <w:sz w:val="22"/>
        <w:szCs w:val="22"/>
      </w:rPr>
      <w:fldChar w:fldCharType="begin"/>
    </w:r>
    <w:r w:rsidRPr="00A406EB">
      <w:rPr>
        <w:rFonts w:ascii="Calibri" w:hAnsi="Calibri"/>
        <w:color w:val="000000"/>
        <w:sz w:val="22"/>
        <w:szCs w:val="22"/>
      </w:rPr>
      <w:instrText xml:space="preserve"> PAGE </w:instrText>
    </w:r>
    <w:r w:rsidRPr="00A406EB">
      <w:rPr>
        <w:rFonts w:ascii="Calibri" w:hAnsi="Calibri"/>
        <w:color w:val="000000"/>
        <w:sz w:val="22"/>
        <w:szCs w:val="22"/>
      </w:rPr>
      <w:fldChar w:fldCharType="separate"/>
    </w:r>
    <w:r w:rsidR="00C15A40">
      <w:rPr>
        <w:rFonts w:ascii="Calibri" w:hAnsi="Calibri"/>
        <w:noProof/>
        <w:color w:val="000000"/>
        <w:sz w:val="22"/>
        <w:szCs w:val="22"/>
      </w:rPr>
      <w:t>2</w:t>
    </w:r>
    <w:r w:rsidRPr="00A406EB">
      <w:rPr>
        <w:rFonts w:ascii="Calibri" w:hAnsi="Calibri"/>
        <w:color w:val="000000"/>
        <w:sz w:val="22"/>
        <w:szCs w:val="22"/>
      </w:rPr>
      <w:fldChar w:fldCharType="end"/>
    </w:r>
    <w:r w:rsidRPr="00A406EB">
      <w:rPr>
        <w:rFonts w:ascii="Calibri" w:hAnsi="Calibri"/>
        <w:color w:val="000000"/>
        <w:sz w:val="22"/>
        <w:szCs w:val="22"/>
      </w:rPr>
      <w:t xml:space="preserve"> of </w:t>
    </w:r>
    <w:r w:rsidRPr="00A406EB">
      <w:rPr>
        <w:rFonts w:ascii="Calibri" w:hAnsi="Calibri"/>
        <w:color w:val="000000"/>
        <w:sz w:val="22"/>
        <w:szCs w:val="22"/>
      </w:rPr>
      <w:fldChar w:fldCharType="begin"/>
    </w:r>
    <w:r w:rsidRPr="00A406EB">
      <w:rPr>
        <w:rFonts w:ascii="Calibri" w:hAnsi="Calibri"/>
        <w:color w:val="000000"/>
        <w:sz w:val="22"/>
        <w:szCs w:val="22"/>
      </w:rPr>
      <w:instrText xml:space="preserve"> NUMPAGES  </w:instrText>
    </w:r>
    <w:r w:rsidRPr="00A406EB">
      <w:rPr>
        <w:rFonts w:ascii="Calibri" w:hAnsi="Calibri"/>
        <w:color w:val="000000"/>
        <w:sz w:val="22"/>
        <w:szCs w:val="22"/>
      </w:rPr>
      <w:fldChar w:fldCharType="separate"/>
    </w:r>
    <w:r w:rsidR="00C15A40">
      <w:rPr>
        <w:rFonts w:ascii="Calibri" w:hAnsi="Calibri"/>
        <w:noProof/>
        <w:color w:val="000000"/>
        <w:sz w:val="22"/>
        <w:szCs w:val="22"/>
      </w:rPr>
      <w:t>2</w:t>
    </w:r>
    <w:r w:rsidRPr="00A406EB">
      <w:rPr>
        <w:rFonts w:ascii="Calibri" w:hAnsi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5375" w14:textId="77777777" w:rsidR="00B75BC4" w:rsidRDefault="00B75BC4" w:rsidP="004F1017">
      <w:r>
        <w:separator/>
      </w:r>
    </w:p>
  </w:footnote>
  <w:footnote w:type="continuationSeparator" w:id="0">
    <w:p w14:paraId="13C4E5BD" w14:textId="77777777" w:rsidR="00B75BC4" w:rsidRDefault="00B75BC4" w:rsidP="004F1017">
      <w:r>
        <w:continuationSeparator/>
      </w:r>
    </w:p>
  </w:footnote>
  <w:footnote w:type="continuationNotice" w:id="1">
    <w:p w14:paraId="4EE1DBBD" w14:textId="77777777" w:rsidR="00B75BC4" w:rsidRDefault="00B75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DEB5" w14:textId="57B4C391" w:rsidR="00FA6D2D" w:rsidRPr="0073212D" w:rsidRDefault="0073212D" w:rsidP="0073212D">
    <w:pPr>
      <w:pStyle w:val="Header"/>
      <w:rPr>
        <w:bCs/>
        <w:sz w:val="20"/>
      </w:rPr>
    </w:pPr>
    <w:r w:rsidRPr="0073212D">
      <w:rPr>
        <w:rFonts w:ascii="Calibri" w:hAnsi="Calibri" w:cs="Arial"/>
        <w:bCs/>
        <w:color w:val="000000"/>
        <w:sz w:val="20"/>
      </w:rPr>
      <w:t>National Biosecurity Management Consultative Committee (NBMCC) and the National Biosecurity Management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6A39"/>
    <w:multiLevelType w:val="hybridMultilevel"/>
    <w:tmpl w:val="92DA5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0467"/>
    <w:multiLevelType w:val="hybridMultilevel"/>
    <w:tmpl w:val="56A08922"/>
    <w:lvl w:ilvl="0" w:tplc="FC366D02">
      <w:start w:val="43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68DF"/>
    <w:multiLevelType w:val="hybridMultilevel"/>
    <w:tmpl w:val="1C5EC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C7E8E"/>
    <w:multiLevelType w:val="hybridMultilevel"/>
    <w:tmpl w:val="DB667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1E6ECC"/>
    <w:multiLevelType w:val="hybridMultilevel"/>
    <w:tmpl w:val="766A3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9B3"/>
    <w:multiLevelType w:val="hybridMultilevel"/>
    <w:tmpl w:val="901E770E"/>
    <w:lvl w:ilvl="0" w:tplc="070A7A7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2F58"/>
    <w:multiLevelType w:val="hybridMultilevel"/>
    <w:tmpl w:val="E7321CF2"/>
    <w:lvl w:ilvl="0" w:tplc="108AD07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9080C"/>
    <w:multiLevelType w:val="hybridMultilevel"/>
    <w:tmpl w:val="C8A86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A43CF"/>
    <w:multiLevelType w:val="hybridMultilevel"/>
    <w:tmpl w:val="5B9C0B58"/>
    <w:lvl w:ilvl="0" w:tplc="796A4688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7832"/>
    <w:multiLevelType w:val="hybridMultilevel"/>
    <w:tmpl w:val="D8BAD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5A9F"/>
    <w:multiLevelType w:val="hybridMultilevel"/>
    <w:tmpl w:val="6998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7890"/>
    <w:multiLevelType w:val="hybridMultilevel"/>
    <w:tmpl w:val="FBD4853A"/>
    <w:lvl w:ilvl="0" w:tplc="8B84BB2C">
      <w:start w:val="20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327B1"/>
    <w:multiLevelType w:val="hybridMultilevel"/>
    <w:tmpl w:val="D36A0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7B4F"/>
    <w:multiLevelType w:val="hybridMultilevel"/>
    <w:tmpl w:val="C1820D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E32213"/>
    <w:multiLevelType w:val="hybridMultilevel"/>
    <w:tmpl w:val="B4DAC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DFC"/>
    <w:multiLevelType w:val="hybridMultilevel"/>
    <w:tmpl w:val="96CEC31E"/>
    <w:lvl w:ilvl="0" w:tplc="F59600A8">
      <w:start w:val="200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863D5"/>
    <w:multiLevelType w:val="hybridMultilevel"/>
    <w:tmpl w:val="C1820D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63D6563"/>
    <w:multiLevelType w:val="hybridMultilevel"/>
    <w:tmpl w:val="2308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AC3621"/>
    <w:multiLevelType w:val="hybridMultilevel"/>
    <w:tmpl w:val="BD24C5DC"/>
    <w:lvl w:ilvl="0" w:tplc="223EF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4095A"/>
    <w:multiLevelType w:val="hybridMultilevel"/>
    <w:tmpl w:val="4C5CBED4"/>
    <w:lvl w:ilvl="0" w:tplc="77B25348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5"/>
  </w:num>
  <w:num w:numId="5">
    <w:abstractNumId w:val="15"/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1"/>
  </w:num>
  <w:num w:numId="15">
    <w:abstractNumId w:val="12"/>
  </w:num>
  <w:num w:numId="16">
    <w:abstractNumId w:val="18"/>
  </w:num>
  <w:num w:numId="17">
    <w:abstractNumId w:val="0"/>
  </w:num>
  <w:num w:numId="18">
    <w:abstractNumId w:val="9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17"/>
    <w:rsid w:val="00002952"/>
    <w:rsid w:val="00003B83"/>
    <w:rsid w:val="000128F2"/>
    <w:rsid w:val="00015D31"/>
    <w:rsid w:val="00031986"/>
    <w:rsid w:val="00035DB3"/>
    <w:rsid w:val="0003700C"/>
    <w:rsid w:val="00042CE8"/>
    <w:rsid w:val="00044F94"/>
    <w:rsid w:val="0004523F"/>
    <w:rsid w:val="0004556B"/>
    <w:rsid w:val="00047D18"/>
    <w:rsid w:val="00051103"/>
    <w:rsid w:val="00055E8D"/>
    <w:rsid w:val="00062BFA"/>
    <w:rsid w:val="00064C9A"/>
    <w:rsid w:val="00065329"/>
    <w:rsid w:val="0006619B"/>
    <w:rsid w:val="000702CD"/>
    <w:rsid w:val="00070A7C"/>
    <w:rsid w:val="00070C1B"/>
    <w:rsid w:val="000711FE"/>
    <w:rsid w:val="00082E1B"/>
    <w:rsid w:val="0008653F"/>
    <w:rsid w:val="00087278"/>
    <w:rsid w:val="00091946"/>
    <w:rsid w:val="00091B7A"/>
    <w:rsid w:val="00096481"/>
    <w:rsid w:val="00096C79"/>
    <w:rsid w:val="00097073"/>
    <w:rsid w:val="000979F4"/>
    <w:rsid w:val="000A08CD"/>
    <w:rsid w:val="000A3D8F"/>
    <w:rsid w:val="000A430F"/>
    <w:rsid w:val="000B26D4"/>
    <w:rsid w:val="000B2A0A"/>
    <w:rsid w:val="000B5089"/>
    <w:rsid w:val="000B52D8"/>
    <w:rsid w:val="000B5A5D"/>
    <w:rsid w:val="000B62BB"/>
    <w:rsid w:val="000C2523"/>
    <w:rsid w:val="000C26EE"/>
    <w:rsid w:val="000C27C9"/>
    <w:rsid w:val="000C2E7F"/>
    <w:rsid w:val="000C4575"/>
    <w:rsid w:val="000C626C"/>
    <w:rsid w:val="000C6CE4"/>
    <w:rsid w:val="000D02CA"/>
    <w:rsid w:val="000D1D17"/>
    <w:rsid w:val="000D34F5"/>
    <w:rsid w:val="000E42A9"/>
    <w:rsid w:val="000E6816"/>
    <w:rsid w:val="000E6CCF"/>
    <w:rsid w:val="000E7D24"/>
    <w:rsid w:val="00101BEA"/>
    <w:rsid w:val="001034C2"/>
    <w:rsid w:val="00107DE1"/>
    <w:rsid w:val="00110A13"/>
    <w:rsid w:val="001155ED"/>
    <w:rsid w:val="001158DA"/>
    <w:rsid w:val="0012049F"/>
    <w:rsid w:val="0012299D"/>
    <w:rsid w:val="00122A08"/>
    <w:rsid w:val="00122D68"/>
    <w:rsid w:val="00122F4E"/>
    <w:rsid w:val="00124FBF"/>
    <w:rsid w:val="00131BF5"/>
    <w:rsid w:val="0013462D"/>
    <w:rsid w:val="001349D2"/>
    <w:rsid w:val="001414D9"/>
    <w:rsid w:val="00141F6C"/>
    <w:rsid w:val="00142677"/>
    <w:rsid w:val="00143FD5"/>
    <w:rsid w:val="00145E5E"/>
    <w:rsid w:val="00147647"/>
    <w:rsid w:val="001502FA"/>
    <w:rsid w:val="0015171E"/>
    <w:rsid w:val="00153C7E"/>
    <w:rsid w:val="00153E6C"/>
    <w:rsid w:val="001551E9"/>
    <w:rsid w:val="00157D8E"/>
    <w:rsid w:val="00160D7B"/>
    <w:rsid w:val="00164AFB"/>
    <w:rsid w:val="00166EE2"/>
    <w:rsid w:val="00170CBE"/>
    <w:rsid w:val="001726D4"/>
    <w:rsid w:val="00173A6A"/>
    <w:rsid w:val="00175576"/>
    <w:rsid w:val="00180EF7"/>
    <w:rsid w:val="00187085"/>
    <w:rsid w:val="00187AA7"/>
    <w:rsid w:val="00190093"/>
    <w:rsid w:val="0019267C"/>
    <w:rsid w:val="001A1125"/>
    <w:rsid w:val="001A5E51"/>
    <w:rsid w:val="001A6C82"/>
    <w:rsid w:val="001B043C"/>
    <w:rsid w:val="001B26D3"/>
    <w:rsid w:val="001B4447"/>
    <w:rsid w:val="001B494E"/>
    <w:rsid w:val="001C147D"/>
    <w:rsid w:val="001C233C"/>
    <w:rsid w:val="001C3DE7"/>
    <w:rsid w:val="001C5652"/>
    <w:rsid w:val="001C6A76"/>
    <w:rsid w:val="001D1755"/>
    <w:rsid w:val="001D1EAE"/>
    <w:rsid w:val="001D2096"/>
    <w:rsid w:val="001D356A"/>
    <w:rsid w:val="001D3D5C"/>
    <w:rsid w:val="001D5C83"/>
    <w:rsid w:val="001D6BDE"/>
    <w:rsid w:val="001D7EAD"/>
    <w:rsid w:val="001E0C50"/>
    <w:rsid w:val="001E2233"/>
    <w:rsid w:val="001E31AD"/>
    <w:rsid w:val="001E3E18"/>
    <w:rsid w:val="001E4D63"/>
    <w:rsid w:val="001E7DFB"/>
    <w:rsid w:val="001F012C"/>
    <w:rsid w:val="001F1071"/>
    <w:rsid w:val="001F36A2"/>
    <w:rsid w:val="00202030"/>
    <w:rsid w:val="00205C63"/>
    <w:rsid w:val="0020618B"/>
    <w:rsid w:val="002073AB"/>
    <w:rsid w:val="00207CA0"/>
    <w:rsid w:val="00211163"/>
    <w:rsid w:val="0021250A"/>
    <w:rsid w:val="0021483B"/>
    <w:rsid w:val="00220C7C"/>
    <w:rsid w:val="0022207C"/>
    <w:rsid w:val="00222FED"/>
    <w:rsid w:val="00226E80"/>
    <w:rsid w:val="00227C4C"/>
    <w:rsid w:val="002351E0"/>
    <w:rsid w:val="00237B0D"/>
    <w:rsid w:val="00244D9E"/>
    <w:rsid w:val="00247A15"/>
    <w:rsid w:val="00250914"/>
    <w:rsid w:val="00250E08"/>
    <w:rsid w:val="00260FB1"/>
    <w:rsid w:val="002613F4"/>
    <w:rsid w:val="00262E41"/>
    <w:rsid w:val="00265935"/>
    <w:rsid w:val="00266842"/>
    <w:rsid w:val="0027735F"/>
    <w:rsid w:val="00280AC7"/>
    <w:rsid w:val="002818D5"/>
    <w:rsid w:val="00282AA8"/>
    <w:rsid w:val="00284482"/>
    <w:rsid w:val="002846C1"/>
    <w:rsid w:val="002848B7"/>
    <w:rsid w:val="002864EE"/>
    <w:rsid w:val="002923C4"/>
    <w:rsid w:val="002A4445"/>
    <w:rsid w:val="002A5836"/>
    <w:rsid w:val="002A6FB6"/>
    <w:rsid w:val="002A701B"/>
    <w:rsid w:val="002A7438"/>
    <w:rsid w:val="002B7A32"/>
    <w:rsid w:val="002C5434"/>
    <w:rsid w:val="002D0D18"/>
    <w:rsid w:val="002D5D6F"/>
    <w:rsid w:val="002D60D6"/>
    <w:rsid w:val="002E42F9"/>
    <w:rsid w:val="002E6B12"/>
    <w:rsid w:val="002E6C22"/>
    <w:rsid w:val="002E7089"/>
    <w:rsid w:val="002E7E31"/>
    <w:rsid w:val="002F0ED8"/>
    <w:rsid w:val="002F31F0"/>
    <w:rsid w:val="002F4171"/>
    <w:rsid w:val="002F6053"/>
    <w:rsid w:val="002F7B50"/>
    <w:rsid w:val="002F7E0A"/>
    <w:rsid w:val="00301045"/>
    <w:rsid w:val="00311E41"/>
    <w:rsid w:val="00314C43"/>
    <w:rsid w:val="00322328"/>
    <w:rsid w:val="0032306B"/>
    <w:rsid w:val="00325660"/>
    <w:rsid w:val="00331368"/>
    <w:rsid w:val="0033196E"/>
    <w:rsid w:val="00332C21"/>
    <w:rsid w:val="00334CB3"/>
    <w:rsid w:val="0033511A"/>
    <w:rsid w:val="003357C3"/>
    <w:rsid w:val="00343B05"/>
    <w:rsid w:val="00351033"/>
    <w:rsid w:val="003525F4"/>
    <w:rsid w:val="0035427B"/>
    <w:rsid w:val="00355981"/>
    <w:rsid w:val="00360FBF"/>
    <w:rsid w:val="00362661"/>
    <w:rsid w:val="00363C73"/>
    <w:rsid w:val="00364DE7"/>
    <w:rsid w:val="003714A1"/>
    <w:rsid w:val="003728A8"/>
    <w:rsid w:val="00376E91"/>
    <w:rsid w:val="00377340"/>
    <w:rsid w:val="00382183"/>
    <w:rsid w:val="00382D59"/>
    <w:rsid w:val="0038309B"/>
    <w:rsid w:val="003833D2"/>
    <w:rsid w:val="00385DF0"/>
    <w:rsid w:val="00391DC0"/>
    <w:rsid w:val="003A05B3"/>
    <w:rsid w:val="003A237E"/>
    <w:rsid w:val="003A5484"/>
    <w:rsid w:val="003C1DB6"/>
    <w:rsid w:val="003C2303"/>
    <w:rsid w:val="003C26B0"/>
    <w:rsid w:val="003C47E0"/>
    <w:rsid w:val="003C5FD7"/>
    <w:rsid w:val="003C7277"/>
    <w:rsid w:val="003C7815"/>
    <w:rsid w:val="003D785D"/>
    <w:rsid w:val="003E1C98"/>
    <w:rsid w:val="003E26FC"/>
    <w:rsid w:val="003E2783"/>
    <w:rsid w:val="003E3A2E"/>
    <w:rsid w:val="003E49DA"/>
    <w:rsid w:val="003F1108"/>
    <w:rsid w:val="003F5EE1"/>
    <w:rsid w:val="0040081F"/>
    <w:rsid w:val="00401E1E"/>
    <w:rsid w:val="004035FF"/>
    <w:rsid w:val="00403E04"/>
    <w:rsid w:val="004054E4"/>
    <w:rsid w:val="00410361"/>
    <w:rsid w:val="00412FBA"/>
    <w:rsid w:val="00415AD0"/>
    <w:rsid w:val="004164FE"/>
    <w:rsid w:val="00417A8B"/>
    <w:rsid w:val="00422FE5"/>
    <w:rsid w:val="00424940"/>
    <w:rsid w:val="00427524"/>
    <w:rsid w:val="00431015"/>
    <w:rsid w:val="00440545"/>
    <w:rsid w:val="00441AE5"/>
    <w:rsid w:val="00442945"/>
    <w:rsid w:val="00447B27"/>
    <w:rsid w:val="00447DD1"/>
    <w:rsid w:val="00452207"/>
    <w:rsid w:val="00453E56"/>
    <w:rsid w:val="00455A15"/>
    <w:rsid w:val="00455C61"/>
    <w:rsid w:val="0045716F"/>
    <w:rsid w:val="00465685"/>
    <w:rsid w:val="0047257A"/>
    <w:rsid w:val="004744C4"/>
    <w:rsid w:val="004805D2"/>
    <w:rsid w:val="004808A5"/>
    <w:rsid w:val="00483134"/>
    <w:rsid w:val="00494A39"/>
    <w:rsid w:val="004A1A88"/>
    <w:rsid w:val="004B072C"/>
    <w:rsid w:val="004B0C4C"/>
    <w:rsid w:val="004B18BB"/>
    <w:rsid w:val="004B3AD5"/>
    <w:rsid w:val="004B6B74"/>
    <w:rsid w:val="004B7757"/>
    <w:rsid w:val="004C0ABF"/>
    <w:rsid w:val="004C3F8A"/>
    <w:rsid w:val="004C4260"/>
    <w:rsid w:val="004C76F5"/>
    <w:rsid w:val="004C7724"/>
    <w:rsid w:val="004D5A74"/>
    <w:rsid w:val="004F1017"/>
    <w:rsid w:val="004F4D49"/>
    <w:rsid w:val="004F65F1"/>
    <w:rsid w:val="004F6FA9"/>
    <w:rsid w:val="004F7264"/>
    <w:rsid w:val="004F733E"/>
    <w:rsid w:val="0050083A"/>
    <w:rsid w:val="00500F02"/>
    <w:rsid w:val="00500F29"/>
    <w:rsid w:val="00504B25"/>
    <w:rsid w:val="00504DCB"/>
    <w:rsid w:val="005068E4"/>
    <w:rsid w:val="00510C8A"/>
    <w:rsid w:val="00510DFE"/>
    <w:rsid w:val="00510F0A"/>
    <w:rsid w:val="0051208E"/>
    <w:rsid w:val="00512380"/>
    <w:rsid w:val="00513BF0"/>
    <w:rsid w:val="005164E5"/>
    <w:rsid w:val="00527A79"/>
    <w:rsid w:val="0053064D"/>
    <w:rsid w:val="005352B4"/>
    <w:rsid w:val="00535D8A"/>
    <w:rsid w:val="00536F83"/>
    <w:rsid w:val="00540DFB"/>
    <w:rsid w:val="005516A6"/>
    <w:rsid w:val="005556BC"/>
    <w:rsid w:val="005557B3"/>
    <w:rsid w:val="00557F5A"/>
    <w:rsid w:val="00571F96"/>
    <w:rsid w:val="00573082"/>
    <w:rsid w:val="00575892"/>
    <w:rsid w:val="00580481"/>
    <w:rsid w:val="005838C3"/>
    <w:rsid w:val="00583D58"/>
    <w:rsid w:val="00584EB2"/>
    <w:rsid w:val="005853D7"/>
    <w:rsid w:val="005871B6"/>
    <w:rsid w:val="00597524"/>
    <w:rsid w:val="005A0CD2"/>
    <w:rsid w:val="005A3AB2"/>
    <w:rsid w:val="005A569C"/>
    <w:rsid w:val="005B008D"/>
    <w:rsid w:val="005B64B3"/>
    <w:rsid w:val="005C31B5"/>
    <w:rsid w:val="005C3C4E"/>
    <w:rsid w:val="005C7BAE"/>
    <w:rsid w:val="005D75E2"/>
    <w:rsid w:val="005E1FA7"/>
    <w:rsid w:val="005E348F"/>
    <w:rsid w:val="005E3852"/>
    <w:rsid w:val="005E4CBB"/>
    <w:rsid w:val="005F1E41"/>
    <w:rsid w:val="005F3B09"/>
    <w:rsid w:val="005F4DCA"/>
    <w:rsid w:val="005F5EE4"/>
    <w:rsid w:val="005F6058"/>
    <w:rsid w:val="006071CC"/>
    <w:rsid w:val="006072AC"/>
    <w:rsid w:val="006116E8"/>
    <w:rsid w:val="00612673"/>
    <w:rsid w:val="006135B5"/>
    <w:rsid w:val="00613D92"/>
    <w:rsid w:val="00621A13"/>
    <w:rsid w:val="00623F1A"/>
    <w:rsid w:val="00624A97"/>
    <w:rsid w:val="00626AA4"/>
    <w:rsid w:val="0063099D"/>
    <w:rsid w:val="00631E14"/>
    <w:rsid w:val="00633A12"/>
    <w:rsid w:val="0063443C"/>
    <w:rsid w:val="00636807"/>
    <w:rsid w:val="006450CA"/>
    <w:rsid w:val="00645DD5"/>
    <w:rsid w:val="00647015"/>
    <w:rsid w:val="00651506"/>
    <w:rsid w:val="00653F84"/>
    <w:rsid w:val="006561F6"/>
    <w:rsid w:val="00660374"/>
    <w:rsid w:val="00673A53"/>
    <w:rsid w:val="00673C2A"/>
    <w:rsid w:val="00673DE2"/>
    <w:rsid w:val="006825B6"/>
    <w:rsid w:val="00683438"/>
    <w:rsid w:val="00684B94"/>
    <w:rsid w:val="00685DE1"/>
    <w:rsid w:val="0069030E"/>
    <w:rsid w:val="006944B7"/>
    <w:rsid w:val="006944D1"/>
    <w:rsid w:val="00695C7B"/>
    <w:rsid w:val="00696C1C"/>
    <w:rsid w:val="006A4540"/>
    <w:rsid w:val="006A4883"/>
    <w:rsid w:val="006A695B"/>
    <w:rsid w:val="006B10D1"/>
    <w:rsid w:val="006B15B1"/>
    <w:rsid w:val="006B18C1"/>
    <w:rsid w:val="006B5185"/>
    <w:rsid w:val="006C0EC1"/>
    <w:rsid w:val="006C4A43"/>
    <w:rsid w:val="006C73E9"/>
    <w:rsid w:val="006D11F2"/>
    <w:rsid w:val="006D1DE3"/>
    <w:rsid w:val="006D3389"/>
    <w:rsid w:val="006D77ED"/>
    <w:rsid w:val="006E19DE"/>
    <w:rsid w:val="006E3286"/>
    <w:rsid w:val="006E3596"/>
    <w:rsid w:val="006E599F"/>
    <w:rsid w:val="006E67BF"/>
    <w:rsid w:val="006F014D"/>
    <w:rsid w:val="006F0464"/>
    <w:rsid w:val="006F270A"/>
    <w:rsid w:val="006F368C"/>
    <w:rsid w:val="006F4124"/>
    <w:rsid w:val="006F42A7"/>
    <w:rsid w:val="006F5D7E"/>
    <w:rsid w:val="00703CEF"/>
    <w:rsid w:val="00703F66"/>
    <w:rsid w:val="0070467A"/>
    <w:rsid w:val="00706260"/>
    <w:rsid w:val="0070680A"/>
    <w:rsid w:val="00710B32"/>
    <w:rsid w:val="0071354C"/>
    <w:rsid w:val="007156F6"/>
    <w:rsid w:val="0071642B"/>
    <w:rsid w:val="00717505"/>
    <w:rsid w:val="00717CBA"/>
    <w:rsid w:val="007219CB"/>
    <w:rsid w:val="007219DD"/>
    <w:rsid w:val="00722E2F"/>
    <w:rsid w:val="00724A2C"/>
    <w:rsid w:val="00725AAF"/>
    <w:rsid w:val="0072648B"/>
    <w:rsid w:val="0073010B"/>
    <w:rsid w:val="0073212D"/>
    <w:rsid w:val="00733A98"/>
    <w:rsid w:val="00735853"/>
    <w:rsid w:val="0074021D"/>
    <w:rsid w:val="0074040F"/>
    <w:rsid w:val="0074474F"/>
    <w:rsid w:val="00755E35"/>
    <w:rsid w:val="007615FE"/>
    <w:rsid w:val="007662B9"/>
    <w:rsid w:val="00767220"/>
    <w:rsid w:val="00767344"/>
    <w:rsid w:val="007913CA"/>
    <w:rsid w:val="0079223B"/>
    <w:rsid w:val="00797CF3"/>
    <w:rsid w:val="007A3E74"/>
    <w:rsid w:val="007A5091"/>
    <w:rsid w:val="007A6EF1"/>
    <w:rsid w:val="007A753F"/>
    <w:rsid w:val="007B04F1"/>
    <w:rsid w:val="007B0A55"/>
    <w:rsid w:val="007B1BD5"/>
    <w:rsid w:val="007B4CEB"/>
    <w:rsid w:val="007B7C38"/>
    <w:rsid w:val="007C01FA"/>
    <w:rsid w:val="007C0575"/>
    <w:rsid w:val="007C272D"/>
    <w:rsid w:val="007C3398"/>
    <w:rsid w:val="007C6174"/>
    <w:rsid w:val="007C6C9A"/>
    <w:rsid w:val="007D09E5"/>
    <w:rsid w:val="007D0DB3"/>
    <w:rsid w:val="007D1633"/>
    <w:rsid w:val="007D2774"/>
    <w:rsid w:val="007D7460"/>
    <w:rsid w:val="007D758A"/>
    <w:rsid w:val="007E0977"/>
    <w:rsid w:val="007E4F26"/>
    <w:rsid w:val="007F0AD6"/>
    <w:rsid w:val="007F13B6"/>
    <w:rsid w:val="007F360A"/>
    <w:rsid w:val="007F57D4"/>
    <w:rsid w:val="007F5913"/>
    <w:rsid w:val="007F5A8D"/>
    <w:rsid w:val="00800FAD"/>
    <w:rsid w:val="00804043"/>
    <w:rsid w:val="00804F0A"/>
    <w:rsid w:val="0080605E"/>
    <w:rsid w:val="00810595"/>
    <w:rsid w:val="00812B64"/>
    <w:rsid w:val="00817CB8"/>
    <w:rsid w:val="00820F73"/>
    <w:rsid w:val="00822D27"/>
    <w:rsid w:val="0082659A"/>
    <w:rsid w:val="00826C1B"/>
    <w:rsid w:val="00826F42"/>
    <w:rsid w:val="00830907"/>
    <w:rsid w:val="00836CCF"/>
    <w:rsid w:val="008376C9"/>
    <w:rsid w:val="00841193"/>
    <w:rsid w:val="00841974"/>
    <w:rsid w:val="00843B83"/>
    <w:rsid w:val="008461D2"/>
    <w:rsid w:val="008478A4"/>
    <w:rsid w:val="0085442B"/>
    <w:rsid w:val="008571F5"/>
    <w:rsid w:val="00860FA3"/>
    <w:rsid w:val="008643F2"/>
    <w:rsid w:val="00865439"/>
    <w:rsid w:val="00874D4E"/>
    <w:rsid w:val="00876C2B"/>
    <w:rsid w:val="00877891"/>
    <w:rsid w:val="00881840"/>
    <w:rsid w:val="00883AA7"/>
    <w:rsid w:val="008842FC"/>
    <w:rsid w:val="008855EB"/>
    <w:rsid w:val="00893A05"/>
    <w:rsid w:val="00895DCA"/>
    <w:rsid w:val="008963BE"/>
    <w:rsid w:val="00896901"/>
    <w:rsid w:val="00897DB3"/>
    <w:rsid w:val="008A0199"/>
    <w:rsid w:val="008A2C5A"/>
    <w:rsid w:val="008A6647"/>
    <w:rsid w:val="008B194F"/>
    <w:rsid w:val="008B7656"/>
    <w:rsid w:val="008B768D"/>
    <w:rsid w:val="008C55F0"/>
    <w:rsid w:val="008C6266"/>
    <w:rsid w:val="008D14FB"/>
    <w:rsid w:val="008D6C2D"/>
    <w:rsid w:val="008D72ED"/>
    <w:rsid w:val="008E3E08"/>
    <w:rsid w:val="008E4A0D"/>
    <w:rsid w:val="008E5F77"/>
    <w:rsid w:val="008E6973"/>
    <w:rsid w:val="008E7710"/>
    <w:rsid w:val="008F4409"/>
    <w:rsid w:val="008F5119"/>
    <w:rsid w:val="008F6E0B"/>
    <w:rsid w:val="009002C8"/>
    <w:rsid w:val="00904B0A"/>
    <w:rsid w:val="00904ED9"/>
    <w:rsid w:val="0090641E"/>
    <w:rsid w:val="00907EB0"/>
    <w:rsid w:val="00920BCB"/>
    <w:rsid w:val="00923382"/>
    <w:rsid w:val="009253D5"/>
    <w:rsid w:val="00927E2F"/>
    <w:rsid w:val="00941A27"/>
    <w:rsid w:val="00942340"/>
    <w:rsid w:val="009462FB"/>
    <w:rsid w:val="009468CD"/>
    <w:rsid w:val="0095013B"/>
    <w:rsid w:val="0095305F"/>
    <w:rsid w:val="009676C6"/>
    <w:rsid w:val="00970550"/>
    <w:rsid w:val="00970BBC"/>
    <w:rsid w:val="00970CED"/>
    <w:rsid w:val="009719B6"/>
    <w:rsid w:val="00971F54"/>
    <w:rsid w:val="00976FEA"/>
    <w:rsid w:val="00977689"/>
    <w:rsid w:val="00977B80"/>
    <w:rsid w:val="00982C0D"/>
    <w:rsid w:val="00983B2F"/>
    <w:rsid w:val="0098774C"/>
    <w:rsid w:val="00994E2A"/>
    <w:rsid w:val="0099551D"/>
    <w:rsid w:val="0099739F"/>
    <w:rsid w:val="009A2CA0"/>
    <w:rsid w:val="009A2EAA"/>
    <w:rsid w:val="009A31E8"/>
    <w:rsid w:val="009A40D7"/>
    <w:rsid w:val="009A4379"/>
    <w:rsid w:val="009A6969"/>
    <w:rsid w:val="009B3DBE"/>
    <w:rsid w:val="009B5A33"/>
    <w:rsid w:val="009B601D"/>
    <w:rsid w:val="009C1BB3"/>
    <w:rsid w:val="009C3C2C"/>
    <w:rsid w:val="009C7191"/>
    <w:rsid w:val="009C748F"/>
    <w:rsid w:val="009D1C5B"/>
    <w:rsid w:val="009E0EFE"/>
    <w:rsid w:val="009E486A"/>
    <w:rsid w:val="009E6DEE"/>
    <w:rsid w:val="009F01FF"/>
    <w:rsid w:val="009F1ABE"/>
    <w:rsid w:val="009F494B"/>
    <w:rsid w:val="00A00567"/>
    <w:rsid w:val="00A01935"/>
    <w:rsid w:val="00A0235D"/>
    <w:rsid w:val="00A023EC"/>
    <w:rsid w:val="00A04353"/>
    <w:rsid w:val="00A155D2"/>
    <w:rsid w:val="00A16D2B"/>
    <w:rsid w:val="00A24C2A"/>
    <w:rsid w:val="00A2576A"/>
    <w:rsid w:val="00A2725F"/>
    <w:rsid w:val="00A30001"/>
    <w:rsid w:val="00A308B1"/>
    <w:rsid w:val="00A317E2"/>
    <w:rsid w:val="00A31F44"/>
    <w:rsid w:val="00A35033"/>
    <w:rsid w:val="00A4262E"/>
    <w:rsid w:val="00A47484"/>
    <w:rsid w:val="00A51B5B"/>
    <w:rsid w:val="00A52075"/>
    <w:rsid w:val="00A5512A"/>
    <w:rsid w:val="00A56244"/>
    <w:rsid w:val="00A60032"/>
    <w:rsid w:val="00A61320"/>
    <w:rsid w:val="00A66C8D"/>
    <w:rsid w:val="00A82A2F"/>
    <w:rsid w:val="00A8427E"/>
    <w:rsid w:val="00A84796"/>
    <w:rsid w:val="00A85F28"/>
    <w:rsid w:val="00A87324"/>
    <w:rsid w:val="00A93D85"/>
    <w:rsid w:val="00A9528D"/>
    <w:rsid w:val="00A95EF8"/>
    <w:rsid w:val="00A9731D"/>
    <w:rsid w:val="00AA09E5"/>
    <w:rsid w:val="00AA0A4D"/>
    <w:rsid w:val="00AA11D3"/>
    <w:rsid w:val="00AA1DC1"/>
    <w:rsid w:val="00AB2BB1"/>
    <w:rsid w:val="00AB2BEF"/>
    <w:rsid w:val="00AB40CF"/>
    <w:rsid w:val="00AC0C0B"/>
    <w:rsid w:val="00AC17CB"/>
    <w:rsid w:val="00AC1D4C"/>
    <w:rsid w:val="00AC26D5"/>
    <w:rsid w:val="00AC33B2"/>
    <w:rsid w:val="00AC51CD"/>
    <w:rsid w:val="00AD11E0"/>
    <w:rsid w:val="00AD2B92"/>
    <w:rsid w:val="00AD2BA8"/>
    <w:rsid w:val="00AD4003"/>
    <w:rsid w:val="00AD52A8"/>
    <w:rsid w:val="00AD7F3F"/>
    <w:rsid w:val="00AE164F"/>
    <w:rsid w:val="00AE29B8"/>
    <w:rsid w:val="00AE41E5"/>
    <w:rsid w:val="00AE783A"/>
    <w:rsid w:val="00AF0A18"/>
    <w:rsid w:val="00AF7552"/>
    <w:rsid w:val="00B026E0"/>
    <w:rsid w:val="00B02F82"/>
    <w:rsid w:val="00B0357C"/>
    <w:rsid w:val="00B0499F"/>
    <w:rsid w:val="00B06268"/>
    <w:rsid w:val="00B075CF"/>
    <w:rsid w:val="00B102CA"/>
    <w:rsid w:val="00B128E7"/>
    <w:rsid w:val="00B13741"/>
    <w:rsid w:val="00B14386"/>
    <w:rsid w:val="00B165E8"/>
    <w:rsid w:val="00B1756A"/>
    <w:rsid w:val="00B25058"/>
    <w:rsid w:val="00B30379"/>
    <w:rsid w:val="00B312E9"/>
    <w:rsid w:val="00B319E3"/>
    <w:rsid w:val="00B362F8"/>
    <w:rsid w:val="00B403D0"/>
    <w:rsid w:val="00B43756"/>
    <w:rsid w:val="00B45964"/>
    <w:rsid w:val="00B47CD3"/>
    <w:rsid w:val="00B5092F"/>
    <w:rsid w:val="00B55AB4"/>
    <w:rsid w:val="00B56D3A"/>
    <w:rsid w:val="00B610CB"/>
    <w:rsid w:val="00B638E3"/>
    <w:rsid w:val="00B7387F"/>
    <w:rsid w:val="00B75BC4"/>
    <w:rsid w:val="00B75F5E"/>
    <w:rsid w:val="00B81051"/>
    <w:rsid w:val="00B86A75"/>
    <w:rsid w:val="00B87D8A"/>
    <w:rsid w:val="00BA1B2E"/>
    <w:rsid w:val="00BA2341"/>
    <w:rsid w:val="00BA6DC2"/>
    <w:rsid w:val="00BA7155"/>
    <w:rsid w:val="00BA7451"/>
    <w:rsid w:val="00BB25B2"/>
    <w:rsid w:val="00BB324D"/>
    <w:rsid w:val="00BB47B7"/>
    <w:rsid w:val="00BB58DB"/>
    <w:rsid w:val="00BB64AD"/>
    <w:rsid w:val="00BC0ADC"/>
    <w:rsid w:val="00BC116F"/>
    <w:rsid w:val="00BC167B"/>
    <w:rsid w:val="00BC2160"/>
    <w:rsid w:val="00BC4E8D"/>
    <w:rsid w:val="00BC7F3D"/>
    <w:rsid w:val="00BD49DD"/>
    <w:rsid w:val="00BD6D8A"/>
    <w:rsid w:val="00BD798D"/>
    <w:rsid w:val="00BD7B74"/>
    <w:rsid w:val="00BE01C9"/>
    <w:rsid w:val="00BE0DDC"/>
    <w:rsid w:val="00BE2158"/>
    <w:rsid w:val="00BE326C"/>
    <w:rsid w:val="00BE4789"/>
    <w:rsid w:val="00BE6533"/>
    <w:rsid w:val="00BF071A"/>
    <w:rsid w:val="00BF28A2"/>
    <w:rsid w:val="00BF2F0C"/>
    <w:rsid w:val="00BF5160"/>
    <w:rsid w:val="00C05CA8"/>
    <w:rsid w:val="00C07602"/>
    <w:rsid w:val="00C105EE"/>
    <w:rsid w:val="00C11038"/>
    <w:rsid w:val="00C15A40"/>
    <w:rsid w:val="00C167EC"/>
    <w:rsid w:val="00C168E6"/>
    <w:rsid w:val="00C1769C"/>
    <w:rsid w:val="00C2015F"/>
    <w:rsid w:val="00C201EA"/>
    <w:rsid w:val="00C21F13"/>
    <w:rsid w:val="00C244BB"/>
    <w:rsid w:val="00C27F4F"/>
    <w:rsid w:val="00C3703C"/>
    <w:rsid w:val="00C40438"/>
    <w:rsid w:val="00C43684"/>
    <w:rsid w:val="00C44E4D"/>
    <w:rsid w:val="00C466D7"/>
    <w:rsid w:val="00C51532"/>
    <w:rsid w:val="00C54267"/>
    <w:rsid w:val="00C578FF"/>
    <w:rsid w:val="00C60395"/>
    <w:rsid w:val="00C647CD"/>
    <w:rsid w:val="00C65374"/>
    <w:rsid w:val="00C6595C"/>
    <w:rsid w:val="00C66626"/>
    <w:rsid w:val="00C71593"/>
    <w:rsid w:val="00C838F9"/>
    <w:rsid w:val="00C84EA0"/>
    <w:rsid w:val="00C86ECE"/>
    <w:rsid w:val="00C87206"/>
    <w:rsid w:val="00C9199C"/>
    <w:rsid w:val="00C91C76"/>
    <w:rsid w:val="00C94828"/>
    <w:rsid w:val="00C95A8C"/>
    <w:rsid w:val="00C9620D"/>
    <w:rsid w:val="00CA17B3"/>
    <w:rsid w:val="00CA5EEF"/>
    <w:rsid w:val="00CB0104"/>
    <w:rsid w:val="00CB15BF"/>
    <w:rsid w:val="00CB3552"/>
    <w:rsid w:val="00CB38E2"/>
    <w:rsid w:val="00CB5A19"/>
    <w:rsid w:val="00CC39DD"/>
    <w:rsid w:val="00CC74D0"/>
    <w:rsid w:val="00CC795C"/>
    <w:rsid w:val="00CD0411"/>
    <w:rsid w:val="00CD0CB1"/>
    <w:rsid w:val="00CD26CB"/>
    <w:rsid w:val="00CD4494"/>
    <w:rsid w:val="00CE131E"/>
    <w:rsid w:val="00CE5DF5"/>
    <w:rsid w:val="00CE6E63"/>
    <w:rsid w:val="00CF287A"/>
    <w:rsid w:val="00CF32EE"/>
    <w:rsid w:val="00D00455"/>
    <w:rsid w:val="00D010F7"/>
    <w:rsid w:val="00D11ECA"/>
    <w:rsid w:val="00D1206D"/>
    <w:rsid w:val="00D157CF"/>
    <w:rsid w:val="00D2244F"/>
    <w:rsid w:val="00D22AEB"/>
    <w:rsid w:val="00D22CE8"/>
    <w:rsid w:val="00D23B2C"/>
    <w:rsid w:val="00D23DD5"/>
    <w:rsid w:val="00D24DCA"/>
    <w:rsid w:val="00D25BEC"/>
    <w:rsid w:val="00D27DA9"/>
    <w:rsid w:val="00D3142A"/>
    <w:rsid w:val="00D346B4"/>
    <w:rsid w:val="00D40FC8"/>
    <w:rsid w:val="00D5370B"/>
    <w:rsid w:val="00D53E31"/>
    <w:rsid w:val="00D579EF"/>
    <w:rsid w:val="00D57AD9"/>
    <w:rsid w:val="00D65812"/>
    <w:rsid w:val="00D66FB5"/>
    <w:rsid w:val="00D717D2"/>
    <w:rsid w:val="00D749B0"/>
    <w:rsid w:val="00D75F27"/>
    <w:rsid w:val="00D76A32"/>
    <w:rsid w:val="00D770DD"/>
    <w:rsid w:val="00D80394"/>
    <w:rsid w:val="00D80A3E"/>
    <w:rsid w:val="00D82707"/>
    <w:rsid w:val="00D90475"/>
    <w:rsid w:val="00D91E1D"/>
    <w:rsid w:val="00D965C5"/>
    <w:rsid w:val="00D9706A"/>
    <w:rsid w:val="00DA7DBD"/>
    <w:rsid w:val="00DB373E"/>
    <w:rsid w:val="00DB483C"/>
    <w:rsid w:val="00DB5C51"/>
    <w:rsid w:val="00DB709D"/>
    <w:rsid w:val="00DC1D05"/>
    <w:rsid w:val="00DC5576"/>
    <w:rsid w:val="00DC7769"/>
    <w:rsid w:val="00DC79E7"/>
    <w:rsid w:val="00DD24C7"/>
    <w:rsid w:val="00DD3928"/>
    <w:rsid w:val="00DD497A"/>
    <w:rsid w:val="00DE086D"/>
    <w:rsid w:val="00DE12B4"/>
    <w:rsid w:val="00DE5118"/>
    <w:rsid w:val="00DE7291"/>
    <w:rsid w:val="00DF3126"/>
    <w:rsid w:val="00DF6CD5"/>
    <w:rsid w:val="00E04EE2"/>
    <w:rsid w:val="00E071E6"/>
    <w:rsid w:val="00E155AF"/>
    <w:rsid w:val="00E17BEE"/>
    <w:rsid w:val="00E20FD9"/>
    <w:rsid w:val="00E22C61"/>
    <w:rsid w:val="00E23A78"/>
    <w:rsid w:val="00E24BE4"/>
    <w:rsid w:val="00E26503"/>
    <w:rsid w:val="00E3518B"/>
    <w:rsid w:val="00E40480"/>
    <w:rsid w:val="00E42793"/>
    <w:rsid w:val="00E432C2"/>
    <w:rsid w:val="00E43506"/>
    <w:rsid w:val="00E4695E"/>
    <w:rsid w:val="00E46FA1"/>
    <w:rsid w:val="00E52E65"/>
    <w:rsid w:val="00E534CE"/>
    <w:rsid w:val="00E6308C"/>
    <w:rsid w:val="00E67720"/>
    <w:rsid w:val="00E75103"/>
    <w:rsid w:val="00E82792"/>
    <w:rsid w:val="00E8386F"/>
    <w:rsid w:val="00E842E9"/>
    <w:rsid w:val="00E965CA"/>
    <w:rsid w:val="00EA22B6"/>
    <w:rsid w:val="00EA3CA3"/>
    <w:rsid w:val="00EA72B9"/>
    <w:rsid w:val="00EA7A43"/>
    <w:rsid w:val="00EB0AB4"/>
    <w:rsid w:val="00EB44EF"/>
    <w:rsid w:val="00EB63BD"/>
    <w:rsid w:val="00EB7DF8"/>
    <w:rsid w:val="00EC0B47"/>
    <w:rsid w:val="00EC39B7"/>
    <w:rsid w:val="00EC4A8F"/>
    <w:rsid w:val="00ED5373"/>
    <w:rsid w:val="00EE02E9"/>
    <w:rsid w:val="00EE1603"/>
    <w:rsid w:val="00EE6460"/>
    <w:rsid w:val="00EF06FF"/>
    <w:rsid w:val="00EF0EB2"/>
    <w:rsid w:val="00EF1518"/>
    <w:rsid w:val="00EF18B4"/>
    <w:rsid w:val="00EF289B"/>
    <w:rsid w:val="00EF6EEA"/>
    <w:rsid w:val="00F2073F"/>
    <w:rsid w:val="00F22494"/>
    <w:rsid w:val="00F24C81"/>
    <w:rsid w:val="00F25677"/>
    <w:rsid w:val="00F27A94"/>
    <w:rsid w:val="00F306BF"/>
    <w:rsid w:val="00F36D6D"/>
    <w:rsid w:val="00F37094"/>
    <w:rsid w:val="00F403AE"/>
    <w:rsid w:val="00F503C4"/>
    <w:rsid w:val="00F51B32"/>
    <w:rsid w:val="00F527EE"/>
    <w:rsid w:val="00F56CB6"/>
    <w:rsid w:val="00F5730B"/>
    <w:rsid w:val="00F638A9"/>
    <w:rsid w:val="00F63BDC"/>
    <w:rsid w:val="00F63E2F"/>
    <w:rsid w:val="00F67E82"/>
    <w:rsid w:val="00F73B60"/>
    <w:rsid w:val="00F745F4"/>
    <w:rsid w:val="00F82584"/>
    <w:rsid w:val="00F84FCE"/>
    <w:rsid w:val="00F85E19"/>
    <w:rsid w:val="00F92AD5"/>
    <w:rsid w:val="00F9358C"/>
    <w:rsid w:val="00F938E1"/>
    <w:rsid w:val="00F95A01"/>
    <w:rsid w:val="00F95BC0"/>
    <w:rsid w:val="00F96571"/>
    <w:rsid w:val="00FA1118"/>
    <w:rsid w:val="00FA2A60"/>
    <w:rsid w:val="00FA2B64"/>
    <w:rsid w:val="00FA3ACA"/>
    <w:rsid w:val="00FA3D5C"/>
    <w:rsid w:val="00FA520A"/>
    <w:rsid w:val="00FA6514"/>
    <w:rsid w:val="00FA6D2D"/>
    <w:rsid w:val="00FA7B66"/>
    <w:rsid w:val="00FB00C6"/>
    <w:rsid w:val="00FB03AA"/>
    <w:rsid w:val="00FB2607"/>
    <w:rsid w:val="00FB65D7"/>
    <w:rsid w:val="00FB73B3"/>
    <w:rsid w:val="00FC109B"/>
    <w:rsid w:val="00FC3343"/>
    <w:rsid w:val="00FC3380"/>
    <w:rsid w:val="00FC639F"/>
    <w:rsid w:val="00FD2798"/>
    <w:rsid w:val="00FD3863"/>
    <w:rsid w:val="00FD41A9"/>
    <w:rsid w:val="00FD4513"/>
    <w:rsid w:val="00FD5D6C"/>
    <w:rsid w:val="00FE20D9"/>
    <w:rsid w:val="00FE2307"/>
    <w:rsid w:val="00FF18B5"/>
    <w:rsid w:val="00FF3E16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C2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01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12D"/>
    <w:pPr>
      <w:outlineLvl w:val="0"/>
    </w:pPr>
    <w:rPr>
      <w:rFonts w:ascii="Calibri" w:hAnsi="Calibri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10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F101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F10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017"/>
    <w:rPr>
      <w:rFonts w:ascii="Times" w:eastAsia="Times New Roman" w:hAnsi="Times" w:cs="Times New Roman"/>
      <w:sz w:val="24"/>
      <w:szCs w:val="24"/>
    </w:rPr>
  </w:style>
  <w:style w:type="character" w:styleId="CommentReference">
    <w:name w:val="annotation reference"/>
    <w:rsid w:val="004F1017"/>
    <w:rPr>
      <w:sz w:val="16"/>
      <w:szCs w:val="16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4F1017"/>
    <w:pPr>
      <w:ind w:left="720"/>
    </w:pPr>
    <w:rPr>
      <w:rFonts w:ascii="Times New Roman" w:eastAsia="Calibri" w:hAnsi="Times New Roman"/>
    </w:rPr>
  </w:style>
  <w:style w:type="character" w:customStyle="1" w:styleId="ListParagraphChar">
    <w:name w:val="List Paragraph Char"/>
    <w:aliases w:val="List Paragraph1 Char,Recommendation Char,List Paragraph11 Char"/>
    <w:link w:val="ListParagraph"/>
    <w:uiPriority w:val="34"/>
    <w:rsid w:val="004F1017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4F1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F1017"/>
    <w:rPr>
      <w:rFonts w:ascii="Times" w:eastAsia="Times New Roman" w:hAnsi="Times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rsid w:val="004F10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F4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3525F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214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83B"/>
    <w:rPr>
      <w:rFonts w:ascii="Times" w:eastAsia="Times New Roman" w:hAnsi="Times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83B"/>
    <w:rPr>
      <w:rFonts w:ascii="Times" w:eastAsia="Times New Roman" w:hAnsi="Times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51B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74F"/>
    <w:rPr>
      <w:color w:val="800080" w:themeColor="followedHyperlink"/>
      <w:u w:val="single"/>
    </w:rPr>
  </w:style>
  <w:style w:type="paragraph" w:customStyle="1" w:styleId="Default">
    <w:name w:val="Default"/>
    <w:rsid w:val="00874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212D"/>
    <w:rPr>
      <w:rFonts w:ascii="Calibri" w:eastAsia="Times New Roman" w:hAnsi="Calibri" w:cs="Arial"/>
      <w:b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9B968-1024-46BA-8C4E-1864002C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Incidents resolved by the National Biosecurity Management Consultative Committee (NBMCC) and the National Biosecurity Management Consultative Committee under the National Environmental Biosecurity Response Agreement (NEBRA) - 1 July 2016 to 30 June 2017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Incidents resolved by the National Biosecurity Management Consultative Committee (NBMCC) and the National Biosecurity Management Consultative Committee under the National Environmental Biosecurity Response Agreement (NEBRA) - 1 July 2016 to 30 June 2017</dc:title>
  <dc:subject/>
  <dc:creator/>
  <cp:keywords/>
  <dc:description/>
  <cp:lastModifiedBy/>
  <cp:revision>1</cp:revision>
  <dcterms:created xsi:type="dcterms:W3CDTF">2020-12-15T03:51:00Z</dcterms:created>
  <dcterms:modified xsi:type="dcterms:W3CDTF">2020-12-15T03:53:00Z</dcterms:modified>
</cp:coreProperties>
</file>