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4513" w:rsidRDefault="00FD4513" w:rsidP="00C07602">
      <w:pPr>
        <w:rPr>
          <w:rFonts w:ascii="Calibri" w:hAnsi="Calibri" w:cs="Arial"/>
          <w:b/>
          <w:color w:val="000000"/>
        </w:rPr>
      </w:pPr>
    </w:p>
    <w:p w:rsidR="00FD4513" w:rsidRDefault="00384411" w:rsidP="00A33838">
      <w:pPr>
        <w:pStyle w:val="Heading1"/>
        <w:rPr>
          <w:sz w:val="22"/>
          <w:szCs w:val="22"/>
        </w:rPr>
      </w:pPr>
      <w:r>
        <w:t xml:space="preserve">Incidents resolved by the National Biosecurity Management Consultative </w:t>
      </w:r>
      <w:r w:rsidRPr="00A33838">
        <w:t>Committee</w:t>
      </w:r>
      <w:r>
        <w:t xml:space="preserve"> (NBMCC) and the National Biosecurity Management </w:t>
      </w:r>
      <w:r w:rsidR="00213617">
        <w:t xml:space="preserve">Group </w:t>
      </w:r>
      <w:r>
        <w:t>under the National Environmental Biosecurity Response Agreement (NEBRA)</w:t>
      </w:r>
      <w:r w:rsidRPr="00AC0C0B">
        <w:t xml:space="preserve"> </w:t>
      </w:r>
      <w:r w:rsidR="00FD4513">
        <w:sym w:font="Symbol" w:char="F02D"/>
      </w:r>
      <w:r w:rsidR="006F5D7E">
        <w:t xml:space="preserve"> 1 J</w:t>
      </w:r>
      <w:r w:rsidR="004C0ABF">
        <w:t>uly 201</w:t>
      </w:r>
      <w:r w:rsidR="00676292">
        <w:t>8</w:t>
      </w:r>
      <w:r w:rsidR="004C0ABF">
        <w:t xml:space="preserve"> to 30</w:t>
      </w:r>
      <w:r w:rsidR="00FD4513">
        <w:t xml:space="preserve"> June 201</w:t>
      </w:r>
      <w:r w:rsidR="00676292">
        <w:t>9</w:t>
      </w:r>
    </w:p>
    <w:p w:rsidR="00FD4513" w:rsidRDefault="00FD4513" w:rsidP="008B768D">
      <w:pPr>
        <w:ind w:firstLine="720"/>
        <w:rPr>
          <w:rFonts w:ascii="Calibri" w:hAnsi="Calibri"/>
          <w:b/>
          <w:color w:val="000000"/>
          <w:sz w:val="22"/>
          <w:szCs w:val="22"/>
        </w:rPr>
      </w:pPr>
    </w:p>
    <w:tbl>
      <w:tblPr>
        <w:tblW w:w="13324"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4"/>
        <w:gridCol w:w="993"/>
        <w:gridCol w:w="1275"/>
        <w:gridCol w:w="1418"/>
        <w:gridCol w:w="1417"/>
        <w:gridCol w:w="6237"/>
      </w:tblGrid>
      <w:tr w:rsidR="003545DE" w:rsidRPr="00C2015F" w:rsidTr="003545DE">
        <w:trPr>
          <w:cantSplit/>
          <w:trHeight w:val="514"/>
          <w:tblHeader/>
        </w:trPr>
        <w:tc>
          <w:tcPr>
            <w:tcW w:w="1984" w:type="dxa"/>
            <w:shd w:val="clear" w:color="auto" w:fill="17365D"/>
          </w:tcPr>
          <w:p w:rsidR="003545DE" w:rsidRDefault="003545DE" w:rsidP="00500F29">
            <w:pPr>
              <w:rPr>
                <w:rFonts w:asciiTheme="minorHAnsi" w:hAnsiTheme="minorHAnsi" w:cs="Arial"/>
                <w:b/>
                <w:bCs/>
                <w:color w:val="FFFFFF"/>
                <w:sz w:val="22"/>
                <w:szCs w:val="22"/>
              </w:rPr>
            </w:pPr>
            <w:r w:rsidRPr="00C2015F">
              <w:rPr>
                <w:rFonts w:asciiTheme="minorHAnsi" w:hAnsiTheme="minorHAnsi" w:cs="Arial"/>
                <w:b/>
                <w:bCs/>
                <w:color w:val="FFFFFF"/>
                <w:sz w:val="22"/>
                <w:szCs w:val="22"/>
              </w:rPr>
              <w:t>Scientific Name</w:t>
            </w:r>
          </w:p>
          <w:p w:rsidR="003545DE" w:rsidRPr="00C2015F" w:rsidRDefault="003545DE" w:rsidP="00500F29">
            <w:pPr>
              <w:rPr>
                <w:rFonts w:asciiTheme="minorHAnsi" w:hAnsiTheme="minorHAnsi" w:cs="Arial"/>
                <w:b/>
                <w:bCs/>
                <w:color w:val="FFFFFF"/>
                <w:sz w:val="22"/>
                <w:szCs w:val="22"/>
              </w:rPr>
            </w:pPr>
            <w:r>
              <w:rPr>
                <w:rFonts w:asciiTheme="minorHAnsi" w:hAnsiTheme="minorHAnsi" w:cs="Arial"/>
                <w:b/>
                <w:bCs/>
                <w:color w:val="FFFFFF"/>
                <w:sz w:val="22"/>
                <w:szCs w:val="22"/>
              </w:rPr>
              <w:t>(common name)</w:t>
            </w:r>
          </w:p>
        </w:tc>
        <w:tc>
          <w:tcPr>
            <w:tcW w:w="993" w:type="dxa"/>
            <w:shd w:val="clear" w:color="auto" w:fill="17365D"/>
            <w:noWrap/>
            <w:hideMark/>
          </w:tcPr>
          <w:p w:rsidR="003545DE" w:rsidRPr="00C2015F" w:rsidRDefault="003545DE" w:rsidP="00500F29">
            <w:pPr>
              <w:rPr>
                <w:rFonts w:asciiTheme="minorHAnsi" w:hAnsiTheme="minorHAnsi" w:cs="Arial"/>
                <w:b/>
                <w:bCs/>
                <w:color w:val="FFFFFF"/>
                <w:sz w:val="22"/>
                <w:szCs w:val="22"/>
              </w:rPr>
            </w:pPr>
            <w:r w:rsidRPr="00C2015F">
              <w:rPr>
                <w:rFonts w:asciiTheme="minorHAnsi" w:hAnsiTheme="minorHAnsi" w:cs="Arial"/>
                <w:b/>
                <w:bCs/>
                <w:color w:val="FFFFFF"/>
                <w:sz w:val="22"/>
                <w:szCs w:val="22"/>
              </w:rPr>
              <w:t>Taxon Type</w:t>
            </w:r>
          </w:p>
        </w:tc>
        <w:tc>
          <w:tcPr>
            <w:tcW w:w="1275" w:type="dxa"/>
            <w:shd w:val="clear" w:color="auto" w:fill="17365D"/>
            <w:hideMark/>
          </w:tcPr>
          <w:p w:rsidR="003545DE" w:rsidRPr="00C2015F" w:rsidRDefault="003545DE" w:rsidP="00500F29">
            <w:pPr>
              <w:rPr>
                <w:rFonts w:asciiTheme="minorHAnsi" w:hAnsiTheme="minorHAnsi" w:cs="Arial"/>
                <w:b/>
                <w:bCs/>
                <w:color w:val="FFFFFF"/>
                <w:sz w:val="22"/>
                <w:szCs w:val="22"/>
              </w:rPr>
            </w:pPr>
            <w:r>
              <w:rPr>
                <w:rFonts w:asciiTheme="minorHAnsi" w:hAnsiTheme="minorHAnsi" w:cs="Arial"/>
                <w:b/>
                <w:bCs/>
                <w:color w:val="FFFFFF"/>
                <w:sz w:val="22"/>
                <w:szCs w:val="22"/>
              </w:rPr>
              <w:t>Notifying Jurisdiction</w:t>
            </w:r>
          </w:p>
        </w:tc>
        <w:tc>
          <w:tcPr>
            <w:tcW w:w="1418" w:type="dxa"/>
            <w:shd w:val="clear" w:color="auto" w:fill="17365D"/>
          </w:tcPr>
          <w:p w:rsidR="003545DE" w:rsidRPr="00C2015F" w:rsidRDefault="003545DE" w:rsidP="005E348F">
            <w:pPr>
              <w:rPr>
                <w:rFonts w:asciiTheme="minorHAnsi" w:hAnsiTheme="minorHAnsi" w:cs="Arial"/>
                <w:b/>
                <w:bCs/>
                <w:color w:val="FFFFFF"/>
                <w:sz w:val="22"/>
                <w:szCs w:val="22"/>
              </w:rPr>
            </w:pPr>
            <w:r w:rsidRPr="00C2015F">
              <w:rPr>
                <w:rFonts w:asciiTheme="minorHAnsi" w:hAnsiTheme="minorHAnsi" w:cs="Arial"/>
                <w:b/>
                <w:bCs/>
                <w:color w:val="FFFFFF"/>
                <w:sz w:val="22"/>
                <w:szCs w:val="22"/>
              </w:rPr>
              <w:t xml:space="preserve">Date notified to </w:t>
            </w:r>
            <w:r>
              <w:rPr>
                <w:rFonts w:asciiTheme="minorHAnsi" w:hAnsiTheme="minorHAnsi" w:cs="Arial"/>
                <w:b/>
                <w:bCs/>
                <w:color w:val="FFFFFF"/>
                <w:sz w:val="22"/>
                <w:szCs w:val="22"/>
              </w:rPr>
              <w:t>NBMCC</w:t>
            </w:r>
          </w:p>
        </w:tc>
        <w:tc>
          <w:tcPr>
            <w:tcW w:w="1417" w:type="dxa"/>
            <w:shd w:val="clear" w:color="auto" w:fill="17365D"/>
          </w:tcPr>
          <w:p w:rsidR="003545DE" w:rsidRPr="00C2015F" w:rsidRDefault="003545DE" w:rsidP="005E348F">
            <w:pPr>
              <w:rPr>
                <w:rFonts w:asciiTheme="minorHAnsi" w:hAnsiTheme="minorHAnsi" w:cs="Arial"/>
                <w:b/>
                <w:bCs/>
                <w:color w:val="FFFFFF"/>
                <w:sz w:val="22"/>
                <w:szCs w:val="22"/>
              </w:rPr>
            </w:pPr>
            <w:r>
              <w:rPr>
                <w:rFonts w:asciiTheme="minorHAnsi" w:hAnsiTheme="minorHAnsi" w:cs="Arial"/>
                <w:b/>
                <w:bCs/>
                <w:color w:val="FFFFFF"/>
                <w:sz w:val="22"/>
                <w:szCs w:val="22"/>
              </w:rPr>
              <w:t>Date NBMCC reached C</w:t>
            </w:r>
            <w:r w:rsidRPr="00C2015F">
              <w:rPr>
                <w:rFonts w:asciiTheme="minorHAnsi" w:hAnsiTheme="minorHAnsi" w:cs="Arial"/>
                <w:b/>
                <w:bCs/>
                <w:color w:val="FFFFFF"/>
                <w:sz w:val="22"/>
                <w:szCs w:val="22"/>
              </w:rPr>
              <w:t>onsensus</w:t>
            </w:r>
          </w:p>
        </w:tc>
        <w:tc>
          <w:tcPr>
            <w:tcW w:w="6237" w:type="dxa"/>
            <w:shd w:val="clear" w:color="auto" w:fill="17365D"/>
            <w:noWrap/>
            <w:hideMark/>
          </w:tcPr>
          <w:p w:rsidR="003545DE" w:rsidRPr="00C2015F" w:rsidRDefault="003545DE" w:rsidP="00706260">
            <w:pPr>
              <w:tabs>
                <w:tab w:val="center" w:pos="2473"/>
              </w:tabs>
              <w:ind w:right="34"/>
              <w:rPr>
                <w:rFonts w:asciiTheme="minorHAnsi" w:hAnsiTheme="minorHAnsi" w:cs="Arial"/>
                <w:b/>
                <w:bCs/>
                <w:color w:val="FFFFFF"/>
                <w:sz w:val="22"/>
                <w:szCs w:val="22"/>
              </w:rPr>
            </w:pPr>
            <w:r w:rsidRPr="00C2015F">
              <w:rPr>
                <w:rFonts w:asciiTheme="minorHAnsi" w:hAnsiTheme="minorHAnsi" w:cs="Arial"/>
                <w:b/>
                <w:bCs/>
                <w:color w:val="FFFFFF"/>
                <w:sz w:val="22"/>
                <w:szCs w:val="22"/>
              </w:rPr>
              <w:t>Comment for N</w:t>
            </w:r>
            <w:r>
              <w:rPr>
                <w:rFonts w:asciiTheme="minorHAnsi" w:hAnsiTheme="minorHAnsi" w:cs="Arial"/>
                <w:b/>
                <w:bCs/>
                <w:color w:val="FFFFFF"/>
                <w:sz w:val="22"/>
                <w:szCs w:val="22"/>
              </w:rPr>
              <w:t>B</w:t>
            </w:r>
            <w:r w:rsidRPr="00C2015F">
              <w:rPr>
                <w:rFonts w:asciiTheme="minorHAnsi" w:hAnsiTheme="minorHAnsi" w:cs="Arial"/>
                <w:b/>
                <w:bCs/>
                <w:color w:val="FFFFFF"/>
                <w:sz w:val="22"/>
                <w:szCs w:val="22"/>
              </w:rPr>
              <w:t>MG</w:t>
            </w:r>
            <w:r>
              <w:rPr>
                <w:rFonts w:asciiTheme="minorHAnsi" w:hAnsiTheme="minorHAnsi" w:cs="Arial"/>
                <w:b/>
                <w:bCs/>
                <w:color w:val="FFFFFF"/>
                <w:sz w:val="22"/>
                <w:szCs w:val="22"/>
              </w:rPr>
              <w:tab/>
            </w:r>
          </w:p>
        </w:tc>
      </w:tr>
      <w:tr w:rsidR="003545DE" w:rsidRPr="00706260" w:rsidTr="003545DE">
        <w:trPr>
          <w:cantSplit/>
          <w:trHeight w:val="229"/>
        </w:trPr>
        <w:tc>
          <w:tcPr>
            <w:tcW w:w="1984" w:type="dxa"/>
          </w:tcPr>
          <w:p w:rsidR="003545DE" w:rsidRPr="00C06C04" w:rsidRDefault="003545DE" w:rsidP="00C06C04">
            <w:pPr>
              <w:rPr>
                <w:rFonts w:asciiTheme="minorHAnsi" w:hAnsiTheme="minorHAnsi"/>
                <w:sz w:val="20"/>
                <w:szCs w:val="20"/>
              </w:rPr>
            </w:pPr>
            <w:r>
              <w:rPr>
                <w:rFonts w:asciiTheme="minorHAnsi" w:hAnsiTheme="minorHAnsi"/>
                <w:i/>
                <w:sz w:val="20"/>
                <w:szCs w:val="20"/>
              </w:rPr>
              <w:t xml:space="preserve">Olla v-nigrum </w:t>
            </w:r>
            <w:r>
              <w:rPr>
                <w:rFonts w:asciiTheme="minorHAnsi" w:hAnsiTheme="minorHAnsi"/>
                <w:sz w:val="20"/>
                <w:szCs w:val="20"/>
              </w:rPr>
              <w:t xml:space="preserve">(ashy </w:t>
            </w:r>
            <w:proofErr w:type="spellStart"/>
            <w:r>
              <w:rPr>
                <w:rFonts w:asciiTheme="minorHAnsi" w:hAnsiTheme="minorHAnsi"/>
                <w:sz w:val="20"/>
                <w:szCs w:val="20"/>
              </w:rPr>
              <w:t>gray</w:t>
            </w:r>
            <w:proofErr w:type="spellEnd"/>
            <w:r>
              <w:rPr>
                <w:rFonts w:asciiTheme="minorHAnsi" w:hAnsiTheme="minorHAnsi"/>
                <w:sz w:val="20"/>
                <w:szCs w:val="20"/>
              </w:rPr>
              <w:t xml:space="preserve"> lady beetle)</w:t>
            </w:r>
          </w:p>
        </w:tc>
        <w:tc>
          <w:tcPr>
            <w:tcW w:w="993" w:type="dxa"/>
            <w:shd w:val="clear" w:color="auto" w:fill="auto"/>
            <w:noWrap/>
          </w:tcPr>
          <w:p w:rsidR="003545DE" w:rsidRDefault="003545DE" w:rsidP="00DB709D">
            <w:pPr>
              <w:rPr>
                <w:rFonts w:asciiTheme="minorHAnsi" w:hAnsiTheme="minorHAnsi"/>
                <w:sz w:val="20"/>
                <w:szCs w:val="20"/>
              </w:rPr>
            </w:pPr>
            <w:r>
              <w:rPr>
                <w:rFonts w:asciiTheme="minorHAnsi" w:hAnsiTheme="minorHAnsi"/>
                <w:sz w:val="20"/>
                <w:szCs w:val="20"/>
              </w:rPr>
              <w:t>Insect</w:t>
            </w:r>
          </w:p>
        </w:tc>
        <w:tc>
          <w:tcPr>
            <w:tcW w:w="1275" w:type="dxa"/>
            <w:shd w:val="clear" w:color="auto" w:fill="auto"/>
            <w:noWrap/>
          </w:tcPr>
          <w:p w:rsidR="003545DE" w:rsidRDefault="003545DE" w:rsidP="009D6046">
            <w:pPr>
              <w:rPr>
                <w:rFonts w:asciiTheme="minorHAnsi" w:hAnsiTheme="minorHAnsi"/>
                <w:sz w:val="20"/>
                <w:szCs w:val="20"/>
              </w:rPr>
            </w:pPr>
            <w:r>
              <w:rPr>
                <w:rFonts w:asciiTheme="minorHAnsi" w:hAnsiTheme="minorHAnsi"/>
                <w:sz w:val="20"/>
                <w:szCs w:val="20"/>
              </w:rPr>
              <w:t>QLD</w:t>
            </w:r>
          </w:p>
        </w:tc>
        <w:tc>
          <w:tcPr>
            <w:tcW w:w="1418" w:type="dxa"/>
          </w:tcPr>
          <w:p w:rsidR="003545DE" w:rsidRDefault="003545DE" w:rsidP="00C06C04">
            <w:pPr>
              <w:rPr>
                <w:rFonts w:asciiTheme="minorHAnsi" w:hAnsiTheme="minorHAnsi" w:cs="Arial"/>
                <w:iCs/>
                <w:sz w:val="20"/>
                <w:szCs w:val="20"/>
              </w:rPr>
            </w:pPr>
            <w:r>
              <w:rPr>
                <w:rFonts w:asciiTheme="minorHAnsi" w:hAnsiTheme="minorHAnsi" w:cs="Arial"/>
                <w:iCs/>
                <w:sz w:val="20"/>
                <w:szCs w:val="20"/>
              </w:rPr>
              <w:t>15/11/2018</w:t>
            </w:r>
          </w:p>
        </w:tc>
        <w:tc>
          <w:tcPr>
            <w:tcW w:w="1417" w:type="dxa"/>
          </w:tcPr>
          <w:p w:rsidR="003545DE" w:rsidRDefault="003545DE" w:rsidP="00C06C04">
            <w:pPr>
              <w:tabs>
                <w:tab w:val="left" w:pos="793"/>
              </w:tabs>
              <w:jc w:val="both"/>
              <w:rPr>
                <w:rFonts w:asciiTheme="minorHAnsi" w:hAnsiTheme="minorHAnsi" w:cs="Arial"/>
                <w:iCs/>
                <w:sz w:val="20"/>
                <w:szCs w:val="20"/>
              </w:rPr>
            </w:pPr>
            <w:r>
              <w:rPr>
                <w:rFonts w:asciiTheme="minorHAnsi" w:hAnsiTheme="minorHAnsi" w:cs="Arial"/>
                <w:iCs/>
                <w:sz w:val="20"/>
                <w:szCs w:val="20"/>
              </w:rPr>
              <w:t>22/11/2018</w:t>
            </w:r>
          </w:p>
        </w:tc>
        <w:tc>
          <w:tcPr>
            <w:tcW w:w="6237" w:type="dxa"/>
            <w:shd w:val="clear" w:color="auto" w:fill="auto"/>
          </w:tcPr>
          <w:p w:rsidR="003545DE" w:rsidRPr="00C06C04" w:rsidRDefault="003545DE" w:rsidP="009F42D5">
            <w:pPr>
              <w:rPr>
                <w:rFonts w:asciiTheme="minorHAnsi" w:hAnsiTheme="minorHAnsi"/>
                <w:sz w:val="20"/>
                <w:szCs w:val="20"/>
              </w:rPr>
            </w:pPr>
            <w:r w:rsidRPr="00C06C04">
              <w:rPr>
                <w:rFonts w:asciiTheme="minorHAnsi" w:hAnsiTheme="minorHAnsi"/>
                <w:sz w:val="20"/>
                <w:szCs w:val="20"/>
              </w:rPr>
              <w:t xml:space="preserve">Consensus by the NBMCC that </w:t>
            </w:r>
            <w:r w:rsidRPr="00C06C04">
              <w:rPr>
                <w:rFonts w:asciiTheme="minorHAnsi" w:hAnsiTheme="minorHAnsi"/>
                <w:i/>
                <w:sz w:val="20"/>
                <w:szCs w:val="20"/>
              </w:rPr>
              <w:t>Olla v-nigrum</w:t>
            </w:r>
            <w:r w:rsidRPr="00C06C04">
              <w:rPr>
                <w:rFonts w:asciiTheme="minorHAnsi" w:hAnsiTheme="minorHAnsi"/>
                <w:sz w:val="20"/>
                <w:szCs w:val="20"/>
              </w:rPr>
              <w:t xml:space="preserve"> is not reasonably believed to meet the national significance criteria as defined by the NEBRA. This is because there is no evidence to suggest that it would likely have nationally significant impacts to the environment, soci</w:t>
            </w:r>
            <w:r>
              <w:rPr>
                <w:rFonts w:asciiTheme="minorHAnsi" w:hAnsiTheme="minorHAnsi"/>
                <w:sz w:val="20"/>
                <w:szCs w:val="20"/>
              </w:rPr>
              <w:t xml:space="preserve">al </w:t>
            </w:r>
            <w:proofErr w:type="gramStart"/>
            <w:r>
              <w:rPr>
                <w:rFonts w:asciiTheme="minorHAnsi" w:hAnsiTheme="minorHAnsi"/>
                <w:sz w:val="20"/>
                <w:szCs w:val="20"/>
              </w:rPr>
              <w:t>amenity</w:t>
            </w:r>
            <w:proofErr w:type="gramEnd"/>
            <w:r>
              <w:rPr>
                <w:rFonts w:asciiTheme="minorHAnsi" w:hAnsiTheme="minorHAnsi"/>
                <w:sz w:val="20"/>
                <w:szCs w:val="20"/>
              </w:rPr>
              <w:t xml:space="preserve"> or business activity</w:t>
            </w:r>
            <w:r w:rsidRPr="00C06C04">
              <w:rPr>
                <w:rFonts w:asciiTheme="minorHAnsi" w:hAnsiTheme="minorHAnsi"/>
                <w:sz w:val="20"/>
                <w:szCs w:val="20"/>
              </w:rPr>
              <w:t>.</w:t>
            </w:r>
          </w:p>
        </w:tc>
      </w:tr>
      <w:tr w:rsidR="003545DE" w:rsidRPr="00706260" w:rsidTr="003545DE">
        <w:trPr>
          <w:cantSplit/>
          <w:trHeight w:val="229"/>
        </w:trPr>
        <w:tc>
          <w:tcPr>
            <w:tcW w:w="1984" w:type="dxa"/>
          </w:tcPr>
          <w:p w:rsidR="003545DE" w:rsidRPr="009A2CA0" w:rsidRDefault="003545DE" w:rsidP="00C06C04">
            <w:pPr>
              <w:rPr>
                <w:rFonts w:asciiTheme="minorHAnsi" w:hAnsiTheme="minorHAnsi"/>
                <w:sz w:val="20"/>
                <w:szCs w:val="20"/>
              </w:rPr>
            </w:pPr>
            <w:proofErr w:type="spellStart"/>
            <w:r w:rsidRPr="00C06C04">
              <w:rPr>
                <w:rFonts w:asciiTheme="minorHAnsi" w:hAnsiTheme="minorHAnsi"/>
                <w:i/>
                <w:sz w:val="20"/>
                <w:szCs w:val="20"/>
              </w:rPr>
              <w:t>Prorhinotermes</w:t>
            </w:r>
            <w:proofErr w:type="spellEnd"/>
            <w:r w:rsidRPr="00C06C04">
              <w:rPr>
                <w:rFonts w:asciiTheme="minorHAnsi" w:hAnsiTheme="minorHAnsi"/>
                <w:i/>
                <w:sz w:val="20"/>
                <w:szCs w:val="20"/>
              </w:rPr>
              <w:t xml:space="preserve"> </w:t>
            </w:r>
            <w:proofErr w:type="spellStart"/>
            <w:r w:rsidRPr="00C06C04">
              <w:rPr>
                <w:rFonts w:asciiTheme="minorHAnsi" w:hAnsiTheme="minorHAnsi"/>
                <w:i/>
                <w:sz w:val="20"/>
                <w:szCs w:val="20"/>
              </w:rPr>
              <w:t>canalifrons</w:t>
            </w:r>
            <w:proofErr w:type="spellEnd"/>
            <w:r w:rsidRPr="009D6046">
              <w:rPr>
                <w:rFonts w:asciiTheme="minorHAnsi" w:hAnsiTheme="minorHAnsi"/>
                <w:i/>
                <w:sz w:val="20"/>
                <w:szCs w:val="20"/>
              </w:rPr>
              <w:t xml:space="preserve"> </w:t>
            </w:r>
            <w:r w:rsidRPr="009D6046">
              <w:rPr>
                <w:rFonts w:asciiTheme="minorHAnsi" w:hAnsiTheme="minorHAnsi"/>
                <w:sz w:val="20"/>
                <w:szCs w:val="20"/>
              </w:rPr>
              <w:t>(</w:t>
            </w:r>
            <w:r>
              <w:rPr>
                <w:rFonts w:asciiTheme="minorHAnsi" w:hAnsiTheme="minorHAnsi"/>
                <w:sz w:val="20"/>
                <w:szCs w:val="20"/>
              </w:rPr>
              <w:t>subterranean termite</w:t>
            </w:r>
            <w:r w:rsidRPr="009D6046">
              <w:rPr>
                <w:rFonts w:asciiTheme="minorHAnsi" w:hAnsiTheme="minorHAnsi"/>
                <w:sz w:val="20"/>
                <w:szCs w:val="20"/>
              </w:rPr>
              <w:t>)</w:t>
            </w:r>
          </w:p>
        </w:tc>
        <w:tc>
          <w:tcPr>
            <w:tcW w:w="993" w:type="dxa"/>
            <w:shd w:val="clear" w:color="auto" w:fill="auto"/>
            <w:noWrap/>
          </w:tcPr>
          <w:p w:rsidR="003545DE" w:rsidRPr="006561F6" w:rsidRDefault="003545DE" w:rsidP="00DB709D">
            <w:pPr>
              <w:rPr>
                <w:rFonts w:asciiTheme="minorHAnsi" w:hAnsiTheme="minorHAnsi"/>
                <w:sz w:val="20"/>
                <w:szCs w:val="20"/>
              </w:rPr>
            </w:pPr>
            <w:r>
              <w:rPr>
                <w:rFonts w:asciiTheme="minorHAnsi" w:hAnsiTheme="minorHAnsi"/>
                <w:sz w:val="20"/>
                <w:szCs w:val="20"/>
              </w:rPr>
              <w:t>Insect</w:t>
            </w:r>
          </w:p>
        </w:tc>
        <w:tc>
          <w:tcPr>
            <w:tcW w:w="1275" w:type="dxa"/>
            <w:shd w:val="clear" w:color="auto" w:fill="auto"/>
            <w:noWrap/>
          </w:tcPr>
          <w:p w:rsidR="003545DE" w:rsidRPr="006561F6" w:rsidRDefault="003545DE" w:rsidP="009D6046">
            <w:pPr>
              <w:rPr>
                <w:rFonts w:asciiTheme="minorHAnsi" w:hAnsiTheme="minorHAnsi"/>
                <w:sz w:val="20"/>
                <w:szCs w:val="20"/>
              </w:rPr>
            </w:pPr>
            <w:r>
              <w:rPr>
                <w:rFonts w:asciiTheme="minorHAnsi" w:hAnsiTheme="minorHAnsi"/>
                <w:sz w:val="20"/>
                <w:szCs w:val="20"/>
              </w:rPr>
              <w:t>CWTH (Christmas Island)</w:t>
            </w:r>
          </w:p>
        </w:tc>
        <w:tc>
          <w:tcPr>
            <w:tcW w:w="1418" w:type="dxa"/>
          </w:tcPr>
          <w:p w:rsidR="003545DE" w:rsidRPr="006561F6" w:rsidRDefault="003545DE" w:rsidP="00C06C04">
            <w:pPr>
              <w:rPr>
                <w:rFonts w:asciiTheme="minorHAnsi" w:hAnsiTheme="minorHAnsi" w:cs="Arial"/>
                <w:iCs/>
                <w:sz w:val="20"/>
                <w:szCs w:val="20"/>
              </w:rPr>
            </w:pPr>
            <w:r>
              <w:rPr>
                <w:rFonts w:asciiTheme="minorHAnsi" w:hAnsiTheme="minorHAnsi" w:cs="Arial"/>
                <w:iCs/>
                <w:sz w:val="20"/>
                <w:szCs w:val="20"/>
              </w:rPr>
              <w:t>21/08/2018</w:t>
            </w:r>
          </w:p>
        </w:tc>
        <w:tc>
          <w:tcPr>
            <w:tcW w:w="1417" w:type="dxa"/>
          </w:tcPr>
          <w:p w:rsidR="003545DE" w:rsidRPr="006561F6" w:rsidRDefault="003545DE" w:rsidP="00C06C04">
            <w:pPr>
              <w:tabs>
                <w:tab w:val="left" w:pos="793"/>
              </w:tabs>
              <w:jc w:val="both"/>
              <w:rPr>
                <w:rFonts w:asciiTheme="minorHAnsi" w:hAnsiTheme="minorHAnsi" w:cs="Arial"/>
                <w:iCs/>
                <w:sz w:val="20"/>
                <w:szCs w:val="20"/>
              </w:rPr>
            </w:pPr>
            <w:r>
              <w:rPr>
                <w:rFonts w:asciiTheme="minorHAnsi" w:hAnsiTheme="minorHAnsi" w:cs="Arial"/>
                <w:iCs/>
                <w:sz w:val="20"/>
                <w:szCs w:val="20"/>
              </w:rPr>
              <w:t>27/08/2018</w:t>
            </w:r>
          </w:p>
        </w:tc>
        <w:tc>
          <w:tcPr>
            <w:tcW w:w="6237" w:type="dxa"/>
            <w:shd w:val="clear" w:color="auto" w:fill="auto"/>
          </w:tcPr>
          <w:p w:rsidR="003545DE" w:rsidRPr="006561F6" w:rsidRDefault="003545DE" w:rsidP="00846AF6">
            <w:pPr>
              <w:rPr>
                <w:rFonts w:asciiTheme="minorHAnsi" w:hAnsiTheme="minorHAnsi"/>
                <w:sz w:val="20"/>
                <w:szCs w:val="20"/>
              </w:rPr>
            </w:pPr>
            <w:r w:rsidRPr="00C06C04">
              <w:rPr>
                <w:rFonts w:asciiTheme="minorHAnsi" w:hAnsiTheme="minorHAnsi"/>
                <w:sz w:val="20"/>
                <w:szCs w:val="20"/>
              </w:rPr>
              <w:t xml:space="preserve">Consensus by the NBMCC that </w:t>
            </w:r>
            <w:proofErr w:type="spellStart"/>
            <w:r w:rsidRPr="00C06C04">
              <w:rPr>
                <w:rFonts w:asciiTheme="minorHAnsi" w:hAnsiTheme="minorHAnsi"/>
                <w:i/>
                <w:sz w:val="20"/>
                <w:szCs w:val="20"/>
              </w:rPr>
              <w:t>Prorhinotermes</w:t>
            </w:r>
            <w:proofErr w:type="spellEnd"/>
            <w:r w:rsidRPr="00C06C04">
              <w:rPr>
                <w:rFonts w:asciiTheme="minorHAnsi" w:hAnsiTheme="minorHAnsi"/>
                <w:i/>
                <w:sz w:val="20"/>
                <w:szCs w:val="20"/>
              </w:rPr>
              <w:t xml:space="preserve"> </w:t>
            </w:r>
            <w:proofErr w:type="spellStart"/>
            <w:r w:rsidRPr="00C06C04">
              <w:rPr>
                <w:rFonts w:asciiTheme="minorHAnsi" w:hAnsiTheme="minorHAnsi"/>
                <w:i/>
                <w:sz w:val="20"/>
                <w:szCs w:val="20"/>
              </w:rPr>
              <w:t>canalifrons</w:t>
            </w:r>
            <w:proofErr w:type="spellEnd"/>
            <w:r w:rsidRPr="00C06C04">
              <w:rPr>
                <w:rFonts w:asciiTheme="minorHAnsi" w:hAnsiTheme="minorHAnsi"/>
                <w:sz w:val="20"/>
                <w:szCs w:val="20"/>
              </w:rPr>
              <w:t xml:space="preserve"> is not reasonably believed to be nationally significant as defined by the NEBRA. This is because there is no evidence of significant impacts to the environment</w:t>
            </w:r>
            <w:r>
              <w:rPr>
                <w:rFonts w:asciiTheme="minorHAnsi" w:hAnsiTheme="minorHAnsi"/>
                <w:sz w:val="20"/>
                <w:szCs w:val="20"/>
              </w:rPr>
              <w:t>,</w:t>
            </w:r>
            <w:r w:rsidRPr="00C06C04">
              <w:rPr>
                <w:rFonts w:asciiTheme="minorHAnsi" w:hAnsiTheme="minorHAnsi"/>
                <w:sz w:val="20"/>
                <w:szCs w:val="20"/>
              </w:rPr>
              <w:t xml:space="preserve"> social </w:t>
            </w:r>
            <w:proofErr w:type="gramStart"/>
            <w:r w:rsidRPr="00C06C04">
              <w:rPr>
                <w:rFonts w:asciiTheme="minorHAnsi" w:hAnsiTheme="minorHAnsi"/>
                <w:sz w:val="20"/>
                <w:szCs w:val="20"/>
              </w:rPr>
              <w:t>amenity</w:t>
            </w:r>
            <w:proofErr w:type="gramEnd"/>
            <w:r w:rsidRPr="00C06C04">
              <w:rPr>
                <w:rFonts w:asciiTheme="minorHAnsi" w:hAnsiTheme="minorHAnsi"/>
                <w:sz w:val="20"/>
                <w:szCs w:val="20"/>
              </w:rPr>
              <w:t xml:space="preserve"> or business activity.</w:t>
            </w:r>
          </w:p>
        </w:tc>
      </w:tr>
    </w:tbl>
    <w:p w:rsidR="00453E56" w:rsidRPr="008E7710" w:rsidRDefault="00453E56" w:rsidP="00C15A40">
      <w:pPr>
        <w:ind w:firstLine="720"/>
        <w:rPr>
          <w:rFonts w:asciiTheme="minorHAnsi" w:hAnsiTheme="minorHAnsi"/>
          <w:sz w:val="22"/>
          <w:szCs w:val="22"/>
        </w:rPr>
      </w:pPr>
    </w:p>
    <w:sectPr w:rsidR="00453E56" w:rsidRPr="008E7710" w:rsidSect="00FA6D2D">
      <w:footerReference w:type="default" r:id="rId8"/>
      <w:headerReference w:type="first" r:id="rId9"/>
      <w:pgSz w:w="16838" w:h="11906" w:orient="landscape"/>
      <w:pgMar w:top="720" w:right="720" w:bottom="720" w:left="720" w:header="425"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035B" w:rsidRDefault="0073035B" w:rsidP="004F1017">
      <w:r>
        <w:separator/>
      </w:r>
    </w:p>
  </w:endnote>
  <w:endnote w:type="continuationSeparator" w:id="0">
    <w:p w:rsidR="0073035B" w:rsidRDefault="0073035B" w:rsidP="004F1017">
      <w:r>
        <w:continuationSeparator/>
      </w:r>
    </w:p>
  </w:endnote>
  <w:endnote w:type="continuationNotice" w:id="1">
    <w:p w:rsidR="0073035B" w:rsidRDefault="00730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5E8" w:rsidRPr="00A406EB" w:rsidRDefault="00B165E8" w:rsidP="00B0357C">
    <w:pPr>
      <w:jc w:val="right"/>
      <w:rPr>
        <w:rFonts w:ascii="Calibri" w:hAnsi="Calibri"/>
        <w:color w:val="000000"/>
        <w:sz w:val="22"/>
        <w:szCs w:val="22"/>
      </w:rPr>
    </w:pPr>
    <w:r w:rsidRPr="00A406EB">
      <w:rPr>
        <w:rFonts w:ascii="Calibri" w:hAnsi="Calibri"/>
        <w:color w:val="000000"/>
        <w:sz w:val="22"/>
        <w:szCs w:val="22"/>
      </w:rPr>
      <w:t xml:space="preserve">Page </w:t>
    </w:r>
    <w:r w:rsidRPr="00A406EB">
      <w:rPr>
        <w:rFonts w:ascii="Calibri" w:hAnsi="Calibri"/>
        <w:color w:val="000000"/>
        <w:sz w:val="22"/>
        <w:szCs w:val="22"/>
      </w:rPr>
      <w:fldChar w:fldCharType="begin"/>
    </w:r>
    <w:r w:rsidRPr="00A406EB">
      <w:rPr>
        <w:rFonts w:ascii="Calibri" w:hAnsi="Calibri"/>
        <w:color w:val="000000"/>
        <w:sz w:val="22"/>
        <w:szCs w:val="22"/>
      </w:rPr>
      <w:instrText xml:space="preserve"> PAGE </w:instrText>
    </w:r>
    <w:r w:rsidRPr="00A406EB">
      <w:rPr>
        <w:rFonts w:ascii="Calibri" w:hAnsi="Calibri"/>
        <w:color w:val="000000"/>
        <w:sz w:val="22"/>
        <w:szCs w:val="22"/>
      </w:rPr>
      <w:fldChar w:fldCharType="separate"/>
    </w:r>
    <w:r w:rsidR="009D6046">
      <w:rPr>
        <w:rFonts w:ascii="Calibri" w:hAnsi="Calibri"/>
        <w:noProof/>
        <w:color w:val="000000"/>
        <w:sz w:val="22"/>
        <w:szCs w:val="22"/>
      </w:rPr>
      <w:t>2</w:t>
    </w:r>
    <w:r w:rsidRPr="00A406EB">
      <w:rPr>
        <w:rFonts w:ascii="Calibri" w:hAnsi="Calibri"/>
        <w:color w:val="000000"/>
        <w:sz w:val="22"/>
        <w:szCs w:val="22"/>
      </w:rPr>
      <w:fldChar w:fldCharType="end"/>
    </w:r>
    <w:r w:rsidRPr="00A406EB">
      <w:rPr>
        <w:rFonts w:ascii="Calibri" w:hAnsi="Calibri"/>
        <w:color w:val="000000"/>
        <w:sz w:val="22"/>
        <w:szCs w:val="22"/>
      </w:rPr>
      <w:t xml:space="preserve"> of </w:t>
    </w:r>
    <w:r w:rsidRPr="00A406EB">
      <w:rPr>
        <w:rFonts w:ascii="Calibri" w:hAnsi="Calibri"/>
        <w:color w:val="000000"/>
        <w:sz w:val="22"/>
        <w:szCs w:val="22"/>
      </w:rPr>
      <w:fldChar w:fldCharType="begin"/>
    </w:r>
    <w:r w:rsidRPr="00A406EB">
      <w:rPr>
        <w:rFonts w:ascii="Calibri" w:hAnsi="Calibri"/>
        <w:color w:val="000000"/>
        <w:sz w:val="22"/>
        <w:szCs w:val="22"/>
      </w:rPr>
      <w:instrText xml:space="preserve"> NUMPAGES  </w:instrText>
    </w:r>
    <w:r w:rsidRPr="00A406EB">
      <w:rPr>
        <w:rFonts w:ascii="Calibri" w:hAnsi="Calibri"/>
        <w:color w:val="000000"/>
        <w:sz w:val="22"/>
        <w:szCs w:val="22"/>
      </w:rPr>
      <w:fldChar w:fldCharType="separate"/>
    </w:r>
    <w:r w:rsidR="00083E25">
      <w:rPr>
        <w:rFonts w:ascii="Calibri" w:hAnsi="Calibri"/>
        <w:noProof/>
        <w:color w:val="000000"/>
        <w:sz w:val="22"/>
        <w:szCs w:val="22"/>
      </w:rPr>
      <w:t>1</w:t>
    </w:r>
    <w:r w:rsidRPr="00A406EB">
      <w:rPr>
        <w:rFonts w:ascii="Calibri" w:hAnsi="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035B" w:rsidRDefault="0073035B" w:rsidP="004F1017">
      <w:r>
        <w:separator/>
      </w:r>
    </w:p>
  </w:footnote>
  <w:footnote w:type="continuationSeparator" w:id="0">
    <w:p w:rsidR="0073035B" w:rsidRDefault="0073035B" w:rsidP="004F1017">
      <w:r>
        <w:continuationSeparator/>
      </w:r>
    </w:p>
  </w:footnote>
  <w:footnote w:type="continuationNotice" w:id="1">
    <w:p w:rsidR="0073035B" w:rsidRDefault="00730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6D2D" w:rsidRPr="00A33838" w:rsidRDefault="00A33838" w:rsidP="00A33838">
    <w:pPr>
      <w:pStyle w:val="Header"/>
      <w:rPr>
        <w:bCs/>
        <w:sz w:val="20"/>
      </w:rPr>
    </w:pPr>
    <w:r w:rsidRPr="00A33838">
      <w:rPr>
        <w:rFonts w:ascii="Calibri" w:hAnsi="Calibri" w:cs="Arial"/>
        <w:bCs/>
        <w:color w:val="000000"/>
        <w:sz w:val="20"/>
      </w:rPr>
      <w:t>National Biosecurity Management Consultative Committee (NBMCC) and the National Biosecurity Management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6A39"/>
    <w:multiLevelType w:val="hybridMultilevel"/>
    <w:tmpl w:val="92DA5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360467"/>
    <w:multiLevelType w:val="hybridMultilevel"/>
    <w:tmpl w:val="56A08922"/>
    <w:lvl w:ilvl="0" w:tplc="FC366D02">
      <w:start w:val="43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E168DF"/>
    <w:multiLevelType w:val="hybridMultilevel"/>
    <w:tmpl w:val="1C5EC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6C7E8E"/>
    <w:multiLevelType w:val="hybridMultilevel"/>
    <w:tmpl w:val="DB667B24"/>
    <w:lvl w:ilvl="0" w:tplc="0C090001">
      <w:start w:val="1"/>
      <w:numFmt w:val="bullet"/>
      <w:lvlText w:val=""/>
      <w:lvlJc w:val="left"/>
      <w:pPr>
        <w:ind w:left="360" w:hanging="360"/>
      </w:pPr>
      <w:rPr>
        <w:rFonts w:ascii="Symbol" w:hAnsi="Symbol" w:hint="default"/>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4" w15:restartNumberingAfterBreak="0">
    <w:nsid w:val="1F1E6ECC"/>
    <w:multiLevelType w:val="hybridMultilevel"/>
    <w:tmpl w:val="766A3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0B09B3"/>
    <w:multiLevelType w:val="hybridMultilevel"/>
    <w:tmpl w:val="901E770E"/>
    <w:lvl w:ilvl="0" w:tplc="070A7A70">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12F58"/>
    <w:multiLevelType w:val="hybridMultilevel"/>
    <w:tmpl w:val="E7321CF2"/>
    <w:lvl w:ilvl="0" w:tplc="108AD07E">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B9080C"/>
    <w:multiLevelType w:val="hybridMultilevel"/>
    <w:tmpl w:val="C8A86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CA43CF"/>
    <w:multiLevelType w:val="hybridMultilevel"/>
    <w:tmpl w:val="5B9C0B58"/>
    <w:lvl w:ilvl="0" w:tplc="796A4688">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27832"/>
    <w:multiLevelType w:val="hybridMultilevel"/>
    <w:tmpl w:val="D8BAD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DC45A9F"/>
    <w:multiLevelType w:val="hybridMultilevel"/>
    <w:tmpl w:val="69988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A457890"/>
    <w:multiLevelType w:val="hybridMultilevel"/>
    <w:tmpl w:val="FBD4853A"/>
    <w:lvl w:ilvl="0" w:tplc="8B84BB2C">
      <w:start w:val="200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C327B1"/>
    <w:multiLevelType w:val="hybridMultilevel"/>
    <w:tmpl w:val="D36A0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4F7B4F"/>
    <w:multiLevelType w:val="hybridMultilevel"/>
    <w:tmpl w:val="C1820D2A"/>
    <w:lvl w:ilvl="0" w:tplc="0C090017">
      <w:start w:val="1"/>
      <w:numFmt w:val="lowerLetter"/>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4" w15:restartNumberingAfterBreak="0">
    <w:nsid w:val="60E32213"/>
    <w:multiLevelType w:val="hybridMultilevel"/>
    <w:tmpl w:val="B4DA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6D1DFC"/>
    <w:multiLevelType w:val="hybridMultilevel"/>
    <w:tmpl w:val="96CEC31E"/>
    <w:lvl w:ilvl="0" w:tplc="F59600A8">
      <w:start w:val="200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B863D5"/>
    <w:multiLevelType w:val="hybridMultilevel"/>
    <w:tmpl w:val="C1820D2A"/>
    <w:lvl w:ilvl="0" w:tplc="0C090017">
      <w:start w:val="1"/>
      <w:numFmt w:val="lowerLetter"/>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7" w15:restartNumberingAfterBreak="0">
    <w:nsid w:val="763D6563"/>
    <w:multiLevelType w:val="hybridMultilevel"/>
    <w:tmpl w:val="230846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7BAC3621"/>
    <w:multiLevelType w:val="hybridMultilevel"/>
    <w:tmpl w:val="BD24C5DC"/>
    <w:lvl w:ilvl="0" w:tplc="223EF1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14095A"/>
    <w:multiLevelType w:val="hybridMultilevel"/>
    <w:tmpl w:val="4C5CBED4"/>
    <w:lvl w:ilvl="0" w:tplc="77B25348">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8"/>
  </w:num>
  <w:num w:numId="4">
    <w:abstractNumId w:val="5"/>
  </w:num>
  <w:num w:numId="5">
    <w:abstractNumId w:val="15"/>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2"/>
  </w:num>
  <w:num w:numId="11">
    <w:abstractNumId w:val="3"/>
  </w:num>
  <w:num w:numId="12">
    <w:abstractNumId w:val="4"/>
  </w:num>
  <w:num w:numId="13">
    <w:abstractNumId w:val="6"/>
  </w:num>
  <w:num w:numId="14">
    <w:abstractNumId w:val="1"/>
  </w:num>
  <w:num w:numId="15">
    <w:abstractNumId w:val="12"/>
  </w:num>
  <w:num w:numId="16">
    <w:abstractNumId w:val="18"/>
  </w:num>
  <w:num w:numId="17">
    <w:abstractNumId w:val="0"/>
  </w:num>
  <w:num w:numId="18">
    <w:abstractNumId w:val="9"/>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17"/>
    <w:rsid w:val="00002952"/>
    <w:rsid w:val="00003B83"/>
    <w:rsid w:val="00006126"/>
    <w:rsid w:val="000128F2"/>
    <w:rsid w:val="00015D31"/>
    <w:rsid w:val="00031986"/>
    <w:rsid w:val="000345F8"/>
    <w:rsid w:val="00035DB3"/>
    <w:rsid w:val="0003700C"/>
    <w:rsid w:val="00042CE8"/>
    <w:rsid w:val="00044F94"/>
    <w:rsid w:val="0004523F"/>
    <w:rsid w:val="0004556B"/>
    <w:rsid w:val="00047D18"/>
    <w:rsid w:val="00051103"/>
    <w:rsid w:val="00055E8D"/>
    <w:rsid w:val="00062BFA"/>
    <w:rsid w:val="00064C9A"/>
    <w:rsid w:val="00065329"/>
    <w:rsid w:val="0006619B"/>
    <w:rsid w:val="000702CD"/>
    <w:rsid w:val="00070A7C"/>
    <w:rsid w:val="00070C1B"/>
    <w:rsid w:val="000711FE"/>
    <w:rsid w:val="00082E1B"/>
    <w:rsid w:val="00083E25"/>
    <w:rsid w:val="0008653F"/>
    <w:rsid w:val="00087278"/>
    <w:rsid w:val="00091946"/>
    <w:rsid w:val="00091B7A"/>
    <w:rsid w:val="00096481"/>
    <w:rsid w:val="00096C79"/>
    <w:rsid w:val="00097073"/>
    <w:rsid w:val="000979F4"/>
    <w:rsid w:val="000A08CD"/>
    <w:rsid w:val="000A3D8F"/>
    <w:rsid w:val="000A430F"/>
    <w:rsid w:val="000B26D4"/>
    <w:rsid w:val="000B2A0A"/>
    <w:rsid w:val="000B5089"/>
    <w:rsid w:val="000B52D8"/>
    <w:rsid w:val="000B5A5D"/>
    <w:rsid w:val="000B62BB"/>
    <w:rsid w:val="000C2523"/>
    <w:rsid w:val="000C26EE"/>
    <w:rsid w:val="000C27C9"/>
    <w:rsid w:val="000C2E7F"/>
    <w:rsid w:val="000C4575"/>
    <w:rsid w:val="000C626C"/>
    <w:rsid w:val="000C6CE4"/>
    <w:rsid w:val="000D02CA"/>
    <w:rsid w:val="000D1D17"/>
    <w:rsid w:val="000D34F5"/>
    <w:rsid w:val="000E42A9"/>
    <w:rsid w:val="000E43D1"/>
    <w:rsid w:val="000E6816"/>
    <w:rsid w:val="000E6CCF"/>
    <w:rsid w:val="000E7D24"/>
    <w:rsid w:val="000E7FA9"/>
    <w:rsid w:val="00101BEA"/>
    <w:rsid w:val="001034C2"/>
    <w:rsid w:val="00107DE1"/>
    <w:rsid w:val="00110A13"/>
    <w:rsid w:val="001155ED"/>
    <w:rsid w:val="001158DA"/>
    <w:rsid w:val="0012049F"/>
    <w:rsid w:val="0012299D"/>
    <w:rsid w:val="00122A08"/>
    <w:rsid w:val="00122D68"/>
    <w:rsid w:val="00122F4E"/>
    <w:rsid w:val="00124FBF"/>
    <w:rsid w:val="00131BF5"/>
    <w:rsid w:val="0013462D"/>
    <w:rsid w:val="001349D2"/>
    <w:rsid w:val="001414D9"/>
    <w:rsid w:val="00141F6C"/>
    <w:rsid w:val="00142677"/>
    <w:rsid w:val="00143FD5"/>
    <w:rsid w:val="00145E5E"/>
    <w:rsid w:val="00147647"/>
    <w:rsid w:val="001502FA"/>
    <w:rsid w:val="0015171E"/>
    <w:rsid w:val="00153C7E"/>
    <w:rsid w:val="00153E6C"/>
    <w:rsid w:val="001551E9"/>
    <w:rsid w:val="00157D8E"/>
    <w:rsid w:val="00160D7B"/>
    <w:rsid w:val="00164AFB"/>
    <w:rsid w:val="00166EE2"/>
    <w:rsid w:val="00170CBE"/>
    <w:rsid w:val="001726D4"/>
    <w:rsid w:val="00173A6A"/>
    <w:rsid w:val="00175576"/>
    <w:rsid w:val="00180EF7"/>
    <w:rsid w:val="00187085"/>
    <w:rsid w:val="00187AA7"/>
    <w:rsid w:val="00190093"/>
    <w:rsid w:val="0019267C"/>
    <w:rsid w:val="00194B28"/>
    <w:rsid w:val="001A1125"/>
    <w:rsid w:val="001A5E51"/>
    <w:rsid w:val="001A6C82"/>
    <w:rsid w:val="001B043C"/>
    <w:rsid w:val="001B26D3"/>
    <w:rsid w:val="001B4447"/>
    <w:rsid w:val="001B494E"/>
    <w:rsid w:val="001C147D"/>
    <w:rsid w:val="001C233C"/>
    <w:rsid w:val="001C3DE7"/>
    <w:rsid w:val="001C5652"/>
    <w:rsid w:val="001C6A76"/>
    <w:rsid w:val="001D1755"/>
    <w:rsid w:val="001D1EAE"/>
    <w:rsid w:val="001D2096"/>
    <w:rsid w:val="001D356A"/>
    <w:rsid w:val="001D3D5C"/>
    <w:rsid w:val="001D5C83"/>
    <w:rsid w:val="001D6BDE"/>
    <w:rsid w:val="001D7EAD"/>
    <w:rsid w:val="001E0C50"/>
    <w:rsid w:val="001E2233"/>
    <w:rsid w:val="001E31AD"/>
    <w:rsid w:val="001E3E18"/>
    <w:rsid w:val="001E4D63"/>
    <w:rsid w:val="001E7DFB"/>
    <w:rsid w:val="001F012C"/>
    <w:rsid w:val="001F1071"/>
    <w:rsid w:val="001F36A2"/>
    <w:rsid w:val="00202030"/>
    <w:rsid w:val="00205C63"/>
    <w:rsid w:val="0020618B"/>
    <w:rsid w:val="002073AB"/>
    <w:rsid w:val="00207CA0"/>
    <w:rsid w:val="00211163"/>
    <w:rsid w:val="0021250A"/>
    <w:rsid w:val="00213617"/>
    <w:rsid w:val="0021483B"/>
    <w:rsid w:val="00220C7C"/>
    <w:rsid w:val="0022207C"/>
    <w:rsid w:val="00222FED"/>
    <w:rsid w:val="00226E80"/>
    <w:rsid w:val="00227C4C"/>
    <w:rsid w:val="002351E0"/>
    <w:rsid w:val="00237B0D"/>
    <w:rsid w:val="00244D9E"/>
    <w:rsid w:val="00247A15"/>
    <w:rsid w:val="00250914"/>
    <w:rsid w:val="00250E08"/>
    <w:rsid w:val="00260FB1"/>
    <w:rsid w:val="002613F4"/>
    <w:rsid w:val="00262E41"/>
    <w:rsid w:val="00265610"/>
    <w:rsid w:val="00265935"/>
    <w:rsid w:val="00266842"/>
    <w:rsid w:val="0027735F"/>
    <w:rsid w:val="00280AC7"/>
    <w:rsid w:val="002818D5"/>
    <w:rsid w:val="00284482"/>
    <w:rsid w:val="002846C1"/>
    <w:rsid w:val="002848B7"/>
    <w:rsid w:val="002864EE"/>
    <w:rsid w:val="002923C4"/>
    <w:rsid w:val="002A4445"/>
    <w:rsid w:val="002A5836"/>
    <w:rsid w:val="002A6FB6"/>
    <w:rsid w:val="002A701B"/>
    <w:rsid w:val="002A7438"/>
    <w:rsid w:val="002B7A32"/>
    <w:rsid w:val="002C5434"/>
    <w:rsid w:val="002D0D18"/>
    <w:rsid w:val="002D5D6F"/>
    <w:rsid w:val="002D60D6"/>
    <w:rsid w:val="002E42F9"/>
    <w:rsid w:val="002E6B12"/>
    <w:rsid w:val="002E6C22"/>
    <w:rsid w:val="002E7089"/>
    <w:rsid w:val="002E7E31"/>
    <w:rsid w:val="002F0ED8"/>
    <w:rsid w:val="002F31F0"/>
    <w:rsid w:val="002F4171"/>
    <w:rsid w:val="002F6053"/>
    <w:rsid w:val="002F7B50"/>
    <w:rsid w:val="002F7E0A"/>
    <w:rsid w:val="00301045"/>
    <w:rsid w:val="00310A28"/>
    <w:rsid w:val="00311E41"/>
    <w:rsid w:val="00314C43"/>
    <w:rsid w:val="00322328"/>
    <w:rsid w:val="0032306B"/>
    <w:rsid w:val="00325660"/>
    <w:rsid w:val="00331368"/>
    <w:rsid w:val="0033196E"/>
    <w:rsid w:val="00332C21"/>
    <w:rsid w:val="00334CB3"/>
    <w:rsid w:val="0033511A"/>
    <w:rsid w:val="003357C3"/>
    <w:rsid w:val="00343B05"/>
    <w:rsid w:val="00351033"/>
    <w:rsid w:val="003525F4"/>
    <w:rsid w:val="0035427B"/>
    <w:rsid w:val="003545DE"/>
    <w:rsid w:val="00355981"/>
    <w:rsid w:val="00360FBF"/>
    <w:rsid w:val="00362661"/>
    <w:rsid w:val="00363C73"/>
    <w:rsid w:val="00364DE7"/>
    <w:rsid w:val="003714A1"/>
    <w:rsid w:val="003728A8"/>
    <w:rsid w:val="00376E91"/>
    <w:rsid w:val="00377340"/>
    <w:rsid w:val="00382183"/>
    <w:rsid w:val="00382D59"/>
    <w:rsid w:val="0038309B"/>
    <w:rsid w:val="003833D2"/>
    <w:rsid w:val="00384411"/>
    <w:rsid w:val="00385DF0"/>
    <w:rsid w:val="00391DC0"/>
    <w:rsid w:val="003A05B3"/>
    <w:rsid w:val="003A237E"/>
    <w:rsid w:val="003A5484"/>
    <w:rsid w:val="003C1DB6"/>
    <w:rsid w:val="003C2303"/>
    <w:rsid w:val="003C26B0"/>
    <w:rsid w:val="003C47E0"/>
    <w:rsid w:val="003C5FD7"/>
    <w:rsid w:val="003C7277"/>
    <w:rsid w:val="003C7815"/>
    <w:rsid w:val="003D785D"/>
    <w:rsid w:val="003E1C98"/>
    <w:rsid w:val="003E26FC"/>
    <w:rsid w:val="003E2783"/>
    <w:rsid w:val="003E3A2E"/>
    <w:rsid w:val="003E49DA"/>
    <w:rsid w:val="003F1108"/>
    <w:rsid w:val="003F5EE1"/>
    <w:rsid w:val="0040081F"/>
    <w:rsid w:val="00401E1E"/>
    <w:rsid w:val="004035FF"/>
    <w:rsid w:val="00403E04"/>
    <w:rsid w:val="004054E4"/>
    <w:rsid w:val="00410361"/>
    <w:rsid w:val="00412FBA"/>
    <w:rsid w:val="00414053"/>
    <w:rsid w:val="0041493F"/>
    <w:rsid w:val="00415AD0"/>
    <w:rsid w:val="004164FE"/>
    <w:rsid w:val="00417A8B"/>
    <w:rsid w:val="00422FE5"/>
    <w:rsid w:val="00424940"/>
    <w:rsid w:val="00427524"/>
    <w:rsid w:val="00431015"/>
    <w:rsid w:val="00440545"/>
    <w:rsid w:val="00441AE5"/>
    <w:rsid w:val="00442945"/>
    <w:rsid w:val="00447B27"/>
    <w:rsid w:val="00447DD1"/>
    <w:rsid w:val="00452207"/>
    <w:rsid w:val="00453E56"/>
    <w:rsid w:val="00455C61"/>
    <w:rsid w:val="0045716F"/>
    <w:rsid w:val="00465685"/>
    <w:rsid w:val="0047257A"/>
    <w:rsid w:val="004744C4"/>
    <w:rsid w:val="004808A5"/>
    <w:rsid w:val="00483134"/>
    <w:rsid w:val="00494A39"/>
    <w:rsid w:val="004A1A88"/>
    <w:rsid w:val="004B072C"/>
    <w:rsid w:val="004B0C4C"/>
    <w:rsid w:val="004B18BB"/>
    <w:rsid w:val="004B6B74"/>
    <w:rsid w:val="004B7757"/>
    <w:rsid w:val="004C0ABF"/>
    <w:rsid w:val="004C3F8A"/>
    <w:rsid w:val="004C4260"/>
    <w:rsid w:val="004C76F5"/>
    <w:rsid w:val="004C7724"/>
    <w:rsid w:val="004D5A74"/>
    <w:rsid w:val="004F1017"/>
    <w:rsid w:val="004F4D49"/>
    <w:rsid w:val="004F65F1"/>
    <w:rsid w:val="004F6FA9"/>
    <w:rsid w:val="004F7264"/>
    <w:rsid w:val="004F733E"/>
    <w:rsid w:val="0050083A"/>
    <w:rsid w:val="00500F02"/>
    <w:rsid w:val="00500F29"/>
    <w:rsid w:val="00504B25"/>
    <w:rsid w:val="00504DCB"/>
    <w:rsid w:val="005068E4"/>
    <w:rsid w:val="00510C8A"/>
    <w:rsid w:val="00510DFE"/>
    <w:rsid w:val="00510F0A"/>
    <w:rsid w:val="0051208E"/>
    <w:rsid w:val="00512380"/>
    <w:rsid w:val="00513BF0"/>
    <w:rsid w:val="005164E5"/>
    <w:rsid w:val="00525DD9"/>
    <w:rsid w:val="00527A79"/>
    <w:rsid w:val="0053064D"/>
    <w:rsid w:val="005352B4"/>
    <w:rsid w:val="00535D8A"/>
    <w:rsid w:val="00536F83"/>
    <w:rsid w:val="00540DFB"/>
    <w:rsid w:val="005516A6"/>
    <w:rsid w:val="005556BC"/>
    <w:rsid w:val="005557B3"/>
    <w:rsid w:val="00557F5A"/>
    <w:rsid w:val="00571F96"/>
    <w:rsid w:val="00573082"/>
    <w:rsid w:val="00575892"/>
    <w:rsid w:val="00580481"/>
    <w:rsid w:val="005838C3"/>
    <w:rsid w:val="00583D58"/>
    <w:rsid w:val="00584EB2"/>
    <w:rsid w:val="005853D7"/>
    <w:rsid w:val="005871B6"/>
    <w:rsid w:val="005912BB"/>
    <w:rsid w:val="00597524"/>
    <w:rsid w:val="005A0CD2"/>
    <w:rsid w:val="005A3AB2"/>
    <w:rsid w:val="005A569C"/>
    <w:rsid w:val="005B008D"/>
    <w:rsid w:val="005B64B3"/>
    <w:rsid w:val="005C31B5"/>
    <w:rsid w:val="005C3C4E"/>
    <w:rsid w:val="005C7BAE"/>
    <w:rsid w:val="005D75E2"/>
    <w:rsid w:val="005E1FA7"/>
    <w:rsid w:val="005E348F"/>
    <w:rsid w:val="005E3852"/>
    <w:rsid w:val="005E4CBB"/>
    <w:rsid w:val="005F1E41"/>
    <w:rsid w:val="005F3B09"/>
    <w:rsid w:val="005F4DCA"/>
    <w:rsid w:val="005F5EE4"/>
    <w:rsid w:val="005F6058"/>
    <w:rsid w:val="00600C12"/>
    <w:rsid w:val="006071CC"/>
    <w:rsid w:val="006072AC"/>
    <w:rsid w:val="006116E8"/>
    <w:rsid w:val="00612673"/>
    <w:rsid w:val="006135B5"/>
    <w:rsid w:val="00613D92"/>
    <w:rsid w:val="00621A13"/>
    <w:rsid w:val="00623F1A"/>
    <w:rsid w:val="00624A97"/>
    <w:rsid w:val="00626AA4"/>
    <w:rsid w:val="0063099D"/>
    <w:rsid w:val="00631E14"/>
    <w:rsid w:val="00633A12"/>
    <w:rsid w:val="0063443C"/>
    <w:rsid w:val="00636807"/>
    <w:rsid w:val="006450CA"/>
    <w:rsid w:val="00645DD5"/>
    <w:rsid w:val="00647015"/>
    <w:rsid w:val="00651506"/>
    <w:rsid w:val="00653F84"/>
    <w:rsid w:val="006561F6"/>
    <w:rsid w:val="00660374"/>
    <w:rsid w:val="00673A53"/>
    <w:rsid w:val="00673C2A"/>
    <w:rsid w:val="00673DE2"/>
    <w:rsid w:val="00676292"/>
    <w:rsid w:val="006825B6"/>
    <w:rsid w:val="00683438"/>
    <w:rsid w:val="00684B94"/>
    <w:rsid w:val="00685DE1"/>
    <w:rsid w:val="0069030E"/>
    <w:rsid w:val="006944B7"/>
    <w:rsid w:val="006944D1"/>
    <w:rsid w:val="00695C7B"/>
    <w:rsid w:val="00696C1C"/>
    <w:rsid w:val="006A4540"/>
    <w:rsid w:val="006A4883"/>
    <w:rsid w:val="006A695B"/>
    <w:rsid w:val="006B10D1"/>
    <w:rsid w:val="006B15B1"/>
    <w:rsid w:val="006B18C1"/>
    <w:rsid w:val="006B5185"/>
    <w:rsid w:val="006C0EC1"/>
    <w:rsid w:val="006C1168"/>
    <w:rsid w:val="006C4A43"/>
    <w:rsid w:val="006C73E9"/>
    <w:rsid w:val="006D11F2"/>
    <w:rsid w:val="006D1DE3"/>
    <w:rsid w:val="006D3389"/>
    <w:rsid w:val="006D77ED"/>
    <w:rsid w:val="006E19DE"/>
    <w:rsid w:val="006E3286"/>
    <w:rsid w:val="006E3596"/>
    <w:rsid w:val="006E599F"/>
    <w:rsid w:val="006E67BF"/>
    <w:rsid w:val="006F014D"/>
    <w:rsid w:val="006F0464"/>
    <w:rsid w:val="006F270A"/>
    <w:rsid w:val="006F368C"/>
    <w:rsid w:val="006F4124"/>
    <w:rsid w:val="006F42A7"/>
    <w:rsid w:val="006F5D7E"/>
    <w:rsid w:val="00703CEF"/>
    <w:rsid w:val="00703F66"/>
    <w:rsid w:val="0070467A"/>
    <w:rsid w:val="00706260"/>
    <w:rsid w:val="0070680A"/>
    <w:rsid w:val="00710B32"/>
    <w:rsid w:val="0071354C"/>
    <w:rsid w:val="007156F6"/>
    <w:rsid w:val="0071642B"/>
    <w:rsid w:val="00717505"/>
    <w:rsid w:val="00717CBA"/>
    <w:rsid w:val="007219CB"/>
    <w:rsid w:val="007219DD"/>
    <w:rsid w:val="00722E2F"/>
    <w:rsid w:val="00724A2C"/>
    <w:rsid w:val="00725AAF"/>
    <w:rsid w:val="0072648B"/>
    <w:rsid w:val="0073010B"/>
    <w:rsid w:val="0073035B"/>
    <w:rsid w:val="00733A98"/>
    <w:rsid w:val="00735853"/>
    <w:rsid w:val="0074021D"/>
    <w:rsid w:val="0074040F"/>
    <w:rsid w:val="0074474F"/>
    <w:rsid w:val="00755E35"/>
    <w:rsid w:val="007615FE"/>
    <w:rsid w:val="007662B9"/>
    <w:rsid w:val="00767220"/>
    <w:rsid w:val="00767344"/>
    <w:rsid w:val="007913CA"/>
    <w:rsid w:val="0079223B"/>
    <w:rsid w:val="00797CF3"/>
    <w:rsid w:val="007A3E74"/>
    <w:rsid w:val="007A5091"/>
    <w:rsid w:val="007A6EF1"/>
    <w:rsid w:val="007A753F"/>
    <w:rsid w:val="007B04F1"/>
    <w:rsid w:val="007B0A55"/>
    <w:rsid w:val="007B1BD5"/>
    <w:rsid w:val="007B4CEB"/>
    <w:rsid w:val="007B7C38"/>
    <w:rsid w:val="007C01FA"/>
    <w:rsid w:val="007C0575"/>
    <w:rsid w:val="007C272D"/>
    <w:rsid w:val="007C3398"/>
    <w:rsid w:val="007C6174"/>
    <w:rsid w:val="007C6C9A"/>
    <w:rsid w:val="007D09E5"/>
    <w:rsid w:val="007D0DB3"/>
    <w:rsid w:val="007D1633"/>
    <w:rsid w:val="007D2774"/>
    <w:rsid w:val="007D7460"/>
    <w:rsid w:val="007D758A"/>
    <w:rsid w:val="007E0977"/>
    <w:rsid w:val="007E4F26"/>
    <w:rsid w:val="007E64AF"/>
    <w:rsid w:val="007F0AD6"/>
    <w:rsid w:val="007F13B6"/>
    <w:rsid w:val="007F57D4"/>
    <w:rsid w:val="007F5913"/>
    <w:rsid w:val="007F5A8D"/>
    <w:rsid w:val="00800FAD"/>
    <w:rsid w:val="00804F0A"/>
    <w:rsid w:val="0080605E"/>
    <w:rsid w:val="00810595"/>
    <w:rsid w:val="00812B64"/>
    <w:rsid w:val="00817CB8"/>
    <w:rsid w:val="00820F73"/>
    <w:rsid w:val="00822D27"/>
    <w:rsid w:val="0082659A"/>
    <w:rsid w:val="00826C1B"/>
    <w:rsid w:val="00826F42"/>
    <w:rsid w:val="00830907"/>
    <w:rsid w:val="00836CCF"/>
    <w:rsid w:val="008376C9"/>
    <w:rsid w:val="00841193"/>
    <w:rsid w:val="00841974"/>
    <w:rsid w:val="00843B83"/>
    <w:rsid w:val="008461D2"/>
    <w:rsid w:val="00846AF6"/>
    <w:rsid w:val="008478A4"/>
    <w:rsid w:val="0085442B"/>
    <w:rsid w:val="008571F5"/>
    <w:rsid w:val="00860FA3"/>
    <w:rsid w:val="008643F2"/>
    <w:rsid w:val="00865439"/>
    <w:rsid w:val="00874D4E"/>
    <w:rsid w:val="00876C2B"/>
    <w:rsid w:val="00877891"/>
    <w:rsid w:val="008804C7"/>
    <w:rsid w:val="00881840"/>
    <w:rsid w:val="00883AA7"/>
    <w:rsid w:val="008842FC"/>
    <w:rsid w:val="008855EB"/>
    <w:rsid w:val="00893831"/>
    <w:rsid w:val="00893A05"/>
    <w:rsid w:val="00895DCA"/>
    <w:rsid w:val="008963BE"/>
    <w:rsid w:val="00896901"/>
    <w:rsid w:val="00897DB3"/>
    <w:rsid w:val="008A0199"/>
    <w:rsid w:val="008A2C5A"/>
    <w:rsid w:val="008A6647"/>
    <w:rsid w:val="008B194F"/>
    <w:rsid w:val="008B7656"/>
    <w:rsid w:val="008B768D"/>
    <w:rsid w:val="008C55F0"/>
    <w:rsid w:val="008C6266"/>
    <w:rsid w:val="008D14FB"/>
    <w:rsid w:val="008D6C2D"/>
    <w:rsid w:val="008D72ED"/>
    <w:rsid w:val="008E3E08"/>
    <w:rsid w:val="008E4A0D"/>
    <w:rsid w:val="008E5F77"/>
    <w:rsid w:val="008E6973"/>
    <w:rsid w:val="008E7710"/>
    <w:rsid w:val="008F4409"/>
    <w:rsid w:val="008F5119"/>
    <w:rsid w:val="008F6E0B"/>
    <w:rsid w:val="009002C8"/>
    <w:rsid w:val="00904B0A"/>
    <w:rsid w:val="00904ED9"/>
    <w:rsid w:val="0090641E"/>
    <w:rsid w:val="00907EB0"/>
    <w:rsid w:val="00920BCB"/>
    <w:rsid w:val="00923382"/>
    <w:rsid w:val="009253D5"/>
    <w:rsid w:val="00927E2F"/>
    <w:rsid w:val="00941A27"/>
    <w:rsid w:val="00942340"/>
    <w:rsid w:val="009462FB"/>
    <w:rsid w:val="009468CD"/>
    <w:rsid w:val="0095013B"/>
    <w:rsid w:val="0095305F"/>
    <w:rsid w:val="009676C6"/>
    <w:rsid w:val="00970550"/>
    <w:rsid w:val="00970BBC"/>
    <w:rsid w:val="00970CED"/>
    <w:rsid w:val="009719B6"/>
    <w:rsid w:val="00971F54"/>
    <w:rsid w:val="00976FEA"/>
    <w:rsid w:val="00977689"/>
    <w:rsid w:val="00977B80"/>
    <w:rsid w:val="00982C0D"/>
    <w:rsid w:val="00983B2F"/>
    <w:rsid w:val="0098774C"/>
    <w:rsid w:val="00994E2A"/>
    <w:rsid w:val="0099551D"/>
    <w:rsid w:val="0099739F"/>
    <w:rsid w:val="009A2CA0"/>
    <w:rsid w:val="009A2EAA"/>
    <w:rsid w:val="009A31E8"/>
    <w:rsid w:val="009A40D7"/>
    <w:rsid w:val="009A4379"/>
    <w:rsid w:val="009A6969"/>
    <w:rsid w:val="009B3DBE"/>
    <w:rsid w:val="009B5A33"/>
    <w:rsid w:val="009B601D"/>
    <w:rsid w:val="009C1BB3"/>
    <w:rsid w:val="009C3C2C"/>
    <w:rsid w:val="009C7191"/>
    <w:rsid w:val="009C748F"/>
    <w:rsid w:val="009D1C5B"/>
    <w:rsid w:val="009D5DED"/>
    <w:rsid w:val="009D6046"/>
    <w:rsid w:val="009E0EFE"/>
    <w:rsid w:val="009E486A"/>
    <w:rsid w:val="009E6DEE"/>
    <w:rsid w:val="009F01FF"/>
    <w:rsid w:val="009F1ABE"/>
    <w:rsid w:val="009F42D5"/>
    <w:rsid w:val="009F494B"/>
    <w:rsid w:val="00A00567"/>
    <w:rsid w:val="00A01935"/>
    <w:rsid w:val="00A0235D"/>
    <w:rsid w:val="00A023EC"/>
    <w:rsid w:val="00A04353"/>
    <w:rsid w:val="00A155D2"/>
    <w:rsid w:val="00A16D2B"/>
    <w:rsid w:val="00A20807"/>
    <w:rsid w:val="00A24C2A"/>
    <w:rsid w:val="00A2576A"/>
    <w:rsid w:val="00A2725F"/>
    <w:rsid w:val="00A30001"/>
    <w:rsid w:val="00A308B1"/>
    <w:rsid w:val="00A317E2"/>
    <w:rsid w:val="00A31F44"/>
    <w:rsid w:val="00A33838"/>
    <w:rsid w:val="00A35033"/>
    <w:rsid w:val="00A4262E"/>
    <w:rsid w:val="00A47484"/>
    <w:rsid w:val="00A51B5B"/>
    <w:rsid w:val="00A52075"/>
    <w:rsid w:val="00A5512A"/>
    <w:rsid w:val="00A56244"/>
    <w:rsid w:val="00A60032"/>
    <w:rsid w:val="00A61320"/>
    <w:rsid w:val="00A66C8D"/>
    <w:rsid w:val="00A8151B"/>
    <w:rsid w:val="00A82A2F"/>
    <w:rsid w:val="00A8427E"/>
    <w:rsid w:val="00A84796"/>
    <w:rsid w:val="00A85F28"/>
    <w:rsid w:val="00A87324"/>
    <w:rsid w:val="00A93D85"/>
    <w:rsid w:val="00A9528D"/>
    <w:rsid w:val="00A95530"/>
    <w:rsid w:val="00A95EF8"/>
    <w:rsid w:val="00A9731D"/>
    <w:rsid w:val="00AA09E5"/>
    <w:rsid w:val="00AA0A4D"/>
    <w:rsid w:val="00AA11D3"/>
    <w:rsid w:val="00AA1DC1"/>
    <w:rsid w:val="00AB2BB1"/>
    <w:rsid w:val="00AB2BEF"/>
    <w:rsid w:val="00AB40CF"/>
    <w:rsid w:val="00AC0C0B"/>
    <w:rsid w:val="00AC17CB"/>
    <w:rsid w:val="00AC1D4C"/>
    <w:rsid w:val="00AC26D5"/>
    <w:rsid w:val="00AC33B2"/>
    <w:rsid w:val="00AC51CD"/>
    <w:rsid w:val="00AD11E0"/>
    <w:rsid w:val="00AD2B92"/>
    <w:rsid w:val="00AD2BA8"/>
    <w:rsid w:val="00AD4003"/>
    <w:rsid w:val="00AD52A8"/>
    <w:rsid w:val="00AD7F3F"/>
    <w:rsid w:val="00AE164F"/>
    <w:rsid w:val="00AE29B8"/>
    <w:rsid w:val="00AE41E5"/>
    <w:rsid w:val="00AE783A"/>
    <w:rsid w:val="00AF0A18"/>
    <w:rsid w:val="00AF7552"/>
    <w:rsid w:val="00B026E0"/>
    <w:rsid w:val="00B02F82"/>
    <w:rsid w:val="00B0357C"/>
    <w:rsid w:val="00B06268"/>
    <w:rsid w:val="00B075CF"/>
    <w:rsid w:val="00B102CA"/>
    <w:rsid w:val="00B128E7"/>
    <w:rsid w:val="00B13741"/>
    <w:rsid w:val="00B14386"/>
    <w:rsid w:val="00B165E8"/>
    <w:rsid w:val="00B1756A"/>
    <w:rsid w:val="00B25058"/>
    <w:rsid w:val="00B30379"/>
    <w:rsid w:val="00B312E9"/>
    <w:rsid w:val="00B319E3"/>
    <w:rsid w:val="00B362F8"/>
    <w:rsid w:val="00B37065"/>
    <w:rsid w:val="00B403D0"/>
    <w:rsid w:val="00B43756"/>
    <w:rsid w:val="00B45964"/>
    <w:rsid w:val="00B47CD3"/>
    <w:rsid w:val="00B5092F"/>
    <w:rsid w:val="00B55AB4"/>
    <w:rsid w:val="00B56D3A"/>
    <w:rsid w:val="00B610CB"/>
    <w:rsid w:val="00B638E3"/>
    <w:rsid w:val="00B7387F"/>
    <w:rsid w:val="00B75F5E"/>
    <w:rsid w:val="00B81051"/>
    <w:rsid w:val="00B86A75"/>
    <w:rsid w:val="00B87D8A"/>
    <w:rsid w:val="00BA1B2E"/>
    <w:rsid w:val="00BA2341"/>
    <w:rsid w:val="00BA6DC2"/>
    <w:rsid w:val="00BA7155"/>
    <w:rsid w:val="00BA7451"/>
    <w:rsid w:val="00BB25B2"/>
    <w:rsid w:val="00BB324D"/>
    <w:rsid w:val="00BB47B7"/>
    <w:rsid w:val="00BB58DB"/>
    <w:rsid w:val="00BB64AD"/>
    <w:rsid w:val="00BB7EC8"/>
    <w:rsid w:val="00BC0ADC"/>
    <w:rsid w:val="00BC116F"/>
    <w:rsid w:val="00BC167B"/>
    <w:rsid w:val="00BC2160"/>
    <w:rsid w:val="00BC4E8D"/>
    <w:rsid w:val="00BC7F3D"/>
    <w:rsid w:val="00BD49DD"/>
    <w:rsid w:val="00BD6D8A"/>
    <w:rsid w:val="00BD798D"/>
    <w:rsid w:val="00BD7B74"/>
    <w:rsid w:val="00BE01C9"/>
    <w:rsid w:val="00BE0DDC"/>
    <w:rsid w:val="00BE2158"/>
    <w:rsid w:val="00BE4789"/>
    <w:rsid w:val="00BE5B38"/>
    <w:rsid w:val="00BE6533"/>
    <w:rsid w:val="00BF071A"/>
    <w:rsid w:val="00BF28A2"/>
    <w:rsid w:val="00BF5160"/>
    <w:rsid w:val="00C05CA8"/>
    <w:rsid w:val="00C06C04"/>
    <w:rsid w:val="00C07602"/>
    <w:rsid w:val="00C105EE"/>
    <w:rsid w:val="00C11038"/>
    <w:rsid w:val="00C15A40"/>
    <w:rsid w:val="00C167EC"/>
    <w:rsid w:val="00C168E6"/>
    <w:rsid w:val="00C1769C"/>
    <w:rsid w:val="00C2015F"/>
    <w:rsid w:val="00C201EA"/>
    <w:rsid w:val="00C21F13"/>
    <w:rsid w:val="00C244BB"/>
    <w:rsid w:val="00C27F4F"/>
    <w:rsid w:val="00C3703C"/>
    <w:rsid w:val="00C40438"/>
    <w:rsid w:val="00C43684"/>
    <w:rsid w:val="00C44E4D"/>
    <w:rsid w:val="00C466D7"/>
    <w:rsid w:val="00C51532"/>
    <w:rsid w:val="00C54267"/>
    <w:rsid w:val="00C578FF"/>
    <w:rsid w:val="00C60395"/>
    <w:rsid w:val="00C60E98"/>
    <w:rsid w:val="00C647CD"/>
    <w:rsid w:val="00C65374"/>
    <w:rsid w:val="00C6595C"/>
    <w:rsid w:val="00C66626"/>
    <w:rsid w:val="00C71593"/>
    <w:rsid w:val="00C838F9"/>
    <w:rsid w:val="00C84EA0"/>
    <w:rsid w:val="00C86ECE"/>
    <w:rsid w:val="00C9199C"/>
    <w:rsid w:val="00C91C76"/>
    <w:rsid w:val="00C94828"/>
    <w:rsid w:val="00C95A8C"/>
    <w:rsid w:val="00C9620D"/>
    <w:rsid w:val="00CA17B3"/>
    <w:rsid w:val="00CA5EEF"/>
    <w:rsid w:val="00CB0104"/>
    <w:rsid w:val="00CB15BF"/>
    <w:rsid w:val="00CB3552"/>
    <w:rsid w:val="00CB38E2"/>
    <w:rsid w:val="00CB5A19"/>
    <w:rsid w:val="00CC30A6"/>
    <w:rsid w:val="00CC39DD"/>
    <w:rsid w:val="00CC74D0"/>
    <w:rsid w:val="00CC795C"/>
    <w:rsid w:val="00CD0411"/>
    <w:rsid w:val="00CD0CB1"/>
    <w:rsid w:val="00CD26CB"/>
    <w:rsid w:val="00CD4494"/>
    <w:rsid w:val="00CE131E"/>
    <w:rsid w:val="00CE5DF5"/>
    <w:rsid w:val="00CE6E63"/>
    <w:rsid w:val="00CF287A"/>
    <w:rsid w:val="00CF32EE"/>
    <w:rsid w:val="00D00455"/>
    <w:rsid w:val="00D010F7"/>
    <w:rsid w:val="00D11ECA"/>
    <w:rsid w:val="00D1206D"/>
    <w:rsid w:val="00D157CF"/>
    <w:rsid w:val="00D2244F"/>
    <w:rsid w:val="00D22AEB"/>
    <w:rsid w:val="00D22CE8"/>
    <w:rsid w:val="00D23B2C"/>
    <w:rsid w:val="00D23DD5"/>
    <w:rsid w:val="00D24DCA"/>
    <w:rsid w:val="00D25BEC"/>
    <w:rsid w:val="00D27DA9"/>
    <w:rsid w:val="00D3142A"/>
    <w:rsid w:val="00D346B4"/>
    <w:rsid w:val="00D40FC8"/>
    <w:rsid w:val="00D5370B"/>
    <w:rsid w:val="00D53E31"/>
    <w:rsid w:val="00D579EF"/>
    <w:rsid w:val="00D57AD9"/>
    <w:rsid w:val="00D65812"/>
    <w:rsid w:val="00D66FB5"/>
    <w:rsid w:val="00D717D2"/>
    <w:rsid w:val="00D749B0"/>
    <w:rsid w:val="00D75F27"/>
    <w:rsid w:val="00D76517"/>
    <w:rsid w:val="00D76A32"/>
    <w:rsid w:val="00D770DD"/>
    <w:rsid w:val="00D80394"/>
    <w:rsid w:val="00D80A3E"/>
    <w:rsid w:val="00D82707"/>
    <w:rsid w:val="00D90475"/>
    <w:rsid w:val="00D91E1D"/>
    <w:rsid w:val="00D965C5"/>
    <w:rsid w:val="00D9706A"/>
    <w:rsid w:val="00DA7DBD"/>
    <w:rsid w:val="00DB373E"/>
    <w:rsid w:val="00DB483C"/>
    <w:rsid w:val="00DB5C51"/>
    <w:rsid w:val="00DB709D"/>
    <w:rsid w:val="00DC1D05"/>
    <w:rsid w:val="00DC5576"/>
    <w:rsid w:val="00DC7769"/>
    <w:rsid w:val="00DC79E7"/>
    <w:rsid w:val="00DD24C7"/>
    <w:rsid w:val="00DD3928"/>
    <w:rsid w:val="00DD497A"/>
    <w:rsid w:val="00DE086D"/>
    <w:rsid w:val="00DE12B4"/>
    <w:rsid w:val="00DE5118"/>
    <w:rsid w:val="00DE7291"/>
    <w:rsid w:val="00DF3126"/>
    <w:rsid w:val="00DF6CD5"/>
    <w:rsid w:val="00E04EE2"/>
    <w:rsid w:val="00E071E6"/>
    <w:rsid w:val="00E155AF"/>
    <w:rsid w:val="00E17BEE"/>
    <w:rsid w:val="00E20FD9"/>
    <w:rsid w:val="00E22C61"/>
    <w:rsid w:val="00E23A78"/>
    <w:rsid w:val="00E24BE4"/>
    <w:rsid w:val="00E26503"/>
    <w:rsid w:val="00E3518B"/>
    <w:rsid w:val="00E40480"/>
    <w:rsid w:val="00E42793"/>
    <w:rsid w:val="00E432C2"/>
    <w:rsid w:val="00E43506"/>
    <w:rsid w:val="00E4695E"/>
    <w:rsid w:val="00E52E65"/>
    <w:rsid w:val="00E534CE"/>
    <w:rsid w:val="00E6028D"/>
    <w:rsid w:val="00E6308C"/>
    <w:rsid w:val="00E67720"/>
    <w:rsid w:val="00E75103"/>
    <w:rsid w:val="00E82792"/>
    <w:rsid w:val="00E8386F"/>
    <w:rsid w:val="00E842E9"/>
    <w:rsid w:val="00E965CA"/>
    <w:rsid w:val="00EA22B6"/>
    <w:rsid w:val="00EA3CA3"/>
    <w:rsid w:val="00EA72B9"/>
    <w:rsid w:val="00EA7A43"/>
    <w:rsid w:val="00EB0AB4"/>
    <w:rsid w:val="00EB44EF"/>
    <w:rsid w:val="00EB63BD"/>
    <w:rsid w:val="00EB7DF8"/>
    <w:rsid w:val="00EC0B47"/>
    <w:rsid w:val="00EC39B7"/>
    <w:rsid w:val="00EC4A8F"/>
    <w:rsid w:val="00ED5373"/>
    <w:rsid w:val="00EE02E9"/>
    <w:rsid w:val="00EE1603"/>
    <w:rsid w:val="00EE6460"/>
    <w:rsid w:val="00EF06FF"/>
    <w:rsid w:val="00EF0EB2"/>
    <w:rsid w:val="00EF1518"/>
    <w:rsid w:val="00EF18B4"/>
    <w:rsid w:val="00EF289B"/>
    <w:rsid w:val="00EF6EEA"/>
    <w:rsid w:val="00F16CFC"/>
    <w:rsid w:val="00F2013C"/>
    <w:rsid w:val="00F2073F"/>
    <w:rsid w:val="00F24C81"/>
    <w:rsid w:val="00F25677"/>
    <w:rsid w:val="00F27A94"/>
    <w:rsid w:val="00F306BF"/>
    <w:rsid w:val="00F36D6D"/>
    <w:rsid w:val="00F36E47"/>
    <w:rsid w:val="00F37094"/>
    <w:rsid w:val="00F403AE"/>
    <w:rsid w:val="00F503C4"/>
    <w:rsid w:val="00F51B32"/>
    <w:rsid w:val="00F527EE"/>
    <w:rsid w:val="00F56CB6"/>
    <w:rsid w:val="00F5730B"/>
    <w:rsid w:val="00F638A9"/>
    <w:rsid w:val="00F63BDC"/>
    <w:rsid w:val="00F63E2F"/>
    <w:rsid w:val="00F67E82"/>
    <w:rsid w:val="00F73B60"/>
    <w:rsid w:val="00F745F4"/>
    <w:rsid w:val="00F82584"/>
    <w:rsid w:val="00F84FCE"/>
    <w:rsid w:val="00F85E19"/>
    <w:rsid w:val="00F92AD5"/>
    <w:rsid w:val="00F9358C"/>
    <w:rsid w:val="00F938E1"/>
    <w:rsid w:val="00F95A01"/>
    <w:rsid w:val="00F95BC0"/>
    <w:rsid w:val="00F96571"/>
    <w:rsid w:val="00FA1118"/>
    <w:rsid w:val="00FA2A60"/>
    <w:rsid w:val="00FA2B64"/>
    <w:rsid w:val="00FA3ACA"/>
    <w:rsid w:val="00FA3D5C"/>
    <w:rsid w:val="00FA520A"/>
    <w:rsid w:val="00FA6514"/>
    <w:rsid w:val="00FA6D2D"/>
    <w:rsid w:val="00FA7B66"/>
    <w:rsid w:val="00FB00C6"/>
    <w:rsid w:val="00FB03AA"/>
    <w:rsid w:val="00FB2607"/>
    <w:rsid w:val="00FB506D"/>
    <w:rsid w:val="00FB65D7"/>
    <w:rsid w:val="00FB73B3"/>
    <w:rsid w:val="00FC109B"/>
    <w:rsid w:val="00FC3343"/>
    <w:rsid w:val="00FC3380"/>
    <w:rsid w:val="00FC639F"/>
    <w:rsid w:val="00FD2798"/>
    <w:rsid w:val="00FD3863"/>
    <w:rsid w:val="00FD41A9"/>
    <w:rsid w:val="00FD4513"/>
    <w:rsid w:val="00FD5D6C"/>
    <w:rsid w:val="00FE20D9"/>
    <w:rsid w:val="00FE2307"/>
    <w:rsid w:val="00FF18B5"/>
    <w:rsid w:val="00FF3E16"/>
    <w:rsid w:val="00FF4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A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17"/>
    <w:pPr>
      <w:spacing w:after="0" w:line="240" w:lineRule="auto"/>
    </w:pPr>
    <w:rPr>
      <w:rFonts w:ascii="Times" w:eastAsia="Times New Roman" w:hAnsi="Times" w:cs="Times New Roman"/>
      <w:sz w:val="24"/>
      <w:szCs w:val="24"/>
      <w:lang w:eastAsia="en-AU"/>
    </w:rPr>
  </w:style>
  <w:style w:type="paragraph" w:styleId="Heading1">
    <w:name w:val="heading 1"/>
    <w:basedOn w:val="Normal"/>
    <w:next w:val="Normal"/>
    <w:link w:val="Heading1Char"/>
    <w:uiPriority w:val="9"/>
    <w:qFormat/>
    <w:rsid w:val="00A33838"/>
    <w:pPr>
      <w:outlineLvl w:val="0"/>
    </w:pPr>
    <w:rPr>
      <w:rFonts w:ascii="Calibri" w:hAnsi="Calibri"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1017"/>
    <w:pPr>
      <w:tabs>
        <w:tab w:val="center" w:pos="4153"/>
        <w:tab w:val="right" w:pos="8306"/>
      </w:tabs>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rsid w:val="004F1017"/>
    <w:rPr>
      <w:rFonts w:ascii="Times" w:eastAsia="Times New Roman" w:hAnsi="Times" w:cs="Times New Roman"/>
      <w:sz w:val="24"/>
      <w:szCs w:val="20"/>
    </w:rPr>
  </w:style>
  <w:style w:type="paragraph" w:styleId="Footer">
    <w:name w:val="footer"/>
    <w:basedOn w:val="Normal"/>
    <w:link w:val="FooterChar"/>
    <w:uiPriority w:val="99"/>
    <w:rsid w:val="004F1017"/>
    <w:pPr>
      <w:tabs>
        <w:tab w:val="center" w:pos="4153"/>
        <w:tab w:val="right" w:pos="8306"/>
      </w:tabs>
    </w:pPr>
  </w:style>
  <w:style w:type="character" w:customStyle="1" w:styleId="FooterChar">
    <w:name w:val="Footer Char"/>
    <w:basedOn w:val="DefaultParagraphFont"/>
    <w:link w:val="Footer"/>
    <w:uiPriority w:val="99"/>
    <w:rsid w:val="004F1017"/>
    <w:rPr>
      <w:rFonts w:ascii="Times" w:eastAsia="Times New Roman" w:hAnsi="Times" w:cs="Times New Roman"/>
      <w:sz w:val="24"/>
      <w:szCs w:val="24"/>
    </w:rPr>
  </w:style>
  <w:style w:type="character" w:styleId="CommentReference">
    <w:name w:val="annotation reference"/>
    <w:rsid w:val="004F1017"/>
    <w:rPr>
      <w:sz w:val="16"/>
      <w:szCs w:val="16"/>
    </w:rPr>
  </w:style>
  <w:style w:type="paragraph" w:styleId="ListParagraph">
    <w:name w:val="List Paragraph"/>
    <w:aliases w:val="List Paragraph1,Recommendation,List Paragraph11"/>
    <w:basedOn w:val="Normal"/>
    <w:link w:val="ListParagraphChar"/>
    <w:uiPriority w:val="34"/>
    <w:qFormat/>
    <w:rsid w:val="004F1017"/>
    <w:pPr>
      <w:ind w:left="720"/>
    </w:pPr>
    <w:rPr>
      <w:rFonts w:ascii="Times New Roman" w:eastAsia="Calibri" w:hAnsi="Times New Roman"/>
    </w:rPr>
  </w:style>
  <w:style w:type="character" w:customStyle="1" w:styleId="ListParagraphChar">
    <w:name w:val="List Paragraph Char"/>
    <w:aliases w:val="List Paragraph1 Char,Recommendation Char,List Paragraph11 Char"/>
    <w:link w:val="ListParagraph"/>
    <w:uiPriority w:val="34"/>
    <w:rsid w:val="004F1017"/>
    <w:rPr>
      <w:rFonts w:ascii="Times New Roman" w:eastAsia="Calibri" w:hAnsi="Times New Roman" w:cs="Times New Roman"/>
      <w:sz w:val="24"/>
      <w:szCs w:val="24"/>
    </w:rPr>
  </w:style>
  <w:style w:type="paragraph" w:styleId="FootnoteText">
    <w:name w:val="footnote text"/>
    <w:basedOn w:val="Normal"/>
    <w:link w:val="FootnoteTextChar"/>
    <w:rsid w:val="004F1017"/>
    <w:rPr>
      <w:sz w:val="20"/>
      <w:szCs w:val="20"/>
    </w:rPr>
  </w:style>
  <w:style w:type="character" w:customStyle="1" w:styleId="FootnoteTextChar">
    <w:name w:val="Footnote Text Char"/>
    <w:basedOn w:val="DefaultParagraphFont"/>
    <w:link w:val="FootnoteText"/>
    <w:rsid w:val="004F1017"/>
    <w:rPr>
      <w:rFonts w:ascii="Times" w:eastAsia="Times New Roman" w:hAnsi="Times" w:cs="Times New Roman"/>
      <w:sz w:val="20"/>
      <w:szCs w:val="20"/>
      <w:lang w:eastAsia="en-AU"/>
    </w:rPr>
  </w:style>
  <w:style w:type="character" w:styleId="FootnoteReference">
    <w:name w:val="footnote reference"/>
    <w:basedOn w:val="DefaultParagraphFont"/>
    <w:rsid w:val="004F1017"/>
    <w:rPr>
      <w:vertAlign w:val="superscript"/>
    </w:rPr>
  </w:style>
  <w:style w:type="paragraph" w:styleId="BalloonText">
    <w:name w:val="Balloon Text"/>
    <w:basedOn w:val="Normal"/>
    <w:link w:val="BalloonTextChar"/>
    <w:uiPriority w:val="99"/>
    <w:semiHidden/>
    <w:unhideWhenUsed/>
    <w:rsid w:val="00352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5F4"/>
    <w:rPr>
      <w:rFonts w:ascii="Segoe UI" w:eastAsia="Times New Roman" w:hAnsi="Segoe UI" w:cs="Segoe UI"/>
      <w:sz w:val="18"/>
      <w:szCs w:val="18"/>
      <w:lang w:eastAsia="en-AU"/>
    </w:rPr>
  </w:style>
  <w:style w:type="paragraph" w:styleId="Revision">
    <w:name w:val="Revision"/>
    <w:hidden/>
    <w:uiPriority w:val="99"/>
    <w:semiHidden/>
    <w:rsid w:val="003525F4"/>
    <w:pPr>
      <w:spacing w:after="0" w:line="240" w:lineRule="auto"/>
    </w:pPr>
    <w:rPr>
      <w:rFonts w:ascii="Times" w:eastAsia="Times New Roman" w:hAnsi="Times" w:cs="Times New Roman"/>
      <w:sz w:val="24"/>
      <w:szCs w:val="24"/>
      <w:lang w:eastAsia="en-AU"/>
    </w:rPr>
  </w:style>
  <w:style w:type="paragraph" w:styleId="CommentText">
    <w:name w:val="annotation text"/>
    <w:basedOn w:val="Normal"/>
    <w:link w:val="CommentTextChar"/>
    <w:uiPriority w:val="99"/>
    <w:unhideWhenUsed/>
    <w:rsid w:val="0021483B"/>
    <w:rPr>
      <w:sz w:val="20"/>
      <w:szCs w:val="20"/>
    </w:rPr>
  </w:style>
  <w:style w:type="character" w:customStyle="1" w:styleId="CommentTextChar">
    <w:name w:val="Comment Text Char"/>
    <w:basedOn w:val="DefaultParagraphFont"/>
    <w:link w:val="CommentText"/>
    <w:uiPriority w:val="99"/>
    <w:rsid w:val="0021483B"/>
    <w:rPr>
      <w:rFonts w:ascii="Times" w:eastAsia="Times New Roman" w:hAnsi="Time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1483B"/>
    <w:rPr>
      <w:b/>
      <w:bCs/>
    </w:rPr>
  </w:style>
  <w:style w:type="character" w:customStyle="1" w:styleId="CommentSubjectChar">
    <w:name w:val="Comment Subject Char"/>
    <w:basedOn w:val="CommentTextChar"/>
    <w:link w:val="CommentSubject"/>
    <w:uiPriority w:val="99"/>
    <w:semiHidden/>
    <w:rsid w:val="0021483B"/>
    <w:rPr>
      <w:rFonts w:ascii="Times" w:eastAsia="Times New Roman" w:hAnsi="Times" w:cs="Times New Roman"/>
      <w:b/>
      <w:bCs/>
      <w:sz w:val="20"/>
      <w:szCs w:val="20"/>
      <w:lang w:eastAsia="en-AU"/>
    </w:rPr>
  </w:style>
  <w:style w:type="character" w:styleId="Hyperlink">
    <w:name w:val="Hyperlink"/>
    <w:basedOn w:val="DefaultParagraphFont"/>
    <w:uiPriority w:val="99"/>
    <w:unhideWhenUsed/>
    <w:rsid w:val="00A51B5B"/>
    <w:rPr>
      <w:color w:val="0000FF" w:themeColor="hyperlink"/>
      <w:u w:val="single"/>
    </w:rPr>
  </w:style>
  <w:style w:type="character" w:styleId="FollowedHyperlink">
    <w:name w:val="FollowedHyperlink"/>
    <w:basedOn w:val="DefaultParagraphFont"/>
    <w:uiPriority w:val="99"/>
    <w:semiHidden/>
    <w:unhideWhenUsed/>
    <w:rsid w:val="0074474F"/>
    <w:rPr>
      <w:color w:val="800080" w:themeColor="followedHyperlink"/>
      <w:u w:val="single"/>
    </w:rPr>
  </w:style>
  <w:style w:type="paragraph" w:customStyle="1" w:styleId="Default">
    <w:name w:val="Default"/>
    <w:rsid w:val="00874D4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33838"/>
    <w:rPr>
      <w:rFonts w:ascii="Calibri" w:eastAsia="Times New Roman" w:hAnsi="Calibri" w:cs="Arial"/>
      <w:b/>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8315">
      <w:bodyDiv w:val="1"/>
      <w:marLeft w:val="0"/>
      <w:marRight w:val="0"/>
      <w:marTop w:val="0"/>
      <w:marBottom w:val="0"/>
      <w:divBdr>
        <w:top w:val="none" w:sz="0" w:space="0" w:color="auto"/>
        <w:left w:val="none" w:sz="0" w:space="0" w:color="auto"/>
        <w:bottom w:val="none" w:sz="0" w:space="0" w:color="auto"/>
        <w:right w:val="none" w:sz="0" w:space="0" w:color="auto"/>
      </w:divBdr>
    </w:div>
    <w:div w:id="42825925">
      <w:bodyDiv w:val="1"/>
      <w:marLeft w:val="0"/>
      <w:marRight w:val="0"/>
      <w:marTop w:val="0"/>
      <w:marBottom w:val="0"/>
      <w:divBdr>
        <w:top w:val="none" w:sz="0" w:space="0" w:color="auto"/>
        <w:left w:val="none" w:sz="0" w:space="0" w:color="auto"/>
        <w:bottom w:val="none" w:sz="0" w:space="0" w:color="auto"/>
        <w:right w:val="none" w:sz="0" w:space="0" w:color="auto"/>
      </w:divBdr>
    </w:div>
    <w:div w:id="63647339">
      <w:bodyDiv w:val="1"/>
      <w:marLeft w:val="0"/>
      <w:marRight w:val="0"/>
      <w:marTop w:val="0"/>
      <w:marBottom w:val="0"/>
      <w:divBdr>
        <w:top w:val="none" w:sz="0" w:space="0" w:color="auto"/>
        <w:left w:val="none" w:sz="0" w:space="0" w:color="auto"/>
        <w:bottom w:val="none" w:sz="0" w:space="0" w:color="auto"/>
        <w:right w:val="none" w:sz="0" w:space="0" w:color="auto"/>
      </w:divBdr>
    </w:div>
    <w:div w:id="167133863">
      <w:bodyDiv w:val="1"/>
      <w:marLeft w:val="0"/>
      <w:marRight w:val="0"/>
      <w:marTop w:val="0"/>
      <w:marBottom w:val="0"/>
      <w:divBdr>
        <w:top w:val="none" w:sz="0" w:space="0" w:color="auto"/>
        <w:left w:val="none" w:sz="0" w:space="0" w:color="auto"/>
        <w:bottom w:val="none" w:sz="0" w:space="0" w:color="auto"/>
        <w:right w:val="none" w:sz="0" w:space="0" w:color="auto"/>
      </w:divBdr>
    </w:div>
    <w:div w:id="242952847">
      <w:bodyDiv w:val="1"/>
      <w:marLeft w:val="0"/>
      <w:marRight w:val="0"/>
      <w:marTop w:val="0"/>
      <w:marBottom w:val="0"/>
      <w:divBdr>
        <w:top w:val="none" w:sz="0" w:space="0" w:color="auto"/>
        <w:left w:val="none" w:sz="0" w:space="0" w:color="auto"/>
        <w:bottom w:val="none" w:sz="0" w:space="0" w:color="auto"/>
        <w:right w:val="none" w:sz="0" w:space="0" w:color="auto"/>
      </w:divBdr>
    </w:div>
    <w:div w:id="361369302">
      <w:bodyDiv w:val="1"/>
      <w:marLeft w:val="0"/>
      <w:marRight w:val="0"/>
      <w:marTop w:val="0"/>
      <w:marBottom w:val="0"/>
      <w:divBdr>
        <w:top w:val="none" w:sz="0" w:space="0" w:color="auto"/>
        <w:left w:val="none" w:sz="0" w:space="0" w:color="auto"/>
        <w:bottom w:val="none" w:sz="0" w:space="0" w:color="auto"/>
        <w:right w:val="none" w:sz="0" w:space="0" w:color="auto"/>
      </w:divBdr>
    </w:div>
    <w:div w:id="390468297">
      <w:bodyDiv w:val="1"/>
      <w:marLeft w:val="0"/>
      <w:marRight w:val="0"/>
      <w:marTop w:val="0"/>
      <w:marBottom w:val="0"/>
      <w:divBdr>
        <w:top w:val="none" w:sz="0" w:space="0" w:color="auto"/>
        <w:left w:val="none" w:sz="0" w:space="0" w:color="auto"/>
        <w:bottom w:val="none" w:sz="0" w:space="0" w:color="auto"/>
        <w:right w:val="none" w:sz="0" w:space="0" w:color="auto"/>
      </w:divBdr>
    </w:div>
    <w:div w:id="422337296">
      <w:bodyDiv w:val="1"/>
      <w:marLeft w:val="0"/>
      <w:marRight w:val="0"/>
      <w:marTop w:val="0"/>
      <w:marBottom w:val="0"/>
      <w:divBdr>
        <w:top w:val="none" w:sz="0" w:space="0" w:color="auto"/>
        <w:left w:val="none" w:sz="0" w:space="0" w:color="auto"/>
        <w:bottom w:val="none" w:sz="0" w:space="0" w:color="auto"/>
        <w:right w:val="none" w:sz="0" w:space="0" w:color="auto"/>
      </w:divBdr>
    </w:div>
    <w:div w:id="528640548">
      <w:bodyDiv w:val="1"/>
      <w:marLeft w:val="0"/>
      <w:marRight w:val="0"/>
      <w:marTop w:val="0"/>
      <w:marBottom w:val="0"/>
      <w:divBdr>
        <w:top w:val="none" w:sz="0" w:space="0" w:color="auto"/>
        <w:left w:val="none" w:sz="0" w:space="0" w:color="auto"/>
        <w:bottom w:val="none" w:sz="0" w:space="0" w:color="auto"/>
        <w:right w:val="none" w:sz="0" w:space="0" w:color="auto"/>
      </w:divBdr>
    </w:div>
    <w:div w:id="576863948">
      <w:bodyDiv w:val="1"/>
      <w:marLeft w:val="0"/>
      <w:marRight w:val="0"/>
      <w:marTop w:val="0"/>
      <w:marBottom w:val="0"/>
      <w:divBdr>
        <w:top w:val="none" w:sz="0" w:space="0" w:color="auto"/>
        <w:left w:val="none" w:sz="0" w:space="0" w:color="auto"/>
        <w:bottom w:val="none" w:sz="0" w:space="0" w:color="auto"/>
        <w:right w:val="none" w:sz="0" w:space="0" w:color="auto"/>
      </w:divBdr>
    </w:div>
    <w:div w:id="588541689">
      <w:bodyDiv w:val="1"/>
      <w:marLeft w:val="0"/>
      <w:marRight w:val="0"/>
      <w:marTop w:val="0"/>
      <w:marBottom w:val="0"/>
      <w:divBdr>
        <w:top w:val="none" w:sz="0" w:space="0" w:color="auto"/>
        <w:left w:val="none" w:sz="0" w:space="0" w:color="auto"/>
        <w:bottom w:val="none" w:sz="0" w:space="0" w:color="auto"/>
        <w:right w:val="none" w:sz="0" w:space="0" w:color="auto"/>
      </w:divBdr>
    </w:div>
    <w:div w:id="634914365">
      <w:bodyDiv w:val="1"/>
      <w:marLeft w:val="0"/>
      <w:marRight w:val="0"/>
      <w:marTop w:val="0"/>
      <w:marBottom w:val="0"/>
      <w:divBdr>
        <w:top w:val="none" w:sz="0" w:space="0" w:color="auto"/>
        <w:left w:val="none" w:sz="0" w:space="0" w:color="auto"/>
        <w:bottom w:val="none" w:sz="0" w:space="0" w:color="auto"/>
        <w:right w:val="none" w:sz="0" w:space="0" w:color="auto"/>
      </w:divBdr>
    </w:div>
    <w:div w:id="635649948">
      <w:bodyDiv w:val="1"/>
      <w:marLeft w:val="0"/>
      <w:marRight w:val="0"/>
      <w:marTop w:val="0"/>
      <w:marBottom w:val="0"/>
      <w:divBdr>
        <w:top w:val="none" w:sz="0" w:space="0" w:color="auto"/>
        <w:left w:val="none" w:sz="0" w:space="0" w:color="auto"/>
        <w:bottom w:val="none" w:sz="0" w:space="0" w:color="auto"/>
        <w:right w:val="none" w:sz="0" w:space="0" w:color="auto"/>
      </w:divBdr>
    </w:div>
    <w:div w:id="788091453">
      <w:bodyDiv w:val="1"/>
      <w:marLeft w:val="0"/>
      <w:marRight w:val="0"/>
      <w:marTop w:val="0"/>
      <w:marBottom w:val="0"/>
      <w:divBdr>
        <w:top w:val="none" w:sz="0" w:space="0" w:color="auto"/>
        <w:left w:val="none" w:sz="0" w:space="0" w:color="auto"/>
        <w:bottom w:val="none" w:sz="0" w:space="0" w:color="auto"/>
        <w:right w:val="none" w:sz="0" w:space="0" w:color="auto"/>
      </w:divBdr>
    </w:div>
    <w:div w:id="803305004">
      <w:bodyDiv w:val="1"/>
      <w:marLeft w:val="0"/>
      <w:marRight w:val="0"/>
      <w:marTop w:val="0"/>
      <w:marBottom w:val="0"/>
      <w:divBdr>
        <w:top w:val="none" w:sz="0" w:space="0" w:color="auto"/>
        <w:left w:val="none" w:sz="0" w:space="0" w:color="auto"/>
        <w:bottom w:val="none" w:sz="0" w:space="0" w:color="auto"/>
        <w:right w:val="none" w:sz="0" w:space="0" w:color="auto"/>
      </w:divBdr>
    </w:div>
    <w:div w:id="835271539">
      <w:bodyDiv w:val="1"/>
      <w:marLeft w:val="0"/>
      <w:marRight w:val="0"/>
      <w:marTop w:val="0"/>
      <w:marBottom w:val="0"/>
      <w:divBdr>
        <w:top w:val="none" w:sz="0" w:space="0" w:color="auto"/>
        <w:left w:val="none" w:sz="0" w:space="0" w:color="auto"/>
        <w:bottom w:val="none" w:sz="0" w:space="0" w:color="auto"/>
        <w:right w:val="none" w:sz="0" w:space="0" w:color="auto"/>
      </w:divBdr>
    </w:div>
    <w:div w:id="844906183">
      <w:bodyDiv w:val="1"/>
      <w:marLeft w:val="0"/>
      <w:marRight w:val="0"/>
      <w:marTop w:val="0"/>
      <w:marBottom w:val="0"/>
      <w:divBdr>
        <w:top w:val="none" w:sz="0" w:space="0" w:color="auto"/>
        <w:left w:val="none" w:sz="0" w:space="0" w:color="auto"/>
        <w:bottom w:val="none" w:sz="0" w:space="0" w:color="auto"/>
        <w:right w:val="none" w:sz="0" w:space="0" w:color="auto"/>
      </w:divBdr>
    </w:div>
    <w:div w:id="883179722">
      <w:bodyDiv w:val="1"/>
      <w:marLeft w:val="0"/>
      <w:marRight w:val="0"/>
      <w:marTop w:val="0"/>
      <w:marBottom w:val="0"/>
      <w:divBdr>
        <w:top w:val="none" w:sz="0" w:space="0" w:color="auto"/>
        <w:left w:val="none" w:sz="0" w:space="0" w:color="auto"/>
        <w:bottom w:val="none" w:sz="0" w:space="0" w:color="auto"/>
        <w:right w:val="none" w:sz="0" w:space="0" w:color="auto"/>
      </w:divBdr>
    </w:div>
    <w:div w:id="893076622">
      <w:bodyDiv w:val="1"/>
      <w:marLeft w:val="0"/>
      <w:marRight w:val="0"/>
      <w:marTop w:val="0"/>
      <w:marBottom w:val="0"/>
      <w:divBdr>
        <w:top w:val="none" w:sz="0" w:space="0" w:color="auto"/>
        <w:left w:val="none" w:sz="0" w:space="0" w:color="auto"/>
        <w:bottom w:val="none" w:sz="0" w:space="0" w:color="auto"/>
        <w:right w:val="none" w:sz="0" w:space="0" w:color="auto"/>
      </w:divBdr>
    </w:div>
    <w:div w:id="917330460">
      <w:bodyDiv w:val="1"/>
      <w:marLeft w:val="0"/>
      <w:marRight w:val="0"/>
      <w:marTop w:val="0"/>
      <w:marBottom w:val="0"/>
      <w:divBdr>
        <w:top w:val="none" w:sz="0" w:space="0" w:color="auto"/>
        <w:left w:val="none" w:sz="0" w:space="0" w:color="auto"/>
        <w:bottom w:val="none" w:sz="0" w:space="0" w:color="auto"/>
        <w:right w:val="none" w:sz="0" w:space="0" w:color="auto"/>
      </w:divBdr>
    </w:div>
    <w:div w:id="936139814">
      <w:bodyDiv w:val="1"/>
      <w:marLeft w:val="0"/>
      <w:marRight w:val="0"/>
      <w:marTop w:val="0"/>
      <w:marBottom w:val="0"/>
      <w:divBdr>
        <w:top w:val="none" w:sz="0" w:space="0" w:color="auto"/>
        <w:left w:val="none" w:sz="0" w:space="0" w:color="auto"/>
        <w:bottom w:val="none" w:sz="0" w:space="0" w:color="auto"/>
        <w:right w:val="none" w:sz="0" w:space="0" w:color="auto"/>
      </w:divBdr>
    </w:div>
    <w:div w:id="942229720">
      <w:bodyDiv w:val="1"/>
      <w:marLeft w:val="0"/>
      <w:marRight w:val="0"/>
      <w:marTop w:val="0"/>
      <w:marBottom w:val="0"/>
      <w:divBdr>
        <w:top w:val="none" w:sz="0" w:space="0" w:color="auto"/>
        <w:left w:val="none" w:sz="0" w:space="0" w:color="auto"/>
        <w:bottom w:val="none" w:sz="0" w:space="0" w:color="auto"/>
        <w:right w:val="none" w:sz="0" w:space="0" w:color="auto"/>
      </w:divBdr>
    </w:div>
    <w:div w:id="1069764350">
      <w:bodyDiv w:val="1"/>
      <w:marLeft w:val="0"/>
      <w:marRight w:val="0"/>
      <w:marTop w:val="0"/>
      <w:marBottom w:val="0"/>
      <w:divBdr>
        <w:top w:val="none" w:sz="0" w:space="0" w:color="auto"/>
        <w:left w:val="none" w:sz="0" w:space="0" w:color="auto"/>
        <w:bottom w:val="none" w:sz="0" w:space="0" w:color="auto"/>
        <w:right w:val="none" w:sz="0" w:space="0" w:color="auto"/>
      </w:divBdr>
    </w:div>
    <w:div w:id="1091194130">
      <w:bodyDiv w:val="1"/>
      <w:marLeft w:val="0"/>
      <w:marRight w:val="0"/>
      <w:marTop w:val="0"/>
      <w:marBottom w:val="0"/>
      <w:divBdr>
        <w:top w:val="none" w:sz="0" w:space="0" w:color="auto"/>
        <w:left w:val="none" w:sz="0" w:space="0" w:color="auto"/>
        <w:bottom w:val="none" w:sz="0" w:space="0" w:color="auto"/>
        <w:right w:val="none" w:sz="0" w:space="0" w:color="auto"/>
      </w:divBdr>
    </w:div>
    <w:div w:id="1095790071">
      <w:bodyDiv w:val="1"/>
      <w:marLeft w:val="0"/>
      <w:marRight w:val="0"/>
      <w:marTop w:val="0"/>
      <w:marBottom w:val="0"/>
      <w:divBdr>
        <w:top w:val="none" w:sz="0" w:space="0" w:color="auto"/>
        <w:left w:val="none" w:sz="0" w:space="0" w:color="auto"/>
        <w:bottom w:val="none" w:sz="0" w:space="0" w:color="auto"/>
        <w:right w:val="none" w:sz="0" w:space="0" w:color="auto"/>
      </w:divBdr>
    </w:div>
    <w:div w:id="1126587519">
      <w:bodyDiv w:val="1"/>
      <w:marLeft w:val="0"/>
      <w:marRight w:val="0"/>
      <w:marTop w:val="0"/>
      <w:marBottom w:val="0"/>
      <w:divBdr>
        <w:top w:val="none" w:sz="0" w:space="0" w:color="auto"/>
        <w:left w:val="none" w:sz="0" w:space="0" w:color="auto"/>
        <w:bottom w:val="none" w:sz="0" w:space="0" w:color="auto"/>
        <w:right w:val="none" w:sz="0" w:space="0" w:color="auto"/>
      </w:divBdr>
    </w:div>
    <w:div w:id="1179545278">
      <w:bodyDiv w:val="1"/>
      <w:marLeft w:val="0"/>
      <w:marRight w:val="0"/>
      <w:marTop w:val="0"/>
      <w:marBottom w:val="0"/>
      <w:divBdr>
        <w:top w:val="none" w:sz="0" w:space="0" w:color="auto"/>
        <w:left w:val="none" w:sz="0" w:space="0" w:color="auto"/>
        <w:bottom w:val="none" w:sz="0" w:space="0" w:color="auto"/>
        <w:right w:val="none" w:sz="0" w:space="0" w:color="auto"/>
      </w:divBdr>
    </w:div>
    <w:div w:id="1180856336">
      <w:bodyDiv w:val="1"/>
      <w:marLeft w:val="0"/>
      <w:marRight w:val="0"/>
      <w:marTop w:val="0"/>
      <w:marBottom w:val="0"/>
      <w:divBdr>
        <w:top w:val="none" w:sz="0" w:space="0" w:color="auto"/>
        <w:left w:val="none" w:sz="0" w:space="0" w:color="auto"/>
        <w:bottom w:val="none" w:sz="0" w:space="0" w:color="auto"/>
        <w:right w:val="none" w:sz="0" w:space="0" w:color="auto"/>
      </w:divBdr>
    </w:div>
    <w:div w:id="1259872055">
      <w:bodyDiv w:val="1"/>
      <w:marLeft w:val="0"/>
      <w:marRight w:val="0"/>
      <w:marTop w:val="0"/>
      <w:marBottom w:val="0"/>
      <w:divBdr>
        <w:top w:val="none" w:sz="0" w:space="0" w:color="auto"/>
        <w:left w:val="none" w:sz="0" w:space="0" w:color="auto"/>
        <w:bottom w:val="none" w:sz="0" w:space="0" w:color="auto"/>
        <w:right w:val="none" w:sz="0" w:space="0" w:color="auto"/>
      </w:divBdr>
    </w:div>
    <w:div w:id="1274626429">
      <w:bodyDiv w:val="1"/>
      <w:marLeft w:val="0"/>
      <w:marRight w:val="0"/>
      <w:marTop w:val="0"/>
      <w:marBottom w:val="0"/>
      <w:divBdr>
        <w:top w:val="none" w:sz="0" w:space="0" w:color="auto"/>
        <w:left w:val="none" w:sz="0" w:space="0" w:color="auto"/>
        <w:bottom w:val="none" w:sz="0" w:space="0" w:color="auto"/>
        <w:right w:val="none" w:sz="0" w:space="0" w:color="auto"/>
      </w:divBdr>
    </w:div>
    <w:div w:id="1334986698">
      <w:bodyDiv w:val="1"/>
      <w:marLeft w:val="0"/>
      <w:marRight w:val="0"/>
      <w:marTop w:val="0"/>
      <w:marBottom w:val="0"/>
      <w:divBdr>
        <w:top w:val="none" w:sz="0" w:space="0" w:color="auto"/>
        <w:left w:val="none" w:sz="0" w:space="0" w:color="auto"/>
        <w:bottom w:val="none" w:sz="0" w:space="0" w:color="auto"/>
        <w:right w:val="none" w:sz="0" w:space="0" w:color="auto"/>
      </w:divBdr>
    </w:div>
    <w:div w:id="1454011427">
      <w:bodyDiv w:val="1"/>
      <w:marLeft w:val="0"/>
      <w:marRight w:val="0"/>
      <w:marTop w:val="0"/>
      <w:marBottom w:val="0"/>
      <w:divBdr>
        <w:top w:val="none" w:sz="0" w:space="0" w:color="auto"/>
        <w:left w:val="none" w:sz="0" w:space="0" w:color="auto"/>
        <w:bottom w:val="none" w:sz="0" w:space="0" w:color="auto"/>
        <w:right w:val="none" w:sz="0" w:space="0" w:color="auto"/>
      </w:divBdr>
    </w:div>
    <w:div w:id="1490554733">
      <w:bodyDiv w:val="1"/>
      <w:marLeft w:val="0"/>
      <w:marRight w:val="0"/>
      <w:marTop w:val="0"/>
      <w:marBottom w:val="0"/>
      <w:divBdr>
        <w:top w:val="none" w:sz="0" w:space="0" w:color="auto"/>
        <w:left w:val="none" w:sz="0" w:space="0" w:color="auto"/>
        <w:bottom w:val="none" w:sz="0" w:space="0" w:color="auto"/>
        <w:right w:val="none" w:sz="0" w:space="0" w:color="auto"/>
      </w:divBdr>
    </w:div>
    <w:div w:id="1516116072">
      <w:bodyDiv w:val="1"/>
      <w:marLeft w:val="0"/>
      <w:marRight w:val="0"/>
      <w:marTop w:val="0"/>
      <w:marBottom w:val="0"/>
      <w:divBdr>
        <w:top w:val="none" w:sz="0" w:space="0" w:color="auto"/>
        <w:left w:val="none" w:sz="0" w:space="0" w:color="auto"/>
        <w:bottom w:val="none" w:sz="0" w:space="0" w:color="auto"/>
        <w:right w:val="none" w:sz="0" w:space="0" w:color="auto"/>
      </w:divBdr>
    </w:div>
    <w:div w:id="1567230099">
      <w:bodyDiv w:val="1"/>
      <w:marLeft w:val="0"/>
      <w:marRight w:val="0"/>
      <w:marTop w:val="0"/>
      <w:marBottom w:val="0"/>
      <w:divBdr>
        <w:top w:val="none" w:sz="0" w:space="0" w:color="auto"/>
        <w:left w:val="none" w:sz="0" w:space="0" w:color="auto"/>
        <w:bottom w:val="none" w:sz="0" w:space="0" w:color="auto"/>
        <w:right w:val="none" w:sz="0" w:space="0" w:color="auto"/>
      </w:divBdr>
    </w:div>
    <w:div w:id="1620260369">
      <w:bodyDiv w:val="1"/>
      <w:marLeft w:val="0"/>
      <w:marRight w:val="0"/>
      <w:marTop w:val="0"/>
      <w:marBottom w:val="0"/>
      <w:divBdr>
        <w:top w:val="none" w:sz="0" w:space="0" w:color="auto"/>
        <w:left w:val="none" w:sz="0" w:space="0" w:color="auto"/>
        <w:bottom w:val="none" w:sz="0" w:space="0" w:color="auto"/>
        <w:right w:val="none" w:sz="0" w:space="0" w:color="auto"/>
      </w:divBdr>
    </w:div>
    <w:div w:id="1738896520">
      <w:bodyDiv w:val="1"/>
      <w:marLeft w:val="0"/>
      <w:marRight w:val="0"/>
      <w:marTop w:val="0"/>
      <w:marBottom w:val="0"/>
      <w:divBdr>
        <w:top w:val="none" w:sz="0" w:space="0" w:color="auto"/>
        <w:left w:val="none" w:sz="0" w:space="0" w:color="auto"/>
        <w:bottom w:val="none" w:sz="0" w:space="0" w:color="auto"/>
        <w:right w:val="none" w:sz="0" w:space="0" w:color="auto"/>
      </w:divBdr>
    </w:div>
    <w:div w:id="1739664341">
      <w:bodyDiv w:val="1"/>
      <w:marLeft w:val="0"/>
      <w:marRight w:val="0"/>
      <w:marTop w:val="0"/>
      <w:marBottom w:val="0"/>
      <w:divBdr>
        <w:top w:val="none" w:sz="0" w:space="0" w:color="auto"/>
        <w:left w:val="none" w:sz="0" w:space="0" w:color="auto"/>
        <w:bottom w:val="none" w:sz="0" w:space="0" w:color="auto"/>
        <w:right w:val="none" w:sz="0" w:space="0" w:color="auto"/>
      </w:divBdr>
    </w:div>
    <w:div w:id="1862088426">
      <w:bodyDiv w:val="1"/>
      <w:marLeft w:val="0"/>
      <w:marRight w:val="0"/>
      <w:marTop w:val="0"/>
      <w:marBottom w:val="0"/>
      <w:divBdr>
        <w:top w:val="none" w:sz="0" w:space="0" w:color="auto"/>
        <w:left w:val="none" w:sz="0" w:space="0" w:color="auto"/>
        <w:bottom w:val="none" w:sz="0" w:space="0" w:color="auto"/>
        <w:right w:val="none" w:sz="0" w:space="0" w:color="auto"/>
      </w:divBdr>
    </w:div>
    <w:div w:id="1978678585">
      <w:bodyDiv w:val="1"/>
      <w:marLeft w:val="0"/>
      <w:marRight w:val="0"/>
      <w:marTop w:val="0"/>
      <w:marBottom w:val="0"/>
      <w:divBdr>
        <w:top w:val="none" w:sz="0" w:space="0" w:color="auto"/>
        <w:left w:val="none" w:sz="0" w:space="0" w:color="auto"/>
        <w:bottom w:val="none" w:sz="0" w:space="0" w:color="auto"/>
        <w:right w:val="none" w:sz="0" w:space="0" w:color="auto"/>
      </w:divBdr>
    </w:div>
    <w:div w:id="2027974335">
      <w:bodyDiv w:val="1"/>
      <w:marLeft w:val="0"/>
      <w:marRight w:val="0"/>
      <w:marTop w:val="0"/>
      <w:marBottom w:val="0"/>
      <w:divBdr>
        <w:top w:val="none" w:sz="0" w:space="0" w:color="auto"/>
        <w:left w:val="none" w:sz="0" w:space="0" w:color="auto"/>
        <w:bottom w:val="none" w:sz="0" w:space="0" w:color="auto"/>
        <w:right w:val="none" w:sz="0" w:space="0" w:color="auto"/>
      </w:divBdr>
    </w:div>
    <w:div w:id="2041469753">
      <w:bodyDiv w:val="1"/>
      <w:marLeft w:val="0"/>
      <w:marRight w:val="0"/>
      <w:marTop w:val="0"/>
      <w:marBottom w:val="0"/>
      <w:divBdr>
        <w:top w:val="none" w:sz="0" w:space="0" w:color="auto"/>
        <w:left w:val="none" w:sz="0" w:space="0" w:color="auto"/>
        <w:bottom w:val="none" w:sz="0" w:space="0" w:color="auto"/>
        <w:right w:val="none" w:sz="0" w:space="0" w:color="auto"/>
      </w:divBdr>
    </w:div>
    <w:div w:id="2047950451">
      <w:bodyDiv w:val="1"/>
      <w:marLeft w:val="0"/>
      <w:marRight w:val="0"/>
      <w:marTop w:val="0"/>
      <w:marBottom w:val="0"/>
      <w:divBdr>
        <w:top w:val="none" w:sz="0" w:space="0" w:color="auto"/>
        <w:left w:val="none" w:sz="0" w:space="0" w:color="auto"/>
        <w:bottom w:val="none" w:sz="0" w:space="0" w:color="auto"/>
        <w:right w:val="none" w:sz="0" w:space="0" w:color="auto"/>
      </w:divBdr>
    </w:div>
    <w:div w:id="2064404016">
      <w:bodyDiv w:val="1"/>
      <w:marLeft w:val="0"/>
      <w:marRight w:val="0"/>
      <w:marTop w:val="0"/>
      <w:marBottom w:val="0"/>
      <w:divBdr>
        <w:top w:val="none" w:sz="0" w:space="0" w:color="auto"/>
        <w:left w:val="none" w:sz="0" w:space="0" w:color="auto"/>
        <w:bottom w:val="none" w:sz="0" w:space="0" w:color="auto"/>
        <w:right w:val="none" w:sz="0" w:space="0" w:color="auto"/>
      </w:divBdr>
    </w:div>
    <w:div w:id="213648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55ED4-04A6-4F5F-80FE-768F5597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Incidents resolved by the National Biosecurity Management Consultative Committee (NBMCC) and the National Biosecurity Management Group under the National Environmental Biosecurity Response Agreement (NEBRA) - 1 July 2018 to 30 June 2019</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Incidents resolved by the National Biosecurity Management Consultative Committee (NBMCC) and the National Biosecurity Management Group under the National Environmental Biosecurity Response Agreement (NEBRA) - 1 July 2018 to 30 June 2019</dc:title>
  <dc:subject/>
  <dc:creator>Dang, Van</dc:creator>
  <cp:keywords/>
  <dc:description/>
  <cp:lastModifiedBy/>
  <cp:revision>1</cp:revision>
  <dcterms:created xsi:type="dcterms:W3CDTF">2020-12-15T03:48:00Z</dcterms:created>
  <dcterms:modified xsi:type="dcterms:W3CDTF">2020-12-15T03:48:00Z</dcterms:modified>
</cp:coreProperties>
</file>