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A8A6D" w14:textId="77777777" w:rsidR="00FD4513" w:rsidRDefault="00FD4513" w:rsidP="006A41CD">
      <w:pPr>
        <w:pStyle w:val="Heading1"/>
        <w:rPr>
          <w:sz w:val="22"/>
          <w:szCs w:val="22"/>
        </w:rPr>
      </w:pPr>
      <w:r>
        <w:t xml:space="preserve">Incidents </w:t>
      </w:r>
      <w:r w:rsidR="00AB40CF">
        <w:t>resolved</w:t>
      </w:r>
      <w:r>
        <w:t xml:space="preserve"> by the </w:t>
      </w:r>
      <w:r w:rsidR="0034406C" w:rsidRPr="006A41CD">
        <w:t>National</w:t>
      </w:r>
      <w:r w:rsidR="0034406C">
        <w:t xml:space="preserve"> Biosecurity Management Consultative Committee (</w:t>
      </w:r>
      <w:r w:rsidR="004C0ABF">
        <w:t>NBMCC</w:t>
      </w:r>
      <w:r w:rsidR="0034406C">
        <w:t>)</w:t>
      </w:r>
      <w:r w:rsidR="00292506">
        <w:t xml:space="preserve"> </w:t>
      </w:r>
      <w:r w:rsidR="00287B3B">
        <w:t xml:space="preserve">and the National Biosecurity Management Consultative Committee </w:t>
      </w:r>
      <w:r w:rsidR="00292506">
        <w:t>under the National Environmental Biosecurity Response Agreement (NEBRA)</w:t>
      </w:r>
      <w:r w:rsidRPr="00AC0C0B">
        <w:t xml:space="preserve"> </w:t>
      </w:r>
      <w:r>
        <w:sym w:font="Symbol" w:char="F02D"/>
      </w:r>
      <w:r w:rsidR="006F5D7E">
        <w:t xml:space="preserve"> 1 J</w:t>
      </w:r>
      <w:r w:rsidR="004C0ABF">
        <w:t>uly 201</w:t>
      </w:r>
      <w:r w:rsidR="00CF3BC1">
        <w:t>9</w:t>
      </w:r>
      <w:r w:rsidR="004C0ABF">
        <w:t xml:space="preserve"> to 30</w:t>
      </w:r>
      <w:r>
        <w:t xml:space="preserve"> June 20</w:t>
      </w:r>
      <w:r w:rsidR="00CF3BC1">
        <w:t>20</w:t>
      </w:r>
    </w:p>
    <w:tbl>
      <w:tblPr>
        <w:tblW w:w="1285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68"/>
        <w:gridCol w:w="993"/>
        <w:gridCol w:w="1559"/>
        <w:gridCol w:w="1606"/>
        <w:gridCol w:w="1606"/>
        <w:gridCol w:w="4820"/>
      </w:tblGrid>
      <w:tr w:rsidR="00065378" w:rsidRPr="00C2015F" w14:paraId="41D0DB09" w14:textId="77777777" w:rsidTr="00065378">
        <w:trPr>
          <w:cantSplit/>
          <w:trHeight w:val="514"/>
          <w:tblHeader/>
        </w:trPr>
        <w:tc>
          <w:tcPr>
            <w:tcW w:w="2268" w:type="dxa"/>
            <w:shd w:val="clear" w:color="auto" w:fill="17365D"/>
          </w:tcPr>
          <w:p w14:paraId="2C6D315E" w14:textId="77777777" w:rsidR="00065378" w:rsidRDefault="00065378" w:rsidP="00500F29">
            <w:pPr>
              <w:rPr>
                <w:rFonts w:asciiTheme="minorHAnsi" w:hAnsiTheme="minorHAnsi" w:cs="Arial"/>
                <w:b/>
                <w:bCs/>
                <w:color w:val="FFFFFF"/>
                <w:sz w:val="22"/>
                <w:szCs w:val="22"/>
              </w:rPr>
            </w:pPr>
            <w:r w:rsidRPr="00C2015F">
              <w:rPr>
                <w:rFonts w:asciiTheme="minorHAnsi" w:hAnsiTheme="minorHAnsi" w:cs="Arial"/>
                <w:b/>
                <w:bCs/>
                <w:color w:val="FFFFFF"/>
                <w:sz w:val="22"/>
                <w:szCs w:val="22"/>
              </w:rPr>
              <w:t>Scientific Name</w:t>
            </w:r>
          </w:p>
          <w:p w14:paraId="740BBEB5" w14:textId="77777777" w:rsidR="00065378" w:rsidRPr="00C2015F" w:rsidRDefault="00065378" w:rsidP="00500F29">
            <w:pPr>
              <w:rPr>
                <w:rFonts w:asciiTheme="minorHAnsi" w:hAnsiTheme="minorHAnsi" w:cs="Arial"/>
                <w:b/>
                <w:bCs/>
                <w:color w:val="FFFFFF"/>
                <w:sz w:val="22"/>
                <w:szCs w:val="22"/>
              </w:rPr>
            </w:pPr>
            <w:r>
              <w:rPr>
                <w:rFonts w:asciiTheme="minorHAnsi" w:hAnsiTheme="minorHAnsi" w:cs="Arial"/>
                <w:b/>
                <w:bCs/>
                <w:color w:val="FFFFFF"/>
                <w:sz w:val="22"/>
                <w:szCs w:val="22"/>
              </w:rPr>
              <w:t>(common name)</w:t>
            </w:r>
          </w:p>
        </w:tc>
        <w:tc>
          <w:tcPr>
            <w:tcW w:w="993" w:type="dxa"/>
            <w:shd w:val="clear" w:color="auto" w:fill="17365D"/>
            <w:noWrap/>
            <w:hideMark/>
          </w:tcPr>
          <w:p w14:paraId="01A0249D" w14:textId="77777777" w:rsidR="00065378" w:rsidRPr="00C2015F" w:rsidRDefault="00065378" w:rsidP="00500F29">
            <w:pPr>
              <w:rPr>
                <w:rFonts w:asciiTheme="minorHAnsi" w:hAnsiTheme="minorHAnsi" w:cs="Arial"/>
                <w:b/>
                <w:bCs/>
                <w:color w:val="FFFFFF"/>
                <w:sz w:val="22"/>
                <w:szCs w:val="22"/>
              </w:rPr>
            </w:pPr>
            <w:r w:rsidRPr="00C2015F">
              <w:rPr>
                <w:rFonts w:asciiTheme="minorHAnsi" w:hAnsiTheme="minorHAnsi" w:cs="Arial"/>
                <w:b/>
                <w:bCs/>
                <w:color w:val="FFFFFF"/>
                <w:sz w:val="22"/>
                <w:szCs w:val="22"/>
              </w:rPr>
              <w:t>Taxon Type</w:t>
            </w:r>
          </w:p>
        </w:tc>
        <w:tc>
          <w:tcPr>
            <w:tcW w:w="1559" w:type="dxa"/>
            <w:shd w:val="clear" w:color="auto" w:fill="17365D"/>
            <w:hideMark/>
          </w:tcPr>
          <w:p w14:paraId="77A93C13" w14:textId="77777777" w:rsidR="00065378" w:rsidRPr="00C2015F" w:rsidRDefault="00065378" w:rsidP="00500F29">
            <w:pPr>
              <w:rPr>
                <w:rFonts w:asciiTheme="minorHAnsi" w:hAnsiTheme="minorHAnsi" w:cs="Arial"/>
                <w:b/>
                <w:bCs/>
                <w:color w:val="FFFFFF"/>
                <w:sz w:val="22"/>
                <w:szCs w:val="22"/>
              </w:rPr>
            </w:pPr>
            <w:r>
              <w:rPr>
                <w:rFonts w:asciiTheme="minorHAnsi" w:hAnsiTheme="minorHAnsi" w:cs="Arial"/>
                <w:b/>
                <w:bCs/>
                <w:color w:val="FFFFFF"/>
                <w:sz w:val="22"/>
                <w:szCs w:val="22"/>
              </w:rPr>
              <w:t>Notifying Jurisdiction</w:t>
            </w:r>
          </w:p>
        </w:tc>
        <w:tc>
          <w:tcPr>
            <w:tcW w:w="1606" w:type="dxa"/>
            <w:shd w:val="clear" w:color="auto" w:fill="17365D"/>
          </w:tcPr>
          <w:p w14:paraId="3272A914" w14:textId="77777777" w:rsidR="00065378" w:rsidRPr="00C2015F" w:rsidRDefault="00065378" w:rsidP="005E348F">
            <w:pPr>
              <w:rPr>
                <w:rFonts w:asciiTheme="minorHAnsi" w:hAnsiTheme="minorHAnsi" w:cs="Arial"/>
                <w:b/>
                <w:bCs/>
                <w:color w:val="FFFFFF"/>
                <w:sz w:val="22"/>
                <w:szCs w:val="22"/>
              </w:rPr>
            </w:pPr>
            <w:r w:rsidRPr="00C2015F">
              <w:rPr>
                <w:rFonts w:asciiTheme="minorHAnsi" w:hAnsiTheme="minorHAnsi" w:cs="Arial"/>
                <w:b/>
                <w:bCs/>
                <w:color w:val="FFFFFF"/>
                <w:sz w:val="22"/>
                <w:szCs w:val="22"/>
              </w:rPr>
              <w:t xml:space="preserve">Date notified to </w:t>
            </w:r>
            <w:r>
              <w:rPr>
                <w:rFonts w:asciiTheme="minorHAnsi" w:hAnsiTheme="minorHAnsi" w:cs="Arial"/>
                <w:b/>
                <w:bCs/>
                <w:color w:val="FFFFFF"/>
                <w:sz w:val="22"/>
                <w:szCs w:val="22"/>
              </w:rPr>
              <w:t>NBMCC</w:t>
            </w:r>
          </w:p>
        </w:tc>
        <w:tc>
          <w:tcPr>
            <w:tcW w:w="1606" w:type="dxa"/>
            <w:shd w:val="clear" w:color="auto" w:fill="17365D"/>
          </w:tcPr>
          <w:p w14:paraId="73CD332A" w14:textId="77777777" w:rsidR="00065378" w:rsidRPr="00C2015F" w:rsidRDefault="00065378" w:rsidP="005E348F">
            <w:pPr>
              <w:rPr>
                <w:rFonts w:asciiTheme="minorHAnsi" w:hAnsiTheme="minorHAnsi" w:cs="Arial"/>
                <w:b/>
                <w:bCs/>
                <w:color w:val="FFFFFF"/>
                <w:sz w:val="22"/>
                <w:szCs w:val="22"/>
              </w:rPr>
            </w:pPr>
            <w:r>
              <w:rPr>
                <w:rFonts w:asciiTheme="minorHAnsi" w:hAnsiTheme="minorHAnsi" w:cs="Arial"/>
                <w:b/>
                <w:bCs/>
                <w:color w:val="FFFFFF"/>
                <w:sz w:val="22"/>
                <w:szCs w:val="22"/>
              </w:rPr>
              <w:t>Date NBMCC reached C</w:t>
            </w:r>
            <w:r w:rsidRPr="00C2015F">
              <w:rPr>
                <w:rFonts w:asciiTheme="minorHAnsi" w:hAnsiTheme="minorHAnsi" w:cs="Arial"/>
                <w:b/>
                <w:bCs/>
                <w:color w:val="FFFFFF"/>
                <w:sz w:val="22"/>
                <w:szCs w:val="22"/>
              </w:rPr>
              <w:t>onsensus</w:t>
            </w:r>
          </w:p>
        </w:tc>
        <w:tc>
          <w:tcPr>
            <w:tcW w:w="4820" w:type="dxa"/>
            <w:shd w:val="clear" w:color="auto" w:fill="17365D"/>
            <w:noWrap/>
            <w:hideMark/>
          </w:tcPr>
          <w:p w14:paraId="2230B65D" w14:textId="77777777" w:rsidR="00065378" w:rsidRPr="00C2015F" w:rsidRDefault="00065378" w:rsidP="00706260">
            <w:pPr>
              <w:tabs>
                <w:tab w:val="center" w:pos="2473"/>
              </w:tabs>
              <w:ind w:right="34"/>
              <w:rPr>
                <w:rFonts w:asciiTheme="minorHAnsi" w:hAnsiTheme="minorHAnsi" w:cs="Arial"/>
                <w:b/>
                <w:bCs/>
                <w:color w:val="FFFFFF"/>
                <w:sz w:val="22"/>
                <w:szCs w:val="22"/>
              </w:rPr>
            </w:pPr>
            <w:r w:rsidRPr="00C2015F">
              <w:rPr>
                <w:rFonts w:asciiTheme="minorHAnsi" w:hAnsiTheme="minorHAnsi" w:cs="Arial"/>
                <w:b/>
                <w:bCs/>
                <w:color w:val="FFFFFF"/>
                <w:sz w:val="22"/>
                <w:szCs w:val="22"/>
              </w:rPr>
              <w:t>Comment for N</w:t>
            </w:r>
            <w:r>
              <w:rPr>
                <w:rFonts w:asciiTheme="minorHAnsi" w:hAnsiTheme="minorHAnsi" w:cs="Arial"/>
                <w:b/>
                <w:bCs/>
                <w:color w:val="FFFFFF"/>
                <w:sz w:val="22"/>
                <w:szCs w:val="22"/>
              </w:rPr>
              <w:t>ational Biosecurity Management Group</w:t>
            </w:r>
            <w:r>
              <w:rPr>
                <w:rFonts w:asciiTheme="minorHAnsi" w:hAnsiTheme="minorHAnsi" w:cs="Arial"/>
                <w:b/>
                <w:bCs/>
                <w:color w:val="FFFFFF"/>
                <w:sz w:val="22"/>
                <w:szCs w:val="22"/>
              </w:rPr>
              <w:tab/>
            </w:r>
          </w:p>
        </w:tc>
      </w:tr>
      <w:tr w:rsidR="00065378" w:rsidRPr="00874BBD" w14:paraId="7F84A203" w14:textId="77777777" w:rsidTr="00065378">
        <w:trPr>
          <w:cantSplit/>
          <w:trHeight w:val="229"/>
        </w:trPr>
        <w:tc>
          <w:tcPr>
            <w:tcW w:w="2268" w:type="dxa"/>
          </w:tcPr>
          <w:p w14:paraId="046FCC87" w14:textId="77777777" w:rsidR="00065378" w:rsidRPr="00CF3BC1" w:rsidRDefault="00065378" w:rsidP="0053785D">
            <w:pPr>
              <w:rPr>
                <w:rFonts w:asciiTheme="minorHAnsi" w:hAnsiTheme="minorHAnsi"/>
                <w:sz w:val="20"/>
                <w:szCs w:val="20"/>
              </w:rPr>
            </w:pPr>
            <w:proofErr w:type="spellStart"/>
            <w:r w:rsidRPr="0034406C">
              <w:rPr>
                <w:rFonts w:asciiTheme="minorHAnsi" w:hAnsiTheme="minorHAnsi"/>
                <w:i/>
                <w:iCs/>
                <w:sz w:val="20"/>
                <w:szCs w:val="20"/>
              </w:rPr>
              <w:t>Anthidium</w:t>
            </w:r>
            <w:proofErr w:type="spellEnd"/>
            <w:r w:rsidRPr="0034406C">
              <w:rPr>
                <w:rFonts w:asciiTheme="minorHAnsi" w:hAnsiTheme="minorHAnsi"/>
                <w:i/>
                <w:iCs/>
                <w:sz w:val="20"/>
                <w:szCs w:val="20"/>
              </w:rPr>
              <w:t xml:space="preserve"> </w:t>
            </w:r>
            <w:proofErr w:type="spellStart"/>
            <w:r w:rsidRPr="0034406C">
              <w:rPr>
                <w:rFonts w:asciiTheme="minorHAnsi" w:hAnsiTheme="minorHAnsi"/>
                <w:i/>
                <w:iCs/>
                <w:sz w:val="20"/>
                <w:szCs w:val="20"/>
              </w:rPr>
              <w:t>manicatum</w:t>
            </w:r>
            <w:proofErr w:type="spellEnd"/>
            <w:r w:rsidRPr="00874BBD">
              <w:rPr>
                <w:rFonts w:asciiTheme="minorHAnsi" w:hAnsiTheme="minorHAnsi"/>
                <w:sz w:val="20"/>
                <w:szCs w:val="20"/>
              </w:rPr>
              <w:t xml:space="preserve"> </w:t>
            </w:r>
            <w:r>
              <w:rPr>
                <w:rFonts w:asciiTheme="minorHAnsi" w:hAnsiTheme="minorHAnsi"/>
                <w:sz w:val="20"/>
                <w:szCs w:val="20"/>
              </w:rPr>
              <w:t>(European wool carder bee)</w:t>
            </w:r>
          </w:p>
        </w:tc>
        <w:tc>
          <w:tcPr>
            <w:tcW w:w="993" w:type="dxa"/>
            <w:shd w:val="clear" w:color="auto" w:fill="auto"/>
            <w:noWrap/>
          </w:tcPr>
          <w:p w14:paraId="50060BDE" w14:textId="77777777" w:rsidR="00065378" w:rsidRDefault="00065378" w:rsidP="0053785D">
            <w:pPr>
              <w:rPr>
                <w:rFonts w:asciiTheme="minorHAnsi" w:hAnsiTheme="minorHAnsi"/>
                <w:sz w:val="20"/>
                <w:szCs w:val="20"/>
              </w:rPr>
            </w:pPr>
            <w:r>
              <w:rPr>
                <w:rFonts w:asciiTheme="minorHAnsi" w:hAnsiTheme="minorHAnsi"/>
                <w:sz w:val="20"/>
                <w:szCs w:val="20"/>
              </w:rPr>
              <w:t>Insect</w:t>
            </w:r>
          </w:p>
        </w:tc>
        <w:tc>
          <w:tcPr>
            <w:tcW w:w="1559" w:type="dxa"/>
            <w:shd w:val="clear" w:color="auto" w:fill="auto"/>
            <w:noWrap/>
          </w:tcPr>
          <w:p w14:paraId="13021FAA" w14:textId="77777777" w:rsidR="00065378" w:rsidRDefault="00065378" w:rsidP="0053785D">
            <w:pPr>
              <w:rPr>
                <w:rFonts w:asciiTheme="minorHAnsi" w:hAnsiTheme="minorHAnsi"/>
                <w:sz w:val="20"/>
                <w:szCs w:val="20"/>
              </w:rPr>
            </w:pPr>
            <w:r>
              <w:rPr>
                <w:rFonts w:asciiTheme="minorHAnsi" w:hAnsiTheme="minorHAnsi"/>
                <w:sz w:val="20"/>
                <w:szCs w:val="20"/>
              </w:rPr>
              <w:t>Victoria</w:t>
            </w:r>
          </w:p>
        </w:tc>
        <w:tc>
          <w:tcPr>
            <w:tcW w:w="1606" w:type="dxa"/>
          </w:tcPr>
          <w:p w14:paraId="53857255" w14:textId="77777777" w:rsidR="00065378" w:rsidRPr="00874BBD" w:rsidRDefault="00065378" w:rsidP="0053785D">
            <w:pPr>
              <w:rPr>
                <w:rFonts w:asciiTheme="minorHAnsi" w:hAnsiTheme="minorHAnsi"/>
                <w:sz w:val="20"/>
                <w:szCs w:val="20"/>
              </w:rPr>
            </w:pPr>
            <w:r w:rsidRPr="00874BBD">
              <w:rPr>
                <w:rFonts w:asciiTheme="minorHAnsi" w:hAnsiTheme="minorHAnsi"/>
                <w:sz w:val="20"/>
                <w:szCs w:val="20"/>
              </w:rPr>
              <w:t>17 April 2020</w:t>
            </w:r>
          </w:p>
        </w:tc>
        <w:tc>
          <w:tcPr>
            <w:tcW w:w="1606" w:type="dxa"/>
          </w:tcPr>
          <w:p w14:paraId="417FFBD9" w14:textId="77777777" w:rsidR="00065378" w:rsidRPr="00874BBD" w:rsidRDefault="00065378" w:rsidP="0053785D">
            <w:pPr>
              <w:tabs>
                <w:tab w:val="left" w:pos="793"/>
              </w:tabs>
              <w:rPr>
                <w:rFonts w:asciiTheme="minorHAnsi" w:hAnsiTheme="minorHAnsi" w:cs="Arial"/>
                <w:iCs/>
                <w:sz w:val="20"/>
                <w:szCs w:val="20"/>
              </w:rPr>
            </w:pPr>
            <w:r>
              <w:rPr>
                <w:rFonts w:asciiTheme="minorHAnsi" w:hAnsiTheme="minorHAnsi" w:cs="Arial"/>
                <w:iCs/>
                <w:sz w:val="20"/>
                <w:szCs w:val="20"/>
              </w:rPr>
              <w:t>4</w:t>
            </w:r>
            <w:r w:rsidRPr="00874BBD">
              <w:rPr>
                <w:rFonts w:asciiTheme="minorHAnsi" w:hAnsiTheme="minorHAnsi" w:cs="Arial"/>
                <w:iCs/>
                <w:sz w:val="20"/>
                <w:szCs w:val="20"/>
              </w:rPr>
              <w:t xml:space="preserve"> May 2020 </w:t>
            </w:r>
          </w:p>
          <w:p w14:paraId="65ED8CEB" w14:textId="77777777" w:rsidR="00065378" w:rsidRPr="00874BBD" w:rsidRDefault="00065378" w:rsidP="0053785D">
            <w:pPr>
              <w:tabs>
                <w:tab w:val="left" w:pos="793"/>
              </w:tabs>
              <w:rPr>
                <w:rFonts w:asciiTheme="minorHAnsi" w:hAnsiTheme="minorHAnsi" w:cs="Arial"/>
                <w:iCs/>
                <w:sz w:val="20"/>
                <w:szCs w:val="20"/>
              </w:rPr>
            </w:pPr>
          </w:p>
        </w:tc>
        <w:tc>
          <w:tcPr>
            <w:tcW w:w="4820" w:type="dxa"/>
            <w:shd w:val="clear" w:color="auto" w:fill="auto"/>
          </w:tcPr>
          <w:p w14:paraId="65441273" w14:textId="77777777" w:rsidR="00065378" w:rsidRPr="00874BBD" w:rsidRDefault="00065378" w:rsidP="009B38E7">
            <w:pPr>
              <w:autoSpaceDE w:val="0"/>
              <w:autoSpaceDN w:val="0"/>
              <w:adjustRightInd w:val="0"/>
              <w:rPr>
                <w:rFonts w:asciiTheme="minorHAnsi" w:hAnsiTheme="minorHAnsi"/>
                <w:sz w:val="20"/>
                <w:szCs w:val="20"/>
              </w:rPr>
            </w:pPr>
            <w:r w:rsidRPr="00874BBD">
              <w:rPr>
                <w:rFonts w:asciiTheme="minorHAnsi" w:hAnsiTheme="minorHAnsi"/>
                <w:sz w:val="20"/>
                <w:szCs w:val="20"/>
              </w:rPr>
              <w:t xml:space="preserve">The NBMCC </w:t>
            </w:r>
            <w:r>
              <w:rPr>
                <w:rFonts w:asciiTheme="minorHAnsi" w:hAnsiTheme="minorHAnsi"/>
                <w:sz w:val="20"/>
                <w:szCs w:val="20"/>
              </w:rPr>
              <w:t>reached consensus</w:t>
            </w:r>
            <w:r w:rsidRPr="00874BBD">
              <w:rPr>
                <w:rFonts w:asciiTheme="minorHAnsi" w:hAnsiTheme="minorHAnsi"/>
                <w:sz w:val="20"/>
                <w:szCs w:val="20"/>
              </w:rPr>
              <w:t xml:space="preserve"> that </w:t>
            </w:r>
            <w:proofErr w:type="spellStart"/>
            <w:r w:rsidRPr="00874BBD">
              <w:rPr>
                <w:rFonts w:asciiTheme="minorHAnsi" w:hAnsiTheme="minorHAnsi"/>
                <w:i/>
                <w:sz w:val="20"/>
                <w:szCs w:val="20"/>
              </w:rPr>
              <w:t>Anthidium</w:t>
            </w:r>
            <w:proofErr w:type="spellEnd"/>
            <w:r w:rsidRPr="00874BBD">
              <w:rPr>
                <w:rFonts w:asciiTheme="minorHAnsi" w:hAnsiTheme="minorHAnsi"/>
                <w:i/>
                <w:sz w:val="20"/>
                <w:szCs w:val="20"/>
              </w:rPr>
              <w:t xml:space="preserve"> </w:t>
            </w:r>
            <w:proofErr w:type="spellStart"/>
            <w:r w:rsidRPr="00874BBD">
              <w:rPr>
                <w:rFonts w:asciiTheme="minorHAnsi" w:hAnsiTheme="minorHAnsi"/>
                <w:i/>
                <w:sz w:val="20"/>
                <w:szCs w:val="20"/>
              </w:rPr>
              <w:t>manicatum</w:t>
            </w:r>
            <w:proofErr w:type="spellEnd"/>
            <w:r w:rsidRPr="009B38E7">
              <w:rPr>
                <w:rFonts w:asciiTheme="minorHAnsi" w:hAnsiTheme="minorHAnsi"/>
                <w:iCs/>
                <w:sz w:val="20"/>
                <w:szCs w:val="20"/>
              </w:rPr>
              <w:t xml:space="preserve"> </w:t>
            </w:r>
            <w:r w:rsidRPr="00874BBD">
              <w:rPr>
                <w:rFonts w:asciiTheme="minorHAnsi" w:hAnsiTheme="minorHAnsi"/>
                <w:sz w:val="20"/>
                <w:szCs w:val="20"/>
              </w:rPr>
              <w:t xml:space="preserve">is not a pest of national significance as defined by the NEBRA, as it is unlikely to cause nationally significant impacts on the environment, people (social amenity and human infrastructure) or business activity. The NBMCC also agreed that </w:t>
            </w:r>
            <w:r w:rsidRPr="00874BBD">
              <w:rPr>
                <w:rFonts w:asciiTheme="minorHAnsi" w:hAnsiTheme="minorHAnsi"/>
                <w:i/>
                <w:sz w:val="20"/>
                <w:szCs w:val="20"/>
              </w:rPr>
              <w:t>A</w:t>
            </w:r>
            <w:r>
              <w:rPr>
                <w:rFonts w:asciiTheme="minorHAnsi" w:hAnsiTheme="minorHAnsi"/>
                <w:i/>
                <w:sz w:val="20"/>
                <w:szCs w:val="20"/>
              </w:rPr>
              <w:t>.</w:t>
            </w:r>
            <w:r w:rsidRPr="00874BBD">
              <w:rPr>
                <w:rFonts w:asciiTheme="minorHAnsi" w:hAnsiTheme="minorHAnsi"/>
                <w:i/>
                <w:sz w:val="20"/>
                <w:szCs w:val="20"/>
              </w:rPr>
              <w:t xml:space="preserve"> </w:t>
            </w:r>
            <w:proofErr w:type="spellStart"/>
            <w:r w:rsidRPr="00874BBD">
              <w:rPr>
                <w:rFonts w:asciiTheme="minorHAnsi" w:hAnsiTheme="minorHAnsi"/>
                <w:i/>
                <w:sz w:val="20"/>
                <w:szCs w:val="20"/>
              </w:rPr>
              <w:t>manicatum</w:t>
            </w:r>
            <w:proofErr w:type="spellEnd"/>
            <w:r w:rsidRPr="009B38E7">
              <w:rPr>
                <w:rFonts w:asciiTheme="minorHAnsi" w:hAnsiTheme="minorHAnsi"/>
                <w:iCs/>
                <w:sz w:val="20"/>
                <w:szCs w:val="20"/>
              </w:rPr>
              <w:t xml:space="preserve"> </w:t>
            </w:r>
            <w:r w:rsidRPr="00874BBD">
              <w:rPr>
                <w:rFonts w:asciiTheme="minorHAnsi" w:hAnsiTheme="minorHAnsi"/>
                <w:sz w:val="20"/>
                <w:szCs w:val="20"/>
              </w:rPr>
              <w:t xml:space="preserve">is not technically feasible to eradicate. </w:t>
            </w:r>
          </w:p>
        </w:tc>
      </w:tr>
      <w:tr w:rsidR="00065378" w:rsidRPr="00706260" w14:paraId="28D79081" w14:textId="77777777" w:rsidTr="00065378">
        <w:trPr>
          <w:cantSplit/>
          <w:trHeight w:val="229"/>
        </w:trPr>
        <w:tc>
          <w:tcPr>
            <w:tcW w:w="2268" w:type="dxa"/>
          </w:tcPr>
          <w:p w14:paraId="1E483DEF" w14:textId="77777777" w:rsidR="00065378" w:rsidRPr="00CF3BC1" w:rsidRDefault="00065378" w:rsidP="00C06C04">
            <w:pPr>
              <w:rPr>
                <w:rFonts w:asciiTheme="minorHAnsi" w:hAnsiTheme="minorHAnsi"/>
                <w:sz w:val="20"/>
                <w:szCs w:val="20"/>
              </w:rPr>
            </w:pPr>
            <w:proofErr w:type="spellStart"/>
            <w:r>
              <w:rPr>
                <w:rFonts w:asciiTheme="minorHAnsi" w:hAnsiTheme="minorHAnsi"/>
                <w:i/>
                <w:sz w:val="20"/>
                <w:szCs w:val="20"/>
              </w:rPr>
              <w:t>Coptotermes</w:t>
            </w:r>
            <w:proofErr w:type="spellEnd"/>
            <w:r>
              <w:rPr>
                <w:rFonts w:asciiTheme="minorHAnsi" w:hAnsiTheme="minorHAnsi"/>
                <w:i/>
                <w:sz w:val="20"/>
                <w:szCs w:val="20"/>
              </w:rPr>
              <w:t xml:space="preserve"> </w:t>
            </w:r>
            <w:proofErr w:type="spellStart"/>
            <w:r>
              <w:rPr>
                <w:rFonts w:asciiTheme="minorHAnsi" w:hAnsiTheme="minorHAnsi"/>
                <w:i/>
                <w:sz w:val="20"/>
                <w:szCs w:val="20"/>
              </w:rPr>
              <w:t>gestroi</w:t>
            </w:r>
            <w:proofErr w:type="spellEnd"/>
            <w:r>
              <w:rPr>
                <w:rFonts w:asciiTheme="minorHAnsi" w:hAnsiTheme="minorHAnsi"/>
                <w:i/>
                <w:sz w:val="20"/>
                <w:szCs w:val="20"/>
              </w:rPr>
              <w:t xml:space="preserve"> </w:t>
            </w:r>
            <w:r>
              <w:rPr>
                <w:rFonts w:asciiTheme="minorHAnsi" w:hAnsiTheme="minorHAnsi"/>
                <w:sz w:val="20"/>
                <w:szCs w:val="20"/>
              </w:rPr>
              <w:t>(Asian subterranean termite)</w:t>
            </w:r>
          </w:p>
        </w:tc>
        <w:tc>
          <w:tcPr>
            <w:tcW w:w="993" w:type="dxa"/>
            <w:shd w:val="clear" w:color="auto" w:fill="auto"/>
            <w:noWrap/>
          </w:tcPr>
          <w:p w14:paraId="547CC294" w14:textId="77777777" w:rsidR="00065378" w:rsidRDefault="00065378" w:rsidP="00DB709D">
            <w:pPr>
              <w:rPr>
                <w:rFonts w:asciiTheme="minorHAnsi" w:hAnsiTheme="minorHAnsi"/>
                <w:sz w:val="20"/>
                <w:szCs w:val="20"/>
              </w:rPr>
            </w:pPr>
            <w:r>
              <w:rPr>
                <w:rFonts w:asciiTheme="minorHAnsi" w:hAnsiTheme="minorHAnsi"/>
                <w:sz w:val="20"/>
                <w:szCs w:val="20"/>
              </w:rPr>
              <w:t>Insect</w:t>
            </w:r>
          </w:p>
        </w:tc>
        <w:tc>
          <w:tcPr>
            <w:tcW w:w="1559" w:type="dxa"/>
            <w:shd w:val="clear" w:color="auto" w:fill="auto"/>
            <w:noWrap/>
          </w:tcPr>
          <w:p w14:paraId="51418FEA" w14:textId="77777777" w:rsidR="00065378" w:rsidRDefault="00065378" w:rsidP="009D6046">
            <w:pPr>
              <w:rPr>
                <w:rFonts w:asciiTheme="minorHAnsi" w:hAnsiTheme="minorHAnsi"/>
                <w:sz w:val="20"/>
                <w:szCs w:val="20"/>
              </w:rPr>
            </w:pPr>
            <w:proofErr w:type="gramStart"/>
            <w:r>
              <w:rPr>
                <w:rFonts w:asciiTheme="minorHAnsi" w:hAnsiTheme="minorHAnsi"/>
                <w:sz w:val="20"/>
                <w:szCs w:val="20"/>
              </w:rPr>
              <w:t>Commonwealth(</w:t>
            </w:r>
            <w:proofErr w:type="gramEnd"/>
            <w:r>
              <w:rPr>
                <w:rFonts w:asciiTheme="minorHAnsi" w:hAnsiTheme="minorHAnsi"/>
                <w:sz w:val="20"/>
                <w:szCs w:val="20"/>
              </w:rPr>
              <w:t>Christmas Island)</w:t>
            </w:r>
          </w:p>
        </w:tc>
        <w:tc>
          <w:tcPr>
            <w:tcW w:w="1606" w:type="dxa"/>
          </w:tcPr>
          <w:p w14:paraId="5B3AF047" w14:textId="77777777" w:rsidR="00065378" w:rsidRDefault="00065378" w:rsidP="00C06C04">
            <w:pPr>
              <w:rPr>
                <w:rFonts w:asciiTheme="minorHAnsi" w:hAnsiTheme="minorHAnsi" w:cs="Arial"/>
                <w:iCs/>
                <w:sz w:val="20"/>
                <w:szCs w:val="20"/>
              </w:rPr>
            </w:pPr>
            <w:r>
              <w:rPr>
                <w:rFonts w:asciiTheme="minorHAnsi" w:hAnsiTheme="minorHAnsi" w:cs="Arial"/>
                <w:iCs/>
                <w:sz w:val="20"/>
                <w:szCs w:val="20"/>
              </w:rPr>
              <w:t>15 June 2018</w:t>
            </w:r>
          </w:p>
        </w:tc>
        <w:tc>
          <w:tcPr>
            <w:tcW w:w="1606" w:type="dxa"/>
          </w:tcPr>
          <w:p w14:paraId="7F20BFB0" w14:textId="77777777" w:rsidR="00065378" w:rsidRDefault="00065378" w:rsidP="00797FE8">
            <w:pPr>
              <w:tabs>
                <w:tab w:val="left" w:pos="793"/>
              </w:tabs>
              <w:rPr>
                <w:rFonts w:asciiTheme="minorHAnsi" w:hAnsiTheme="minorHAnsi" w:cs="Arial"/>
                <w:iCs/>
                <w:sz w:val="20"/>
                <w:szCs w:val="20"/>
              </w:rPr>
            </w:pPr>
            <w:r>
              <w:rPr>
                <w:rFonts w:asciiTheme="minorHAnsi" w:hAnsiTheme="minorHAnsi" w:cs="Arial"/>
                <w:iCs/>
                <w:sz w:val="20"/>
                <w:szCs w:val="20"/>
              </w:rPr>
              <w:t>8 January 2020</w:t>
            </w:r>
          </w:p>
          <w:p w14:paraId="2666B25C" w14:textId="77777777" w:rsidR="00065378" w:rsidRDefault="00065378" w:rsidP="00C95F50">
            <w:pPr>
              <w:tabs>
                <w:tab w:val="left" w:pos="793"/>
              </w:tabs>
              <w:rPr>
                <w:rFonts w:asciiTheme="minorHAnsi" w:hAnsiTheme="minorHAnsi" w:cs="Arial"/>
                <w:iCs/>
                <w:sz w:val="20"/>
                <w:szCs w:val="20"/>
              </w:rPr>
            </w:pPr>
          </w:p>
        </w:tc>
        <w:tc>
          <w:tcPr>
            <w:tcW w:w="4820" w:type="dxa"/>
            <w:shd w:val="clear" w:color="auto" w:fill="auto"/>
          </w:tcPr>
          <w:p w14:paraId="4CD52ACB" w14:textId="77777777" w:rsidR="00065378" w:rsidRPr="00C06C04" w:rsidRDefault="00065378" w:rsidP="0075093B">
            <w:pPr>
              <w:rPr>
                <w:rFonts w:asciiTheme="minorHAnsi" w:hAnsiTheme="minorHAnsi"/>
                <w:sz w:val="20"/>
                <w:szCs w:val="20"/>
              </w:rPr>
            </w:pPr>
            <w:r>
              <w:rPr>
                <w:rFonts w:asciiTheme="minorHAnsi" w:hAnsiTheme="minorHAnsi"/>
                <w:sz w:val="20"/>
                <w:szCs w:val="20"/>
              </w:rPr>
              <w:t>The</w:t>
            </w:r>
            <w:r w:rsidRPr="00E246CB">
              <w:rPr>
                <w:rFonts w:asciiTheme="minorHAnsi" w:hAnsiTheme="minorHAnsi"/>
                <w:sz w:val="20"/>
                <w:szCs w:val="20"/>
              </w:rPr>
              <w:t xml:space="preserve"> NBMCC</w:t>
            </w:r>
            <w:r>
              <w:rPr>
                <w:rFonts w:asciiTheme="minorHAnsi" w:hAnsiTheme="minorHAnsi"/>
                <w:sz w:val="20"/>
                <w:szCs w:val="20"/>
              </w:rPr>
              <w:t xml:space="preserve"> reached consensus</w:t>
            </w:r>
            <w:r w:rsidRPr="00E246CB">
              <w:rPr>
                <w:rFonts w:asciiTheme="minorHAnsi" w:hAnsiTheme="minorHAnsi"/>
                <w:sz w:val="20"/>
                <w:szCs w:val="20"/>
              </w:rPr>
              <w:t xml:space="preserve"> that </w:t>
            </w:r>
            <w:proofErr w:type="spellStart"/>
            <w:r w:rsidRPr="00E246CB">
              <w:rPr>
                <w:rFonts w:asciiTheme="minorHAnsi" w:hAnsiTheme="minorHAnsi"/>
                <w:i/>
                <w:sz w:val="20"/>
                <w:szCs w:val="20"/>
              </w:rPr>
              <w:t>Coptotermes</w:t>
            </w:r>
            <w:proofErr w:type="spellEnd"/>
            <w:r w:rsidRPr="00E246CB">
              <w:rPr>
                <w:rFonts w:asciiTheme="minorHAnsi" w:hAnsiTheme="minorHAnsi"/>
                <w:i/>
                <w:sz w:val="20"/>
                <w:szCs w:val="20"/>
              </w:rPr>
              <w:t xml:space="preserve"> </w:t>
            </w:r>
            <w:proofErr w:type="spellStart"/>
            <w:r w:rsidRPr="00E246CB">
              <w:rPr>
                <w:rFonts w:asciiTheme="minorHAnsi" w:hAnsiTheme="minorHAnsi"/>
                <w:i/>
                <w:sz w:val="20"/>
                <w:szCs w:val="20"/>
              </w:rPr>
              <w:t>gestroi</w:t>
            </w:r>
            <w:proofErr w:type="spellEnd"/>
            <w:r w:rsidRPr="00E246CB">
              <w:rPr>
                <w:rFonts w:asciiTheme="minorHAnsi" w:hAnsiTheme="minorHAnsi"/>
                <w:sz w:val="20"/>
                <w:szCs w:val="20"/>
              </w:rPr>
              <w:t xml:space="preserve"> is nationally significant as defined by the NEBRA, due to its potential </w:t>
            </w:r>
            <w:r>
              <w:rPr>
                <w:rFonts w:asciiTheme="minorHAnsi" w:hAnsiTheme="minorHAnsi"/>
                <w:sz w:val="20"/>
                <w:szCs w:val="20"/>
              </w:rPr>
              <w:t xml:space="preserve">to cause </w:t>
            </w:r>
            <w:r w:rsidRPr="00E246CB">
              <w:rPr>
                <w:rFonts w:asciiTheme="minorHAnsi" w:hAnsiTheme="minorHAnsi"/>
                <w:sz w:val="20"/>
                <w:szCs w:val="20"/>
              </w:rPr>
              <w:t>significant impacts on the environment and people (human infrastructure), but</w:t>
            </w:r>
            <w:r>
              <w:rPr>
                <w:rFonts w:asciiTheme="minorHAnsi" w:hAnsiTheme="minorHAnsi"/>
                <w:sz w:val="20"/>
                <w:szCs w:val="20"/>
              </w:rPr>
              <w:t xml:space="preserve"> it</w:t>
            </w:r>
            <w:r w:rsidRPr="00E246CB">
              <w:rPr>
                <w:rFonts w:asciiTheme="minorHAnsi" w:hAnsiTheme="minorHAnsi"/>
                <w:sz w:val="20"/>
                <w:szCs w:val="20"/>
              </w:rPr>
              <w:t xml:space="preserve"> is not technically feasible or cost-beneficial to eradicate from Christmas Island. This is because </w:t>
            </w:r>
            <w:r w:rsidRPr="009B38E7">
              <w:rPr>
                <w:rFonts w:asciiTheme="minorHAnsi" w:hAnsiTheme="minorHAnsi"/>
                <w:i/>
                <w:iCs/>
                <w:sz w:val="20"/>
                <w:szCs w:val="20"/>
              </w:rPr>
              <w:t xml:space="preserve">C. </w:t>
            </w:r>
            <w:proofErr w:type="spellStart"/>
            <w:r w:rsidRPr="009B38E7">
              <w:rPr>
                <w:rFonts w:asciiTheme="minorHAnsi" w:hAnsiTheme="minorHAnsi"/>
                <w:i/>
                <w:iCs/>
                <w:sz w:val="20"/>
                <w:szCs w:val="20"/>
              </w:rPr>
              <w:t>gestroi</w:t>
            </w:r>
            <w:proofErr w:type="spellEnd"/>
            <w:r w:rsidRPr="00E246CB">
              <w:rPr>
                <w:rFonts w:asciiTheme="minorHAnsi" w:hAnsiTheme="minorHAnsi"/>
                <w:sz w:val="20"/>
                <w:szCs w:val="20"/>
              </w:rPr>
              <w:t xml:space="preserve"> is widespread on Christmas Island and appears to have been present there for at least 50 years</w:t>
            </w:r>
            <w:r>
              <w:rPr>
                <w:rFonts w:asciiTheme="minorHAnsi" w:hAnsiTheme="minorHAnsi"/>
                <w:sz w:val="20"/>
                <w:szCs w:val="20"/>
              </w:rPr>
              <w:t xml:space="preserve">. </w:t>
            </w:r>
          </w:p>
        </w:tc>
      </w:tr>
      <w:tr w:rsidR="00065378" w:rsidRPr="00706260" w14:paraId="6BBEF88F" w14:textId="77777777" w:rsidTr="00065378">
        <w:trPr>
          <w:cantSplit/>
          <w:trHeight w:val="229"/>
        </w:trPr>
        <w:tc>
          <w:tcPr>
            <w:tcW w:w="2268" w:type="dxa"/>
          </w:tcPr>
          <w:p w14:paraId="70CF67C6" w14:textId="77777777" w:rsidR="00065378" w:rsidRPr="00CF3BC1" w:rsidRDefault="00065378" w:rsidP="00C06C04">
            <w:pPr>
              <w:rPr>
                <w:rFonts w:asciiTheme="minorHAnsi" w:hAnsiTheme="minorHAnsi"/>
                <w:sz w:val="20"/>
                <w:szCs w:val="20"/>
              </w:rPr>
            </w:pPr>
            <w:proofErr w:type="spellStart"/>
            <w:r w:rsidRPr="0034406C">
              <w:rPr>
                <w:rFonts w:asciiTheme="minorHAnsi" w:hAnsiTheme="minorHAnsi"/>
                <w:i/>
                <w:iCs/>
                <w:sz w:val="20"/>
                <w:szCs w:val="20"/>
              </w:rPr>
              <w:t>Spigelia</w:t>
            </w:r>
            <w:proofErr w:type="spellEnd"/>
            <w:r w:rsidRPr="0034406C">
              <w:rPr>
                <w:rFonts w:asciiTheme="minorHAnsi" w:hAnsiTheme="minorHAnsi"/>
                <w:i/>
                <w:iCs/>
                <w:sz w:val="20"/>
                <w:szCs w:val="20"/>
              </w:rPr>
              <w:t xml:space="preserve"> </w:t>
            </w:r>
            <w:proofErr w:type="spellStart"/>
            <w:r w:rsidRPr="0034406C">
              <w:rPr>
                <w:rFonts w:asciiTheme="minorHAnsi" w:hAnsiTheme="minorHAnsi"/>
                <w:i/>
                <w:iCs/>
                <w:sz w:val="20"/>
                <w:szCs w:val="20"/>
              </w:rPr>
              <w:t>anthelmia</w:t>
            </w:r>
            <w:proofErr w:type="spellEnd"/>
            <w:r w:rsidRPr="00874BBD">
              <w:rPr>
                <w:rFonts w:asciiTheme="minorHAnsi" w:hAnsiTheme="minorHAnsi"/>
                <w:sz w:val="20"/>
                <w:szCs w:val="20"/>
              </w:rPr>
              <w:t xml:space="preserve"> </w:t>
            </w:r>
            <w:r>
              <w:rPr>
                <w:rFonts w:asciiTheme="minorHAnsi" w:hAnsiTheme="minorHAnsi"/>
                <w:sz w:val="20"/>
                <w:szCs w:val="20"/>
              </w:rPr>
              <w:t>(Western Indian pinkroot)</w:t>
            </w:r>
          </w:p>
        </w:tc>
        <w:tc>
          <w:tcPr>
            <w:tcW w:w="993" w:type="dxa"/>
            <w:shd w:val="clear" w:color="auto" w:fill="auto"/>
            <w:noWrap/>
          </w:tcPr>
          <w:p w14:paraId="5FCCF8A2" w14:textId="77777777" w:rsidR="00065378" w:rsidRDefault="00065378" w:rsidP="00DB709D">
            <w:pPr>
              <w:rPr>
                <w:rFonts w:asciiTheme="minorHAnsi" w:hAnsiTheme="minorHAnsi"/>
                <w:sz w:val="20"/>
                <w:szCs w:val="20"/>
              </w:rPr>
            </w:pPr>
            <w:r>
              <w:rPr>
                <w:rFonts w:asciiTheme="minorHAnsi" w:hAnsiTheme="minorHAnsi"/>
                <w:sz w:val="20"/>
                <w:szCs w:val="20"/>
              </w:rPr>
              <w:t>Weed</w:t>
            </w:r>
          </w:p>
        </w:tc>
        <w:tc>
          <w:tcPr>
            <w:tcW w:w="1559" w:type="dxa"/>
            <w:shd w:val="clear" w:color="auto" w:fill="auto"/>
            <w:noWrap/>
          </w:tcPr>
          <w:p w14:paraId="556B59A8" w14:textId="77777777" w:rsidR="00065378" w:rsidRDefault="00065378" w:rsidP="009D6046">
            <w:pPr>
              <w:rPr>
                <w:rFonts w:asciiTheme="minorHAnsi" w:hAnsiTheme="minorHAnsi"/>
                <w:sz w:val="20"/>
                <w:szCs w:val="20"/>
              </w:rPr>
            </w:pPr>
            <w:r>
              <w:rPr>
                <w:rFonts w:asciiTheme="minorHAnsi" w:hAnsiTheme="minorHAnsi"/>
                <w:sz w:val="20"/>
                <w:szCs w:val="20"/>
              </w:rPr>
              <w:t>NT</w:t>
            </w:r>
          </w:p>
        </w:tc>
        <w:tc>
          <w:tcPr>
            <w:tcW w:w="1606" w:type="dxa"/>
          </w:tcPr>
          <w:p w14:paraId="125B7713" w14:textId="77777777" w:rsidR="00065378" w:rsidRPr="00874BBD" w:rsidRDefault="00065378" w:rsidP="00C06C04">
            <w:pPr>
              <w:rPr>
                <w:rFonts w:asciiTheme="minorHAnsi" w:hAnsiTheme="minorHAnsi"/>
                <w:sz w:val="20"/>
                <w:szCs w:val="20"/>
              </w:rPr>
            </w:pPr>
            <w:r w:rsidRPr="00874BBD">
              <w:rPr>
                <w:rFonts w:asciiTheme="minorHAnsi" w:hAnsiTheme="minorHAnsi"/>
                <w:sz w:val="20"/>
                <w:szCs w:val="20"/>
              </w:rPr>
              <w:t>17 May 2019</w:t>
            </w:r>
          </w:p>
        </w:tc>
        <w:tc>
          <w:tcPr>
            <w:tcW w:w="1606" w:type="dxa"/>
          </w:tcPr>
          <w:p w14:paraId="59F3BCBD" w14:textId="77777777" w:rsidR="00065378" w:rsidRPr="00874BBD" w:rsidRDefault="00065378" w:rsidP="00874BBD">
            <w:pPr>
              <w:tabs>
                <w:tab w:val="left" w:pos="793"/>
              </w:tabs>
              <w:rPr>
                <w:rFonts w:asciiTheme="minorHAnsi" w:hAnsiTheme="minorHAnsi" w:cs="Arial"/>
                <w:iCs/>
                <w:sz w:val="20"/>
                <w:szCs w:val="20"/>
              </w:rPr>
            </w:pPr>
            <w:r w:rsidRPr="00874BBD">
              <w:rPr>
                <w:rFonts w:asciiTheme="minorHAnsi" w:hAnsiTheme="minorHAnsi" w:cs="Arial"/>
                <w:iCs/>
                <w:sz w:val="20"/>
                <w:szCs w:val="20"/>
              </w:rPr>
              <w:t xml:space="preserve">20 November 2019 </w:t>
            </w:r>
          </w:p>
        </w:tc>
        <w:tc>
          <w:tcPr>
            <w:tcW w:w="4820" w:type="dxa"/>
            <w:shd w:val="clear" w:color="auto" w:fill="auto"/>
          </w:tcPr>
          <w:p w14:paraId="769C7845" w14:textId="77777777" w:rsidR="00065378" w:rsidRPr="00C06C04" w:rsidRDefault="00065378" w:rsidP="0075093B">
            <w:pPr>
              <w:spacing w:after="120"/>
              <w:rPr>
                <w:rFonts w:asciiTheme="minorHAnsi" w:hAnsiTheme="minorHAnsi"/>
                <w:sz w:val="20"/>
                <w:szCs w:val="20"/>
              </w:rPr>
            </w:pPr>
            <w:r w:rsidRPr="00874BBD">
              <w:rPr>
                <w:rFonts w:asciiTheme="minorHAnsi" w:hAnsiTheme="minorHAnsi"/>
                <w:sz w:val="20"/>
                <w:szCs w:val="20"/>
              </w:rPr>
              <w:t xml:space="preserve">The NBMCC reached a consensus that </w:t>
            </w:r>
            <w:proofErr w:type="spellStart"/>
            <w:r w:rsidRPr="00874BBD">
              <w:rPr>
                <w:rFonts w:asciiTheme="minorHAnsi" w:hAnsiTheme="minorHAnsi"/>
                <w:i/>
                <w:sz w:val="20"/>
                <w:szCs w:val="20"/>
              </w:rPr>
              <w:t>Spigelia</w:t>
            </w:r>
            <w:proofErr w:type="spellEnd"/>
            <w:r w:rsidRPr="00874BBD">
              <w:rPr>
                <w:rFonts w:asciiTheme="minorHAnsi" w:hAnsiTheme="minorHAnsi"/>
                <w:i/>
                <w:sz w:val="20"/>
                <w:szCs w:val="20"/>
              </w:rPr>
              <w:t xml:space="preserve"> </w:t>
            </w:r>
            <w:proofErr w:type="spellStart"/>
            <w:r w:rsidRPr="00874BBD">
              <w:rPr>
                <w:rFonts w:asciiTheme="minorHAnsi" w:hAnsiTheme="minorHAnsi"/>
                <w:i/>
                <w:sz w:val="20"/>
                <w:szCs w:val="20"/>
              </w:rPr>
              <w:t>anthelmia</w:t>
            </w:r>
            <w:proofErr w:type="spellEnd"/>
            <w:r w:rsidRPr="00874BBD">
              <w:rPr>
                <w:rFonts w:asciiTheme="minorHAnsi" w:hAnsiTheme="minorHAnsi"/>
                <w:sz w:val="20"/>
                <w:szCs w:val="20"/>
              </w:rPr>
              <w:t xml:space="preserve"> is not a pest of national significance as defined by the NEBRA</w:t>
            </w:r>
            <w:r>
              <w:rPr>
                <w:rFonts w:asciiTheme="minorHAnsi" w:hAnsiTheme="minorHAnsi"/>
                <w:sz w:val="20"/>
                <w:szCs w:val="20"/>
              </w:rPr>
              <w:t xml:space="preserve">, </w:t>
            </w:r>
            <w:r w:rsidRPr="00874BBD">
              <w:rPr>
                <w:rFonts w:asciiTheme="minorHAnsi" w:hAnsiTheme="minorHAnsi"/>
                <w:sz w:val="20"/>
                <w:szCs w:val="20"/>
              </w:rPr>
              <w:t>as it is unlikely to cause nationally significant impacts on the environment, people (social amenity and human infrastructure) or business activity. Therefore, it is not eligible for nationally cost-shared eradication under the NEBRA.</w:t>
            </w:r>
          </w:p>
        </w:tc>
      </w:tr>
    </w:tbl>
    <w:p w14:paraId="18526BC8" w14:textId="77777777" w:rsidR="00453E56" w:rsidRPr="008E7710" w:rsidRDefault="00453E56" w:rsidP="00C15A40">
      <w:pPr>
        <w:ind w:firstLine="720"/>
        <w:rPr>
          <w:rFonts w:asciiTheme="minorHAnsi" w:hAnsiTheme="minorHAnsi"/>
          <w:sz w:val="22"/>
          <w:szCs w:val="22"/>
        </w:rPr>
      </w:pPr>
    </w:p>
    <w:sectPr w:rsidR="00453E56" w:rsidRPr="008E7710" w:rsidSect="00BD1D04">
      <w:footerReference w:type="default" r:id="rId8"/>
      <w:headerReference w:type="first" r:id="rId9"/>
      <w:pgSz w:w="16838" w:h="11906" w:orient="landscape"/>
      <w:pgMar w:top="1440" w:right="1080" w:bottom="1440" w:left="1080" w:header="425" w:footer="4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F41CD" w14:textId="77777777" w:rsidR="00341A60" w:rsidRDefault="00341A60" w:rsidP="004F1017">
      <w:r>
        <w:separator/>
      </w:r>
    </w:p>
  </w:endnote>
  <w:endnote w:type="continuationSeparator" w:id="0">
    <w:p w14:paraId="3EBC0D5C" w14:textId="77777777" w:rsidR="00341A60" w:rsidRDefault="00341A60" w:rsidP="004F1017">
      <w:r>
        <w:continuationSeparator/>
      </w:r>
    </w:p>
  </w:endnote>
  <w:endnote w:type="continuationNotice" w:id="1">
    <w:p w14:paraId="2F3B8A49" w14:textId="77777777" w:rsidR="00341A60" w:rsidRDefault="00341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BE59" w14:textId="77777777" w:rsidR="00B165E8" w:rsidRPr="00A406EB" w:rsidRDefault="00B165E8" w:rsidP="00B0357C">
    <w:pPr>
      <w:jc w:val="right"/>
      <w:rPr>
        <w:rFonts w:ascii="Calibri" w:hAnsi="Calibri"/>
        <w:color w:val="000000"/>
        <w:sz w:val="22"/>
        <w:szCs w:val="22"/>
      </w:rPr>
    </w:pPr>
    <w:r w:rsidRPr="00A406EB">
      <w:rPr>
        <w:rFonts w:ascii="Calibri" w:hAnsi="Calibri"/>
        <w:color w:val="000000"/>
        <w:sz w:val="22"/>
        <w:szCs w:val="22"/>
      </w:rPr>
      <w:t xml:space="preserve">Page </w:t>
    </w:r>
    <w:r w:rsidRPr="00A406EB">
      <w:rPr>
        <w:rFonts w:ascii="Calibri" w:hAnsi="Calibri"/>
        <w:color w:val="000000"/>
        <w:sz w:val="22"/>
        <w:szCs w:val="22"/>
      </w:rPr>
      <w:fldChar w:fldCharType="begin"/>
    </w:r>
    <w:r w:rsidRPr="00A406EB">
      <w:rPr>
        <w:rFonts w:ascii="Calibri" w:hAnsi="Calibri"/>
        <w:color w:val="000000"/>
        <w:sz w:val="22"/>
        <w:szCs w:val="22"/>
      </w:rPr>
      <w:instrText xml:space="preserve"> PAGE </w:instrText>
    </w:r>
    <w:r w:rsidRPr="00A406EB">
      <w:rPr>
        <w:rFonts w:ascii="Calibri" w:hAnsi="Calibri"/>
        <w:color w:val="000000"/>
        <w:sz w:val="22"/>
        <w:szCs w:val="22"/>
      </w:rPr>
      <w:fldChar w:fldCharType="separate"/>
    </w:r>
    <w:r w:rsidR="00874BBD">
      <w:rPr>
        <w:rFonts w:ascii="Calibri" w:hAnsi="Calibri"/>
        <w:noProof/>
        <w:color w:val="000000"/>
        <w:sz w:val="22"/>
        <w:szCs w:val="22"/>
      </w:rPr>
      <w:t>3</w:t>
    </w:r>
    <w:r w:rsidRPr="00A406EB">
      <w:rPr>
        <w:rFonts w:ascii="Calibri" w:hAnsi="Calibri"/>
        <w:color w:val="000000"/>
        <w:sz w:val="22"/>
        <w:szCs w:val="22"/>
      </w:rPr>
      <w:fldChar w:fldCharType="end"/>
    </w:r>
    <w:r w:rsidRPr="00A406EB">
      <w:rPr>
        <w:rFonts w:ascii="Calibri" w:hAnsi="Calibri"/>
        <w:color w:val="000000"/>
        <w:sz w:val="22"/>
        <w:szCs w:val="22"/>
      </w:rPr>
      <w:t xml:space="preserve"> of </w:t>
    </w:r>
    <w:r w:rsidRPr="00A406EB">
      <w:rPr>
        <w:rFonts w:ascii="Calibri" w:hAnsi="Calibri"/>
        <w:color w:val="000000"/>
        <w:sz w:val="22"/>
        <w:szCs w:val="22"/>
      </w:rPr>
      <w:fldChar w:fldCharType="begin"/>
    </w:r>
    <w:r w:rsidRPr="00A406EB">
      <w:rPr>
        <w:rFonts w:ascii="Calibri" w:hAnsi="Calibri"/>
        <w:color w:val="000000"/>
        <w:sz w:val="22"/>
        <w:szCs w:val="22"/>
      </w:rPr>
      <w:instrText xml:space="preserve"> NUMPAGES  </w:instrText>
    </w:r>
    <w:r w:rsidRPr="00A406EB">
      <w:rPr>
        <w:rFonts w:ascii="Calibri" w:hAnsi="Calibri"/>
        <w:color w:val="000000"/>
        <w:sz w:val="22"/>
        <w:szCs w:val="22"/>
      </w:rPr>
      <w:fldChar w:fldCharType="separate"/>
    </w:r>
    <w:r w:rsidR="00874BBD">
      <w:rPr>
        <w:rFonts w:ascii="Calibri" w:hAnsi="Calibri"/>
        <w:noProof/>
        <w:color w:val="000000"/>
        <w:sz w:val="22"/>
        <w:szCs w:val="22"/>
      </w:rPr>
      <w:t>3</w:t>
    </w:r>
    <w:r w:rsidRPr="00A406EB">
      <w:rPr>
        <w:rFonts w:ascii="Calibri" w:hAnsi="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8A216" w14:textId="77777777" w:rsidR="00341A60" w:rsidRDefault="00341A60" w:rsidP="004F1017">
      <w:r>
        <w:separator/>
      </w:r>
    </w:p>
  </w:footnote>
  <w:footnote w:type="continuationSeparator" w:id="0">
    <w:p w14:paraId="22DE73A7" w14:textId="77777777" w:rsidR="00341A60" w:rsidRDefault="00341A60" w:rsidP="004F1017">
      <w:r>
        <w:continuationSeparator/>
      </w:r>
    </w:p>
  </w:footnote>
  <w:footnote w:type="continuationNotice" w:id="1">
    <w:p w14:paraId="7ED781B9" w14:textId="77777777" w:rsidR="00341A60" w:rsidRDefault="00341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590B6" w14:textId="15FBC98A" w:rsidR="006A41CD" w:rsidRPr="006A41CD" w:rsidRDefault="006A41CD">
    <w:pPr>
      <w:pStyle w:val="Header"/>
      <w:rPr>
        <w:bCs/>
        <w:sz w:val="20"/>
      </w:rPr>
    </w:pPr>
    <w:r w:rsidRPr="006A41CD">
      <w:rPr>
        <w:rFonts w:ascii="Calibri" w:hAnsi="Calibri" w:cs="Arial"/>
        <w:bCs/>
        <w:color w:val="000000"/>
        <w:sz w:val="20"/>
      </w:rPr>
      <w:t>National Biosecurity Management Consultative Committee (NBMCC) and the National Biosecurity Management Consultative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54048D0"/>
    <w:lvl w:ilvl="0">
      <w:numFmt w:val="bullet"/>
      <w:lvlText w:val="*"/>
      <w:lvlJc w:val="left"/>
    </w:lvl>
  </w:abstractNum>
  <w:abstractNum w:abstractNumId="1" w15:restartNumberingAfterBreak="0">
    <w:nsid w:val="03126A39"/>
    <w:multiLevelType w:val="hybridMultilevel"/>
    <w:tmpl w:val="92DA5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360467"/>
    <w:multiLevelType w:val="hybridMultilevel"/>
    <w:tmpl w:val="56A08922"/>
    <w:lvl w:ilvl="0" w:tplc="FC366D02">
      <w:start w:val="43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E168DF"/>
    <w:multiLevelType w:val="hybridMultilevel"/>
    <w:tmpl w:val="1C5EC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6C7E8E"/>
    <w:multiLevelType w:val="hybridMultilevel"/>
    <w:tmpl w:val="DB667B24"/>
    <w:lvl w:ilvl="0" w:tplc="0C090001">
      <w:start w:val="1"/>
      <w:numFmt w:val="bullet"/>
      <w:lvlText w:val=""/>
      <w:lvlJc w:val="left"/>
      <w:pPr>
        <w:ind w:left="360" w:hanging="360"/>
      </w:pPr>
      <w:rPr>
        <w:rFonts w:ascii="Symbol" w:hAnsi="Symbol" w:hint="default"/>
      </w:r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5" w15:restartNumberingAfterBreak="0">
    <w:nsid w:val="1F1E6ECC"/>
    <w:multiLevelType w:val="hybridMultilevel"/>
    <w:tmpl w:val="766A3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B09B3"/>
    <w:multiLevelType w:val="hybridMultilevel"/>
    <w:tmpl w:val="901E770E"/>
    <w:lvl w:ilvl="0" w:tplc="070A7A70">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412F58"/>
    <w:multiLevelType w:val="hybridMultilevel"/>
    <w:tmpl w:val="E7321CF2"/>
    <w:lvl w:ilvl="0" w:tplc="108AD07E">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9080C"/>
    <w:multiLevelType w:val="hybridMultilevel"/>
    <w:tmpl w:val="C8A86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1CA43CF"/>
    <w:multiLevelType w:val="hybridMultilevel"/>
    <w:tmpl w:val="5B9C0B58"/>
    <w:lvl w:ilvl="0" w:tplc="796A4688">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A27832"/>
    <w:multiLevelType w:val="hybridMultilevel"/>
    <w:tmpl w:val="D8BAD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C45A9F"/>
    <w:multiLevelType w:val="hybridMultilevel"/>
    <w:tmpl w:val="69988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A457890"/>
    <w:multiLevelType w:val="hybridMultilevel"/>
    <w:tmpl w:val="FBD4853A"/>
    <w:lvl w:ilvl="0" w:tplc="8B84BB2C">
      <w:start w:val="200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C327B1"/>
    <w:multiLevelType w:val="hybridMultilevel"/>
    <w:tmpl w:val="D36A0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4F7B4F"/>
    <w:multiLevelType w:val="hybridMultilevel"/>
    <w:tmpl w:val="C1820D2A"/>
    <w:lvl w:ilvl="0" w:tplc="0C090017">
      <w:start w:val="1"/>
      <w:numFmt w:val="lowerLetter"/>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15" w15:restartNumberingAfterBreak="0">
    <w:nsid w:val="60E32213"/>
    <w:multiLevelType w:val="hybridMultilevel"/>
    <w:tmpl w:val="B4DAC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6D1DFC"/>
    <w:multiLevelType w:val="hybridMultilevel"/>
    <w:tmpl w:val="96CEC31E"/>
    <w:lvl w:ilvl="0" w:tplc="F59600A8">
      <w:start w:val="200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B863D5"/>
    <w:multiLevelType w:val="hybridMultilevel"/>
    <w:tmpl w:val="C1820D2A"/>
    <w:lvl w:ilvl="0" w:tplc="0C090017">
      <w:start w:val="1"/>
      <w:numFmt w:val="lowerLetter"/>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18" w15:restartNumberingAfterBreak="0">
    <w:nsid w:val="6ABF6D16"/>
    <w:multiLevelType w:val="hybridMultilevel"/>
    <w:tmpl w:val="8EBE8092"/>
    <w:lvl w:ilvl="0" w:tplc="87BCDE1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63D6563"/>
    <w:multiLevelType w:val="hybridMultilevel"/>
    <w:tmpl w:val="230846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7BAC3621"/>
    <w:multiLevelType w:val="hybridMultilevel"/>
    <w:tmpl w:val="BD24C5DC"/>
    <w:lvl w:ilvl="0" w:tplc="223EF1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14095A"/>
    <w:multiLevelType w:val="hybridMultilevel"/>
    <w:tmpl w:val="4C5CBED4"/>
    <w:lvl w:ilvl="0" w:tplc="77B25348">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9"/>
  </w:num>
  <w:num w:numId="4">
    <w:abstractNumId w:val="6"/>
  </w:num>
  <w:num w:numId="5">
    <w:abstractNumId w:val="16"/>
  </w:num>
  <w:num w:numId="6">
    <w:abstractNumId w:val="1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num>
  <w:num w:numId="10">
    <w:abstractNumId w:val="3"/>
  </w:num>
  <w:num w:numId="11">
    <w:abstractNumId w:val="4"/>
  </w:num>
  <w:num w:numId="12">
    <w:abstractNumId w:val="5"/>
  </w:num>
  <w:num w:numId="13">
    <w:abstractNumId w:val="7"/>
  </w:num>
  <w:num w:numId="14">
    <w:abstractNumId w:val="2"/>
  </w:num>
  <w:num w:numId="15">
    <w:abstractNumId w:val="13"/>
  </w:num>
  <w:num w:numId="16">
    <w:abstractNumId w:val="20"/>
  </w:num>
  <w:num w:numId="17">
    <w:abstractNumId w:val="1"/>
  </w:num>
  <w:num w:numId="18">
    <w:abstractNumId w:val="10"/>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num>
  <w:num w:numId="23">
    <w:abstractNumId w:val="18"/>
  </w:num>
  <w:num w:numId="24">
    <w:abstractNumId w:val="0"/>
    <w:lvlOverride w:ilvl="0">
      <w:lvl w:ilvl="0">
        <w:numFmt w:val="bullet"/>
        <w:lvlText w:val=""/>
        <w:legacy w:legacy="1" w:legacySpace="0" w:legacyIndent="24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17"/>
    <w:rsid w:val="00002952"/>
    <w:rsid w:val="00003B83"/>
    <w:rsid w:val="00006126"/>
    <w:rsid w:val="000128F2"/>
    <w:rsid w:val="0001330D"/>
    <w:rsid w:val="00015D31"/>
    <w:rsid w:val="00031986"/>
    <w:rsid w:val="000345F8"/>
    <w:rsid w:val="00035DB3"/>
    <w:rsid w:val="0003700C"/>
    <w:rsid w:val="00042CE8"/>
    <w:rsid w:val="00044F94"/>
    <w:rsid w:val="0004523F"/>
    <w:rsid w:val="0004556B"/>
    <w:rsid w:val="00047D18"/>
    <w:rsid w:val="00051103"/>
    <w:rsid w:val="00055E8D"/>
    <w:rsid w:val="00062BFA"/>
    <w:rsid w:val="00064C9A"/>
    <w:rsid w:val="00065329"/>
    <w:rsid w:val="00065378"/>
    <w:rsid w:val="0006619B"/>
    <w:rsid w:val="000702CD"/>
    <w:rsid w:val="00070A7C"/>
    <w:rsid w:val="00070C1B"/>
    <w:rsid w:val="000711FE"/>
    <w:rsid w:val="00082E1B"/>
    <w:rsid w:val="00083E25"/>
    <w:rsid w:val="0008653F"/>
    <w:rsid w:val="00087278"/>
    <w:rsid w:val="00091946"/>
    <w:rsid w:val="00091B7A"/>
    <w:rsid w:val="00096481"/>
    <w:rsid w:val="00096C79"/>
    <w:rsid w:val="00097073"/>
    <w:rsid w:val="000979F4"/>
    <w:rsid w:val="000A08CD"/>
    <w:rsid w:val="000A19AF"/>
    <w:rsid w:val="000A3D8F"/>
    <w:rsid w:val="000A430F"/>
    <w:rsid w:val="000B26D4"/>
    <w:rsid w:val="000B2A0A"/>
    <w:rsid w:val="000B5089"/>
    <w:rsid w:val="000B52D8"/>
    <w:rsid w:val="000B5A5D"/>
    <w:rsid w:val="000B62BB"/>
    <w:rsid w:val="000C2523"/>
    <w:rsid w:val="000C26EE"/>
    <w:rsid w:val="000C27C9"/>
    <w:rsid w:val="000C2E7F"/>
    <w:rsid w:val="000C4575"/>
    <w:rsid w:val="000C626C"/>
    <w:rsid w:val="000C6CE4"/>
    <w:rsid w:val="000D02CA"/>
    <w:rsid w:val="000D1D17"/>
    <w:rsid w:val="000D34F5"/>
    <w:rsid w:val="000E42A9"/>
    <w:rsid w:val="000E43D1"/>
    <w:rsid w:val="000E6816"/>
    <w:rsid w:val="000E6CCF"/>
    <w:rsid w:val="000E7D24"/>
    <w:rsid w:val="000E7FA9"/>
    <w:rsid w:val="00101BEA"/>
    <w:rsid w:val="001034C2"/>
    <w:rsid w:val="00107DE1"/>
    <w:rsid w:val="00110A13"/>
    <w:rsid w:val="001155ED"/>
    <w:rsid w:val="001158DA"/>
    <w:rsid w:val="0012049F"/>
    <w:rsid w:val="0012299D"/>
    <w:rsid w:val="00122A08"/>
    <w:rsid w:val="00122D68"/>
    <w:rsid w:val="00122F4E"/>
    <w:rsid w:val="00124FBF"/>
    <w:rsid w:val="00131BF5"/>
    <w:rsid w:val="0013462D"/>
    <w:rsid w:val="001349D2"/>
    <w:rsid w:val="001414D9"/>
    <w:rsid w:val="00141F6C"/>
    <w:rsid w:val="00142677"/>
    <w:rsid w:val="00143FD5"/>
    <w:rsid w:val="00145E5E"/>
    <w:rsid w:val="00147647"/>
    <w:rsid w:val="001502FA"/>
    <w:rsid w:val="0015171E"/>
    <w:rsid w:val="00153C7E"/>
    <w:rsid w:val="00153E6C"/>
    <w:rsid w:val="001551E9"/>
    <w:rsid w:val="00157D8E"/>
    <w:rsid w:val="00160D7B"/>
    <w:rsid w:val="00164AFB"/>
    <w:rsid w:val="00166EE2"/>
    <w:rsid w:val="00170CBE"/>
    <w:rsid w:val="001726D4"/>
    <w:rsid w:val="00173A6A"/>
    <w:rsid w:val="00175576"/>
    <w:rsid w:val="00180EF7"/>
    <w:rsid w:val="00187085"/>
    <w:rsid w:val="00187AA7"/>
    <w:rsid w:val="00190093"/>
    <w:rsid w:val="0019267C"/>
    <w:rsid w:val="00194B28"/>
    <w:rsid w:val="001A1125"/>
    <w:rsid w:val="001A5E51"/>
    <w:rsid w:val="001A6C82"/>
    <w:rsid w:val="001B043C"/>
    <w:rsid w:val="001B26D3"/>
    <w:rsid w:val="001B4447"/>
    <w:rsid w:val="001B494E"/>
    <w:rsid w:val="001C147D"/>
    <w:rsid w:val="001C233C"/>
    <w:rsid w:val="001C3DE7"/>
    <w:rsid w:val="001C5652"/>
    <w:rsid w:val="001C6A76"/>
    <w:rsid w:val="001D1755"/>
    <w:rsid w:val="001D1EAE"/>
    <w:rsid w:val="001D2096"/>
    <w:rsid w:val="001D356A"/>
    <w:rsid w:val="001D3D5C"/>
    <w:rsid w:val="001D5C83"/>
    <w:rsid w:val="001D6BDE"/>
    <w:rsid w:val="001D7EAD"/>
    <w:rsid w:val="001E0C50"/>
    <w:rsid w:val="001E2233"/>
    <w:rsid w:val="001E31AD"/>
    <w:rsid w:val="001E3E18"/>
    <w:rsid w:val="001E4D63"/>
    <w:rsid w:val="001E7DFB"/>
    <w:rsid w:val="001F012C"/>
    <w:rsid w:val="001F1071"/>
    <w:rsid w:val="001F36A2"/>
    <w:rsid w:val="00202030"/>
    <w:rsid w:val="00205C63"/>
    <w:rsid w:val="0020618B"/>
    <w:rsid w:val="002073AB"/>
    <w:rsid w:val="00207CA0"/>
    <w:rsid w:val="00211163"/>
    <w:rsid w:val="0021250A"/>
    <w:rsid w:val="0021483B"/>
    <w:rsid w:val="00220C7C"/>
    <w:rsid w:val="0022207C"/>
    <w:rsid w:val="00222FED"/>
    <w:rsid w:val="00226E80"/>
    <w:rsid w:val="00227C4C"/>
    <w:rsid w:val="002351E0"/>
    <w:rsid w:val="00237B0D"/>
    <w:rsid w:val="00244D9E"/>
    <w:rsid w:val="00247A15"/>
    <w:rsid w:val="00250914"/>
    <w:rsid w:val="00250E08"/>
    <w:rsid w:val="00260FB1"/>
    <w:rsid w:val="002613F4"/>
    <w:rsid w:val="00262E41"/>
    <w:rsid w:val="00265610"/>
    <w:rsid w:val="00265935"/>
    <w:rsid w:val="00266842"/>
    <w:rsid w:val="0027735F"/>
    <w:rsid w:val="00280AC7"/>
    <w:rsid w:val="002818D5"/>
    <w:rsid w:val="00284482"/>
    <w:rsid w:val="002846C1"/>
    <w:rsid w:val="002848B7"/>
    <w:rsid w:val="00284F86"/>
    <w:rsid w:val="00285C76"/>
    <w:rsid w:val="002864EE"/>
    <w:rsid w:val="00287B3B"/>
    <w:rsid w:val="002923C4"/>
    <w:rsid w:val="00292506"/>
    <w:rsid w:val="002A4445"/>
    <w:rsid w:val="002A5836"/>
    <w:rsid w:val="002A6FB6"/>
    <w:rsid w:val="002A701B"/>
    <w:rsid w:val="002A7438"/>
    <w:rsid w:val="002B7A32"/>
    <w:rsid w:val="002C5434"/>
    <w:rsid w:val="002D0D18"/>
    <w:rsid w:val="002D5D6F"/>
    <w:rsid w:val="002D60D6"/>
    <w:rsid w:val="002E09C9"/>
    <w:rsid w:val="002E42F9"/>
    <w:rsid w:val="002E6B12"/>
    <w:rsid w:val="002E6C22"/>
    <w:rsid w:val="002E7089"/>
    <w:rsid w:val="002E7E31"/>
    <w:rsid w:val="002F0ED8"/>
    <w:rsid w:val="002F31F0"/>
    <w:rsid w:val="002F4171"/>
    <w:rsid w:val="002F6053"/>
    <w:rsid w:val="002F7B50"/>
    <w:rsid w:val="002F7E0A"/>
    <w:rsid w:val="00301045"/>
    <w:rsid w:val="00310A28"/>
    <w:rsid w:val="00311E41"/>
    <w:rsid w:val="00314C43"/>
    <w:rsid w:val="00322328"/>
    <w:rsid w:val="0032306B"/>
    <w:rsid w:val="00325660"/>
    <w:rsid w:val="00331368"/>
    <w:rsid w:val="0033196E"/>
    <w:rsid w:val="00332C21"/>
    <w:rsid w:val="00334CB3"/>
    <w:rsid w:val="0033511A"/>
    <w:rsid w:val="003357C3"/>
    <w:rsid w:val="00341A60"/>
    <w:rsid w:val="00343B05"/>
    <w:rsid w:val="0034406C"/>
    <w:rsid w:val="00351033"/>
    <w:rsid w:val="003525F4"/>
    <w:rsid w:val="0035427B"/>
    <w:rsid w:val="00355981"/>
    <w:rsid w:val="00360FBF"/>
    <w:rsid w:val="00362661"/>
    <w:rsid w:val="00363C73"/>
    <w:rsid w:val="00364DE7"/>
    <w:rsid w:val="00365B5E"/>
    <w:rsid w:val="003714A1"/>
    <w:rsid w:val="003728A8"/>
    <w:rsid w:val="00376E91"/>
    <w:rsid w:val="00377340"/>
    <w:rsid w:val="00382183"/>
    <w:rsid w:val="00382D59"/>
    <w:rsid w:val="0038309B"/>
    <w:rsid w:val="003833D2"/>
    <w:rsid w:val="00385DF0"/>
    <w:rsid w:val="00391DC0"/>
    <w:rsid w:val="003A05B3"/>
    <w:rsid w:val="003A237E"/>
    <w:rsid w:val="003A5484"/>
    <w:rsid w:val="003C1DB6"/>
    <w:rsid w:val="003C2303"/>
    <w:rsid w:val="003C26B0"/>
    <w:rsid w:val="003C47E0"/>
    <w:rsid w:val="003C5FD7"/>
    <w:rsid w:val="003C638A"/>
    <w:rsid w:val="003C7277"/>
    <w:rsid w:val="003C7815"/>
    <w:rsid w:val="003D785D"/>
    <w:rsid w:val="003E1C98"/>
    <w:rsid w:val="003E26FC"/>
    <w:rsid w:val="003E2783"/>
    <w:rsid w:val="003E3A2E"/>
    <w:rsid w:val="003E49DA"/>
    <w:rsid w:val="003F1108"/>
    <w:rsid w:val="003F5EE1"/>
    <w:rsid w:val="0040081F"/>
    <w:rsid w:val="00401E1E"/>
    <w:rsid w:val="004035FF"/>
    <w:rsid w:val="00403E04"/>
    <w:rsid w:val="004054E4"/>
    <w:rsid w:val="00410361"/>
    <w:rsid w:val="00412FBA"/>
    <w:rsid w:val="00414053"/>
    <w:rsid w:val="0041493F"/>
    <w:rsid w:val="00415AD0"/>
    <w:rsid w:val="004164FE"/>
    <w:rsid w:val="00417A8B"/>
    <w:rsid w:val="00422FE5"/>
    <w:rsid w:val="00424940"/>
    <w:rsid w:val="00427524"/>
    <w:rsid w:val="00431015"/>
    <w:rsid w:val="00440545"/>
    <w:rsid w:val="00441AE5"/>
    <w:rsid w:val="00442945"/>
    <w:rsid w:val="00447B27"/>
    <w:rsid w:val="00447DD1"/>
    <w:rsid w:val="00450D72"/>
    <w:rsid w:val="00452207"/>
    <w:rsid w:val="00453E56"/>
    <w:rsid w:val="00455C61"/>
    <w:rsid w:val="0045716F"/>
    <w:rsid w:val="00465685"/>
    <w:rsid w:val="0047257A"/>
    <w:rsid w:val="004744C4"/>
    <w:rsid w:val="004808A5"/>
    <w:rsid w:val="00483134"/>
    <w:rsid w:val="00494A39"/>
    <w:rsid w:val="004A1A88"/>
    <w:rsid w:val="004B072C"/>
    <w:rsid w:val="004B0C4C"/>
    <w:rsid w:val="004B18BB"/>
    <w:rsid w:val="004B6B74"/>
    <w:rsid w:val="004B7757"/>
    <w:rsid w:val="004C0ABF"/>
    <w:rsid w:val="004C3F8A"/>
    <w:rsid w:val="004C4260"/>
    <w:rsid w:val="004C76F5"/>
    <w:rsid w:val="004C7724"/>
    <w:rsid w:val="004D5A74"/>
    <w:rsid w:val="004F1017"/>
    <w:rsid w:val="004F4D49"/>
    <w:rsid w:val="004F65F1"/>
    <w:rsid w:val="004F6FA9"/>
    <w:rsid w:val="004F7264"/>
    <w:rsid w:val="004F733E"/>
    <w:rsid w:val="004F7450"/>
    <w:rsid w:val="0050083A"/>
    <w:rsid w:val="00500F02"/>
    <w:rsid w:val="00500F29"/>
    <w:rsid w:val="00504B25"/>
    <w:rsid w:val="00504DCB"/>
    <w:rsid w:val="005068E4"/>
    <w:rsid w:val="00510C8A"/>
    <w:rsid w:val="00510DFE"/>
    <w:rsid w:val="00510F0A"/>
    <w:rsid w:val="0051208E"/>
    <w:rsid w:val="00512380"/>
    <w:rsid w:val="00513BF0"/>
    <w:rsid w:val="005164E5"/>
    <w:rsid w:val="00525DD9"/>
    <w:rsid w:val="00527A79"/>
    <w:rsid w:val="0053064D"/>
    <w:rsid w:val="005352B4"/>
    <w:rsid w:val="00535D8A"/>
    <w:rsid w:val="00536F83"/>
    <w:rsid w:val="00540DFB"/>
    <w:rsid w:val="005516A6"/>
    <w:rsid w:val="005556BC"/>
    <w:rsid w:val="005557B3"/>
    <w:rsid w:val="00557F5A"/>
    <w:rsid w:val="00570695"/>
    <w:rsid w:val="00571F96"/>
    <w:rsid w:val="00573082"/>
    <w:rsid w:val="00575892"/>
    <w:rsid w:val="00580481"/>
    <w:rsid w:val="005838C3"/>
    <w:rsid w:val="00583D58"/>
    <w:rsid w:val="00584EB2"/>
    <w:rsid w:val="005853D7"/>
    <w:rsid w:val="005871B6"/>
    <w:rsid w:val="005912BB"/>
    <w:rsid w:val="00597524"/>
    <w:rsid w:val="005A0CD2"/>
    <w:rsid w:val="005A3AB2"/>
    <w:rsid w:val="005A569C"/>
    <w:rsid w:val="005B008D"/>
    <w:rsid w:val="005B64B3"/>
    <w:rsid w:val="005C31B5"/>
    <w:rsid w:val="005C3C4E"/>
    <w:rsid w:val="005C7BAE"/>
    <w:rsid w:val="005D75E2"/>
    <w:rsid w:val="005E1FA7"/>
    <w:rsid w:val="005E348F"/>
    <w:rsid w:val="005E3852"/>
    <w:rsid w:val="005E4CBB"/>
    <w:rsid w:val="005F1E41"/>
    <w:rsid w:val="005F3B09"/>
    <w:rsid w:val="005F4DCA"/>
    <w:rsid w:val="005F5EE4"/>
    <w:rsid w:val="005F6058"/>
    <w:rsid w:val="00600C12"/>
    <w:rsid w:val="00606DBB"/>
    <w:rsid w:val="006071CC"/>
    <w:rsid w:val="006072AC"/>
    <w:rsid w:val="006116E8"/>
    <w:rsid w:val="00612673"/>
    <w:rsid w:val="006135B5"/>
    <w:rsid w:val="00613D92"/>
    <w:rsid w:val="00620AF2"/>
    <w:rsid w:val="00621A13"/>
    <w:rsid w:val="00623F1A"/>
    <w:rsid w:val="00624A97"/>
    <w:rsid w:val="00626AA4"/>
    <w:rsid w:val="0063099D"/>
    <w:rsid w:val="00631E14"/>
    <w:rsid w:val="00633A12"/>
    <w:rsid w:val="0063443C"/>
    <w:rsid w:val="00636807"/>
    <w:rsid w:val="006450CA"/>
    <w:rsid w:val="00645DD5"/>
    <w:rsid w:val="00647015"/>
    <w:rsid w:val="00651506"/>
    <w:rsid w:val="00653F84"/>
    <w:rsid w:val="006561F6"/>
    <w:rsid w:val="00660374"/>
    <w:rsid w:val="00673A53"/>
    <w:rsid w:val="00673C2A"/>
    <w:rsid w:val="00673DE2"/>
    <w:rsid w:val="00676292"/>
    <w:rsid w:val="006825B6"/>
    <w:rsid w:val="00683438"/>
    <w:rsid w:val="00684B94"/>
    <w:rsid w:val="00685DE1"/>
    <w:rsid w:val="0069030E"/>
    <w:rsid w:val="006944B7"/>
    <w:rsid w:val="006944D1"/>
    <w:rsid w:val="00695C7B"/>
    <w:rsid w:val="00696C1C"/>
    <w:rsid w:val="006A41CD"/>
    <w:rsid w:val="006A4540"/>
    <w:rsid w:val="006A4883"/>
    <w:rsid w:val="006A695B"/>
    <w:rsid w:val="006B10D1"/>
    <w:rsid w:val="006B15B1"/>
    <w:rsid w:val="006B18C1"/>
    <w:rsid w:val="006B2F09"/>
    <w:rsid w:val="006B5185"/>
    <w:rsid w:val="006C0EC1"/>
    <w:rsid w:val="006C1168"/>
    <w:rsid w:val="006C4A43"/>
    <w:rsid w:val="006C73E9"/>
    <w:rsid w:val="006D11F2"/>
    <w:rsid w:val="006D1DE3"/>
    <w:rsid w:val="006D3389"/>
    <w:rsid w:val="006D77ED"/>
    <w:rsid w:val="006E19DE"/>
    <w:rsid w:val="006E3286"/>
    <w:rsid w:val="006E3596"/>
    <w:rsid w:val="006E599F"/>
    <w:rsid w:val="006E67BF"/>
    <w:rsid w:val="006F014D"/>
    <w:rsid w:val="006F0464"/>
    <w:rsid w:val="006F270A"/>
    <w:rsid w:val="006F368C"/>
    <w:rsid w:val="006F4124"/>
    <w:rsid w:val="006F42A7"/>
    <w:rsid w:val="006F5D7E"/>
    <w:rsid w:val="00703CEF"/>
    <w:rsid w:val="00703F66"/>
    <w:rsid w:val="0070467A"/>
    <w:rsid w:val="00706260"/>
    <w:rsid w:val="0070680A"/>
    <w:rsid w:val="00710B32"/>
    <w:rsid w:val="0071354C"/>
    <w:rsid w:val="007156F6"/>
    <w:rsid w:val="0071642B"/>
    <w:rsid w:val="00717505"/>
    <w:rsid w:val="00717CBA"/>
    <w:rsid w:val="007219CB"/>
    <w:rsid w:val="007219DD"/>
    <w:rsid w:val="00722E2F"/>
    <w:rsid w:val="00724A2C"/>
    <w:rsid w:val="00725AAF"/>
    <w:rsid w:val="0072648B"/>
    <w:rsid w:val="0073010B"/>
    <w:rsid w:val="00733A98"/>
    <w:rsid w:val="00735853"/>
    <w:rsid w:val="0074021D"/>
    <w:rsid w:val="0074040F"/>
    <w:rsid w:val="0074474F"/>
    <w:rsid w:val="0075093B"/>
    <w:rsid w:val="00755E35"/>
    <w:rsid w:val="007615FE"/>
    <w:rsid w:val="007662B9"/>
    <w:rsid w:val="00767220"/>
    <w:rsid w:val="00767344"/>
    <w:rsid w:val="0078104A"/>
    <w:rsid w:val="007913CA"/>
    <w:rsid w:val="0079223B"/>
    <w:rsid w:val="00797CF3"/>
    <w:rsid w:val="00797FE8"/>
    <w:rsid w:val="007A3E74"/>
    <w:rsid w:val="007A5091"/>
    <w:rsid w:val="007A6EF1"/>
    <w:rsid w:val="007A753F"/>
    <w:rsid w:val="007B04F1"/>
    <w:rsid w:val="007B0A55"/>
    <w:rsid w:val="007B1BD5"/>
    <w:rsid w:val="007B4CEB"/>
    <w:rsid w:val="007B6B66"/>
    <w:rsid w:val="007B7C38"/>
    <w:rsid w:val="007C01FA"/>
    <w:rsid w:val="007C0575"/>
    <w:rsid w:val="007C272D"/>
    <w:rsid w:val="007C3398"/>
    <w:rsid w:val="007C6174"/>
    <w:rsid w:val="007C6C9A"/>
    <w:rsid w:val="007D09E5"/>
    <w:rsid w:val="007D0DB3"/>
    <w:rsid w:val="007D1633"/>
    <w:rsid w:val="007D2774"/>
    <w:rsid w:val="007D7460"/>
    <w:rsid w:val="007D758A"/>
    <w:rsid w:val="007E0977"/>
    <w:rsid w:val="007E4F26"/>
    <w:rsid w:val="007E64AF"/>
    <w:rsid w:val="007F0AD6"/>
    <w:rsid w:val="007F13B6"/>
    <w:rsid w:val="007F42B0"/>
    <w:rsid w:val="007F57D4"/>
    <w:rsid w:val="007F5913"/>
    <w:rsid w:val="007F5A8D"/>
    <w:rsid w:val="00800FAD"/>
    <w:rsid w:val="00804F0A"/>
    <w:rsid w:val="0080605E"/>
    <w:rsid w:val="00810595"/>
    <w:rsid w:val="00812B64"/>
    <w:rsid w:val="00817CB8"/>
    <w:rsid w:val="00820F73"/>
    <w:rsid w:val="00822D27"/>
    <w:rsid w:val="0082659A"/>
    <w:rsid w:val="00826C1B"/>
    <w:rsid w:val="00826F42"/>
    <w:rsid w:val="00830907"/>
    <w:rsid w:val="00836CCF"/>
    <w:rsid w:val="008376C9"/>
    <w:rsid w:val="00841193"/>
    <w:rsid w:val="00841974"/>
    <w:rsid w:val="00843B83"/>
    <w:rsid w:val="008461D2"/>
    <w:rsid w:val="00846AF6"/>
    <w:rsid w:val="008478A4"/>
    <w:rsid w:val="0085442B"/>
    <w:rsid w:val="008571F5"/>
    <w:rsid w:val="00860FA3"/>
    <w:rsid w:val="008643F2"/>
    <w:rsid w:val="00865439"/>
    <w:rsid w:val="00874BBD"/>
    <w:rsid w:val="00874D4E"/>
    <w:rsid w:val="00876C2B"/>
    <w:rsid w:val="00877891"/>
    <w:rsid w:val="008804C7"/>
    <w:rsid w:val="00881840"/>
    <w:rsid w:val="00883AA7"/>
    <w:rsid w:val="008842FC"/>
    <w:rsid w:val="008855EB"/>
    <w:rsid w:val="00893A05"/>
    <w:rsid w:val="00895DCA"/>
    <w:rsid w:val="008963BE"/>
    <w:rsid w:val="00896901"/>
    <w:rsid w:val="00897DB3"/>
    <w:rsid w:val="008A0199"/>
    <w:rsid w:val="008A2C5A"/>
    <w:rsid w:val="008A6647"/>
    <w:rsid w:val="008B194F"/>
    <w:rsid w:val="008B7656"/>
    <w:rsid w:val="008B768D"/>
    <w:rsid w:val="008C55F0"/>
    <w:rsid w:val="008C60AB"/>
    <w:rsid w:val="008C6266"/>
    <w:rsid w:val="008D14FB"/>
    <w:rsid w:val="008D6C2D"/>
    <w:rsid w:val="008D72ED"/>
    <w:rsid w:val="008E3E08"/>
    <w:rsid w:val="008E4A0D"/>
    <w:rsid w:val="008E5F77"/>
    <w:rsid w:val="008E6973"/>
    <w:rsid w:val="008E7710"/>
    <w:rsid w:val="008F4409"/>
    <w:rsid w:val="008F5119"/>
    <w:rsid w:val="008F6E0B"/>
    <w:rsid w:val="009002C8"/>
    <w:rsid w:val="00904B0A"/>
    <w:rsid w:val="00904ED9"/>
    <w:rsid w:val="0090641E"/>
    <w:rsid w:val="00907EB0"/>
    <w:rsid w:val="00920BCB"/>
    <w:rsid w:val="00923382"/>
    <w:rsid w:val="009253D5"/>
    <w:rsid w:val="00927E2F"/>
    <w:rsid w:val="00941A27"/>
    <w:rsid w:val="00942340"/>
    <w:rsid w:val="009462FB"/>
    <w:rsid w:val="009468CD"/>
    <w:rsid w:val="0095013B"/>
    <w:rsid w:val="0095305F"/>
    <w:rsid w:val="00955999"/>
    <w:rsid w:val="00965750"/>
    <w:rsid w:val="009676C6"/>
    <w:rsid w:val="00970550"/>
    <w:rsid w:val="00970BBC"/>
    <w:rsid w:val="00970CED"/>
    <w:rsid w:val="009719B6"/>
    <w:rsid w:val="00971F54"/>
    <w:rsid w:val="00976FEA"/>
    <w:rsid w:val="00977689"/>
    <w:rsid w:val="00977B80"/>
    <w:rsid w:val="00982C0D"/>
    <w:rsid w:val="00983B2F"/>
    <w:rsid w:val="0098774C"/>
    <w:rsid w:val="00994E2A"/>
    <w:rsid w:val="0099551D"/>
    <w:rsid w:val="0099739F"/>
    <w:rsid w:val="009A2CA0"/>
    <w:rsid w:val="009A2EAA"/>
    <w:rsid w:val="009A31E8"/>
    <w:rsid w:val="009A40D7"/>
    <w:rsid w:val="009A4379"/>
    <w:rsid w:val="009A6969"/>
    <w:rsid w:val="009B38E7"/>
    <w:rsid w:val="009B3DBE"/>
    <w:rsid w:val="009B5A33"/>
    <w:rsid w:val="009B601D"/>
    <w:rsid w:val="009C1BB3"/>
    <w:rsid w:val="009C3C2C"/>
    <w:rsid w:val="009C7191"/>
    <w:rsid w:val="009C748F"/>
    <w:rsid w:val="009D1C5B"/>
    <w:rsid w:val="009D5DED"/>
    <w:rsid w:val="009D6046"/>
    <w:rsid w:val="009E0EFE"/>
    <w:rsid w:val="009E486A"/>
    <w:rsid w:val="009E6DEE"/>
    <w:rsid w:val="009F01FF"/>
    <w:rsid w:val="009F1ABE"/>
    <w:rsid w:val="009F42D5"/>
    <w:rsid w:val="009F494B"/>
    <w:rsid w:val="00A00567"/>
    <w:rsid w:val="00A01935"/>
    <w:rsid w:val="00A0235D"/>
    <w:rsid w:val="00A023EC"/>
    <w:rsid w:val="00A04353"/>
    <w:rsid w:val="00A155D2"/>
    <w:rsid w:val="00A16D2B"/>
    <w:rsid w:val="00A20807"/>
    <w:rsid w:val="00A24C2A"/>
    <w:rsid w:val="00A2576A"/>
    <w:rsid w:val="00A2725F"/>
    <w:rsid w:val="00A30001"/>
    <w:rsid w:val="00A308B1"/>
    <w:rsid w:val="00A317E2"/>
    <w:rsid w:val="00A31F44"/>
    <w:rsid w:val="00A35033"/>
    <w:rsid w:val="00A4262E"/>
    <w:rsid w:val="00A47484"/>
    <w:rsid w:val="00A51B5B"/>
    <w:rsid w:val="00A52075"/>
    <w:rsid w:val="00A5512A"/>
    <w:rsid w:val="00A56244"/>
    <w:rsid w:val="00A60032"/>
    <w:rsid w:val="00A61320"/>
    <w:rsid w:val="00A66C8D"/>
    <w:rsid w:val="00A8151B"/>
    <w:rsid w:val="00A82A2F"/>
    <w:rsid w:val="00A8427E"/>
    <w:rsid w:val="00A84796"/>
    <w:rsid w:val="00A85F28"/>
    <w:rsid w:val="00A87324"/>
    <w:rsid w:val="00A93D85"/>
    <w:rsid w:val="00A95089"/>
    <w:rsid w:val="00A9528D"/>
    <w:rsid w:val="00A95EF8"/>
    <w:rsid w:val="00A9731D"/>
    <w:rsid w:val="00AA09E5"/>
    <w:rsid w:val="00AA0A4D"/>
    <w:rsid w:val="00AA11D3"/>
    <w:rsid w:val="00AA1DC1"/>
    <w:rsid w:val="00AB2BB1"/>
    <w:rsid w:val="00AB2BEF"/>
    <w:rsid w:val="00AB40CF"/>
    <w:rsid w:val="00AC0C0B"/>
    <w:rsid w:val="00AC17CB"/>
    <w:rsid w:val="00AC1D4C"/>
    <w:rsid w:val="00AC26D5"/>
    <w:rsid w:val="00AC33B2"/>
    <w:rsid w:val="00AC51CD"/>
    <w:rsid w:val="00AD11E0"/>
    <w:rsid w:val="00AD2B92"/>
    <w:rsid w:val="00AD2BA8"/>
    <w:rsid w:val="00AD4003"/>
    <w:rsid w:val="00AD52A8"/>
    <w:rsid w:val="00AD7F3F"/>
    <w:rsid w:val="00AE164F"/>
    <w:rsid w:val="00AE29B8"/>
    <w:rsid w:val="00AE41E5"/>
    <w:rsid w:val="00AE783A"/>
    <w:rsid w:val="00AF0A18"/>
    <w:rsid w:val="00AF7552"/>
    <w:rsid w:val="00B026E0"/>
    <w:rsid w:val="00B02F82"/>
    <w:rsid w:val="00B0357C"/>
    <w:rsid w:val="00B06268"/>
    <w:rsid w:val="00B075CF"/>
    <w:rsid w:val="00B102CA"/>
    <w:rsid w:val="00B128E7"/>
    <w:rsid w:val="00B13741"/>
    <w:rsid w:val="00B14386"/>
    <w:rsid w:val="00B165E8"/>
    <w:rsid w:val="00B1756A"/>
    <w:rsid w:val="00B25058"/>
    <w:rsid w:val="00B30379"/>
    <w:rsid w:val="00B312E9"/>
    <w:rsid w:val="00B319E3"/>
    <w:rsid w:val="00B362F8"/>
    <w:rsid w:val="00B37065"/>
    <w:rsid w:val="00B403D0"/>
    <w:rsid w:val="00B43756"/>
    <w:rsid w:val="00B45964"/>
    <w:rsid w:val="00B47CD3"/>
    <w:rsid w:val="00B5092F"/>
    <w:rsid w:val="00B55AB4"/>
    <w:rsid w:val="00B56D3A"/>
    <w:rsid w:val="00B610CB"/>
    <w:rsid w:val="00B638E3"/>
    <w:rsid w:val="00B7387F"/>
    <w:rsid w:val="00B75F5E"/>
    <w:rsid w:val="00B81051"/>
    <w:rsid w:val="00B86A75"/>
    <w:rsid w:val="00B87D8A"/>
    <w:rsid w:val="00BA1B2E"/>
    <w:rsid w:val="00BA2341"/>
    <w:rsid w:val="00BA6DC2"/>
    <w:rsid w:val="00BA7155"/>
    <w:rsid w:val="00BA7451"/>
    <w:rsid w:val="00BB25B2"/>
    <w:rsid w:val="00BB324D"/>
    <w:rsid w:val="00BB47B7"/>
    <w:rsid w:val="00BB58DB"/>
    <w:rsid w:val="00BB64AD"/>
    <w:rsid w:val="00BB7EC8"/>
    <w:rsid w:val="00BC0ADC"/>
    <w:rsid w:val="00BC116F"/>
    <w:rsid w:val="00BC167B"/>
    <w:rsid w:val="00BC2160"/>
    <w:rsid w:val="00BC4E8D"/>
    <w:rsid w:val="00BC7F3D"/>
    <w:rsid w:val="00BD1D04"/>
    <w:rsid w:val="00BD49DD"/>
    <w:rsid w:val="00BD6D8A"/>
    <w:rsid w:val="00BD798D"/>
    <w:rsid w:val="00BD7B74"/>
    <w:rsid w:val="00BE01C9"/>
    <w:rsid w:val="00BE0DDC"/>
    <w:rsid w:val="00BE2158"/>
    <w:rsid w:val="00BE4789"/>
    <w:rsid w:val="00BE5B38"/>
    <w:rsid w:val="00BE6533"/>
    <w:rsid w:val="00BF071A"/>
    <w:rsid w:val="00BF28A2"/>
    <w:rsid w:val="00BF5160"/>
    <w:rsid w:val="00C05CA8"/>
    <w:rsid w:val="00C06C04"/>
    <w:rsid w:val="00C07602"/>
    <w:rsid w:val="00C105EE"/>
    <w:rsid w:val="00C11038"/>
    <w:rsid w:val="00C15A40"/>
    <w:rsid w:val="00C167EC"/>
    <w:rsid w:val="00C168E6"/>
    <w:rsid w:val="00C1769C"/>
    <w:rsid w:val="00C2015F"/>
    <w:rsid w:val="00C201EA"/>
    <w:rsid w:val="00C21F13"/>
    <w:rsid w:val="00C244BB"/>
    <w:rsid w:val="00C27F4F"/>
    <w:rsid w:val="00C31D31"/>
    <w:rsid w:val="00C3703C"/>
    <w:rsid w:val="00C40438"/>
    <w:rsid w:val="00C43684"/>
    <w:rsid w:val="00C44E4D"/>
    <w:rsid w:val="00C466D7"/>
    <w:rsid w:val="00C51532"/>
    <w:rsid w:val="00C54267"/>
    <w:rsid w:val="00C578FF"/>
    <w:rsid w:val="00C60395"/>
    <w:rsid w:val="00C60E98"/>
    <w:rsid w:val="00C647CD"/>
    <w:rsid w:val="00C65374"/>
    <w:rsid w:val="00C6595C"/>
    <w:rsid w:val="00C66626"/>
    <w:rsid w:val="00C71593"/>
    <w:rsid w:val="00C838F9"/>
    <w:rsid w:val="00C84EA0"/>
    <w:rsid w:val="00C86ECE"/>
    <w:rsid w:val="00C9199C"/>
    <w:rsid w:val="00C91C76"/>
    <w:rsid w:val="00C94828"/>
    <w:rsid w:val="00C95A8C"/>
    <w:rsid w:val="00C95F50"/>
    <w:rsid w:val="00C9620D"/>
    <w:rsid w:val="00CA17B3"/>
    <w:rsid w:val="00CA5EEF"/>
    <w:rsid w:val="00CB0104"/>
    <w:rsid w:val="00CB15BF"/>
    <w:rsid w:val="00CB3552"/>
    <w:rsid w:val="00CB38E2"/>
    <w:rsid w:val="00CB5A19"/>
    <w:rsid w:val="00CB5DDA"/>
    <w:rsid w:val="00CC30A6"/>
    <w:rsid w:val="00CC39DD"/>
    <w:rsid w:val="00CC74D0"/>
    <w:rsid w:val="00CC795C"/>
    <w:rsid w:val="00CD0411"/>
    <w:rsid w:val="00CD0CB1"/>
    <w:rsid w:val="00CD26CB"/>
    <w:rsid w:val="00CD4494"/>
    <w:rsid w:val="00CE131E"/>
    <w:rsid w:val="00CE5DF5"/>
    <w:rsid w:val="00CE6E63"/>
    <w:rsid w:val="00CF287A"/>
    <w:rsid w:val="00CF32EE"/>
    <w:rsid w:val="00CF3BC1"/>
    <w:rsid w:val="00D00455"/>
    <w:rsid w:val="00D010F7"/>
    <w:rsid w:val="00D11ECA"/>
    <w:rsid w:val="00D1206D"/>
    <w:rsid w:val="00D157CF"/>
    <w:rsid w:val="00D2244F"/>
    <w:rsid w:val="00D22AEB"/>
    <w:rsid w:val="00D22CE8"/>
    <w:rsid w:val="00D23B2C"/>
    <w:rsid w:val="00D23DD5"/>
    <w:rsid w:val="00D24DCA"/>
    <w:rsid w:val="00D25BEC"/>
    <w:rsid w:val="00D27DA9"/>
    <w:rsid w:val="00D3142A"/>
    <w:rsid w:val="00D346B4"/>
    <w:rsid w:val="00D40FC8"/>
    <w:rsid w:val="00D45FEB"/>
    <w:rsid w:val="00D5370B"/>
    <w:rsid w:val="00D53E31"/>
    <w:rsid w:val="00D579EF"/>
    <w:rsid w:val="00D57AD9"/>
    <w:rsid w:val="00D65812"/>
    <w:rsid w:val="00D66FB5"/>
    <w:rsid w:val="00D717D2"/>
    <w:rsid w:val="00D749B0"/>
    <w:rsid w:val="00D75F27"/>
    <w:rsid w:val="00D76517"/>
    <w:rsid w:val="00D76A32"/>
    <w:rsid w:val="00D770DD"/>
    <w:rsid w:val="00D80394"/>
    <w:rsid w:val="00D80A3E"/>
    <w:rsid w:val="00D82707"/>
    <w:rsid w:val="00D90475"/>
    <w:rsid w:val="00D91E1D"/>
    <w:rsid w:val="00D965C5"/>
    <w:rsid w:val="00D96FF7"/>
    <w:rsid w:val="00D9706A"/>
    <w:rsid w:val="00DA7DBD"/>
    <w:rsid w:val="00DB32E8"/>
    <w:rsid w:val="00DB373E"/>
    <w:rsid w:val="00DB483C"/>
    <w:rsid w:val="00DB5C51"/>
    <w:rsid w:val="00DB709D"/>
    <w:rsid w:val="00DC1D05"/>
    <w:rsid w:val="00DC5576"/>
    <w:rsid w:val="00DC7769"/>
    <w:rsid w:val="00DC79E7"/>
    <w:rsid w:val="00DD24C7"/>
    <w:rsid w:val="00DD3928"/>
    <w:rsid w:val="00DD497A"/>
    <w:rsid w:val="00DE086D"/>
    <w:rsid w:val="00DE12B4"/>
    <w:rsid w:val="00DE255F"/>
    <w:rsid w:val="00DE5118"/>
    <w:rsid w:val="00DE7291"/>
    <w:rsid w:val="00DF3126"/>
    <w:rsid w:val="00DF6CD5"/>
    <w:rsid w:val="00E04EE2"/>
    <w:rsid w:val="00E071E6"/>
    <w:rsid w:val="00E155AF"/>
    <w:rsid w:val="00E17BEE"/>
    <w:rsid w:val="00E20FD9"/>
    <w:rsid w:val="00E22C61"/>
    <w:rsid w:val="00E23A78"/>
    <w:rsid w:val="00E246CB"/>
    <w:rsid w:val="00E24BE4"/>
    <w:rsid w:val="00E26503"/>
    <w:rsid w:val="00E3518B"/>
    <w:rsid w:val="00E40480"/>
    <w:rsid w:val="00E42793"/>
    <w:rsid w:val="00E432C2"/>
    <w:rsid w:val="00E43506"/>
    <w:rsid w:val="00E4695E"/>
    <w:rsid w:val="00E52E65"/>
    <w:rsid w:val="00E534CE"/>
    <w:rsid w:val="00E6028D"/>
    <w:rsid w:val="00E6308C"/>
    <w:rsid w:val="00E67720"/>
    <w:rsid w:val="00E75103"/>
    <w:rsid w:val="00E82792"/>
    <w:rsid w:val="00E8386F"/>
    <w:rsid w:val="00E842E9"/>
    <w:rsid w:val="00E965CA"/>
    <w:rsid w:val="00EA22B6"/>
    <w:rsid w:val="00EA3CA3"/>
    <w:rsid w:val="00EA6D66"/>
    <w:rsid w:val="00EA72B9"/>
    <w:rsid w:val="00EA7A43"/>
    <w:rsid w:val="00EB0AB4"/>
    <w:rsid w:val="00EB44EF"/>
    <w:rsid w:val="00EB63BD"/>
    <w:rsid w:val="00EB7DF8"/>
    <w:rsid w:val="00EC0B47"/>
    <w:rsid w:val="00EC39B7"/>
    <w:rsid w:val="00EC4A8F"/>
    <w:rsid w:val="00ED5373"/>
    <w:rsid w:val="00EE02E9"/>
    <w:rsid w:val="00EE1603"/>
    <w:rsid w:val="00EE6460"/>
    <w:rsid w:val="00EF06FF"/>
    <w:rsid w:val="00EF0EB2"/>
    <w:rsid w:val="00EF1518"/>
    <w:rsid w:val="00EF18B4"/>
    <w:rsid w:val="00EF289B"/>
    <w:rsid w:val="00EF6EEA"/>
    <w:rsid w:val="00F2073F"/>
    <w:rsid w:val="00F24C81"/>
    <w:rsid w:val="00F25677"/>
    <w:rsid w:val="00F27A94"/>
    <w:rsid w:val="00F306BF"/>
    <w:rsid w:val="00F36D6D"/>
    <w:rsid w:val="00F36E47"/>
    <w:rsid w:val="00F37094"/>
    <w:rsid w:val="00F403AE"/>
    <w:rsid w:val="00F503C4"/>
    <w:rsid w:val="00F51B32"/>
    <w:rsid w:val="00F527EE"/>
    <w:rsid w:val="00F56CB6"/>
    <w:rsid w:val="00F5730B"/>
    <w:rsid w:val="00F638A9"/>
    <w:rsid w:val="00F63BDC"/>
    <w:rsid w:val="00F63E2F"/>
    <w:rsid w:val="00F67E82"/>
    <w:rsid w:val="00F73B60"/>
    <w:rsid w:val="00F745F4"/>
    <w:rsid w:val="00F82584"/>
    <w:rsid w:val="00F84FCE"/>
    <w:rsid w:val="00F85E19"/>
    <w:rsid w:val="00F92AD5"/>
    <w:rsid w:val="00F9358C"/>
    <w:rsid w:val="00F938E1"/>
    <w:rsid w:val="00F95A01"/>
    <w:rsid w:val="00F95BC0"/>
    <w:rsid w:val="00F96571"/>
    <w:rsid w:val="00FA1118"/>
    <w:rsid w:val="00FA2A60"/>
    <w:rsid w:val="00FA2B64"/>
    <w:rsid w:val="00FA3ACA"/>
    <w:rsid w:val="00FA3D5C"/>
    <w:rsid w:val="00FA520A"/>
    <w:rsid w:val="00FA6514"/>
    <w:rsid w:val="00FA6D2D"/>
    <w:rsid w:val="00FA7B66"/>
    <w:rsid w:val="00FB00C6"/>
    <w:rsid w:val="00FB03AA"/>
    <w:rsid w:val="00FB2607"/>
    <w:rsid w:val="00FB506D"/>
    <w:rsid w:val="00FB65D7"/>
    <w:rsid w:val="00FB73B3"/>
    <w:rsid w:val="00FC109B"/>
    <w:rsid w:val="00FC3343"/>
    <w:rsid w:val="00FC3380"/>
    <w:rsid w:val="00FC639F"/>
    <w:rsid w:val="00FD2798"/>
    <w:rsid w:val="00FD3863"/>
    <w:rsid w:val="00FD41A9"/>
    <w:rsid w:val="00FD4513"/>
    <w:rsid w:val="00FD5D6C"/>
    <w:rsid w:val="00FE20D9"/>
    <w:rsid w:val="00FE2307"/>
    <w:rsid w:val="00FF18B5"/>
    <w:rsid w:val="00FF3E16"/>
    <w:rsid w:val="00FF4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4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17"/>
    <w:pPr>
      <w:spacing w:after="0" w:line="240" w:lineRule="auto"/>
    </w:pPr>
    <w:rPr>
      <w:rFonts w:ascii="Times" w:eastAsia="Times New Roman" w:hAnsi="Times" w:cs="Times New Roman"/>
      <w:sz w:val="24"/>
      <w:szCs w:val="24"/>
      <w:lang w:eastAsia="en-AU"/>
    </w:rPr>
  </w:style>
  <w:style w:type="paragraph" w:styleId="Heading1">
    <w:name w:val="heading 1"/>
    <w:basedOn w:val="Normal"/>
    <w:next w:val="Normal"/>
    <w:link w:val="Heading1Char"/>
    <w:uiPriority w:val="9"/>
    <w:qFormat/>
    <w:rsid w:val="006A41CD"/>
    <w:pPr>
      <w:outlineLvl w:val="0"/>
    </w:pPr>
    <w:rPr>
      <w:rFonts w:ascii="Calibri" w:hAnsi="Calibri"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1017"/>
    <w:pPr>
      <w:tabs>
        <w:tab w:val="center" w:pos="4153"/>
        <w:tab w:val="right" w:pos="8306"/>
      </w:tabs>
      <w:overflowPunct w:val="0"/>
      <w:autoSpaceDE w:val="0"/>
      <w:autoSpaceDN w:val="0"/>
      <w:adjustRightInd w:val="0"/>
      <w:textAlignment w:val="baseline"/>
    </w:pPr>
    <w:rPr>
      <w:szCs w:val="20"/>
      <w:lang w:eastAsia="en-US"/>
    </w:rPr>
  </w:style>
  <w:style w:type="character" w:customStyle="1" w:styleId="HeaderChar">
    <w:name w:val="Header Char"/>
    <w:basedOn w:val="DefaultParagraphFont"/>
    <w:link w:val="Header"/>
    <w:rsid w:val="004F1017"/>
    <w:rPr>
      <w:rFonts w:ascii="Times" w:eastAsia="Times New Roman" w:hAnsi="Times" w:cs="Times New Roman"/>
      <w:sz w:val="24"/>
      <w:szCs w:val="20"/>
    </w:rPr>
  </w:style>
  <w:style w:type="paragraph" w:styleId="Footer">
    <w:name w:val="footer"/>
    <w:basedOn w:val="Normal"/>
    <w:link w:val="FooterChar"/>
    <w:uiPriority w:val="99"/>
    <w:rsid w:val="004F1017"/>
    <w:pPr>
      <w:tabs>
        <w:tab w:val="center" w:pos="4153"/>
        <w:tab w:val="right" w:pos="8306"/>
      </w:tabs>
    </w:pPr>
  </w:style>
  <w:style w:type="character" w:customStyle="1" w:styleId="FooterChar">
    <w:name w:val="Footer Char"/>
    <w:basedOn w:val="DefaultParagraphFont"/>
    <w:link w:val="Footer"/>
    <w:uiPriority w:val="99"/>
    <w:rsid w:val="004F1017"/>
    <w:rPr>
      <w:rFonts w:ascii="Times" w:eastAsia="Times New Roman" w:hAnsi="Times" w:cs="Times New Roman"/>
      <w:sz w:val="24"/>
      <w:szCs w:val="24"/>
    </w:rPr>
  </w:style>
  <w:style w:type="character" w:styleId="CommentReference">
    <w:name w:val="annotation reference"/>
    <w:rsid w:val="004F1017"/>
    <w:rPr>
      <w:sz w:val="16"/>
      <w:szCs w:val="16"/>
    </w:rPr>
  </w:style>
  <w:style w:type="paragraph" w:styleId="ListParagraph">
    <w:name w:val="List Paragraph"/>
    <w:aliases w:val="List Paragraph1,Recommendation,List Paragraph11"/>
    <w:basedOn w:val="Normal"/>
    <w:link w:val="ListParagraphChar"/>
    <w:uiPriority w:val="34"/>
    <w:qFormat/>
    <w:rsid w:val="004F1017"/>
    <w:pPr>
      <w:ind w:left="720"/>
    </w:pPr>
    <w:rPr>
      <w:rFonts w:ascii="Times New Roman" w:eastAsia="Calibri" w:hAnsi="Times New Roman"/>
    </w:rPr>
  </w:style>
  <w:style w:type="character" w:customStyle="1" w:styleId="ListParagraphChar">
    <w:name w:val="List Paragraph Char"/>
    <w:aliases w:val="List Paragraph1 Char,Recommendation Char,List Paragraph11 Char"/>
    <w:link w:val="ListParagraph"/>
    <w:uiPriority w:val="34"/>
    <w:rsid w:val="004F1017"/>
    <w:rPr>
      <w:rFonts w:ascii="Times New Roman" w:eastAsia="Calibri" w:hAnsi="Times New Roman" w:cs="Times New Roman"/>
      <w:sz w:val="24"/>
      <w:szCs w:val="24"/>
    </w:rPr>
  </w:style>
  <w:style w:type="paragraph" w:styleId="FootnoteText">
    <w:name w:val="footnote text"/>
    <w:basedOn w:val="Normal"/>
    <w:link w:val="FootnoteTextChar"/>
    <w:rsid w:val="004F1017"/>
    <w:rPr>
      <w:sz w:val="20"/>
      <w:szCs w:val="20"/>
    </w:rPr>
  </w:style>
  <w:style w:type="character" w:customStyle="1" w:styleId="FootnoteTextChar">
    <w:name w:val="Footnote Text Char"/>
    <w:basedOn w:val="DefaultParagraphFont"/>
    <w:link w:val="FootnoteText"/>
    <w:rsid w:val="004F1017"/>
    <w:rPr>
      <w:rFonts w:ascii="Times" w:eastAsia="Times New Roman" w:hAnsi="Times" w:cs="Times New Roman"/>
      <w:sz w:val="20"/>
      <w:szCs w:val="20"/>
      <w:lang w:eastAsia="en-AU"/>
    </w:rPr>
  </w:style>
  <w:style w:type="character" w:styleId="FootnoteReference">
    <w:name w:val="footnote reference"/>
    <w:basedOn w:val="DefaultParagraphFont"/>
    <w:rsid w:val="004F1017"/>
    <w:rPr>
      <w:vertAlign w:val="superscript"/>
    </w:rPr>
  </w:style>
  <w:style w:type="paragraph" w:styleId="BalloonText">
    <w:name w:val="Balloon Text"/>
    <w:basedOn w:val="Normal"/>
    <w:link w:val="BalloonTextChar"/>
    <w:uiPriority w:val="99"/>
    <w:semiHidden/>
    <w:unhideWhenUsed/>
    <w:rsid w:val="00352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5F4"/>
    <w:rPr>
      <w:rFonts w:ascii="Segoe UI" w:eastAsia="Times New Roman" w:hAnsi="Segoe UI" w:cs="Segoe UI"/>
      <w:sz w:val="18"/>
      <w:szCs w:val="18"/>
      <w:lang w:eastAsia="en-AU"/>
    </w:rPr>
  </w:style>
  <w:style w:type="paragraph" w:styleId="Revision">
    <w:name w:val="Revision"/>
    <w:hidden/>
    <w:uiPriority w:val="99"/>
    <w:semiHidden/>
    <w:rsid w:val="003525F4"/>
    <w:pPr>
      <w:spacing w:after="0" w:line="240" w:lineRule="auto"/>
    </w:pPr>
    <w:rPr>
      <w:rFonts w:ascii="Times" w:eastAsia="Times New Roman" w:hAnsi="Times" w:cs="Times New Roman"/>
      <w:sz w:val="24"/>
      <w:szCs w:val="24"/>
      <w:lang w:eastAsia="en-AU"/>
    </w:rPr>
  </w:style>
  <w:style w:type="paragraph" w:styleId="CommentText">
    <w:name w:val="annotation text"/>
    <w:basedOn w:val="Normal"/>
    <w:link w:val="CommentTextChar"/>
    <w:uiPriority w:val="99"/>
    <w:unhideWhenUsed/>
    <w:rsid w:val="0021483B"/>
    <w:rPr>
      <w:sz w:val="20"/>
      <w:szCs w:val="20"/>
    </w:rPr>
  </w:style>
  <w:style w:type="character" w:customStyle="1" w:styleId="CommentTextChar">
    <w:name w:val="Comment Text Char"/>
    <w:basedOn w:val="DefaultParagraphFont"/>
    <w:link w:val="CommentText"/>
    <w:uiPriority w:val="99"/>
    <w:rsid w:val="0021483B"/>
    <w:rPr>
      <w:rFonts w:ascii="Times" w:eastAsia="Times New Roman" w:hAnsi="Time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1483B"/>
    <w:rPr>
      <w:b/>
      <w:bCs/>
    </w:rPr>
  </w:style>
  <w:style w:type="character" w:customStyle="1" w:styleId="CommentSubjectChar">
    <w:name w:val="Comment Subject Char"/>
    <w:basedOn w:val="CommentTextChar"/>
    <w:link w:val="CommentSubject"/>
    <w:uiPriority w:val="99"/>
    <w:semiHidden/>
    <w:rsid w:val="0021483B"/>
    <w:rPr>
      <w:rFonts w:ascii="Times" w:eastAsia="Times New Roman" w:hAnsi="Times" w:cs="Times New Roman"/>
      <w:b/>
      <w:bCs/>
      <w:sz w:val="20"/>
      <w:szCs w:val="20"/>
      <w:lang w:eastAsia="en-AU"/>
    </w:rPr>
  </w:style>
  <w:style w:type="character" w:styleId="Hyperlink">
    <w:name w:val="Hyperlink"/>
    <w:basedOn w:val="DefaultParagraphFont"/>
    <w:uiPriority w:val="99"/>
    <w:unhideWhenUsed/>
    <w:rsid w:val="00A51B5B"/>
    <w:rPr>
      <w:color w:val="0000FF" w:themeColor="hyperlink"/>
      <w:u w:val="single"/>
    </w:rPr>
  </w:style>
  <w:style w:type="character" w:styleId="FollowedHyperlink">
    <w:name w:val="FollowedHyperlink"/>
    <w:basedOn w:val="DefaultParagraphFont"/>
    <w:uiPriority w:val="99"/>
    <w:semiHidden/>
    <w:unhideWhenUsed/>
    <w:rsid w:val="0074474F"/>
    <w:rPr>
      <w:color w:val="800080" w:themeColor="followedHyperlink"/>
      <w:u w:val="single"/>
    </w:rPr>
  </w:style>
  <w:style w:type="paragraph" w:customStyle="1" w:styleId="Default">
    <w:name w:val="Default"/>
    <w:rsid w:val="00874D4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6A41CD"/>
    <w:rPr>
      <w:rFonts w:ascii="Calibri" w:eastAsia="Times New Roman" w:hAnsi="Calibri" w:cs="Arial"/>
      <w:b/>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8315">
      <w:bodyDiv w:val="1"/>
      <w:marLeft w:val="0"/>
      <w:marRight w:val="0"/>
      <w:marTop w:val="0"/>
      <w:marBottom w:val="0"/>
      <w:divBdr>
        <w:top w:val="none" w:sz="0" w:space="0" w:color="auto"/>
        <w:left w:val="none" w:sz="0" w:space="0" w:color="auto"/>
        <w:bottom w:val="none" w:sz="0" w:space="0" w:color="auto"/>
        <w:right w:val="none" w:sz="0" w:space="0" w:color="auto"/>
      </w:divBdr>
    </w:div>
    <w:div w:id="42825925">
      <w:bodyDiv w:val="1"/>
      <w:marLeft w:val="0"/>
      <w:marRight w:val="0"/>
      <w:marTop w:val="0"/>
      <w:marBottom w:val="0"/>
      <w:divBdr>
        <w:top w:val="none" w:sz="0" w:space="0" w:color="auto"/>
        <w:left w:val="none" w:sz="0" w:space="0" w:color="auto"/>
        <w:bottom w:val="none" w:sz="0" w:space="0" w:color="auto"/>
        <w:right w:val="none" w:sz="0" w:space="0" w:color="auto"/>
      </w:divBdr>
    </w:div>
    <w:div w:id="63647339">
      <w:bodyDiv w:val="1"/>
      <w:marLeft w:val="0"/>
      <w:marRight w:val="0"/>
      <w:marTop w:val="0"/>
      <w:marBottom w:val="0"/>
      <w:divBdr>
        <w:top w:val="none" w:sz="0" w:space="0" w:color="auto"/>
        <w:left w:val="none" w:sz="0" w:space="0" w:color="auto"/>
        <w:bottom w:val="none" w:sz="0" w:space="0" w:color="auto"/>
        <w:right w:val="none" w:sz="0" w:space="0" w:color="auto"/>
      </w:divBdr>
    </w:div>
    <w:div w:id="167133863">
      <w:bodyDiv w:val="1"/>
      <w:marLeft w:val="0"/>
      <w:marRight w:val="0"/>
      <w:marTop w:val="0"/>
      <w:marBottom w:val="0"/>
      <w:divBdr>
        <w:top w:val="none" w:sz="0" w:space="0" w:color="auto"/>
        <w:left w:val="none" w:sz="0" w:space="0" w:color="auto"/>
        <w:bottom w:val="none" w:sz="0" w:space="0" w:color="auto"/>
        <w:right w:val="none" w:sz="0" w:space="0" w:color="auto"/>
      </w:divBdr>
    </w:div>
    <w:div w:id="242952847">
      <w:bodyDiv w:val="1"/>
      <w:marLeft w:val="0"/>
      <w:marRight w:val="0"/>
      <w:marTop w:val="0"/>
      <w:marBottom w:val="0"/>
      <w:divBdr>
        <w:top w:val="none" w:sz="0" w:space="0" w:color="auto"/>
        <w:left w:val="none" w:sz="0" w:space="0" w:color="auto"/>
        <w:bottom w:val="none" w:sz="0" w:space="0" w:color="auto"/>
        <w:right w:val="none" w:sz="0" w:space="0" w:color="auto"/>
      </w:divBdr>
    </w:div>
    <w:div w:id="361369302">
      <w:bodyDiv w:val="1"/>
      <w:marLeft w:val="0"/>
      <w:marRight w:val="0"/>
      <w:marTop w:val="0"/>
      <w:marBottom w:val="0"/>
      <w:divBdr>
        <w:top w:val="none" w:sz="0" w:space="0" w:color="auto"/>
        <w:left w:val="none" w:sz="0" w:space="0" w:color="auto"/>
        <w:bottom w:val="none" w:sz="0" w:space="0" w:color="auto"/>
        <w:right w:val="none" w:sz="0" w:space="0" w:color="auto"/>
      </w:divBdr>
    </w:div>
    <w:div w:id="390468297">
      <w:bodyDiv w:val="1"/>
      <w:marLeft w:val="0"/>
      <w:marRight w:val="0"/>
      <w:marTop w:val="0"/>
      <w:marBottom w:val="0"/>
      <w:divBdr>
        <w:top w:val="none" w:sz="0" w:space="0" w:color="auto"/>
        <w:left w:val="none" w:sz="0" w:space="0" w:color="auto"/>
        <w:bottom w:val="none" w:sz="0" w:space="0" w:color="auto"/>
        <w:right w:val="none" w:sz="0" w:space="0" w:color="auto"/>
      </w:divBdr>
    </w:div>
    <w:div w:id="422337296">
      <w:bodyDiv w:val="1"/>
      <w:marLeft w:val="0"/>
      <w:marRight w:val="0"/>
      <w:marTop w:val="0"/>
      <w:marBottom w:val="0"/>
      <w:divBdr>
        <w:top w:val="none" w:sz="0" w:space="0" w:color="auto"/>
        <w:left w:val="none" w:sz="0" w:space="0" w:color="auto"/>
        <w:bottom w:val="none" w:sz="0" w:space="0" w:color="auto"/>
        <w:right w:val="none" w:sz="0" w:space="0" w:color="auto"/>
      </w:divBdr>
    </w:div>
    <w:div w:id="528640548">
      <w:bodyDiv w:val="1"/>
      <w:marLeft w:val="0"/>
      <w:marRight w:val="0"/>
      <w:marTop w:val="0"/>
      <w:marBottom w:val="0"/>
      <w:divBdr>
        <w:top w:val="none" w:sz="0" w:space="0" w:color="auto"/>
        <w:left w:val="none" w:sz="0" w:space="0" w:color="auto"/>
        <w:bottom w:val="none" w:sz="0" w:space="0" w:color="auto"/>
        <w:right w:val="none" w:sz="0" w:space="0" w:color="auto"/>
      </w:divBdr>
    </w:div>
    <w:div w:id="576863948">
      <w:bodyDiv w:val="1"/>
      <w:marLeft w:val="0"/>
      <w:marRight w:val="0"/>
      <w:marTop w:val="0"/>
      <w:marBottom w:val="0"/>
      <w:divBdr>
        <w:top w:val="none" w:sz="0" w:space="0" w:color="auto"/>
        <w:left w:val="none" w:sz="0" w:space="0" w:color="auto"/>
        <w:bottom w:val="none" w:sz="0" w:space="0" w:color="auto"/>
        <w:right w:val="none" w:sz="0" w:space="0" w:color="auto"/>
      </w:divBdr>
    </w:div>
    <w:div w:id="588541689">
      <w:bodyDiv w:val="1"/>
      <w:marLeft w:val="0"/>
      <w:marRight w:val="0"/>
      <w:marTop w:val="0"/>
      <w:marBottom w:val="0"/>
      <w:divBdr>
        <w:top w:val="none" w:sz="0" w:space="0" w:color="auto"/>
        <w:left w:val="none" w:sz="0" w:space="0" w:color="auto"/>
        <w:bottom w:val="none" w:sz="0" w:space="0" w:color="auto"/>
        <w:right w:val="none" w:sz="0" w:space="0" w:color="auto"/>
      </w:divBdr>
    </w:div>
    <w:div w:id="634914365">
      <w:bodyDiv w:val="1"/>
      <w:marLeft w:val="0"/>
      <w:marRight w:val="0"/>
      <w:marTop w:val="0"/>
      <w:marBottom w:val="0"/>
      <w:divBdr>
        <w:top w:val="none" w:sz="0" w:space="0" w:color="auto"/>
        <w:left w:val="none" w:sz="0" w:space="0" w:color="auto"/>
        <w:bottom w:val="none" w:sz="0" w:space="0" w:color="auto"/>
        <w:right w:val="none" w:sz="0" w:space="0" w:color="auto"/>
      </w:divBdr>
    </w:div>
    <w:div w:id="635649948">
      <w:bodyDiv w:val="1"/>
      <w:marLeft w:val="0"/>
      <w:marRight w:val="0"/>
      <w:marTop w:val="0"/>
      <w:marBottom w:val="0"/>
      <w:divBdr>
        <w:top w:val="none" w:sz="0" w:space="0" w:color="auto"/>
        <w:left w:val="none" w:sz="0" w:space="0" w:color="auto"/>
        <w:bottom w:val="none" w:sz="0" w:space="0" w:color="auto"/>
        <w:right w:val="none" w:sz="0" w:space="0" w:color="auto"/>
      </w:divBdr>
    </w:div>
    <w:div w:id="788091453">
      <w:bodyDiv w:val="1"/>
      <w:marLeft w:val="0"/>
      <w:marRight w:val="0"/>
      <w:marTop w:val="0"/>
      <w:marBottom w:val="0"/>
      <w:divBdr>
        <w:top w:val="none" w:sz="0" w:space="0" w:color="auto"/>
        <w:left w:val="none" w:sz="0" w:space="0" w:color="auto"/>
        <w:bottom w:val="none" w:sz="0" w:space="0" w:color="auto"/>
        <w:right w:val="none" w:sz="0" w:space="0" w:color="auto"/>
      </w:divBdr>
    </w:div>
    <w:div w:id="803305004">
      <w:bodyDiv w:val="1"/>
      <w:marLeft w:val="0"/>
      <w:marRight w:val="0"/>
      <w:marTop w:val="0"/>
      <w:marBottom w:val="0"/>
      <w:divBdr>
        <w:top w:val="none" w:sz="0" w:space="0" w:color="auto"/>
        <w:left w:val="none" w:sz="0" w:space="0" w:color="auto"/>
        <w:bottom w:val="none" w:sz="0" w:space="0" w:color="auto"/>
        <w:right w:val="none" w:sz="0" w:space="0" w:color="auto"/>
      </w:divBdr>
    </w:div>
    <w:div w:id="835271539">
      <w:bodyDiv w:val="1"/>
      <w:marLeft w:val="0"/>
      <w:marRight w:val="0"/>
      <w:marTop w:val="0"/>
      <w:marBottom w:val="0"/>
      <w:divBdr>
        <w:top w:val="none" w:sz="0" w:space="0" w:color="auto"/>
        <w:left w:val="none" w:sz="0" w:space="0" w:color="auto"/>
        <w:bottom w:val="none" w:sz="0" w:space="0" w:color="auto"/>
        <w:right w:val="none" w:sz="0" w:space="0" w:color="auto"/>
      </w:divBdr>
    </w:div>
    <w:div w:id="844906183">
      <w:bodyDiv w:val="1"/>
      <w:marLeft w:val="0"/>
      <w:marRight w:val="0"/>
      <w:marTop w:val="0"/>
      <w:marBottom w:val="0"/>
      <w:divBdr>
        <w:top w:val="none" w:sz="0" w:space="0" w:color="auto"/>
        <w:left w:val="none" w:sz="0" w:space="0" w:color="auto"/>
        <w:bottom w:val="none" w:sz="0" w:space="0" w:color="auto"/>
        <w:right w:val="none" w:sz="0" w:space="0" w:color="auto"/>
      </w:divBdr>
    </w:div>
    <w:div w:id="883179722">
      <w:bodyDiv w:val="1"/>
      <w:marLeft w:val="0"/>
      <w:marRight w:val="0"/>
      <w:marTop w:val="0"/>
      <w:marBottom w:val="0"/>
      <w:divBdr>
        <w:top w:val="none" w:sz="0" w:space="0" w:color="auto"/>
        <w:left w:val="none" w:sz="0" w:space="0" w:color="auto"/>
        <w:bottom w:val="none" w:sz="0" w:space="0" w:color="auto"/>
        <w:right w:val="none" w:sz="0" w:space="0" w:color="auto"/>
      </w:divBdr>
    </w:div>
    <w:div w:id="893076622">
      <w:bodyDiv w:val="1"/>
      <w:marLeft w:val="0"/>
      <w:marRight w:val="0"/>
      <w:marTop w:val="0"/>
      <w:marBottom w:val="0"/>
      <w:divBdr>
        <w:top w:val="none" w:sz="0" w:space="0" w:color="auto"/>
        <w:left w:val="none" w:sz="0" w:space="0" w:color="auto"/>
        <w:bottom w:val="none" w:sz="0" w:space="0" w:color="auto"/>
        <w:right w:val="none" w:sz="0" w:space="0" w:color="auto"/>
      </w:divBdr>
    </w:div>
    <w:div w:id="917330460">
      <w:bodyDiv w:val="1"/>
      <w:marLeft w:val="0"/>
      <w:marRight w:val="0"/>
      <w:marTop w:val="0"/>
      <w:marBottom w:val="0"/>
      <w:divBdr>
        <w:top w:val="none" w:sz="0" w:space="0" w:color="auto"/>
        <w:left w:val="none" w:sz="0" w:space="0" w:color="auto"/>
        <w:bottom w:val="none" w:sz="0" w:space="0" w:color="auto"/>
        <w:right w:val="none" w:sz="0" w:space="0" w:color="auto"/>
      </w:divBdr>
    </w:div>
    <w:div w:id="936139814">
      <w:bodyDiv w:val="1"/>
      <w:marLeft w:val="0"/>
      <w:marRight w:val="0"/>
      <w:marTop w:val="0"/>
      <w:marBottom w:val="0"/>
      <w:divBdr>
        <w:top w:val="none" w:sz="0" w:space="0" w:color="auto"/>
        <w:left w:val="none" w:sz="0" w:space="0" w:color="auto"/>
        <w:bottom w:val="none" w:sz="0" w:space="0" w:color="auto"/>
        <w:right w:val="none" w:sz="0" w:space="0" w:color="auto"/>
      </w:divBdr>
    </w:div>
    <w:div w:id="942229720">
      <w:bodyDiv w:val="1"/>
      <w:marLeft w:val="0"/>
      <w:marRight w:val="0"/>
      <w:marTop w:val="0"/>
      <w:marBottom w:val="0"/>
      <w:divBdr>
        <w:top w:val="none" w:sz="0" w:space="0" w:color="auto"/>
        <w:left w:val="none" w:sz="0" w:space="0" w:color="auto"/>
        <w:bottom w:val="none" w:sz="0" w:space="0" w:color="auto"/>
        <w:right w:val="none" w:sz="0" w:space="0" w:color="auto"/>
      </w:divBdr>
    </w:div>
    <w:div w:id="1069764350">
      <w:bodyDiv w:val="1"/>
      <w:marLeft w:val="0"/>
      <w:marRight w:val="0"/>
      <w:marTop w:val="0"/>
      <w:marBottom w:val="0"/>
      <w:divBdr>
        <w:top w:val="none" w:sz="0" w:space="0" w:color="auto"/>
        <w:left w:val="none" w:sz="0" w:space="0" w:color="auto"/>
        <w:bottom w:val="none" w:sz="0" w:space="0" w:color="auto"/>
        <w:right w:val="none" w:sz="0" w:space="0" w:color="auto"/>
      </w:divBdr>
    </w:div>
    <w:div w:id="1091194130">
      <w:bodyDiv w:val="1"/>
      <w:marLeft w:val="0"/>
      <w:marRight w:val="0"/>
      <w:marTop w:val="0"/>
      <w:marBottom w:val="0"/>
      <w:divBdr>
        <w:top w:val="none" w:sz="0" w:space="0" w:color="auto"/>
        <w:left w:val="none" w:sz="0" w:space="0" w:color="auto"/>
        <w:bottom w:val="none" w:sz="0" w:space="0" w:color="auto"/>
        <w:right w:val="none" w:sz="0" w:space="0" w:color="auto"/>
      </w:divBdr>
    </w:div>
    <w:div w:id="1095790071">
      <w:bodyDiv w:val="1"/>
      <w:marLeft w:val="0"/>
      <w:marRight w:val="0"/>
      <w:marTop w:val="0"/>
      <w:marBottom w:val="0"/>
      <w:divBdr>
        <w:top w:val="none" w:sz="0" w:space="0" w:color="auto"/>
        <w:left w:val="none" w:sz="0" w:space="0" w:color="auto"/>
        <w:bottom w:val="none" w:sz="0" w:space="0" w:color="auto"/>
        <w:right w:val="none" w:sz="0" w:space="0" w:color="auto"/>
      </w:divBdr>
    </w:div>
    <w:div w:id="1126587519">
      <w:bodyDiv w:val="1"/>
      <w:marLeft w:val="0"/>
      <w:marRight w:val="0"/>
      <w:marTop w:val="0"/>
      <w:marBottom w:val="0"/>
      <w:divBdr>
        <w:top w:val="none" w:sz="0" w:space="0" w:color="auto"/>
        <w:left w:val="none" w:sz="0" w:space="0" w:color="auto"/>
        <w:bottom w:val="none" w:sz="0" w:space="0" w:color="auto"/>
        <w:right w:val="none" w:sz="0" w:space="0" w:color="auto"/>
      </w:divBdr>
    </w:div>
    <w:div w:id="1179545278">
      <w:bodyDiv w:val="1"/>
      <w:marLeft w:val="0"/>
      <w:marRight w:val="0"/>
      <w:marTop w:val="0"/>
      <w:marBottom w:val="0"/>
      <w:divBdr>
        <w:top w:val="none" w:sz="0" w:space="0" w:color="auto"/>
        <w:left w:val="none" w:sz="0" w:space="0" w:color="auto"/>
        <w:bottom w:val="none" w:sz="0" w:space="0" w:color="auto"/>
        <w:right w:val="none" w:sz="0" w:space="0" w:color="auto"/>
      </w:divBdr>
    </w:div>
    <w:div w:id="1180856336">
      <w:bodyDiv w:val="1"/>
      <w:marLeft w:val="0"/>
      <w:marRight w:val="0"/>
      <w:marTop w:val="0"/>
      <w:marBottom w:val="0"/>
      <w:divBdr>
        <w:top w:val="none" w:sz="0" w:space="0" w:color="auto"/>
        <w:left w:val="none" w:sz="0" w:space="0" w:color="auto"/>
        <w:bottom w:val="none" w:sz="0" w:space="0" w:color="auto"/>
        <w:right w:val="none" w:sz="0" w:space="0" w:color="auto"/>
      </w:divBdr>
    </w:div>
    <w:div w:id="1259872055">
      <w:bodyDiv w:val="1"/>
      <w:marLeft w:val="0"/>
      <w:marRight w:val="0"/>
      <w:marTop w:val="0"/>
      <w:marBottom w:val="0"/>
      <w:divBdr>
        <w:top w:val="none" w:sz="0" w:space="0" w:color="auto"/>
        <w:left w:val="none" w:sz="0" w:space="0" w:color="auto"/>
        <w:bottom w:val="none" w:sz="0" w:space="0" w:color="auto"/>
        <w:right w:val="none" w:sz="0" w:space="0" w:color="auto"/>
      </w:divBdr>
    </w:div>
    <w:div w:id="1274626429">
      <w:bodyDiv w:val="1"/>
      <w:marLeft w:val="0"/>
      <w:marRight w:val="0"/>
      <w:marTop w:val="0"/>
      <w:marBottom w:val="0"/>
      <w:divBdr>
        <w:top w:val="none" w:sz="0" w:space="0" w:color="auto"/>
        <w:left w:val="none" w:sz="0" w:space="0" w:color="auto"/>
        <w:bottom w:val="none" w:sz="0" w:space="0" w:color="auto"/>
        <w:right w:val="none" w:sz="0" w:space="0" w:color="auto"/>
      </w:divBdr>
    </w:div>
    <w:div w:id="1334986698">
      <w:bodyDiv w:val="1"/>
      <w:marLeft w:val="0"/>
      <w:marRight w:val="0"/>
      <w:marTop w:val="0"/>
      <w:marBottom w:val="0"/>
      <w:divBdr>
        <w:top w:val="none" w:sz="0" w:space="0" w:color="auto"/>
        <w:left w:val="none" w:sz="0" w:space="0" w:color="auto"/>
        <w:bottom w:val="none" w:sz="0" w:space="0" w:color="auto"/>
        <w:right w:val="none" w:sz="0" w:space="0" w:color="auto"/>
      </w:divBdr>
    </w:div>
    <w:div w:id="1454011427">
      <w:bodyDiv w:val="1"/>
      <w:marLeft w:val="0"/>
      <w:marRight w:val="0"/>
      <w:marTop w:val="0"/>
      <w:marBottom w:val="0"/>
      <w:divBdr>
        <w:top w:val="none" w:sz="0" w:space="0" w:color="auto"/>
        <w:left w:val="none" w:sz="0" w:space="0" w:color="auto"/>
        <w:bottom w:val="none" w:sz="0" w:space="0" w:color="auto"/>
        <w:right w:val="none" w:sz="0" w:space="0" w:color="auto"/>
      </w:divBdr>
    </w:div>
    <w:div w:id="1490554733">
      <w:bodyDiv w:val="1"/>
      <w:marLeft w:val="0"/>
      <w:marRight w:val="0"/>
      <w:marTop w:val="0"/>
      <w:marBottom w:val="0"/>
      <w:divBdr>
        <w:top w:val="none" w:sz="0" w:space="0" w:color="auto"/>
        <w:left w:val="none" w:sz="0" w:space="0" w:color="auto"/>
        <w:bottom w:val="none" w:sz="0" w:space="0" w:color="auto"/>
        <w:right w:val="none" w:sz="0" w:space="0" w:color="auto"/>
      </w:divBdr>
    </w:div>
    <w:div w:id="1516116072">
      <w:bodyDiv w:val="1"/>
      <w:marLeft w:val="0"/>
      <w:marRight w:val="0"/>
      <w:marTop w:val="0"/>
      <w:marBottom w:val="0"/>
      <w:divBdr>
        <w:top w:val="none" w:sz="0" w:space="0" w:color="auto"/>
        <w:left w:val="none" w:sz="0" w:space="0" w:color="auto"/>
        <w:bottom w:val="none" w:sz="0" w:space="0" w:color="auto"/>
        <w:right w:val="none" w:sz="0" w:space="0" w:color="auto"/>
      </w:divBdr>
    </w:div>
    <w:div w:id="1567230099">
      <w:bodyDiv w:val="1"/>
      <w:marLeft w:val="0"/>
      <w:marRight w:val="0"/>
      <w:marTop w:val="0"/>
      <w:marBottom w:val="0"/>
      <w:divBdr>
        <w:top w:val="none" w:sz="0" w:space="0" w:color="auto"/>
        <w:left w:val="none" w:sz="0" w:space="0" w:color="auto"/>
        <w:bottom w:val="none" w:sz="0" w:space="0" w:color="auto"/>
        <w:right w:val="none" w:sz="0" w:space="0" w:color="auto"/>
      </w:divBdr>
    </w:div>
    <w:div w:id="1620260369">
      <w:bodyDiv w:val="1"/>
      <w:marLeft w:val="0"/>
      <w:marRight w:val="0"/>
      <w:marTop w:val="0"/>
      <w:marBottom w:val="0"/>
      <w:divBdr>
        <w:top w:val="none" w:sz="0" w:space="0" w:color="auto"/>
        <w:left w:val="none" w:sz="0" w:space="0" w:color="auto"/>
        <w:bottom w:val="none" w:sz="0" w:space="0" w:color="auto"/>
        <w:right w:val="none" w:sz="0" w:space="0" w:color="auto"/>
      </w:divBdr>
    </w:div>
    <w:div w:id="1738896520">
      <w:bodyDiv w:val="1"/>
      <w:marLeft w:val="0"/>
      <w:marRight w:val="0"/>
      <w:marTop w:val="0"/>
      <w:marBottom w:val="0"/>
      <w:divBdr>
        <w:top w:val="none" w:sz="0" w:space="0" w:color="auto"/>
        <w:left w:val="none" w:sz="0" w:space="0" w:color="auto"/>
        <w:bottom w:val="none" w:sz="0" w:space="0" w:color="auto"/>
        <w:right w:val="none" w:sz="0" w:space="0" w:color="auto"/>
      </w:divBdr>
    </w:div>
    <w:div w:id="1739664341">
      <w:bodyDiv w:val="1"/>
      <w:marLeft w:val="0"/>
      <w:marRight w:val="0"/>
      <w:marTop w:val="0"/>
      <w:marBottom w:val="0"/>
      <w:divBdr>
        <w:top w:val="none" w:sz="0" w:space="0" w:color="auto"/>
        <w:left w:val="none" w:sz="0" w:space="0" w:color="auto"/>
        <w:bottom w:val="none" w:sz="0" w:space="0" w:color="auto"/>
        <w:right w:val="none" w:sz="0" w:space="0" w:color="auto"/>
      </w:divBdr>
    </w:div>
    <w:div w:id="1862088426">
      <w:bodyDiv w:val="1"/>
      <w:marLeft w:val="0"/>
      <w:marRight w:val="0"/>
      <w:marTop w:val="0"/>
      <w:marBottom w:val="0"/>
      <w:divBdr>
        <w:top w:val="none" w:sz="0" w:space="0" w:color="auto"/>
        <w:left w:val="none" w:sz="0" w:space="0" w:color="auto"/>
        <w:bottom w:val="none" w:sz="0" w:space="0" w:color="auto"/>
        <w:right w:val="none" w:sz="0" w:space="0" w:color="auto"/>
      </w:divBdr>
    </w:div>
    <w:div w:id="1978678585">
      <w:bodyDiv w:val="1"/>
      <w:marLeft w:val="0"/>
      <w:marRight w:val="0"/>
      <w:marTop w:val="0"/>
      <w:marBottom w:val="0"/>
      <w:divBdr>
        <w:top w:val="none" w:sz="0" w:space="0" w:color="auto"/>
        <w:left w:val="none" w:sz="0" w:space="0" w:color="auto"/>
        <w:bottom w:val="none" w:sz="0" w:space="0" w:color="auto"/>
        <w:right w:val="none" w:sz="0" w:space="0" w:color="auto"/>
      </w:divBdr>
    </w:div>
    <w:div w:id="2027974335">
      <w:bodyDiv w:val="1"/>
      <w:marLeft w:val="0"/>
      <w:marRight w:val="0"/>
      <w:marTop w:val="0"/>
      <w:marBottom w:val="0"/>
      <w:divBdr>
        <w:top w:val="none" w:sz="0" w:space="0" w:color="auto"/>
        <w:left w:val="none" w:sz="0" w:space="0" w:color="auto"/>
        <w:bottom w:val="none" w:sz="0" w:space="0" w:color="auto"/>
        <w:right w:val="none" w:sz="0" w:space="0" w:color="auto"/>
      </w:divBdr>
    </w:div>
    <w:div w:id="2041469753">
      <w:bodyDiv w:val="1"/>
      <w:marLeft w:val="0"/>
      <w:marRight w:val="0"/>
      <w:marTop w:val="0"/>
      <w:marBottom w:val="0"/>
      <w:divBdr>
        <w:top w:val="none" w:sz="0" w:space="0" w:color="auto"/>
        <w:left w:val="none" w:sz="0" w:space="0" w:color="auto"/>
        <w:bottom w:val="none" w:sz="0" w:space="0" w:color="auto"/>
        <w:right w:val="none" w:sz="0" w:space="0" w:color="auto"/>
      </w:divBdr>
    </w:div>
    <w:div w:id="2047950451">
      <w:bodyDiv w:val="1"/>
      <w:marLeft w:val="0"/>
      <w:marRight w:val="0"/>
      <w:marTop w:val="0"/>
      <w:marBottom w:val="0"/>
      <w:divBdr>
        <w:top w:val="none" w:sz="0" w:space="0" w:color="auto"/>
        <w:left w:val="none" w:sz="0" w:space="0" w:color="auto"/>
        <w:bottom w:val="none" w:sz="0" w:space="0" w:color="auto"/>
        <w:right w:val="none" w:sz="0" w:space="0" w:color="auto"/>
      </w:divBdr>
    </w:div>
    <w:div w:id="2064404016">
      <w:bodyDiv w:val="1"/>
      <w:marLeft w:val="0"/>
      <w:marRight w:val="0"/>
      <w:marTop w:val="0"/>
      <w:marBottom w:val="0"/>
      <w:divBdr>
        <w:top w:val="none" w:sz="0" w:space="0" w:color="auto"/>
        <w:left w:val="none" w:sz="0" w:space="0" w:color="auto"/>
        <w:bottom w:val="none" w:sz="0" w:space="0" w:color="auto"/>
        <w:right w:val="none" w:sz="0" w:space="0" w:color="auto"/>
      </w:divBdr>
    </w:div>
    <w:div w:id="213648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AA61B-0032-480F-B489-04EB0257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Incidents resolved by the National Biosecurity Management Consultative Committee (NBMCC) and the National Biosecurity Management Consultative Committee under the National Environmental Biosecurity Response Agreement (NEBRA) - 1 July 2019 to 30 June 2020</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Incidents resolved by the National Biosecurity Management Consultative Committee (NBMCC) and the National Biosecurity Management Consultative Committee under the National Environmental Biosecurity Response Agreement (NEBRA) - 1 July 2019 to 30 June 2020</dc:title>
  <dc:subject/>
  <dc:creator/>
  <cp:keywords/>
  <dc:description/>
  <cp:lastModifiedBy/>
  <cp:revision>1</cp:revision>
  <dcterms:created xsi:type="dcterms:W3CDTF">2020-12-15T03:28:00Z</dcterms:created>
  <dcterms:modified xsi:type="dcterms:W3CDTF">2020-12-15T03:45:00Z</dcterms:modified>
</cp:coreProperties>
</file>