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0C4DA" w14:textId="4D19F92A" w:rsidR="00E362EF" w:rsidRDefault="00E657AC" w:rsidP="00A16700">
      <w:pPr>
        <w:pStyle w:val="Heading1"/>
      </w:pPr>
      <w:r w:rsidRPr="00BD356F">
        <w:t xml:space="preserve">Independent </w:t>
      </w:r>
      <w:r w:rsidR="002815E6">
        <w:t>o</w:t>
      </w:r>
      <w:r w:rsidRPr="00BD356F">
        <w:t xml:space="preserve">bserver </w:t>
      </w:r>
      <w:r w:rsidR="00E167BA">
        <w:t>d</w:t>
      </w:r>
      <w:r w:rsidRPr="00BD356F">
        <w:t xml:space="preserve">eployment </w:t>
      </w:r>
      <w:r w:rsidR="00E167BA">
        <w:t>p</w:t>
      </w:r>
      <w:r w:rsidRPr="00BD356F">
        <w:t>olicy</w:t>
      </w:r>
    </w:p>
    <w:p w14:paraId="0A36C1AB" w14:textId="63380CB5" w:rsidR="000F3A3A" w:rsidRPr="000F3A3A" w:rsidRDefault="003B549B" w:rsidP="00326F94">
      <w:pPr>
        <w:pStyle w:val="Author"/>
      </w:pPr>
      <w:r w:rsidRPr="00A26001">
        <w:t>Live Animal Export Branch</w:t>
      </w:r>
    </w:p>
    <w:p w14:paraId="1B2F1DC8" w14:textId="3452A4BF" w:rsidR="00A65573" w:rsidRDefault="00C15138" w:rsidP="002B46BB">
      <w:pPr>
        <w:pStyle w:val="Heading2"/>
      </w:pPr>
      <w:r>
        <w:t>Purpose</w:t>
      </w:r>
    </w:p>
    <w:p w14:paraId="2CEE7582" w14:textId="26E3D86F" w:rsidR="00B37EFD" w:rsidRPr="00A26001" w:rsidRDefault="00B37EFD" w:rsidP="00B37EFD">
      <w:r w:rsidRPr="00A26001">
        <w:rPr>
          <w:lang w:eastAsia="ja-JP"/>
        </w:rPr>
        <w:t>This policy outlines the</w:t>
      </w:r>
      <w:r w:rsidR="00F81917">
        <w:rPr>
          <w:lang w:eastAsia="ja-JP"/>
        </w:rPr>
        <w:t xml:space="preserve"> </w:t>
      </w:r>
      <w:r w:rsidR="00062879">
        <w:rPr>
          <w:lang w:eastAsia="ja-JP"/>
        </w:rPr>
        <w:t xml:space="preserve">independent observer </w:t>
      </w:r>
      <w:r w:rsidR="007D57BE">
        <w:rPr>
          <w:lang w:eastAsia="ja-JP"/>
        </w:rPr>
        <w:t xml:space="preserve">deployment </w:t>
      </w:r>
      <w:r w:rsidR="00062879">
        <w:rPr>
          <w:lang w:eastAsia="ja-JP"/>
        </w:rPr>
        <w:t xml:space="preserve">requirements for </w:t>
      </w:r>
      <w:r w:rsidR="00062879" w:rsidRPr="00644D9F">
        <w:rPr>
          <w:lang w:eastAsia="ja-JP"/>
        </w:rPr>
        <w:t>livestock exports by sea</w:t>
      </w:r>
      <w:r w:rsidR="0035143B" w:rsidRPr="00EC0B73">
        <w:rPr>
          <w:lang w:eastAsia="ja-JP"/>
        </w:rPr>
        <w:t>.</w:t>
      </w:r>
      <w:r w:rsidR="0035143B">
        <w:rPr>
          <w:lang w:eastAsia="ja-JP"/>
        </w:rPr>
        <w:t xml:space="preserve"> </w:t>
      </w:r>
      <w:r w:rsidR="0035143B">
        <w:t>Deployment of observers provides the</w:t>
      </w:r>
      <w:r w:rsidR="004B3BAF">
        <w:t xml:space="preserve"> Department of Agriculture, Fisheries and Forestry</w:t>
      </w:r>
      <w:r w:rsidR="0034290E">
        <w:t>,</w:t>
      </w:r>
      <w:r w:rsidR="009A7459">
        <w:t xml:space="preserve"> as the</w:t>
      </w:r>
      <w:r w:rsidR="0035143B">
        <w:t xml:space="preserve"> regulator</w:t>
      </w:r>
      <w:r w:rsidR="0034290E">
        <w:t>,</w:t>
      </w:r>
      <w:r w:rsidR="0035143B">
        <w:t xml:space="preserve"> with an appropriate level of assurance in relation to exporter arrangements for livestock consignments exported by sea.</w:t>
      </w:r>
    </w:p>
    <w:p w14:paraId="34AB9AF9" w14:textId="4590A9B6" w:rsidR="00C15138" w:rsidRPr="006047C2" w:rsidRDefault="00B37EFD" w:rsidP="006047C2">
      <w:pPr>
        <w:pStyle w:val="Heading2"/>
      </w:pPr>
      <w:r w:rsidRPr="006047C2">
        <w:t>Scope</w:t>
      </w:r>
    </w:p>
    <w:p w14:paraId="465E9C30" w14:textId="5BAF8E75" w:rsidR="007C7A1B" w:rsidRDefault="004450D1" w:rsidP="00B37EFD">
      <w:pPr>
        <w:rPr>
          <w:lang w:eastAsia="ja-JP"/>
        </w:rPr>
      </w:pPr>
      <w:r>
        <w:rPr>
          <w:lang w:eastAsia="ja-JP"/>
        </w:rPr>
        <w:t>This policy applies to</w:t>
      </w:r>
      <w:r w:rsidR="00E30EB7">
        <w:rPr>
          <w:lang w:eastAsia="ja-JP"/>
        </w:rPr>
        <w:t xml:space="preserve"> exporters </w:t>
      </w:r>
      <w:r w:rsidR="00DB31D8">
        <w:rPr>
          <w:lang w:eastAsia="ja-JP"/>
        </w:rPr>
        <w:t xml:space="preserve">of livestock by sea. </w:t>
      </w:r>
      <w:r w:rsidR="004503FE">
        <w:rPr>
          <w:lang w:eastAsia="ja-JP"/>
        </w:rPr>
        <w:t>It</w:t>
      </w:r>
      <w:r w:rsidR="00D26260" w:rsidRPr="00D26260">
        <w:rPr>
          <w:lang w:eastAsia="ja-JP"/>
        </w:rPr>
        <w:t xml:space="preserve"> should be read in conjunction with relevant export legislation and standards listed under </w:t>
      </w:r>
      <w:hyperlink w:anchor="_Related_material" w:history="1">
        <w:r w:rsidR="00D26260" w:rsidRPr="009F4AE0">
          <w:rPr>
            <w:rStyle w:val="Hyperlink"/>
            <w:lang w:eastAsia="ja-JP"/>
          </w:rPr>
          <w:t>related</w:t>
        </w:r>
        <w:r w:rsidR="00904732">
          <w:rPr>
            <w:rStyle w:val="Hyperlink"/>
            <w:lang w:eastAsia="ja-JP"/>
          </w:rPr>
          <w:t xml:space="preserve"> </w:t>
        </w:r>
        <w:r w:rsidR="00D26260" w:rsidRPr="009F4AE0">
          <w:rPr>
            <w:rStyle w:val="Hyperlink"/>
            <w:lang w:eastAsia="ja-JP"/>
          </w:rPr>
          <w:t>material</w:t>
        </w:r>
      </w:hyperlink>
      <w:r w:rsidR="00D26260" w:rsidRPr="00D26260">
        <w:rPr>
          <w:lang w:eastAsia="ja-JP"/>
        </w:rPr>
        <w:t>.</w:t>
      </w:r>
    </w:p>
    <w:p w14:paraId="390F54DF" w14:textId="0F3199C9" w:rsidR="00646B63" w:rsidRDefault="00646B63" w:rsidP="00B37EFD">
      <w:pPr>
        <w:rPr>
          <w:lang w:eastAsia="ja-JP"/>
        </w:rPr>
      </w:pPr>
      <w:r>
        <w:rPr>
          <w:lang w:eastAsia="ja-JP"/>
        </w:rPr>
        <w:t xml:space="preserve">This policy will </w:t>
      </w:r>
      <w:r w:rsidR="00677289">
        <w:rPr>
          <w:lang w:eastAsia="ja-JP"/>
        </w:rPr>
        <w:t>come into effect</w:t>
      </w:r>
      <w:r>
        <w:rPr>
          <w:lang w:eastAsia="ja-JP"/>
        </w:rPr>
        <w:t xml:space="preserve"> from 1 July 2026.</w:t>
      </w:r>
    </w:p>
    <w:p w14:paraId="2D1287D6" w14:textId="0FE82D85" w:rsidR="00D657A5" w:rsidRPr="006047C2" w:rsidRDefault="00D657A5" w:rsidP="006047C2">
      <w:pPr>
        <w:pStyle w:val="Heading2"/>
      </w:pPr>
      <w:r w:rsidRPr="006047C2">
        <w:t xml:space="preserve">Role of </w:t>
      </w:r>
      <w:r w:rsidR="00CD57A0" w:rsidRPr="006047C2">
        <w:t>i</w:t>
      </w:r>
      <w:r w:rsidRPr="006047C2">
        <w:t xml:space="preserve">ndependent </w:t>
      </w:r>
      <w:r w:rsidR="00CD57A0" w:rsidRPr="006047C2">
        <w:t>o</w:t>
      </w:r>
      <w:r w:rsidRPr="006047C2">
        <w:t>bserver</w:t>
      </w:r>
      <w:r w:rsidR="00A649F9">
        <w:t>s</w:t>
      </w:r>
    </w:p>
    <w:p w14:paraId="72A116D6" w14:textId="58EFB937" w:rsidR="00636392" w:rsidRDefault="00A649F9" w:rsidP="001D500F">
      <w:r>
        <w:t>I</w:t>
      </w:r>
      <w:r w:rsidR="00BD356F" w:rsidRPr="006047C2">
        <w:t xml:space="preserve">ndependent </w:t>
      </w:r>
      <w:r w:rsidR="00637951" w:rsidRPr="006047C2">
        <w:t>o</w:t>
      </w:r>
      <w:r w:rsidR="00BD356F" w:rsidRPr="006047C2">
        <w:t>bserver</w:t>
      </w:r>
      <w:r>
        <w:t>s</w:t>
      </w:r>
      <w:r w:rsidR="00BD356F" w:rsidRPr="006047C2">
        <w:t xml:space="preserve"> </w:t>
      </w:r>
      <w:r w:rsidR="001078D3">
        <w:t xml:space="preserve">(observers) </w:t>
      </w:r>
      <w:r w:rsidR="00CC577E">
        <w:t>are authorised officers</w:t>
      </w:r>
      <w:r w:rsidR="006D37F2">
        <w:t xml:space="preserve"> </w:t>
      </w:r>
      <w:r w:rsidR="001D500F">
        <w:t xml:space="preserve">under the </w:t>
      </w:r>
      <w:r w:rsidR="001D500F" w:rsidRPr="007972DD">
        <w:rPr>
          <w:rStyle w:val="Emphasis"/>
        </w:rPr>
        <w:t>Export Control Act 2020</w:t>
      </w:r>
      <w:r w:rsidR="001D500F">
        <w:t>.</w:t>
      </w:r>
      <w:r w:rsidR="00BA4A4D">
        <w:t xml:space="preserve"> </w:t>
      </w:r>
      <w:r w:rsidR="00DB31D8">
        <w:t>S</w:t>
      </w:r>
      <w:r w:rsidR="001D500F">
        <w:t>ections 313 and 314 of this Act</w:t>
      </w:r>
      <w:r w:rsidR="00DB31D8">
        <w:t xml:space="preserve"> provide that the Secretary </w:t>
      </w:r>
      <w:r w:rsidR="001D500F">
        <w:t>may direct an authorised officer to carry out, monitor or review certain export operations.</w:t>
      </w:r>
    </w:p>
    <w:p w14:paraId="730AFF59" w14:textId="7CB2257C" w:rsidR="001D500F" w:rsidRDefault="002736F3" w:rsidP="001D500F">
      <w:r>
        <w:t>O</w:t>
      </w:r>
      <w:r w:rsidR="001D500F">
        <w:t>bserver</w:t>
      </w:r>
      <w:r w:rsidR="0027564A">
        <w:t>s</w:t>
      </w:r>
      <w:r w:rsidR="001D500F">
        <w:t xml:space="preserve"> will monitor, report and keep records on the:</w:t>
      </w:r>
    </w:p>
    <w:p w14:paraId="07F2F724" w14:textId="04C49CA2" w:rsidR="001D500F" w:rsidRDefault="001D500F" w:rsidP="001D500F">
      <w:pPr>
        <w:pStyle w:val="ListBullet"/>
      </w:pPr>
      <w:r>
        <w:t>implementation of individual exporter arrangements, and their effectiveness at managing animal health and welfare onboard livestock export vessels</w:t>
      </w:r>
    </w:p>
    <w:p w14:paraId="0EFFD2A8" w14:textId="4433F946" w:rsidR="001D500F" w:rsidRDefault="001D500F" w:rsidP="001D500F">
      <w:pPr>
        <w:pStyle w:val="ListBullet"/>
      </w:pPr>
      <w:r>
        <w:t>conditions of the voyage (including the condition of the vessel).</w:t>
      </w:r>
    </w:p>
    <w:p w14:paraId="4CDC2741" w14:textId="41A08A43" w:rsidR="000C084B" w:rsidRDefault="0080312A" w:rsidP="008F33E7">
      <w:r w:rsidRPr="0080312A">
        <w:t>Where an authorised officer (observer) is directed to undertake these activities</w:t>
      </w:r>
      <w:r w:rsidR="004E6EAA">
        <w:t xml:space="preserve"> for a particular</w:t>
      </w:r>
      <w:r w:rsidR="002D5ECA">
        <w:t xml:space="preserve"> livestock export consignment</w:t>
      </w:r>
      <w:r w:rsidRPr="0080312A">
        <w:t xml:space="preserve">, </w:t>
      </w:r>
      <w:r w:rsidR="00617A9B">
        <w:t xml:space="preserve">the </w:t>
      </w:r>
      <w:r w:rsidRPr="0080312A">
        <w:t xml:space="preserve">exporter must allow the observer to accompany the </w:t>
      </w:r>
      <w:r w:rsidR="00D54A70">
        <w:t>livestock</w:t>
      </w:r>
      <w:r w:rsidR="00B7227B">
        <w:t xml:space="preserve"> on the relevant voyage</w:t>
      </w:r>
      <w:r w:rsidRPr="0080312A">
        <w:t xml:space="preserve"> (subsection 9-49(2) of the Export Control (Animals) Rules 2021).</w:t>
      </w:r>
    </w:p>
    <w:p w14:paraId="264EE9EB" w14:textId="0CE98883" w:rsidR="00665BE5" w:rsidRDefault="001078D3" w:rsidP="006047C2">
      <w:r>
        <w:t xml:space="preserve">Observers </w:t>
      </w:r>
      <w:r w:rsidR="0046466F">
        <w:t xml:space="preserve">undertake assurance activities </w:t>
      </w:r>
      <w:r w:rsidR="00BD356F" w:rsidRPr="006047C2">
        <w:t>through observational reporting</w:t>
      </w:r>
      <w:r w:rsidR="00076FE3">
        <w:t xml:space="preserve">. </w:t>
      </w:r>
      <w:r w:rsidR="007B083D">
        <w:t xml:space="preserve">This </w:t>
      </w:r>
      <w:r w:rsidR="00076FE3">
        <w:t xml:space="preserve">reporting </w:t>
      </w:r>
      <w:r w:rsidR="00BD356F" w:rsidRPr="006047C2">
        <w:t>detail</w:t>
      </w:r>
      <w:r w:rsidR="003E6A40">
        <w:t xml:space="preserve">s </w:t>
      </w:r>
      <w:r w:rsidR="00BD356F" w:rsidRPr="006047C2">
        <w:t xml:space="preserve">issues </w:t>
      </w:r>
      <w:r w:rsidR="003866E3">
        <w:t xml:space="preserve">identified and </w:t>
      </w:r>
      <w:r>
        <w:t>the</w:t>
      </w:r>
      <w:r w:rsidR="003866E3">
        <w:t xml:space="preserve"> management or rectification of </w:t>
      </w:r>
      <w:r>
        <w:t>issues</w:t>
      </w:r>
      <w:r w:rsidR="002A2B9E">
        <w:t xml:space="preserve"> to determine</w:t>
      </w:r>
      <w:r w:rsidR="003866E3">
        <w:t xml:space="preserve"> </w:t>
      </w:r>
      <w:r w:rsidR="00076FE3">
        <w:t>whether the management or rectification</w:t>
      </w:r>
      <w:r w:rsidR="00BD356F" w:rsidRPr="006047C2">
        <w:t xml:space="preserve"> was in </w:t>
      </w:r>
      <w:r w:rsidR="00DB6E8D">
        <w:t>line</w:t>
      </w:r>
      <w:r w:rsidR="00DB6E8D" w:rsidRPr="006047C2">
        <w:t xml:space="preserve"> </w:t>
      </w:r>
      <w:r w:rsidR="00BD356F" w:rsidRPr="006047C2">
        <w:t>with the exporter’s documented arrangements.</w:t>
      </w:r>
    </w:p>
    <w:p w14:paraId="43FBF66C" w14:textId="50ECC503" w:rsidR="00A014D3" w:rsidRPr="006047C2" w:rsidRDefault="00533546" w:rsidP="006047C2">
      <w:r>
        <w:t>When deployed, o</w:t>
      </w:r>
      <w:r w:rsidR="00DA1FBC" w:rsidRPr="006047C2">
        <w:t>bservers provide important independent assurance over the voyage phase of the livestock export supply chain.</w:t>
      </w:r>
    </w:p>
    <w:p w14:paraId="016B1307" w14:textId="0DD48FB4" w:rsidR="00E362EF" w:rsidRPr="00BD356F" w:rsidRDefault="00960F66" w:rsidP="008670D4">
      <w:pPr>
        <w:pStyle w:val="Heading2"/>
      </w:pPr>
      <w:r>
        <w:lastRenderedPageBreak/>
        <w:t>O</w:t>
      </w:r>
      <w:r w:rsidR="00D76BF0">
        <w:t xml:space="preserve">bserver </w:t>
      </w:r>
      <w:r w:rsidR="00BD356F" w:rsidRPr="00BD356F">
        <w:t>deployment</w:t>
      </w:r>
      <w:r>
        <w:t xml:space="preserve"> streams</w:t>
      </w:r>
    </w:p>
    <w:p w14:paraId="212BFA63" w14:textId="385A8C6B" w:rsidR="00EB5299" w:rsidRPr="00910341" w:rsidRDefault="00735FB5" w:rsidP="00FB0612">
      <w:r w:rsidRPr="00FB0612">
        <w:t>Observer d</w:t>
      </w:r>
      <w:r w:rsidR="00BD356F" w:rsidRPr="00FB0612">
        <w:t>eployments occur under 2</w:t>
      </w:r>
      <w:r w:rsidR="00370AD1">
        <w:t> </w:t>
      </w:r>
      <w:r w:rsidR="00BD356F" w:rsidRPr="00FB0612">
        <w:t>streams</w:t>
      </w:r>
      <w:r w:rsidR="00EB5299" w:rsidRPr="00FB0612">
        <w:t>:</w:t>
      </w:r>
    </w:p>
    <w:p w14:paraId="642DCE8F" w14:textId="4783394C" w:rsidR="00026242" w:rsidRPr="00FB0612" w:rsidRDefault="00BC1894" w:rsidP="00FB0612">
      <w:pPr>
        <w:pStyle w:val="ListNumber"/>
      </w:pPr>
      <w:hyperlink w:anchor="_Routine_deployments_1" w:history="1">
        <w:r w:rsidRPr="00FB0612">
          <w:rPr>
            <w:rStyle w:val="Hyperlink"/>
          </w:rPr>
          <w:t>R</w:t>
        </w:r>
        <w:r w:rsidR="00EB5299" w:rsidRPr="00FB0612">
          <w:rPr>
            <w:rStyle w:val="Hyperlink"/>
          </w:rPr>
          <w:t>outin</w:t>
        </w:r>
        <w:r w:rsidR="00026242" w:rsidRPr="00FB0612">
          <w:rPr>
            <w:rStyle w:val="Hyperlink"/>
          </w:rPr>
          <w:t>e deployments</w:t>
        </w:r>
      </w:hyperlink>
      <w:r w:rsidR="000F5C3C" w:rsidRPr="00FB0612">
        <w:t xml:space="preserve">, </w:t>
      </w:r>
      <w:r w:rsidR="001F1E29" w:rsidRPr="00FB0612">
        <w:t xml:space="preserve">occurring </w:t>
      </w:r>
      <w:r w:rsidR="00752588">
        <w:t>each financial year</w:t>
      </w:r>
    </w:p>
    <w:p w14:paraId="03C5B542" w14:textId="48FEAB1B" w:rsidR="00E362EF" w:rsidRPr="00FB0612" w:rsidRDefault="00BC1894" w:rsidP="00FB0612">
      <w:pPr>
        <w:pStyle w:val="ListNumber"/>
      </w:pPr>
      <w:hyperlink w:anchor="_Routine_annual_deployments" w:history="1">
        <w:r w:rsidRPr="00FB0612">
          <w:rPr>
            <w:rStyle w:val="Hyperlink"/>
          </w:rPr>
          <w:t>T</w:t>
        </w:r>
        <w:r w:rsidR="00026242" w:rsidRPr="00FB0612">
          <w:rPr>
            <w:rStyle w:val="Hyperlink"/>
          </w:rPr>
          <w:t>argeted deployments</w:t>
        </w:r>
      </w:hyperlink>
      <w:r w:rsidR="00B70039" w:rsidRPr="00FB0612">
        <w:t>,</w:t>
      </w:r>
      <w:r w:rsidR="00700B7B" w:rsidRPr="00FB0612">
        <w:t xml:space="preserve"> </w:t>
      </w:r>
      <w:r w:rsidR="00960F66">
        <w:t xml:space="preserve">occurring on an </w:t>
      </w:r>
      <w:r w:rsidR="00960F66" w:rsidRPr="003B4F30">
        <w:rPr>
          <w:i/>
          <w:iCs/>
        </w:rPr>
        <w:t>ad hoc</w:t>
      </w:r>
      <w:r w:rsidR="00960F66">
        <w:t xml:space="preserve"> basis.</w:t>
      </w:r>
    </w:p>
    <w:p w14:paraId="3BA470A7" w14:textId="7E69A1B1" w:rsidR="00612195" w:rsidRPr="00FB0612" w:rsidRDefault="00612195" w:rsidP="00FB0612">
      <w:r w:rsidRPr="00FB0612">
        <w:t xml:space="preserve">Where practical, the department will </w:t>
      </w:r>
      <w:r w:rsidR="00DB31D8">
        <w:t>rotate observers between</w:t>
      </w:r>
      <w:r w:rsidRPr="00FB0612">
        <w:t xml:space="preserve"> exporters and </w:t>
      </w:r>
      <w:r w:rsidR="00DB31D8">
        <w:t xml:space="preserve">livestock </w:t>
      </w:r>
      <w:r w:rsidRPr="00FB0612">
        <w:t>species</w:t>
      </w:r>
      <w:r w:rsidR="00DB31D8">
        <w:t xml:space="preserve"> loaded</w:t>
      </w:r>
      <w:r w:rsidRPr="00FB0612">
        <w:t>.</w:t>
      </w:r>
    </w:p>
    <w:p w14:paraId="07D74EC8" w14:textId="1AFAB832" w:rsidR="00C7497D" w:rsidRPr="00C7497D" w:rsidRDefault="00C7497D" w:rsidP="003D48E5">
      <w:pPr>
        <w:pStyle w:val="Heading3"/>
      </w:pPr>
      <w:bookmarkStart w:id="0" w:name="_Routine_deployments_1"/>
      <w:bookmarkStart w:id="1" w:name="_Routine_annual_"/>
      <w:bookmarkStart w:id="2" w:name="_Hlk193359240"/>
      <w:bookmarkEnd w:id="0"/>
      <w:bookmarkEnd w:id="1"/>
      <w:r w:rsidRPr="004676A7">
        <w:t>Routine</w:t>
      </w:r>
      <w:r w:rsidRPr="00C7497D">
        <w:t xml:space="preserve"> </w:t>
      </w:r>
      <w:bookmarkEnd w:id="2"/>
      <w:r w:rsidRPr="00C7497D">
        <w:t>deployments</w:t>
      </w:r>
    </w:p>
    <w:p w14:paraId="2A818F98" w14:textId="78B88D87" w:rsidR="007E0F84" w:rsidRPr="006047C2" w:rsidRDefault="00480079" w:rsidP="006047C2">
      <w:r w:rsidRPr="0019504D">
        <w:t xml:space="preserve">Each livestock exporter will have one </w:t>
      </w:r>
      <w:r w:rsidR="00705F52" w:rsidRPr="0019504D">
        <w:t>r</w:t>
      </w:r>
      <w:r w:rsidR="001078D3" w:rsidRPr="0019504D">
        <w:t>outine</w:t>
      </w:r>
      <w:r w:rsidR="00D40341" w:rsidRPr="0019504D">
        <w:t xml:space="preserve"> observer</w:t>
      </w:r>
      <w:r w:rsidR="004027BE" w:rsidRPr="0019504D">
        <w:t xml:space="preserve"> d</w:t>
      </w:r>
      <w:r w:rsidR="00C7497D" w:rsidRPr="0019504D">
        <w:t>eployment</w:t>
      </w:r>
      <w:r w:rsidR="005719B3" w:rsidRPr="0019504D">
        <w:t xml:space="preserve"> </w:t>
      </w:r>
      <w:r w:rsidR="001A052C" w:rsidRPr="0019504D">
        <w:t>each financial year</w:t>
      </w:r>
      <w:r w:rsidRPr="0019504D">
        <w:t>.</w:t>
      </w:r>
      <w:r w:rsidR="00FD5A58" w:rsidRPr="0019504D">
        <w:t xml:space="preserve"> Voyages for</w:t>
      </w:r>
      <w:r w:rsidR="00FD5A58">
        <w:t xml:space="preserve"> deployment will be </w:t>
      </w:r>
      <w:r w:rsidR="004C6F02">
        <w:t>prioritis</w:t>
      </w:r>
      <w:r w:rsidR="00FD5A58">
        <w:t xml:space="preserve">ed based on the </w:t>
      </w:r>
      <w:r w:rsidR="00A71D77">
        <w:t xml:space="preserve">highest </w:t>
      </w:r>
      <w:r w:rsidR="00FD5A58">
        <w:t xml:space="preserve">risk group of an exporter’s operations </w:t>
      </w:r>
      <w:r w:rsidR="00F74ECA">
        <w:t>as</w:t>
      </w:r>
      <w:r w:rsidR="0021686A">
        <w:t xml:space="preserve"> outlined </w:t>
      </w:r>
      <w:r w:rsidR="00F74ECA">
        <w:t xml:space="preserve">in </w:t>
      </w:r>
      <w:hyperlink w:anchor="Table_1" w:history="1">
        <w:r w:rsidR="00E7687F" w:rsidRPr="001F1E29">
          <w:rPr>
            <w:rStyle w:val="Hyperlink"/>
          </w:rPr>
          <w:t>Table</w:t>
        </w:r>
        <w:r w:rsidR="00904732">
          <w:rPr>
            <w:rStyle w:val="Hyperlink"/>
          </w:rPr>
          <w:t> </w:t>
        </w:r>
        <w:r w:rsidR="00E7687F" w:rsidRPr="001F1E29">
          <w:rPr>
            <w:rStyle w:val="Hyperlink"/>
          </w:rPr>
          <w:t>1</w:t>
        </w:r>
      </w:hyperlink>
      <w:r w:rsidR="00F74ECA">
        <w:t>.</w:t>
      </w:r>
    </w:p>
    <w:p w14:paraId="46F5EF6A" w14:textId="1346C3C4" w:rsidR="00830036" w:rsidRDefault="00B87388" w:rsidP="006047C2">
      <w:r w:rsidRPr="006047C2">
        <w:t xml:space="preserve">Routine </w:t>
      </w:r>
      <w:r w:rsidR="00C7497D" w:rsidRPr="006047C2">
        <w:t xml:space="preserve">deployments are not associated with </w:t>
      </w:r>
      <w:r w:rsidR="00CB3A9E" w:rsidRPr="006047C2">
        <w:t xml:space="preserve">exporter </w:t>
      </w:r>
      <w:r w:rsidR="00C7497D" w:rsidRPr="006047C2">
        <w:t xml:space="preserve">compliance </w:t>
      </w:r>
      <w:r w:rsidR="00CB1EDB" w:rsidRPr="006047C2">
        <w:t xml:space="preserve">or previous </w:t>
      </w:r>
      <w:r w:rsidR="00C7497D" w:rsidRPr="006047C2">
        <w:t>voyage</w:t>
      </w:r>
      <w:r w:rsidR="004B1135" w:rsidRPr="006047C2">
        <w:t xml:space="preserve">s with </w:t>
      </w:r>
      <w:r w:rsidR="00960F66">
        <w:t>adverse</w:t>
      </w:r>
      <w:r w:rsidR="00960F66" w:rsidRPr="006047C2">
        <w:t xml:space="preserve"> </w:t>
      </w:r>
      <w:r w:rsidR="00C7497D" w:rsidRPr="006047C2">
        <w:t>outcomes.</w:t>
      </w:r>
      <w:r w:rsidR="00583179">
        <w:t xml:space="preserve"> </w:t>
      </w:r>
      <w:bookmarkStart w:id="3" w:name="_Routine_deployments"/>
      <w:bookmarkEnd w:id="3"/>
      <w:r w:rsidR="00DD3CF8" w:rsidRPr="006047C2">
        <w:t>R</w:t>
      </w:r>
      <w:r w:rsidR="00830036" w:rsidRPr="006047C2">
        <w:t>outine deployments maintain oversight of all exporters</w:t>
      </w:r>
      <w:r w:rsidR="008B0B92" w:rsidRPr="006047C2">
        <w:t>.</w:t>
      </w:r>
    </w:p>
    <w:p w14:paraId="475CAD85" w14:textId="45A2F3A1" w:rsidR="003A499D" w:rsidRPr="00833BC7" w:rsidRDefault="003A499D" w:rsidP="00B3006A">
      <w:pPr>
        <w:pStyle w:val="TableHeading"/>
      </w:pPr>
      <w:bookmarkStart w:id="4" w:name="Table_1"/>
      <w:r w:rsidRPr="00326F94">
        <w:rPr>
          <w:sz w:val="22"/>
        </w:rPr>
        <w:t xml:space="preserve">Table </w:t>
      </w:r>
      <w:r w:rsidRPr="00326F94">
        <w:rPr>
          <w:sz w:val="22"/>
        </w:rPr>
        <w:fldChar w:fldCharType="begin"/>
      </w:r>
      <w:r w:rsidRPr="00326F94">
        <w:rPr>
          <w:sz w:val="22"/>
        </w:rPr>
        <w:instrText xml:space="preserve"> SEQ Table \* ARABIC </w:instrText>
      </w:r>
      <w:r w:rsidRPr="00326F94">
        <w:rPr>
          <w:sz w:val="22"/>
        </w:rPr>
        <w:fldChar w:fldCharType="separate"/>
      </w:r>
      <w:r>
        <w:rPr>
          <w:noProof/>
          <w:sz w:val="22"/>
        </w:rPr>
        <w:t>1</w:t>
      </w:r>
      <w:r w:rsidRPr="00326F94">
        <w:rPr>
          <w:sz w:val="22"/>
        </w:rPr>
        <w:fldChar w:fldCharType="end"/>
      </w:r>
      <w:bookmarkEnd w:id="4"/>
      <w:r w:rsidRPr="00326F94">
        <w:rPr>
          <w:sz w:val="22"/>
        </w:rPr>
        <w:t xml:space="preserve"> Routine deployment groups based on risk</w:t>
      </w:r>
    </w:p>
    <w:tbl>
      <w:tblPr>
        <w:tblpPr w:leftFromText="180" w:rightFromText="180" w:vertAnchor="text" w:horzAnchor="margin" w:tblpY="107"/>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1419"/>
        <w:gridCol w:w="7651"/>
      </w:tblGrid>
      <w:tr w:rsidR="003A499D" w:rsidRPr="004B7BA9" w14:paraId="1E73BDC6" w14:textId="77777777" w:rsidTr="00B3006A">
        <w:trPr>
          <w:cantSplit/>
          <w:tblHeader/>
        </w:trPr>
        <w:tc>
          <w:tcPr>
            <w:tcW w:w="782" w:type="pct"/>
            <w:tcMar>
              <w:left w:w="108" w:type="dxa"/>
              <w:right w:w="108" w:type="dxa"/>
            </w:tcMar>
          </w:tcPr>
          <w:p w14:paraId="3492AF60" w14:textId="77777777" w:rsidR="003A499D" w:rsidRPr="004B7BA9" w:rsidRDefault="003A499D" w:rsidP="0012714C">
            <w:pPr>
              <w:pStyle w:val="TableHeading"/>
            </w:pPr>
            <w:r>
              <w:t>Group</w:t>
            </w:r>
          </w:p>
        </w:tc>
        <w:tc>
          <w:tcPr>
            <w:tcW w:w="4218" w:type="pct"/>
            <w:tcMar>
              <w:left w:w="108" w:type="dxa"/>
              <w:right w:w="108" w:type="dxa"/>
            </w:tcMar>
          </w:tcPr>
          <w:p w14:paraId="7A5EB5DC" w14:textId="77777777" w:rsidR="003A499D" w:rsidRPr="004B7BA9" w:rsidRDefault="003A499D" w:rsidP="0012714C">
            <w:pPr>
              <w:pStyle w:val="TableHeading"/>
            </w:pPr>
            <w:r w:rsidRPr="004B7BA9">
              <w:t xml:space="preserve">Export arrangements </w:t>
            </w:r>
          </w:p>
        </w:tc>
      </w:tr>
      <w:tr w:rsidR="003A499D" w:rsidRPr="004B7BA9" w14:paraId="2732AFB0" w14:textId="77777777" w:rsidTr="00B3006A">
        <w:tc>
          <w:tcPr>
            <w:tcW w:w="782" w:type="pct"/>
            <w:tcMar>
              <w:left w:w="108" w:type="dxa"/>
              <w:right w:w="108" w:type="dxa"/>
            </w:tcMar>
          </w:tcPr>
          <w:p w14:paraId="59440A5A" w14:textId="45091419" w:rsidR="003A499D" w:rsidRPr="004B7BA9" w:rsidRDefault="003A499D" w:rsidP="0012714C">
            <w:pPr>
              <w:pStyle w:val="TableText"/>
            </w:pPr>
            <w:r>
              <w:t>Low</w:t>
            </w:r>
            <w:r w:rsidR="00E96261">
              <w:t>er</w:t>
            </w:r>
            <w:r>
              <w:t>-risk voyages (group 1)</w:t>
            </w:r>
          </w:p>
        </w:tc>
        <w:tc>
          <w:tcPr>
            <w:tcW w:w="4218" w:type="pct"/>
            <w:tcMar>
              <w:left w:w="108" w:type="dxa"/>
              <w:right w:w="108" w:type="dxa"/>
            </w:tcMar>
          </w:tcPr>
          <w:p w14:paraId="224E0C18" w14:textId="3C126D01" w:rsidR="003A499D" w:rsidRPr="004B7BA9" w:rsidRDefault="003A499D" w:rsidP="0012714C">
            <w:pPr>
              <w:pStyle w:val="TableText"/>
            </w:pPr>
            <w:r>
              <w:t>S</w:t>
            </w:r>
            <w:r w:rsidRPr="004B7BA9">
              <w:t xml:space="preserve">imple arrangements, </w:t>
            </w:r>
            <w:r w:rsidR="00B7343E">
              <w:t>involving</w:t>
            </w:r>
            <w:r w:rsidRPr="004B7BA9">
              <w:t xml:space="preserve"> cattle </w:t>
            </w:r>
            <w:r w:rsidR="001F1E29">
              <w:t>and/</w:t>
            </w:r>
            <w:r w:rsidRPr="004B7BA9">
              <w:t>or sheep on short</w:t>
            </w:r>
            <w:r>
              <w:t>-</w:t>
            </w:r>
            <w:r w:rsidRPr="004B7BA9">
              <w:t>haul voyages (</w:t>
            </w:r>
            <w:r>
              <w:t xml:space="preserve">less than </w:t>
            </w:r>
            <w:r w:rsidRPr="004B7BA9">
              <w:t>10</w:t>
            </w:r>
            <w:r w:rsidR="00904732">
              <w:t> </w:t>
            </w:r>
            <w:r w:rsidR="001C6430">
              <w:t>voyage</w:t>
            </w:r>
            <w:r w:rsidR="00904732">
              <w:t> </w:t>
            </w:r>
            <w:r w:rsidRPr="004B7BA9">
              <w:t>days) with</w:t>
            </w:r>
            <w:r>
              <w:t xml:space="preserve"> a</w:t>
            </w:r>
            <w:r w:rsidRPr="004B7BA9">
              <w:t xml:space="preserve"> single port discharge</w:t>
            </w:r>
            <w:r>
              <w:t>.</w:t>
            </w:r>
          </w:p>
        </w:tc>
      </w:tr>
      <w:tr w:rsidR="003A499D" w:rsidRPr="00664C39" w14:paraId="0E655DB6" w14:textId="77777777" w:rsidTr="00B3006A">
        <w:tc>
          <w:tcPr>
            <w:tcW w:w="782" w:type="pct"/>
            <w:tcMar>
              <w:left w:w="108" w:type="dxa"/>
              <w:right w:w="108" w:type="dxa"/>
            </w:tcMar>
          </w:tcPr>
          <w:p w14:paraId="5E8ACAE7" w14:textId="77777777" w:rsidR="003A499D" w:rsidRPr="00664C39" w:rsidRDefault="003A499D" w:rsidP="0012714C">
            <w:pPr>
              <w:pStyle w:val="TableText"/>
            </w:pPr>
            <w:r w:rsidRPr="00664C39">
              <w:t>Medium</w:t>
            </w:r>
            <w:r>
              <w:t>-</w:t>
            </w:r>
            <w:r w:rsidRPr="00664C39">
              <w:t>risk voyages</w:t>
            </w:r>
            <w:r>
              <w:t xml:space="preserve"> </w:t>
            </w:r>
            <w:r w:rsidRPr="00664C39">
              <w:t>(group</w:t>
            </w:r>
            <w:r>
              <w:t> </w:t>
            </w:r>
            <w:r w:rsidRPr="00664C39">
              <w:t>2)</w:t>
            </w:r>
          </w:p>
        </w:tc>
        <w:tc>
          <w:tcPr>
            <w:tcW w:w="4218" w:type="pct"/>
            <w:tcMar>
              <w:left w:w="108" w:type="dxa"/>
              <w:right w:w="108" w:type="dxa"/>
            </w:tcMar>
          </w:tcPr>
          <w:p w14:paraId="0D96E334" w14:textId="67B8F190" w:rsidR="003A499D" w:rsidRPr="00664C39" w:rsidRDefault="003A499D" w:rsidP="0012714C">
            <w:pPr>
              <w:pStyle w:val="TableText"/>
            </w:pPr>
            <w:r>
              <w:t>One or more of the</w:t>
            </w:r>
            <w:r w:rsidR="00701D1F">
              <w:t>se</w:t>
            </w:r>
            <w:r>
              <w:t xml:space="preserve"> </w:t>
            </w:r>
            <w:r w:rsidRPr="00664C39">
              <w:t>complex arrangements:</w:t>
            </w:r>
          </w:p>
          <w:p w14:paraId="7096E8DA" w14:textId="77777777" w:rsidR="003A499D" w:rsidRPr="00664C39" w:rsidRDefault="003A499D" w:rsidP="0012714C">
            <w:pPr>
              <w:pStyle w:val="TableBullet"/>
            </w:pPr>
            <w:r>
              <w:t xml:space="preserve">exporting </w:t>
            </w:r>
            <w:r w:rsidRPr="00664C39">
              <w:t>buffa</w:t>
            </w:r>
            <w:r w:rsidRPr="00ED09B3">
              <w:t>lo</w:t>
            </w:r>
          </w:p>
          <w:p w14:paraId="686FDE6A" w14:textId="1E830433" w:rsidR="003A499D" w:rsidRPr="00664C39" w:rsidRDefault="003A499D" w:rsidP="0012714C">
            <w:pPr>
              <w:pStyle w:val="TableBullet"/>
            </w:pPr>
            <w:r>
              <w:t xml:space="preserve">exporting </w:t>
            </w:r>
            <w:r w:rsidRPr="00664C39">
              <w:t>livestock requiring management plans</w:t>
            </w:r>
            <w:r w:rsidR="007E524F">
              <w:t xml:space="preserve"> </w:t>
            </w:r>
            <w:r w:rsidR="005D51C8" w:rsidRPr="00BB19B5">
              <w:t>applicable to the voyage</w:t>
            </w:r>
            <w:r w:rsidR="00FE1422">
              <w:t xml:space="preserve"> </w:t>
            </w:r>
            <w:r w:rsidRPr="00664C39">
              <w:t>(such as pregnant, horned or heavy cattle)</w:t>
            </w:r>
          </w:p>
          <w:p w14:paraId="26B48604" w14:textId="44516A0E" w:rsidR="003A499D" w:rsidRPr="00664C39" w:rsidRDefault="003A499D" w:rsidP="0012714C">
            <w:pPr>
              <w:pStyle w:val="TableBullet"/>
            </w:pPr>
            <w:r w:rsidRPr="00664C39">
              <w:t xml:space="preserve">long-haul </w:t>
            </w:r>
            <w:r w:rsidR="008D05DE">
              <w:t>voyages</w:t>
            </w:r>
            <w:r w:rsidR="008D05DE" w:rsidRPr="00664C39">
              <w:t xml:space="preserve"> </w:t>
            </w:r>
            <w:r w:rsidRPr="00664C39">
              <w:t>(10</w:t>
            </w:r>
            <w:r w:rsidR="00904732">
              <w:t> </w:t>
            </w:r>
            <w:r w:rsidR="001C6430">
              <w:t>voyage</w:t>
            </w:r>
            <w:r w:rsidR="00904732">
              <w:t> </w:t>
            </w:r>
            <w:r w:rsidRPr="00664C39">
              <w:t>days</w:t>
            </w:r>
            <w:r w:rsidR="00F65C30">
              <w:t xml:space="preserve"> or more</w:t>
            </w:r>
            <w:r w:rsidRPr="00664C39">
              <w:t>, but less than 31</w:t>
            </w:r>
            <w:r w:rsidR="00904732">
              <w:t> </w:t>
            </w:r>
            <w:r w:rsidR="001C6430">
              <w:t>voyage</w:t>
            </w:r>
            <w:r w:rsidR="00904732">
              <w:t> </w:t>
            </w:r>
            <w:r w:rsidRPr="00664C39">
              <w:t>days)</w:t>
            </w:r>
          </w:p>
          <w:p w14:paraId="76860471" w14:textId="4B50700C" w:rsidR="0080707A" w:rsidRPr="00664C39" w:rsidRDefault="003A499D" w:rsidP="005D51C8">
            <w:pPr>
              <w:pStyle w:val="TableBullet"/>
            </w:pPr>
            <w:r w:rsidRPr="00664C39">
              <w:t>multi-port discharge voyages.</w:t>
            </w:r>
          </w:p>
        </w:tc>
      </w:tr>
      <w:tr w:rsidR="003A499D" w:rsidRPr="00664C39" w14:paraId="2EFC1F8F" w14:textId="77777777" w:rsidTr="00B3006A">
        <w:tc>
          <w:tcPr>
            <w:tcW w:w="782" w:type="pct"/>
            <w:tcMar>
              <w:left w:w="108" w:type="dxa"/>
              <w:right w:w="108" w:type="dxa"/>
            </w:tcMar>
          </w:tcPr>
          <w:p w14:paraId="61C8CFEE" w14:textId="1066DCAD" w:rsidR="003A499D" w:rsidRDefault="003A499D" w:rsidP="0012714C">
            <w:pPr>
              <w:pStyle w:val="TableText"/>
            </w:pPr>
            <w:r>
              <w:t>High</w:t>
            </w:r>
            <w:r w:rsidR="00E96261">
              <w:t>er</w:t>
            </w:r>
            <w:r>
              <w:t>-risk</w:t>
            </w:r>
            <w:r w:rsidR="0080707A">
              <w:t xml:space="preserve"> voyages</w:t>
            </w:r>
          </w:p>
          <w:p w14:paraId="6FDDBBDE" w14:textId="6A3FA578" w:rsidR="003A499D" w:rsidRPr="00664C39" w:rsidRDefault="003A499D" w:rsidP="0012714C">
            <w:pPr>
              <w:pStyle w:val="TableText"/>
            </w:pPr>
            <w:r>
              <w:t>(group</w:t>
            </w:r>
            <w:r w:rsidR="00904732">
              <w:t> </w:t>
            </w:r>
            <w:r>
              <w:t>3)</w:t>
            </w:r>
          </w:p>
        </w:tc>
        <w:tc>
          <w:tcPr>
            <w:tcW w:w="4218" w:type="pct"/>
            <w:tcMar>
              <w:left w:w="108" w:type="dxa"/>
              <w:right w:w="108" w:type="dxa"/>
            </w:tcMar>
          </w:tcPr>
          <w:p w14:paraId="287D2EC2" w14:textId="074F5A5E" w:rsidR="003A499D" w:rsidRPr="00664C39" w:rsidRDefault="003A499D" w:rsidP="0012714C">
            <w:pPr>
              <w:pStyle w:val="TableText"/>
            </w:pPr>
            <w:r>
              <w:t>One or more of the</w:t>
            </w:r>
            <w:r w:rsidR="00632035">
              <w:t>se</w:t>
            </w:r>
            <w:r>
              <w:t xml:space="preserve"> </w:t>
            </w:r>
            <w:r w:rsidR="005D51C8">
              <w:t xml:space="preserve">more </w:t>
            </w:r>
            <w:r w:rsidRPr="00664C39">
              <w:t>complex arrangements:</w:t>
            </w:r>
          </w:p>
          <w:p w14:paraId="65778CBC" w14:textId="5896577E" w:rsidR="003A499D" w:rsidRPr="008D05DE" w:rsidRDefault="003A499D" w:rsidP="008D05DE">
            <w:pPr>
              <w:pStyle w:val="TableBullet"/>
            </w:pPr>
            <w:r w:rsidRPr="008D05DE">
              <w:t>extended long-haul voyages (31</w:t>
            </w:r>
            <w:r w:rsidR="00904732">
              <w:t> v</w:t>
            </w:r>
            <w:r w:rsidR="004A1974" w:rsidRPr="008D05DE">
              <w:t>oyage</w:t>
            </w:r>
            <w:r w:rsidR="00904732">
              <w:t> </w:t>
            </w:r>
            <w:r w:rsidRPr="008D05DE">
              <w:t>days or more)</w:t>
            </w:r>
          </w:p>
          <w:p w14:paraId="365EF458" w14:textId="4565CBBF" w:rsidR="003A499D" w:rsidRPr="008D05DE" w:rsidRDefault="003A499D" w:rsidP="008D05DE">
            <w:pPr>
              <w:pStyle w:val="TableBullet"/>
            </w:pPr>
            <w:r w:rsidRPr="008D05DE">
              <w:t>exports of sheep to and through the Middle East from 1</w:t>
            </w:r>
            <w:r w:rsidR="00904732">
              <w:t> </w:t>
            </w:r>
            <w:r w:rsidRPr="008D05DE">
              <w:t>May to 31</w:t>
            </w:r>
            <w:r w:rsidR="00904732">
              <w:t> </w:t>
            </w:r>
            <w:r w:rsidRPr="008D05DE">
              <w:t>October to which additional conditions apply</w:t>
            </w:r>
          </w:p>
          <w:p w14:paraId="273B74CA" w14:textId="2F61B5FC" w:rsidR="003A499D" w:rsidRDefault="003A499D" w:rsidP="008D05DE">
            <w:pPr>
              <w:pStyle w:val="TableBullet"/>
            </w:pPr>
            <w:r w:rsidRPr="008D05DE">
              <w:t>exports of high</w:t>
            </w:r>
            <w:r w:rsidR="006E3659">
              <w:t>er</w:t>
            </w:r>
            <w:r w:rsidRPr="008D05DE">
              <w:t>-risk livestock species where industry and departmental knowledge, information, and experience is currently limited. These species include camelids, deer and goats.</w:t>
            </w:r>
          </w:p>
        </w:tc>
      </w:tr>
    </w:tbl>
    <w:p w14:paraId="66DCD28E" w14:textId="3A38C269" w:rsidR="00830036" w:rsidRDefault="00830036" w:rsidP="005D51C8">
      <w:pPr>
        <w:spacing w:before="200"/>
      </w:pPr>
      <w:r w:rsidRPr="006047C2">
        <w:t>Where applicable to selecting voyages for routine deployment, the department might consider other voyage risk factors</w:t>
      </w:r>
      <w:r w:rsidR="00036AAD">
        <w:t>. These include</w:t>
      </w:r>
      <w:r w:rsidRPr="006047C2">
        <w:t xml:space="preserve"> loading ports and voyage </w:t>
      </w:r>
      <w:r w:rsidR="00873C45" w:rsidRPr="006047C2">
        <w:t xml:space="preserve">routes </w:t>
      </w:r>
      <w:r w:rsidRPr="006047C2">
        <w:t xml:space="preserve">that predispose the livestock to climatic and temperature extremes. For example, those departing from </w:t>
      </w:r>
      <w:r w:rsidR="00586EB8" w:rsidRPr="006047C2">
        <w:t xml:space="preserve">Australian </w:t>
      </w:r>
      <w:r w:rsidRPr="006047C2">
        <w:t>ports south of latitude</w:t>
      </w:r>
      <w:r w:rsidR="00904732">
        <w:t> </w:t>
      </w:r>
      <w:r w:rsidRPr="006047C2">
        <w:t>26</w:t>
      </w:r>
      <w:r w:rsidR="003F7D43">
        <w:t>°</w:t>
      </w:r>
      <w:r w:rsidR="00613859">
        <w:t>S</w:t>
      </w:r>
      <w:r w:rsidR="002958EB">
        <w:t> </w:t>
      </w:r>
      <w:r w:rsidRPr="006047C2">
        <w:t>and crossing the equator.</w:t>
      </w:r>
    </w:p>
    <w:p w14:paraId="279003EB" w14:textId="5677D98B" w:rsidR="00830036" w:rsidRPr="00830036" w:rsidRDefault="00830036" w:rsidP="00830036">
      <w:pPr>
        <w:pStyle w:val="Heading3"/>
      </w:pPr>
      <w:bookmarkStart w:id="5" w:name="_Routine_annual_deployments"/>
      <w:bookmarkStart w:id="6" w:name="Title_1"/>
      <w:bookmarkStart w:id="7" w:name="_Targeted_deployments"/>
      <w:bookmarkEnd w:id="5"/>
      <w:bookmarkEnd w:id="6"/>
      <w:bookmarkEnd w:id="7"/>
      <w:r w:rsidRPr="00830036">
        <w:t>Targeted deployments</w:t>
      </w:r>
    </w:p>
    <w:p w14:paraId="519189D1" w14:textId="68D1A926" w:rsidR="004676A7" w:rsidRDefault="003F4EC3" w:rsidP="00326F94">
      <w:r w:rsidRPr="005F3883">
        <w:t xml:space="preserve">Targeted deployments provide </w:t>
      </w:r>
      <w:r w:rsidR="00C7044D" w:rsidRPr="005F3883">
        <w:t xml:space="preserve">additional </w:t>
      </w:r>
      <w:r w:rsidRPr="005F3883">
        <w:t xml:space="preserve">oversight of exporter arrangements where </w:t>
      </w:r>
      <w:r w:rsidR="00376CCE" w:rsidRPr="005F3883">
        <w:t xml:space="preserve">the department </w:t>
      </w:r>
      <w:r w:rsidR="00C7044D" w:rsidRPr="005F3883">
        <w:t>considers it appropriate</w:t>
      </w:r>
      <w:r w:rsidRPr="005F3883">
        <w:t xml:space="preserve">. </w:t>
      </w:r>
      <w:r w:rsidR="004676A7" w:rsidRPr="005F3883">
        <w:t xml:space="preserve">These deployments occur on an </w:t>
      </w:r>
      <w:r w:rsidR="004676A7" w:rsidRPr="005F3883">
        <w:rPr>
          <w:i/>
          <w:iCs/>
        </w:rPr>
        <w:t>ad hoc</w:t>
      </w:r>
      <w:r w:rsidR="004676A7" w:rsidRPr="005F3883">
        <w:t xml:space="preserve"> basis.</w:t>
      </w:r>
    </w:p>
    <w:p w14:paraId="229F03C3" w14:textId="1E4EC5A6" w:rsidR="00C758E7" w:rsidRDefault="00830036" w:rsidP="00830036">
      <w:pPr>
        <w:spacing w:before="240" w:after="240"/>
      </w:pPr>
      <w:r w:rsidRPr="003D00CB">
        <w:t xml:space="preserve">Exporters </w:t>
      </w:r>
      <w:r>
        <w:t>may</w:t>
      </w:r>
      <w:r w:rsidRPr="003D00CB">
        <w:t xml:space="preserve"> </w:t>
      </w:r>
      <w:r w:rsidRPr="00A0518D">
        <w:t>be subject to targeted deployments</w:t>
      </w:r>
      <w:r w:rsidR="00103D93">
        <w:t>:</w:t>
      </w:r>
    </w:p>
    <w:p w14:paraId="789A6637" w14:textId="1C36E70B" w:rsidR="00700F0E" w:rsidRPr="009D1F6F" w:rsidRDefault="00083CB6" w:rsidP="00802554">
      <w:pPr>
        <w:pStyle w:val="ListBullet"/>
      </w:pPr>
      <w:r>
        <w:t>w</w:t>
      </w:r>
      <w:r w:rsidR="00CE6FA7">
        <w:t xml:space="preserve">here </w:t>
      </w:r>
      <w:r w:rsidR="00376CCE" w:rsidRPr="009D1F6F">
        <w:t xml:space="preserve">the department has identified </w:t>
      </w:r>
      <w:r w:rsidR="003E4B0A">
        <w:t xml:space="preserve">exporter </w:t>
      </w:r>
      <w:r w:rsidR="00376CCE" w:rsidRPr="009D1F6F">
        <w:t>non-compliance</w:t>
      </w:r>
    </w:p>
    <w:p w14:paraId="25817E0C" w14:textId="0EA6DBE4" w:rsidR="00CE6FA7" w:rsidRPr="009D1F6F" w:rsidRDefault="00700F0E" w:rsidP="00802554">
      <w:pPr>
        <w:pStyle w:val="ListBullet"/>
      </w:pPr>
      <w:r w:rsidRPr="009D1F6F">
        <w:lastRenderedPageBreak/>
        <w:t xml:space="preserve">where </w:t>
      </w:r>
      <w:r w:rsidR="00960F66">
        <w:t>adverse</w:t>
      </w:r>
      <w:r w:rsidR="00960F66" w:rsidRPr="009D1F6F">
        <w:t xml:space="preserve"> </w:t>
      </w:r>
      <w:r w:rsidR="00DB31D8">
        <w:t xml:space="preserve">welfare </w:t>
      </w:r>
      <w:r w:rsidR="00376CCE" w:rsidRPr="009D1F6F">
        <w:t xml:space="preserve">outcomes </w:t>
      </w:r>
      <w:r w:rsidR="00E00E21">
        <w:t xml:space="preserve">have been identified </w:t>
      </w:r>
      <w:r w:rsidR="00376CCE" w:rsidRPr="009D1F6F">
        <w:t>on a previous voyage</w:t>
      </w:r>
      <w:r w:rsidR="00EF210A">
        <w:t xml:space="preserve"> that may be related to an exporter’s</w:t>
      </w:r>
      <w:r w:rsidR="00A77315">
        <w:t xml:space="preserve"> on-board</w:t>
      </w:r>
      <w:r w:rsidR="00EF210A">
        <w:t xml:space="preserve"> </w:t>
      </w:r>
      <w:r w:rsidR="00EF210A" w:rsidRPr="00EF210A">
        <w:t>arrangements</w:t>
      </w:r>
    </w:p>
    <w:p w14:paraId="33518A9C" w14:textId="35956EA6" w:rsidR="00574022" w:rsidRPr="009D1F6F" w:rsidRDefault="00574022" w:rsidP="00802554">
      <w:pPr>
        <w:pStyle w:val="ListBullet"/>
      </w:pPr>
      <w:r w:rsidRPr="009D1F6F">
        <w:t>as a condition of granting an exemption to a legislative requirement</w:t>
      </w:r>
    </w:p>
    <w:p w14:paraId="6A84BF23" w14:textId="477975F8" w:rsidR="00830036" w:rsidRPr="009D1F6F" w:rsidRDefault="00610408" w:rsidP="00802554">
      <w:pPr>
        <w:pStyle w:val="ListBullet"/>
      </w:pPr>
      <w:r w:rsidRPr="009D1F6F">
        <w:t xml:space="preserve">on </w:t>
      </w:r>
      <w:r w:rsidR="009A77BB" w:rsidRPr="009D1F6F">
        <w:t>an</w:t>
      </w:r>
      <w:r w:rsidR="00A90434" w:rsidRPr="009D1F6F">
        <w:t xml:space="preserve"> exporter’s </w:t>
      </w:r>
      <w:r w:rsidR="00D80B4D" w:rsidRPr="009D1F6F">
        <w:t xml:space="preserve">first voyage </w:t>
      </w:r>
      <w:r w:rsidR="003936CB" w:rsidRPr="009D1F6F">
        <w:t xml:space="preserve">by sea </w:t>
      </w:r>
      <w:r w:rsidR="00D80B4D" w:rsidRPr="009D1F6F">
        <w:t>or the first voyage for a given vessel</w:t>
      </w:r>
    </w:p>
    <w:p w14:paraId="57E084A3" w14:textId="12134B05" w:rsidR="003936CB" w:rsidRDefault="009D1F6F" w:rsidP="00802554">
      <w:pPr>
        <w:pStyle w:val="ListBullet"/>
      </w:pPr>
      <w:r>
        <w:t xml:space="preserve">in </w:t>
      </w:r>
      <w:r w:rsidR="00690D6C" w:rsidRPr="009D1F6F">
        <w:t>e</w:t>
      </w:r>
      <w:r w:rsidR="003936CB" w:rsidRPr="009D1F6F">
        <w:t xml:space="preserve">xceptional </w:t>
      </w:r>
      <w:r w:rsidR="003936CB" w:rsidRPr="00ED09B3">
        <w:t>circumstances.</w:t>
      </w:r>
    </w:p>
    <w:p w14:paraId="72C0F2E1" w14:textId="7322521B" w:rsidR="00EA7D9F" w:rsidRPr="00A0518D" w:rsidRDefault="00EA7D9F" w:rsidP="002F7FD7">
      <w:pPr>
        <w:pStyle w:val="Heading4"/>
        <w:numPr>
          <w:ilvl w:val="0"/>
          <w:numId w:val="0"/>
        </w:numPr>
        <w:ind w:left="964" w:hanging="964"/>
      </w:pPr>
      <w:r>
        <w:t xml:space="preserve">Response to </w:t>
      </w:r>
      <w:r w:rsidR="00D05133" w:rsidRPr="00E63BD6">
        <w:t>non-</w:t>
      </w:r>
      <w:r w:rsidRPr="00E63BD6">
        <w:t>compliance</w:t>
      </w:r>
      <w:r>
        <w:t xml:space="preserve"> or </w:t>
      </w:r>
      <w:r w:rsidR="00960F66">
        <w:t xml:space="preserve">adverse </w:t>
      </w:r>
      <w:r>
        <w:t>voyage outcomes</w:t>
      </w:r>
    </w:p>
    <w:p w14:paraId="575F12CB" w14:textId="122F0BD4" w:rsidR="00700F0E" w:rsidRPr="004362E8" w:rsidRDefault="00C6254E" w:rsidP="004362E8">
      <w:r>
        <w:t>T</w:t>
      </w:r>
      <w:r w:rsidR="00700F0E" w:rsidRPr="004362E8">
        <w:t xml:space="preserve">argeted deployment </w:t>
      </w:r>
      <w:r>
        <w:t xml:space="preserve">may be required </w:t>
      </w:r>
      <w:proofErr w:type="gramStart"/>
      <w:r>
        <w:t>as a result of</w:t>
      </w:r>
      <w:proofErr w:type="gramEnd"/>
      <w:r>
        <w:t xml:space="preserve"> exporter </w:t>
      </w:r>
      <w:r w:rsidR="00430840">
        <w:t>non-compliance</w:t>
      </w:r>
      <w:r w:rsidR="00E93B9D">
        <w:t>. This may include non-compliance</w:t>
      </w:r>
      <w:r w:rsidR="00430840">
        <w:t xml:space="preserve"> with</w:t>
      </w:r>
      <w:r>
        <w:t xml:space="preserve"> the</w:t>
      </w:r>
      <w:r w:rsidR="00700F0E" w:rsidRPr="004362E8">
        <w:t>:</w:t>
      </w:r>
    </w:p>
    <w:p w14:paraId="7C0FFE21" w14:textId="1F111024" w:rsidR="00D74458" w:rsidRPr="009D1F6F" w:rsidRDefault="00700F0E" w:rsidP="00612195">
      <w:pPr>
        <w:pStyle w:val="ListBullet"/>
      </w:pPr>
      <w:r w:rsidRPr="00802554">
        <w:rPr>
          <w:rStyle w:val="Emphasis"/>
        </w:rPr>
        <w:t>Export Control Act 2020</w:t>
      </w:r>
      <w:r w:rsidR="00612195">
        <w:rPr>
          <w:rStyle w:val="Emphasis"/>
          <w:i w:val="0"/>
          <w:iCs w:val="0"/>
        </w:rPr>
        <w:t xml:space="preserve"> </w:t>
      </w:r>
      <w:r w:rsidR="005D51C8">
        <w:rPr>
          <w:rStyle w:val="Emphasis"/>
          <w:i w:val="0"/>
          <w:iCs w:val="0"/>
        </w:rPr>
        <w:t xml:space="preserve">or </w:t>
      </w:r>
      <w:r w:rsidR="00612195">
        <w:rPr>
          <w:rStyle w:val="Emphasis"/>
          <w:i w:val="0"/>
          <w:iCs w:val="0"/>
        </w:rPr>
        <w:t xml:space="preserve">the </w:t>
      </w:r>
      <w:r w:rsidRPr="009D1F6F">
        <w:t>Export Control (Animals) Rules 2021</w:t>
      </w:r>
    </w:p>
    <w:p w14:paraId="7A5DDEA7" w14:textId="2028BB64" w:rsidR="00700F0E" w:rsidRPr="009D1F6F" w:rsidRDefault="004728CA" w:rsidP="00802554">
      <w:pPr>
        <w:pStyle w:val="ListBullet"/>
      </w:pPr>
      <w:r>
        <w:t>Australian Standards for the Export of Livestock (</w:t>
      </w:r>
      <w:r w:rsidR="00700F0E" w:rsidRPr="009D1F6F">
        <w:t>ASEL</w:t>
      </w:r>
      <w:r>
        <w:t>)</w:t>
      </w:r>
    </w:p>
    <w:p w14:paraId="6BE48205" w14:textId="4B800990" w:rsidR="00700F0E" w:rsidRPr="009D1F6F" w:rsidRDefault="00C6254E" w:rsidP="00FD1836">
      <w:pPr>
        <w:pStyle w:val="ListBullet"/>
      </w:pPr>
      <w:r>
        <w:t xml:space="preserve">exporter’s </w:t>
      </w:r>
      <w:r w:rsidR="00326F94" w:rsidRPr="009D1F6F">
        <w:t>approved arrangement</w:t>
      </w:r>
      <w:r>
        <w:t xml:space="preserve"> (AA) or </w:t>
      </w:r>
      <w:r w:rsidR="00700F0E" w:rsidRPr="009D1F6F">
        <w:t>approved export program</w:t>
      </w:r>
      <w:r>
        <w:t xml:space="preserve"> (AEP)</w:t>
      </w:r>
    </w:p>
    <w:p w14:paraId="463D95B9" w14:textId="534431D9" w:rsidR="00430840" w:rsidRDefault="00C6254E" w:rsidP="00430840">
      <w:pPr>
        <w:pStyle w:val="ListBullet"/>
      </w:pPr>
      <w:r>
        <w:t xml:space="preserve">exporter’s </w:t>
      </w:r>
      <w:r w:rsidR="00700F0E" w:rsidRPr="009D1F6F">
        <w:t>voyage instructions</w:t>
      </w:r>
      <w:r>
        <w:t>.</w:t>
      </w:r>
    </w:p>
    <w:p w14:paraId="37E3AC2B" w14:textId="27C200CF" w:rsidR="00700F0E" w:rsidRPr="009D1F6F" w:rsidRDefault="00960F66" w:rsidP="00430840">
      <w:pPr>
        <w:pStyle w:val="ListBullet"/>
        <w:numPr>
          <w:ilvl w:val="0"/>
          <w:numId w:val="0"/>
        </w:numPr>
      </w:pPr>
      <w:r>
        <w:t>Adverse</w:t>
      </w:r>
      <w:r w:rsidRPr="009D1F6F">
        <w:t xml:space="preserve"> </w:t>
      </w:r>
      <w:r w:rsidR="00DB31D8">
        <w:t xml:space="preserve">welfare </w:t>
      </w:r>
      <w:r w:rsidR="00700F0E" w:rsidRPr="009D1F6F">
        <w:t>outcomes on a previous voyag</w:t>
      </w:r>
      <w:r w:rsidR="00700F0E" w:rsidRPr="00ED09B3">
        <w:t>e</w:t>
      </w:r>
      <w:r w:rsidR="00430840">
        <w:t xml:space="preserve"> may also require a targeted </w:t>
      </w:r>
      <w:r w:rsidR="00C6254E">
        <w:t>deployment</w:t>
      </w:r>
      <w:r w:rsidR="00430840">
        <w:t>.</w:t>
      </w:r>
    </w:p>
    <w:p w14:paraId="21DDA240" w14:textId="115F034A" w:rsidR="00EA7D9F" w:rsidRPr="004362E8" w:rsidRDefault="00EA7D9F" w:rsidP="004362E8">
      <w:r w:rsidRPr="004362E8">
        <w:t>Targeted deployment</w:t>
      </w:r>
      <w:r w:rsidR="005D63CB">
        <w:t>s allow the department to</w:t>
      </w:r>
      <w:r w:rsidRPr="004362E8">
        <w:t xml:space="preserve"> </w:t>
      </w:r>
      <w:r w:rsidR="00376CCE">
        <w:t>verify the implementation, appropriateness and effectiveness of</w:t>
      </w:r>
      <w:r w:rsidRPr="004362E8">
        <w:t xml:space="preserve"> corrective actions taken by the exporter in response to regulatory or compliance action</w:t>
      </w:r>
      <w:r w:rsidR="00C6254E">
        <w:t>. They are also used</w:t>
      </w:r>
      <w:r w:rsidRPr="004362E8">
        <w:t xml:space="preserve"> to monitor ongoing</w:t>
      </w:r>
      <w:r w:rsidR="00C6254E">
        <w:t xml:space="preserve"> exporter</w:t>
      </w:r>
      <w:r w:rsidRPr="004362E8">
        <w:t xml:space="preserve"> compliance.</w:t>
      </w:r>
    </w:p>
    <w:p w14:paraId="4AFF1F1B" w14:textId="3DFC1BFF" w:rsidR="00E301E7" w:rsidRPr="004362E8" w:rsidRDefault="00EA7D9F" w:rsidP="004362E8">
      <w:r w:rsidRPr="004362E8">
        <w:t>Alternatively, a targeted deployment may be necessary to provide independent context</w:t>
      </w:r>
      <w:r w:rsidR="00802554">
        <w:t xml:space="preserve"> about</w:t>
      </w:r>
      <w:r w:rsidRPr="004362E8">
        <w:t xml:space="preserve"> deficiencies with exporter arrangements </w:t>
      </w:r>
      <w:r w:rsidR="00802554">
        <w:t>for</w:t>
      </w:r>
      <w:r w:rsidRPr="004362E8">
        <w:t xml:space="preserve"> managing issues, or with the implementation of arrangements. Targeted deployments </w:t>
      </w:r>
      <w:r w:rsidR="00430840">
        <w:t>do</w:t>
      </w:r>
      <w:r w:rsidR="00430840" w:rsidRPr="00430840">
        <w:t xml:space="preserve"> </w:t>
      </w:r>
      <w:r w:rsidRPr="00430840">
        <w:t>not</w:t>
      </w:r>
      <w:r w:rsidRPr="004362E8">
        <w:t xml:space="preserve"> limit the identification and actioning of further issues</w:t>
      </w:r>
      <w:r w:rsidR="00D74458" w:rsidRPr="004362E8">
        <w:t xml:space="preserve"> or </w:t>
      </w:r>
      <w:r w:rsidRPr="004362E8">
        <w:t>non-compliance observed throughout the voyage.</w:t>
      </w:r>
    </w:p>
    <w:p w14:paraId="314938E3" w14:textId="74880537" w:rsidR="00160C9F" w:rsidRPr="004362E8" w:rsidRDefault="00160C9F" w:rsidP="004362E8">
      <w:r w:rsidRPr="004362E8">
        <w:t xml:space="preserve">A targeted deployment </w:t>
      </w:r>
      <w:r w:rsidR="00040BE0">
        <w:t>m</w:t>
      </w:r>
      <w:r w:rsidR="000A2B12">
        <w:t>ay</w:t>
      </w:r>
      <w:r w:rsidR="00040BE0" w:rsidRPr="004362E8">
        <w:t xml:space="preserve"> </w:t>
      </w:r>
      <w:r w:rsidRPr="004362E8">
        <w:t>not be necessary after every instance of exporter non-compliance</w:t>
      </w:r>
      <w:r w:rsidR="00C54856">
        <w:t xml:space="preserve"> or </w:t>
      </w:r>
      <w:r w:rsidR="00D47F55">
        <w:t xml:space="preserve">an </w:t>
      </w:r>
      <w:r w:rsidR="00C54856">
        <w:t>adverse voyage outcome</w:t>
      </w:r>
      <w:r w:rsidR="00F40F44" w:rsidRPr="004362E8">
        <w:t xml:space="preserve">. It </w:t>
      </w:r>
      <w:r w:rsidRPr="004362E8">
        <w:t>is a verification tool available to the department at its discretion.</w:t>
      </w:r>
    </w:p>
    <w:p w14:paraId="2D65C4C4" w14:textId="62FC7127" w:rsidR="00830036" w:rsidRPr="00EA7D9F" w:rsidRDefault="00610408" w:rsidP="002F7FD7">
      <w:pPr>
        <w:pStyle w:val="Heading4"/>
        <w:numPr>
          <w:ilvl w:val="0"/>
          <w:numId w:val="0"/>
        </w:numPr>
        <w:ind w:left="964" w:hanging="964"/>
      </w:pPr>
      <w:bookmarkStart w:id="8" w:name="_Exceptional_circumstances"/>
      <w:bookmarkStart w:id="9" w:name="_Additional_deployment_requirementsE"/>
      <w:bookmarkStart w:id="10" w:name="_Additional_circumstances_for"/>
      <w:bookmarkStart w:id="11" w:name="_New_exporters_by"/>
      <w:bookmarkEnd w:id="8"/>
      <w:bookmarkEnd w:id="9"/>
      <w:bookmarkEnd w:id="10"/>
      <w:bookmarkEnd w:id="11"/>
      <w:r>
        <w:t>New exporters</w:t>
      </w:r>
      <w:r w:rsidR="002B4753">
        <w:t xml:space="preserve"> by sea</w:t>
      </w:r>
    </w:p>
    <w:p w14:paraId="5A5EDEC5" w14:textId="3743CDCB" w:rsidR="00EA7D9F" w:rsidRPr="004362E8" w:rsidRDefault="00EA7D9F" w:rsidP="004362E8">
      <w:r w:rsidRPr="004362E8">
        <w:t>Unless otherwise advised, exporters</w:t>
      </w:r>
      <w:r w:rsidR="00B354A5">
        <w:t xml:space="preserve"> new to exporting</w:t>
      </w:r>
      <w:r w:rsidR="00E149DF">
        <w:t xml:space="preserve"> livestock</w:t>
      </w:r>
      <w:r w:rsidR="00B354A5">
        <w:t xml:space="preserve"> </w:t>
      </w:r>
      <w:r w:rsidRPr="004362E8">
        <w:t xml:space="preserve">by sea </w:t>
      </w:r>
      <w:r w:rsidR="00CB239B" w:rsidRPr="004362E8">
        <w:t xml:space="preserve">must </w:t>
      </w:r>
      <w:r w:rsidRPr="004362E8">
        <w:t>have an observer accompany their maiden voyage</w:t>
      </w:r>
      <w:r w:rsidR="0071153C" w:rsidRPr="004362E8">
        <w:t>. This is</w:t>
      </w:r>
      <w:r w:rsidRPr="004362E8">
        <w:t xml:space="preserve"> in addition to </w:t>
      </w:r>
      <w:r w:rsidR="00005698" w:rsidRPr="004362E8">
        <w:t xml:space="preserve">the </w:t>
      </w:r>
      <w:hyperlink w:anchor="_Routine_deployments_1" w:history="1">
        <w:r w:rsidRPr="00B3006A">
          <w:rPr>
            <w:rStyle w:val="Hyperlink"/>
          </w:rPr>
          <w:t>routine</w:t>
        </w:r>
        <w:r w:rsidR="00904732">
          <w:rPr>
            <w:rStyle w:val="Hyperlink"/>
          </w:rPr>
          <w:t xml:space="preserve"> </w:t>
        </w:r>
        <w:r w:rsidRPr="00B3006A">
          <w:rPr>
            <w:rStyle w:val="Hyperlink"/>
          </w:rPr>
          <w:t>deployment</w:t>
        </w:r>
      </w:hyperlink>
      <w:r w:rsidRPr="004362E8">
        <w:t xml:space="preserve"> </w:t>
      </w:r>
      <w:r w:rsidR="001C5437">
        <w:t xml:space="preserve">requirement. </w:t>
      </w:r>
      <w:r w:rsidRPr="004362E8">
        <w:t>Th</w:t>
      </w:r>
      <w:r w:rsidR="00AB0675" w:rsidRPr="004362E8">
        <w:t>is</w:t>
      </w:r>
      <w:r w:rsidRPr="004362E8">
        <w:t xml:space="preserve"> targeted deployment </w:t>
      </w:r>
      <w:r w:rsidR="00376CCE">
        <w:t>aims to</w:t>
      </w:r>
      <w:r w:rsidRPr="004362E8">
        <w:t xml:space="preserve"> ensur</w:t>
      </w:r>
      <w:r w:rsidR="00376CCE">
        <w:t>e</w:t>
      </w:r>
      <w:r w:rsidRPr="004362E8">
        <w:t xml:space="preserve"> that new exporters by sea have appropriate processes and procedures in place to effectively manage the export of livestock.</w:t>
      </w:r>
    </w:p>
    <w:p w14:paraId="31D94B12" w14:textId="5592AB8E" w:rsidR="00EA7D9F" w:rsidRPr="00160E98" w:rsidRDefault="00160E98" w:rsidP="002F7FD7">
      <w:pPr>
        <w:pStyle w:val="Heading4"/>
        <w:numPr>
          <w:ilvl w:val="0"/>
          <w:numId w:val="0"/>
        </w:numPr>
        <w:ind w:left="964" w:hanging="964"/>
      </w:pPr>
      <w:bookmarkStart w:id="12" w:name="_New_vessels"/>
      <w:bookmarkEnd w:id="12"/>
      <w:r w:rsidRPr="00160E98">
        <w:t>New vessels</w:t>
      </w:r>
    </w:p>
    <w:p w14:paraId="26200EAB" w14:textId="21791A0F" w:rsidR="00160E98" w:rsidRPr="004362E8" w:rsidRDefault="00160E98" w:rsidP="004362E8">
      <w:r w:rsidRPr="004362E8">
        <w:t xml:space="preserve">Unless otherwise advised, an exporter using a new vessel </w:t>
      </w:r>
      <w:r w:rsidR="00C37B26" w:rsidRPr="004362E8">
        <w:t xml:space="preserve">must </w:t>
      </w:r>
      <w:r w:rsidRPr="004362E8">
        <w:t xml:space="preserve">have an observer accompany the vessel’s maiden voyage. This </w:t>
      </w:r>
      <w:r w:rsidR="000A2B12">
        <w:t>is</w:t>
      </w:r>
      <w:r w:rsidRPr="004362E8">
        <w:t xml:space="preserve"> in addition to the </w:t>
      </w:r>
      <w:hyperlink w:anchor="_Routine_deployments_1" w:history="1">
        <w:r w:rsidRPr="00B3006A">
          <w:rPr>
            <w:rStyle w:val="Hyperlink"/>
          </w:rPr>
          <w:t>routine</w:t>
        </w:r>
        <w:r w:rsidR="00904732">
          <w:rPr>
            <w:rStyle w:val="Hyperlink"/>
          </w:rPr>
          <w:t xml:space="preserve"> </w:t>
        </w:r>
        <w:r w:rsidRPr="00B3006A">
          <w:rPr>
            <w:rStyle w:val="Hyperlink"/>
          </w:rPr>
          <w:t>deployment</w:t>
        </w:r>
      </w:hyperlink>
      <w:r w:rsidR="002E4079">
        <w:t xml:space="preserve"> requirement</w:t>
      </w:r>
      <w:r w:rsidRPr="004362E8">
        <w:t>. Th</w:t>
      </w:r>
      <w:r w:rsidR="00C83249" w:rsidRPr="004362E8">
        <w:t>is</w:t>
      </w:r>
      <w:r w:rsidRPr="004362E8">
        <w:t xml:space="preserve"> targeted deployment </w:t>
      </w:r>
      <w:r w:rsidR="006D5F11" w:rsidRPr="004362E8">
        <w:t xml:space="preserve">will </w:t>
      </w:r>
      <w:r w:rsidRPr="004362E8">
        <w:t>provide additional assurances of exporter arrangements relating to vessel preparation, loading and on</w:t>
      </w:r>
      <w:r w:rsidR="000A2B12">
        <w:t>-</w:t>
      </w:r>
      <w:r w:rsidRPr="004362E8">
        <w:t xml:space="preserve">board management for </w:t>
      </w:r>
      <w:r w:rsidR="00DF0CB1">
        <w:t xml:space="preserve">the </w:t>
      </w:r>
      <w:r w:rsidRPr="004362E8">
        <w:t>export of livestock.</w:t>
      </w:r>
    </w:p>
    <w:p w14:paraId="7FCAA10B" w14:textId="5D2ED9F1" w:rsidR="003E4E8E" w:rsidRPr="004362E8" w:rsidRDefault="00E77826" w:rsidP="004362E8">
      <w:r>
        <w:t xml:space="preserve">In </w:t>
      </w:r>
      <w:r w:rsidR="000A2B12">
        <w:t>this policy</w:t>
      </w:r>
      <w:r w:rsidR="00376747" w:rsidRPr="004362E8">
        <w:t>,</w:t>
      </w:r>
      <w:r w:rsidR="00A71603" w:rsidRPr="004362E8">
        <w:t xml:space="preserve"> </w:t>
      </w:r>
      <w:r w:rsidR="00727FA8">
        <w:t xml:space="preserve">a </w:t>
      </w:r>
      <w:r w:rsidR="00A71603" w:rsidRPr="004362E8">
        <w:t>vessel</w:t>
      </w:r>
      <w:r w:rsidR="00727FA8">
        <w:t xml:space="preserve"> </w:t>
      </w:r>
      <w:r w:rsidR="00445B51">
        <w:t xml:space="preserve">is considered </w:t>
      </w:r>
      <w:r w:rsidR="00251EAF">
        <w:t>‘</w:t>
      </w:r>
      <w:r w:rsidR="003E4E8E" w:rsidRPr="004362E8">
        <w:t>new</w:t>
      </w:r>
      <w:r w:rsidR="00251EAF">
        <w:t>’</w:t>
      </w:r>
      <w:r w:rsidR="005B79E5">
        <w:t xml:space="preserve"> if</w:t>
      </w:r>
      <w:r w:rsidR="003E4E8E" w:rsidRPr="004362E8">
        <w:t>:</w:t>
      </w:r>
    </w:p>
    <w:p w14:paraId="2AF92C45" w14:textId="4F8F9C43" w:rsidR="00D63C0F" w:rsidRDefault="009E5664" w:rsidP="00802554">
      <w:pPr>
        <w:pStyle w:val="ListBullet"/>
      </w:pPr>
      <w:r>
        <w:t xml:space="preserve">it has </w:t>
      </w:r>
      <w:r w:rsidR="00160E98">
        <w:t xml:space="preserve">not carried Australian livestock for export </w:t>
      </w:r>
      <w:r w:rsidR="00221615">
        <w:t xml:space="preserve">in the previous </w:t>
      </w:r>
      <w:r w:rsidR="006D311D">
        <w:t>2-year</w:t>
      </w:r>
      <w:r w:rsidR="00221615">
        <w:t xml:space="preserve"> period</w:t>
      </w:r>
    </w:p>
    <w:p w14:paraId="06700040" w14:textId="0E2EBDC8" w:rsidR="007253D3" w:rsidRDefault="006229F1" w:rsidP="007253D3">
      <w:pPr>
        <w:pStyle w:val="ListBullet"/>
      </w:pPr>
      <w:r>
        <w:t xml:space="preserve">it has </w:t>
      </w:r>
      <w:r w:rsidR="007253D3">
        <w:t xml:space="preserve">regained an Australian Certificate for the Carriage of Livestock </w:t>
      </w:r>
      <w:r w:rsidR="00DA5B1D">
        <w:t xml:space="preserve">where one was not held </w:t>
      </w:r>
    </w:p>
    <w:p w14:paraId="19C08451" w14:textId="1F90CDDB" w:rsidR="00FE380E" w:rsidRDefault="00D74458" w:rsidP="007253D3">
      <w:pPr>
        <w:pStyle w:val="ListBullet"/>
      </w:pPr>
      <w:r>
        <w:lastRenderedPageBreak/>
        <w:t>livestock s</w:t>
      </w:r>
      <w:r w:rsidR="00DA5B1D">
        <w:t xml:space="preserve">ervices </w:t>
      </w:r>
      <w:r w:rsidR="00160E98">
        <w:t xml:space="preserve">have undergone a substantial change (as per </w:t>
      </w:r>
      <w:hyperlink r:id="rId11" w:history="1">
        <w:r w:rsidR="00160E98" w:rsidRPr="00585A9B">
          <w:rPr>
            <w:rStyle w:val="Hyperlink"/>
          </w:rPr>
          <w:t>Marine Order 43</w:t>
        </w:r>
        <w:r w:rsidR="00493FD9" w:rsidRPr="00585A9B">
          <w:rPr>
            <w:rStyle w:val="Hyperlink"/>
          </w:rPr>
          <w:t xml:space="preserve"> (Cargo and cargo handling — livestock) 2018</w:t>
        </w:r>
      </w:hyperlink>
      <w:r w:rsidR="00160E98">
        <w:t>)</w:t>
      </w:r>
      <w:r w:rsidR="002466E1">
        <w:t>.</w:t>
      </w:r>
    </w:p>
    <w:p w14:paraId="0978CCD4" w14:textId="113E37A9" w:rsidR="00493FD9" w:rsidRDefault="00493FD9" w:rsidP="002F7FD7">
      <w:pPr>
        <w:pStyle w:val="Heading4"/>
        <w:numPr>
          <w:ilvl w:val="0"/>
          <w:numId w:val="0"/>
        </w:numPr>
        <w:ind w:left="964" w:hanging="964"/>
      </w:pPr>
      <w:r>
        <w:t>Exceptional circumstances</w:t>
      </w:r>
    </w:p>
    <w:p w14:paraId="020F3E67" w14:textId="7B6B9B28" w:rsidR="00493FD9" w:rsidRPr="004362E8" w:rsidRDefault="00493FD9" w:rsidP="004362E8">
      <w:r w:rsidRPr="004362E8">
        <w:t xml:space="preserve">The department may direct an observer to accompany </w:t>
      </w:r>
      <w:r w:rsidR="00154489">
        <w:t>certain</w:t>
      </w:r>
      <w:r w:rsidR="00154489" w:rsidRPr="004362E8">
        <w:t xml:space="preserve"> </w:t>
      </w:r>
      <w:r w:rsidRPr="004362E8">
        <w:t>voyages in exceptional circumstances not already identified in th</w:t>
      </w:r>
      <w:r w:rsidR="008A155F">
        <w:t>is</w:t>
      </w:r>
      <w:r w:rsidRPr="004362E8">
        <w:t xml:space="preserve"> policy. The department will contact the exporter whe</w:t>
      </w:r>
      <w:r w:rsidR="00B15081">
        <w:t>re</w:t>
      </w:r>
      <w:r w:rsidRPr="004362E8">
        <w:t xml:space="preserve"> observer </w:t>
      </w:r>
      <w:r w:rsidR="00B15081">
        <w:t xml:space="preserve">deployment </w:t>
      </w:r>
      <w:r w:rsidR="004B52A4">
        <w:t xml:space="preserve">is required </w:t>
      </w:r>
      <w:r w:rsidRPr="004362E8">
        <w:t>for an upcoming voyage.</w:t>
      </w:r>
    </w:p>
    <w:p w14:paraId="15771FC6" w14:textId="528EE797" w:rsidR="00160E98" w:rsidRPr="00160E98" w:rsidRDefault="00160E98" w:rsidP="002F7FD7">
      <w:pPr>
        <w:pStyle w:val="Heading3"/>
      </w:pPr>
      <w:r w:rsidRPr="00160E98">
        <w:t>Deployments on shared vessels</w:t>
      </w:r>
    </w:p>
    <w:p w14:paraId="3F606458" w14:textId="45198683" w:rsidR="009D2FD7" w:rsidRDefault="00574596" w:rsidP="004362E8">
      <w:r>
        <w:t>Wher</w:t>
      </w:r>
      <w:r w:rsidR="003D09D2">
        <w:t>e</w:t>
      </w:r>
      <w:r w:rsidR="007650F4">
        <w:t xml:space="preserve"> </w:t>
      </w:r>
      <w:r w:rsidR="00A45342">
        <w:t xml:space="preserve">observer </w:t>
      </w:r>
      <w:r w:rsidR="007650F4">
        <w:t xml:space="preserve">deployment </w:t>
      </w:r>
      <w:r w:rsidR="003D09D2">
        <w:t xml:space="preserve">occurs </w:t>
      </w:r>
      <w:r w:rsidR="007650F4">
        <w:t>on</w:t>
      </w:r>
      <w:r w:rsidR="009D7485">
        <w:t xml:space="preserve"> </w:t>
      </w:r>
      <w:r w:rsidR="00C8627D">
        <w:t>multi-exporter vo</w:t>
      </w:r>
      <w:r w:rsidR="00A45342">
        <w:t>yage</w:t>
      </w:r>
      <w:r w:rsidR="007650F4">
        <w:t>s</w:t>
      </w:r>
      <w:r w:rsidR="00E5396C">
        <w:t xml:space="preserve"> (shared vessels)</w:t>
      </w:r>
      <w:r w:rsidR="002E2DDF">
        <w:t>:</w:t>
      </w:r>
    </w:p>
    <w:p w14:paraId="0A0D88CC" w14:textId="1F25C4E6" w:rsidR="002E2DDF" w:rsidRDefault="003E11A3" w:rsidP="007E524F">
      <w:pPr>
        <w:pStyle w:val="ListBullet"/>
      </w:pPr>
      <w:r>
        <w:t>F</w:t>
      </w:r>
      <w:r w:rsidR="003D09D2">
        <w:t>or</w:t>
      </w:r>
      <w:r w:rsidR="00F024A9">
        <w:t xml:space="preserve"> </w:t>
      </w:r>
      <w:r w:rsidR="002E2DDF">
        <w:t>routine deployment</w:t>
      </w:r>
      <w:r w:rsidR="007631CD">
        <w:t>s</w:t>
      </w:r>
      <w:r w:rsidR="00AE7CC9">
        <w:t xml:space="preserve"> – </w:t>
      </w:r>
      <w:r w:rsidR="00773B02">
        <w:t>this will con</w:t>
      </w:r>
      <w:r w:rsidR="00563FFF">
        <w:t>tribute to the routine deployment</w:t>
      </w:r>
      <w:r w:rsidR="00AE7CC9">
        <w:t xml:space="preserve"> requirement</w:t>
      </w:r>
      <w:r w:rsidR="00563FFF">
        <w:t xml:space="preserve"> </w:t>
      </w:r>
      <w:r w:rsidR="00B35232">
        <w:t xml:space="preserve">for all exporters with </w:t>
      </w:r>
      <w:r w:rsidR="00E946A2">
        <w:t xml:space="preserve">a </w:t>
      </w:r>
      <w:r w:rsidR="00B35232">
        <w:t>consignment on the voyage</w:t>
      </w:r>
      <w:r w:rsidR="00D920AD">
        <w:t xml:space="preserve"> that need to fulfill a routine deployment</w:t>
      </w:r>
      <w:r w:rsidR="004D7484">
        <w:t xml:space="preserve"> and the risk group of the voyage is appropriate</w:t>
      </w:r>
    </w:p>
    <w:p w14:paraId="02CF6023" w14:textId="128799DF" w:rsidR="00EA1FC9" w:rsidRDefault="003E11A3" w:rsidP="007E524F">
      <w:pPr>
        <w:pStyle w:val="ListBullet"/>
      </w:pPr>
      <w:r>
        <w:t>F</w:t>
      </w:r>
      <w:r w:rsidR="00E946A2">
        <w:t xml:space="preserve">or </w:t>
      </w:r>
      <w:r w:rsidR="00EA1FC9">
        <w:t>targeted deploy</w:t>
      </w:r>
      <w:r w:rsidR="002E2DDF">
        <w:t>m</w:t>
      </w:r>
      <w:r w:rsidR="00EA1FC9">
        <w:t>ents</w:t>
      </w:r>
      <w:r w:rsidR="008B4A73">
        <w:t xml:space="preserve"> – this </w:t>
      </w:r>
      <w:r w:rsidR="00FB03DF">
        <w:t xml:space="preserve">will not contribute to </w:t>
      </w:r>
      <w:r w:rsidR="00D0277F" w:rsidRPr="00D0277F">
        <w:t xml:space="preserve">the routine deployment requirement for the other exporters with consignments on the </w:t>
      </w:r>
      <w:r w:rsidR="00FD2BAE">
        <w:t>voyage</w:t>
      </w:r>
      <w:r w:rsidR="002E4079">
        <w:t xml:space="preserve"> </w:t>
      </w:r>
      <w:r w:rsidR="00084E5B">
        <w:t>(</w:t>
      </w:r>
      <w:r w:rsidR="002E4079">
        <w:t>unless otherwise advised</w:t>
      </w:r>
      <w:r w:rsidR="00084E5B">
        <w:t>)</w:t>
      </w:r>
      <w:r w:rsidR="00D0277F" w:rsidRPr="00D0277F">
        <w:t>.</w:t>
      </w:r>
    </w:p>
    <w:p w14:paraId="69383490" w14:textId="39628AB1" w:rsidR="00160E98" w:rsidRPr="00160E98" w:rsidRDefault="0088070F" w:rsidP="00160E98">
      <w:pPr>
        <w:pStyle w:val="Heading2"/>
      </w:pPr>
      <w:r>
        <w:t>Fulfilling</w:t>
      </w:r>
      <w:r w:rsidR="00160E98" w:rsidRPr="00160E98">
        <w:t xml:space="preserve"> deployment</w:t>
      </w:r>
      <w:r>
        <w:t xml:space="preserve"> requirements</w:t>
      </w:r>
    </w:p>
    <w:p w14:paraId="4C1DDBBA" w14:textId="21198502" w:rsidR="00111BA5" w:rsidRDefault="00456E43" w:rsidP="00326F94">
      <w:pPr>
        <w:pStyle w:val="Heading3"/>
      </w:pPr>
      <w:r>
        <w:t>R</w:t>
      </w:r>
      <w:r w:rsidR="00B65669">
        <w:t>outine deployments</w:t>
      </w:r>
    </w:p>
    <w:p w14:paraId="4BA413A2" w14:textId="7CE578BA" w:rsidR="00BC3208" w:rsidRDefault="004A1D9C" w:rsidP="00BC3208">
      <w:r>
        <w:t>E</w:t>
      </w:r>
      <w:r w:rsidR="00DF6E6A">
        <w:t>xporter</w:t>
      </w:r>
      <w:r w:rsidR="000804DB">
        <w:t>s</w:t>
      </w:r>
      <w:r w:rsidR="00DF6E6A">
        <w:t xml:space="preserve"> must fulfill </w:t>
      </w:r>
      <w:r w:rsidR="003C4007">
        <w:t xml:space="preserve">routine </w:t>
      </w:r>
      <w:r w:rsidR="00A302C6" w:rsidRPr="00E63BD6">
        <w:t>deployment</w:t>
      </w:r>
      <w:r w:rsidR="003E7588">
        <w:t xml:space="preserve"> requirement</w:t>
      </w:r>
      <w:r w:rsidR="001A204D">
        <w:t>s</w:t>
      </w:r>
      <w:r w:rsidR="00A302C6" w:rsidRPr="00E63BD6">
        <w:t xml:space="preserve"> </w:t>
      </w:r>
      <w:r w:rsidR="005F3883">
        <w:t xml:space="preserve">each </w:t>
      </w:r>
      <w:r w:rsidR="0019504D">
        <w:t>financial</w:t>
      </w:r>
      <w:r w:rsidR="005F3883">
        <w:t xml:space="preserve"> year</w:t>
      </w:r>
      <w:r w:rsidR="00A302C6" w:rsidRPr="00E63BD6">
        <w:t>.</w:t>
      </w:r>
      <w:r w:rsidR="00A302C6" w:rsidRPr="004362E8">
        <w:t xml:space="preserve"> </w:t>
      </w:r>
      <w:r w:rsidR="00120C31">
        <w:t xml:space="preserve">If an exporter has not fulfilled their routine deployment requirements, the </w:t>
      </w:r>
      <w:r w:rsidR="00084E5B">
        <w:t>department</w:t>
      </w:r>
      <w:r w:rsidR="0017284F">
        <w:t xml:space="preserve"> </w:t>
      </w:r>
      <w:r w:rsidR="00120C31">
        <w:t xml:space="preserve">will </w:t>
      </w:r>
      <w:r w:rsidR="0017284F">
        <w:t xml:space="preserve">take steps to </w:t>
      </w:r>
      <w:r w:rsidR="00120C31">
        <w:t xml:space="preserve">direct an observer to accompany </w:t>
      </w:r>
      <w:r w:rsidR="004E78E7">
        <w:t>a</w:t>
      </w:r>
      <w:r w:rsidR="00120C31">
        <w:t xml:space="preserve"> consignment</w:t>
      </w:r>
      <w:r w:rsidR="00AD4778">
        <w:t>,</w:t>
      </w:r>
      <w:r w:rsidR="00D22D47">
        <w:t xml:space="preserve"> and the Secretary may refuse to approve the notice of intention (NOI) to export the consignment if </w:t>
      </w:r>
      <w:r w:rsidR="00AD4778">
        <w:t>the exporter cannot accommodate an observer.</w:t>
      </w:r>
    </w:p>
    <w:p w14:paraId="214ABFA8" w14:textId="703B8E49" w:rsidR="00412432" w:rsidRDefault="00412432" w:rsidP="00326F94">
      <w:pPr>
        <w:pStyle w:val="Heading3"/>
      </w:pPr>
      <w:r>
        <w:t>Targeted deployments</w:t>
      </w:r>
    </w:p>
    <w:p w14:paraId="6DAAB4BB" w14:textId="0A556711" w:rsidR="00E82C5D" w:rsidRDefault="00E82C5D" w:rsidP="004B2EA2">
      <w:r>
        <w:t xml:space="preserve">Where targeted deployments are required, </w:t>
      </w:r>
      <w:r w:rsidR="00310856">
        <w:t>the department will take steps to direct an observer to accompany a consignment, and the Secretary may refuse to approve the NOI to export the consignment if the exporter cannot accommodate an observer</w:t>
      </w:r>
      <w:r w:rsidR="00D92AFB">
        <w:t xml:space="preserve"> (unless otherwise advised)</w:t>
      </w:r>
      <w:r w:rsidR="00310856">
        <w:t>.</w:t>
      </w:r>
    </w:p>
    <w:p w14:paraId="0A1794EA" w14:textId="21FA968E" w:rsidR="004F7AB9" w:rsidRPr="0038029D" w:rsidRDefault="007A1D2A" w:rsidP="004B2EA2">
      <w:pPr>
        <w:pStyle w:val="Heading3"/>
      </w:pPr>
      <w:r w:rsidRPr="0038029D">
        <w:t>Unav</w:t>
      </w:r>
      <w:r w:rsidR="00DA17EC" w:rsidRPr="0038029D">
        <w:t>oidable barriers to deployment</w:t>
      </w:r>
    </w:p>
    <w:p w14:paraId="57021078" w14:textId="0CB27B41" w:rsidR="00C07D78" w:rsidRDefault="002E71B2" w:rsidP="007A1D2A">
      <w:r w:rsidRPr="0038029D">
        <w:t xml:space="preserve">In some </w:t>
      </w:r>
      <w:r w:rsidR="00EA02EA" w:rsidRPr="0038029D">
        <w:t>circumstances</w:t>
      </w:r>
      <w:r w:rsidR="00147478" w:rsidRPr="0038029D">
        <w:t xml:space="preserve"> outside the exporter’s control</w:t>
      </w:r>
      <w:r w:rsidRPr="0038029D">
        <w:t>, such</w:t>
      </w:r>
      <w:r w:rsidR="00147478">
        <w:t xml:space="preserve"> as</w:t>
      </w:r>
      <w:r w:rsidR="00147478" w:rsidRPr="00147478">
        <w:t xml:space="preserve"> </w:t>
      </w:r>
      <w:r w:rsidR="00507F27" w:rsidRPr="0038029D">
        <w:t xml:space="preserve">uncertain security situations or international travel </w:t>
      </w:r>
      <w:r w:rsidR="00EA02EA" w:rsidRPr="0038029D">
        <w:t>restrictions</w:t>
      </w:r>
      <w:r w:rsidR="00507F27" w:rsidRPr="0038029D">
        <w:t xml:space="preserve">, </w:t>
      </w:r>
      <w:r w:rsidR="00EA02EA" w:rsidRPr="0038029D">
        <w:t>observer deployment may not be possible.</w:t>
      </w:r>
    </w:p>
    <w:p w14:paraId="2C484016" w14:textId="26A0DB25" w:rsidR="002E71B2" w:rsidRDefault="00256009" w:rsidP="007A1D2A">
      <w:r w:rsidRPr="0038029D">
        <w:t>Where</w:t>
      </w:r>
      <w:r w:rsidR="00D82B3E" w:rsidRPr="0038029D">
        <w:t xml:space="preserve"> there are unavoidable barrie</w:t>
      </w:r>
      <w:r w:rsidR="00E55925">
        <w:t>r</w:t>
      </w:r>
      <w:r w:rsidR="00D82B3E" w:rsidRPr="0038029D">
        <w:t>s f</w:t>
      </w:r>
      <w:r w:rsidR="00DB6B4F" w:rsidRPr="0038029D">
        <w:t>or routine deployment</w:t>
      </w:r>
      <w:r w:rsidR="00C07D78" w:rsidRPr="0038029D">
        <w:t xml:space="preserve"> on a voyage in the highest risk group for an exporter</w:t>
      </w:r>
      <w:r w:rsidR="0026786B" w:rsidRPr="0038029D">
        <w:t xml:space="preserve"> (as per </w:t>
      </w:r>
      <w:hyperlink w:anchor="Table_1" w:history="1">
        <w:r w:rsidR="0026786B" w:rsidRPr="0038029D">
          <w:rPr>
            <w:rStyle w:val="Hyperlink"/>
          </w:rPr>
          <w:t>Table 1</w:t>
        </w:r>
      </w:hyperlink>
      <w:r w:rsidR="0026786B" w:rsidRPr="0038029D">
        <w:t xml:space="preserve">), </w:t>
      </w:r>
      <w:r w:rsidR="00CB4DCE" w:rsidRPr="0038029D">
        <w:t xml:space="preserve">the department will </w:t>
      </w:r>
      <w:r w:rsidR="008E6D15">
        <w:t xml:space="preserve">plan to </w:t>
      </w:r>
      <w:r w:rsidR="00CB4DCE" w:rsidRPr="0038029D">
        <w:t>deploy an observer</w:t>
      </w:r>
      <w:r w:rsidR="00152341" w:rsidRPr="0038029D">
        <w:t xml:space="preserve"> </w:t>
      </w:r>
      <w:r w:rsidR="00C07D78" w:rsidRPr="0038029D">
        <w:t>on</w:t>
      </w:r>
      <w:r w:rsidR="00152341" w:rsidRPr="0038029D">
        <w:t xml:space="preserve"> a consignment in the </w:t>
      </w:r>
      <w:r w:rsidR="004659DD" w:rsidRPr="0038029D">
        <w:t>second</w:t>
      </w:r>
      <w:r w:rsidR="00152341" w:rsidRPr="0038029D">
        <w:t xml:space="preserve"> </w:t>
      </w:r>
      <w:r w:rsidR="004659DD" w:rsidRPr="0038029D">
        <w:t xml:space="preserve">highest </w:t>
      </w:r>
      <w:r w:rsidR="00152341" w:rsidRPr="0038029D">
        <w:t>risk group.</w:t>
      </w:r>
    </w:p>
    <w:p w14:paraId="33A7A405" w14:textId="725E7869" w:rsidR="00D920AD" w:rsidRDefault="00D920AD" w:rsidP="00D920AD">
      <w:r>
        <w:t>T</w:t>
      </w:r>
      <w:r w:rsidRPr="004F7AB9">
        <w:t xml:space="preserve">he department </w:t>
      </w:r>
      <w:r w:rsidR="00E0744D">
        <w:t xml:space="preserve">may </w:t>
      </w:r>
      <w:r w:rsidRPr="004F7AB9">
        <w:t>apply additional reporting requirements</w:t>
      </w:r>
      <w:r>
        <w:t xml:space="preserve"> where there are unavoidable barrie</w:t>
      </w:r>
      <w:r w:rsidR="00CC4B0F">
        <w:t>r</w:t>
      </w:r>
      <w:r>
        <w:t>s that prevent:</w:t>
      </w:r>
    </w:p>
    <w:p w14:paraId="414C263D" w14:textId="0F2567C9" w:rsidR="00D920AD" w:rsidRDefault="00D920AD" w:rsidP="00B244C4">
      <w:pPr>
        <w:pStyle w:val="ListBullet"/>
      </w:pPr>
      <w:r>
        <w:t xml:space="preserve">Routine deployment on any voyage </w:t>
      </w:r>
      <w:r w:rsidR="006210EF">
        <w:t>for</w:t>
      </w:r>
      <w:r>
        <w:t xml:space="preserve"> an </w:t>
      </w:r>
      <w:r w:rsidRPr="004B0374">
        <w:t>exporter</w:t>
      </w:r>
      <w:r w:rsidR="008E6D15" w:rsidRPr="004B0374">
        <w:t xml:space="preserve"> </w:t>
      </w:r>
      <w:r w:rsidR="001A052C" w:rsidRPr="004B0374">
        <w:t>in a financial year</w:t>
      </w:r>
    </w:p>
    <w:p w14:paraId="2163C482" w14:textId="6A26F231" w:rsidR="00D920AD" w:rsidRDefault="00D920AD" w:rsidP="00B244C4">
      <w:pPr>
        <w:pStyle w:val="ListBullet"/>
      </w:pPr>
      <w:r>
        <w:t>Targeted deployment.</w:t>
      </w:r>
    </w:p>
    <w:p w14:paraId="51285592" w14:textId="593A0944" w:rsidR="004F7AB9" w:rsidRPr="004F7AB9" w:rsidRDefault="004F7AB9" w:rsidP="004F7AB9">
      <w:r w:rsidRPr="004F7AB9">
        <w:t>These requirements may include photographs, questionnaires</w:t>
      </w:r>
      <w:r w:rsidR="00C07D78">
        <w:t xml:space="preserve">, </w:t>
      </w:r>
      <w:r w:rsidRPr="004F7AB9">
        <w:t>use of environmental loggers</w:t>
      </w:r>
      <w:r w:rsidR="00C07D78">
        <w:t xml:space="preserve"> and u</w:t>
      </w:r>
      <w:r w:rsidRPr="004F7AB9">
        <w:t xml:space="preserve">nannounced information requests </w:t>
      </w:r>
      <w:r w:rsidR="00B66EA9">
        <w:t xml:space="preserve">that </w:t>
      </w:r>
      <w:r w:rsidRPr="004F7AB9">
        <w:t>requir</w:t>
      </w:r>
      <w:r w:rsidR="00B66EA9">
        <w:t>e</w:t>
      </w:r>
      <w:r w:rsidRPr="004F7AB9">
        <w:t xml:space="preserve"> targeted information within a specifi</w:t>
      </w:r>
      <w:r w:rsidR="00E860BA">
        <w:t>ed timeframe</w:t>
      </w:r>
      <w:r w:rsidRPr="004F7AB9">
        <w:t>.</w:t>
      </w:r>
    </w:p>
    <w:p w14:paraId="3B55192B" w14:textId="6DB482F2" w:rsidR="00F456B5" w:rsidRDefault="00F456B5" w:rsidP="00F456B5">
      <w:pPr>
        <w:pStyle w:val="Heading3"/>
      </w:pPr>
      <w:bookmarkStart w:id="13" w:name="_Alternative_arrangements_to"/>
      <w:bookmarkEnd w:id="13"/>
      <w:r>
        <w:lastRenderedPageBreak/>
        <w:t xml:space="preserve">Alternative arrangements </w:t>
      </w:r>
      <w:r w:rsidR="00B04649">
        <w:t>to deployment</w:t>
      </w:r>
    </w:p>
    <w:p w14:paraId="32B5E002" w14:textId="6D5BD374" w:rsidR="00F456B5" w:rsidRPr="004362E8" w:rsidRDefault="00F456B5" w:rsidP="004362E8">
      <w:r w:rsidRPr="004362E8">
        <w:t xml:space="preserve">The department will consider alternative arrangements </w:t>
      </w:r>
      <w:r w:rsidR="002012C5" w:rsidRPr="004362E8">
        <w:t xml:space="preserve">to observer deployment </w:t>
      </w:r>
      <w:r w:rsidRPr="004362E8">
        <w:t>on a case-by-case basis</w:t>
      </w:r>
      <w:r w:rsidR="000A2407">
        <w:t xml:space="preserve"> under extenuating circumstances</w:t>
      </w:r>
      <w:r w:rsidRPr="004362E8">
        <w:t xml:space="preserve">. </w:t>
      </w:r>
      <w:r w:rsidR="00D002E2">
        <w:t>Arrangements</w:t>
      </w:r>
      <w:r w:rsidR="00D002E2" w:rsidRPr="004362E8">
        <w:t xml:space="preserve"> </w:t>
      </w:r>
      <w:r w:rsidRPr="004362E8">
        <w:t xml:space="preserve">may include </w:t>
      </w:r>
      <w:r w:rsidR="0013201F">
        <w:t xml:space="preserve">a partial deployment where </w:t>
      </w:r>
      <w:r w:rsidR="004825C6">
        <w:t>an observer board</w:t>
      </w:r>
      <w:r w:rsidR="0013201F">
        <w:t xml:space="preserve">s </w:t>
      </w:r>
      <w:r w:rsidR="004825C6">
        <w:t>a vessel</w:t>
      </w:r>
      <w:r w:rsidR="0013201F">
        <w:t xml:space="preserve"> </w:t>
      </w:r>
      <w:r w:rsidR="00755BED">
        <w:t xml:space="preserve">to observe </w:t>
      </w:r>
      <w:r w:rsidR="0013201F">
        <w:t xml:space="preserve">loading in Australia and again </w:t>
      </w:r>
      <w:r w:rsidR="00E94C79">
        <w:t xml:space="preserve">during </w:t>
      </w:r>
      <w:r w:rsidR="0013201F">
        <w:t xml:space="preserve">discharge at an overseas port </w:t>
      </w:r>
      <w:r w:rsidR="00B35690">
        <w:t>(</w:t>
      </w:r>
      <w:r w:rsidR="0013201F">
        <w:t>without accompanying the voyage</w:t>
      </w:r>
      <w:r w:rsidR="00B35690">
        <w:t>)</w:t>
      </w:r>
      <w:r w:rsidR="0013201F">
        <w:t>.</w:t>
      </w:r>
      <w:r w:rsidR="004825C6">
        <w:t xml:space="preserve"> </w:t>
      </w:r>
      <w:r w:rsidR="00DF6E6A">
        <w:t>The department do</w:t>
      </w:r>
      <w:r w:rsidR="00F855F8">
        <w:t>es</w:t>
      </w:r>
      <w:r w:rsidR="00DF6E6A">
        <w:t xml:space="preserve"> not consider </w:t>
      </w:r>
      <w:r w:rsidR="00D67B42">
        <w:t xml:space="preserve">a </w:t>
      </w:r>
      <w:r w:rsidR="00DF6E6A">
        <w:t>p</w:t>
      </w:r>
      <w:r w:rsidRPr="004362E8">
        <w:t>artial deployment equivalent to a full routine deployment.</w:t>
      </w:r>
    </w:p>
    <w:p w14:paraId="15D1E75B" w14:textId="02C4CCEB" w:rsidR="00F456B5" w:rsidRPr="004362E8" w:rsidRDefault="00AD4778" w:rsidP="004362E8">
      <w:r>
        <w:t>The department may consider o</w:t>
      </w:r>
      <w:r w:rsidR="00F456B5" w:rsidRPr="004362E8">
        <w:t>ther alternative arrangements where the exporter</w:t>
      </w:r>
      <w:r w:rsidR="0073382D" w:rsidRPr="004362E8">
        <w:t xml:space="preserve"> can</w:t>
      </w:r>
      <w:r w:rsidR="00F456B5" w:rsidRPr="004362E8">
        <w:t xml:space="preserve"> demonstrate that the </w:t>
      </w:r>
      <w:r w:rsidR="003C143E">
        <w:t xml:space="preserve">proposed </w:t>
      </w:r>
      <w:r w:rsidR="00F456B5" w:rsidRPr="004362E8">
        <w:t>arrangement will provide an equivalent level of independent assurance to that provided by an observer.</w:t>
      </w:r>
    </w:p>
    <w:p w14:paraId="24DFD259" w14:textId="0ADE47D3" w:rsidR="00F456B5" w:rsidRDefault="00B63B89" w:rsidP="00F456B5">
      <w:pPr>
        <w:pStyle w:val="Heading2"/>
      </w:pPr>
      <w:r>
        <w:t>P</w:t>
      </w:r>
      <w:r w:rsidR="00F456B5">
        <w:t>olicy</w:t>
      </w:r>
      <w:r w:rsidR="00AA5992">
        <w:t xml:space="preserve"> review</w:t>
      </w:r>
    </w:p>
    <w:p w14:paraId="518D8AF5" w14:textId="3C1BF1A6" w:rsidR="00F456B5" w:rsidRPr="004362E8" w:rsidRDefault="00F456B5" w:rsidP="004362E8">
      <w:r w:rsidRPr="004362E8">
        <w:t>The department will monitor and evaluate</w:t>
      </w:r>
      <w:r w:rsidR="00A37E46">
        <w:t xml:space="preserve"> the effectiveness of</w:t>
      </w:r>
      <w:r w:rsidRPr="004362E8">
        <w:t xml:space="preserve"> </w:t>
      </w:r>
      <w:r w:rsidR="00AD7316" w:rsidRPr="004362E8">
        <w:t xml:space="preserve">this </w:t>
      </w:r>
      <w:r w:rsidRPr="004362E8">
        <w:t>policy</w:t>
      </w:r>
      <w:r w:rsidR="004779C4">
        <w:t>,</w:t>
      </w:r>
      <w:r w:rsidRPr="004362E8">
        <w:t xml:space="preserve"> </w:t>
      </w:r>
      <w:r w:rsidR="00604478">
        <w:t>to</w:t>
      </w:r>
      <w:r w:rsidRPr="004362E8">
        <w:t xml:space="preserve"> </w:t>
      </w:r>
      <w:r w:rsidR="00EA0967">
        <w:t xml:space="preserve">verify </w:t>
      </w:r>
      <w:r w:rsidR="004C0B92">
        <w:t>it</w:t>
      </w:r>
      <w:r w:rsidR="00B1039B">
        <w:t xml:space="preserve"> is achieving its</w:t>
      </w:r>
      <w:r w:rsidR="004779C4">
        <w:t xml:space="preserve"> </w:t>
      </w:r>
      <w:r w:rsidRPr="004362E8">
        <w:t>objectives</w:t>
      </w:r>
      <w:r w:rsidR="00436D33">
        <w:t xml:space="preserve"> and </w:t>
      </w:r>
      <w:r w:rsidRPr="004362E8">
        <w:t>provid</w:t>
      </w:r>
      <w:r w:rsidR="00B1039B">
        <w:t>ing</w:t>
      </w:r>
      <w:r w:rsidRPr="004362E8">
        <w:t xml:space="preserve"> an appropriate level of assurance.</w:t>
      </w:r>
    </w:p>
    <w:p w14:paraId="7C410CC5" w14:textId="0A7DA8E9" w:rsidR="002E5D58" w:rsidRDefault="002E5D58">
      <w:pPr>
        <w:pStyle w:val="Heading2"/>
      </w:pPr>
      <w:bookmarkStart w:id="14" w:name="_Related_material"/>
      <w:bookmarkEnd w:id="14"/>
      <w:r>
        <w:t>Related material</w:t>
      </w:r>
    </w:p>
    <w:p w14:paraId="45AF1FF9" w14:textId="6A9B0662" w:rsidR="00DC3851" w:rsidRPr="009D1F6F" w:rsidRDefault="00DC3851" w:rsidP="009D1F6F">
      <w:pPr>
        <w:pStyle w:val="ListBullet"/>
        <w:rPr>
          <w:rStyle w:val="Hyperlink"/>
        </w:rPr>
      </w:pPr>
      <w:hyperlink r:id="rId12" w:history="1">
        <w:r w:rsidRPr="009D1F6F">
          <w:rPr>
            <w:rStyle w:val="Hyperlink"/>
          </w:rPr>
          <w:t>Export Control Act 2020</w:t>
        </w:r>
      </w:hyperlink>
    </w:p>
    <w:p w14:paraId="1A538081" w14:textId="438D090F" w:rsidR="00227AD7" w:rsidRPr="00084E5B" w:rsidRDefault="00DC3851" w:rsidP="00EB58BD">
      <w:pPr>
        <w:pStyle w:val="ListBullet"/>
        <w:rPr>
          <w:color w:val="165788"/>
          <w:u w:val="single"/>
        </w:rPr>
      </w:pPr>
      <w:hyperlink r:id="rId13" w:history="1">
        <w:r w:rsidRPr="009D1F6F">
          <w:rPr>
            <w:rStyle w:val="Hyperlink"/>
          </w:rPr>
          <w:t>Export Control (Animals) Rules 2021</w:t>
        </w:r>
      </w:hyperlink>
    </w:p>
    <w:p w14:paraId="71785463" w14:textId="26B810CA" w:rsidR="00084E5B" w:rsidRPr="009D1F6F" w:rsidRDefault="00084E5B" w:rsidP="00084E5B">
      <w:pPr>
        <w:pStyle w:val="ListBullet"/>
        <w:rPr>
          <w:rStyle w:val="Hyperlink"/>
        </w:rPr>
      </w:pPr>
      <w:hyperlink r:id="rId14" w:history="1">
        <w:r w:rsidRPr="009D1F6F">
          <w:rPr>
            <w:rStyle w:val="Hyperlink"/>
          </w:rPr>
          <w:t>Australian Standards for the Export of Livestock (ASEL)</w:t>
        </w:r>
      </w:hyperlink>
    </w:p>
    <w:p w14:paraId="470AB0CB" w14:textId="0B524614" w:rsidR="00EB58BD" w:rsidRPr="00146A76" w:rsidRDefault="00146A76" w:rsidP="00F34583">
      <w:pPr>
        <w:pStyle w:val="ListBullet"/>
      </w:pPr>
      <w:hyperlink r:id="rId15" w:history="1">
        <w:r w:rsidRPr="00F34583">
          <w:rPr>
            <w:rStyle w:val="Hyperlink"/>
          </w:rPr>
          <w:t xml:space="preserve">Exporting </w:t>
        </w:r>
        <w:r w:rsidR="00592079" w:rsidRPr="00F34583">
          <w:rPr>
            <w:rStyle w:val="Hyperlink"/>
          </w:rPr>
          <w:t xml:space="preserve">a </w:t>
        </w:r>
        <w:r w:rsidRPr="00F34583">
          <w:rPr>
            <w:rStyle w:val="Hyperlink"/>
          </w:rPr>
          <w:t>livestock</w:t>
        </w:r>
        <w:r w:rsidR="00592079" w:rsidRPr="00F34583">
          <w:rPr>
            <w:rStyle w:val="Hyperlink"/>
          </w:rPr>
          <w:t xml:space="preserve"> consignment</w:t>
        </w:r>
      </w:hyperlink>
    </w:p>
    <w:p w14:paraId="3111DE32" w14:textId="7B050999" w:rsidR="005C3E57" w:rsidRPr="00084E5B" w:rsidRDefault="00062879" w:rsidP="009D1F6F">
      <w:pPr>
        <w:pStyle w:val="ListBullet"/>
        <w:rPr>
          <w:color w:val="165788"/>
          <w:u w:val="single"/>
        </w:rPr>
      </w:pPr>
      <w:hyperlink r:id="rId16" w:history="1">
        <w:r w:rsidRPr="009D1F6F">
          <w:rPr>
            <w:rStyle w:val="Hyperlink"/>
          </w:rPr>
          <w:t>Independent observers</w:t>
        </w:r>
      </w:hyperlink>
    </w:p>
    <w:p w14:paraId="0E850681" w14:textId="4871CFDD" w:rsidR="00084E5B" w:rsidRPr="009D1F6F" w:rsidRDefault="00084E5B" w:rsidP="00084E5B">
      <w:pPr>
        <w:pStyle w:val="ListBullet"/>
        <w:rPr>
          <w:color w:val="165788"/>
          <w:u w:val="single"/>
        </w:rPr>
      </w:pPr>
      <w:hyperlink r:id="rId17" w:history="1">
        <w:r w:rsidRPr="009D1F6F">
          <w:rPr>
            <w:rStyle w:val="Hyperlink"/>
          </w:rPr>
          <w:t>Regulating live animal exports</w:t>
        </w:r>
      </w:hyperlink>
    </w:p>
    <w:p w14:paraId="3A619E0E" w14:textId="2D3C1220" w:rsidR="00DC7E20" w:rsidRPr="009D1F6F" w:rsidRDefault="00062879" w:rsidP="009D1F6F">
      <w:pPr>
        <w:pStyle w:val="ListBullet"/>
        <w:rPr>
          <w:rStyle w:val="Hyperlink"/>
        </w:rPr>
      </w:pPr>
      <w:hyperlink r:id="rId18" w:history="1">
        <w:r w:rsidRPr="009D1F6F">
          <w:rPr>
            <w:rStyle w:val="Hyperlink"/>
          </w:rPr>
          <w:t>Marine Order 43 (Cargo and cargo handling — livestock) 2018</w:t>
        </w:r>
      </w:hyperlink>
    </w:p>
    <w:p w14:paraId="48383A31" w14:textId="77777777" w:rsidR="00CA3D3A" w:rsidRPr="00CA3D3A" w:rsidRDefault="00CA3D3A" w:rsidP="00CA3D3A">
      <w:pPr>
        <w:pStyle w:val="Heading2"/>
        <w:rPr>
          <w:rFonts w:cs="Calibri"/>
        </w:rPr>
      </w:pPr>
      <w:r w:rsidRPr="00CA3D3A">
        <w:rPr>
          <w:rFonts w:cs="Calibri"/>
        </w:rPr>
        <w:t>Version control</w:t>
      </w:r>
    </w:p>
    <w:tbl>
      <w:tblPr>
        <w:tblStyle w:val="TableGrid"/>
        <w:tblW w:w="0" w:type="auto"/>
        <w:tblLook w:val="04A0" w:firstRow="1" w:lastRow="0" w:firstColumn="1" w:lastColumn="0" w:noHBand="0" w:noVBand="1"/>
      </w:tblPr>
      <w:tblGrid>
        <w:gridCol w:w="1134"/>
        <w:gridCol w:w="1701"/>
        <w:gridCol w:w="2552"/>
        <w:gridCol w:w="3673"/>
      </w:tblGrid>
      <w:tr w:rsidR="00CA3D3A" w:rsidRPr="002B4950" w14:paraId="6A2A2BA4" w14:textId="77777777">
        <w:trPr>
          <w:cantSplit/>
          <w:tblHeader/>
        </w:trPr>
        <w:tc>
          <w:tcPr>
            <w:tcW w:w="1134" w:type="dxa"/>
            <w:tcBorders>
              <w:left w:val="nil"/>
              <w:bottom w:val="single" w:sz="4" w:space="0" w:color="auto"/>
              <w:right w:val="nil"/>
            </w:tcBorders>
          </w:tcPr>
          <w:p w14:paraId="301D50E7" w14:textId="77777777" w:rsidR="00CA3D3A" w:rsidRPr="002B4950" w:rsidRDefault="00CA3D3A">
            <w:pPr>
              <w:pStyle w:val="TableHeading"/>
              <w:rPr>
                <w:rFonts w:ascii="Calibri" w:hAnsi="Calibri" w:cs="Calibri"/>
                <w:lang w:eastAsia="ja-JP"/>
              </w:rPr>
            </w:pPr>
            <w:r w:rsidRPr="002B4950">
              <w:rPr>
                <w:rFonts w:ascii="Calibri" w:hAnsi="Calibri" w:cs="Calibri"/>
              </w:rPr>
              <w:t>Version</w:t>
            </w:r>
          </w:p>
        </w:tc>
        <w:tc>
          <w:tcPr>
            <w:tcW w:w="1701" w:type="dxa"/>
            <w:tcBorders>
              <w:left w:val="nil"/>
              <w:bottom w:val="single" w:sz="4" w:space="0" w:color="auto"/>
              <w:right w:val="nil"/>
            </w:tcBorders>
          </w:tcPr>
          <w:p w14:paraId="6FB5855B" w14:textId="77777777" w:rsidR="00CA3D3A" w:rsidRPr="002B4950" w:rsidRDefault="00CA3D3A">
            <w:pPr>
              <w:pStyle w:val="TableHeading"/>
              <w:rPr>
                <w:rFonts w:ascii="Calibri" w:hAnsi="Calibri" w:cs="Calibri"/>
                <w:bCs/>
                <w:lang w:eastAsia="ja-JP"/>
              </w:rPr>
            </w:pPr>
            <w:r w:rsidRPr="002B4950">
              <w:rPr>
                <w:rFonts w:ascii="Calibri" w:hAnsi="Calibri" w:cs="Calibri"/>
                <w:bCs/>
              </w:rPr>
              <w:t>Date of issue</w:t>
            </w:r>
          </w:p>
        </w:tc>
        <w:tc>
          <w:tcPr>
            <w:tcW w:w="2552" w:type="dxa"/>
            <w:tcBorders>
              <w:left w:val="nil"/>
              <w:bottom w:val="single" w:sz="4" w:space="0" w:color="auto"/>
              <w:right w:val="nil"/>
            </w:tcBorders>
          </w:tcPr>
          <w:p w14:paraId="21C9F34A" w14:textId="77777777" w:rsidR="00CA3D3A" w:rsidRPr="002B4950" w:rsidRDefault="00CA3D3A">
            <w:pPr>
              <w:pStyle w:val="TableHeading"/>
              <w:rPr>
                <w:rFonts w:ascii="Calibri" w:hAnsi="Calibri" w:cs="Calibri"/>
                <w:bCs/>
                <w:lang w:eastAsia="ja-JP"/>
              </w:rPr>
            </w:pPr>
            <w:r w:rsidRPr="002B4950">
              <w:rPr>
                <w:rFonts w:ascii="Calibri" w:hAnsi="Calibri" w:cs="Calibri"/>
                <w:bCs/>
              </w:rPr>
              <w:t>Author</w:t>
            </w:r>
          </w:p>
        </w:tc>
        <w:tc>
          <w:tcPr>
            <w:tcW w:w="3673" w:type="dxa"/>
            <w:tcBorders>
              <w:left w:val="nil"/>
              <w:bottom w:val="single" w:sz="4" w:space="0" w:color="auto"/>
              <w:right w:val="nil"/>
            </w:tcBorders>
          </w:tcPr>
          <w:p w14:paraId="5B8721D7" w14:textId="77777777" w:rsidR="00CA3D3A" w:rsidRPr="002B4950" w:rsidRDefault="00CA3D3A">
            <w:pPr>
              <w:pStyle w:val="TableHeading"/>
              <w:rPr>
                <w:rFonts w:ascii="Calibri" w:hAnsi="Calibri" w:cs="Calibri"/>
                <w:bCs/>
                <w:lang w:eastAsia="ja-JP"/>
              </w:rPr>
            </w:pPr>
            <w:r w:rsidRPr="002B4950">
              <w:rPr>
                <w:rFonts w:ascii="Calibri" w:hAnsi="Calibri" w:cs="Calibri"/>
                <w:bCs/>
              </w:rPr>
              <w:t>Reason for change</w:t>
            </w:r>
          </w:p>
        </w:tc>
      </w:tr>
      <w:tr w:rsidR="00CA3D3A" w:rsidRPr="002B4950" w14:paraId="74BF9C35" w14:textId="77777777">
        <w:tc>
          <w:tcPr>
            <w:tcW w:w="1134" w:type="dxa"/>
            <w:tcBorders>
              <w:left w:val="nil"/>
              <w:right w:val="nil"/>
            </w:tcBorders>
          </w:tcPr>
          <w:p w14:paraId="6ED91A0D" w14:textId="77777777" w:rsidR="00CA3D3A" w:rsidRPr="004B0374" w:rsidRDefault="00CA3D3A">
            <w:pPr>
              <w:pStyle w:val="TableText"/>
              <w:rPr>
                <w:rFonts w:ascii="Calibri" w:hAnsi="Calibri" w:cs="Calibri"/>
                <w:lang w:eastAsia="ja-JP"/>
              </w:rPr>
            </w:pPr>
            <w:r w:rsidRPr="004B0374">
              <w:rPr>
                <w:rFonts w:ascii="Calibri" w:hAnsi="Calibri" w:cs="Calibri"/>
                <w:lang w:eastAsia="ja-JP"/>
              </w:rPr>
              <w:t>1.0</w:t>
            </w:r>
          </w:p>
        </w:tc>
        <w:tc>
          <w:tcPr>
            <w:tcW w:w="1701" w:type="dxa"/>
            <w:tcBorders>
              <w:left w:val="nil"/>
              <w:right w:val="nil"/>
            </w:tcBorders>
          </w:tcPr>
          <w:p w14:paraId="19C95F02" w14:textId="1B5A656D" w:rsidR="00CA3D3A" w:rsidRPr="004B0374" w:rsidRDefault="004B0374">
            <w:pPr>
              <w:pStyle w:val="TableText"/>
              <w:rPr>
                <w:rFonts w:ascii="Calibri" w:hAnsi="Calibri" w:cs="Calibri"/>
                <w:lang w:eastAsia="ja-JP"/>
              </w:rPr>
            </w:pPr>
            <w:r w:rsidRPr="004B0374">
              <w:rPr>
                <w:rFonts w:ascii="Calibri" w:hAnsi="Calibri" w:cs="Calibri"/>
                <w:lang w:eastAsia="ja-JP"/>
              </w:rPr>
              <w:t>May</w:t>
            </w:r>
            <w:r w:rsidR="00CA3D3A" w:rsidRPr="004B0374">
              <w:rPr>
                <w:rFonts w:ascii="Calibri" w:hAnsi="Calibri" w:cs="Calibri"/>
                <w:lang w:eastAsia="ja-JP"/>
              </w:rPr>
              <w:t xml:space="preserve"> 202</w:t>
            </w:r>
            <w:r w:rsidR="006A39AC" w:rsidRPr="004B0374">
              <w:rPr>
                <w:rFonts w:ascii="Calibri" w:hAnsi="Calibri" w:cs="Calibri"/>
                <w:lang w:eastAsia="ja-JP"/>
              </w:rPr>
              <w:t>6</w:t>
            </w:r>
          </w:p>
        </w:tc>
        <w:tc>
          <w:tcPr>
            <w:tcW w:w="2552" w:type="dxa"/>
            <w:tcBorders>
              <w:left w:val="nil"/>
              <w:right w:val="nil"/>
            </w:tcBorders>
          </w:tcPr>
          <w:p w14:paraId="5D4E93FC" w14:textId="77777777" w:rsidR="00CA3D3A" w:rsidRPr="002B4950" w:rsidRDefault="00CA3D3A">
            <w:pPr>
              <w:pStyle w:val="TableText"/>
              <w:rPr>
                <w:rFonts w:ascii="Calibri" w:hAnsi="Calibri" w:cs="Calibri"/>
                <w:lang w:eastAsia="ja-JP"/>
              </w:rPr>
            </w:pPr>
            <w:r w:rsidRPr="002B4950">
              <w:rPr>
                <w:rFonts w:ascii="Calibri" w:hAnsi="Calibri" w:cs="Calibri"/>
                <w:lang w:eastAsia="ja-JP"/>
              </w:rPr>
              <w:t>Live Animal Export Branch</w:t>
            </w:r>
          </w:p>
        </w:tc>
        <w:tc>
          <w:tcPr>
            <w:tcW w:w="3673" w:type="dxa"/>
            <w:tcBorders>
              <w:left w:val="nil"/>
              <w:right w:val="nil"/>
            </w:tcBorders>
          </w:tcPr>
          <w:p w14:paraId="2A901698" w14:textId="77777777" w:rsidR="00CA3D3A" w:rsidRPr="002B4950" w:rsidRDefault="00CA3D3A">
            <w:pPr>
              <w:pStyle w:val="TableText"/>
              <w:rPr>
                <w:rFonts w:ascii="Calibri" w:hAnsi="Calibri" w:cs="Calibri"/>
                <w:lang w:eastAsia="ja-JP"/>
              </w:rPr>
            </w:pPr>
            <w:r w:rsidRPr="002B4950">
              <w:rPr>
                <w:rFonts w:ascii="Calibri" w:hAnsi="Calibri" w:cs="Calibri"/>
                <w:lang w:eastAsia="ja-JP"/>
              </w:rPr>
              <w:t>First publication</w:t>
            </w:r>
          </w:p>
        </w:tc>
      </w:tr>
    </w:tbl>
    <w:p w14:paraId="5C08BA9E" w14:textId="77777777" w:rsidR="00B269E9" w:rsidRDefault="00B269E9" w:rsidP="00B269E9">
      <w:pPr>
        <w:pStyle w:val="Normalsmall"/>
        <w:spacing w:after="0"/>
        <w:rPr>
          <w:rStyle w:val="Strong"/>
        </w:rPr>
      </w:pPr>
    </w:p>
    <w:p w14:paraId="150F2C58" w14:textId="207C4FA9" w:rsidR="00B269E9" w:rsidRDefault="00B269E9" w:rsidP="00B269E9">
      <w:pPr>
        <w:pStyle w:val="Normalsmall"/>
        <w:spacing w:after="0"/>
      </w:pPr>
      <w:r>
        <w:rPr>
          <w:rStyle w:val="Strong"/>
        </w:rPr>
        <w:t>Acknowledgement of Country</w:t>
      </w:r>
    </w:p>
    <w:p w14:paraId="0224F69A" w14:textId="77777777" w:rsidR="00B269E9" w:rsidRDefault="00B269E9" w:rsidP="00B269E9">
      <w:pPr>
        <w:pStyle w:val="Normalsmall"/>
      </w:pPr>
      <w:r w:rsidRPr="00093CD3">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5F15221F" w14:textId="77777777" w:rsidR="00B269E9" w:rsidRDefault="00B269E9" w:rsidP="00B269E9">
      <w:pPr>
        <w:pStyle w:val="Normalsmall"/>
        <w:spacing w:before="360"/>
      </w:pPr>
      <w:r>
        <w:t>© Commonwealth of Australia 2026</w:t>
      </w:r>
    </w:p>
    <w:p w14:paraId="48CAF799" w14:textId="77777777" w:rsidR="00B269E9" w:rsidRDefault="00B269E9" w:rsidP="00B269E9">
      <w:pPr>
        <w:pStyle w:val="Normalsmall"/>
      </w:pPr>
      <w:r>
        <w:t>Unless otherwise noted, copyright (and any other intellectual property rights) in this publication is owned by the Commonwealth of Australia (referred to as the Commonwealth).</w:t>
      </w:r>
    </w:p>
    <w:p w14:paraId="2D898E7C" w14:textId="77777777" w:rsidR="00B269E9" w:rsidRDefault="00B269E9" w:rsidP="00B269E9">
      <w:pPr>
        <w:pStyle w:val="Normalsmall"/>
      </w:pPr>
      <w:r>
        <w:t xml:space="preserve">All material in this publication is licensed under a </w:t>
      </w:r>
      <w:hyperlink r:id="rId19" w:history="1">
        <w:r>
          <w:rPr>
            <w:rStyle w:val="Hyperlink"/>
          </w:rPr>
          <w:t>Creative Commons Attribution 4.0 International Licence</w:t>
        </w:r>
      </w:hyperlink>
      <w:r>
        <w:t xml:space="preserve"> except content supplied by third parties, logos and the Commonwealth Coat of Arms.</w:t>
      </w:r>
    </w:p>
    <w:p w14:paraId="1D8ED3CA" w14:textId="146F8AC2" w:rsidR="00143713" w:rsidRPr="00904732" w:rsidRDefault="00B269E9" w:rsidP="00904732">
      <w:pPr>
        <w:pStyle w:val="Normalsmall"/>
      </w:pPr>
      <w:r>
        <w:t xml:space="preserve">The Australian Government acting through the </w:t>
      </w:r>
      <w:r w:rsidRPr="007B1F92">
        <w:t>Department of Agriculture, Fisheries and Forestry</w:t>
      </w:r>
      <w:r>
        <w:t xml:space="preserve"> has exercised due care and skill in preparing and compiling the information and data in this publication. Notwithstanding, the </w:t>
      </w:r>
      <w:r w:rsidRPr="007B1F92">
        <w:t>Department of Agriculture, Fisheries and Forestry</w:t>
      </w:r>
      <w:r>
        <w:t xml:space="preserve">, its employees and advisers disclaim all liability, including liability for negligence and for </w:t>
      </w:r>
      <w:r>
        <w:lastRenderedPageBreak/>
        <w:t>any loss, damage, injury, expense or cost incurred by any person as a result of accessing, using or relying on any of the information or data in this publication to the maximum extent permitted by law.</w:t>
      </w:r>
    </w:p>
    <w:sectPr w:rsidR="00143713" w:rsidRPr="00904732">
      <w:headerReference w:type="default" r:id="rId20"/>
      <w:footerReference w:type="default" r:id="rId21"/>
      <w:headerReference w:type="first" r:id="rId22"/>
      <w:footerReference w:type="first" r:id="rId23"/>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74C81" w14:textId="77777777" w:rsidR="00266F31" w:rsidRDefault="00266F31">
      <w:r>
        <w:separator/>
      </w:r>
    </w:p>
    <w:p w14:paraId="568EF077" w14:textId="77777777" w:rsidR="00266F31" w:rsidRDefault="00266F31"/>
    <w:p w14:paraId="44ABEBF5" w14:textId="77777777" w:rsidR="00266F31" w:rsidRDefault="00266F31"/>
  </w:endnote>
  <w:endnote w:type="continuationSeparator" w:id="0">
    <w:p w14:paraId="04342134" w14:textId="77777777" w:rsidR="00266F31" w:rsidRDefault="00266F31">
      <w:r>
        <w:continuationSeparator/>
      </w:r>
    </w:p>
    <w:p w14:paraId="5EEA89D3" w14:textId="77777777" w:rsidR="00266F31" w:rsidRDefault="00266F31"/>
    <w:p w14:paraId="66B65DDC" w14:textId="77777777" w:rsidR="00266F31" w:rsidRDefault="00266F31"/>
  </w:endnote>
  <w:endnote w:type="continuationNotice" w:id="1">
    <w:p w14:paraId="74258B91" w14:textId="77777777" w:rsidR="00266F31" w:rsidRDefault="00266F31">
      <w:pPr>
        <w:pStyle w:val="Footer"/>
      </w:pPr>
    </w:p>
    <w:p w14:paraId="5F6836BB" w14:textId="77777777" w:rsidR="00266F31" w:rsidRDefault="00266F31"/>
    <w:p w14:paraId="3C0883EB" w14:textId="77777777" w:rsidR="00266F31" w:rsidRDefault="00266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F7DA" w14:textId="2FA9D533" w:rsidR="00A22988" w:rsidRDefault="007B1F92" w:rsidP="00BB19B5">
    <w:pPr>
      <w:pStyle w:val="Footer"/>
      <w:spacing w:after="120"/>
    </w:pPr>
    <w:r w:rsidRPr="007B1F92">
      <w:t>Department of Agriculture, Fisheries and Forestry</w:t>
    </w:r>
  </w:p>
  <w:p w14:paraId="3DA88931" w14:textId="719B4AEA" w:rsidR="002A193C" w:rsidRDefault="002A193C" w:rsidP="00BB19B5">
    <w:pPr>
      <w:pStyle w:val="Footer"/>
      <w:spacing w:after="120"/>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FFD7" w14:textId="10F05FAB" w:rsidR="00923C03" w:rsidRDefault="002A193C" w:rsidP="007972DD">
    <w:pPr>
      <w:pStyle w:val="Footer"/>
      <w:spacing w:after="120"/>
    </w:pPr>
    <w:r>
      <w:t xml:space="preserve">Department of Agriculture, </w:t>
    </w:r>
    <w:r w:rsidR="00A9002C">
      <w:t>Fisheries and Forestry</w:t>
    </w:r>
  </w:p>
  <w:p w14:paraId="1A3E2713" w14:textId="602D5D9B" w:rsidR="002A193C" w:rsidRDefault="002A193C" w:rsidP="007972DD">
    <w:pPr>
      <w:pStyle w:val="Footer"/>
      <w:spacing w:after="120"/>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D072" w14:textId="77777777" w:rsidR="00266F31" w:rsidRDefault="00266F31">
      <w:r>
        <w:separator/>
      </w:r>
    </w:p>
    <w:p w14:paraId="31794D80" w14:textId="77777777" w:rsidR="00266F31" w:rsidRDefault="00266F31"/>
    <w:p w14:paraId="159F0829" w14:textId="77777777" w:rsidR="00266F31" w:rsidRDefault="00266F31"/>
  </w:footnote>
  <w:footnote w:type="continuationSeparator" w:id="0">
    <w:p w14:paraId="1B53B562" w14:textId="77777777" w:rsidR="00266F31" w:rsidRDefault="00266F31">
      <w:r>
        <w:continuationSeparator/>
      </w:r>
    </w:p>
    <w:p w14:paraId="75623AF7" w14:textId="77777777" w:rsidR="00266F31" w:rsidRDefault="00266F31"/>
    <w:p w14:paraId="547D0D6D" w14:textId="77777777" w:rsidR="00266F31" w:rsidRDefault="00266F31"/>
  </w:footnote>
  <w:footnote w:type="continuationNotice" w:id="1">
    <w:p w14:paraId="2956B5DF" w14:textId="77777777" w:rsidR="00266F31" w:rsidRDefault="00266F31">
      <w:pPr>
        <w:pStyle w:val="Footer"/>
      </w:pPr>
    </w:p>
    <w:p w14:paraId="7E8C0732" w14:textId="77777777" w:rsidR="00266F31" w:rsidRDefault="00266F31"/>
    <w:p w14:paraId="5CFD0B8A" w14:textId="77777777" w:rsidR="00266F31" w:rsidRDefault="00266F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4F9F" w14:textId="0213F659" w:rsidR="002A193C" w:rsidRDefault="00EA0FFA">
    <w:pPr>
      <w:pStyle w:val="Header"/>
    </w:pPr>
    <w:r w:rsidRPr="00EA0FFA">
      <w:t xml:space="preserve">Independent </w:t>
    </w:r>
    <w:r w:rsidR="009D14F3">
      <w:t>o</w:t>
    </w:r>
    <w:r w:rsidRPr="00EA0FFA">
      <w:t xml:space="preserve">bserver </w:t>
    </w:r>
    <w:r w:rsidR="009D14F3">
      <w:t>d</w:t>
    </w:r>
    <w:r w:rsidRPr="00EA0FFA">
      <w:t xml:space="preserve">eployment </w:t>
    </w:r>
    <w:r w:rsidR="009D14F3">
      <w:t>p</w:t>
    </w:r>
    <w:r w:rsidRPr="00EA0FFA">
      <w:t>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0585" w14:textId="5DE349D0" w:rsidR="002A193C" w:rsidRDefault="00D36729">
    <w:pPr>
      <w:pStyle w:val="Header"/>
      <w:jc w:val="left"/>
    </w:pPr>
    <w:r>
      <w:rPr>
        <w:noProof/>
        <w:lang w:eastAsia="en-AU"/>
      </w:rPr>
      <w:drawing>
        <wp:inline distT="0" distB="0" distL="0" distR="0" wp14:anchorId="65985857" wp14:editId="2081F526">
          <wp:extent cx="2542599" cy="738943"/>
          <wp:effectExtent l="0" t="0" r="0" b="4445"/>
          <wp:docPr id="1" name="Picture 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F7CBE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2566B1"/>
    <w:multiLevelType w:val="hybridMultilevel"/>
    <w:tmpl w:val="E1946598"/>
    <w:lvl w:ilvl="0" w:tplc="2464547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5396240"/>
    <w:multiLevelType w:val="hybridMultilevel"/>
    <w:tmpl w:val="FB744A5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198E247C"/>
    <w:multiLevelType w:val="hybridMultilevel"/>
    <w:tmpl w:val="2D267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3877CC"/>
    <w:multiLevelType w:val="hybridMultilevel"/>
    <w:tmpl w:val="257C5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C34527F"/>
    <w:multiLevelType w:val="hybridMultilevel"/>
    <w:tmpl w:val="360CD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713800"/>
    <w:multiLevelType w:val="hybridMultilevel"/>
    <w:tmpl w:val="BFE0994E"/>
    <w:lvl w:ilvl="0" w:tplc="31F4B07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6800B4"/>
    <w:multiLevelType w:val="multilevel"/>
    <w:tmpl w:val="5B762CBE"/>
    <w:numStyleLink w:val="List1"/>
  </w:abstractNum>
  <w:abstractNum w:abstractNumId="10"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1" w15:restartNumberingAfterBreak="0">
    <w:nsid w:val="49F329DA"/>
    <w:multiLevelType w:val="multilevel"/>
    <w:tmpl w:val="2B64EC84"/>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B025AE6"/>
    <w:multiLevelType w:val="hybridMultilevel"/>
    <w:tmpl w:val="DB32B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8B541B"/>
    <w:multiLevelType w:val="multilevel"/>
    <w:tmpl w:val="BF3294C2"/>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A12966"/>
    <w:multiLevelType w:val="multilevel"/>
    <w:tmpl w:val="5B762CBE"/>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7"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B07604"/>
    <w:multiLevelType w:val="hybridMultilevel"/>
    <w:tmpl w:val="6F1E4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E641903"/>
    <w:multiLevelType w:val="hybridMultilevel"/>
    <w:tmpl w:val="A1F0F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7268471">
    <w:abstractNumId w:val="15"/>
  </w:num>
  <w:num w:numId="2" w16cid:durableId="1355770275">
    <w:abstractNumId w:val="16"/>
  </w:num>
  <w:num w:numId="3" w16cid:durableId="1882862685">
    <w:abstractNumId w:val="6"/>
  </w:num>
  <w:num w:numId="4" w16cid:durableId="360508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13"/>
  </w:num>
  <w:num w:numId="6" w16cid:durableId="1314989398">
    <w:abstractNumId w:val="14"/>
  </w:num>
  <w:num w:numId="7" w16cid:durableId="951480071">
    <w:abstractNumId w:val="10"/>
  </w:num>
  <w:num w:numId="8" w16cid:durableId="844629787">
    <w:abstractNumId w:val="6"/>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3"/>
        <w:lvlText w:val="%1.%2"/>
        <w:lvlJc w:val="left"/>
        <w:pPr>
          <w:ind w:left="964" w:hanging="964"/>
        </w:pPr>
        <w:rPr>
          <w:rFonts w:hint="default"/>
        </w:rPr>
      </w:lvl>
    </w:lvlOverride>
    <w:lvlOverride w:ilvl="2">
      <w:lvl w:ilvl="2">
        <w:start w:val="1"/>
        <w:numFmt w:val="decimal"/>
        <w:pStyle w:val="Heading4"/>
        <w:lvlText w:val="%1.%2.%3"/>
        <w:lvlJc w:val="left"/>
        <w:pPr>
          <w:ind w:left="964" w:hanging="96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16cid:durableId="1698308952">
    <w:abstractNumId w:val="15"/>
  </w:num>
  <w:num w:numId="10" w16cid:durableId="547035718">
    <w:abstractNumId w:val="16"/>
  </w:num>
  <w:num w:numId="11" w16cid:durableId="1145393031">
    <w:abstractNumId w:val="2"/>
  </w:num>
  <w:num w:numId="12" w16cid:durableId="645671681">
    <w:abstractNumId w:val="17"/>
  </w:num>
  <w:num w:numId="13" w16cid:durableId="274824895">
    <w:abstractNumId w:val="20"/>
  </w:num>
  <w:num w:numId="14" w16cid:durableId="1361395064">
    <w:abstractNumId w:val="19"/>
  </w:num>
  <w:num w:numId="15" w16cid:durableId="236869232">
    <w:abstractNumId w:val="11"/>
  </w:num>
  <w:num w:numId="16" w16cid:durableId="605232295">
    <w:abstractNumId w:val="0"/>
  </w:num>
  <w:num w:numId="17" w16cid:durableId="64836380">
    <w:abstractNumId w:val="1"/>
  </w:num>
  <w:num w:numId="18" w16cid:durableId="382290608">
    <w:abstractNumId w:val="4"/>
  </w:num>
  <w:num w:numId="19" w16cid:durableId="532547198">
    <w:abstractNumId w:val="7"/>
  </w:num>
  <w:num w:numId="20" w16cid:durableId="1219710977">
    <w:abstractNumId w:val="21"/>
  </w:num>
  <w:num w:numId="21" w16cid:durableId="1486896204">
    <w:abstractNumId w:val="18"/>
  </w:num>
  <w:num w:numId="22" w16cid:durableId="1284458345">
    <w:abstractNumId w:val="12"/>
  </w:num>
  <w:num w:numId="23" w16cid:durableId="1778938491">
    <w:abstractNumId w:val="5"/>
  </w:num>
  <w:num w:numId="24" w16cid:durableId="2100519685">
    <w:abstractNumId w:val="3"/>
  </w:num>
  <w:num w:numId="25" w16cid:durableId="1646203740">
    <w:abstractNumId w:val="15"/>
  </w:num>
  <w:num w:numId="26" w16cid:durableId="905720640">
    <w:abstractNumId w:val="15"/>
  </w:num>
  <w:num w:numId="27" w16cid:durableId="1380863268">
    <w:abstractNumId w:val="15"/>
  </w:num>
  <w:num w:numId="28" w16cid:durableId="785221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AC"/>
    <w:rsid w:val="000013A1"/>
    <w:rsid w:val="00003F4F"/>
    <w:rsid w:val="00005698"/>
    <w:rsid w:val="000141FC"/>
    <w:rsid w:val="00016388"/>
    <w:rsid w:val="00020AD1"/>
    <w:rsid w:val="000248A4"/>
    <w:rsid w:val="00025A1F"/>
    <w:rsid w:val="00025E99"/>
    <w:rsid w:val="00026242"/>
    <w:rsid w:val="00031D96"/>
    <w:rsid w:val="00032F9A"/>
    <w:rsid w:val="00033040"/>
    <w:rsid w:val="00034031"/>
    <w:rsid w:val="00034E5B"/>
    <w:rsid w:val="00035CE1"/>
    <w:rsid w:val="00036AAD"/>
    <w:rsid w:val="000403B7"/>
    <w:rsid w:val="000406A1"/>
    <w:rsid w:val="00040BE0"/>
    <w:rsid w:val="00045C70"/>
    <w:rsid w:val="00046F65"/>
    <w:rsid w:val="00047CF6"/>
    <w:rsid w:val="00047DDB"/>
    <w:rsid w:val="0005162D"/>
    <w:rsid w:val="00053343"/>
    <w:rsid w:val="00053444"/>
    <w:rsid w:val="00053B59"/>
    <w:rsid w:val="00054C36"/>
    <w:rsid w:val="000553D1"/>
    <w:rsid w:val="00055E32"/>
    <w:rsid w:val="000611CB"/>
    <w:rsid w:val="00061D1A"/>
    <w:rsid w:val="00062879"/>
    <w:rsid w:val="00065AEC"/>
    <w:rsid w:val="00066589"/>
    <w:rsid w:val="000671B6"/>
    <w:rsid w:val="00071549"/>
    <w:rsid w:val="00071927"/>
    <w:rsid w:val="00072EFF"/>
    <w:rsid w:val="00074B5B"/>
    <w:rsid w:val="00076FE3"/>
    <w:rsid w:val="000804DB"/>
    <w:rsid w:val="0008073C"/>
    <w:rsid w:val="0008360C"/>
    <w:rsid w:val="00083CB6"/>
    <w:rsid w:val="00084E5B"/>
    <w:rsid w:val="00085518"/>
    <w:rsid w:val="0008592C"/>
    <w:rsid w:val="00086913"/>
    <w:rsid w:val="00091B08"/>
    <w:rsid w:val="00091E7A"/>
    <w:rsid w:val="00093CD3"/>
    <w:rsid w:val="00095CB0"/>
    <w:rsid w:val="00096D82"/>
    <w:rsid w:val="000A23FC"/>
    <w:rsid w:val="000A2407"/>
    <w:rsid w:val="000A2720"/>
    <w:rsid w:val="000A2B12"/>
    <w:rsid w:val="000A6351"/>
    <w:rsid w:val="000A79A1"/>
    <w:rsid w:val="000B13D2"/>
    <w:rsid w:val="000B15FE"/>
    <w:rsid w:val="000B3048"/>
    <w:rsid w:val="000C00CB"/>
    <w:rsid w:val="000C084B"/>
    <w:rsid w:val="000C1CCF"/>
    <w:rsid w:val="000C609A"/>
    <w:rsid w:val="000C672C"/>
    <w:rsid w:val="000D0AA7"/>
    <w:rsid w:val="000D0CD6"/>
    <w:rsid w:val="000D2BCE"/>
    <w:rsid w:val="000D6DD8"/>
    <w:rsid w:val="000E4D8B"/>
    <w:rsid w:val="000E5719"/>
    <w:rsid w:val="000E5CF8"/>
    <w:rsid w:val="000F3A3A"/>
    <w:rsid w:val="000F50DD"/>
    <w:rsid w:val="000F5C3C"/>
    <w:rsid w:val="000F6F08"/>
    <w:rsid w:val="0010192B"/>
    <w:rsid w:val="00102342"/>
    <w:rsid w:val="00102A0D"/>
    <w:rsid w:val="00103D93"/>
    <w:rsid w:val="001041B7"/>
    <w:rsid w:val="001078D3"/>
    <w:rsid w:val="00111BA5"/>
    <w:rsid w:val="00112B86"/>
    <w:rsid w:val="00113563"/>
    <w:rsid w:val="0011498A"/>
    <w:rsid w:val="00116A3F"/>
    <w:rsid w:val="0011722D"/>
    <w:rsid w:val="00117560"/>
    <w:rsid w:val="00120C31"/>
    <w:rsid w:val="00124A7E"/>
    <w:rsid w:val="00125D46"/>
    <w:rsid w:val="00130E05"/>
    <w:rsid w:val="0013201F"/>
    <w:rsid w:val="00132131"/>
    <w:rsid w:val="00132BD0"/>
    <w:rsid w:val="00134E1D"/>
    <w:rsid w:val="001409E3"/>
    <w:rsid w:val="00140BCB"/>
    <w:rsid w:val="00142D40"/>
    <w:rsid w:val="00142E60"/>
    <w:rsid w:val="00143713"/>
    <w:rsid w:val="00143D48"/>
    <w:rsid w:val="001450BA"/>
    <w:rsid w:val="00146A76"/>
    <w:rsid w:val="00146B8F"/>
    <w:rsid w:val="00146C5B"/>
    <w:rsid w:val="001472F3"/>
    <w:rsid w:val="00147478"/>
    <w:rsid w:val="001504C6"/>
    <w:rsid w:val="00152341"/>
    <w:rsid w:val="00152686"/>
    <w:rsid w:val="00154489"/>
    <w:rsid w:val="00154A93"/>
    <w:rsid w:val="00155F6D"/>
    <w:rsid w:val="00155FFA"/>
    <w:rsid w:val="001567E9"/>
    <w:rsid w:val="001576CD"/>
    <w:rsid w:val="001577CA"/>
    <w:rsid w:val="00160163"/>
    <w:rsid w:val="00160C9F"/>
    <w:rsid w:val="00160E98"/>
    <w:rsid w:val="001611AE"/>
    <w:rsid w:val="0016263D"/>
    <w:rsid w:val="00164E13"/>
    <w:rsid w:val="00165971"/>
    <w:rsid w:val="00171341"/>
    <w:rsid w:val="0017284F"/>
    <w:rsid w:val="0017633B"/>
    <w:rsid w:val="0017693A"/>
    <w:rsid w:val="00177079"/>
    <w:rsid w:val="001800B2"/>
    <w:rsid w:val="001802A3"/>
    <w:rsid w:val="00180BC9"/>
    <w:rsid w:val="00182127"/>
    <w:rsid w:val="00182999"/>
    <w:rsid w:val="00183320"/>
    <w:rsid w:val="00183612"/>
    <w:rsid w:val="00186A3A"/>
    <w:rsid w:val="00192EA5"/>
    <w:rsid w:val="00194AD1"/>
    <w:rsid w:val="0019504D"/>
    <w:rsid w:val="001950EF"/>
    <w:rsid w:val="0019611C"/>
    <w:rsid w:val="001A052C"/>
    <w:rsid w:val="001A078F"/>
    <w:rsid w:val="001A1F79"/>
    <w:rsid w:val="001A204D"/>
    <w:rsid w:val="001A2B1B"/>
    <w:rsid w:val="001A50BF"/>
    <w:rsid w:val="001A62C9"/>
    <w:rsid w:val="001A640E"/>
    <w:rsid w:val="001B0CA3"/>
    <w:rsid w:val="001B1009"/>
    <w:rsid w:val="001B64FA"/>
    <w:rsid w:val="001B690D"/>
    <w:rsid w:val="001C0828"/>
    <w:rsid w:val="001C14B3"/>
    <w:rsid w:val="001C1BEF"/>
    <w:rsid w:val="001C3583"/>
    <w:rsid w:val="001C47F0"/>
    <w:rsid w:val="001C5390"/>
    <w:rsid w:val="001C5437"/>
    <w:rsid w:val="001C6430"/>
    <w:rsid w:val="001C74A1"/>
    <w:rsid w:val="001D0BB9"/>
    <w:rsid w:val="001D1AFF"/>
    <w:rsid w:val="001D500F"/>
    <w:rsid w:val="001D51F0"/>
    <w:rsid w:val="001D77BC"/>
    <w:rsid w:val="001E1BF2"/>
    <w:rsid w:val="001E1C4C"/>
    <w:rsid w:val="001E6574"/>
    <w:rsid w:val="001E7F99"/>
    <w:rsid w:val="001F0B49"/>
    <w:rsid w:val="001F1E29"/>
    <w:rsid w:val="001F38B2"/>
    <w:rsid w:val="001F4025"/>
    <w:rsid w:val="001F4FD5"/>
    <w:rsid w:val="00200309"/>
    <w:rsid w:val="002012C5"/>
    <w:rsid w:val="00201500"/>
    <w:rsid w:val="0020399C"/>
    <w:rsid w:val="002047AE"/>
    <w:rsid w:val="00206D67"/>
    <w:rsid w:val="002070AB"/>
    <w:rsid w:val="0021124B"/>
    <w:rsid w:val="0021151E"/>
    <w:rsid w:val="00214C23"/>
    <w:rsid w:val="00215B7C"/>
    <w:rsid w:val="00216019"/>
    <w:rsid w:val="0021684B"/>
    <w:rsid w:val="0021686A"/>
    <w:rsid w:val="00216901"/>
    <w:rsid w:val="00217754"/>
    <w:rsid w:val="00217B53"/>
    <w:rsid w:val="00221615"/>
    <w:rsid w:val="00221D55"/>
    <w:rsid w:val="00222B30"/>
    <w:rsid w:val="00223D76"/>
    <w:rsid w:val="00223FDE"/>
    <w:rsid w:val="0022686A"/>
    <w:rsid w:val="002279FC"/>
    <w:rsid w:val="00227AD7"/>
    <w:rsid w:val="00231525"/>
    <w:rsid w:val="00232CEB"/>
    <w:rsid w:val="002332ED"/>
    <w:rsid w:val="00235C93"/>
    <w:rsid w:val="0023605F"/>
    <w:rsid w:val="00236BA8"/>
    <w:rsid w:val="00236E3E"/>
    <w:rsid w:val="0024424F"/>
    <w:rsid w:val="00245EBD"/>
    <w:rsid w:val="002466E1"/>
    <w:rsid w:val="00251775"/>
    <w:rsid w:val="00251EAF"/>
    <w:rsid w:val="00252EC0"/>
    <w:rsid w:val="00254F37"/>
    <w:rsid w:val="00256009"/>
    <w:rsid w:val="00260921"/>
    <w:rsid w:val="00262394"/>
    <w:rsid w:val="002634F0"/>
    <w:rsid w:val="00266F31"/>
    <w:rsid w:val="0026786B"/>
    <w:rsid w:val="00272149"/>
    <w:rsid w:val="002736F3"/>
    <w:rsid w:val="0027439C"/>
    <w:rsid w:val="00274C12"/>
    <w:rsid w:val="0027564A"/>
    <w:rsid w:val="00277513"/>
    <w:rsid w:val="00277530"/>
    <w:rsid w:val="00280069"/>
    <w:rsid w:val="002806D8"/>
    <w:rsid w:val="00280A2C"/>
    <w:rsid w:val="00280A8F"/>
    <w:rsid w:val="002815E6"/>
    <w:rsid w:val="00282749"/>
    <w:rsid w:val="00284DC6"/>
    <w:rsid w:val="0028608A"/>
    <w:rsid w:val="00287757"/>
    <w:rsid w:val="00290ACE"/>
    <w:rsid w:val="002918A8"/>
    <w:rsid w:val="002945FF"/>
    <w:rsid w:val="002958EB"/>
    <w:rsid w:val="00296223"/>
    <w:rsid w:val="002A003B"/>
    <w:rsid w:val="002A068E"/>
    <w:rsid w:val="002A193C"/>
    <w:rsid w:val="002A19F5"/>
    <w:rsid w:val="002A273A"/>
    <w:rsid w:val="002A2B9E"/>
    <w:rsid w:val="002A4DB3"/>
    <w:rsid w:val="002A76AD"/>
    <w:rsid w:val="002B46BB"/>
    <w:rsid w:val="002B4753"/>
    <w:rsid w:val="002B665A"/>
    <w:rsid w:val="002C1A5A"/>
    <w:rsid w:val="002C35B3"/>
    <w:rsid w:val="002C6D56"/>
    <w:rsid w:val="002D1093"/>
    <w:rsid w:val="002D5ECA"/>
    <w:rsid w:val="002D731A"/>
    <w:rsid w:val="002E2DDF"/>
    <w:rsid w:val="002E2F36"/>
    <w:rsid w:val="002E32F1"/>
    <w:rsid w:val="002E4079"/>
    <w:rsid w:val="002E5D58"/>
    <w:rsid w:val="002E622C"/>
    <w:rsid w:val="002E71B2"/>
    <w:rsid w:val="002E758A"/>
    <w:rsid w:val="002E7FA8"/>
    <w:rsid w:val="002F085B"/>
    <w:rsid w:val="002F647A"/>
    <w:rsid w:val="002F7071"/>
    <w:rsid w:val="002F7FD7"/>
    <w:rsid w:val="003005B7"/>
    <w:rsid w:val="0030225A"/>
    <w:rsid w:val="00302EB3"/>
    <w:rsid w:val="00303597"/>
    <w:rsid w:val="00304C1D"/>
    <w:rsid w:val="00305911"/>
    <w:rsid w:val="00307C5C"/>
    <w:rsid w:val="00310856"/>
    <w:rsid w:val="003121F9"/>
    <w:rsid w:val="003131EF"/>
    <w:rsid w:val="003170C2"/>
    <w:rsid w:val="00322369"/>
    <w:rsid w:val="00323D8B"/>
    <w:rsid w:val="00326F94"/>
    <w:rsid w:val="0033045C"/>
    <w:rsid w:val="00333C70"/>
    <w:rsid w:val="003348BC"/>
    <w:rsid w:val="0033546D"/>
    <w:rsid w:val="003364F1"/>
    <w:rsid w:val="003369F7"/>
    <w:rsid w:val="00336B42"/>
    <w:rsid w:val="00340820"/>
    <w:rsid w:val="003418E2"/>
    <w:rsid w:val="003419BB"/>
    <w:rsid w:val="00342159"/>
    <w:rsid w:val="003423B7"/>
    <w:rsid w:val="0034290E"/>
    <w:rsid w:val="00344651"/>
    <w:rsid w:val="00345118"/>
    <w:rsid w:val="00346A20"/>
    <w:rsid w:val="00346CFF"/>
    <w:rsid w:val="0035143B"/>
    <w:rsid w:val="00351E6B"/>
    <w:rsid w:val="003569DA"/>
    <w:rsid w:val="00357095"/>
    <w:rsid w:val="0035766B"/>
    <w:rsid w:val="00360BF7"/>
    <w:rsid w:val="00361BC1"/>
    <w:rsid w:val="00362353"/>
    <w:rsid w:val="00362AFB"/>
    <w:rsid w:val="003660BA"/>
    <w:rsid w:val="0036688C"/>
    <w:rsid w:val="003673ED"/>
    <w:rsid w:val="00367B01"/>
    <w:rsid w:val="00367EE6"/>
    <w:rsid w:val="00370AD1"/>
    <w:rsid w:val="00371803"/>
    <w:rsid w:val="003746A0"/>
    <w:rsid w:val="00375A6F"/>
    <w:rsid w:val="003762FC"/>
    <w:rsid w:val="00376747"/>
    <w:rsid w:val="00376CCE"/>
    <w:rsid w:val="00380223"/>
    <w:rsid w:val="0038029D"/>
    <w:rsid w:val="003807EE"/>
    <w:rsid w:val="00381D23"/>
    <w:rsid w:val="003866E3"/>
    <w:rsid w:val="003936CB"/>
    <w:rsid w:val="00394103"/>
    <w:rsid w:val="0039537E"/>
    <w:rsid w:val="00396339"/>
    <w:rsid w:val="00396B10"/>
    <w:rsid w:val="003A02FB"/>
    <w:rsid w:val="003A1457"/>
    <w:rsid w:val="003A1938"/>
    <w:rsid w:val="003A330F"/>
    <w:rsid w:val="003A499D"/>
    <w:rsid w:val="003A4B4A"/>
    <w:rsid w:val="003B1C95"/>
    <w:rsid w:val="003B2D46"/>
    <w:rsid w:val="003B2F93"/>
    <w:rsid w:val="003B3089"/>
    <w:rsid w:val="003B394C"/>
    <w:rsid w:val="003B4CDA"/>
    <w:rsid w:val="003B4F30"/>
    <w:rsid w:val="003B549B"/>
    <w:rsid w:val="003C143E"/>
    <w:rsid w:val="003C1E65"/>
    <w:rsid w:val="003C4007"/>
    <w:rsid w:val="003C4BE2"/>
    <w:rsid w:val="003C6AE9"/>
    <w:rsid w:val="003D07D6"/>
    <w:rsid w:val="003D09D2"/>
    <w:rsid w:val="003D3CE1"/>
    <w:rsid w:val="003D44DC"/>
    <w:rsid w:val="003D48E5"/>
    <w:rsid w:val="003D7ED5"/>
    <w:rsid w:val="003D7FA2"/>
    <w:rsid w:val="003E11A3"/>
    <w:rsid w:val="003E1F12"/>
    <w:rsid w:val="003E4252"/>
    <w:rsid w:val="003E4591"/>
    <w:rsid w:val="003E4B0A"/>
    <w:rsid w:val="003E4E8E"/>
    <w:rsid w:val="003E5B1C"/>
    <w:rsid w:val="003E6A40"/>
    <w:rsid w:val="003E7588"/>
    <w:rsid w:val="003F4EC3"/>
    <w:rsid w:val="003F59C4"/>
    <w:rsid w:val="003F5AB4"/>
    <w:rsid w:val="003F7D43"/>
    <w:rsid w:val="00402404"/>
    <w:rsid w:val="00402503"/>
    <w:rsid w:val="004027BE"/>
    <w:rsid w:val="00404EA2"/>
    <w:rsid w:val="00405258"/>
    <w:rsid w:val="00406AC2"/>
    <w:rsid w:val="0041093C"/>
    <w:rsid w:val="00410FE0"/>
    <w:rsid w:val="00411A0F"/>
    <w:rsid w:val="00412432"/>
    <w:rsid w:val="004127DB"/>
    <w:rsid w:val="004131C6"/>
    <w:rsid w:val="004200FF"/>
    <w:rsid w:val="00422747"/>
    <w:rsid w:val="004247A2"/>
    <w:rsid w:val="004266BF"/>
    <w:rsid w:val="00430840"/>
    <w:rsid w:val="004332A0"/>
    <w:rsid w:val="00434C83"/>
    <w:rsid w:val="004362E8"/>
    <w:rsid w:val="00436D33"/>
    <w:rsid w:val="00436FAA"/>
    <w:rsid w:val="00443537"/>
    <w:rsid w:val="004450D1"/>
    <w:rsid w:val="0044547C"/>
    <w:rsid w:val="00445B51"/>
    <w:rsid w:val="00446DB5"/>
    <w:rsid w:val="0044724F"/>
    <w:rsid w:val="00447EEA"/>
    <w:rsid w:val="004503FE"/>
    <w:rsid w:val="00450F3E"/>
    <w:rsid w:val="00451E21"/>
    <w:rsid w:val="00453F6B"/>
    <w:rsid w:val="00456E0C"/>
    <w:rsid w:val="00456E43"/>
    <w:rsid w:val="00460750"/>
    <w:rsid w:val="00463555"/>
    <w:rsid w:val="0046466F"/>
    <w:rsid w:val="004659DD"/>
    <w:rsid w:val="004676A7"/>
    <w:rsid w:val="004705F2"/>
    <w:rsid w:val="00471F3B"/>
    <w:rsid w:val="0047215C"/>
    <w:rsid w:val="004728CA"/>
    <w:rsid w:val="00473964"/>
    <w:rsid w:val="004743CB"/>
    <w:rsid w:val="00474C76"/>
    <w:rsid w:val="004779C4"/>
    <w:rsid w:val="00477FE4"/>
    <w:rsid w:val="00480079"/>
    <w:rsid w:val="004825C6"/>
    <w:rsid w:val="00482FD5"/>
    <w:rsid w:val="0048315C"/>
    <w:rsid w:val="004837B1"/>
    <w:rsid w:val="0048569E"/>
    <w:rsid w:val="00486054"/>
    <w:rsid w:val="00486C20"/>
    <w:rsid w:val="00490E7F"/>
    <w:rsid w:val="00491228"/>
    <w:rsid w:val="004922C0"/>
    <w:rsid w:val="00493FD9"/>
    <w:rsid w:val="00494590"/>
    <w:rsid w:val="004950CD"/>
    <w:rsid w:val="0049564E"/>
    <w:rsid w:val="00495838"/>
    <w:rsid w:val="004A093D"/>
    <w:rsid w:val="004A1426"/>
    <w:rsid w:val="004A1974"/>
    <w:rsid w:val="004A1D9C"/>
    <w:rsid w:val="004A2AD1"/>
    <w:rsid w:val="004A5FF0"/>
    <w:rsid w:val="004A6278"/>
    <w:rsid w:val="004B0374"/>
    <w:rsid w:val="004B1135"/>
    <w:rsid w:val="004B280F"/>
    <w:rsid w:val="004B2EA2"/>
    <w:rsid w:val="004B3B66"/>
    <w:rsid w:val="004B3BAF"/>
    <w:rsid w:val="004B52A4"/>
    <w:rsid w:val="004B5BD5"/>
    <w:rsid w:val="004B707B"/>
    <w:rsid w:val="004B7796"/>
    <w:rsid w:val="004B7BA9"/>
    <w:rsid w:val="004C0B92"/>
    <w:rsid w:val="004C2F5E"/>
    <w:rsid w:val="004C6362"/>
    <w:rsid w:val="004C688E"/>
    <w:rsid w:val="004C6C47"/>
    <w:rsid w:val="004C6F02"/>
    <w:rsid w:val="004D1A64"/>
    <w:rsid w:val="004D6AB8"/>
    <w:rsid w:val="004D7484"/>
    <w:rsid w:val="004E226E"/>
    <w:rsid w:val="004E3FBC"/>
    <w:rsid w:val="004E4155"/>
    <w:rsid w:val="004E4A10"/>
    <w:rsid w:val="004E4B0A"/>
    <w:rsid w:val="004E6EAA"/>
    <w:rsid w:val="004E76F4"/>
    <w:rsid w:val="004E77D7"/>
    <w:rsid w:val="004E78E7"/>
    <w:rsid w:val="004F0375"/>
    <w:rsid w:val="004F181D"/>
    <w:rsid w:val="004F21E2"/>
    <w:rsid w:val="004F51BA"/>
    <w:rsid w:val="004F6774"/>
    <w:rsid w:val="004F7AB9"/>
    <w:rsid w:val="005014F9"/>
    <w:rsid w:val="00503CF3"/>
    <w:rsid w:val="005041E5"/>
    <w:rsid w:val="005043C7"/>
    <w:rsid w:val="00507F27"/>
    <w:rsid w:val="00512FF8"/>
    <w:rsid w:val="005226C0"/>
    <w:rsid w:val="00532363"/>
    <w:rsid w:val="00532838"/>
    <w:rsid w:val="00532842"/>
    <w:rsid w:val="0053342E"/>
    <w:rsid w:val="00533546"/>
    <w:rsid w:val="00533BA2"/>
    <w:rsid w:val="00537377"/>
    <w:rsid w:val="00541732"/>
    <w:rsid w:val="00543049"/>
    <w:rsid w:val="005437CC"/>
    <w:rsid w:val="00544B8A"/>
    <w:rsid w:val="00545896"/>
    <w:rsid w:val="0054684E"/>
    <w:rsid w:val="00551024"/>
    <w:rsid w:val="00553311"/>
    <w:rsid w:val="00554DA2"/>
    <w:rsid w:val="00557293"/>
    <w:rsid w:val="005618ED"/>
    <w:rsid w:val="00561DE9"/>
    <w:rsid w:val="005625EE"/>
    <w:rsid w:val="00563FFF"/>
    <w:rsid w:val="00564848"/>
    <w:rsid w:val="00564876"/>
    <w:rsid w:val="00565221"/>
    <w:rsid w:val="005669E4"/>
    <w:rsid w:val="005677AE"/>
    <w:rsid w:val="005719B3"/>
    <w:rsid w:val="005732BD"/>
    <w:rsid w:val="00574022"/>
    <w:rsid w:val="00574596"/>
    <w:rsid w:val="0057593B"/>
    <w:rsid w:val="00582DC0"/>
    <w:rsid w:val="00583179"/>
    <w:rsid w:val="00585A70"/>
    <w:rsid w:val="00585A9B"/>
    <w:rsid w:val="00586EB8"/>
    <w:rsid w:val="005905FA"/>
    <w:rsid w:val="00592079"/>
    <w:rsid w:val="0059227B"/>
    <w:rsid w:val="00593478"/>
    <w:rsid w:val="0059380F"/>
    <w:rsid w:val="00593F58"/>
    <w:rsid w:val="005960D8"/>
    <w:rsid w:val="005A14FA"/>
    <w:rsid w:val="005A2048"/>
    <w:rsid w:val="005B3B90"/>
    <w:rsid w:val="005B4149"/>
    <w:rsid w:val="005B4456"/>
    <w:rsid w:val="005B59FD"/>
    <w:rsid w:val="005B79E5"/>
    <w:rsid w:val="005C03AA"/>
    <w:rsid w:val="005C10E1"/>
    <w:rsid w:val="005C1D91"/>
    <w:rsid w:val="005C33A9"/>
    <w:rsid w:val="005C3A39"/>
    <w:rsid w:val="005C3E57"/>
    <w:rsid w:val="005C7F9F"/>
    <w:rsid w:val="005D1264"/>
    <w:rsid w:val="005D327F"/>
    <w:rsid w:val="005D51C8"/>
    <w:rsid w:val="005D63CB"/>
    <w:rsid w:val="005D68F6"/>
    <w:rsid w:val="005E25BD"/>
    <w:rsid w:val="005E40EE"/>
    <w:rsid w:val="005F0340"/>
    <w:rsid w:val="005F0E4D"/>
    <w:rsid w:val="005F3704"/>
    <w:rsid w:val="005F3883"/>
    <w:rsid w:val="005F390D"/>
    <w:rsid w:val="005F491B"/>
    <w:rsid w:val="005F7ED2"/>
    <w:rsid w:val="006001E6"/>
    <w:rsid w:val="0060234D"/>
    <w:rsid w:val="00602380"/>
    <w:rsid w:val="00604172"/>
    <w:rsid w:val="00604478"/>
    <w:rsid w:val="006047C2"/>
    <w:rsid w:val="00606AAC"/>
    <w:rsid w:val="00610408"/>
    <w:rsid w:val="00611DA7"/>
    <w:rsid w:val="00612195"/>
    <w:rsid w:val="006125F8"/>
    <w:rsid w:val="00613859"/>
    <w:rsid w:val="006140E1"/>
    <w:rsid w:val="00617A9B"/>
    <w:rsid w:val="00617B5B"/>
    <w:rsid w:val="006210EF"/>
    <w:rsid w:val="006229F1"/>
    <w:rsid w:val="006247AF"/>
    <w:rsid w:val="00625EDD"/>
    <w:rsid w:val="00626988"/>
    <w:rsid w:val="006274EE"/>
    <w:rsid w:val="006279F4"/>
    <w:rsid w:val="00627CD4"/>
    <w:rsid w:val="00632035"/>
    <w:rsid w:val="006326E3"/>
    <w:rsid w:val="00634CA8"/>
    <w:rsid w:val="00636392"/>
    <w:rsid w:val="00637951"/>
    <w:rsid w:val="006416D4"/>
    <w:rsid w:val="00644D9F"/>
    <w:rsid w:val="00646B63"/>
    <w:rsid w:val="00646C64"/>
    <w:rsid w:val="006529A7"/>
    <w:rsid w:val="00652E6F"/>
    <w:rsid w:val="0065305A"/>
    <w:rsid w:val="00653654"/>
    <w:rsid w:val="006539BC"/>
    <w:rsid w:val="00657019"/>
    <w:rsid w:val="006604A5"/>
    <w:rsid w:val="00661C0C"/>
    <w:rsid w:val="00662C76"/>
    <w:rsid w:val="006638FA"/>
    <w:rsid w:val="00664862"/>
    <w:rsid w:val="00664C39"/>
    <w:rsid w:val="00664EA0"/>
    <w:rsid w:val="00665AB3"/>
    <w:rsid w:val="00665BE5"/>
    <w:rsid w:val="0066652F"/>
    <w:rsid w:val="006707D4"/>
    <w:rsid w:val="00671D7F"/>
    <w:rsid w:val="00673330"/>
    <w:rsid w:val="00675B6B"/>
    <w:rsid w:val="006765D5"/>
    <w:rsid w:val="00677289"/>
    <w:rsid w:val="00680A39"/>
    <w:rsid w:val="00680DED"/>
    <w:rsid w:val="006813A2"/>
    <w:rsid w:val="00684DA1"/>
    <w:rsid w:val="00684F88"/>
    <w:rsid w:val="00686348"/>
    <w:rsid w:val="00686366"/>
    <w:rsid w:val="006867B8"/>
    <w:rsid w:val="0068717C"/>
    <w:rsid w:val="00687D49"/>
    <w:rsid w:val="00690D6C"/>
    <w:rsid w:val="00691132"/>
    <w:rsid w:val="006916F6"/>
    <w:rsid w:val="006928FD"/>
    <w:rsid w:val="00693050"/>
    <w:rsid w:val="00693731"/>
    <w:rsid w:val="006949DB"/>
    <w:rsid w:val="006951FB"/>
    <w:rsid w:val="006A1551"/>
    <w:rsid w:val="006A24FB"/>
    <w:rsid w:val="006A39AC"/>
    <w:rsid w:val="006A7F1C"/>
    <w:rsid w:val="006B0585"/>
    <w:rsid w:val="006B2876"/>
    <w:rsid w:val="006B3F13"/>
    <w:rsid w:val="006B592E"/>
    <w:rsid w:val="006B5C3A"/>
    <w:rsid w:val="006B64BD"/>
    <w:rsid w:val="006C0465"/>
    <w:rsid w:val="006C446F"/>
    <w:rsid w:val="006C5F9B"/>
    <w:rsid w:val="006C6767"/>
    <w:rsid w:val="006C735D"/>
    <w:rsid w:val="006D3112"/>
    <w:rsid w:val="006D311D"/>
    <w:rsid w:val="006D366A"/>
    <w:rsid w:val="006D37F2"/>
    <w:rsid w:val="006D4A53"/>
    <w:rsid w:val="006D5BDE"/>
    <w:rsid w:val="006D5F11"/>
    <w:rsid w:val="006D5F4B"/>
    <w:rsid w:val="006D64D9"/>
    <w:rsid w:val="006E1CF5"/>
    <w:rsid w:val="006E2491"/>
    <w:rsid w:val="006E3659"/>
    <w:rsid w:val="006E52E1"/>
    <w:rsid w:val="006E543B"/>
    <w:rsid w:val="006E55A9"/>
    <w:rsid w:val="006E5EE0"/>
    <w:rsid w:val="006E6B79"/>
    <w:rsid w:val="006F085F"/>
    <w:rsid w:val="006F5270"/>
    <w:rsid w:val="006F57AE"/>
    <w:rsid w:val="006F5946"/>
    <w:rsid w:val="00700638"/>
    <w:rsid w:val="00700B7B"/>
    <w:rsid w:val="00700F0E"/>
    <w:rsid w:val="00701D1F"/>
    <w:rsid w:val="00704CE7"/>
    <w:rsid w:val="007052FC"/>
    <w:rsid w:val="007055E2"/>
    <w:rsid w:val="00705BDC"/>
    <w:rsid w:val="00705F52"/>
    <w:rsid w:val="00707194"/>
    <w:rsid w:val="00710DCF"/>
    <w:rsid w:val="0071153C"/>
    <w:rsid w:val="00713797"/>
    <w:rsid w:val="0071492F"/>
    <w:rsid w:val="00716070"/>
    <w:rsid w:val="00716ACE"/>
    <w:rsid w:val="00717095"/>
    <w:rsid w:val="00721302"/>
    <w:rsid w:val="00721EE7"/>
    <w:rsid w:val="0072206E"/>
    <w:rsid w:val="0072428D"/>
    <w:rsid w:val="007253D3"/>
    <w:rsid w:val="00726BF5"/>
    <w:rsid w:val="00726E32"/>
    <w:rsid w:val="00727300"/>
    <w:rsid w:val="00727FA8"/>
    <w:rsid w:val="00730EBF"/>
    <w:rsid w:val="00732EF4"/>
    <w:rsid w:val="0073382D"/>
    <w:rsid w:val="00733E43"/>
    <w:rsid w:val="00735002"/>
    <w:rsid w:val="00735FB5"/>
    <w:rsid w:val="007379EF"/>
    <w:rsid w:val="007405CB"/>
    <w:rsid w:val="007417EF"/>
    <w:rsid w:val="00751CD6"/>
    <w:rsid w:val="00752588"/>
    <w:rsid w:val="00753CE9"/>
    <w:rsid w:val="007550C0"/>
    <w:rsid w:val="00755BED"/>
    <w:rsid w:val="00756964"/>
    <w:rsid w:val="00762C3E"/>
    <w:rsid w:val="007631CD"/>
    <w:rsid w:val="007650F4"/>
    <w:rsid w:val="00766750"/>
    <w:rsid w:val="0076691B"/>
    <w:rsid w:val="00766CD5"/>
    <w:rsid w:val="007732D2"/>
    <w:rsid w:val="00773B02"/>
    <w:rsid w:val="00773BFD"/>
    <w:rsid w:val="00776C45"/>
    <w:rsid w:val="007778BF"/>
    <w:rsid w:val="00780D4D"/>
    <w:rsid w:val="00781F40"/>
    <w:rsid w:val="00784F6A"/>
    <w:rsid w:val="00785E0B"/>
    <w:rsid w:val="007951FA"/>
    <w:rsid w:val="007972DD"/>
    <w:rsid w:val="00797A0F"/>
    <w:rsid w:val="007A11E7"/>
    <w:rsid w:val="007A17C2"/>
    <w:rsid w:val="007A1D2A"/>
    <w:rsid w:val="007B083D"/>
    <w:rsid w:val="007B1F92"/>
    <w:rsid w:val="007B4FBD"/>
    <w:rsid w:val="007B541B"/>
    <w:rsid w:val="007B5FED"/>
    <w:rsid w:val="007B78DA"/>
    <w:rsid w:val="007C00F9"/>
    <w:rsid w:val="007C16A4"/>
    <w:rsid w:val="007C22A5"/>
    <w:rsid w:val="007C4392"/>
    <w:rsid w:val="007C5B94"/>
    <w:rsid w:val="007C7A1B"/>
    <w:rsid w:val="007D1789"/>
    <w:rsid w:val="007D2776"/>
    <w:rsid w:val="007D3AE5"/>
    <w:rsid w:val="007D4C49"/>
    <w:rsid w:val="007D57BE"/>
    <w:rsid w:val="007D6685"/>
    <w:rsid w:val="007D7601"/>
    <w:rsid w:val="007E0A9E"/>
    <w:rsid w:val="007E0F84"/>
    <w:rsid w:val="007E36F1"/>
    <w:rsid w:val="007E4F0E"/>
    <w:rsid w:val="007E524F"/>
    <w:rsid w:val="007F1382"/>
    <w:rsid w:val="007F2865"/>
    <w:rsid w:val="007F3298"/>
    <w:rsid w:val="007F72C5"/>
    <w:rsid w:val="00802554"/>
    <w:rsid w:val="0080312A"/>
    <w:rsid w:val="00803B4E"/>
    <w:rsid w:val="00803BFA"/>
    <w:rsid w:val="00805E37"/>
    <w:rsid w:val="0080707A"/>
    <w:rsid w:val="00807DF0"/>
    <w:rsid w:val="00810E9B"/>
    <w:rsid w:val="00813895"/>
    <w:rsid w:val="008153FE"/>
    <w:rsid w:val="00815695"/>
    <w:rsid w:val="0081585B"/>
    <w:rsid w:val="00815EB5"/>
    <w:rsid w:val="008164E3"/>
    <w:rsid w:val="00820091"/>
    <w:rsid w:val="00821DA2"/>
    <w:rsid w:val="0082249A"/>
    <w:rsid w:val="00826753"/>
    <w:rsid w:val="00830036"/>
    <w:rsid w:val="00832C14"/>
    <w:rsid w:val="00833933"/>
    <w:rsid w:val="00833BC7"/>
    <w:rsid w:val="0083415F"/>
    <w:rsid w:val="00835E9D"/>
    <w:rsid w:val="00840B1B"/>
    <w:rsid w:val="008443BD"/>
    <w:rsid w:val="00844E57"/>
    <w:rsid w:val="008457D9"/>
    <w:rsid w:val="008458A4"/>
    <w:rsid w:val="00846102"/>
    <w:rsid w:val="008470BE"/>
    <w:rsid w:val="00852008"/>
    <w:rsid w:val="008534D9"/>
    <w:rsid w:val="00853A56"/>
    <w:rsid w:val="00854D6C"/>
    <w:rsid w:val="008552CB"/>
    <w:rsid w:val="00857211"/>
    <w:rsid w:val="00861666"/>
    <w:rsid w:val="0086402D"/>
    <w:rsid w:val="00865076"/>
    <w:rsid w:val="00865448"/>
    <w:rsid w:val="00865C93"/>
    <w:rsid w:val="008670D4"/>
    <w:rsid w:val="00870A39"/>
    <w:rsid w:val="0087300A"/>
    <w:rsid w:val="00873C45"/>
    <w:rsid w:val="008743DE"/>
    <w:rsid w:val="00875A59"/>
    <w:rsid w:val="00877756"/>
    <w:rsid w:val="00877E0C"/>
    <w:rsid w:val="0088070F"/>
    <w:rsid w:val="00884379"/>
    <w:rsid w:val="00885222"/>
    <w:rsid w:val="00886AB7"/>
    <w:rsid w:val="00890656"/>
    <w:rsid w:val="00891735"/>
    <w:rsid w:val="0089264E"/>
    <w:rsid w:val="00892FE1"/>
    <w:rsid w:val="0089494E"/>
    <w:rsid w:val="00894A06"/>
    <w:rsid w:val="008A155F"/>
    <w:rsid w:val="008A3190"/>
    <w:rsid w:val="008A60EF"/>
    <w:rsid w:val="008B0719"/>
    <w:rsid w:val="008B09D2"/>
    <w:rsid w:val="008B0B92"/>
    <w:rsid w:val="008B0E2C"/>
    <w:rsid w:val="008B39B6"/>
    <w:rsid w:val="008B4719"/>
    <w:rsid w:val="008B4A73"/>
    <w:rsid w:val="008B6B52"/>
    <w:rsid w:val="008C2985"/>
    <w:rsid w:val="008C2A6B"/>
    <w:rsid w:val="008C3581"/>
    <w:rsid w:val="008C5EF0"/>
    <w:rsid w:val="008C6A7F"/>
    <w:rsid w:val="008C7991"/>
    <w:rsid w:val="008C7E61"/>
    <w:rsid w:val="008D04FD"/>
    <w:rsid w:val="008D05DE"/>
    <w:rsid w:val="008D0A31"/>
    <w:rsid w:val="008D1B48"/>
    <w:rsid w:val="008D2CF7"/>
    <w:rsid w:val="008D3921"/>
    <w:rsid w:val="008E09C5"/>
    <w:rsid w:val="008E0B93"/>
    <w:rsid w:val="008E0D66"/>
    <w:rsid w:val="008E1E15"/>
    <w:rsid w:val="008E3F59"/>
    <w:rsid w:val="008E6D15"/>
    <w:rsid w:val="008F236A"/>
    <w:rsid w:val="008F33E7"/>
    <w:rsid w:val="008F3A48"/>
    <w:rsid w:val="008F6CE9"/>
    <w:rsid w:val="008F7301"/>
    <w:rsid w:val="008F73BA"/>
    <w:rsid w:val="008F7ED8"/>
    <w:rsid w:val="00901B8A"/>
    <w:rsid w:val="0090361E"/>
    <w:rsid w:val="00904484"/>
    <w:rsid w:val="00904732"/>
    <w:rsid w:val="00906772"/>
    <w:rsid w:val="0090774C"/>
    <w:rsid w:val="00910341"/>
    <w:rsid w:val="009104D9"/>
    <w:rsid w:val="00911BD0"/>
    <w:rsid w:val="00913C1D"/>
    <w:rsid w:val="00915515"/>
    <w:rsid w:val="00921BB7"/>
    <w:rsid w:val="00923C03"/>
    <w:rsid w:val="00923DAD"/>
    <w:rsid w:val="00925F0E"/>
    <w:rsid w:val="00926A4B"/>
    <w:rsid w:val="00926B2A"/>
    <w:rsid w:val="009275D3"/>
    <w:rsid w:val="00927AF4"/>
    <w:rsid w:val="009318B6"/>
    <w:rsid w:val="00932517"/>
    <w:rsid w:val="00933D9F"/>
    <w:rsid w:val="009353C6"/>
    <w:rsid w:val="00943BEB"/>
    <w:rsid w:val="00944466"/>
    <w:rsid w:val="00946894"/>
    <w:rsid w:val="0095038C"/>
    <w:rsid w:val="009525AE"/>
    <w:rsid w:val="009540EB"/>
    <w:rsid w:val="00955EFD"/>
    <w:rsid w:val="00960417"/>
    <w:rsid w:val="00960F66"/>
    <w:rsid w:val="009618C2"/>
    <w:rsid w:val="0096336F"/>
    <w:rsid w:val="00965A6B"/>
    <w:rsid w:val="00965F2A"/>
    <w:rsid w:val="009667E7"/>
    <w:rsid w:val="009679F4"/>
    <w:rsid w:val="00980192"/>
    <w:rsid w:val="00981F0B"/>
    <w:rsid w:val="00982D1C"/>
    <w:rsid w:val="0098431F"/>
    <w:rsid w:val="009846A8"/>
    <w:rsid w:val="00984E0F"/>
    <w:rsid w:val="0098530A"/>
    <w:rsid w:val="009854CB"/>
    <w:rsid w:val="00990937"/>
    <w:rsid w:val="00991227"/>
    <w:rsid w:val="00991614"/>
    <w:rsid w:val="00996A46"/>
    <w:rsid w:val="00996C48"/>
    <w:rsid w:val="00996D10"/>
    <w:rsid w:val="00997B4E"/>
    <w:rsid w:val="009A04D5"/>
    <w:rsid w:val="009A1E6B"/>
    <w:rsid w:val="009A34C9"/>
    <w:rsid w:val="009A4DEB"/>
    <w:rsid w:val="009A4E28"/>
    <w:rsid w:val="009A5F41"/>
    <w:rsid w:val="009A61E9"/>
    <w:rsid w:val="009A7459"/>
    <w:rsid w:val="009A77BB"/>
    <w:rsid w:val="009B3786"/>
    <w:rsid w:val="009C0380"/>
    <w:rsid w:val="009C6880"/>
    <w:rsid w:val="009D14F3"/>
    <w:rsid w:val="009D1F6F"/>
    <w:rsid w:val="009D2FD7"/>
    <w:rsid w:val="009D5268"/>
    <w:rsid w:val="009D7485"/>
    <w:rsid w:val="009E0361"/>
    <w:rsid w:val="009E0952"/>
    <w:rsid w:val="009E33C8"/>
    <w:rsid w:val="009E399A"/>
    <w:rsid w:val="009E5664"/>
    <w:rsid w:val="009E59E3"/>
    <w:rsid w:val="009E5FE9"/>
    <w:rsid w:val="009E6DCE"/>
    <w:rsid w:val="009E7B5C"/>
    <w:rsid w:val="009F00C4"/>
    <w:rsid w:val="009F05FD"/>
    <w:rsid w:val="009F0F12"/>
    <w:rsid w:val="009F22B7"/>
    <w:rsid w:val="009F2996"/>
    <w:rsid w:val="009F2C5C"/>
    <w:rsid w:val="009F4AE0"/>
    <w:rsid w:val="009F6E1F"/>
    <w:rsid w:val="00A0110F"/>
    <w:rsid w:val="00A014D3"/>
    <w:rsid w:val="00A01E4D"/>
    <w:rsid w:val="00A10B45"/>
    <w:rsid w:val="00A12039"/>
    <w:rsid w:val="00A1211F"/>
    <w:rsid w:val="00A13EBE"/>
    <w:rsid w:val="00A15913"/>
    <w:rsid w:val="00A16700"/>
    <w:rsid w:val="00A21EC2"/>
    <w:rsid w:val="00A22988"/>
    <w:rsid w:val="00A230E2"/>
    <w:rsid w:val="00A23BCB"/>
    <w:rsid w:val="00A23C88"/>
    <w:rsid w:val="00A24342"/>
    <w:rsid w:val="00A24EE0"/>
    <w:rsid w:val="00A265AB"/>
    <w:rsid w:val="00A26D23"/>
    <w:rsid w:val="00A27706"/>
    <w:rsid w:val="00A30194"/>
    <w:rsid w:val="00A302C6"/>
    <w:rsid w:val="00A30F02"/>
    <w:rsid w:val="00A311FC"/>
    <w:rsid w:val="00A3314D"/>
    <w:rsid w:val="00A336EC"/>
    <w:rsid w:val="00A338D8"/>
    <w:rsid w:val="00A37D60"/>
    <w:rsid w:val="00A37E46"/>
    <w:rsid w:val="00A40829"/>
    <w:rsid w:val="00A42198"/>
    <w:rsid w:val="00A430ED"/>
    <w:rsid w:val="00A45342"/>
    <w:rsid w:val="00A47F36"/>
    <w:rsid w:val="00A52203"/>
    <w:rsid w:val="00A541D0"/>
    <w:rsid w:val="00A54204"/>
    <w:rsid w:val="00A543FE"/>
    <w:rsid w:val="00A56811"/>
    <w:rsid w:val="00A568C0"/>
    <w:rsid w:val="00A56922"/>
    <w:rsid w:val="00A574CA"/>
    <w:rsid w:val="00A57B05"/>
    <w:rsid w:val="00A6015E"/>
    <w:rsid w:val="00A62130"/>
    <w:rsid w:val="00A62C91"/>
    <w:rsid w:val="00A649F9"/>
    <w:rsid w:val="00A65573"/>
    <w:rsid w:val="00A66F31"/>
    <w:rsid w:val="00A67382"/>
    <w:rsid w:val="00A67C0F"/>
    <w:rsid w:val="00A703FD"/>
    <w:rsid w:val="00A70FA0"/>
    <w:rsid w:val="00A71603"/>
    <w:rsid w:val="00A71D77"/>
    <w:rsid w:val="00A735EB"/>
    <w:rsid w:val="00A73A38"/>
    <w:rsid w:val="00A7401B"/>
    <w:rsid w:val="00A746AF"/>
    <w:rsid w:val="00A7495F"/>
    <w:rsid w:val="00A74DAD"/>
    <w:rsid w:val="00A77315"/>
    <w:rsid w:val="00A77659"/>
    <w:rsid w:val="00A77683"/>
    <w:rsid w:val="00A825BB"/>
    <w:rsid w:val="00A829E3"/>
    <w:rsid w:val="00A84E22"/>
    <w:rsid w:val="00A8526F"/>
    <w:rsid w:val="00A85CA8"/>
    <w:rsid w:val="00A867F1"/>
    <w:rsid w:val="00A87C92"/>
    <w:rsid w:val="00A9002C"/>
    <w:rsid w:val="00A90434"/>
    <w:rsid w:val="00A94823"/>
    <w:rsid w:val="00A9581A"/>
    <w:rsid w:val="00A969F3"/>
    <w:rsid w:val="00A979F5"/>
    <w:rsid w:val="00AA05DF"/>
    <w:rsid w:val="00AA0BFF"/>
    <w:rsid w:val="00AA21B3"/>
    <w:rsid w:val="00AA5429"/>
    <w:rsid w:val="00AA5924"/>
    <w:rsid w:val="00AA5992"/>
    <w:rsid w:val="00AA70E3"/>
    <w:rsid w:val="00AA7904"/>
    <w:rsid w:val="00AB0168"/>
    <w:rsid w:val="00AB0675"/>
    <w:rsid w:val="00AB0C14"/>
    <w:rsid w:val="00AB0FBE"/>
    <w:rsid w:val="00AB1C14"/>
    <w:rsid w:val="00AB223F"/>
    <w:rsid w:val="00AB27F3"/>
    <w:rsid w:val="00AB333F"/>
    <w:rsid w:val="00AC1AF5"/>
    <w:rsid w:val="00AC1E96"/>
    <w:rsid w:val="00AC2C3F"/>
    <w:rsid w:val="00AC4475"/>
    <w:rsid w:val="00AC56C3"/>
    <w:rsid w:val="00AD4778"/>
    <w:rsid w:val="00AD7316"/>
    <w:rsid w:val="00AD7DDB"/>
    <w:rsid w:val="00AE0462"/>
    <w:rsid w:val="00AE3DD2"/>
    <w:rsid w:val="00AE4501"/>
    <w:rsid w:val="00AE556F"/>
    <w:rsid w:val="00AE5A8B"/>
    <w:rsid w:val="00AE6155"/>
    <w:rsid w:val="00AE7CC9"/>
    <w:rsid w:val="00AF1EB9"/>
    <w:rsid w:val="00AF2237"/>
    <w:rsid w:val="00AF36C4"/>
    <w:rsid w:val="00AF3750"/>
    <w:rsid w:val="00AF4E47"/>
    <w:rsid w:val="00AF5211"/>
    <w:rsid w:val="00B018EA"/>
    <w:rsid w:val="00B01FB8"/>
    <w:rsid w:val="00B02F7C"/>
    <w:rsid w:val="00B04649"/>
    <w:rsid w:val="00B0539D"/>
    <w:rsid w:val="00B1039B"/>
    <w:rsid w:val="00B111AD"/>
    <w:rsid w:val="00B11983"/>
    <w:rsid w:val="00B15081"/>
    <w:rsid w:val="00B166B3"/>
    <w:rsid w:val="00B212A3"/>
    <w:rsid w:val="00B21CBB"/>
    <w:rsid w:val="00B21D6B"/>
    <w:rsid w:val="00B23537"/>
    <w:rsid w:val="00B244C4"/>
    <w:rsid w:val="00B2530A"/>
    <w:rsid w:val="00B25970"/>
    <w:rsid w:val="00B269E9"/>
    <w:rsid w:val="00B279BB"/>
    <w:rsid w:val="00B3006A"/>
    <w:rsid w:val="00B30F94"/>
    <w:rsid w:val="00B313F9"/>
    <w:rsid w:val="00B31CE2"/>
    <w:rsid w:val="00B35232"/>
    <w:rsid w:val="00B354A5"/>
    <w:rsid w:val="00B35690"/>
    <w:rsid w:val="00B35721"/>
    <w:rsid w:val="00B376BC"/>
    <w:rsid w:val="00B37EFD"/>
    <w:rsid w:val="00B430DD"/>
    <w:rsid w:val="00B43A41"/>
    <w:rsid w:val="00B43C24"/>
    <w:rsid w:val="00B44FE7"/>
    <w:rsid w:val="00B4700C"/>
    <w:rsid w:val="00B4784C"/>
    <w:rsid w:val="00B51B50"/>
    <w:rsid w:val="00B526CE"/>
    <w:rsid w:val="00B5453F"/>
    <w:rsid w:val="00B54AC2"/>
    <w:rsid w:val="00B55A1B"/>
    <w:rsid w:val="00B56CC6"/>
    <w:rsid w:val="00B57A95"/>
    <w:rsid w:val="00B6030D"/>
    <w:rsid w:val="00B615D7"/>
    <w:rsid w:val="00B61896"/>
    <w:rsid w:val="00B639CA"/>
    <w:rsid w:val="00B63B89"/>
    <w:rsid w:val="00B65669"/>
    <w:rsid w:val="00B65BB2"/>
    <w:rsid w:val="00B66EA9"/>
    <w:rsid w:val="00B70039"/>
    <w:rsid w:val="00B7227B"/>
    <w:rsid w:val="00B7343E"/>
    <w:rsid w:val="00B74876"/>
    <w:rsid w:val="00B74996"/>
    <w:rsid w:val="00B768E1"/>
    <w:rsid w:val="00B82C75"/>
    <w:rsid w:val="00B87141"/>
    <w:rsid w:val="00B87229"/>
    <w:rsid w:val="00B87388"/>
    <w:rsid w:val="00B9134E"/>
    <w:rsid w:val="00B92210"/>
    <w:rsid w:val="00B922CE"/>
    <w:rsid w:val="00B929C9"/>
    <w:rsid w:val="00B930D0"/>
    <w:rsid w:val="00B93B3F"/>
    <w:rsid w:val="00B94D0A"/>
    <w:rsid w:val="00B95F5A"/>
    <w:rsid w:val="00B9676D"/>
    <w:rsid w:val="00B97EBA"/>
    <w:rsid w:val="00BA0AFF"/>
    <w:rsid w:val="00BA2BEA"/>
    <w:rsid w:val="00BA4A4D"/>
    <w:rsid w:val="00BA597E"/>
    <w:rsid w:val="00BA5A89"/>
    <w:rsid w:val="00BB1237"/>
    <w:rsid w:val="00BB1373"/>
    <w:rsid w:val="00BB19B5"/>
    <w:rsid w:val="00BB2F6E"/>
    <w:rsid w:val="00BB43CA"/>
    <w:rsid w:val="00BB4A7C"/>
    <w:rsid w:val="00BB4CFE"/>
    <w:rsid w:val="00BB6ACE"/>
    <w:rsid w:val="00BC05A3"/>
    <w:rsid w:val="00BC1894"/>
    <w:rsid w:val="00BC3208"/>
    <w:rsid w:val="00BC6BA3"/>
    <w:rsid w:val="00BC7418"/>
    <w:rsid w:val="00BD01B2"/>
    <w:rsid w:val="00BD0A84"/>
    <w:rsid w:val="00BD168A"/>
    <w:rsid w:val="00BD2275"/>
    <w:rsid w:val="00BD356F"/>
    <w:rsid w:val="00BD4ADF"/>
    <w:rsid w:val="00BD6498"/>
    <w:rsid w:val="00BE0480"/>
    <w:rsid w:val="00BE2B31"/>
    <w:rsid w:val="00BE5648"/>
    <w:rsid w:val="00BE580F"/>
    <w:rsid w:val="00BF0630"/>
    <w:rsid w:val="00BF0A21"/>
    <w:rsid w:val="00BF0D4D"/>
    <w:rsid w:val="00BF3579"/>
    <w:rsid w:val="00C00AAC"/>
    <w:rsid w:val="00C00C9D"/>
    <w:rsid w:val="00C01402"/>
    <w:rsid w:val="00C03DDA"/>
    <w:rsid w:val="00C05EA8"/>
    <w:rsid w:val="00C06619"/>
    <w:rsid w:val="00C07D78"/>
    <w:rsid w:val="00C1013F"/>
    <w:rsid w:val="00C103A0"/>
    <w:rsid w:val="00C10FDB"/>
    <w:rsid w:val="00C15138"/>
    <w:rsid w:val="00C166B4"/>
    <w:rsid w:val="00C17790"/>
    <w:rsid w:val="00C209CB"/>
    <w:rsid w:val="00C3009E"/>
    <w:rsid w:val="00C30975"/>
    <w:rsid w:val="00C31D11"/>
    <w:rsid w:val="00C37625"/>
    <w:rsid w:val="00C37B26"/>
    <w:rsid w:val="00C41108"/>
    <w:rsid w:val="00C442B1"/>
    <w:rsid w:val="00C45366"/>
    <w:rsid w:val="00C45388"/>
    <w:rsid w:val="00C455A1"/>
    <w:rsid w:val="00C45AC7"/>
    <w:rsid w:val="00C463B8"/>
    <w:rsid w:val="00C47FE5"/>
    <w:rsid w:val="00C50701"/>
    <w:rsid w:val="00C50D6D"/>
    <w:rsid w:val="00C518FE"/>
    <w:rsid w:val="00C51E35"/>
    <w:rsid w:val="00C530FB"/>
    <w:rsid w:val="00C54856"/>
    <w:rsid w:val="00C577A7"/>
    <w:rsid w:val="00C6024D"/>
    <w:rsid w:val="00C60EE8"/>
    <w:rsid w:val="00C615CF"/>
    <w:rsid w:val="00C61DB5"/>
    <w:rsid w:val="00C6227F"/>
    <w:rsid w:val="00C6254E"/>
    <w:rsid w:val="00C634A3"/>
    <w:rsid w:val="00C63F16"/>
    <w:rsid w:val="00C64B41"/>
    <w:rsid w:val="00C65DF4"/>
    <w:rsid w:val="00C666C7"/>
    <w:rsid w:val="00C7044D"/>
    <w:rsid w:val="00C7497D"/>
    <w:rsid w:val="00C758E7"/>
    <w:rsid w:val="00C759F8"/>
    <w:rsid w:val="00C75A4B"/>
    <w:rsid w:val="00C77A4D"/>
    <w:rsid w:val="00C80B3B"/>
    <w:rsid w:val="00C81010"/>
    <w:rsid w:val="00C815B2"/>
    <w:rsid w:val="00C81AE2"/>
    <w:rsid w:val="00C81F01"/>
    <w:rsid w:val="00C82DD5"/>
    <w:rsid w:val="00C8322C"/>
    <w:rsid w:val="00C83249"/>
    <w:rsid w:val="00C838AB"/>
    <w:rsid w:val="00C8627D"/>
    <w:rsid w:val="00C9104A"/>
    <w:rsid w:val="00C915FB"/>
    <w:rsid w:val="00C92F0F"/>
    <w:rsid w:val="00C94FD3"/>
    <w:rsid w:val="00C95A3D"/>
    <w:rsid w:val="00CA0C45"/>
    <w:rsid w:val="00CA0E43"/>
    <w:rsid w:val="00CA3B0B"/>
    <w:rsid w:val="00CA3D3A"/>
    <w:rsid w:val="00CB17F5"/>
    <w:rsid w:val="00CB1EDB"/>
    <w:rsid w:val="00CB239B"/>
    <w:rsid w:val="00CB3A9E"/>
    <w:rsid w:val="00CB4DCE"/>
    <w:rsid w:val="00CB77CF"/>
    <w:rsid w:val="00CC2810"/>
    <w:rsid w:val="00CC4B0F"/>
    <w:rsid w:val="00CC577E"/>
    <w:rsid w:val="00CC74F5"/>
    <w:rsid w:val="00CD0AC2"/>
    <w:rsid w:val="00CD317D"/>
    <w:rsid w:val="00CD57A0"/>
    <w:rsid w:val="00CD60DB"/>
    <w:rsid w:val="00CE1122"/>
    <w:rsid w:val="00CE271B"/>
    <w:rsid w:val="00CE4273"/>
    <w:rsid w:val="00CE5C3B"/>
    <w:rsid w:val="00CE64AB"/>
    <w:rsid w:val="00CE6FA7"/>
    <w:rsid w:val="00CE7E94"/>
    <w:rsid w:val="00CF0B48"/>
    <w:rsid w:val="00CF28D3"/>
    <w:rsid w:val="00CF7FF8"/>
    <w:rsid w:val="00D002E2"/>
    <w:rsid w:val="00D01F7D"/>
    <w:rsid w:val="00D02459"/>
    <w:rsid w:val="00D0277F"/>
    <w:rsid w:val="00D03981"/>
    <w:rsid w:val="00D040E7"/>
    <w:rsid w:val="00D05133"/>
    <w:rsid w:val="00D05C95"/>
    <w:rsid w:val="00D06356"/>
    <w:rsid w:val="00D1025A"/>
    <w:rsid w:val="00D108F1"/>
    <w:rsid w:val="00D1129D"/>
    <w:rsid w:val="00D12061"/>
    <w:rsid w:val="00D1206D"/>
    <w:rsid w:val="00D207DF"/>
    <w:rsid w:val="00D22B4D"/>
    <w:rsid w:val="00D22D47"/>
    <w:rsid w:val="00D24604"/>
    <w:rsid w:val="00D247C6"/>
    <w:rsid w:val="00D258D8"/>
    <w:rsid w:val="00D26260"/>
    <w:rsid w:val="00D26A14"/>
    <w:rsid w:val="00D26F10"/>
    <w:rsid w:val="00D2759C"/>
    <w:rsid w:val="00D32C8B"/>
    <w:rsid w:val="00D34B53"/>
    <w:rsid w:val="00D36729"/>
    <w:rsid w:val="00D370C5"/>
    <w:rsid w:val="00D37795"/>
    <w:rsid w:val="00D40341"/>
    <w:rsid w:val="00D4132E"/>
    <w:rsid w:val="00D41DB7"/>
    <w:rsid w:val="00D42D35"/>
    <w:rsid w:val="00D43C9C"/>
    <w:rsid w:val="00D45274"/>
    <w:rsid w:val="00D45B4C"/>
    <w:rsid w:val="00D45E0E"/>
    <w:rsid w:val="00D47E0C"/>
    <w:rsid w:val="00D47F55"/>
    <w:rsid w:val="00D50F3D"/>
    <w:rsid w:val="00D516D9"/>
    <w:rsid w:val="00D54A70"/>
    <w:rsid w:val="00D56E75"/>
    <w:rsid w:val="00D61689"/>
    <w:rsid w:val="00D61857"/>
    <w:rsid w:val="00D63C0F"/>
    <w:rsid w:val="00D657A5"/>
    <w:rsid w:val="00D666DC"/>
    <w:rsid w:val="00D66C0D"/>
    <w:rsid w:val="00D674F1"/>
    <w:rsid w:val="00D67B42"/>
    <w:rsid w:val="00D7427D"/>
    <w:rsid w:val="00D74458"/>
    <w:rsid w:val="00D7447E"/>
    <w:rsid w:val="00D75940"/>
    <w:rsid w:val="00D762A4"/>
    <w:rsid w:val="00D76BF0"/>
    <w:rsid w:val="00D80503"/>
    <w:rsid w:val="00D80B4D"/>
    <w:rsid w:val="00D82B3E"/>
    <w:rsid w:val="00D843C2"/>
    <w:rsid w:val="00D912A7"/>
    <w:rsid w:val="00D916F4"/>
    <w:rsid w:val="00D920AD"/>
    <w:rsid w:val="00D92A32"/>
    <w:rsid w:val="00D92AFB"/>
    <w:rsid w:val="00D93DFC"/>
    <w:rsid w:val="00D941BC"/>
    <w:rsid w:val="00D95A8A"/>
    <w:rsid w:val="00D96910"/>
    <w:rsid w:val="00D97D0D"/>
    <w:rsid w:val="00DA027B"/>
    <w:rsid w:val="00DA17EC"/>
    <w:rsid w:val="00DA1FBC"/>
    <w:rsid w:val="00DA5B1D"/>
    <w:rsid w:val="00DB0121"/>
    <w:rsid w:val="00DB31D8"/>
    <w:rsid w:val="00DB4620"/>
    <w:rsid w:val="00DB4992"/>
    <w:rsid w:val="00DB67C9"/>
    <w:rsid w:val="00DB688B"/>
    <w:rsid w:val="00DB6B4F"/>
    <w:rsid w:val="00DB6E8D"/>
    <w:rsid w:val="00DB760A"/>
    <w:rsid w:val="00DC1344"/>
    <w:rsid w:val="00DC193F"/>
    <w:rsid w:val="00DC2486"/>
    <w:rsid w:val="00DC3851"/>
    <w:rsid w:val="00DC4BBF"/>
    <w:rsid w:val="00DC5841"/>
    <w:rsid w:val="00DC5B5F"/>
    <w:rsid w:val="00DC7E20"/>
    <w:rsid w:val="00DD3CF8"/>
    <w:rsid w:val="00DD3D7D"/>
    <w:rsid w:val="00DD4F09"/>
    <w:rsid w:val="00DD589F"/>
    <w:rsid w:val="00DD6AD0"/>
    <w:rsid w:val="00DE1489"/>
    <w:rsid w:val="00DE3CB1"/>
    <w:rsid w:val="00DE6343"/>
    <w:rsid w:val="00DF0CB1"/>
    <w:rsid w:val="00DF1A75"/>
    <w:rsid w:val="00DF2134"/>
    <w:rsid w:val="00DF2494"/>
    <w:rsid w:val="00DF2F7B"/>
    <w:rsid w:val="00DF3E40"/>
    <w:rsid w:val="00DF567A"/>
    <w:rsid w:val="00DF6E6A"/>
    <w:rsid w:val="00DF6F8C"/>
    <w:rsid w:val="00E00D41"/>
    <w:rsid w:val="00E00E21"/>
    <w:rsid w:val="00E02C63"/>
    <w:rsid w:val="00E05D92"/>
    <w:rsid w:val="00E0744D"/>
    <w:rsid w:val="00E07739"/>
    <w:rsid w:val="00E102CC"/>
    <w:rsid w:val="00E11D63"/>
    <w:rsid w:val="00E13319"/>
    <w:rsid w:val="00E1445C"/>
    <w:rsid w:val="00E149DF"/>
    <w:rsid w:val="00E167BA"/>
    <w:rsid w:val="00E2007E"/>
    <w:rsid w:val="00E223F4"/>
    <w:rsid w:val="00E240F1"/>
    <w:rsid w:val="00E24C9C"/>
    <w:rsid w:val="00E27B6B"/>
    <w:rsid w:val="00E3006D"/>
    <w:rsid w:val="00E301E7"/>
    <w:rsid w:val="00E30EB7"/>
    <w:rsid w:val="00E336FC"/>
    <w:rsid w:val="00E34B3D"/>
    <w:rsid w:val="00E362EF"/>
    <w:rsid w:val="00E36B1E"/>
    <w:rsid w:val="00E377C8"/>
    <w:rsid w:val="00E40C7A"/>
    <w:rsid w:val="00E46376"/>
    <w:rsid w:val="00E5396C"/>
    <w:rsid w:val="00E55925"/>
    <w:rsid w:val="00E56279"/>
    <w:rsid w:val="00E5656E"/>
    <w:rsid w:val="00E56A9B"/>
    <w:rsid w:val="00E57C8F"/>
    <w:rsid w:val="00E63BD6"/>
    <w:rsid w:val="00E64372"/>
    <w:rsid w:val="00E657AC"/>
    <w:rsid w:val="00E66C25"/>
    <w:rsid w:val="00E66F40"/>
    <w:rsid w:val="00E674F2"/>
    <w:rsid w:val="00E67938"/>
    <w:rsid w:val="00E72E49"/>
    <w:rsid w:val="00E732BE"/>
    <w:rsid w:val="00E73A54"/>
    <w:rsid w:val="00E74C11"/>
    <w:rsid w:val="00E7687F"/>
    <w:rsid w:val="00E77461"/>
    <w:rsid w:val="00E77826"/>
    <w:rsid w:val="00E82C5D"/>
    <w:rsid w:val="00E84BB2"/>
    <w:rsid w:val="00E860BA"/>
    <w:rsid w:val="00E86770"/>
    <w:rsid w:val="00E8740E"/>
    <w:rsid w:val="00E87CC8"/>
    <w:rsid w:val="00E933F2"/>
    <w:rsid w:val="00E93B9D"/>
    <w:rsid w:val="00E946A2"/>
    <w:rsid w:val="00E94C79"/>
    <w:rsid w:val="00E96261"/>
    <w:rsid w:val="00E965CE"/>
    <w:rsid w:val="00E96E54"/>
    <w:rsid w:val="00E9710A"/>
    <w:rsid w:val="00EA02EA"/>
    <w:rsid w:val="00EA0967"/>
    <w:rsid w:val="00EA0FFA"/>
    <w:rsid w:val="00EA1FC9"/>
    <w:rsid w:val="00EA3EC0"/>
    <w:rsid w:val="00EA731F"/>
    <w:rsid w:val="00EA7CB4"/>
    <w:rsid w:val="00EA7D9F"/>
    <w:rsid w:val="00EB2294"/>
    <w:rsid w:val="00EB5299"/>
    <w:rsid w:val="00EB58BD"/>
    <w:rsid w:val="00EB618F"/>
    <w:rsid w:val="00EB66EB"/>
    <w:rsid w:val="00EB6EE2"/>
    <w:rsid w:val="00EB7971"/>
    <w:rsid w:val="00EB7E0A"/>
    <w:rsid w:val="00EC0B73"/>
    <w:rsid w:val="00EC1A3D"/>
    <w:rsid w:val="00EC1EBC"/>
    <w:rsid w:val="00EC3308"/>
    <w:rsid w:val="00EC4513"/>
    <w:rsid w:val="00EC6329"/>
    <w:rsid w:val="00ED09B3"/>
    <w:rsid w:val="00ED0B2B"/>
    <w:rsid w:val="00ED364C"/>
    <w:rsid w:val="00ED3C81"/>
    <w:rsid w:val="00ED49D7"/>
    <w:rsid w:val="00ED4EF9"/>
    <w:rsid w:val="00ED6C26"/>
    <w:rsid w:val="00ED6E87"/>
    <w:rsid w:val="00EE081B"/>
    <w:rsid w:val="00EE56E4"/>
    <w:rsid w:val="00EE5F68"/>
    <w:rsid w:val="00EE6222"/>
    <w:rsid w:val="00EE7F57"/>
    <w:rsid w:val="00EF00DB"/>
    <w:rsid w:val="00EF0E69"/>
    <w:rsid w:val="00EF210A"/>
    <w:rsid w:val="00EF2A0C"/>
    <w:rsid w:val="00EF34FB"/>
    <w:rsid w:val="00EF4306"/>
    <w:rsid w:val="00F00DB2"/>
    <w:rsid w:val="00F01D00"/>
    <w:rsid w:val="00F024A9"/>
    <w:rsid w:val="00F02D07"/>
    <w:rsid w:val="00F04F26"/>
    <w:rsid w:val="00F06C7C"/>
    <w:rsid w:val="00F12DA6"/>
    <w:rsid w:val="00F25F0D"/>
    <w:rsid w:val="00F264F6"/>
    <w:rsid w:val="00F274AB"/>
    <w:rsid w:val="00F279CE"/>
    <w:rsid w:val="00F34583"/>
    <w:rsid w:val="00F34F0D"/>
    <w:rsid w:val="00F35A22"/>
    <w:rsid w:val="00F35EE8"/>
    <w:rsid w:val="00F36DEF"/>
    <w:rsid w:val="00F37DF9"/>
    <w:rsid w:val="00F40F44"/>
    <w:rsid w:val="00F42480"/>
    <w:rsid w:val="00F43C63"/>
    <w:rsid w:val="00F44826"/>
    <w:rsid w:val="00F449C8"/>
    <w:rsid w:val="00F452BE"/>
    <w:rsid w:val="00F456B5"/>
    <w:rsid w:val="00F465C2"/>
    <w:rsid w:val="00F51C59"/>
    <w:rsid w:val="00F52E01"/>
    <w:rsid w:val="00F5729D"/>
    <w:rsid w:val="00F57D08"/>
    <w:rsid w:val="00F63721"/>
    <w:rsid w:val="00F645F6"/>
    <w:rsid w:val="00F6469C"/>
    <w:rsid w:val="00F6599E"/>
    <w:rsid w:val="00F65C30"/>
    <w:rsid w:val="00F65DFD"/>
    <w:rsid w:val="00F667D6"/>
    <w:rsid w:val="00F7260E"/>
    <w:rsid w:val="00F728D6"/>
    <w:rsid w:val="00F73352"/>
    <w:rsid w:val="00F73379"/>
    <w:rsid w:val="00F74ECA"/>
    <w:rsid w:val="00F754D4"/>
    <w:rsid w:val="00F755D9"/>
    <w:rsid w:val="00F76E8C"/>
    <w:rsid w:val="00F81917"/>
    <w:rsid w:val="00F85483"/>
    <w:rsid w:val="00F855F8"/>
    <w:rsid w:val="00F90D42"/>
    <w:rsid w:val="00F9124E"/>
    <w:rsid w:val="00F95B48"/>
    <w:rsid w:val="00F96174"/>
    <w:rsid w:val="00F96AA5"/>
    <w:rsid w:val="00FB03DF"/>
    <w:rsid w:val="00FB0612"/>
    <w:rsid w:val="00FB088E"/>
    <w:rsid w:val="00FB0929"/>
    <w:rsid w:val="00FB4B29"/>
    <w:rsid w:val="00FB6115"/>
    <w:rsid w:val="00FC10ED"/>
    <w:rsid w:val="00FC2AF9"/>
    <w:rsid w:val="00FC7CB4"/>
    <w:rsid w:val="00FD117D"/>
    <w:rsid w:val="00FD15F2"/>
    <w:rsid w:val="00FD2A89"/>
    <w:rsid w:val="00FD2BAE"/>
    <w:rsid w:val="00FD5A58"/>
    <w:rsid w:val="00FE1422"/>
    <w:rsid w:val="00FE2F2E"/>
    <w:rsid w:val="00FE380E"/>
    <w:rsid w:val="00FE5E36"/>
    <w:rsid w:val="00FF091B"/>
    <w:rsid w:val="00FF68AC"/>
    <w:rsid w:val="00FF710B"/>
    <w:rsid w:val="00FF7E4F"/>
    <w:rsid w:val="2ED2EB4E"/>
    <w:rsid w:val="4DFBBD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4144E"/>
  <w15:docId w15:val="{81FA27D8-3A5C-4EDE-B22C-17ED00B3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10A"/>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835E9D"/>
    <w:pPr>
      <w:widowControl w:val="0"/>
      <w:spacing w:before="360"/>
      <w:contextualSpacing/>
      <w:outlineLvl w:val="0"/>
    </w:pPr>
    <w:rPr>
      <w:rFonts w:ascii="Calibri" w:eastAsiaTheme="minorHAnsi" w:hAnsi="Calibri" w:cstheme="minorBidi"/>
      <w:b/>
      <w:bCs/>
      <w:spacing w:val="5"/>
      <w:kern w:val="28"/>
      <w:sz w:val="60"/>
      <w:szCs w:val="28"/>
      <w:lang w:eastAsia="en-US"/>
    </w:rPr>
  </w:style>
  <w:style w:type="paragraph" w:styleId="Heading2">
    <w:name w:val="heading 2"/>
    <w:basedOn w:val="Normal"/>
    <w:next w:val="Normal"/>
    <w:link w:val="Heading2Char"/>
    <w:uiPriority w:val="3"/>
    <w:rsid w:val="00835E9D"/>
    <w:pPr>
      <w:keepNext/>
      <w:numPr>
        <w:numId w:val="8"/>
      </w:numPr>
      <w:spacing w:after="60" w:line="240" w:lineRule="auto"/>
      <w:outlineLvl w:val="1"/>
    </w:pPr>
    <w:rPr>
      <w:rFonts w:ascii="Calibri" w:eastAsiaTheme="minorEastAsia" w:hAnsi="Calibri"/>
      <w:bCs/>
      <w:color w:val="000000"/>
      <w:sz w:val="44"/>
      <w:szCs w:val="28"/>
      <w:lang w:eastAsia="ja-JP"/>
    </w:rPr>
  </w:style>
  <w:style w:type="paragraph" w:styleId="Heading3">
    <w:name w:val="heading 3"/>
    <w:next w:val="Normal"/>
    <w:link w:val="Heading3Char"/>
    <w:uiPriority w:val="4"/>
    <w:qFormat/>
    <w:rsid w:val="00835E9D"/>
    <w:pPr>
      <w:keepNext/>
      <w:keepLines/>
      <w:numPr>
        <w:ilvl w:val="1"/>
        <w:numId w:val="8"/>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835E9D"/>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835E9D"/>
    <w:pPr>
      <w:keepNext/>
      <w:keepLines/>
      <w:spacing w:after="0" w:line="240" w:lineRule="auto"/>
      <w:outlineLvl w:val="4"/>
    </w:pPr>
    <w:rPr>
      <w:rFonts w:ascii="Calibri" w:hAnsi="Calibri"/>
      <w:b/>
      <w:sz w:val="28"/>
    </w:rPr>
  </w:style>
  <w:style w:type="paragraph" w:styleId="Heading6">
    <w:name w:val="heading 6"/>
    <w:basedOn w:val="Normal"/>
    <w:next w:val="Normal"/>
    <w:link w:val="Heading6Char"/>
    <w:uiPriority w:val="9"/>
    <w:semiHidden/>
    <w:qFormat/>
    <w:rsid w:val="00A16700"/>
    <w:pPr>
      <w:keepNext/>
      <w:keepLines/>
      <w:spacing w:before="40" w:after="0"/>
      <w:outlineLvl w:val="5"/>
    </w:pPr>
    <w:rPr>
      <w:rFonts w:eastAsiaTheme="majorEastAsia" w:cstheme="majorBidi"/>
      <w:b/>
      <w:i/>
      <w:color w:val="000000" w:themeColor="text1"/>
      <w:sz w:val="26"/>
    </w:rPr>
  </w:style>
  <w:style w:type="paragraph" w:styleId="Heading7">
    <w:name w:val="heading 7"/>
    <w:basedOn w:val="Normal"/>
    <w:next w:val="Normal"/>
    <w:link w:val="Heading7Char"/>
    <w:uiPriority w:val="9"/>
    <w:semiHidden/>
    <w:qFormat/>
    <w:rsid w:val="00A16700"/>
    <w:pPr>
      <w:keepNext/>
      <w:keepLines/>
      <w:spacing w:before="40" w:after="0"/>
      <w:outlineLvl w:val="6"/>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qFormat/>
    <w:rsid w:val="00A16700"/>
    <w:pPr>
      <w:keepNext/>
      <w:keepLines/>
      <w:spacing w:before="40" w:after="0"/>
      <w:outlineLvl w:val="7"/>
    </w:pPr>
    <w:rPr>
      <w:rFonts w:eastAsiaTheme="majorEastAsia" w:cstheme="majorBidi"/>
      <w:b/>
      <w:i/>
      <w:szCs w:val="21"/>
    </w:rPr>
  </w:style>
  <w:style w:type="paragraph" w:styleId="Heading9">
    <w:name w:val="heading 9"/>
    <w:basedOn w:val="Normal"/>
    <w:next w:val="Normal"/>
    <w:link w:val="Heading9Char"/>
    <w:uiPriority w:val="9"/>
    <w:semiHidden/>
    <w:qFormat/>
    <w:rsid w:val="00826753"/>
    <w:pPr>
      <w:keepNext/>
      <w:keepLines/>
      <w:spacing w:before="40" w:after="0"/>
      <w:outlineLvl w:val="8"/>
    </w:pPr>
    <w:rPr>
      <w:rFonts w:eastAsiaTheme="majorEastAsia" w:cstheme="majorBidi"/>
      <w:b/>
      <w:iCs/>
      <w:color w:val="000000" w:themeColor="tex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customStyle="1" w:styleId="CommentTextChar">
    <w:name w:val="Comment Text Char"/>
    <w:basedOn w:val="DefaultParagraphFont"/>
    <w:link w:val="CommentText"/>
    <w:rsid w:val="00BB6ACE"/>
    <w:rPr>
      <w:rFonts w:asciiTheme="minorHAnsi" w:eastAsiaTheme="minorHAnsi" w:hAnsiTheme="minorHAnsi" w:cstheme="minorBidi"/>
      <w:lang w:eastAsia="en-US"/>
    </w:rPr>
  </w:style>
  <w:style w:type="paragraph" w:styleId="Header">
    <w:name w:val="header"/>
    <w:basedOn w:val="Normal"/>
    <w:link w:val="HeaderChar"/>
    <w:uiPriority w:val="26"/>
    <w:rsid w:val="00D61857"/>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D61857"/>
    <w:rPr>
      <w:rFonts w:ascii="Calibri" w:eastAsiaTheme="minorHAnsi" w:hAnsi="Calibri" w:cstheme="minorBidi"/>
      <w:szCs w:val="22"/>
      <w:lang w:eastAsia="en-US"/>
    </w:rPr>
  </w:style>
  <w:style w:type="paragraph" w:styleId="Footer">
    <w:name w:val="footer"/>
    <w:basedOn w:val="Normal"/>
    <w:link w:val="FooterChar"/>
    <w:uiPriority w:val="27"/>
    <w:rsid w:val="00D61857"/>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D6185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835E9D"/>
    <w:rPr>
      <w:rFonts w:ascii="Calibri" w:eastAsiaTheme="minorHAnsi" w:hAnsi="Calibri" w:cstheme="minorBidi"/>
      <w:b/>
      <w:bCs/>
      <w:spacing w:val="5"/>
      <w:kern w:val="28"/>
      <w:sz w:val="60"/>
      <w:szCs w:val="28"/>
      <w:lang w:eastAsia="en-US"/>
    </w:rPr>
  </w:style>
  <w:style w:type="character" w:customStyle="1" w:styleId="Heading2Char">
    <w:name w:val="Heading 2 Char"/>
    <w:basedOn w:val="DefaultParagraphFont"/>
    <w:link w:val="Heading2"/>
    <w:uiPriority w:val="3"/>
    <w:rsid w:val="00835E9D"/>
    <w:rPr>
      <w:rFonts w:ascii="Calibri" w:eastAsiaTheme="minorEastAsia" w:hAnsi="Calibri" w:cstheme="minorBidi"/>
      <w:bCs/>
      <w:color w:val="000000"/>
      <w:sz w:val="44"/>
      <w:szCs w:val="28"/>
      <w:lang w:eastAsia="ja-JP"/>
    </w:rPr>
  </w:style>
  <w:style w:type="character" w:customStyle="1" w:styleId="Heading3Char">
    <w:name w:val="Heading 3 Char"/>
    <w:basedOn w:val="DefaultParagraphFont"/>
    <w:link w:val="Heading3"/>
    <w:uiPriority w:val="4"/>
    <w:rsid w:val="00835E9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835E9D"/>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835E9D"/>
    <w:rPr>
      <w:rFonts w:ascii="Calibri" w:eastAsiaTheme="minorHAnsi" w:hAnsi="Calibri" w:cstheme="minorBidi"/>
      <w:b/>
      <w:sz w:val="28"/>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BB6AC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6047C2"/>
    <w:pPr>
      <w:numPr>
        <w:numId w:val="27"/>
      </w:numPr>
      <w:spacing w:before="120" w:after="120"/>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6047C2"/>
    <w:pPr>
      <w:numPr>
        <w:ilvl w:val="1"/>
        <w:numId w:val="27"/>
      </w:numPr>
      <w:spacing w:before="120" w:after="120"/>
      <w:contextualSpacing/>
    </w:pPr>
  </w:style>
  <w:style w:type="paragraph" w:styleId="ListNumber">
    <w:name w:val="List Number"/>
    <w:basedOn w:val="Normal"/>
    <w:uiPriority w:val="9"/>
    <w:qFormat/>
    <w:rsid w:val="00762C3E"/>
    <w:pPr>
      <w:numPr>
        <w:numId w:val="10"/>
      </w:numPr>
      <w:tabs>
        <w:tab w:val="left" w:pos="142"/>
      </w:tabs>
      <w:spacing w:before="120" w:after="120"/>
      <w:ind w:left="454" w:hanging="454"/>
    </w:pPr>
  </w:style>
  <w:style w:type="paragraph" w:styleId="ListNumber2">
    <w:name w:val="List Number 2"/>
    <w:uiPriority w:val="10"/>
    <w:qFormat/>
    <w:rsid w:val="009E7B5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821DA2"/>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7"/>
      </w:numPr>
      <w:ind w:left="357" w:hanging="357"/>
    </w:pPr>
  </w:style>
  <w:style w:type="paragraph" w:customStyle="1" w:styleId="TableBullet">
    <w:name w:val="Table Bullet"/>
    <w:basedOn w:val="TableText"/>
    <w:uiPriority w:val="15"/>
    <w:qFormat/>
    <w:rsid w:val="00996A46"/>
    <w:pPr>
      <w:numPr>
        <w:numId w:val="6"/>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semiHidden/>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1"/>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2"/>
      </w:numPr>
    </w:pPr>
  </w:style>
  <w:style w:type="numbering" w:customStyle="1" w:styleId="Headinglist">
    <w:name w:val="Heading list"/>
    <w:uiPriority w:val="99"/>
    <w:rsid w:val="00BB6ACE"/>
    <w:pPr>
      <w:numPr>
        <w:numId w:val="3"/>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6047C2"/>
    <w:pPr>
      <w:numPr>
        <w:ilvl w:val="2"/>
        <w:numId w:val="27"/>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CF7FF8"/>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
    <w:qFormat/>
    <w:rsid w:val="00996A46"/>
    <w:pPr>
      <w:numPr>
        <w:numId w:val="11"/>
      </w:numPr>
      <w:tabs>
        <w:tab w:val="num" w:pos="462"/>
      </w:tabs>
      <w:ind w:left="568" w:hanging="284"/>
    </w:pPr>
  </w:style>
  <w:style w:type="numbering" w:customStyle="1" w:styleId="TableBulletlist">
    <w:name w:val="Table Bullet list"/>
    <w:uiPriority w:val="99"/>
    <w:rsid w:val="00BB6ACE"/>
    <w:pPr>
      <w:numPr>
        <w:numId w:val="5"/>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semiHidden/>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A16700"/>
    <w:rPr>
      <w:rFonts w:asciiTheme="minorHAnsi" w:eastAsiaTheme="majorEastAsia" w:hAnsiTheme="minorHAnsi" w:cstheme="majorBidi"/>
      <w:b/>
      <w:i/>
      <w:color w:val="000000" w:themeColor="text1"/>
      <w:sz w:val="26"/>
      <w:szCs w:val="22"/>
      <w:lang w:eastAsia="en-US"/>
    </w:rPr>
  </w:style>
  <w:style w:type="paragraph" w:customStyle="1" w:styleId="TableListNumber2">
    <w:name w:val="Table List Number 2"/>
    <w:basedOn w:val="TableText"/>
    <w:qFormat/>
    <w:rsid w:val="00CF7FF8"/>
    <w:pPr>
      <w:numPr>
        <w:ilvl w:val="1"/>
        <w:numId w:val="13"/>
      </w:numPr>
    </w:pPr>
  </w:style>
  <w:style w:type="paragraph" w:customStyle="1" w:styleId="TableListNumber3">
    <w:name w:val="Table List Number 3"/>
    <w:basedOn w:val="TableText"/>
    <w:qFormat/>
    <w:rsid w:val="00CF7FF8"/>
    <w:pPr>
      <w:numPr>
        <w:ilvl w:val="2"/>
        <w:numId w:val="13"/>
      </w:numPr>
    </w:pPr>
  </w:style>
  <w:style w:type="numbering" w:customStyle="1" w:styleId="Tablenumberedlists">
    <w:name w:val="Table numbered lists"/>
    <w:uiPriority w:val="99"/>
    <w:rsid w:val="00CF7FF8"/>
    <w:pPr>
      <w:numPr>
        <w:numId w:val="13"/>
      </w:numPr>
    </w:pPr>
  </w:style>
  <w:style w:type="character" w:customStyle="1" w:styleId="Heading7Char">
    <w:name w:val="Heading 7 Char"/>
    <w:basedOn w:val="DefaultParagraphFont"/>
    <w:link w:val="Heading7"/>
    <w:uiPriority w:val="9"/>
    <w:semiHidden/>
    <w:rsid w:val="00A16700"/>
    <w:rPr>
      <w:rFonts w:asciiTheme="minorHAnsi" w:eastAsiaTheme="majorEastAsia" w:hAnsiTheme="minorHAnsi" w:cstheme="majorBidi"/>
      <w:b/>
      <w:iCs/>
      <w:color w:val="000000" w:themeColor="text1"/>
      <w:sz w:val="24"/>
      <w:szCs w:val="22"/>
      <w:lang w:eastAsia="en-US"/>
    </w:rPr>
  </w:style>
  <w:style w:type="character" w:customStyle="1" w:styleId="Heading8Char">
    <w:name w:val="Heading 8 Char"/>
    <w:basedOn w:val="DefaultParagraphFont"/>
    <w:link w:val="Heading8"/>
    <w:uiPriority w:val="9"/>
    <w:semiHidden/>
    <w:rsid w:val="00A16700"/>
    <w:rPr>
      <w:rFonts w:asciiTheme="minorHAnsi" w:eastAsiaTheme="majorEastAsia" w:hAnsiTheme="minorHAnsi" w:cstheme="majorBidi"/>
      <w:b/>
      <w:i/>
      <w:sz w:val="22"/>
      <w:szCs w:val="21"/>
      <w:lang w:eastAsia="en-US"/>
    </w:rPr>
  </w:style>
  <w:style w:type="paragraph" w:customStyle="1" w:styleId="BoxTextNumber">
    <w:name w:val="Box Text Number"/>
    <w:basedOn w:val="BoxText"/>
    <w:qFormat/>
    <w:rsid w:val="00A27706"/>
    <w:pPr>
      <w:numPr>
        <w:numId w:val="15"/>
      </w:numPr>
    </w:pPr>
  </w:style>
  <w:style w:type="character" w:customStyle="1" w:styleId="Heading9Char">
    <w:name w:val="Heading 9 Char"/>
    <w:basedOn w:val="DefaultParagraphFont"/>
    <w:link w:val="Heading9"/>
    <w:uiPriority w:val="9"/>
    <w:semiHidden/>
    <w:rsid w:val="00826753"/>
    <w:rPr>
      <w:rFonts w:asciiTheme="minorHAnsi" w:eastAsiaTheme="majorEastAsia" w:hAnsiTheme="minorHAnsi" w:cstheme="majorBidi"/>
      <w:b/>
      <w:iCs/>
      <w:color w:val="000000" w:themeColor="text1"/>
      <w:szCs w:val="21"/>
      <w:lang w:eastAsia="en-US"/>
    </w:rPr>
  </w:style>
  <w:style w:type="paragraph" w:styleId="Revision">
    <w:name w:val="Revision"/>
    <w:hidden/>
    <w:uiPriority w:val="99"/>
    <w:semiHidden/>
    <w:rsid w:val="00C7497D"/>
    <w:rPr>
      <w:rFonts w:asciiTheme="minorHAnsi" w:eastAsiaTheme="minorHAnsi" w:hAnsiTheme="minorHAnsi" w:cstheme="minorBidi"/>
      <w:sz w:val="22"/>
      <w:szCs w:val="22"/>
      <w:lang w:eastAsia="en-US"/>
    </w:rPr>
  </w:style>
  <w:style w:type="table" w:styleId="TableGrid">
    <w:name w:val="Table Grid"/>
    <w:basedOn w:val="TableNormal"/>
    <w:uiPriority w:val="59"/>
    <w:rsid w:val="00143713"/>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F2021L00319/latest/versions" TargetMode="External"/><Relationship Id="rId18" Type="http://schemas.openxmlformats.org/officeDocument/2006/relationships/hyperlink" Target="https://www.legislation.gov.au/F2018L00875/latest/tex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gislation.gov.au/C2020A00012/latest/versions" TargetMode="External"/><Relationship Id="rId17" Type="http://schemas.openxmlformats.org/officeDocument/2006/relationships/hyperlink" Target="https://www.agriculture.gov.au/biosecurity-trade/export/controlled-goods/live-animals/livestock/regulating-live-animal-expor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griculture.gov.au/biosecurity-trade/export/controlled-goods/live-animals/livestock/exporters/independent-observ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18L00875/latest/tex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griculture.gov.au/biosecurity-trade/export/controlled-goods/live-animals/livestock/exporters/exporting-livestock-consignment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reativecommons.org/licenses/by/4.0/legalco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biosecurity-trade/export/controlled-goods/live-animals/livestock/australian-standards-livestock"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Short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6183d753-4e0d-4b8c-8e8c-dbc502d8283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B1C13521109B5C4E813EED5B4CD35FE8" ma:contentTypeVersion="18" ma:contentTypeDescription="Create a new document." ma:contentTypeScope="" ma:versionID="900b42bfa1e8e9f9efb6fb9c3aa74ba7">
  <xsd:schema xmlns:xsd="http://www.w3.org/2001/XMLSchema" xmlns:xs="http://www.w3.org/2001/XMLSchema" xmlns:p="http://schemas.microsoft.com/office/2006/metadata/properties" xmlns:ns2="6183d753-4e0d-4b8c-8e8c-dbc502d82832" xmlns:ns3="0802b75a-89d5-408b-90bd-96b3a6bc3894" xmlns:ns4="81c01dc6-2c49-4730-b140-874c95cac377" targetNamespace="http://schemas.microsoft.com/office/2006/metadata/properties" ma:root="true" ma:fieldsID="2a46f26c763ec15507e16316a416adcc" ns2:_="" ns3:_="" ns4:_="">
    <xsd:import namespace="6183d753-4e0d-4b8c-8e8c-dbc502d82832"/>
    <xsd:import namespace="0802b75a-89d5-408b-90bd-96b3a6bc3894"/>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3d753-4e0d-4b8c-8e8c-dbc502d82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2b75a-89d5-408b-90bd-96b3a6bc38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142535e-02b0-410e-957b-a516542b3f09}" ma:internalName="TaxCatchAll" ma:showField="CatchAllData" ma:web="0802b75a-89d5-408b-90bd-96b3a6bc3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6183d753-4e0d-4b8c-8e8c-dbc502d82832"/>
  </ds:schemaRefs>
</ds:datastoreItem>
</file>

<file path=customXml/itemProps2.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3.xml><?xml version="1.0" encoding="utf-8"?>
<ds:datastoreItem xmlns:ds="http://schemas.openxmlformats.org/officeDocument/2006/customXml" ds:itemID="{C2021A4E-77D9-45D2-AD61-90CF58CEB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3d753-4e0d-4b8c-8e8c-dbc502d82832"/>
    <ds:schemaRef ds:uri="0802b75a-89d5-408b-90bd-96b3a6bc3894"/>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473bcc6b-73b7-4ef5-b413-c44cd14a40ad}"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Short_document_template</Template>
  <TotalTime>38</TotalTime>
  <Pages>6</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Independent observer deployment policy</vt:lpstr>
    </vt:vector>
  </TitlesOfParts>
  <Company/>
  <LinksUpToDate>false</LinksUpToDate>
  <CharactersWithSpaces>12934</CharactersWithSpaces>
  <SharedDoc>false</SharedDoc>
  <HLinks>
    <vt:vector size="48" baseType="variant">
      <vt:variant>
        <vt:i4>5373952</vt:i4>
      </vt:variant>
      <vt:variant>
        <vt:i4>24</vt:i4>
      </vt:variant>
      <vt:variant>
        <vt:i4>0</vt:i4>
      </vt:variant>
      <vt:variant>
        <vt:i4>5</vt:i4>
      </vt:variant>
      <vt:variant>
        <vt:lpwstr>https://creativecommons.org/licenses/by/4.0/legalcode</vt:lpwstr>
      </vt:variant>
      <vt:variant>
        <vt:lpwstr/>
      </vt:variant>
      <vt:variant>
        <vt:i4>5963898</vt:i4>
      </vt:variant>
      <vt:variant>
        <vt:i4>21</vt:i4>
      </vt:variant>
      <vt:variant>
        <vt:i4>0</vt:i4>
      </vt:variant>
      <vt:variant>
        <vt:i4>5</vt:i4>
      </vt:variant>
      <vt:variant>
        <vt:lpwstr/>
      </vt:variant>
      <vt:variant>
        <vt:lpwstr>_Routine_annual_deployments</vt:lpwstr>
      </vt:variant>
      <vt:variant>
        <vt:i4>5963898</vt:i4>
      </vt:variant>
      <vt:variant>
        <vt:i4>18</vt:i4>
      </vt:variant>
      <vt:variant>
        <vt:i4>0</vt:i4>
      </vt:variant>
      <vt:variant>
        <vt:i4>5</vt:i4>
      </vt:variant>
      <vt:variant>
        <vt:lpwstr/>
      </vt:variant>
      <vt:variant>
        <vt:lpwstr>_Routine_annual_deployments</vt:lpwstr>
      </vt:variant>
      <vt:variant>
        <vt:i4>524345</vt:i4>
      </vt:variant>
      <vt:variant>
        <vt:i4>15</vt:i4>
      </vt:variant>
      <vt:variant>
        <vt:i4>0</vt:i4>
      </vt:variant>
      <vt:variant>
        <vt:i4>5</vt:i4>
      </vt:variant>
      <vt:variant>
        <vt:lpwstr/>
      </vt:variant>
      <vt:variant>
        <vt:lpwstr>_Additional_circumstances_for</vt:lpwstr>
      </vt:variant>
      <vt:variant>
        <vt:i4>3801100</vt:i4>
      </vt:variant>
      <vt:variant>
        <vt:i4>9</vt:i4>
      </vt:variant>
      <vt:variant>
        <vt:i4>0</vt:i4>
      </vt:variant>
      <vt:variant>
        <vt:i4>5</vt:i4>
      </vt:variant>
      <vt:variant>
        <vt:lpwstr/>
      </vt:variant>
      <vt:variant>
        <vt:lpwstr>_Additional_deployment_requirementsE</vt:lpwstr>
      </vt:variant>
      <vt:variant>
        <vt:i4>3670065</vt:i4>
      </vt:variant>
      <vt:variant>
        <vt:i4>6</vt:i4>
      </vt:variant>
      <vt:variant>
        <vt:i4>0</vt:i4>
      </vt:variant>
      <vt:variant>
        <vt:i4>5</vt:i4>
      </vt:variant>
      <vt:variant>
        <vt:lpwstr/>
      </vt:variant>
      <vt:variant>
        <vt:lpwstr>_Targeted_deployments</vt:lpwstr>
      </vt:variant>
      <vt:variant>
        <vt:i4>20</vt:i4>
      </vt:variant>
      <vt:variant>
        <vt:i4>3</vt:i4>
      </vt:variant>
      <vt:variant>
        <vt:i4>0</vt:i4>
      </vt:variant>
      <vt:variant>
        <vt:i4>5</vt:i4>
      </vt:variant>
      <vt:variant>
        <vt:lpwstr/>
      </vt:variant>
      <vt:variant>
        <vt:lpwstr>_Routine_deployments</vt:lpwstr>
      </vt:variant>
      <vt:variant>
        <vt:i4>262156</vt:i4>
      </vt:variant>
      <vt:variant>
        <vt:i4>0</vt:i4>
      </vt:variant>
      <vt:variant>
        <vt:i4>0</vt:i4>
      </vt:variant>
      <vt:variant>
        <vt:i4>5</vt:i4>
      </vt:variant>
      <vt:variant>
        <vt:lpwstr/>
      </vt:variant>
      <vt:variant>
        <vt:lpwstr>_Related_material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observer deployment policy</dc:title>
  <dc:subject/>
  <dc:creator>Department of Agriculture, Fisheries and Forestry</dc:creator>
  <cp:keywords/>
  <cp:lastModifiedBy>Mulcahy, Louise</cp:lastModifiedBy>
  <cp:revision>8</cp:revision>
  <cp:lastPrinted>2025-04-29T06:26:00Z</cp:lastPrinted>
  <dcterms:created xsi:type="dcterms:W3CDTF">2026-04-29T06:17:00Z</dcterms:created>
  <dcterms:modified xsi:type="dcterms:W3CDTF">2026-05-06T00:16:00Z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0x010100B1C13521109B5C4E813EED5B4CD35FE8</vt:lpwstr>
  </property>
  <property fmtid="{D5CDD505-2E9C-101B-9397-08002B2CF9AE}" pid="3" name="_DocHome">
    <vt:i4>986778056</vt:i4>
  </property>
  <property fmtid="{D5CDD505-2E9C-101B-9397-08002B2CF9AE}" pid="4" name="ClassificationContentMarkingHeaderShapeIds">
    <vt:lpwstr>75e73740,2c8aeb6c</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351e854a,51c89a</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ediaServiceImageTags">
    <vt:lpwstr/>
  </property>
  <property fmtid="{D5CDD505-2E9C-101B-9397-08002B2CF9AE}" pid="11" name="MSIP_Label_473bcc6b-73b7-4ef5-b413-c44cd14a40ad_Enabled">
    <vt:lpwstr>true</vt:lpwstr>
  </property>
  <property fmtid="{D5CDD505-2E9C-101B-9397-08002B2CF9AE}" pid="12" name="MSIP_Label_473bcc6b-73b7-4ef5-b413-c44cd14a40ad_SetDate">
    <vt:lpwstr>2025-04-08T00:09:47Z</vt:lpwstr>
  </property>
  <property fmtid="{D5CDD505-2E9C-101B-9397-08002B2CF9AE}" pid="13" name="MSIP_Label_473bcc6b-73b7-4ef5-b413-c44cd14a40ad_Method">
    <vt:lpwstr>Privileged</vt:lpwstr>
  </property>
  <property fmtid="{D5CDD505-2E9C-101B-9397-08002B2CF9AE}" pid="14" name="MSIP_Label_473bcc6b-73b7-4ef5-b413-c44cd14a40ad_Name">
    <vt:lpwstr>Official - NO MARKING</vt:lpwstr>
  </property>
  <property fmtid="{D5CDD505-2E9C-101B-9397-08002B2CF9AE}" pid="15" name="MSIP_Label_473bcc6b-73b7-4ef5-b413-c44cd14a40ad_SiteId">
    <vt:lpwstr>2be67eb7-400c-4b3f-a5a1-1258c0da0696</vt:lpwstr>
  </property>
  <property fmtid="{D5CDD505-2E9C-101B-9397-08002B2CF9AE}" pid="16" name="MSIP_Label_473bcc6b-73b7-4ef5-b413-c44cd14a40ad_ActionId">
    <vt:lpwstr>1b7f8d47-0b2b-4837-b53f-412bac6de580</vt:lpwstr>
  </property>
  <property fmtid="{D5CDD505-2E9C-101B-9397-08002B2CF9AE}" pid="17" name="MSIP_Label_473bcc6b-73b7-4ef5-b413-c44cd14a40ad_ContentBits">
    <vt:lpwstr>0</vt:lpwstr>
  </property>
  <property fmtid="{D5CDD505-2E9C-101B-9397-08002B2CF9AE}" pid="18" name="MSIP_Label_473bcc6b-73b7-4ef5-b413-c44cd14a40ad_Tag">
    <vt:lpwstr>10, 0, 1, 1</vt:lpwstr>
  </property>
</Properties>
</file>