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16C2A126" w:rsidR="00ED0614" w:rsidRPr="009016B5" w:rsidRDefault="00A168ED">
      <w:pPr>
        <w:pStyle w:val="Heading1"/>
      </w:pPr>
      <w:r w:rsidRPr="00A168ED">
        <w:t xml:space="preserve">Infection with </w:t>
      </w:r>
      <w:r w:rsidR="000905BF" w:rsidRPr="000905BF">
        <w:rPr>
          <w:rStyle w:val="Emphasis"/>
        </w:rPr>
        <w:t xml:space="preserve">Batrachochytrium </w:t>
      </w:r>
      <w:proofErr w:type="spellStart"/>
      <w:r w:rsidR="000905BF" w:rsidRPr="000905BF">
        <w:rPr>
          <w:rStyle w:val="Emphasis"/>
        </w:rPr>
        <w:t>dendrobatidis</w:t>
      </w:r>
      <w:proofErr w:type="spellEnd"/>
      <w:r w:rsidR="00E472B8" w:rsidRPr="00E472B8">
        <w:t xml:space="preserve"> </w:t>
      </w:r>
      <w:r w:rsidR="00E472B8">
        <w:t>(Bd)</w:t>
      </w:r>
    </w:p>
    <w:p w14:paraId="0E538D58" w14:textId="3EB3A289" w:rsidR="007945B1" w:rsidRPr="007945B1" w:rsidRDefault="007945B1">
      <w:pPr>
        <w:pStyle w:val="Subtitle"/>
        <w:rPr>
          <w:sz w:val="24"/>
          <w:szCs w:val="24"/>
        </w:rPr>
      </w:pPr>
      <w:r>
        <w:rPr>
          <w:sz w:val="24"/>
          <w:szCs w:val="24"/>
        </w:rPr>
        <w:t xml:space="preserve">Also known as </w:t>
      </w:r>
      <w:r w:rsidR="00A168ED" w:rsidRPr="00A168ED">
        <w:rPr>
          <w:sz w:val="24"/>
          <w:szCs w:val="24"/>
        </w:rPr>
        <w:t xml:space="preserve">chytridiomycosis, cutaneous chytridiomycosis and amphibian </w:t>
      </w:r>
      <w:r w:rsidR="00A168ED">
        <w:rPr>
          <w:sz w:val="24"/>
          <w:szCs w:val="24"/>
        </w:rPr>
        <w:t>chytrid </w:t>
      </w:r>
      <w:r w:rsidR="00A168ED" w:rsidRPr="00A168ED">
        <w:rPr>
          <w:sz w:val="24"/>
          <w:szCs w:val="24"/>
        </w:rPr>
        <w:t>fungus</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10808F54" w:rsidR="00ED0614" w:rsidRDefault="00E260DC">
      <w:pPr>
        <w:pStyle w:val="Caption"/>
      </w:pPr>
      <w:r>
        <w:t xml:space="preserve">Figure </w:t>
      </w:r>
      <w:r>
        <w:rPr>
          <w:noProof/>
        </w:rPr>
        <w:fldChar w:fldCharType="begin"/>
      </w:r>
      <w:r>
        <w:rPr>
          <w:noProof/>
        </w:rPr>
        <w:instrText xml:space="preserve"> SEQ Figure \* ARABIC </w:instrText>
      </w:r>
      <w:r>
        <w:rPr>
          <w:noProof/>
        </w:rPr>
        <w:fldChar w:fldCharType="separate"/>
      </w:r>
      <w:r w:rsidR="004D0F48">
        <w:rPr>
          <w:noProof/>
        </w:rPr>
        <w:t>1</w:t>
      </w:r>
      <w:r>
        <w:rPr>
          <w:noProof/>
        </w:rPr>
        <w:fldChar w:fldCharType="end"/>
      </w:r>
      <w:r>
        <w:t xml:space="preserve"> </w:t>
      </w:r>
      <w:r w:rsidR="00A168ED" w:rsidRPr="00A168ED">
        <w:t>Great barred frog (</w:t>
      </w:r>
      <w:proofErr w:type="spellStart"/>
      <w:r w:rsidR="00A168ED" w:rsidRPr="00A168ED">
        <w:rPr>
          <w:rStyle w:val="Emphasis"/>
        </w:rPr>
        <w:t>Mixophyes</w:t>
      </w:r>
      <w:proofErr w:type="spellEnd"/>
      <w:r w:rsidR="00A168ED" w:rsidRPr="00A168ED">
        <w:rPr>
          <w:rStyle w:val="Emphasis"/>
        </w:rPr>
        <w:t xml:space="preserve"> </w:t>
      </w:r>
      <w:proofErr w:type="spellStart"/>
      <w:r w:rsidR="00A168ED" w:rsidRPr="00A168ED">
        <w:rPr>
          <w:rStyle w:val="Emphasis"/>
        </w:rPr>
        <w:t>fasciolatus</w:t>
      </w:r>
      <w:proofErr w:type="spellEnd"/>
      <w:r w:rsidR="00A168ED" w:rsidRPr="00A168ED">
        <w:t xml:space="preserve">) with severe infection with </w:t>
      </w:r>
      <w:r w:rsidR="000905BF" w:rsidRPr="000905BF">
        <w:rPr>
          <w:rStyle w:val="Emphasis"/>
        </w:rPr>
        <w:t xml:space="preserve">Batrachochytrium </w:t>
      </w:r>
      <w:proofErr w:type="spellStart"/>
      <w:r w:rsidR="000905BF" w:rsidRPr="000905BF">
        <w:rPr>
          <w:rStyle w:val="Emphasis"/>
        </w:rPr>
        <w:t>dendrobatidis</w:t>
      </w:r>
      <w:proofErr w:type="spellEnd"/>
    </w:p>
    <w:p w14:paraId="0EFF3543" w14:textId="4570EDE5" w:rsidR="00ED0614" w:rsidRPr="009016B5" w:rsidRDefault="00A168ED">
      <w:r>
        <w:rPr>
          <w:noProof/>
          <w:lang w:eastAsia="en-AU"/>
        </w:rPr>
        <w:drawing>
          <wp:inline distT="0" distB="0" distL="0" distR="0" wp14:anchorId="18634C93" wp14:editId="72EC6FBA">
            <wp:extent cx="3960000" cy="2098800"/>
            <wp:effectExtent l="0" t="0" r="254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xophyes fasciolatus Lee berger"/>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960000" cy="2098800"/>
                    </a:xfrm>
                    <a:prstGeom prst="rect">
                      <a:avLst/>
                    </a:prstGeom>
                    <a:noFill/>
                    <a:ln>
                      <a:noFill/>
                    </a:ln>
                    <a:extLst>
                      <a:ext uri="{53640926-AAD7-44D8-BBD7-CCE9431645EC}">
                        <a14:shadowObscured xmlns:a14="http://schemas.microsoft.com/office/drawing/2010/main"/>
                      </a:ext>
                    </a:extLst>
                  </pic:spPr>
                </pic:pic>
              </a:graphicData>
            </a:graphic>
          </wp:inline>
        </w:drawing>
      </w:r>
    </w:p>
    <w:p w14:paraId="654E0875" w14:textId="77777777" w:rsidR="00A168ED" w:rsidRDefault="00E260DC" w:rsidP="00A168ED">
      <w:pPr>
        <w:pStyle w:val="FigureTableNoteSource"/>
      </w:pPr>
      <w:r>
        <w:t xml:space="preserve">Note: </w:t>
      </w:r>
      <w:r w:rsidR="00A168ED">
        <w:t>Pieces of shedding skin on the body.</w:t>
      </w:r>
    </w:p>
    <w:p w14:paraId="0FE7139E" w14:textId="7DA751FB" w:rsidR="00ED0614" w:rsidRPr="009016B5" w:rsidRDefault="00A168ED" w:rsidP="00A168ED">
      <w:pPr>
        <w:pStyle w:val="FigureTableNoteSource"/>
      </w:pPr>
      <w:r>
        <w:t>Source: L Berger</w:t>
      </w:r>
    </w:p>
    <w:p w14:paraId="34D7581A" w14:textId="77777777" w:rsidR="00ED0614" w:rsidRDefault="00E260DC" w:rsidP="00852B6B">
      <w:pPr>
        <w:pStyle w:val="Heading2"/>
      </w:pPr>
      <w:r>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0ED3BEC6" w14:textId="77777777" w:rsidR="00ED0614" w:rsidRDefault="00E260DC">
      <w:pPr>
        <w:rPr>
          <w:lang w:eastAsia="ja-JP"/>
        </w:rPr>
      </w:pPr>
      <w:r>
        <w:rPr>
          <w:lang w:eastAsia="ja-JP"/>
        </w:rPr>
        <w:t>Disease signs at the farm, tank or pond level are:</w:t>
      </w:r>
    </w:p>
    <w:p w14:paraId="35D9E60B" w14:textId="77777777" w:rsidR="00A168ED" w:rsidRDefault="00A168ED" w:rsidP="00A168ED">
      <w:pPr>
        <w:pStyle w:val="ListBullet"/>
        <w:rPr>
          <w:lang w:eastAsia="ja-JP"/>
        </w:rPr>
      </w:pPr>
      <w:r>
        <w:rPr>
          <w:lang w:eastAsia="ja-JP"/>
        </w:rPr>
        <w:t>lethargy</w:t>
      </w:r>
    </w:p>
    <w:p w14:paraId="035B011A" w14:textId="77777777" w:rsidR="00A168ED" w:rsidRDefault="00A168ED" w:rsidP="00A168ED">
      <w:pPr>
        <w:pStyle w:val="ListBullet"/>
        <w:rPr>
          <w:lang w:eastAsia="ja-JP"/>
        </w:rPr>
      </w:pPr>
      <w:r>
        <w:rPr>
          <w:lang w:eastAsia="ja-JP"/>
        </w:rPr>
        <w:t>ataxia</w:t>
      </w:r>
    </w:p>
    <w:p w14:paraId="5545F266" w14:textId="77777777" w:rsidR="00A168ED" w:rsidRDefault="00A168ED" w:rsidP="00A168ED">
      <w:pPr>
        <w:pStyle w:val="ListBullet"/>
        <w:rPr>
          <w:lang w:eastAsia="ja-JP"/>
        </w:rPr>
      </w:pPr>
      <w:r>
        <w:rPr>
          <w:lang w:eastAsia="ja-JP"/>
        </w:rPr>
        <w:t>paralysis</w:t>
      </w:r>
    </w:p>
    <w:p w14:paraId="7771167B" w14:textId="77777777" w:rsidR="00A168ED" w:rsidRDefault="00A168ED" w:rsidP="00A168ED">
      <w:pPr>
        <w:pStyle w:val="ListBullet"/>
        <w:rPr>
          <w:lang w:eastAsia="ja-JP"/>
        </w:rPr>
      </w:pPr>
      <w:r>
        <w:rPr>
          <w:lang w:eastAsia="ja-JP"/>
        </w:rPr>
        <w:t>loss of flee response</w:t>
      </w:r>
    </w:p>
    <w:p w14:paraId="48786E4F" w14:textId="77777777" w:rsidR="00A168ED" w:rsidRDefault="00A168ED" w:rsidP="00A168ED">
      <w:pPr>
        <w:pStyle w:val="ListBullet"/>
        <w:rPr>
          <w:lang w:eastAsia="ja-JP"/>
        </w:rPr>
      </w:pPr>
      <w:r>
        <w:rPr>
          <w:lang w:eastAsia="ja-JP"/>
        </w:rPr>
        <w:t>loss of righting reflex</w:t>
      </w:r>
    </w:p>
    <w:p w14:paraId="4F2CAFD4" w14:textId="77777777" w:rsidR="00A168ED" w:rsidRDefault="00A168ED" w:rsidP="00A168ED">
      <w:pPr>
        <w:pStyle w:val="ListBullet"/>
        <w:rPr>
          <w:lang w:eastAsia="ja-JP"/>
        </w:rPr>
      </w:pPr>
      <w:r>
        <w:rPr>
          <w:lang w:eastAsia="ja-JP"/>
        </w:rPr>
        <w:t>abnormal sitting posture</w:t>
      </w:r>
    </w:p>
    <w:p w14:paraId="00623DC6" w14:textId="77777777" w:rsidR="00A168ED" w:rsidRDefault="00A168ED" w:rsidP="00A168ED">
      <w:pPr>
        <w:pStyle w:val="ListBullet"/>
        <w:rPr>
          <w:lang w:eastAsia="ja-JP"/>
        </w:rPr>
      </w:pPr>
      <w:r>
        <w:rPr>
          <w:lang w:eastAsia="ja-JP"/>
        </w:rPr>
        <w:t>tetanic spasms</w:t>
      </w:r>
    </w:p>
    <w:p w14:paraId="53E87BAB" w14:textId="77777777" w:rsidR="00A168ED" w:rsidRDefault="00A168ED" w:rsidP="00A168ED">
      <w:pPr>
        <w:pStyle w:val="ListBullet"/>
        <w:rPr>
          <w:lang w:eastAsia="ja-JP"/>
        </w:rPr>
      </w:pPr>
      <w:r>
        <w:rPr>
          <w:lang w:eastAsia="ja-JP"/>
        </w:rPr>
        <w:t>nocturnal species emerging during daylight</w:t>
      </w:r>
    </w:p>
    <w:p w14:paraId="64631B6C" w14:textId="03BFCD8C" w:rsidR="00ED0614" w:rsidRDefault="00A168ED" w:rsidP="004F173C">
      <w:pPr>
        <w:pStyle w:val="ListBullet"/>
        <w:rPr>
          <w:lang w:eastAsia="ja-JP"/>
        </w:rPr>
      </w:pPr>
      <w:r>
        <w:rPr>
          <w:lang w:eastAsia="ja-JP"/>
        </w:rPr>
        <w:t>burrowing species remaining outside of burrows.</w:t>
      </w:r>
    </w:p>
    <w:p w14:paraId="7418287E" w14:textId="77777777" w:rsidR="00CD0FA5" w:rsidRDefault="00DF2031" w:rsidP="00962828">
      <w:pPr>
        <w:keepNext/>
        <w:keepLines/>
        <w:rPr>
          <w:lang w:eastAsia="ja-JP"/>
        </w:rPr>
      </w:pPr>
      <w:r>
        <w:rPr>
          <w:lang w:eastAsia="ja-JP"/>
        </w:rPr>
        <w:lastRenderedPageBreak/>
        <w:t xml:space="preserve">Gross </w:t>
      </w:r>
      <w:r w:rsidRPr="00DF2031">
        <w:t>pathological</w:t>
      </w:r>
      <w:r>
        <w:rPr>
          <w:lang w:eastAsia="ja-JP"/>
        </w:rPr>
        <w:t xml:space="preserve"> signs </w:t>
      </w:r>
      <w:r w:rsidR="00CD0FA5">
        <w:rPr>
          <w:lang w:eastAsia="ja-JP"/>
        </w:rPr>
        <w:t>are:</w:t>
      </w:r>
    </w:p>
    <w:p w14:paraId="432E037D" w14:textId="77777777" w:rsidR="00A168ED" w:rsidRDefault="00A168ED" w:rsidP="00962828">
      <w:pPr>
        <w:pStyle w:val="ListBullet"/>
        <w:keepNext/>
        <w:keepLines/>
        <w:rPr>
          <w:lang w:eastAsia="ja-JP"/>
        </w:rPr>
      </w:pPr>
      <w:r>
        <w:rPr>
          <w:lang w:eastAsia="ja-JP"/>
        </w:rPr>
        <w:t>erythema (redness) of the ventral surface</w:t>
      </w:r>
    </w:p>
    <w:p w14:paraId="06EC2B36" w14:textId="474BA866" w:rsidR="00ED0614" w:rsidRDefault="00A168ED" w:rsidP="00962828">
      <w:pPr>
        <w:pStyle w:val="ListBullet"/>
        <w:keepNext/>
        <w:keepLines/>
        <w:rPr>
          <w:lang w:eastAsia="ja-JP"/>
        </w:rPr>
      </w:pPr>
      <w:r>
        <w:rPr>
          <w:lang w:eastAsia="ja-JP"/>
        </w:rPr>
        <w:t>lesions ranging from no obvious change to sloughing (as small flakes of skin).</w:t>
      </w:r>
    </w:p>
    <w:p w14:paraId="756185F0" w14:textId="3E86BE12" w:rsidR="00A168ED" w:rsidRDefault="00852B6B">
      <w:pPr>
        <w:rPr>
          <w:lang w:eastAsia="ja-JP"/>
        </w:rPr>
      </w:pPr>
      <w:r>
        <w:rPr>
          <w:lang w:eastAsia="ja-JP"/>
        </w:rPr>
        <w:t>G</w:t>
      </w:r>
      <w:r w:rsidR="00A168ED" w:rsidRPr="00A168ED">
        <w:rPr>
          <w:lang w:eastAsia="ja-JP"/>
        </w:rPr>
        <w:t>ross changes to the skin may be seen in severe infections</w:t>
      </w:r>
      <w:r w:rsidR="00962828">
        <w:rPr>
          <w:lang w:eastAsia="ja-JP"/>
        </w:rPr>
        <w:t>.</w:t>
      </w:r>
      <w:r w:rsidR="00A168ED" w:rsidRPr="00A168ED">
        <w:rPr>
          <w:lang w:eastAsia="ja-JP"/>
        </w:rPr>
        <w:t xml:space="preserve"> </w:t>
      </w:r>
      <w:r w:rsidR="00962828">
        <w:rPr>
          <w:lang w:eastAsia="ja-JP"/>
        </w:rPr>
        <w:t>H</w:t>
      </w:r>
      <w:r w:rsidR="00A168ED" w:rsidRPr="00A168ED">
        <w:rPr>
          <w:lang w:eastAsia="ja-JP"/>
        </w:rPr>
        <w:t>owever, these are not specific to the disease.</w:t>
      </w:r>
    </w:p>
    <w:p w14:paraId="2D426F0A" w14:textId="395C33DC" w:rsidR="00ED0614" w:rsidRDefault="00E260DC">
      <w:pPr>
        <w:rPr>
          <w:lang w:eastAsia="ja-JP"/>
        </w:rPr>
      </w:pPr>
      <w:r>
        <w:rPr>
          <w:lang w:eastAsia="ja-JP"/>
        </w:rPr>
        <w:t>Microscopic pathological signs are:</w:t>
      </w:r>
    </w:p>
    <w:p w14:paraId="45A2395F" w14:textId="77777777" w:rsidR="00A168ED" w:rsidRPr="00A168ED" w:rsidRDefault="00A168ED" w:rsidP="00A168ED">
      <w:pPr>
        <w:pStyle w:val="ListBullet"/>
        <w:rPr>
          <w:lang w:val="en-US"/>
        </w:rPr>
      </w:pPr>
      <w:r w:rsidRPr="00A168ED">
        <w:rPr>
          <w:lang w:val="en-US"/>
        </w:rPr>
        <w:t>loss of pigmented jaw sheaths and teeth rows in tadpoles' mouthparts</w:t>
      </w:r>
    </w:p>
    <w:p w14:paraId="7B7FC9D9" w14:textId="77777777" w:rsidR="00A168ED" w:rsidRPr="00A168ED" w:rsidRDefault="00A168ED" w:rsidP="00A168ED">
      <w:pPr>
        <w:pStyle w:val="ListBullet"/>
        <w:rPr>
          <w:lang w:val="en-US"/>
        </w:rPr>
      </w:pPr>
      <w:r w:rsidRPr="00A168ED">
        <w:rPr>
          <w:lang w:val="en-US"/>
        </w:rPr>
        <w:t xml:space="preserve">zoosporangia in the outer epidermal layers that are seen on fresh pieces of shed skin and in histological sections </w:t>
      </w:r>
    </w:p>
    <w:p w14:paraId="68AAA3DA" w14:textId="706F8FF3" w:rsidR="00ED0614" w:rsidRDefault="00A168ED" w:rsidP="00A168ED">
      <w:pPr>
        <w:pStyle w:val="ListBullet"/>
        <w:rPr>
          <w:lang w:val="en-US"/>
        </w:rPr>
      </w:pPr>
      <w:r w:rsidRPr="00A168ED">
        <w:rPr>
          <w:lang w:val="en-US"/>
        </w:rPr>
        <w:t>hyperkeratosis of the epidermis in areas where zoosporangia occur.</w:t>
      </w:r>
    </w:p>
    <w:p w14:paraId="755CDE80" w14:textId="77777777" w:rsidR="00ED0614" w:rsidRDefault="00E260DC">
      <w:pPr>
        <w:pStyle w:val="Heading2"/>
      </w:pPr>
      <w:r>
        <w:t>Disease agent</w:t>
      </w:r>
    </w:p>
    <w:p w14:paraId="06D0BB75" w14:textId="5B8057FE" w:rsidR="00ED0614" w:rsidRDefault="00E472B8" w:rsidP="008B4009">
      <w:r>
        <w:t>C</w:t>
      </w:r>
      <w:r w:rsidR="00A168ED" w:rsidRPr="00A168ED">
        <w:t xml:space="preserve">hytridiomycosis is caused by infection with the parasitic chytrid fungus, </w:t>
      </w:r>
      <w:r w:rsidR="000905BF" w:rsidRPr="000905BF">
        <w:rPr>
          <w:rStyle w:val="Emphasis"/>
        </w:rPr>
        <w:t xml:space="preserve">Batrachochytrium </w:t>
      </w:r>
      <w:proofErr w:type="spellStart"/>
      <w:r w:rsidR="000905BF" w:rsidRPr="000905BF">
        <w:rPr>
          <w:rStyle w:val="Emphasis"/>
        </w:rPr>
        <w:t>dendrobatidis</w:t>
      </w:r>
      <w:proofErr w:type="spellEnd"/>
      <w:r w:rsidR="00A168ED" w:rsidRPr="00A168ED">
        <w:t xml:space="preserve"> (Bd), of the class Chytridiomycota, order </w:t>
      </w:r>
      <w:proofErr w:type="spellStart"/>
      <w:r w:rsidR="00A168ED" w:rsidRPr="00A168ED">
        <w:t>Rhizophydiales</w:t>
      </w:r>
      <w:proofErr w:type="spellEnd"/>
      <w:r w:rsidR="00A168ED" w:rsidRPr="00A168ED">
        <w:t xml:space="preserve">. Recent evidence suggests that </w:t>
      </w:r>
      <w:r w:rsidR="000905BF" w:rsidRPr="000905BF">
        <w:rPr>
          <w:rStyle w:val="Emphasis"/>
        </w:rPr>
        <w:t>B. </w:t>
      </w:r>
      <w:proofErr w:type="spellStart"/>
      <w:r w:rsidR="000905BF" w:rsidRPr="000905BF">
        <w:rPr>
          <w:rStyle w:val="Emphasis"/>
        </w:rPr>
        <w:t>dendrobatidis</w:t>
      </w:r>
      <w:proofErr w:type="spellEnd"/>
      <w:r w:rsidR="00A168ED" w:rsidRPr="00A168ED">
        <w:t xml:space="preserve"> originated in Southeast Asia and was spread worldwide through international trade of amphibians.</w:t>
      </w:r>
    </w:p>
    <w:p w14:paraId="10B41ACC" w14:textId="77777777" w:rsidR="00ED0614" w:rsidRDefault="00E260DC" w:rsidP="00E472B8">
      <w:pPr>
        <w:pStyle w:val="Heading2"/>
        <w:keepLines/>
      </w:pPr>
      <w:r>
        <w:t>Host range</w:t>
      </w:r>
    </w:p>
    <w:p w14:paraId="5849A980" w14:textId="0A3092AE" w:rsidR="00A168ED" w:rsidRPr="00A168ED" w:rsidRDefault="00A168ED" w:rsidP="00A168ED">
      <w:pPr>
        <w:rPr>
          <w:lang w:eastAsia="ja-JP"/>
        </w:rPr>
      </w:pPr>
      <w:r w:rsidRPr="00A168ED">
        <w:rPr>
          <w:lang w:eastAsia="ja-JP"/>
        </w:rPr>
        <w:t xml:space="preserve">Most, if not all, amphibians </w:t>
      </w:r>
      <w:r w:rsidR="00E472B8" w:rsidRPr="00A168ED">
        <w:rPr>
          <w:lang w:eastAsia="ja-JP"/>
        </w:rPr>
        <w:t xml:space="preserve">appear to be susceptible to infection with </w:t>
      </w:r>
      <w:r w:rsidR="00E472B8" w:rsidRPr="000905BF">
        <w:rPr>
          <w:rStyle w:val="Emphasis"/>
        </w:rPr>
        <w:t>B. </w:t>
      </w:r>
      <w:proofErr w:type="spellStart"/>
      <w:r w:rsidR="00E472B8" w:rsidRPr="000905BF">
        <w:rPr>
          <w:rStyle w:val="Emphasis"/>
        </w:rPr>
        <w:t>dendrobatidis</w:t>
      </w:r>
      <w:proofErr w:type="spellEnd"/>
      <w:r w:rsidR="00E472B8">
        <w:rPr>
          <w:rStyle w:val="Emphasis"/>
        </w:rPr>
        <w:t>.</w:t>
      </w:r>
      <w:r w:rsidR="00E472B8" w:rsidRPr="00A168ED">
        <w:rPr>
          <w:lang w:eastAsia="ja-JP"/>
        </w:rPr>
        <w:t xml:space="preserve"> </w:t>
      </w:r>
      <w:r w:rsidR="00E472B8">
        <w:rPr>
          <w:lang w:eastAsia="ja-JP"/>
        </w:rPr>
        <w:t xml:space="preserve">This </w:t>
      </w:r>
      <w:r w:rsidRPr="00A168ED">
        <w:rPr>
          <w:lang w:eastAsia="ja-JP"/>
        </w:rPr>
        <w:t>includ</w:t>
      </w:r>
      <w:r w:rsidR="00E472B8">
        <w:rPr>
          <w:lang w:eastAsia="ja-JP"/>
        </w:rPr>
        <w:t>es</w:t>
      </w:r>
      <w:r w:rsidRPr="00A168ED">
        <w:rPr>
          <w:lang w:eastAsia="ja-JP"/>
        </w:rPr>
        <w:t xml:space="preserve"> all members of the orders </w:t>
      </w:r>
      <w:proofErr w:type="spellStart"/>
      <w:r w:rsidRPr="00A168ED">
        <w:rPr>
          <w:lang w:eastAsia="ja-JP"/>
        </w:rPr>
        <w:t>Anura</w:t>
      </w:r>
      <w:proofErr w:type="spellEnd"/>
      <w:r w:rsidRPr="00A168ED">
        <w:rPr>
          <w:lang w:eastAsia="ja-JP"/>
        </w:rPr>
        <w:t xml:space="preserve"> (frogs and toads), Caudata (including salamanders, newts and sirens) and Gymnophiona (caecilians). Amphibian species differ in degree of susceptibility; some are naturally resistant, </w:t>
      </w:r>
      <w:r w:rsidR="00E472B8">
        <w:rPr>
          <w:lang w:eastAsia="ja-JP"/>
        </w:rPr>
        <w:t xml:space="preserve">while </w:t>
      </w:r>
      <w:r w:rsidRPr="00A168ED">
        <w:rPr>
          <w:lang w:eastAsia="ja-JP"/>
        </w:rPr>
        <w:t xml:space="preserve">others are extremely susceptible with </w:t>
      </w:r>
      <w:r w:rsidR="000905BF" w:rsidRPr="000905BF">
        <w:rPr>
          <w:rStyle w:val="Emphasis"/>
        </w:rPr>
        <w:t>B. </w:t>
      </w:r>
      <w:proofErr w:type="spellStart"/>
      <w:r w:rsidR="000905BF" w:rsidRPr="000905BF">
        <w:rPr>
          <w:rStyle w:val="Emphasis"/>
        </w:rPr>
        <w:t>dendrobatidis</w:t>
      </w:r>
      <w:proofErr w:type="spellEnd"/>
      <w:r w:rsidRPr="00A168ED">
        <w:rPr>
          <w:lang w:eastAsia="ja-JP"/>
        </w:rPr>
        <w:t xml:space="preserve"> infection</w:t>
      </w:r>
      <w:r w:rsidR="00E472B8">
        <w:rPr>
          <w:lang w:eastAsia="ja-JP"/>
        </w:rPr>
        <w:t>,</w:t>
      </w:r>
      <w:r w:rsidRPr="00A168ED">
        <w:rPr>
          <w:lang w:eastAsia="ja-JP"/>
        </w:rPr>
        <w:t xml:space="preserve"> greatly increasing extinction risk in some isolated populations. In Australia</w:t>
      </w:r>
      <w:r w:rsidR="00E472B8">
        <w:rPr>
          <w:lang w:eastAsia="ja-JP"/>
        </w:rPr>
        <w:t>,</w:t>
      </w:r>
      <w:r w:rsidRPr="00A168ED">
        <w:rPr>
          <w:lang w:eastAsia="ja-JP"/>
        </w:rPr>
        <w:t xml:space="preserve"> </w:t>
      </w:r>
      <w:r w:rsidR="000905BF" w:rsidRPr="000905BF">
        <w:rPr>
          <w:rStyle w:val="Emphasis"/>
        </w:rPr>
        <w:t>B. </w:t>
      </w:r>
      <w:proofErr w:type="spellStart"/>
      <w:r w:rsidR="000905BF" w:rsidRPr="000905BF">
        <w:rPr>
          <w:rStyle w:val="Emphasis"/>
        </w:rPr>
        <w:t>dendrobatidis</w:t>
      </w:r>
      <w:proofErr w:type="spellEnd"/>
      <w:r w:rsidRPr="00A168ED">
        <w:rPr>
          <w:lang w:eastAsia="ja-JP"/>
        </w:rPr>
        <w:t xml:space="preserve"> has been directly implicated in the extinction of at least four native frog species and the decline of many others.</w:t>
      </w:r>
    </w:p>
    <w:p w14:paraId="63E14290" w14:textId="5B9470D1" w:rsidR="00ED0614" w:rsidRDefault="00E260DC">
      <w:pPr>
        <w:pStyle w:val="Caption"/>
      </w:pPr>
      <w:r>
        <w:t xml:space="preserve">Table </w:t>
      </w:r>
      <w:r>
        <w:rPr>
          <w:noProof/>
        </w:rPr>
        <w:fldChar w:fldCharType="begin"/>
      </w:r>
      <w:r>
        <w:rPr>
          <w:noProof/>
        </w:rPr>
        <w:instrText xml:space="preserve"> SEQ Table \* ARABIC </w:instrText>
      </w:r>
      <w:r>
        <w:rPr>
          <w:noProof/>
        </w:rPr>
        <w:fldChar w:fldCharType="separate"/>
      </w:r>
      <w:r w:rsidR="004D0F48">
        <w:rPr>
          <w:noProof/>
        </w:rPr>
        <w:t>1</w:t>
      </w:r>
      <w:r>
        <w:rPr>
          <w:noProof/>
        </w:rPr>
        <w:fldChar w:fldCharType="end"/>
      </w:r>
      <w:r>
        <w:t xml:space="preserve"> </w:t>
      </w:r>
      <w:r w:rsidR="008B4009" w:rsidRPr="008B4009">
        <w:t xml:space="preserve">Species </w:t>
      </w:r>
      <w:r w:rsidR="00DF2031" w:rsidRPr="00DF2031">
        <w:t>known to be susceptible to</w:t>
      </w:r>
      <w:r w:rsidR="003F7380">
        <w:t xml:space="preserve"> </w:t>
      </w:r>
      <w:r w:rsidR="000905BF" w:rsidRPr="000905BF">
        <w:rPr>
          <w:rStyle w:val="Emphasis"/>
        </w:rPr>
        <w:t xml:space="preserve">Batrachochytrium </w:t>
      </w:r>
      <w:proofErr w:type="spellStart"/>
      <w:r w:rsidR="000905BF" w:rsidRPr="000905BF">
        <w:rPr>
          <w:rStyle w:val="Emphasis"/>
        </w:rPr>
        <w:t>dendrobatidis</w:t>
      </w:r>
      <w:proofErr w:type="spellEnd"/>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ED0614" w14:paraId="7F099F95" w14:textId="77777777">
        <w:trPr>
          <w:cantSplit/>
          <w:trHeight w:val="300"/>
          <w:tblHeader/>
        </w:trPr>
        <w:tc>
          <w:tcPr>
            <w:tcW w:w="2500" w:type="pct"/>
            <w:tcBorders>
              <w:top w:val="single" w:sz="4" w:space="0" w:color="auto"/>
              <w:bottom w:val="single" w:sz="4" w:space="0" w:color="auto"/>
            </w:tcBorders>
            <w:noWrap/>
          </w:tcPr>
          <w:p w14:paraId="53C37EB4" w14:textId="77777777" w:rsidR="00ED0614" w:rsidRDefault="00E260DC">
            <w:pPr>
              <w:pStyle w:val="TableHeading"/>
            </w:pPr>
            <w:r>
              <w:t>Common name</w:t>
            </w:r>
          </w:p>
        </w:tc>
        <w:tc>
          <w:tcPr>
            <w:tcW w:w="2500" w:type="pct"/>
            <w:tcBorders>
              <w:top w:val="single" w:sz="4" w:space="0" w:color="auto"/>
              <w:bottom w:val="single" w:sz="4" w:space="0" w:color="auto"/>
            </w:tcBorders>
            <w:noWrap/>
          </w:tcPr>
          <w:p w14:paraId="0DE0AAEB" w14:textId="77777777" w:rsidR="00ED0614" w:rsidRDefault="00E260DC">
            <w:pPr>
              <w:pStyle w:val="TableHeading"/>
            </w:pPr>
            <w:r>
              <w:t>Scientific name</w:t>
            </w:r>
          </w:p>
        </w:tc>
      </w:tr>
      <w:tr w:rsidR="00A168ED" w14:paraId="3B818FD2" w14:textId="77777777">
        <w:trPr>
          <w:cantSplit/>
          <w:trHeight w:val="315"/>
        </w:trPr>
        <w:tc>
          <w:tcPr>
            <w:tcW w:w="2500" w:type="pct"/>
            <w:tcBorders>
              <w:top w:val="single" w:sz="4" w:space="0" w:color="auto"/>
            </w:tcBorders>
            <w:noWrap/>
          </w:tcPr>
          <w:p w14:paraId="2F3C0965" w14:textId="3E41F12F" w:rsidR="00A168ED" w:rsidRPr="002A5853" w:rsidRDefault="00A168ED" w:rsidP="00A168ED">
            <w:pPr>
              <w:pStyle w:val="TableText"/>
              <w:rPr>
                <w:rStyle w:val="Strong"/>
              </w:rPr>
            </w:pPr>
            <w:r w:rsidRPr="002A5853">
              <w:rPr>
                <w:rStyle w:val="Strong"/>
              </w:rPr>
              <w:t>Caecilians</w:t>
            </w:r>
          </w:p>
        </w:tc>
        <w:tc>
          <w:tcPr>
            <w:tcW w:w="2500" w:type="pct"/>
            <w:tcBorders>
              <w:top w:val="single" w:sz="4" w:space="0" w:color="auto"/>
            </w:tcBorders>
            <w:noWrap/>
          </w:tcPr>
          <w:p w14:paraId="2D4141AF" w14:textId="4470B5A1" w:rsidR="00A168ED" w:rsidRPr="002A5853" w:rsidRDefault="00A168ED" w:rsidP="00A168ED">
            <w:pPr>
              <w:pStyle w:val="TableText"/>
              <w:rPr>
                <w:rStyle w:val="Strong"/>
              </w:rPr>
            </w:pPr>
            <w:r w:rsidRPr="002A5853">
              <w:rPr>
                <w:rStyle w:val="Strong"/>
              </w:rPr>
              <w:t>Order Gymnophiona</w:t>
            </w:r>
          </w:p>
        </w:tc>
      </w:tr>
      <w:tr w:rsidR="00A168ED" w14:paraId="163A359F" w14:textId="77777777">
        <w:trPr>
          <w:cantSplit/>
          <w:trHeight w:val="315"/>
        </w:trPr>
        <w:tc>
          <w:tcPr>
            <w:tcW w:w="2500" w:type="pct"/>
            <w:noWrap/>
          </w:tcPr>
          <w:p w14:paraId="74773C6F" w14:textId="715BF2D8" w:rsidR="00A168ED" w:rsidRPr="002A5853" w:rsidRDefault="00A168ED" w:rsidP="00A168ED">
            <w:pPr>
              <w:pStyle w:val="TableText"/>
              <w:rPr>
                <w:rStyle w:val="Strong"/>
              </w:rPr>
            </w:pPr>
            <w:r w:rsidRPr="002A5853">
              <w:rPr>
                <w:rStyle w:val="Strong"/>
              </w:rPr>
              <w:t>Frogs and toads</w:t>
            </w:r>
          </w:p>
        </w:tc>
        <w:tc>
          <w:tcPr>
            <w:tcW w:w="2500" w:type="pct"/>
            <w:noWrap/>
          </w:tcPr>
          <w:p w14:paraId="1D5663AA" w14:textId="25403960" w:rsidR="00A168ED" w:rsidRPr="002A5853" w:rsidRDefault="00A168ED" w:rsidP="00A168ED">
            <w:pPr>
              <w:pStyle w:val="TableText"/>
              <w:rPr>
                <w:rStyle w:val="Strong"/>
                <w:rFonts w:eastAsia="SimSun"/>
              </w:rPr>
            </w:pPr>
            <w:r w:rsidRPr="002A5853">
              <w:rPr>
                <w:rStyle w:val="Strong"/>
              </w:rPr>
              <w:t xml:space="preserve">Order </w:t>
            </w:r>
            <w:proofErr w:type="spellStart"/>
            <w:r w:rsidRPr="002A5853">
              <w:rPr>
                <w:rStyle w:val="Strong"/>
              </w:rPr>
              <w:t>Anura</w:t>
            </w:r>
            <w:proofErr w:type="spellEnd"/>
          </w:p>
        </w:tc>
      </w:tr>
      <w:tr w:rsidR="00A168ED" w14:paraId="42EB7617" w14:textId="77777777">
        <w:trPr>
          <w:cantSplit/>
          <w:trHeight w:val="315"/>
        </w:trPr>
        <w:tc>
          <w:tcPr>
            <w:tcW w:w="2500" w:type="pct"/>
            <w:noWrap/>
          </w:tcPr>
          <w:p w14:paraId="71A33549" w14:textId="1358C26B" w:rsidR="00A168ED" w:rsidRDefault="00A168ED" w:rsidP="00A168ED">
            <w:pPr>
              <w:pStyle w:val="TableText"/>
            </w:pPr>
            <w:r w:rsidRPr="006541F2">
              <w:t>Bumpy rocket frog</w:t>
            </w:r>
          </w:p>
        </w:tc>
        <w:tc>
          <w:tcPr>
            <w:tcW w:w="2500" w:type="pct"/>
            <w:noWrap/>
          </w:tcPr>
          <w:p w14:paraId="1D4032D9" w14:textId="31EEDCE1" w:rsidR="00A168ED" w:rsidRPr="00A168ED" w:rsidRDefault="00A168ED" w:rsidP="00A168ED">
            <w:pPr>
              <w:pStyle w:val="TableText"/>
              <w:rPr>
                <w:rStyle w:val="Emphasis"/>
                <w:rFonts w:eastAsia="SimSun"/>
              </w:rPr>
            </w:pPr>
            <w:proofErr w:type="spellStart"/>
            <w:r w:rsidRPr="00A168ED">
              <w:rPr>
                <w:rStyle w:val="Emphasis"/>
              </w:rPr>
              <w:t>Litoria</w:t>
            </w:r>
            <w:proofErr w:type="spellEnd"/>
            <w:r w:rsidRPr="00A168ED">
              <w:rPr>
                <w:rStyle w:val="Emphasis"/>
              </w:rPr>
              <w:t xml:space="preserve"> </w:t>
            </w:r>
            <w:proofErr w:type="spellStart"/>
            <w:r w:rsidRPr="00A168ED">
              <w:rPr>
                <w:rStyle w:val="Emphasis"/>
              </w:rPr>
              <w:t>inermis</w:t>
            </w:r>
            <w:proofErr w:type="spellEnd"/>
          </w:p>
        </w:tc>
      </w:tr>
      <w:tr w:rsidR="00A168ED" w14:paraId="2B6394AD" w14:textId="77777777">
        <w:trPr>
          <w:cantSplit/>
          <w:trHeight w:val="315"/>
        </w:trPr>
        <w:tc>
          <w:tcPr>
            <w:tcW w:w="2500" w:type="pct"/>
            <w:noWrap/>
          </w:tcPr>
          <w:p w14:paraId="5E1E203A" w14:textId="148D73D2" w:rsidR="00A168ED" w:rsidRDefault="00A168ED" w:rsidP="00A168ED">
            <w:pPr>
              <w:pStyle w:val="TableText"/>
            </w:pPr>
            <w:r w:rsidRPr="006541F2">
              <w:t>Cane toad</w:t>
            </w:r>
          </w:p>
        </w:tc>
        <w:tc>
          <w:tcPr>
            <w:tcW w:w="2500" w:type="pct"/>
            <w:noWrap/>
          </w:tcPr>
          <w:p w14:paraId="44C74309" w14:textId="6917BDA5" w:rsidR="00A168ED" w:rsidRPr="00A168ED" w:rsidRDefault="00A168ED" w:rsidP="00A168ED">
            <w:pPr>
              <w:pStyle w:val="TableText"/>
              <w:rPr>
                <w:rStyle w:val="Emphasis"/>
              </w:rPr>
            </w:pPr>
            <w:proofErr w:type="spellStart"/>
            <w:r w:rsidRPr="00A168ED">
              <w:rPr>
                <w:rStyle w:val="Emphasis"/>
              </w:rPr>
              <w:t>Bufo</w:t>
            </w:r>
            <w:proofErr w:type="spellEnd"/>
            <w:r w:rsidRPr="00A168ED">
              <w:rPr>
                <w:rStyle w:val="Emphasis"/>
              </w:rPr>
              <w:t xml:space="preserve"> marinus</w:t>
            </w:r>
          </w:p>
        </w:tc>
      </w:tr>
      <w:tr w:rsidR="00A168ED" w14:paraId="6920FABC" w14:textId="77777777">
        <w:trPr>
          <w:cantSplit/>
          <w:trHeight w:val="315"/>
        </w:trPr>
        <w:tc>
          <w:tcPr>
            <w:tcW w:w="2500" w:type="pct"/>
            <w:noWrap/>
          </w:tcPr>
          <w:p w14:paraId="264B739C" w14:textId="1CE5E742" w:rsidR="00A168ED" w:rsidRDefault="00A168ED" w:rsidP="00A168ED">
            <w:pPr>
              <w:pStyle w:val="TableText"/>
            </w:pPr>
            <w:r w:rsidRPr="006541F2">
              <w:t>Great barred frog</w:t>
            </w:r>
          </w:p>
        </w:tc>
        <w:tc>
          <w:tcPr>
            <w:tcW w:w="2500" w:type="pct"/>
            <w:noWrap/>
          </w:tcPr>
          <w:p w14:paraId="379EFB71" w14:textId="1123B551" w:rsidR="00A168ED" w:rsidRPr="00A168ED" w:rsidRDefault="00A168ED" w:rsidP="00A168ED">
            <w:pPr>
              <w:pStyle w:val="TableText"/>
              <w:rPr>
                <w:rStyle w:val="Emphasis"/>
              </w:rPr>
            </w:pPr>
            <w:proofErr w:type="spellStart"/>
            <w:r w:rsidRPr="00A168ED">
              <w:rPr>
                <w:rStyle w:val="Emphasis"/>
              </w:rPr>
              <w:t>Mixophyes</w:t>
            </w:r>
            <w:proofErr w:type="spellEnd"/>
            <w:r w:rsidRPr="00A168ED">
              <w:rPr>
                <w:rStyle w:val="Emphasis"/>
              </w:rPr>
              <w:t xml:space="preserve"> </w:t>
            </w:r>
            <w:proofErr w:type="spellStart"/>
            <w:r w:rsidRPr="00A168ED">
              <w:rPr>
                <w:rStyle w:val="Emphasis"/>
              </w:rPr>
              <w:t>fasciolatus</w:t>
            </w:r>
            <w:proofErr w:type="spellEnd"/>
          </w:p>
        </w:tc>
      </w:tr>
      <w:tr w:rsidR="00A168ED" w14:paraId="0D6ED91A" w14:textId="77777777">
        <w:trPr>
          <w:cantSplit/>
          <w:trHeight w:val="315"/>
        </w:trPr>
        <w:tc>
          <w:tcPr>
            <w:tcW w:w="2500" w:type="pct"/>
            <w:noWrap/>
          </w:tcPr>
          <w:p w14:paraId="3198F7CB" w14:textId="00E53C1C" w:rsidR="00A168ED" w:rsidRPr="002F7844" w:rsidRDefault="00A168ED" w:rsidP="00A168ED">
            <w:pPr>
              <w:pStyle w:val="TableText"/>
            </w:pPr>
            <w:r w:rsidRPr="006541F2">
              <w:t>Green tree frog</w:t>
            </w:r>
          </w:p>
        </w:tc>
        <w:tc>
          <w:tcPr>
            <w:tcW w:w="2500" w:type="pct"/>
            <w:noWrap/>
          </w:tcPr>
          <w:p w14:paraId="5466F917" w14:textId="274FC1D3" w:rsidR="00A168ED" w:rsidRPr="00A168ED" w:rsidRDefault="00A168ED" w:rsidP="00A168ED">
            <w:pPr>
              <w:pStyle w:val="TableText"/>
              <w:rPr>
                <w:rStyle w:val="Emphasis"/>
              </w:rPr>
            </w:pPr>
            <w:proofErr w:type="spellStart"/>
            <w:r w:rsidRPr="00A168ED">
              <w:rPr>
                <w:rStyle w:val="Emphasis"/>
              </w:rPr>
              <w:t>Litoria</w:t>
            </w:r>
            <w:proofErr w:type="spellEnd"/>
            <w:r w:rsidRPr="00A168ED">
              <w:rPr>
                <w:rStyle w:val="Emphasis"/>
              </w:rPr>
              <w:t xml:space="preserve"> </w:t>
            </w:r>
            <w:proofErr w:type="spellStart"/>
            <w:r w:rsidRPr="00A168ED">
              <w:rPr>
                <w:rStyle w:val="Emphasis"/>
              </w:rPr>
              <w:t>caerulea</w:t>
            </w:r>
            <w:proofErr w:type="spellEnd"/>
          </w:p>
        </w:tc>
      </w:tr>
      <w:tr w:rsidR="00A168ED" w14:paraId="50940242" w14:textId="77777777">
        <w:trPr>
          <w:cantSplit/>
          <w:trHeight w:val="315"/>
        </w:trPr>
        <w:tc>
          <w:tcPr>
            <w:tcW w:w="2500" w:type="pct"/>
            <w:noWrap/>
          </w:tcPr>
          <w:p w14:paraId="708B6394" w14:textId="50332B77" w:rsidR="00A168ED" w:rsidRPr="002F7844" w:rsidRDefault="00A168ED" w:rsidP="00A168ED">
            <w:pPr>
              <w:pStyle w:val="TableText"/>
            </w:pPr>
            <w:r w:rsidRPr="006541F2">
              <w:t>Magnificent tree frog</w:t>
            </w:r>
          </w:p>
        </w:tc>
        <w:tc>
          <w:tcPr>
            <w:tcW w:w="2500" w:type="pct"/>
            <w:noWrap/>
          </w:tcPr>
          <w:p w14:paraId="2E781A41" w14:textId="57BBD2F8" w:rsidR="00A168ED" w:rsidRPr="00A168ED" w:rsidRDefault="00A168ED" w:rsidP="00A168ED">
            <w:pPr>
              <w:pStyle w:val="TableText"/>
              <w:rPr>
                <w:rStyle w:val="Emphasis"/>
              </w:rPr>
            </w:pPr>
            <w:proofErr w:type="spellStart"/>
            <w:r w:rsidRPr="00A168ED">
              <w:rPr>
                <w:rStyle w:val="Emphasis"/>
              </w:rPr>
              <w:t>Litoria</w:t>
            </w:r>
            <w:proofErr w:type="spellEnd"/>
            <w:r w:rsidRPr="00A168ED">
              <w:rPr>
                <w:rStyle w:val="Emphasis"/>
              </w:rPr>
              <w:t xml:space="preserve"> </w:t>
            </w:r>
            <w:proofErr w:type="spellStart"/>
            <w:r w:rsidRPr="00A168ED">
              <w:rPr>
                <w:rStyle w:val="Emphasis"/>
              </w:rPr>
              <w:t>splendida</w:t>
            </w:r>
            <w:proofErr w:type="spellEnd"/>
          </w:p>
        </w:tc>
      </w:tr>
      <w:tr w:rsidR="00A168ED" w14:paraId="79311F6A" w14:textId="77777777">
        <w:trPr>
          <w:cantSplit/>
          <w:trHeight w:val="315"/>
        </w:trPr>
        <w:tc>
          <w:tcPr>
            <w:tcW w:w="2500" w:type="pct"/>
            <w:noWrap/>
          </w:tcPr>
          <w:p w14:paraId="21CCA3F1" w14:textId="5B994CE2" w:rsidR="00A168ED" w:rsidRPr="000D1F36" w:rsidRDefault="00A168ED" w:rsidP="00A168ED">
            <w:pPr>
              <w:pStyle w:val="TableText"/>
            </w:pPr>
            <w:r w:rsidRPr="006541F2">
              <w:t>Ornate burrowing frog</w:t>
            </w:r>
          </w:p>
        </w:tc>
        <w:tc>
          <w:tcPr>
            <w:tcW w:w="2500" w:type="pct"/>
            <w:noWrap/>
          </w:tcPr>
          <w:p w14:paraId="42BA1E81" w14:textId="23275D4F" w:rsidR="00A168ED" w:rsidRPr="00A168ED" w:rsidRDefault="00A168ED" w:rsidP="00A168ED">
            <w:pPr>
              <w:pStyle w:val="TableText"/>
              <w:rPr>
                <w:rStyle w:val="Emphasis"/>
              </w:rPr>
            </w:pPr>
            <w:proofErr w:type="spellStart"/>
            <w:r w:rsidRPr="00A168ED">
              <w:rPr>
                <w:rStyle w:val="Emphasis"/>
              </w:rPr>
              <w:t>Limnodynastes</w:t>
            </w:r>
            <w:proofErr w:type="spellEnd"/>
            <w:r w:rsidRPr="00A168ED">
              <w:rPr>
                <w:rStyle w:val="Emphasis"/>
              </w:rPr>
              <w:t xml:space="preserve"> </w:t>
            </w:r>
            <w:proofErr w:type="spellStart"/>
            <w:r w:rsidRPr="00A168ED">
              <w:rPr>
                <w:rStyle w:val="Emphasis"/>
              </w:rPr>
              <w:t>ornatus</w:t>
            </w:r>
            <w:proofErr w:type="spellEnd"/>
          </w:p>
        </w:tc>
      </w:tr>
      <w:tr w:rsidR="00A168ED" w14:paraId="644EF00E" w14:textId="77777777">
        <w:trPr>
          <w:cantSplit/>
          <w:trHeight w:val="315"/>
        </w:trPr>
        <w:tc>
          <w:tcPr>
            <w:tcW w:w="2500" w:type="pct"/>
            <w:noWrap/>
          </w:tcPr>
          <w:p w14:paraId="6C8F1C91" w14:textId="3833660F" w:rsidR="00A168ED" w:rsidRPr="000D1F36" w:rsidRDefault="00A168ED" w:rsidP="00A168ED">
            <w:pPr>
              <w:pStyle w:val="TableText"/>
            </w:pPr>
            <w:r w:rsidRPr="006541F2">
              <w:t>Ornate nursery frog</w:t>
            </w:r>
          </w:p>
        </w:tc>
        <w:tc>
          <w:tcPr>
            <w:tcW w:w="2500" w:type="pct"/>
            <w:noWrap/>
          </w:tcPr>
          <w:p w14:paraId="4947D8A4" w14:textId="26DF166E" w:rsidR="00A168ED" w:rsidRPr="00A168ED" w:rsidRDefault="00A168ED" w:rsidP="00A168ED">
            <w:pPr>
              <w:pStyle w:val="TableText"/>
              <w:rPr>
                <w:rStyle w:val="Emphasis"/>
              </w:rPr>
            </w:pPr>
            <w:proofErr w:type="spellStart"/>
            <w:r w:rsidRPr="00A168ED">
              <w:rPr>
                <w:rStyle w:val="Emphasis"/>
              </w:rPr>
              <w:t>Cophixalus</w:t>
            </w:r>
            <w:proofErr w:type="spellEnd"/>
            <w:r w:rsidRPr="00A168ED">
              <w:rPr>
                <w:rStyle w:val="Emphasis"/>
              </w:rPr>
              <w:t xml:space="preserve"> </w:t>
            </w:r>
            <w:proofErr w:type="spellStart"/>
            <w:r w:rsidRPr="00A168ED">
              <w:rPr>
                <w:rStyle w:val="Emphasis"/>
              </w:rPr>
              <w:t>ornatus</w:t>
            </w:r>
            <w:proofErr w:type="spellEnd"/>
          </w:p>
        </w:tc>
      </w:tr>
      <w:tr w:rsidR="00A168ED" w14:paraId="5E78CB7B" w14:textId="77777777">
        <w:trPr>
          <w:cantSplit/>
          <w:trHeight w:val="315"/>
        </w:trPr>
        <w:tc>
          <w:tcPr>
            <w:tcW w:w="2500" w:type="pct"/>
            <w:noWrap/>
          </w:tcPr>
          <w:p w14:paraId="435C392E" w14:textId="576C50A7" w:rsidR="00A168ED" w:rsidRPr="000D1F36" w:rsidRDefault="00A168ED" w:rsidP="00A168ED">
            <w:pPr>
              <w:pStyle w:val="TableText"/>
            </w:pPr>
            <w:r w:rsidRPr="006541F2">
              <w:t>Red tree frog</w:t>
            </w:r>
          </w:p>
        </w:tc>
        <w:tc>
          <w:tcPr>
            <w:tcW w:w="2500" w:type="pct"/>
            <w:noWrap/>
          </w:tcPr>
          <w:p w14:paraId="440A695C" w14:textId="715EF693" w:rsidR="00A168ED" w:rsidRPr="00A168ED" w:rsidRDefault="00A168ED" w:rsidP="00A168ED">
            <w:pPr>
              <w:pStyle w:val="TableText"/>
              <w:rPr>
                <w:rStyle w:val="Emphasis"/>
              </w:rPr>
            </w:pPr>
            <w:proofErr w:type="spellStart"/>
            <w:r w:rsidRPr="00A168ED">
              <w:rPr>
                <w:rStyle w:val="Emphasis"/>
              </w:rPr>
              <w:t>Litoria</w:t>
            </w:r>
            <w:proofErr w:type="spellEnd"/>
            <w:r w:rsidRPr="00A168ED">
              <w:rPr>
                <w:rStyle w:val="Emphasis"/>
              </w:rPr>
              <w:t xml:space="preserve"> rubella</w:t>
            </w:r>
          </w:p>
        </w:tc>
      </w:tr>
      <w:tr w:rsidR="00A168ED" w14:paraId="4C07F5A1" w14:textId="77777777">
        <w:trPr>
          <w:cantSplit/>
          <w:trHeight w:val="315"/>
        </w:trPr>
        <w:tc>
          <w:tcPr>
            <w:tcW w:w="2500" w:type="pct"/>
            <w:noWrap/>
          </w:tcPr>
          <w:p w14:paraId="5B231E73" w14:textId="6326526C" w:rsidR="00A168ED" w:rsidRPr="000D1F36" w:rsidRDefault="00A168ED" w:rsidP="00A168ED">
            <w:pPr>
              <w:pStyle w:val="TableText"/>
            </w:pPr>
            <w:r w:rsidRPr="006541F2">
              <w:t xml:space="preserve">Red-backed </w:t>
            </w:r>
            <w:proofErr w:type="spellStart"/>
            <w:r w:rsidRPr="006541F2">
              <w:t>toadlet</w:t>
            </w:r>
            <w:proofErr w:type="spellEnd"/>
          </w:p>
        </w:tc>
        <w:tc>
          <w:tcPr>
            <w:tcW w:w="2500" w:type="pct"/>
            <w:noWrap/>
          </w:tcPr>
          <w:p w14:paraId="6D5409C6" w14:textId="68F5A61A" w:rsidR="00A168ED" w:rsidRPr="00A168ED" w:rsidRDefault="00A168ED" w:rsidP="00A168ED">
            <w:pPr>
              <w:pStyle w:val="TableText"/>
              <w:rPr>
                <w:rStyle w:val="Emphasis"/>
              </w:rPr>
            </w:pPr>
            <w:proofErr w:type="spellStart"/>
            <w:r w:rsidRPr="00A168ED">
              <w:rPr>
                <w:rStyle w:val="Emphasis"/>
              </w:rPr>
              <w:t>Pseudophryne</w:t>
            </w:r>
            <w:proofErr w:type="spellEnd"/>
            <w:r w:rsidRPr="00A168ED">
              <w:rPr>
                <w:rStyle w:val="Emphasis"/>
              </w:rPr>
              <w:t xml:space="preserve"> </w:t>
            </w:r>
            <w:proofErr w:type="spellStart"/>
            <w:r w:rsidRPr="00A168ED">
              <w:rPr>
                <w:rStyle w:val="Emphasis"/>
              </w:rPr>
              <w:t>coriacea</w:t>
            </w:r>
            <w:proofErr w:type="spellEnd"/>
          </w:p>
        </w:tc>
      </w:tr>
      <w:tr w:rsidR="00A168ED" w14:paraId="11E6B753" w14:textId="77777777">
        <w:trPr>
          <w:cantSplit/>
          <w:trHeight w:val="315"/>
        </w:trPr>
        <w:tc>
          <w:tcPr>
            <w:tcW w:w="2500" w:type="pct"/>
            <w:noWrap/>
          </w:tcPr>
          <w:p w14:paraId="6866EF56" w14:textId="173BBE70" w:rsidR="00A168ED" w:rsidRPr="000D1F36" w:rsidRDefault="00A168ED" w:rsidP="00A168ED">
            <w:pPr>
              <w:pStyle w:val="TableText"/>
            </w:pPr>
            <w:r w:rsidRPr="006541F2">
              <w:t>Sharp-snouted day frog</w:t>
            </w:r>
          </w:p>
        </w:tc>
        <w:tc>
          <w:tcPr>
            <w:tcW w:w="2500" w:type="pct"/>
            <w:noWrap/>
          </w:tcPr>
          <w:p w14:paraId="4FF8ABE1" w14:textId="0477C813" w:rsidR="00A168ED" w:rsidRPr="00A168ED" w:rsidRDefault="00A168ED" w:rsidP="00A168ED">
            <w:pPr>
              <w:pStyle w:val="TableText"/>
              <w:rPr>
                <w:rStyle w:val="Emphasis"/>
              </w:rPr>
            </w:pPr>
            <w:proofErr w:type="spellStart"/>
            <w:r w:rsidRPr="00A168ED">
              <w:rPr>
                <w:rStyle w:val="Emphasis"/>
              </w:rPr>
              <w:t>Taudactylus</w:t>
            </w:r>
            <w:proofErr w:type="spellEnd"/>
            <w:r w:rsidRPr="00A168ED">
              <w:rPr>
                <w:rStyle w:val="Emphasis"/>
              </w:rPr>
              <w:t xml:space="preserve"> </w:t>
            </w:r>
            <w:proofErr w:type="spellStart"/>
            <w:r w:rsidR="00492B27" w:rsidRPr="00492B27">
              <w:rPr>
                <w:rStyle w:val="Emphasis"/>
              </w:rPr>
              <w:t>acutirostris</w:t>
            </w:r>
            <w:proofErr w:type="spellEnd"/>
            <w:r w:rsidR="00492B27" w:rsidRPr="00492B27">
              <w:rPr>
                <w:rStyle w:val="Emphasis"/>
              </w:rPr>
              <w:t> </w:t>
            </w:r>
          </w:p>
        </w:tc>
      </w:tr>
      <w:tr w:rsidR="00A168ED" w14:paraId="0C7280BE" w14:textId="77777777">
        <w:trPr>
          <w:cantSplit/>
          <w:trHeight w:val="315"/>
        </w:trPr>
        <w:tc>
          <w:tcPr>
            <w:tcW w:w="2500" w:type="pct"/>
            <w:noWrap/>
          </w:tcPr>
          <w:p w14:paraId="5B13A3CC" w14:textId="70E390FA" w:rsidR="00A168ED" w:rsidRPr="000D1F36" w:rsidRDefault="00A168ED" w:rsidP="00A168ED">
            <w:pPr>
              <w:pStyle w:val="TableText"/>
            </w:pPr>
            <w:r w:rsidRPr="006541F2">
              <w:lastRenderedPageBreak/>
              <w:t>Short-footed frog</w:t>
            </w:r>
          </w:p>
        </w:tc>
        <w:tc>
          <w:tcPr>
            <w:tcW w:w="2500" w:type="pct"/>
            <w:noWrap/>
          </w:tcPr>
          <w:p w14:paraId="1B7FAF3D" w14:textId="653DC8D2" w:rsidR="00A168ED" w:rsidRPr="00A168ED" w:rsidRDefault="00A168ED" w:rsidP="00A168ED">
            <w:pPr>
              <w:pStyle w:val="TableText"/>
              <w:rPr>
                <w:rStyle w:val="Emphasis"/>
              </w:rPr>
            </w:pPr>
            <w:proofErr w:type="spellStart"/>
            <w:r w:rsidRPr="00A168ED">
              <w:rPr>
                <w:rStyle w:val="Emphasis"/>
              </w:rPr>
              <w:t>Cyclorana</w:t>
            </w:r>
            <w:proofErr w:type="spellEnd"/>
            <w:r w:rsidRPr="00A168ED">
              <w:rPr>
                <w:rStyle w:val="Emphasis"/>
              </w:rPr>
              <w:t xml:space="preserve"> </w:t>
            </w:r>
            <w:proofErr w:type="spellStart"/>
            <w:r w:rsidRPr="00A168ED">
              <w:rPr>
                <w:rStyle w:val="Emphasis"/>
              </w:rPr>
              <w:t>brevipes</w:t>
            </w:r>
            <w:proofErr w:type="spellEnd"/>
          </w:p>
        </w:tc>
      </w:tr>
      <w:tr w:rsidR="00A168ED" w14:paraId="4D021499" w14:textId="77777777">
        <w:trPr>
          <w:cantSplit/>
          <w:trHeight w:val="315"/>
        </w:trPr>
        <w:tc>
          <w:tcPr>
            <w:tcW w:w="2500" w:type="pct"/>
            <w:noWrap/>
          </w:tcPr>
          <w:p w14:paraId="1FC1BABD" w14:textId="0E4DFFD3" w:rsidR="00A168ED" w:rsidRPr="000D1F36" w:rsidRDefault="00A168ED" w:rsidP="00A168ED">
            <w:pPr>
              <w:pStyle w:val="TableText"/>
            </w:pPr>
            <w:r w:rsidRPr="006541F2">
              <w:t>Striped burrowing frog</w:t>
            </w:r>
          </w:p>
        </w:tc>
        <w:tc>
          <w:tcPr>
            <w:tcW w:w="2500" w:type="pct"/>
            <w:noWrap/>
          </w:tcPr>
          <w:p w14:paraId="6625A399" w14:textId="0243307C" w:rsidR="00A168ED" w:rsidRPr="00A168ED" w:rsidRDefault="00492B27" w:rsidP="00492B27">
            <w:pPr>
              <w:pStyle w:val="TableText"/>
              <w:rPr>
                <w:rStyle w:val="Emphasis"/>
              </w:rPr>
            </w:pPr>
            <w:proofErr w:type="spellStart"/>
            <w:r>
              <w:rPr>
                <w:rStyle w:val="Emphasis"/>
              </w:rPr>
              <w:t>Cyclorana</w:t>
            </w:r>
            <w:proofErr w:type="spellEnd"/>
            <w:r w:rsidRPr="00A168ED">
              <w:rPr>
                <w:rStyle w:val="Emphasis"/>
              </w:rPr>
              <w:t xml:space="preserve"> </w:t>
            </w:r>
            <w:proofErr w:type="spellStart"/>
            <w:r w:rsidR="00A168ED" w:rsidRPr="00A168ED">
              <w:rPr>
                <w:rStyle w:val="Emphasis"/>
              </w:rPr>
              <w:t>alboguttata</w:t>
            </w:r>
            <w:proofErr w:type="spellEnd"/>
          </w:p>
        </w:tc>
      </w:tr>
      <w:tr w:rsidR="003D6E5F" w14:paraId="1A89CC62" w14:textId="77777777">
        <w:trPr>
          <w:cantSplit/>
          <w:trHeight w:val="315"/>
        </w:trPr>
        <w:tc>
          <w:tcPr>
            <w:tcW w:w="2500" w:type="pct"/>
            <w:noWrap/>
          </w:tcPr>
          <w:p w14:paraId="4715F92A" w14:textId="74F1F4F8" w:rsidR="003D6E5F" w:rsidRPr="002A5853" w:rsidRDefault="003D6E5F" w:rsidP="003D6E5F">
            <w:pPr>
              <w:pStyle w:val="TableText"/>
              <w:rPr>
                <w:rStyle w:val="Strong"/>
              </w:rPr>
            </w:pPr>
            <w:r w:rsidRPr="002A5853">
              <w:rPr>
                <w:rStyle w:val="Strong"/>
              </w:rPr>
              <w:t>Salamanders newts and sirens</w:t>
            </w:r>
          </w:p>
        </w:tc>
        <w:tc>
          <w:tcPr>
            <w:tcW w:w="2500" w:type="pct"/>
            <w:noWrap/>
          </w:tcPr>
          <w:p w14:paraId="3104A710" w14:textId="014FB486" w:rsidR="003D6E5F" w:rsidRPr="002A5853" w:rsidRDefault="003D6E5F" w:rsidP="003D6E5F">
            <w:pPr>
              <w:pStyle w:val="TableText"/>
              <w:rPr>
                <w:rStyle w:val="Strong"/>
              </w:rPr>
            </w:pPr>
            <w:r w:rsidRPr="002A5853">
              <w:rPr>
                <w:rStyle w:val="Strong"/>
              </w:rPr>
              <w:t>Order Caudata</w:t>
            </w:r>
          </w:p>
        </w:tc>
      </w:tr>
      <w:tr w:rsidR="003D6E5F" w14:paraId="793C4FBA" w14:textId="77777777">
        <w:trPr>
          <w:cantSplit/>
          <w:trHeight w:val="315"/>
        </w:trPr>
        <w:tc>
          <w:tcPr>
            <w:tcW w:w="2500" w:type="pct"/>
            <w:noWrap/>
          </w:tcPr>
          <w:p w14:paraId="63DD20A0" w14:textId="233EBD7A" w:rsidR="003D6E5F" w:rsidRPr="000D1F36" w:rsidRDefault="003D6E5F" w:rsidP="003D6E5F">
            <w:pPr>
              <w:pStyle w:val="TableText"/>
            </w:pPr>
            <w:r w:rsidRPr="006541F2">
              <w:t>Alpine newt</w:t>
            </w:r>
          </w:p>
        </w:tc>
        <w:tc>
          <w:tcPr>
            <w:tcW w:w="2500" w:type="pct"/>
            <w:noWrap/>
          </w:tcPr>
          <w:p w14:paraId="35397B4F" w14:textId="38F7B5A8" w:rsidR="003D6E5F" w:rsidRPr="00A168ED" w:rsidRDefault="003D6E5F" w:rsidP="003D6E5F">
            <w:pPr>
              <w:pStyle w:val="TableText"/>
              <w:rPr>
                <w:rStyle w:val="Emphasis"/>
              </w:rPr>
            </w:pPr>
            <w:proofErr w:type="spellStart"/>
            <w:r w:rsidRPr="00A168ED">
              <w:rPr>
                <w:rStyle w:val="Emphasis"/>
              </w:rPr>
              <w:t>Ichthyosaura</w:t>
            </w:r>
            <w:proofErr w:type="spellEnd"/>
            <w:r w:rsidRPr="00A168ED">
              <w:rPr>
                <w:rStyle w:val="Emphasis"/>
              </w:rPr>
              <w:t xml:space="preserve"> </w:t>
            </w:r>
            <w:proofErr w:type="spellStart"/>
            <w:r w:rsidRPr="00A168ED">
              <w:rPr>
                <w:rStyle w:val="Emphasis"/>
              </w:rPr>
              <w:t>alpestris</w:t>
            </w:r>
            <w:proofErr w:type="spellEnd"/>
          </w:p>
        </w:tc>
      </w:tr>
      <w:tr w:rsidR="003D6E5F" w14:paraId="0EA9D71E" w14:textId="77777777">
        <w:trPr>
          <w:cantSplit/>
          <w:trHeight w:val="315"/>
        </w:trPr>
        <w:tc>
          <w:tcPr>
            <w:tcW w:w="2500" w:type="pct"/>
            <w:noWrap/>
          </w:tcPr>
          <w:p w14:paraId="6E8DF13A" w14:textId="1200BAB0" w:rsidR="003D6E5F" w:rsidRPr="000D1F36" w:rsidRDefault="003D6E5F" w:rsidP="003D6E5F">
            <w:pPr>
              <w:pStyle w:val="TableText"/>
            </w:pPr>
            <w:r w:rsidRPr="006541F2">
              <w:t>Blue tailed fire belly newt</w:t>
            </w:r>
          </w:p>
        </w:tc>
        <w:tc>
          <w:tcPr>
            <w:tcW w:w="2500" w:type="pct"/>
            <w:noWrap/>
          </w:tcPr>
          <w:p w14:paraId="566C2A91" w14:textId="41069E72" w:rsidR="003D6E5F" w:rsidRPr="00A168ED" w:rsidRDefault="003D6E5F" w:rsidP="003D6E5F">
            <w:pPr>
              <w:pStyle w:val="TableText"/>
              <w:rPr>
                <w:rStyle w:val="Emphasis"/>
              </w:rPr>
            </w:pPr>
            <w:proofErr w:type="spellStart"/>
            <w:r w:rsidRPr="00A168ED">
              <w:rPr>
                <w:rStyle w:val="Emphasis"/>
              </w:rPr>
              <w:t>Cynops</w:t>
            </w:r>
            <w:proofErr w:type="spellEnd"/>
            <w:r w:rsidRPr="00A168ED">
              <w:rPr>
                <w:rStyle w:val="Emphasis"/>
              </w:rPr>
              <w:t xml:space="preserve"> </w:t>
            </w:r>
            <w:proofErr w:type="spellStart"/>
            <w:r w:rsidRPr="00A168ED">
              <w:rPr>
                <w:rStyle w:val="Emphasis"/>
              </w:rPr>
              <w:t>cyanurus</w:t>
            </w:r>
            <w:proofErr w:type="spellEnd"/>
          </w:p>
        </w:tc>
      </w:tr>
      <w:tr w:rsidR="003D6E5F" w14:paraId="68440DCC" w14:textId="77777777">
        <w:trPr>
          <w:cantSplit/>
          <w:trHeight w:val="315"/>
        </w:trPr>
        <w:tc>
          <w:tcPr>
            <w:tcW w:w="2500" w:type="pct"/>
            <w:noWrap/>
          </w:tcPr>
          <w:p w14:paraId="24AE5698" w14:textId="35F95135" w:rsidR="003D6E5F" w:rsidRPr="000D1F36" w:rsidRDefault="003D6E5F" w:rsidP="003D6E5F">
            <w:pPr>
              <w:pStyle w:val="TableText"/>
            </w:pPr>
            <w:r w:rsidRPr="006541F2">
              <w:t>Chiang Mai crocodile newt</w:t>
            </w:r>
          </w:p>
        </w:tc>
        <w:tc>
          <w:tcPr>
            <w:tcW w:w="2500" w:type="pct"/>
            <w:noWrap/>
          </w:tcPr>
          <w:p w14:paraId="4F3CBDA4" w14:textId="38AD3745" w:rsidR="003D6E5F" w:rsidRPr="00A168ED" w:rsidRDefault="003D6E5F" w:rsidP="003D6E5F">
            <w:pPr>
              <w:pStyle w:val="TableText"/>
              <w:rPr>
                <w:rStyle w:val="Emphasis"/>
              </w:rPr>
            </w:pPr>
            <w:proofErr w:type="spellStart"/>
            <w:r w:rsidRPr="00A168ED">
              <w:rPr>
                <w:rStyle w:val="Emphasis"/>
              </w:rPr>
              <w:t>Tylototriton</w:t>
            </w:r>
            <w:proofErr w:type="spellEnd"/>
            <w:r w:rsidRPr="00A168ED">
              <w:rPr>
                <w:rStyle w:val="Emphasis"/>
              </w:rPr>
              <w:t xml:space="preserve"> </w:t>
            </w:r>
            <w:proofErr w:type="spellStart"/>
            <w:r w:rsidRPr="00A168ED">
              <w:rPr>
                <w:rStyle w:val="Emphasis"/>
              </w:rPr>
              <w:t>uyenoi</w:t>
            </w:r>
            <w:proofErr w:type="spellEnd"/>
          </w:p>
        </w:tc>
      </w:tr>
      <w:tr w:rsidR="003D6E5F" w14:paraId="13EE3C60" w14:textId="77777777">
        <w:trPr>
          <w:cantSplit/>
          <w:trHeight w:val="315"/>
        </w:trPr>
        <w:tc>
          <w:tcPr>
            <w:tcW w:w="2500" w:type="pct"/>
            <w:noWrap/>
          </w:tcPr>
          <w:p w14:paraId="15D2476B" w14:textId="682E23D0" w:rsidR="003D6E5F" w:rsidRPr="000D1F36" w:rsidRDefault="003D6E5F" w:rsidP="003D6E5F">
            <w:pPr>
              <w:pStyle w:val="TableText"/>
            </w:pPr>
            <w:r w:rsidRPr="006541F2">
              <w:t xml:space="preserve">Chinese </w:t>
            </w:r>
            <w:proofErr w:type="spellStart"/>
            <w:r w:rsidRPr="006541F2">
              <w:t>firebelly</w:t>
            </w:r>
            <w:proofErr w:type="spellEnd"/>
            <w:r w:rsidRPr="006541F2">
              <w:t xml:space="preserve"> newt</w:t>
            </w:r>
          </w:p>
        </w:tc>
        <w:tc>
          <w:tcPr>
            <w:tcW w:w="2500" w:type="pct"/>
            <w:noWrap/>
          </w:tcPr>
          <w:p w14:paraId="3F0A9476" w14:textId="4D20C2EB" w:rsidR="003D6E5F" w:rsidRPr="00A168ED" w:rsidRDefault="003D6E5F" w:rsidP="003D6E5F">
            <w:pPr>
              <w:pStyle w:val="TableText"/>
              <w:rPr>
                <w:rStyle w:val="Emphasis"/>
              </w:rPr>
            </w:pPr>
            <w:proofErr w:type="spellStart"/>
            <w:r w:rsidRPr="00A168ED">
              <w:rPr>
                <w:rStyle w:val="Emphasis"/>
              </w:rPr>
              <w:t>Cynops</w:t>
            </w:r>
            <w:proofErr w:type="spellEnd"/>
            <w:r w:rsidRPr="00A168ED">
              <w:rPr>
                <w:rStyle w:val="Emphasis"/>
              </w:rPr>
              <w:t xml:space="preserve"> </w:t>
            </w:r>
            <w:proofErr w:type="spellStart"/>
            <w:r w:rsidRPr="00A168ED">
              <w:rPr>
                <w:rStyle w:val="Emphasis"/>
              </w:rPr>
              <w:t>orientalis</w:t>
            </w:r>
            <w:proofErr w:type="spellEnd"/>
          </w:p>
        </w:tc>
      </w:tr>
      <w:tr w:rsidR="003D6E5F" w14:paraId="4BF4D6EF" w14:textId="77777777">
        <w:trPr>
          <w:cantSplit/>
          <w:trHeight w:val="315"/>
        </w:trPr>
        <w:tc>
          <w:tcPr>
            <w:tcW w:w="2500" w:type="pct"/>
            <w:noWrap/>
          </w:tcPr>
          <w:p w14:paraId="358EE99F" w14:textId="7CE2A1D6" w:rsidR="003D6E5F" w:rsidRPr="000D1F36" w:rsidRDefault="003D6E5F" w:rsidP="003D6E5F">
            <w:pPr>
              <w:pStyle w:val="TableText"/>
            </w:pPr>
            <w:r w:rsidRPr="006541F2">
              <w:t>Clouded salamander</w:t>
            </w:r>
          </w:p>
        </w:tc>
        <w:tc>
          <w:tcPr>
            <w:tcW w:w="2500" w:type="pct"/>
            <w:noWrap/>
          </w:tcPr>
          <w:p w14:paraId="46A53BD3" w14:textId="1D67813C" w:rsidR="003D6E5F" w:rsidRPr="00A168ED" w:rsidRDefault="003D6E5F" w:rsidP="003D6E5F">
            <w:pPr>
              <w:pStyle w:val="TableText"/>
              <w:rPr>
                <w:rStyle w:val="Emphasis"/>
              </w:rPr>
            </w:pPr>
            <w:proofErr w:type="spellStart"/>
            <w:r w:rsidRPr="00A168ED">
              <w:rPr>
                <w:rStyle w:val="Emphasis"/>
              </w:rPr>
              <w:t>Hynobius</w:t>
            </w:r>
            <w:proofErr w:type="spellEnd"/>
            <w:r w:rsidRPr="00A168ED">
              <w:rPr>
                <w:rStyle w:val="Emphasis"/>
              </w:rPr>
              <w:t xml:space="preserve"> nebulosus</w:t>
            </w:r>
          </w:p>
        </w:tc>
      </w:tr>
      <w:tr w:rsidR="003D6E5F" w14:paraId="02C8F441" w14:textId="77777777">
        <w:trPr>
          <w:cantSplit/>
          <w:trHeight w:val="315"/>
        </w:trPr>
        <w:tc>
          <w:tcPr>
            <w:tcW w:w="2500" w:type="pct"/>
            <w:noWrap/>
          </w:tcPr>
          <w:p w14:paraId="0AE65B08" w14:textId="26D5A341" w:rsidR="003D6E5F" w:rsidRPr="000D1F36" w:rsidRDefault="003D6E5F" w:rsidP="003D6E5F">
            <w:pPr>
              <w:pStyle w:val="TableText"/>
            </w:pPr>
            <w:r w:rsidRPr="006541F2">
              <w:t>Eastern newt</w:t>
            </w:r>
          </w:p>
        </w:tc>
        <w:tc>
          <w:tcPr>
            <w:tcW w:w="2500" w:type="pct"/>
            <w:noWrap/>
          </w:tcPr>
          <w:p w14:paraId="423EEAF8" w14:textId="6CE4C0E3" w:rsidR="003D6E5F" w:rsidRPr="00A168ED" w:rsidRDefault="003D6E5F" w:rsidP="003D6E5F">
            <w:pPr>
              <w:pStyle w:val="TableText"/>
              <w:rPr>
                <w:rStyle w:val="Emphasis"/>
              </w:rPr>
            </w:pPr>
            <w:proofErr w:type="spellStart"/>
            <w:r w:rsidRPr="00A168ED">
              <w:rPr>
                <w:rStyle w:val="Emphasis"/>
              </w:rPr>
              <w:t>Notophthalmus</w:t>
            </w:r>
            <w:proofErr w:type="spellEnd"/>
            <w:r w:rsidRPr="00A168ED">
              <w:rPr>
                <w:rStyle w:val="Emphasis"/>
              </w:rPr>
              <w:t xml:space="preserve"> </w:t>
            </w:r>
            <w:proofErr w:type="spellStart"/>
            <w:r w:rsidRPr="00A168ED">
              <w:rPr>
                <w:rStyle w:val="Emphasis"/>
              </w:rPr>
              <w:t>viridescens</w:t>
            </w:r>
            <w:proofErr w:type="spellEnd"/>
          </w:p>
        </w:tc>
      </w:tr>
      <w:tr w:rsidR="003D6E5F" w14:paraId="7E60386A" w14:textId="77777777">
        <w:trPr>
          <w:cantSplit/>
          <w:trHeight w:val="315"/>
        </w:trPr>
        <w:tc>
          <w:tcPr>
            <w:tcW w:w="2500" w:type="pct"/>
            <w:noWrap/>
          </w:tcPr>
          <w:p w14:paraId="724F1204" w14:textId="1EC8C139" w:rsidR="003D6E5F" w:rsidRPr="000D1F36" w:rsidRDefault="003D6E5F" w:rsidP="003D6E5F">
            <w:pPr>
              <w:pStyle w:val="TableText"/>
            </w:pPr>
            <w:r w:rsidRPr="006541F2">
              <w:t>European cave salamander</w:t>
            </w:r>
          </w:p>
        </w:tc>
        <w:tc>
          <w:tcPr>
            <w:tcW w:w="2500" w:type="pct"/>
            <w:noWrap/>
          </w:tcPr>
          <w:p w14:paraId="5E730A55" w14:textId="16A96BD2" w:rsidR="003D6E5F" w:rsidRPr="000D1F36" w:rsidRDefault="003D6E5F" w:rsidP="003D6E5F">
            <w:pPr>
              <w:pStyle w:val="TableText"/>
            </w:pPr>
            <w:proofErr w:type="spellStart"/>
            <w:r w:rsidRPr="00A168ED">
              <w:rPr>
                <w:rStyle w:val="Emphasis"/>
              </w:rPr>
              <w:t>Speleomantes</w:t>
            </w:r>
            <w:proofErr w:type="spellEnd"/>
            <w:r w:rsidRPr="006541F2">
              <w:t xml:space="preserve"> spp.</w:t>
            </w:r>
          </w:p>
        </w:tc>
      </w:tr>
      <w:tr w:rsidR="003D6E5F" w14:paraId="4CDA9620" w14:textId="77777777">
        <w:trPr>
          <w:cantSplit/>
          <w:trHeight w:val="315"/>
        </w:trPr>
        <w:tc>
          <w:tcPr>
            <w:tcW w:w="2500" w:type="pct"/>
            <w:noWrap/>
          </w:tcPr>
          <w:p w14:paraId="4C613D08" w14:textId="7C9A0F08" w:rsidR="003D6E5F" w:rsidRPr="000D1F36" w:rsidRDefault="003D6E5F" w:rsidP="003D6E5F">
            <w:pPr>
              <w:pStyle w:val="TableText"/>
            </w:pPr>
            <w:r w:rsidRPr="006541F2">
              <w:t>Fire salamander</w:t>
            </w:r>
          </w:p>
        </w:tc>
        <w:tc>
          <w:tcPr>
            <w:tcW w:w="2500" w:type="pct"/>
            <w:noWrap/>
          </w:tcPr>
          <w:p w14:paraId="496F45EE" w14:textId="3D3FAB81" w:rsidR="003D6E5F" w:rsidRPr="00A168ED" w:rsidRDefault="003D6E5F" w:rsidP="003D6E5F">
            <w:pPr>
              <w:pStyle w:val="TableText"/>
              <w:rPr>
                <w:rStyle w:val="Emphasis"/>
              </w:rPr>
            </w:pPr>
            <w:r w:rsidRPr="00A168ED">
              <w:rPr>
                <w:rStyle w:val="Emphasis"/>
              </w:rPr>
              <w:t xml:space="preserve">Salamandra </w:t>
            </w:r>
            <w:proofErr w:type="spellStart"/>
            <w:r w:rsidRPr="00A168ED">
              <w:rPr>
                <w:rStyle w:val="Emphasis"/>
              </w:rPr>
              <w:t>salamandra</w:t>
            </w:r>
            <w:proofErr w:type="spellEnd"/>
          </w:p>
        </w:tc>
      </w:tr>
      <w:tr w:rsidR="003D6E5F" w14:paraId="69D4C055" w14:textId="77777777">
        <w:trPr>
          <w:cantSplit/>
          <w:trHeight w:val="315"/>
        </w:trPr>
        <w:tc>
          <w:tcPr>
            <w:tcW w:w="2500" w:type="pct"/>
            <w:noWrap/>
          </w:tcPr>
          <w:p w14:paraId="78BE1B38" w14:textId="4EA3489B" w:rsidR="003D6E5F" w:rsidRPr="000D1F36" w:rsidRDefault="003D6E5F" w:rsidP="003D6E5F">
            <w:pPr>
              <w:pStyle w:val="TableText"/>
            </w:pPr>
            <w:r w:rsidRPr="006541F2">
              <w:t>French cave salamander</w:t>
            </w:r>
          </w:p>
        </w:tc>
        <w:tc>
          <w:tcPr>
            <w:tcW w:w="2500" w:type="pct"/>
            <w:noWrap/>
          </w:tcPr>
          <w:p w14:paraId="30272C21" w14:textId="69254CDB" w:rsidR="003D6E5F" w:rsidRPr="00A168ED" w:rsidRDefault="003D6E5F" w:rsidP="003D6E5F">
            <w:pPr>
              <w:pStyle w:val="TableText"/>
              <w:rPr>
                <w:rStyle w:val="Emphasis"/>
              </w:rPr>
            </w:pPr>
            <w:proofErr w:type="spellStart"/>
            <w:r w:rsidRPr="00A168ED">
              <w:rPr>
                <w:rStyle w:val="Emphasis"/>
              </w:rPr>
              <w:t>Hydromantes</w:t>
            </w:r>
            <w:proofErr w:type="spellEnd"/>
            <w:r w:rsidRPr="00A168ED">
              <w:rPr>
                <w:rStyle w:val="Emphasis"/>
              </w:rPr>
              <w:t xml:space="preserve"> </w:t>
            </w:r>
            <w:proofErr w:type="spellStart"/>
            <w:r w:rsidRPr="00A168ED">
              <w:rPr>
                <w:rStyle w:val="Emphasis"/>
              </w:rPr>
              <w:t>strinatii</w:t>
            </w:r>
            <w:proofErr w:type="spellEnd"/>
          </w:p>
        </w:tc>
      </w:tr>
      <w:tr w:rsidR="003D6E5F" w14:paraId="7D5F6E76" w14:textId="77777777">
        <w:trPr>
          <w:cantSplit/>
          <w:trHeight w:val="315"/>
        </w:trPr>
        <w:tc>
          <w:tcPr>
            <w:tcW w:w="2500" w:type="pct"/>
            <w:noWrap/>
          </w:tcPr>
          <w:p w14:paraId="21E36E9F" w14:textId="570252A3" w:rsidR="003D6E5F" w:rsidRPr="000D1F36" w:rsidRDefault="003D6E5F" w:rsidP="003D6E5F">
            <w:pPr>
              <w:pStyle w:val="TableText"/>
            </w:pPr>
            <w:r w:rsidRPr="006541F2">
              <w:t>Italian newt</w:t>
            </w:r>
          </w:p>
        </w:tc>
        <w:tc>
          <w:tcPr>
            <w:tcW w:w="2500" w:type="pct"/>
            <w:noWrap/>
          </w:tcPr>
          <w:p w14:paraId="2D179943" w14:textId="0F291255" w:rsidR="003D6E5F" w:rsidRPr="00A168ED" w:rsidRDefault="003D6E5F" w:rsidP="003D6E5F">
            <w:pPr>
              <w:pStyle w:val="TableText"/>
              <w:rPr>
                <w:rStyle w:val="Emphasis"/>
              </w:rPr>
            </w:pPr>
            <w:proofErr w:type="spellStart"/>
            <w:r w:rsidRPr="00A168ED">
              <w:rPr>
                <w:rStyle w:val="Emphasis"/>
              </w:rPr>
              <w:t>Lissotriton</w:t>
            </w:r>
            <w:proofErr w:type="spellEnd"/>
            <w:r w:rsidRPr="00A168ED">
              <w:rPr>
                <w:rStyle w:val="Emphasis"/>
              </w:rPr>
              <w:t xml:space="preserve"> </w:t>
            </w:r>
            <w:proofErr w:type="spellStart"/>
            <w:r w:rsidRPr="00A168ED">
              <w:rPr>
                <w:rStyle w:val="Emphasis"/>
              </w:rPr>
              <w:t>italicus</w:t>
            </w:r>
            <w:proofErr w:type="spellEnd"/>
          </w:p>
        </w:tc>
      </w:tr>
      <w:tr w:rsidR="003D6E5F" w14:paraId="11029C60" w14:textId="77777777">
        <w:trPr>
          <w:cantSplit/>
          <w:trHeight w:val="315"/>
        </w:trPr>
        <w:tc>
          <w:tcPr>
            <w:tcW w:w="2500" w:type="pct"/>
            <w:noWrap/>
          </w:tcPr>
          <w:p w14:paraId="511D9DE0" w14:textId="35B0F58F" w:rsidR="003D6E5F" w:rsidRPr="000D1F36" w:rsidRDefault="003D6E5F" w:rsidP="003D6E5F">
            <w:pPr>
              <w:pStyle w:val="TableText"/>
            </w:pPr>
            <w:r w:rsidRPr="006541F2">
              <w:t>Japanese clawed salamander</w:t>
            </w:r>
          </w:p>
        </w:tc>
        <w:tc>
          <w:tcPr>
            <w:tcW w:w="2500" w:type="pct"/>
            <w:noWrap/>
          </w:tcPr>
          <w:p w14:paraId="783E81B3" w14:textId="606FFC39" w:rsidR="003D6E5F" w:rsidRPr="00A168ED" w:rsidRDefault="003D6E5F" w:rsidP="003D6E5F">
            <w:pPr>
              <w:pStyle w:val="TableText"/>
              <w:rPr>
                <w:rStyle w:val="Emphasis"/>
              </w:rPr>
            </w:pPr>
            <w:proofErr w:type="spellStart"/>
            <w:r w:rsidRPr="00A168ED">
              <w:rPr>
                <w:rStyle w:val="Emphasis"/>
              </w:rPr>
              <w:t>On</w:t>
            </w:r>
            <w:r w:rsidR="00892A24">
              <w:rPr>
                <w:rStyle w:val="Emphasis"/>
              </w:rPr>
              <w:t>y</w:t>
            </w:r>
            <w:r w:rsidRPr="00A168ED">
              <w:rPr>
                <w:rStyle w:val="Emphasis"/>
              </w:rPr>
              <w:t>chodactylus</w:t>
            </w:r>
            <w:proofErr w:type="spellEnd"/>
            <w:r w:rsidRPr="00A168ED">
              <w:rPr>
                <w:rStyle w:val="Emphasis"/>
              </w:rPr>
              <w:t xml:space="preserve"> japonicas</w:t>
            </w:r>
          </w:p>
        </w:tc>
      </w:tr>
      <w:tr w:rsidR="003D6E5F" w14:paraId="3C1792CD" w14:textId="77777777">
        <w:trPr>
          <w:cantSplit/>
          <w:trHeight w:val="315"/>
        </w:trPr>
        <w:tc>
          <w:tcPr>
            <w:tcW w:w="2500" w:type="pct"/>
            <w:noWrap/>
          </w:tcPr>
          <w:p w14:paraId="2C35DB87" w14:textId="25E8D453" w:rsidR="003D6E5F" w:rsidRPr="000D1F36" w:rsidRDefault="003D6E5F" w:rsidP="003D6E5F">
            <w:pPr>
              <w:pStyle w:val="TableText"/>
            </w:pPr>
            <w:r w:rsidRPr="006541F2">
              <w:t>Japanese fire belly newt</w:t>
            </w:r>
          </w:p>
        </w:tc>
        <w:tc>
          <w:tcPr>
            <w:tcW w:w="2500" w:type="pct"/>
            <w:noWrap/>
          </w:tcPr>
          <w:p w14:paraId="29339CEA" w14:textId="70262A66" w:rsidR="003D6E5F" w:rsidRPr="00A168ED" w:rsidRDefault="003D6E5F" w:rsidP="003D6E5F">
            <w:pPr>
              <w:pStyle w:val="TableText"/>
              <w:rPr>
                <w:rStyle w:val="Emphasis"/>
              </w:rPr>
            </w:pPr>
            <w:proofErr w:type="spellStart"/>
            <w:r w:rsidRPr="00A168ED">
              <w:rPr>
                <w:rStyle w:val="Emphasis"/>
              </w:rPr>
              <w:t>Cynops</w:t>
            </w:r>
            <w:proofErr w:type="spellEnd"/>
            <w:r w:rsidRPr="00A168ED">
              <w:rPr>
                <w:rStyle w:val="Emphasis"/>
              </w:rPr>
              <w:t xml:space="preserve"> </w:t>
            </w:r>
            <w:proofErr w:type="spellStart"/>
            <w:r w:rsidRPr="00A168ED">
              <w:rPr>
                <w:rStyle w:val="Emphasis"/>
              </w:rPr>
              <w:t>pyrrhogaster</w:t>
            </w:r>
            <w:proofErr w:type="spellEnd"/>
          </w:p>
        </w:tc>
      </w:tr>
      <w:tr w:rsidR="003D6E5F" w14:paraId="3F3ECAF7" w14:textId="77777777">
        <w:trPr>
          <w:cantSplit/>
          <w:trHeight w:val="315"/>
        </w:trPr>
        <w:tc>
          <w:tcPr>
            <w:tcW w:w="2500" w:type="pct"/>
            <w:noWrap/>
          </w:tcPr>
          <w:p w14:paraId="6F679B7C" w14:textId="03357861" w:rsidR="003D6E5F" w:rsidRPr="000D1F36" w:rsidRDefault="003D6E5F" w:rsidP="003D6E5F">
            <w:pPr>
              <w:pStyle w:val="TableText"/>
            </w:pPr>
            <w:r w:rsidRPr="006541F2">
              <w:t>Lesser siren</w:t>
            </w:r>
          </w:p>
        </w:tc>
        <w:tc>
          <w:tcPr>
            <w:tcW w:w="2500" w:type="pct"/>
            <w:noWrap/>
          </w:tcPr>
          <w:p w14:paraId="74C4DC27" w14:textId="3557D550" w:rsidR="003D6E5F" w:rsidRPr="00A168ED" w:rsidRDefault="003D6E5F" w:rsidP="003D6E5F">
            <w:pPr>
              <w:pStyle w:val="TableText"/>
              <w:rPr>
                <w:rStyle w:val="Emphasis"/>
              </w:rPr>
            </w:pPr>
            <w:r w:rsidRPr="00A168ED">
              <w:rPr>
                <w:rStyle w:val="Emphasis"/>
              </w:rPr>
              <w:t>Siren intermedia</w:t>
            </w:r>
          </w:p>
        </w:tc>
      </w:tr>
      <w:tr w:rsidR="003D6E5F" w14:paraId="7AA04530" w14:textId="77777777">
        <w:trPr>
          <w:cantSplit/>
          <w:trHeight w:val="315"/>
        </w:trPr>
        <w:tc>
          <w:tcPr>
            <w:tcW w:w="2500" w:type="pct"/>
            <w:noWrap/>
          </w:tcPr>
          <w:p w14:paraId="66FD36E0" w14:textId="059F4120" w:rsidR="003D6E5F" w:rsidRPr="000D1F36" w:rsidRDefault="003D6E5F" w:rsidP="003D6E5F">
            <w:pPr>
              <w:pStyle w:val="TableText"/>
            </w:pPr>
            <w:r w:rsidRPr="006541F2">
              <w:t>North African fire salamander</w:t>
            </w:r>
          </w:p>
        </w:tc>
        <w:tc>
          <w:tcPr>
            <w:tcW w:w="2500" w:type="pct"/>
            <w:noWrap/>
          </w:tcPr>
          <w:p w14:paraId="1B2F24B7" w14:textId="499211AF" w:rsidR="003D6E5F" w:rsidRPr="00A168ED" w:rsidRDefault="003D6E5F" w:rsidP="003D6E5F">
            <w:pPr>
              <w:pStyle w:val="TableText"/>
              <w:rPr>
                <w:rStyle w:val="Emphasis"/>
              </w:rPr>
            </w:pPr>
            <w:r w:rsidRPr="00A168ED">
              <w:rPr>
                <w:rStyle w:val="Emphasis"/>
              </w:rPr>
              <w:t xml:space="preserve">Salamandra </w:t>
            </w:r>
            <w:proofErr w:type="spellStart"/>
            <w:r w:rsidRPr="00A168ED">
              <w:rPr>
                <w:rStyle w:val="Emphasis"/>
              </w:rPr>
              <w:t>algira</w:t>
            </w:r>
            <w:proofErr w:type="spellEnd"/>
          </w:p>
        </w:tc>
      </w:tr>
      <w:tr w:rsidR="003D6E5F" w14:paraId="2964B619" w14:textId="77777777">
        <w:trPr>
          <w:cantSplit/>
          <w:trHeight w:val="315"/>
        </w:trPr>
        <w:tc>
          <w:tcPr>
            <w:tcW w:w="2500" w:type="pct"/>
            <w:noWrap/>
          </w:tcPr>
          <w:p w14:paraId="718B31EE" w14:textId="03BD5519" w:rsidR="003D6E5F" w:rsidRPr="000D1F36" w:rsidRDefault="003D6E5F" w:rsidP="003D6E5F">
            <w:pPr>
              <w:pStyle w:val="TableText"/>
            </w:pPr>
            <w:r w:rsidRPr="006541F2">
              <w:t>Northern crested newt</w:t>
            </w:r>
          </w:p>
        </w:tc>
        <w:tc>
          <w:tcPr>
            <w:tcW w:w="2500" w:type="pct"/>
            <w:noWrap/>
          </w:tcPr>
          <w:p w14:paraId="04075C18" w14:textId="1176507D" w:rsidR="003D6E5F" w:rsidRPr="00A168ED" w:rsidRDefault="003D6E5F" w:rsidP="003D6E5F">
            <w:pPr>
              <w:pStyle w:val="TableText"/>
              <w:rPr>
                <w:rStyle w:val="Emphasis"/>
              </w:rPr>
            </w:pPr>
            <w:proofErr w:type="spellStart"/>
            <w:r w:rsidRPr="00A168ED">
              <w:rPr>
                <w:rStyle w:val="Emphasis"/>
              </w:rPr>
              <w:t>Triturus</w:t>
            </w:r>
            <w:proofErr w:type="spellEnd"/>
            <w:r w:rsidRPr="00A168ED">
              <w:rPr>
                <w:rStyle w:val="Emphasis"/>
              </w:rPr>
              <w:t xml:space="preserve"> </w:t>
            </w:r>
            <w:proofErr w:type="spellStart"/>
            <w:r w:rsidRPr="00A168ED">
              <w:rPr>
                <w:rStyle w:val="Emphasis"/>
              </w:rPr>
              <w:t>cristatus</w:t>
            </w:r>
            <w:proofErr w:type="spellEnd"/>
          </w:p>
        </w:tc>
      </w:tr>
      <w:tr w:rsidR="003D6E5F" w14:paraId="21E91EE7" w14:textId="77777777">
        <w:trPr>
          <w:cantSplit/>
          <w:trHeight w:val="315"/>
        </w:trPr>
        <w:tc>
          <w:tcPr>
            <w:tcW w:w="2500" w:type="pct"/>
            <w:noWrap/>
          </w:tcPr>
          <w:p w14:paraId="17AAAB76" w14:textId="02FA8BED" w:rsidR="003D6E5F" w:rsidRPr="000D1F36" w:rsidRDefault="003D6E5F" w:rsidP="003D6E5F">
            <w:pPr>
              <w:pStyle w:val="TableText"/>
            </w:pPr>
            <w:r w:rsidRPr="006541F2">
              <w:t>Northern spectacled salamander</w:t>
            </w:r>
          </w:p>
        </w:tc>
        <w:tc>
          <w:tcPr>
            <w:tcW w:w="2500" w:type="pct"/>
            <w:noWrap/>
          </w:tcPr>
          <w:p w14:paraId="09808132" w14:textId="60D6C5A2" w:rsidR="003D6E5F" w:rsidRPr="00A168ED" w:rsidRDefault="003D6E5F" w:rsidP="003D6E5F">
            <w:pPr>
              <w:pStyle w:val="TableText"/>
              <w:rPr>
                <w:rStyle w:val="Emphasis"/>
              </w:rPr>
            </w:pPr>
            <w:proofErr w:type="spellStart"/>
            <w:r w:rsidRPr="00A168ED">
              <w:rPr>
                <w:rStyle w:val="Emphasis"/>
              </w:rPr>
              <w:t>Salamandrina</w:t>
            </w:r>
            <w:proofErr w:type="spellEnd"/>
            <w:r w:rsidRPr="00A168ED">
              <w:rPr>
                <w:rStyle w:val="Emphasis"/>
              </w:rPr>
              <w:t xml:space="preserve"> </w:t>
            </w:r>
            <w:proofErr w:type="spellStart"/>
            <w:r w:rsidRPr="00A168ED">
              <w:rPr>
                <w:rStyle w:val="Emphasis"/>
              </w:rPr>
              <w:t>perspicillata</w:t>
            </w:r>
            <w:proofErr w:type="spellEnd"/>
          </w:p>
        </w:tc>
      </w:tr>
      <w:tr w:rsidR="003D6E5F" w14:paraId="2006A0CE" w14:textId="77777777">
        <w:trPr>
          <w:cantSplit/>
          <w:trHeight w:val="315"/>
        </w:trPr>
        <w:tc>
          <w:tcPr>
            <w:tcW w:w="2500" w:type="pct"/>
            <w:noWrap/>
          </w:tcPr>
          <w:p w14:paraId="07533F31" w14:textId="2A68BD15" w:rsidR="003D6E5F" w:rsidRPr="000D1F36" w:rsidRDefault="003D6E5F" w:rsidP="003D6E5F">
            <w:pPr>
              <w:pStyle w:val="TableText"/>
            </w:pPr>
            <w:r w:rsidRPr="006541F2">
              <w:t>Rough skinned newt</w:t>
            </w:r>
          </w:p>
        </w:tc>
        <w:tc>
          <w:tcPr>
            <w:tcW w:w="2500" w:type="pct"/>
            <w:noWrap/>
          </w:tcPr>
          <w:p w14:paraId="1FABE1EA" w14:textId="0F2AA852" w:rsidR="003D6E5F" w:rsidRPr="00A168ED" w:rsidRDefault="003D6E5F" w:rsidP="003D6E5F">
            <w:pPr>
              <w:pStyle w:val="TableText"/>
              <w:rPr>
                <w:rStyle w:val="Emphasis"/>
              </w:rPr>
            </w:pPr>
            <w:proofErr w:type="spellStart"/>
            <w:r w:rsidRPr="00A168ED">
              <w:rPr>
                <w:rStyle w:val="Emphasis"/>
              </w:rPr>
              <w:t>Taricha</w:t>
            </w:r>
            <w:proofErr w:type="spellEnd"/>
            <w:r w:rsidRPr="00A168ED">
              <w:rPr>
                <w:rStyle w:val="Emphasis"/>
              </w:rPr>
              <w:t xml:space="preserve"> granulosa</w:t>
            </w:r>
          </w:p>
        </w:tc>
      </w:tr>
      <w:tr w:rsidR="003D6E5F" w14:paraId="5CE23DB5" w14:textId="77777777">
        <w:trPr>
          <w:cantSplit/>
          <w:trHeight w:val="315"/>
        </w:trPr>
        <w:tc>
          <w:tcPr>
            <w:tcW w:w="2500" w:type="pct"/>
            <w:noWrap/>
          </w:tcPr>
          <w:p w14:paraId="42275C80" w14:textId="22F05D8C" w:rsidR="003D6E5F" w:rsidRPr="006541F2" w:rsidRDefault="003D6E5F" w:rsidP="003D6E5F">
            <w:pPr>
              <w:pStyle w:val="TableText"/>
            </w:pPr>
            <w:r w:rsidRPr="0094732E">
              <w:t>Sardinian brook salamander</w:t>
            </w:r>
          </w:p>
        </w:tc>
        <w:tc>
          <w:tcPr>
            <w:tcW w:w="2500" w:type="pct"/>
            <w:noWrap/>
          </w:tcPr>
          <w:p w14:paraId="7B148293" w14:textId="7A418C9D" w:rsidR="003D6E5F" w:rsidRPr="00A168ED" w:rsidRDefault="003D6E5F" w:rsidP="003D6E5F">
            <w:pPr>
              <w:pStyle w:val="TableText"/>
              <w:rPr>
                <w:rStyle w:val="Emphasis"/>
              </w:rPr>
            </w:pPr>
            <w:proofErr w:type="spellStart"/>
            <w:r w:rsidRPr="00A168ED">
              <w:rPr>
                <w:rStyle w:val="Emphasis"/>
              </w:rPr>
              <w:t>Euproctus</w:t>
            </w:r>
            <w:proofErr w:type="spellEnd"/>
            <w:r w:rsidRPr="00A168ED">
              <w:rPr>
                <w:rStyle w:val="Emphasis"/>
              </w:rPr>
              <w:t xml:space="preserve"> </w:t>
            </w:r>
            <w:proofErr w:type="spellStart"/>
            <w:r w:rsidRPr="00A168ED">
              <w:rPr>
                <w:rStyle w:val="Emphasis"/>
              </w:rPr>
              <w:t>platycephalus</w:t>
            </w:r>
            <w:proofErr w:type="spellEnd"/>
          </w:p>
        </w:tc>
      </w:tr>
      <w:tr w:rsidR="003D6E5F" w14:paraId="0360BB21" w14:textId="77777777">
        <w:trPr>
          <w:cantSplit/>
          <w:trHeight w:val="315"/>
        </w:trPr>
        <w:tc>
          <w:tcPr>
            <w:tcW w:w="2500" w:type="pct"/>
            <w:noWrap/>
          </w:tcPr>
          <w:p w14:paraId="6E662FC7" w14:textId="3FBC4B30" w:rsidR="003D6E5F" w:rsidRPr="006541F2" w:rsidRDefault="003D6E5F" w:rsidP="003D6E5F">
            <w:pPr>
              <w:pStyle w:val="TableText"/>
            </w:pPr>
            <w:r w:rsidRPr="0094732E">
              <w:t>Siberian salamander</w:t>
            </w:r>
          </w:p>
        </w:tc>
        <w:tc>
          <w:tcPr>
            <w:tcW w:w="2500" w:type="pct"/>
            <w:noWrap/>
          </w:tcPr>
          <w:p w14:paraId="6143DC21" w14:textId="359D367F" w:rsidR="003D6E5F" w:rsidRPr="00A168ED" w:rsidRDefault="003D6E5F" w:rsidP="003D6E5F">
            <w:pPr>
              <w:pStyle w:val="TableText"/>
              <w:rPr>
                <w:rStyle w:val="Emphasis"/>
              </w:rPr>
            </w:pPr>
            <w:proofErr w:type="spellStart"/>
            <w:r w:rsidRPr="00A168ED">
              <w:rPr>
                <w:rStyle w:val="Emphasis"/>
              </w:rPr>
              <w:t>Salamandrella</w:t>
            </w:r>
            <w:proofErr w:type="spellEnd"/>
            <w:r w:rsidRPr="00A168ED">
              <w:rPr>
                <w:rStyle w:val="Emphasis"/>
              </w:rPr>
              <w:t xml:space="preserve"> </w:t>
            </w:r>
            <w:proofErr w:type="spellStart"/>
            <w:r w:rsidRPr="00A168ED">
              <w:rPr>
                <w:rStyle w:val="Emphasis"/>
              </w:rPr>
              <w:t>keyserlingii</w:t>
            </w:r>
            <w:proofErr w:type="spellEnd"/>
          </w:p>
        </w:tc>
      </w:tr>
      <w:tr w:rsidR="003D6E5F" w14:paraId="7B883BA9" w14:textId="77777777">
        <w:trPr>
          <w:cantSplit/>
          <w:trHeight w:val="315"/>
        </w:trPr>
        <w:tc>
          <w:tcPr>
            <w:tcW w:w="2500" w:type="pct"/>
            <w:noWrap/>
          </w:tcPr>
          <w:p w14:paraId="30F78C00" w14:textId="6B40799B" w:rsidR="003D6E5F" w:rsidRPr="006541F2" w:rsidRDefault="003D6E5F" w:rsidP="003D6E5F">
            <w:pPr>
              <w:pStyle w:val="TableText"/>
            </w:pPr>
            <w:r w:rsidRPr="0094732E">
              <w:t>Smooth newt</w:t>
            </w:r>
          </w:p>
        </w:tc>
        <w:tc>
          <w:tcPr>
            <w:tcW w:w="2500" w:type="pct"/>
            <w:noWrap/>
          </w:tcPr>
          <w:p w14:paraId="23C29985" w14:textId="2386167D" w:rsidR="003D6E5F" w:rsidRPr="00A168ED" w:rsidRDefault="003D6E5F" w:rsidP="003D6E5F">
            <w:pPr>
              <w:pStyle w:val="TableText"/>
              <w:rPr>
                <w:rStyle w:val="Emphasis"/>
              </w:rPr>
            </w:pPr>
            <w:proofErr w:type="spellStart"/>
            <w:r w:rsidRPr="00A168ED">
              <w:rPr>
                <w:rStyle w:val="Emphasis"/>
              </w:rPr>
              <w:t>Lissotriton</w:t>
            </w:r>
            <w:proofErr w:type="spellEnd"/>
            <w:r w:rsidRPr="00A168ED">
              <w:rPr>
                <w:rStyle w:val="Emphasis"/>
              </w:rPr>
              <w:t xml:space="preserve"> vulgaris</w:t>
            </w:r>
          </w:p>
        </w:tc>
      </w:tr>
      <w:tr w:rsidR="003D6E5F" w14:paraId="2E59229E" w14:textId="77777777">
        <w:trPr>
          <w:cantSplit/>
          <w:trHeight w:val="315"/>
        </w:trPr>
        <w:tc>
          <w:tcPr>
            <w:tcW w:w="2500" w:type="pct"/>
            <w:noWrap/>
          </w:tcPr>
          <w:p w14:paraId="3465B303" w14:textId="6A197187" w:rsidR="003D6E5F" w:rsidRPr="006541F2" w:rsidRDefault="003D6E5F" w:rsidP="003D6E5F">
            <w:pPr>
              <w:pStyle w:val="TableText"/>
            </w:pPr>
            <w:r w:rsidRPr="0094732E">
              <w:t>Spanish ribbed newt</w:t>
            </w:r>
          </w:p>
        </w:tc>
        <w:tc>
          <w:tcPr>
            <w:tcW w:w="2500" w:type="pct"/>
            <w:noWrap/>
          </w:tcPr>
          <w:p w14:paraId="3C91543B" w14:textId="6D254A1E" w:rsidR="003D6E5F" w:rsidRPr="00A168ED" w:rsidRDefault="003D6E5F" w:rsidP="003D6E5F">
            <w:pPr>
              <w:pStyle w:val="TableText"/>
              <w:rPr>
                <w:rStyle w:val="Emphasis"/>
              </w:rPr>
            </w:pPr>
            <w:proofErr w:type="spellStart"/>
            <w:r w:rsidRPr="00A168ED">
              <w:rPr>
                <w:rStyle w:val="Emphasis"/>
              </w:rPr>
              <w:t>Pleurodeles</w:t>
            </w:r>
            <w:proofErr w:type="spellEnd"/>
            <w:r w:rsidRPr="00A168ED">
              <w:rPr>
                <w:rStyle w:val="Emphasis"/>
              </w:rPr>
              <w:t xml:space="preserve"> </w:t>
            </w:r>
            <w:proofErr w:type="spellStart"/>
            <w:r w:rsidRPr="00A168ED">
              <w:rPr>
                <w:rStyle w:val="Emphasis"/>
              </w:rPr>
              <w:t>waltl</w:t>
            </w:r>
            <w:proofErr w:type="spellEnd"/>
          </w:p>
        </w:tc>
      </w:tr>
      <w:tr w:rsidR="003D6E5F" w14:paraId="6B01F37A" w14:textId="77777777">
        <w:trPr>
          <w:cantSplit/>
          <w:trHeight w:val="315"/>
        </w:trPr>
        <w:tc>
          <w:tcPr>
            <w:tcW w:w="2500" w:type="pct"/>
            <w:noWrap/>
          </w:tcPr>
          <w:p w14:paraId="2C91D04E" w14:textId="4A994753" w:rsidR="003D6E5F" w:rsidRPr="006541F2" w:rsidRDefault="003D6E5F" w:rsidP="003D6E5F">
            <w:pPr>
              <w:pStyle w:val="TableText"/>
            </w:pPr>
            <w:r w:rsidRPr="0094732E">
              <w:t>Sword tailed newt</w:t>
            </w:r>
          </w:p>
        </w:tc>
        <w:tc>
          <w:tcPr>
            <w:tcW w:w="2500" w:type="pct"/>
            <w:noWrap/>
          </w:tcPr>
          <w:p w14:paraId="70F1100F" w14:textId="755220AD" w:rsidR="003D6E5F" w:rsidRPr="00A168ED" w:rsidRDefault="003D6E5F" w:rsidP="003D6E5F">
            <w:pPr>
              <w:pStyle w:val="TableText"/>
              <w:rPr>
                <w:rStyle w:val="Emphasis"/>
              </w:rPr>
            </w:pPr>
            <w:proofErr w:type="spellStart"/>
            <w:r w:rsidRPr="00A168ED">
              <w:rPr>
                <w:rStyle w:val="Emphasis"/>
              </w:rPr>
              <w:t>Cynops</w:t>
            </w:r>
            <w:proofErr w:type="spellEnd"/>
            <w:r w:rsidRPr="00A168ED">
              <w:rPr>
                <w:rStyle w:val="Emphasis"/>
              </w:rPr>
              <w:t xml:space="preserve"> </w:t>
            </w:r>
            <w:proofErr w:type="spellStart"/>
            <w:r w:rsidRPr="00A168ED">
              <w:rPr>
                <w:rStyle w:val="Emphasis"/>
              </w:rPr>
              <w:t>ensicauda</w:t>
            </w:r>
            <w:proofErr w:type="spellEnd"/>
          </w:p>
        </w:tc>
      </w:tr>
      <w:tr w:rsidR="003D6E5F" w14:paraId="5A4A7F62" w14:textId="77777777">
        <w:trPr>
          <w:cantSplit/>
          <w:trHeight w:val="315"/>
        </w:trPr>
        <w:tc>
          <w:tcPr>
            <w:tcW w:w="2500" w:type="pct"/>
            <w:noWrap/>
          </w:tcPr>
          <w:p w14:paraId="44E67C0B" w14:textId="6ABC91C5" w:rsidR="003D6E5F" w:rsidRPr="006541F2" w:rsidRDefault="003D6E5F" w:rsidP="003D6E5F">
            <w:pPr>
              <w:pStyle w:val="TableText"/>
            </w:pPr>
            <w:r w:rsidRPr="0094732E">
              <w:t>Vietnamese crocodile newt</w:t>
            </w:r>
          </w:p>
        </w:tc>
        <w:tc>
          <w:tcPr>
            <w:tcW w:w="2500" w:type="pct"/>
            <w:noWrap/>
          </w:tcPr>
          <w:p w14:paraId="59317B0D" w14:textId="5F311565" w:rsidR="003D6E5F" w:rsidRPr="00A168ED" w:rsidRDefault="003D6E5F" w:rsidP="003D6E5F">
            <w:pPr>
              <w:pStyle w:val="TableText"/>
              <w:rPr>
                <w:rStyle w:val="Emphasis"/>
              </w:rPr>
            </w:pPr>
            <w:proofErr w:type="spellStart"/>
            <w:r w:rsidRPr="00A168ED">
              <w:rPr>
                <w:rStyle w:val="Emphasis"/>
              </w:rPr>
              <w:t>Tylototriton</w:t>
            </w:r>
            <w:proofErr w:type="spellEnd"/>
            <w:r w:rsidRPr="00A168ED">
              <w:rPr>
                <w:rStyle w:val="Emphasis"/>
              </w:rPr>
              <w:t xml:space="preserve"> </w:t>
            </w:r>
            <w:proofErr w:type="spellStart"/>
            <w:r w:rsidRPr="00A168ED">
              <w:rPr>
                <w:rStyle w:val="Emphasis"/>
              </w:rPr>
              <w:t>vietnamensis</w:t>
            </w:r>
            <w:proofErr w:type="spellEnd"/>
          </w:p>
        </w:tc>
      </w:tr>
      <w:tr w:rsidR="003D6E5F" w14:paraId="0A0E1FC2" w14:textId="77777777">
        <w:trPr>
          <w:cantSplit/>
          <w:trHeight w:val="315"/>
        </w:trPr>
        <w:tc>
          <w:tcPr>
            <w:tcW w:w="2500" w:type="pct"/>
            <w:noWrap/>
          </w:tcPr>
          <w:p w14:paraId="7705AE63" w14:textId="790EB3EE" w:rsidR="003D6E5F" w:rsidRPr="006541F2" w:rsidRDefault="003D6E5F" w:rsidP="003D6E5F">
            <w:pPr>
              <w:pStyle w:val="TableText"/>
            </w:pPr>
            <w:r w:rsidRPr="0094732E">
              <w:t>Vietnamese salamander</w:t>
            </w:r>
          </w:p>
        </w:tc>
        <w:tc>
          <w:tcPr>
            <w:tcW w:w="2500" w:type="pct"/>
            <w:noWrap/>
          </w:tcPr>
          <w:p w14:paraId="2FFFF95D" w14:textId="4419B569" w:rsidR="003D6E5F" w:rsidRPr="00A168ED" w:rsidRDefault="003D6E5F" w:rsidP="003D6E5F">
            <w:pPr>
              <w:pStyle w:val="TableText"/>
              <w:rPr>
                <w:rStyle w:val="Emphasis"/>
              </w:rPr>
            </w:pPr>
            <w:proofErr w:type="spellStart"/>
            <w:r w:rsidRPr="00A168ED">
              <w:rPr>
                <w:rStyle w:val="Emphasis"/>
              </w:rPr>
              <w:t>Paramesotriton</w:t>
            </w:r>
            <w:proofErr w:type="spellEnd"/>
            <w:r w:rsidRPr="00A168ED">
              <w:rPr>
                <w:rStyle w:val="Emphasis"/>
              </w:rPr>
              <w:t xml:space="preserve"> </w:t>
            </w:r>
            <w:proofErr w:type="spellStart"/>
            <w:r w:rsidRPr="00A168ED">
              <w:rPr>
                <w:rStyle w:val="Emphasis"/>
              </w:rPr>
              <w:t>deloustali</w:t>
            </w:r>
            <w:proofErr w:type="spellEnd"/>
          </w:p>
        </w:tc>
      </w:tr>
      <w:tr w:rsidR="003D6E5F" w14:paraId="7870612F" w14:textId="77777777">
        <w:trPr>
          <w:cantSplit/>
          <w:trHeight w:val="315"/>
        </w:trPr>
        <w:tc>
          <w:tcPr>
            <w:tcW w:w="2500" w:type="pct"/>
            <w:noWrap/>
          </w:tcPr>
          <w:p w14:paraId="5AE50714" w14:textId="2951520A" w:rsidR="003D6E5F" w:rsidRPr="006541F2" w:rsidRDefault="003D6E5F" w:rsidP="003D6E5F">
            <w:pPr>
              <w:pStyle w:val="TableText"/>
            </w:pPr>
            <w:proofErr w:type="spellStart"/>
            <w:r w:rsidRPr="0094732E">
              <w:t>Wenxian</w:t>
            </w:r>
            <w:proofErr w:type="spellEnd"/>
            <w:r w:rsidRPr="0094732E">
              <w:t xml:space="preserve"> knobby newt</w:t>
            </w:r>
          </w:p>
        </w:tc>
        <w:tc>
          <w:tcPr>
            <w:tcW w:w="2500" w:type="pct"/>
            <w:noWrap/>
          </w:tcPr>
          <w:p w14:paraId="1F4D6D8C" w14:textId="2FC51BC1" w:rsidR="003D6E5F" w:rsidRPr="00A168ED" w:rsidRDefault="003D6E5F" w:rsidP="003D6E5F">
            <w:pPr>
              <w:pStyle w:val="TableText"/>
              <w:rPr>
                <w:rStyle w:val="Emphasis"/>
              </w:rPr>
            </w:pPr>
            <w:proofErr w:type="spellStart"/>
            <w:r w:rsidRPr="00A168ED">
              <w:rPr>
                <w:rStyle w:val="Emphasis"/>
              </w:rPr>
              <w:t>Tylototriton</w:t>
            </w:r>
            <w:proofErr w:type="spellEnd"/>
            <w:r w:rsidRPr="00A168ED">
              <w:rPr>
                <w:rStyle w:val="Emphasis"/>
              </w:rPr>
              <w:t xml:space="preserve"> </w:t>
            </w:r>
            <w:proofErr w:type="spellStart"/>
            <w:r w:rsidRPr="00A168ED">
              <w:rPr>
                <w:rStyle w:val="Emphasis"/>
              </w:rPr>
              <w:t>wenxianensis</w:t>
            </w:r>
            <w:proofErr w:type="spellEnd"/>
          </w:p>
        </w:tc>
      </w:tr>
      <w:tr w:rsidR="003D6E5F" w14:paraId="2DD6C61B" w14:textId="77777777">
        <w:trPr>
          <w:cantSplit/>
          <w:trHeight w:val="315"/>
        </w:trPr>
        <w:tc>
          <w:tcPr>
            <w:tcW w:w="2500" w:type="pct"/>
            <w:noWrap/>
          </w:tcPr>
          <w:p w14:paraId="0A4D334D" w14:textId="37C697F3" w:rsidR="003D6E5F" w:rsidRPr="006541F2" w:rsidRDefault="003D6E5F" w:rsidP="003D6E5F">
            <w:pPr>
              <w:pStyle w:val="TableText"/>
            </w:pPr>
            <w:r w:rsidRPr="0094732E">
              <w:t>Yellow spotted newt</w:t>
            </w:r>
          </w:p>
        </w:tc>
        <w:tc>
          <w:tcPr>
            <w:tcW w:w="2500" w:type="pct"/>
            <w:noWrap/>
          </w:tcPr>
          <w:p w14:paraId="4EB5C1C0" w14:textId="58C02123" w:rsidR="003D6E5F" w:rsidRPr="00A168ED" w:rsidRDefault="003D6E5F" w:rsidP="003D6E5F">
            <w:pPr>
              <w:pStyle w:val="TableText"/>
              <w:rPr>
                <w:rStyle w:val="Emphasis"/>
              </w:rPr>
            </w:pPr>
            <w:proofErr w:type="spellStart"/>
            <w:r w:rsidRPr="00A168ED">
              <w:rPr>
                <w:rStyle w:val="Emphasis"/>
              </w:rPr>
              <w:t>Neurergus</w:t>
            </w:r>
            <w:proofErr w:type="spellEnd"/>
            <w:r w:rsidRPr="00A168ED">
              <w:rPr>
                <w:rStyle w:val="Emphasis"/>
              </w:rPr>
              <w:t xml:space="preserve"> </w:t>
            </w:r>
            <w:proofErr w:type="spellStart"/>
            <w:r w:rsidRPr="00A168ED">
              <w:rPr>
                <w:rStyle w:val="Emphasis"/>
              </w:rPr>
              <w:t>crocatus</w:t>
            </w:r>
            <w:proofErr w:type="spellEnd"/>
          </w:p>
        </w:tc>
      </w:tr>
      <w:tr w:rsidR="003D6E5F" w14:paraId="2605AC4D" w14:textId="77777777">
        <w:trPr>
          <w:cantSplit/>
          <w:trHeight w:val="315"/>
        </w:trPr>
        <w:tc>
          <w:tcPr>
            <w:tcW w:w="2500" w:type="pct"/>
            <w:noWrap/>
          </w:tcPr>
          <w:p w14:paraId="237ACE1B" w14:textId="5DC43014" w:rsidR="003D6E5F" w:rsidRPr="006541F2" w:rsidRDefault="003D6E5F" w:rsidP="003D6E5F">
            <w:pPr>
              <w:pStyle w:val="TableText"/>
            </w:pPr>
            <w:proofErr w:type="spellStart"/>
            <w:r w:rsidRPr="0094732E">
              <w:t>Zeiglers</w:t>
            </w:r>
            <w:proofErr w:type="spellEnd"/>
            <w:r w:rsidRPr="0094732E">
              <w:t xml:space="preserve"> crocodile newt</w:t>
            </w:r>
          </w:p>
        </w:tc>
        <w:tc>
          <w:tcPr>
            <w:tcW w:w="2500" w:type="pct"/>
            <w:noWrap/>
          </w:tcPr>
          <w:p w14:paraId="3941A28C" w14:textId="4A754C7A" w:rsidR="003D6E5F" w:rsidRPr="00A168ED" w:rsidRDefault="003D6E5F" w:rsidP="003D6E5F">
            <w:pPr>
              <w:pStyle w:val="TableText"/>
              <w:rPr>
                <w:rStyle w:val="Emphasis"/>
              </w:rPr>
            </w:pPr>
            <w:proofErr w:type="spellStart"/>
            <w:r w:rsidRPr="00A168ED">
              <w:rPr>
                <w:rStyle w:val="Emphasis"/>
              </w:rPr>
              <w:t>Tylototriton</w:t>
            </w:r>
            <w:proofErr w:type="spellEnd"/>
            <w:r w:rsidRPr="00A168ED">
              <w:rPr>
                <w:rStyle w:val="Emphasis"/>
              </w:rPr>
              <w:t xml:space="preserve"> </w:t>
            </w:r>
            <w:proofErr w:type="spellStart"/>
            <w:r w:rsidRPr="00A168ED">
              <w:rPr>
                <w:rStyle w:val="Emphasis"/>
              </w:rPr>
              <w:t>ziegleri</w:t>
            </w:r>
            <w:proofErr w:type="spellEnd"/>
          </w:p>
        </w:tc>
      </w:tr>
    </w:tbl>
    <w:p w14:paraId="07189146" w14:textId="77777777" w:rsidR="00ED0614" w:rsidRDefault="00E260DC">
      <w:pPr>
        <w:pStyle w:val="Heading2"/>
      </w:pPr>
      <w:r>
        <w:lastRenderedPageBreak/>
        <w:t>Presence in Australia</w:t>
      </w:r>
    </w:p>
    <w:p w14:paraId="12DFE40E" w14:textId="6EDBD5F4" w:rsidR="00FD7D78" w:rsidRDefault="00AF5E58">
      <w:pPr>
        <w:keepNext/>
        <w:keepLines/>
      </w:pPr>
      <w:r w:rsidRPr="00AF5E58">
        <w:t xml:space="preserve">Infection with </w:t>
      </w:r>
      <w:r w:rsidR="000905BF" w:rsidRPr="000905BF">
        <w:rPr>
          <w:rStyle w:val="Emphasis"/>
        </w:rPr>
        <w:t>B. </w:t>
      </w:r>
      <w:proofErr w:type="spellStart"/>
      <w:r w:rsidR="000905BF" w:rsidRPr="000905BF">
        <w:rPr>
          <w:rStyle w:val="Emphasis"/>
        </w:rPr>
        <w:t>dendrobatidis</w:t>
      </w:r>
      <w:proofErr w:type="spellEnd"/>
      <w:r w:rsidRPr="00AF5E58">
        <w:t xml:space="preserve"> has been officially reported across Australia in Queensland, New</w:t>
      </w:r>
      <w:r w:rsidR="00E472B8">
        <w:t> </w:t>
      </w:r>
      <w:r w:rsidRPr="00AF5E58">
        <w:t>South</w:t>
      </w:r>
      <w:r w:rsidR="00E472B8">
        <w:t> </w:t>
      </w:r>
      <w:r w:rsidRPr="00AF5E58">
        <w:t>Wales, the Australian Capital Territory, Victoria, South Australia, Tasmania and Western</w:t>
      </w:r>
      <w:r w:rsidR="00E472B8">
        <w:t> </w:t>
      </w:r>
      <w:r w:rsidRPr="00AF5E58">
        <w:t>Australia. It does not occur in arid inland areas.</w:t>
      </w:r>
    </w:p>
    <w:p w14:paraId="55B0F228" w14:textId="46A3BFA0"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4D0F48">
        <w:rPr>
          <w:noProof/>
        </w:rPr>
        <w:t>1</w:t>
      </w:r>
      <w:r>
        <w:rPr>
          <w:noProof/>
        </w:rPr>
        <w:fldChar w:fldCharType="end"/>
      </w:r>
      <w:r>
        <w:t xml:space="preserve"> Presence of</w:t>
      </w:r>
      <w:r w:rsidR="003F7380">
        <w:t xml:space="preserve"> </w:t>
      </w:r>
      <w:r w:rsidR="000905BF" w:rsidRPr="000905BF">
        <w:rPr>
          <w:rStyle w:val="Emphasis"/>
        </w:rPr>
        <w:t xml:space="preserve">Batrachochytrium </w:t>
      </w:r>
      <w:proofErr w:type="spellStart"/>
      <w:r w:rsidR="000905BF" w:rsidRPr="000905BF">
        <w:rPr>
          <w:rStyle w:val="Emphasis"/>
        </w:rPr>
        <w:t>dendrobatidis</w:t>
      </w:r>
      <w:proofErr w:type="spellEnd"/>
      <w:r>
        <w:t>, by jurisdiction</w:t>
      </w:r>
    </w:p>
    <w:p w14:paraId="0046BA22" w14:textId="77777777" w:rsidR="00ED0614" w:rsidRDefault="00E260DC">
      <w:r>
        <w:rPr>
          <w:noProof/>
          <w:lang w:eastAsia="en-AU"/>
        </w:rPr>
        <w:drawing>
          <wp:inline distT="0" distB="0" distL="0" distR="0" wp14:anchorId="1C3B5809" wp14:editId="2E7825AA">
            <wp:extent cx="4137772" cy="2946410"/>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2" cstate="screen">
                      <a:extLst>
                        <a:ext uri="{28A0092B-C50C-407E-A947-70E740481C1C}">
                          <a14:useLocalDpi xmlns:a14="http://schemas.microsoft.com/office/drawing/2010/main"/>
                        </a:ext>
                      </a:extLst>
                    </a:blip>
                    <a:stretch>
                      <a:fillRect/>
                    </a:stretch>
                  </pic:blipFill>
                  <pic:spPr>
                    <a:xfrm>
                      <a:off x="0" y="0"/>
                      <a:ext cx="4137772" cy="2946410"/>
                    </a:xfrm>
                    <a:prstGeom prst="rect">
                      <a:avLst/>
                    </a:prstGeom>
                  </pic:spPr>
                </pic:pic>
              </a:graphicData>
            </a:graphic>
          </wp:inline>
        </w:drawing>
      </w:r>
    </w:p>
    <w:p w14:paraId="345F5669" w14:textId="77777777" w:rsidR="00ED0614" w:rsidRDefault="00E260DC" w:rsidP="00E472B8">
      <w:pPr>
        <w:pStyle w:val="Heading2"/>
        <w:keepLines/>
      </w:pPr>
      <w:r>
        <w:t>Epidemiology</w:t>
      </w:r>
    </w:p>
    <w:p w14:paraId="302EE102" w14:textId="77777777" w:rsidR="00AF5E58" w:rsidRDefault="00AF5E58" w:rsidP="00AF5E58">
      <w:pPr>
        <w:pStyle w:val="ListBullet"/>
      </w:pPr>
      <w:r>
        <w:t>All age classes, except eggs, are known to be susceptible to infection. Mortality has only rarely been reported in tadpoles.</w:t>
      </w:r>
    </w:p>
    <w:p w14:paraId="117AC872" w14:textId="76B05CE2" w:rsidR="00AF5E58" w:rsidRDefault="000905BF" w:rsidP="00AF5E58">
      <w:pPr>
        <w:pStyle w:val="ListBullet"/>
      </w:pPr>
      <w:r w:rsidRPr="000905BF">
        <w:rPr>
          <w:rStyle w:val="Emphasis"/>
        </w:rPr>
        <w:t xml:space="preserve">Batrachochytrium </w:t>
      </w:r>
      <w:proofErr w:type="spellStart"/>
      <w:r w:rsidRPr="000905BF">
        <w:rPr>
          <w:rStyle w:val="Emphasis"/>
        </w:rPr>
        <w:t>dendrobatidis</w:t>
      </w:r>
      <w:proofErr w:type="spellEnd"/>
      <w:r w:rsidR="00AF5E58">
        <w:t xml:space="preserve"> infects only keratinised tissues (skin of metamorphosed amphibians or the mouthparts of tadpoles). In contrast, </w:t>
      </w:r>
      <w:r w:rsidR="00AF5E58" w:rsidRPr="00AF5E58">
        <w:rPr>
          <w:rStyle w:val="Emphasis"/>
        </w:rPr>
        <w:t xml:space="preserve">B. </w:t>
      </w:r>
      <w:proofErr w:type="spellStart"/>
      <w:r w:rsidR="00AF5E58" w:rsidRPr="00AF5E58">
        <w:rPr>
          <w:rStyle w:val="Emphasis"/>
        </w:rPr>
        <w:t>salamandrivorans</w:t>
      </w:r>
      <w:proofErr w:type="spellEnd"/>
      <w:r w:rsidR="00AF5E58">
        <w:t xml:space="preserve"> in salamanders infects only epidermal tissues</w:t>
      </w:r>
      <w:r w:rsidR="00030917">
        <w:t>,</w:t>
      </w:r>
      <w:r w:rsidR="00AF5E58">
        <w:t xml:space="preserve"> causing ulceration.</w:t>
      </w:r>
    </w:p>
    <w:p w14:paraId="2E68722A" w14:textId="6EE311E8" w:rsidR="00AF5E58" w:rsidRDefault="00AF5E58" w:rsidP="00AF5E58">
      <w:pPr>
        <w:pStyle w:val="ListBullet"/>
      </w:pPr>
      <w:r>
        <w:t>Incubation times vary from about 14</w:t>
      </w:r>
      <w:r w:rsidR="00030917">
        <w:t> </w:t>
      </w:r>
      <w:r>
        <w:t>to more than 70</w:t>
      </w:r>
      <w:r w:rsidR="00030917">
        <w:t> </w:t>
      </w:r>
      <w:r>
        <w:t>days, with mortalities usually occurring within 2</w:t>
      </w:r>
      <w:r w:rsidR="00030917">
        <w:t xml:space="preserve"> to </w:t>
      </w:r>
      <w:r>
        <w:t>3</w:t>
      </w:r>
      <w:r w:rsidR="00030917">
        <w:t> </w:t>
      </w:r>
      <w:r>
        <w:t>days of the first clinical signs. Mortalities have approached</w:t>
      </w:r>
      <w:r w:rsidR="00030917">
        <w:t> </w:t>
      </w:r>
      <w:r>
        <w:t>100% in some Australian amphibians.</w:t>
      </w:r>
    </w:p>
    <w:p w14:paraId="77F08A4C" w14:textId="77777777" w:rsidR="00AF5E58" w:rsidRDefault="00AF5E58" w:rsidP="00AF5E58">
      <w:pPr>
        <w:pStyle w:val="ListBullet"/>
      </w:pPr>
      <w:r>
        <w:t>Horizontal transmission is via waterborne, motile zoospores and is likely to be by direct animal-to-animal contact. Vertical transmission via eggs has not been demonstrated.</w:t>
      </w:r>
    </w:p>
    <w:p w14:paraId="61F68C07" w14:textId="77777777" w:rsidR="00AF5E58" w:rsidRDefault="00AF5E58" w:rsidP="00AF5E58">
      <w:pPr>
        <w:pStyle w:val="ListBullet"/>
      </w:pPr>
      <w:r>
        <w:t>Outbreaks may be associated with seasons (cooler months), altitude (most declines are generally restricted to high-altitude populations) and breeding habitat.</w:t>
      </w:r>
    </w:p>
    <w:p w14:paraId="4A66E3A6" w14:textId="6C4C86A3" w:rsidR="00AF5E58" w:rsidRDefault="00AF5E58" w:rsidP="00AF5E58">
      <w:pPr>
        <w:pStyle w:val="ListBullet"/>
      </w:pPr>
      <w:r>
        <w:t xml:space="preserve">Temperature affects the survival and growth of </w:t>
      </w:r>
      <w:r w:rsidR="000905BF" w:rsidRPr="000905BF">
        <w:rPr>
          <w:rStyle w:val="Emphasis"/>
        </w:rPr>
        <w:t>B. </w:t>
      </w:r>
      <w:proofErr w:type="spellStart"/>
      <w:r w:rsidR="000905BF" w:rsidRPr="000905BF">
        <w:rPr>
          <w:rStyle w:val="Emphasis"/>
        </w:rPr>
        <w:t>dendrobatidis</w:t>
      </w:r>
      <w:proofErr w:type="spellEnd"/>
      <w:r w:rsidR="00030917">
        <w:rPr>
          <w:rStyle w:val="Emphasis"/>
        </w:rPr>
        <w:t>,</w:t>
      </w:r>
      <w:r>
        <w:t xml:space="preserve"> maximum growth occur</w:t>
      </w:r>
      <w:r w:rsidR="00892A24">
        <w:t>r</w:t>
      </w:r>
      <w:r w:rsidR="00030917">
        <w:t>ing</w:t>
      </w:r>
      <w:r>
        <w:t xml:space="preserve"> between</w:t>
      </w:r>
      <w:r w:rsidR="00030917">
        <w:t> </w:t>
      </w:r>
      <w:r>
        <w:t>17°C and</w:t>
      </w:r>
      <w:r w:rsidR="00030917">
        <w:t> </w:t>
      </w:r>
      <w:r>
        <w:t>25°C. The sporangia die in temperatures of</w:t>
      </w:r>
      <w:r w:rsidR="00030917">
        <w:t> </w:t>
      </w:r>
      <w:r>
        <w:t>32°C or higher. The pathogen can persist in very low host densities.</w:t>
      </w:r>
    </w:p>
    <w:p w14:paraId="45CF7725" w14:textId="61B1C2B7" w:rsidR="00ED0614" w:rsidRDefault="00AF5E58" w:rsidP="00A16089">
      <w:pPr>
        <w:pStyle w:val="ListBullet"/>
      </w:pPr>
      <w:r>
        <w:t>Large-scale mortality of newly metamorphosed amphibians may indicate infection, as some species appear to be most susceptible at this time.</w:t>
      </w:r>
    </w:p>
    <w:p w14:paraId="431A90C5" w14:textId="77777777" w:rsidR="00ED0614" w:rsidRDefault="00E260DC">
      <w:pPr>
        <w:pStyle w:val="Heading2"/>
      </w:pPr>
      <w:r>
        <w:lastRenderedPageBreak/>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0" w:name="_Similar_diseases"/>
      <w:bookmarkEnd w:id="0"/>
      <w:r>
        <w:t>Similar diseases</w:t>
      </w:r>
    </w:p>
    <w:p w14:paraId="3085BBD7" w14:textId="116455E9" w:rsidR="00ED0614" w:rsidRDefault="00AF5E58">
      <w:r w:rsidRPr="00AF5E58">
        <w:t xml:space="preserve">Infection with </w:t>
      </w:r>
      <w:r w:rsidRPr="00AF5E58">
        <w:rPr>
          <w:rStyle w:val="Emphasis"/>
        </w:rPr>
        <w:t xml:space="preserve">Batrachochytrium </w:t>
      </w:r>
      <w:proofErr w:type="spellStart"/>
      <w:r w:rsidRPr="00AF5E58">
        <w:rPr>
          <w:rStyle w:val="Emphasis"/>
        </w:rPr>
        <w:t>salamandrivorans</w:t>
      </w:r>
      <w:proofErr w:type="spellEnd"/>
      <w:r w:rsidR="00030917" w:rsidRPr="00030917">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sidP="00992F56">
      <w:pPr>
        <w:keepNext/>
      </w:pPr>
      <w:r>
        <w:t>See something you think is this disease? Report it. Even if you’re not sure.</w:t>
      </w:r>
    </w:p>
    <w:p w14:paraId="742BD5A1" w14:textId="39440E2A" w:rsidR="00ED0614" w:rsidRDefault="00E260DC">
      <w:r>
        <w:t xml:space="preserve">Call the Emergency Animal Disease Watch Hotline on </w:t>
      </w:r>
      <w:r w:rsidR="00D33C2F">
        <w:rPr>
          <w:rStyle w:val="Strong"/>
        </w:rPr>
        <w:t>1800 675 888</w:t>
      </w:r>
      <w:r>
        <w:t>. They will refer you to the right state or territory agency.</w:t>
      </w:r>
    </w:p>
    <w:p w14:paraId="50AF709B" w14:textId="77777777" w:rsidR="00ED0614" w:rsidRDefault="00E260DC">
      <w:pPr>
        <w:pStyle w:val="Heading2"/>
        <w:keepLines/>
        <w:rPr>
          <w:rFonts w:ascii="Cambria" w:eastAsiaTheme="minorHAnsi" w:hAnsi="Cambria"/>
          <w:b w:val="0"/>
          <w:bCs w:val="0"/>
          <w:color w:val="auto"/>
          <w:sz w:val="22"/>
          <w:szCs w:val="22"/>
          <w:lang w:eastAsia="en-US"/>
        </w:rPr>
      </w:pPr>
      <w:r>
        <w:t>Further reading</w:t>
      </w:r>
    </w:p>
    <w:p w14:paraId="5BBB1D75" w14:textId="0C45942E" w:rsidR="000905BF" w:rsidRDefault="000905BF" w:rsidP="002C1362">
      <w:r>
        <w:t xml:space="preserve">Department of the Environment and Energy </w:t>
      </w:r>
      <w:hyperlink r:id="rId13" w:history="1">
        <w:r w:rsidR="000F161C" w:rsidRPr="000F161C">
          <w:rPr>
            <w:rStyle w:val="Hyperlink"/>
          </w:rPr>
          <w:t>Infection of amphibians with chytrid fungus resulting in chytridiomycosis (2016)</w:t>
        </w:r>
      </w:hyperlink>
    </w:p>
    <w:p w14:paraId="64526148" w14:textId="32A7C954" w:rsidR="000F161C" w:rsidRDefault="00962828" w:rsidP="002C1362">
      <w:r>
        <w:t>Imperial College London</w:t>
      </w:r>
      <w:r w:rsidR="000F161C">
        <w:t xml:space="preserve"> </w:t>
      </w:r>
      <w:hyperlink r:id="rId14" w:history="1">
        <w:r>
          <w:rPr>
            <w:rStyle w:val="Hyperlink"/>
          </w:rPr>
          <w:t>Global Bd m</w:t>
        </w:r>
        <w:r w:rsidR="000F161C" w:rsidRPr="000F161C">
          <w:rPr>
            <w:rStyle w:val="Hyperlink"/>
          </w:rPr>
          <w:t>ap</w:t>
        </w:r>
        <w:r>
          <w:rPr>
            <w:rStyle w:val="Hyperlink"/>
          </w:rPr>
          <w:t>ping project</w:t>
        </w:r>
      </w:hyperlink>
    </w:p>
    <w:p w14:paraId="58A59C1B" w14:textId="53B7415F" w:rsidR="000F161C" w:rsidRDefault="000F161C" w:rsidP="002C1362">
      <w:r>
        <w:t xml:space="preserve">World Organisation for Animal Health </w:t>
      </w:r>
      <w:hyperlink r:id="rId15" w:history="1">
        <w:r w:rsidRPr="000F161C">
          <w:rPr>
            <w:rStyle w:val="Hyperlink"/>
          </w:rPr>
          <w:t>Manual of Diagnostic Tests for Aquatic Animals</w:t>
        </w:r>
      </w:hyperlink>
    </w:p>
    <w:p w14:paraId="5F7DA703" w14:textId="64888231" w:rsidR="00ED0614" w:rsidRDefault="00E260DC" w:rsidP="002C1362">
      <w:r>
        <w:t>These hyperlinks were correct at the time of publication.</w:t>
      </w:r>
    </w:p>
    <w:p w14:paraId="727D1659" w14:textId="77777777" w:rsidR="00ED0614" w:rsidRDefault="00E260DC">
      <w:pPr>
        <w:pStyle w:val="Heading2"/>
        <w:ind w:left="0" w:firstLine="0"/>
      </w:pPr>
      <w:r>
        <w:t>Contact details</w:t>
      </w:r>
    </w:p>
    <w:p w14:paraId="43CF42A0" w14:textId="77777777" w:rsidR="00ED0614" w:rsidRDefault="00E260DC">
      <w:pPr>
        <w:spacing w:after="0"/>
      </w:pPr>
      <w:r>
        <w:t>Emergency Animal Disease Watch Hotline 1800 675 888</w:t>
      </w:r>
    </w:p>
    <w:p w14:paraId="013BDC5B" w14:textId="77777777" w:rsidR="00ED0614" w:rsidRDefault="00E260DC">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70813592" w14:textId="6591ECB9" w:rsidR="00ED0614" w:rsidRDefault="00E260DC">
      <w:pPr>
        <w:pStyle w:val="Normalsmall"/>
      </w:pPr>
      <w:r>
        <w:t>© Commonwealth of Australia 20</w:t>
      </w:r>
      <w:r w:rsidR="004D0F48">
        <w:t>20</w:t>
      </w:r>
    </w:p>
    <w:p w14:paraId="783F07B8" w14:textId="4E5FEA66" w:rsidR="00ED0614" w:rsidRDefault="00E260DC" w:rsidP="003F7380">
      <w:pPr>
        <w:pStyle w:val="Normalsmall"/>
      </w:pPr>
      <w:r>
        <w:t>This work is copyright. It may be reproduced in whole or in part subject to the inclusion of an acknowledgement of the source and no co</w:t>
      </w:r>
      <w:bookmarkStart w:id="1" w:name="_GoBack"/>
      <w:bookmarkEnd w:id="1"/>
      <w:r>
        <w:t>mmercial usage or sale.</w:t>
      </w:r>
    </w:p>
    <w:sectPr w:rsidR="00ED0614">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2A33544B" w:rsidR="00ED0614" w:rsidRDefault="00E260DC">
    <w:pPr>
      <w:pStyle w:val="Footer"/>
    </w:pPr>
    <w:r>
      <w:t xml:space="preserve">Department </w:t>
    </w:r>
    <w:r w:rsidR="004D0F48">
      <w:t>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2A5853">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45784B8B" w:rsidR="00ED0614" w:rsidRPr="00A168ED" w:rsidRDefault="00A168ED" w:rsidP="00A168ED">
    <w:pPr>
      <w:pStyle w:val="Header"/>
    </w:pPr>
    <w:r w:rsidRPr="00A168ED">
      <w:t xml:space="preserve">Infection with </w:t>
    </w:r>
    <w:r w:rsidR="000905BF" w:rsidRPr="000905BF">
      <w:rPr>
        <w:rStyle w:val="Emphasis"/>
      </w:rPr>
      <w:t xml:space="preserve">Batrachochytrium </w:t>
    </w:r>
    <w:proofErr w:type="spellStart"/>
    <w:r w:rsidR="000905BF" w:rsidRPr="000905BF">
      <w:rPr>
        <w:rStyle w:val="Emphasis"/>
      </w:rPr>
      <w:t>dendrobatidis</w:t>
    </w:r>
    <w:proofErr w:type="spellEnd"/>
    <w:r w:rsidR="00E472B8">
      <w:t xml:space="preserve"> (Bd)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33DE4C16">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30917"/>
    <w:rsid w:val="00050C3A"/>
    <w:rsid w:val="000905BF"/>
    <w:rsid w:val="000C051E"/>
    <w:rsid w:val="000D05F1"/>
    <w:rsid w:val="000D38F7"/>
    <w:rsid w:val="000F161C"/>
    <w:rsid w:val="001413A7"/>
    <w:rsid w:val="00144359"/>
    <w:rsid w:val="001474D1"/>
    <w:rsid w:val="001861A4"/>
    <w:rsid w:val="001948A6"/>
    <w:rsid w:val="001A7824"/>
    <w:rsid w:val="001E366B"/>
    <w:rsid w:val="001E6330"/>
    <w:rsid w:val="001F30EF"/>
    <w:rsid w:val="00274A52"/>
    <w:rsid w:val="002A5853"/>
    <w:rsid w:val="002C1362"/>
    <w:rsid w:val="00390407"/>
    <w:rsid w:val="003B7360"/>
    <w:rsid w:val="003D6E5F"/>
    <w:rsid w:val="003F4E8E"/>
    <w:rsid w:val="003F7380"/>
    <w:rsid w:val="0045639F"/>
    <w:rsid w:val="0045792C"/>
    <w:rsid w:val="00492B27"/>
    <w:rsid w:val="004A6D44"/>
    <w:rsid w:val="004D0F48"/>
    <w:rsid w:val="004E3720"/>
    <w:rsid w:val="004F5218"/>
    <w:rsid w:val="005312B5"/>
    <w:rsid w:val="00583B3C"/>
    <w:rsid w:val="005A359A"/>
    <w:rsid w:val="005A5BA8"/>
    <w:rsid w:val="005B0B25"/>
    <w:rsid w:val="005B5670"/>
    <w:rsid w:val="005C17C2"/>
    <w:rsid w:val="005E698C"/>
    <w:rsid w:val="005F2162"/>
    <w:rsid w:val="00616018"/>
    <w:rsid w:val="006D51D3"/>
    <w:rsid w:val="00742002"/>
    <w:rsid w:val="007757E1"/>
    <w:rsid w:val="0078062F"/>
    <w:rsid w:val="00793DD5"/>
    <w:rsid w:val="007945B1"/>
    <w:rsid w:val="007E3043"/>
    <w:rsid w:val="00801CBF"/>
    <w:rsid w:val="00844BA3"/>
    <w:rsid w:val="00852B6B"/>
    <w:rsid w:val="00853ED4"/>
    <w:rsid w:val="00870B8B"/>
    <w:rsid w:val="00892A24"/>
    <w:rsid w:val="008B4009"/>
    <w:rsid w:val="009016B5"/>
    <w:rsid w:val="009021AF"/>
    <w:rsid w:val="00916115"/>
    <w:rsid w:val="00952133"/>
    <w:rsid w:val="0095639C"/>
    <w:rsid w:val="00962828"/>
    <w:rsid w:val="00992F56"/>
    <w:rsid w:val="009C7070"/>
    <w:rsid w:val="00A168ED"/>
    <w:rsid w:val="00A94C32"/>
    <w:rsid w:val="00AF5E58"/>
    <w:rsid w:val="00C10318"/>
    <w:rsid w:val="00C36630"/>
    <w:rsid w:val="00C605BC"/>
    <w:rsid w:val="00CD0FA5"/>
    <w:rsid w:val="00D1126F"/>
    <w:rsid w:val="00D12B64"/>
    <w:rsid w:val="00D33C2F"/>
    <w:rsid w:val="00D467E7"/>
    <w:rsid w:val="00DD769F"/>
    <w:rsid w:val="00DF2031"/>
    <w:rsid w:val="00E260DC"/>
    <w:rsid w:val="00E263C9"/>
    <w:rsid w:val="00E472B8"/>
    <w:rsid w:val="00E84766"/>
    <w:rsid w:val="00EA45DE"/>
    <w:rsid w:val="00ED0614"/>
    <w:rsid w:val="00F03FC2"/>
    <w:rsid w:val="00F06A73"/>
    <w:rsid w:val="00F24F0F"/>
    <w:rsid w:val="00F61820"/>
    <w:rsid w:val="00F72EFE"/>
    <w:rsid w:val="00FD7D78"/>
    <w:rsid w:val="00FF2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ment.gov.au/biodiversity/threatened/publications/tap/infection-amphibians-chytrid-fungus-resulting-chytridiomycosis-201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ie.int/en/international-standard-setting/aquatic-manual/access-onlin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d-map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cf0e0db-f490-4122-abae-21917392c748"/>
    <ds:schemaRef ds:uri="http://purl.org/dc/term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1B7E4-E993-4ABE-B37B-299B41A8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4</TotalTime>
  <Pages>5</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Infection with Batrachochytrium dendrobatidis (Bd)</vt:lpstr>
    </vt:vector>
  </TitlesOfParts>
  <Company>Department of Agriculture Fisheries &amp; Forestry</Company>
  <LinksUpToDate>false</LinksUpToDate>
  <CharactersWithSpaces>8136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Batrachochytrium dendrobatidis (Bd)</dc:title>
  <dc:creator>Department of Agriculture</dc:creator>
  <cp:lastModifiedBy>Caldwell, Louise</cp:lastModifiedBy>
  <cp:revision>4</cp:revision>
  <cp:lastPrinted>2020-03-11T23:12:00Z</cp:lastPrinted>
  <dcterms:created xsi:type="dcterms:W3CDTF">2019-11-21T04:18:00Z</dcterms:created>
  <dcterms:modified xsi:type="dcterms:W3CDTF">2020-03-11T23:12:00Z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