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FFF40" w14:textId="77777777" w:rsidR="004B36DD" w:rsidRPr="009E7D79" w:rsidRDefault="00315166">
      <w:pPr>
        <w:pStyle w:val="Heading1"/>
      </w:pPr>
      <w:r>
        <w:t xml:space="preserve">Infection with </w:t>
      </w:r>
      <w:proofErr w:type="spellStart"/>
      <w:r>
        <w:rPr>
          <w:rStyle w:val="Emphasis"/>
        </w:rPr>
        <w:t>Bonamia</w:t>
      </w:r>
      <w:proofErr w:type="spellEnd"/>
      <w:r>
        <w:rPr>
          <w:rStyle w:val="Emphasis"/>
        </w:rPr>
        <w:t xml:space="preserve"> </w:t>
      </w:r>
      <w:proofErr w:type="spellStart"/>
      <w:r>
        <w:rPr>
          <w:rStyle w:val="Emphasis"/>
        </w:rPr>
        <w:t>ostreae</w:t>
      </w:r>
      <w:proofErr w:type="spellEnd"/>
    </w:p>
    <w:p w14:paraId="03401E22" w14:textId="77777777" w:rsidR="004B36DD" w:rsidRDefault="00315166">
      <w:pPr>
        <w:pStyle w:val="Subtitle"/>
      </w:pPr>
      <w:r>
        <w:rPr>
          <w:sz w:val="24"/>
          <w:szCs w:val="24"/>
        </w:rPr>
        <w:t xml:space="preserve">Also known as </w:t>
      </w:r>
      <w:proofErr w:type="spellStart"/>
      <w:r>
        <w:rPr>
          <w:sz w:val="24"/>
          <w:szCs w:val="24"/>
        </w:rPr>
        <w:t>bonamiosis</w:t>
      </w:r>
      <w:proofErr w:type="spellEnd"/>
    </w:p>
    <w:p w14:paraId="4DD0B6B2" w14:textId="77777777" w:rsidR="004B36DD" w:rsidRDefault="00315166">
      <w:pPr>
        <w:pStyle w:val="Subtitle"/>
      </w:pPr>
      <w:r>
        <w:t xml:space="preserve">From </w:t>
      </w:r>
      <w:r>
        <w:rPr>
          <w:rStyle w:val="Emphasis"/>
        </w:rPr>
        <w:t>Aquatic animal diseases significant to Australia: identification field guide</w:t>
      </w:r>
      <w:r>
        <w:t>, 5th edition</w:t>
      </w:r>
    </w:p>
    <w:p w14:paraId="5AFDBB48" w14:textId="293C6DFB" w:rsidR="004B36DD" w:rsidRDefault="00315166">
      <w:pPr>
        <w:pStyle w:val="Caption"/>
      </w:pPr>
      <w:r>
        <w:t xml:space="preserve">Figure </w:t>
      </w:r>
      <w:r>
        <w:rPr>
          <w:noProof/>
        </w:rPr>
        <w:fldChar w:fldCharType="begin"/>
      </w:r>
      <w:r>
        <w:rPr>
          <w:noProof/>
        </w:rPr>
        <w:instrText xml:space="preserve"> SEQ Figure \* ARABIC </w:instrText>
      </w:r>
      <w:r>
        <w:rPr>
          <w:noProof/>
        </w:rPr>
        <w:fldChar w:fldCharType="separate"/>
      </w:r>
      <w:r w:rsidR="0038188B">
        <w:rPr>
          <w:noProof/>
        </w:rPr>
        <w:t>1</w:t>
      </w:r>
      <w:r>
        <w:rPr>
          <w:noProof/>
        </w:rPr>
        <w:fldChar w:fldCharType="end"/>
      </w:r>
      <w:r>
        <w:t xml:space="preserve"> Mortality of European flat oysters (</w:t>
      </w:r>
      <w:r>
        <w:rPr>
          <w:rStyle w:val="Emphasis"/>
        </w:rPr>
        <w:t>Ostrea edulis</w:t>
      </w:r>
      <w:r>
        <w:t xml:space="preserve">) infected with </w:t>
      </w:r>
      <w:proofErr w:type="spellStart"/>
      <w:r>
        <w:rPr>
          <w:rStyle w:val="Emphasis"/>
        </w:rPr>
        <w:t>Bonamia</w:t>
      </w:r>
      <w:proofErr w:type="spellEnd"/>
      <w:r>
        <w:rPr>
          <w:rStyle w:val="Emphasis"/>
        </w:rPr>
        <w:t> </w:t>
      </w:r>
      <w:proofErr w:type="spellStart"/>
      <w:r>
        <w:rPr>
          <w:rStyle w:val="Emphasis"/>
        </w:rPr>
        <w:t>ostreae</w:t>
      </w:r>
      <w:proofErr w:type="spellEnd"/>
    </w:p>
    <w:p w14:paraId="5306AA39" w14:textId="77777777" w:rsidR="004B36DD" w:rsidRDefault="00315166">
      <w:r>
        <w:rPr>
          <w:noProof/>
          <w:lang w:eastAsia="en-AU"/>
        </w:rPr>
        <w:drawing>
          <wp:inline distT="0" distB="0" distL="0" distR="0" wp14:anchorId="6FAE7391" wp14:editId="129486FA">
            <wp:extent cx="3960000" cy="2530800"/>
            <wp:effectExtent l="0" t="0" r="2540" b="3175"/>
            <wp:docPr id="15" name="Picture 0" descr="Mortality of European flat oysters (Ostrea edulis) infected with Bonamia ostreae, illustrating classic gaping. Source: D Ald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amia ostreae D Alderman.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960000" cy="2530800"/>
                    </a:xfrm>
                    <a:prstGeom prst="rect">
                      <a:avLst/>
                    </a:prstGeom>
                    <a:ln>
                      <a:noFill/>
                    </a:ln>
                    <a:extLst>
                      <a:ext uri="{53640926-AAD7-44D8-BBD7-CCE9431645EC}">
                        <a14:shadowObscured xmlns:a14="http://schemas.microsoft.com/office/drawing/2010/main"/>
                      </a:ext>
                    </a:extLst>
                  </pic:spPr>
                </pic:pic>
              </a:graphicData>
            </a:graphic>
          </wp:inline>
        </w:drawing>
      </w:r>
    </w:p>
    <w:p w14:paraId="41BD2A38" w14:textId="77777777" w:rsidR="004B36DD" w:rsidRDefault="00315166">
      <w:pPr>
        <w:pStyle w:val="FigureTableNoteSource"/>
      </w:pPr>
      <w:r>
        <w:t>Note: Classic gaping of diseased oysters.</w:t>
      </w:r>
    </w:p>
    <w:p w14:paraId="11097433" w14:textId="77777777" w:rsidR="004B36DD" w:rsidRDefault="00315166">
      <w:pPr>
        <w:pStyle w:val="FigureTableNoteSource"/>
      </w:pPr>
      <w:r>
        <w:t>Source: D Alderman</w:t>
      </w:r>
    </w:p>
    <w:p w14:paraId="32BB7170" w14:textId="77777777" w:rsidR="004B36DD" w:rsidRDefault="00315166">
      <w:pPr>
        <w:pStyle w:val="Heading2"/>
      </w:pPr>
      <w:r>
        <w:t>Signs of disease</w:t>
      </w:r>
    </w:p>
    <w:p w14:paraId="5BFBB645" w14:textId="77777777" w:rsidR="004B36DD" w:rsidRDefault="00315166">
      <w:pPr>
        <w:keepNext/>
        <w:keepLines/>
        <w:rPr>
          <w:lang w:eastAsia="ja-JP"/>
        </w:rPr>
      </w:pPr>
      <w:r>
        <w:rPr>
          <w:lang w:eastAsia="ja-JP"/>
        </w:rPr>
        <w:t>Important: Animals with this disease may show one or more of these signs, but the pathogen may still be present in the absence of any signs.</w:t>
      </w:r>
    </w:p>
    <w:p w14:paraId="628C5413" w14:textId="1172CC76" w:rsidR="004B36DD" w:rsidRDefault="00315166">
      <w:pPr>
        <w:rPr>
          <w:lang w:eastAsia="ja-JP"/>
        </w:rPr>
      </w:pPr>
      <w:r>
        <w:rPr>
          <w:lang w:eastAsia="ja-JP"/>
        </w:rPr>
        <w:t xml:space="preserve">Diseases caused by any of the microcell species are similar. In cases of light infection, few or no clinical or gross signs are present. Concurrent infections with more than one species of </w:t>
      </w:r>
      <w:proofErr w:type="spellStart"/>
      <w:r>
        <w:rPr>
          <w:rStyle w:val="Emphasis"/>
          <w:lang w:eastAsia="ja-JP"/>
        </w:rPr>
        <w:t>Bonamia</w:t>
      </w:r>
      <w:proofErr w:type="spellEnd"/>
      <w:r>
        <w:rPr>
          <w:lang w:eastAsia="ja-JP"/>
        </w:rPr>
        <w:t xml:space="preserve"> may also occur. Definitive identification of </w:t>
      </w:r>
      <w:proofErr w:type="spellStart"/>
      <w:r>
        <w:rPr>
          <w:rStyle w:val="Emphasis"/>
          <w:lang w:eastAsia="ja-JP"/>
        </w:rPr>
        <w:t>Bonamia</w:t>
      </w:r>
      <w:proofErr w:type="spellEnd"/>
      <w:r>
        <w:rPr>
          <w:lang w:eastAsia="ja-JP"/>
        </w:rPr>
        <w:t xml:space="preserve"> or </w:t>
      </w:r>
      <w:proofErr w:type="spellStart"/>
      <w:r>
        <w:rPr>
          <w:rStyle w:val="Emphasis"/>
          <w:lang w:eastAsia="ja-JP"/>
        </w:rPr>
        <w:t>Mikrocytos</w:t>
      </w:r>
      <w:proofErr w:type="spellEnd"/>
      <w:r>
        <w:rPr>
          <w:lang w:eastAsia="ja-JP"/>
        </w:rPr>
        <w:t xml:space="preserve"> species requires histological laboratory examination and molecular diagnostic techniques.</w:t>
      </w:r>
    </w:p>
    <w:p w14:paraId="3C824308" w14:textId="77777777" w:rsidR="004B36DD" w:rsidRDefault="00315166">
      <w:pPr>
        <w:rPr>
          <w:lang w:eastAsia="ja-JP"/>
        </w:rPr>
      </w:pPr>
      <w:r>
        <w:rPr>
          <w:lang w:eastAsia="ja-JP"/>
        </w:rPr>
        <w:t>Disease signs at the farm, tank or pond level are:</w:t>
      </w:r>
    </w:p>
    <w:p w14:paraId="6C52537C" w14:textId="77777777" w:rsidR="004B36DD" w:rsidRDefault="00315166">
      <w:pPr>
        <w:pStyle w:val="ListBullet"/>
        <w:rPr>
          <w:lang w:eastAsia="ja-JP"/>
        </w:rPr>
      </w:pPr>
      <w:r>
        <w:rPr>
          <w:lang w:eastAsia="ja-JP"/>
        </w:rPr>
        <w:t>dead or gaping oysters</w:t>
      </w:r>
    </w:p>
    <w:p w14:paraId="2D59A420" w14:textId="77777777" w:rsidR="004B36DD" w:rsidRDefault="00315166">
      <w:pPr>
        <w:pStyle w:val="ListBullet"/>
        <w:rPr>
          <w:lang w:eastAsia="ja-JP"/>
        </w:rPr>
      </w:pPr>
      <w:r>
        <w:rPr>
          <w:lang w:eastAsia="ja-JP"/>
        </w:rPr>
        <w:t>increased mortality.</w:t>
      </w:r>
    </w:p>
    <w:p w14:paraId="62FA1EA3" w14:textId="77777777" w:rsidR="004B36DD" w:rsidRDefault="00315166">
      <w:pPr>
        <w:rPr>
          <w:lang w:eastAsia="ja-JP"/>
        </w:rPr>
      </w:pPr>
      <w:r>
        <w:rPr>
          <w:lang w:eastAsia="ja-JP"/>
        </w:rPr>
        <w:t>Gross pathological signs are:</w:t>
      </w:r>
    </w:p>
    <w:p w14:paraId="30764A34" w14:textId="77777777" w:rsidR="004B36DD" w:rsidRDefault="00315166">
      <w:pPr>
        <w:pStyle w:val="ListBullet"/>
        <w:rPr>
          <w:lang w:eastAsia="ja-JP"/>
        </w:rPr>
      </w:pPr>
      <w:r>
        <w:rPr>
          <w:lang w:eastAsia="ja-JP"/>
        </w:rPr>
        <w:t>generally poor condition</w:t>
      </w:r>
    </w:p>
    <w:p w14:paraId="45097173" w14:textId="77777777" w:rsidR="004B36DD" w:rsidRDefault="00315166">
      <w:pPr>
        <w:pStyle w:val="ListBullet"/>
        <w:rPr>
          <w:lang w:eastAsia="ja-JP"/>
        </w:rPr>
      </w:pPr>
      <w:r>
        <w:rPr>
          <w:lang w:eastAsia="ja-JP"/>
        </w:rPr>
        <w:t>gills appearing eroded</w:t>
      </w:r>
    </w:p>
    <w:p w14:paraId="16522A56" w14:textId="77777777" w:rsidR="004B36DD" w:rsidRDefault="00315166">
      <w:pPr>
        <w:pStyle w:val="ListBullet"/>
        <w:rPr>
          <w:lang w:eastAsia="ja-JP"/>
        </w:rPr>
      </w:pPr>
      <w:r>
        <w:rPr>
          <w:lang w:eastAsia="ja-JP"/>
        </w:rPr>
        <w:t>yellow discolouration of the gills and mantle.</w:t>
      </w:r>
    </w:p>
    <w:p w14:paraId="692EEBBF" w14:textId="7C1A811D" w:rsidR="004B36DD" w:rsidRDefault="00315166">
      <w:r>
        <w:rPr>
          <w:lang w:eastAsia="ja-JP"/>
        </w:rPr>
        <w:t xml:space="preserve">Infection with </w:t>
      </w:r>
      <w:proofErr w:type="spellStart"/>
      <w:r>
        <w:rPr>
          <w:rStyle w:val="Emphasis"/>
        </w:rPr>
        <w:t>Bonamia</w:t>
      </w:r>
      <w:proofErr w:type="spellEnd"/>
      <w:r>
        <w:rPr>
          <w:rStyle w:val="Emphasis"/>
        </w:rPr>
        <w:t xml:space="preserve"> </w:t>
      </w:r>
      <w:proofErr w:type="spellStart"/>
      <w:r>
        <w:rPr>
          <w:rStyle w:val="Emphasis"/>
        </w:rPr>
        <w:t>ostreae</w:t>
      </w:r>
      <w:proofErr w:type="spellEnd"/>
      <w:r>
        <w:rPr>
          <w:lang w:eastAsia="ja-JP"/>
        </w:rPr>
        <w:t xml:space="preserve"> rarely results in gross pathological signs of disease in oysters. Often the o</w:t>
      </w:r>
      <w:r>
        <w:t>nly sign is increased mortality.</w:t>
      </w:r>
    </w:p>
    <w:p w14:paraId="4816FBAB" w14:textId="77777777" w:rsidR="004B36DD" w:rsidRDefault="00315166" w:rsidP="00315166">
      <w:pPr>
        <w:keepNext/>
        <w:rPr>
          <w:lang w:eastAsia="ja-JP"/>
        </w:rPr>
      </w:pPr>
      <w:r>
        <w:lastRenderedPageBreak/>
        <w:t>Microscopi</w:t>
      </w:r>
      <w:r>
        <w:rPr>
          <w:lang w:eastAsia="ja-JP"/>
        </w:rPr>
        <w:t>c pathological signs are:</w:t>
      </w:r>
    </w:p>
    <w:p w14:paraId="34C19D92" w14:textId="41BE05FF" w:rsidR="004B36DD" w:rsidRDefault="00315166">
      <w:pPr>
        <w:pStyle w:val="ListBullet"/>
        <w:rPr>
          <w:lang w:eastAsia="ja-JP"/>
        </w:rPr>
      </w:pPr>
      <w:r>
        <w:rPr>
          <w:lang w:eastAsia="ja-JP"/>
        </w:rPr>
        <w:t>dense infiltrations of haemocytes, some containing microcell parasites in the connective tissue of the gill and mantle and in the vascular sinuses around the stomach and intestine</w:t>
      </w:r>
    </w:p>
    <w:p w14:paraId="02C6CAB3" w14:textId="31F8EAB1" w:rsidR="004B36DD" w:rsidRDefault="00315166">
      <w:pPr>
        <w:pStyle w:val="ListBullet"/>
        <w:rPr>
          <w:lang w:val="en-US"/>
        </w:rPr>
      </w:pPr>
      <w:r>
        <w:rPr>
          <w:lang w:eastAsia="ja-JP"/>
        </w:rPr>
        <w:t>extensive lesions, including perforated ulcers in the connective tissue of the gills, mantle and digestive gland.</w:t>
      </w:r>
    </w:p>
    <w:p w14:paraId="1F5AF4A5" w14:textId="77777777" w:rsidR="004B36DD" w:rsidRDefault="00315166">
      <w:pPr>
        <w:pStyle w:val="Heading2"/>
      </w:pPr>
      <w:r>
        <w:t>Disease agent</w:t>
      </w:r>
    </w:p>
    <w:p w14:paraId="7F681995" w14:textId="65697BEC" w:rsidR="004B36DD" w:rsidRDefault="00315166">
      <w:proofErr w:type="spellStart"/>
      <w:r>
        <w:t>Bonamiosis</w:t>
      </w:r>
      <w:proofErr w:type="spellEnd"/>
      <w:r>
        <w:t xml:space="preserve"> is caused by infection with </w:t>
      </w:r>
      <w:proofErr w:type="spellStart"/>
      <w:r>
        <w:rPr>
          <w:rStyle w:val="Emphasis"/>
        </w:rPr>
        <w:t>Bonamia</w:t>
      </w:r>
      <w:proofErr w:type="spellEnd"/>
      <w:r>
        <w:rPr>
          <w:rStyle w:val="Emphasis"/>
        </w:rPr>
        <w:t xml:space="preserve"> </w:t>
      </w:r>
      <w:proofErr w:type="spellStart"/>
      <w:r>
        <w:rPr>
          <w:rStyle w:val="Emphasis"/>
        </w:rPr>
        <w:t>ostreae</w:t>
      </w:r>
      <w:proofErr w:type="spellEnd"/>
      <w:r>
        <w:t xml:space="preserve">, an </w:t>
      </w:r>
      <w:proofErr w:type="spellStart"/>
      <w:r>
        <w:t>intrahaemocytic</w:t>
      </w:r>
      <w:proofErr w:type="spellEnd"/>
      <w:r>
        <w:t xml:space="preserve"> protist classified in the order </w:t>
      </w:r>
      <w:proofErr w:type="spellStart"/>
      <w:r>
        <w:t>Haplosporidia</w:t>
      </w:r>
      <w:proofErr w:type="spellEnd"/>
      <w:r>
        <w:t xml:space="preserve"> (class </w:t>
      </w:r>
      <w:proofErr w:type="spellStart"/>
      <w:r>
        <w:t>Ascetosporea</w:t>
      </w:r>
      <w:proofErr w:type="spellEnd"/>
      <w:r>
        <w:t xml:space="preserve">). </w:t>
      </w:r>
      <w:r>
        <w:rPr>
          <w:rStyle w:val="Emphasis"/>
        </w:rPr>
        <w:t xml:space="preserve">B. </w:t>
      </w:r>
      <w:proofErr w:type="spellStart"/>
      <w:r>
        <w:rPr>
          <w:rStyle w:val="Emphasis"/>
        </w:rPr>
        <w:t>ostreae</w:t>
      </w:r>
      <w:proofErr w:type="spellEnd"/>
      <w:r>
        <w:t xml:space="preserve"> causes lethal infection of flat oysters.</w:t>
      </w:r>
    </w:p>
    <w:p w14:paraId="57AA7073" w14:textId="77777777" w:rsidR="004B36DD" w:rsidRDefault="00315166">
      <w:pPr>
        <w:pStyle w:val="Heading2"/>
        <w:keepLines/>
      </w:pPr>
      <w:r>
        <w:t>Host range</w:t>
      </w:r>
    </w:p>
    <w:p w14:paraId="40A8C76A" w14:textId="37DBEB49" w:rsidR="004B36DD" w:rsidRDefault="00315166">
      <w:pPr>
        <w:rPr>
          <w:lang w:eastAsia="ja-JP"/>
        </w:rPr>
      </w:pPr>
      <w:r>
        <w:rPr>
          <w:rStyle w:val="Emphasis"/>
          <w:lang w:eastAsia="ja-JP"/>
        </w:rPr>
        <w:t>B. </w:t>
      </w:r>
      <w:proofErr w:type="spellStart"/>
      <w:r>
        <w:rPr>
          <w:rStyle w:val="Emphasis"/>
          <w:lang w:eastAsia="ja-JP"/>
        </w:rPr>
        <w:t>ostreae</w:t>
      </w:r>
      <w:proofErr w:type="spellEnd"/>
      <w:r>
        <w:rPr>
          <w:lang w:eastAsia="ja-JP"/>
        </w:rPr>
        <w:t xml:space="preserve"> is mainly a parasite of European flat oysters (</w:t>
      </w:r>
      <w:r>
        <w:rPr>
          <w:rStyle w:val="Emphasis"/>
          <w:lang w:eastAsia="ja-JP"/>
        </w:rPr>
        <w:t>Ostrea edulis</w:t>
      </w:r>
      <w:r>
        <w:rPr>
          <w:lang w:eastAsia="ja-JP"/>
        </w:rPr>
        <w:t xml:space="preserve">). Australian flat oysters reared in France have been shown to be susceptible to </w:t>
      </w:r>
      <w:r>
        <w:rPr>
          <w:rStyle w:val="Emphasis"/>
          <w:lang w:eastAsia="ja-JP"/>
        </w:rPr>
        <w:t>B. </w:t>
      </w:r>
      <w:proofErr w:type="spellStart"/>
      <w:r>
        <w:rPr>
          <w:rStyle w:val="Emphasis"/>
          <w:lang w:eastAsia="ja-JP"/>
        </w:rPr>
        <w:t>ostreae</w:t>
      </w:r>
      <w:proofErr w:type="spellEnd"/>
      <w:r>
        <w:rPr>
          <w:lang w:eastAsia="ja-JP"/>
        </w:rPr>
        <w:t xml:space="preserve">. Microcells of </w:t>
      </w:r>
      <w:r>
        <w:rPr>
          <w:rStyle w:val="Emphasis"/>
          <w:lang w:eastAsia="ja-JP"/>
        </w:rPr>
        <w:t>B. </w:t>
      </w:r>
      <w:proofErr w:type="spellStart"/>
      <w:r>
        <w:rPr>
          <w:rStyle w:val="Emphasis"/>
          <w:lang w:eastAsia="ja-JP"/>
        </w:rPr>
        <w:t>ostreae</w:t>
      </w:r>
      <w:proofErr w:type="spellEnd"/>
      <w:r>
        <w:rPr>
          <w:lang w:eastAsia="ja-JP"/>
        </w:rPr>
        <w:t xml:space="preserve"> are also occasionally detectable in cupped oysters (Pacific oysters, Portuguese oysters and Suminoe oysters) that co-occur in areas where </w:t>
      </w:r>
      <w:r>
        <w:rPr>
          <w:rStyle w:val="Emphasis"/>
          <w:lang w:eastAsia="ja-JP"/>
        </w:rPr>
        <w:t>B. </w:t>
      </w:r>
      <w:proofErr w:type="spellStart"/>
      <w:r>
        <w:rPr>
          <w:rStyle w:val="Emphasis"/>
          <w:lang w:eastAsia="ja-JP"/>
        </w:rPr>
        <w:t>ostreae</w:t>
      </w:r>
      <w:proofErr w:type="spellEnd"/>
      <w:r>
        <w:rPr>
          <w:lang w:eastAsia="ja-JP"/>
        </w:rPr>
        <w:t xml:space="preserve"> epizootics occur in </w:t>
      </w:r>
      <w:r>
        <w:rPr>
          <w:rStyle w:val="Emphasis"/>
          <w:lang w:eastAsia="ja-JP"/>
        </w:rPr>
        <w:t>O. edulis</w:t>
      </w:r>
      <w:r>
        <w:rPr>
          <w:lang w:eastAsia="ja-JP"/>
        </w:rPr>
        <w:t>.</w:t>
      </w:r>
    </w:p>
    <w:p w14:paraId="25F70CF8" w14:textId="155A896F" w:rsidR="004B36DD" w:rsidRDefault="00315166">
      <w:pPr>
        <w:pStyle w:val="Caption"/>
      </w:pPr>
      <w:r>
        <w:t xml:space="preserve">Table </w:t>
      </w:r>
      <w:r>
        <w:rPr>
          <w:noProof/>
        </w:rPr>
        <w:fldChar w:fldCharType="begin"/>
      </w:r>
      <w:r>
        <w:rPr>
          <w:noProof/>
        </w:rPr>
        <w:instrText xml:space="preserve"> SEQ Table \* ARABIC </w:instrText>
      </w:r>
      <w:r>
        <w:rPr>
          <w:noProof/>
        </w:rPr>
        <w:fldChar w:fldCharType="separate"/>
      </w:r>
      <w:r w:rsidR="0038188B">
        <w:rPr>
          <w:noProof/>
        </w:rPr>
        <w:t>1</w:t>
      </w:r>
      <w:r>
        <w:rPr>
          <w:noProof/>
        </w:rPr>
        <w:fldChar w:fldCharType="end"/>
      </w:r>
      <w:r>
        <w:t xml:space="preserve"> Species known to be naturally susceptible to infection with </w:t>
      </w:r>
      <w:proofErr w:type="spellStart"/>
      <w:r>
        <w:rPr>
          <w:rStyle w:val="Emphasis"/>
          <w:lang w:eastAsia="ja-JP"/>
        </w:rPr>
        <w:t>Bonamia</w:t>
      </w:r>
      <w:proofErr w:type="spellEnd"/>
      <w:r>
        <w:rPr>
          <w:rStyle w:val="Emphasis"/>
          <w:lang w:eastAsia="ja-JP"/>
        </w:rPr>
        <w:t> </w:t>
      </w:r>
      <w:proofErr w:type="spellStart"/>
      <w:r>
        <w:rPr>
          <w:rStyle w:val="Emphasis"/>
          <w:lang w:eastAsia="ja-JP"/>
        </w:rPr>
        <w:t>ostreae</w:t>
      </w:r>
      <w:proofErr w:type="spellEnd"/>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4B36DD" w14:paraId="4374678C" w14:textId="77777777" w:rsidTr="00315166">
        <w:trPr>
          <w:cantSplit/>
          <w:tblHeader/>
        </w:trPr>
        <w:tc>
          <w:tcPr>
            <w:tcW w:w="2500" w:type="pct"/>
            <w:tcBorders>
              <w:top w:val="single" w:sz="4" w:space="0" w:color="auto"/>
              <w:bottom w:val="single" w:sz="4" w:space="0" w:color="auto"/>
            </w:tcBorders>
            <w:noWrap/>
          </w:tcPr>
          <w:p w14:paraId="11B9494F" w14:textId="77777777" w:rsidR="004B36DD" w:rsidRDefault="00315166">
            <w:pPr>
              <w:pStyle w:val="TableHeading"/>
            </w:pPr>
            <w:r>
              <w:t>Common name</w:t>
            </w:r>
          </w:p>
        </w:tc>
        <w:tc>
          <w:tcPr>
            <w:tcW w:w="2500" w:type="pct"/>
            <w:tcBorders>
              <w:top w:val="single" w:sz="4" w:space="0" w:color="auto"/>
              <w:bottom w:val="single" w:sz="4" w:space="0" w:color="auto"/>
            </w:tcBorders>
            <w:noWrap/>
          </w:tcPr>
          <w:p w14:paraId="0C3E0C8E" w14:textId="77777777" w:rsidR="004B36DD" w:rsidRDefault="00315166">
            <w:pPr>
              <w:pStyle w:val="TableHeading"/>
            </w:pPr>
            <w:r>
              <w:t>Scientific name</w:t>
            </w:r>
          </w:p>
        </w:tc>
      </w:tr>
      <w:tr w:rsidR="004B36DD" w14:paraId="633C5B85" w14:textId="77777777">
        <w:trPr>
          <w:cantSplit/>
          <w:trHeight w:val="315"/>
        </w:trPr>
        <w:tc>
          <w:tcPr>
            <w:tcW w:w="2500" w:type="pct"/>
            <w:tcBorders>
              <w:top w:val="single" w:sz="4" w:space="0" w:color="auto"/>
            </w:tcBorders>
            <w:noWrap/>
          </w:tcPr>
          <w:p w14:paraId="63B53608" w14:textId="77777777" w:rsidR="004B36DD" w:rsidRDefault="00315166">
            <w:pPr>
              <w:pStyle w:val="TableText"/>
            </w:pPr>
            <w:r>
              <w:t>Argentinian flat oyster</w:t>
            </w:r>
          </w:p>
        </w:tc>
        <w:tc>
          <w:tcPr>
            <w:tcW w:w="2500" w:type="pct"/>
            <w:tcBorders>
              <w:top w:val="single" w:sz="4" w:space="0" w:color="auto"/>
            </w:tcBorders>
            <w:noWrap/>
          </w:tcPr>
          <w:p w14:paraId="39E6B862" w14:textId="77777777" w:rsidR="004B36DD" w:rsidRDefault="00315166">
            <w:pPr>
              <w:pStyle w:val="TableText"/>
              <w:rPr>
                <w:rStyle w:val="Emphasis"/>
              </w:rPr>
            </w:pPr>
            <w:r>
              <w:rPr>
                <w:rStyle w:val="Emphasis"/>
              </w:rPr>
              <w:t xml:space="preserve">Ostrea </w:t>
            </w:r>
            <w:proofErr w:type="spellStart"/>
            <w:r>
              <w:rPr>
                <w:rStyle w:val="Emphasis"/>
              </w:rPr>
              <w:t>puelchana</w:t>
            </w:r>
            <w:proofErr w:type="spellEnd"/>
          </w:p>
        </w:tc>
      </w:tr>
      <w:tr w:rsidR="004B36DD" w14:paraId="0A11AACB" w14:textId="77777777">
        <w:trPr>
          <w:cantSplit/>
          <w:trHeight w:val="315"/>
        </w:trPr>
        <w:tc>
          <w:tcPr>
            <w:tcW w:w="2500" w:type="pct"/>
            <w:noWrap/>
          </w:tcPr>
          <w:p w14:paraId="1D8FE7F1" w14:textId="77777777" w:rsidR="004B36DD" w:rsidRDefault="00315166">
            <w:pPr>
              <w:pStyle w:val="TableText"/>
            </w:pPr>
            <w:r>
              <w:t>Asiatic oyster</w:t>
            </w:r>
          </w:p>
        </w:tc>
        <w:tc>
          <w:tcPr>
            <w:tcW w:w="2500" w:type="pct"/>
            <w:noWrap/>
          </w:tcPr>
          <w:p w14:paraId="34C1CE3C" w14:textId="77777777" w:rsidR="004B36DD" w:rsidRDefault="00315166">
            <w:pPr>
              <w:pStyle w:val="TableText"/>
              <w:rPr>
                <w:rStyle w:val="Emphasis"/>
                <w:rFonts w:eastAsia="SimSun"/>
              </w:rPr>
            </w:pPr>
            <w:r>
              <w:rPr>
                <w:rStyle w:val="Emphasis"/>
              </w:rPr>
              <w:t xml:space="preserve">Ostrea </w:t>
            </w:r>
            <w:proofErr w:type="spellStart"/>
            <w:r>
              <w:rPr>
                <w:rStyle w:val="Emphasis"/>
              </w:rPr>
              <w:t>denselammellosa</w:t>
            </w:r>
            <w:proofErr w:type="spellEnd"/>
          </w:p>
        </w:tc>
      </w:tr>
      <w:tr w:rsidR="004B36DD" w14:paraId="1C321015" w14:textId="77777777">
        <w:trPr>
          <w:cantSplit/>
          <w:trHeight w:val="315"/>
        </w:trPr>
        <w:tc>
          <w:tcPr>
            <w:tcW w:w="2500" w:type="pct"/>
            <w:noWrap/>
          </w:tcPr>
          <w:p w14:paraId="62D1DCCD" w14:textId="77777777" w:rsidR="004B36DD" w:rsidRDefault="00315166">
            <w:pPr>
              <w:pStyle w:val="TableText"/>
            </w:pPr>
            <w:r>
              <w:t>European flat oyster</w:t>
            </w:r>
          </w:p>
        </w:tc>
        <w:tc>
          <w:tcPr>
            <w:tcW w:w="2500" w:type="pct"/>
            <w:noWrap/>
          </w:tcPr>
          <w:p w14:paraId="28108103" w14:textId="77777777" w:rsidR="004B36DD" w:rsidRDefault="00315166">
            <w:pPr>
              <w:pStyle w:val="TableText"/>
              <w:rPr>
                <w:rStyle w:val="Emphasis"/>
                <w:rFonts w:eastAsia="SimSun"/>
              </w:rPr>
            </w:pPr>
            <w:r>
              <w:rPr>
                <w:rStyle w:val="Emphasis"/>
              </w:rPr>
              <w:t>Ostrea edulis</w:t>
            </w:r>
          </w:p>
        </w:tc>
      </w:tr>
      <w:tr w:rsidR="004B36DD" w14:paraId="593BE74B" w14:textId="77777777">
        <w:trPr>
          <w:cantSplit/>
          <w:trHeight w:val="315"/>
        </w:trPr>
        <w:tc>
          <w:tcPr>
            <w:tcW w:w="2500" w:type="pct"/>
            <w:noWrap/>
          </w:tcPr>
          <w:p w14:paraId="479FADC0" w14:textId="77777777" w:rsidR="004B36DD" w:rsidRDefault="00315166">
            <w:pPr>
              <w:pStyle w:val="TableText"/>
            </w:pPr>
            <w:r>
              <w:t>New Zealand dredge oyster</w:t>
            </w:r>
          </w:p>
        </w:tc>
        <w:tc>
          <w:tcPr>
            <w:tcW w:w="2500" w:type="pct"/>
            <w:noWrap/>
          </w:tcPr>
          <w:p w14:paraId="53D97A76" w14:textId="77777777" w:rsidR="004B36DD" w:rsidRDefault="00315166">
            <w:pPr>
              <w:pStyle w:val="TableText"/>
              <w:rPr>
                <w:rStyle w:val="Emphasis"/>
                <w:rFonts w:eastAsia="SimSun"/>
              </w:rPr>
            </w:pPr>
            <w:r>
              <w:rPr>
                <w:rStyle w:val="Emphasis"/>
              </w:rPr>
              <w:t>Ostrea chilensis</w:t>
            </w:r>
          </w:p>
        </w:tc>
      </w:tr>
      <w:tr w:rsidR="004B36DD" w14:paraId="40798B33" w14:textId="77777777">
        <w:trPr>
          <w:cantSplit/>
          <w:trHeight w:val="315"/>
        </w:trPr>
        <w:tc>
          <w:tcPr>
            <w:tcW w:w="2500" w:type="pct"/>
            <w:noWrap/>
          </w:tcPr>
          <w:p w14:paraId="6A250DB2" w14:textId="77777777" w:rsidR="004B36DD" w:rsidRDefault="00315166">
            <w:pPr>
              <w:pStyle w:val="TableText"/>
            </w:pPr>
            <w:r>
              <w:t>Pacific oyster</w:t>
            </w:r>
          </w:p>
        </w:tc>
        <w:tc>
          <w:tcPr>
            <w:tcW w:w="2500" w:type="pct"/>
            <w:noWrap/>
          </w:tcPr>
          <w:p w14:paraId="2A8B639F" w14:textId="77777777" w:rsidR="004B36DD" w:rsidRDefault="00315166">
            <w:pPr>
              <w:pStyle w:val="TableText"/>
              <w:rPr>
                <w:rStyle w:val="Emphasis"/>
              </w:rPr>
            </w:pPr>
            <w:r>
              <w:rPr>
                <w:rStyle w:val="Emphasis"/>
              </w:rPr>
              <w:t xml:space="preserve">Crassostrea </w:t>
            </w:r>
            <w:proofErr w:type="spellStart"/>
            <w:r>
              <w:rPr>
                <w:rStyle w:val="Emphasis"/>
              </w:rPr>
              <w:t>gigas</w:t>
            </w:r>
            <w:proofErr w:type="spellEnd"/>
          </w:p>
        </w:tc>
      </w:tr>
      <w:tr w:rsidR="004B36DD" w14:paraId="26058DDF" w14:textId="77777777">
        <w:trPr>
          <w:cantSplit/>
          <w:trHeight w:val="315"/>
        </w:trPr>
        <w:tc>
          <w:tcPr>
            <w:tcW w:w="2500" w:type="pct"/>
            <w:noWrap/>
          </w:tcPr>
          <w:p w14:paraId="11DE0576" w14:textId="77777777" w:rsidR="004B36DD" w:rsidRDefault="00315166">
            <w:pPr>
              <w:pStyle w:val="TableText"/>
            </w:pPr>
            <w:r>
              <w:t>Portuguese oyster</w:t>
            </w:r>
          </w:p>
        </w:tc>
        <w:tc>
          <w:tcPr>
            <w:tcW w:w="2500" w:type="pct"/>
            <w:noWrap/>
          </w:tcPr>
          <w:p w14:paraId="0D8442DB" w14:textId="77777777" w:rsidR="004B36DD" w:rsidRDefault="00315166">
            <w:pPr>
              <w:pStyle w:val="TableText"/>
              <w:rPr>
                <w:rStyle w:val="Emphasis"/>
              </w:rPr>
            </w:pPr>
            <w:r>
              <w:rPr>
                <w:rStyle w:val="Emphasis"/>
              </w:rPr>
              <w:t xml:space="preserve">Crassostrea </w:t>
            </w:r>
            <w:proofErr w:type="spellStart"/>
            <w:r>
              <w:rPr>
                <w:rStyle w:val="Emphasis"/>
              </w:rPr>
              <w:t>angulata</w:t>
            </w:r>
            <w:proofErr w:type="spellEnd"/>
          </w:p>
        </w:tc>
      </w:tr>
      <w:tr w:rsidR="004B36DD" w14:paraId="0CF8C6ED" w14:textId="77777777">
        <w:trPr>
          <w:cantSplit/>
          <w:trHeight w:val="315"/>
        </w:trPr>
        <w:tc>
          <w:tcPr>
            <w:tcW w:w="2500" w:type="pct"/>
            <w:noWrap/>
          </w:tcPr>
          <w:p w14:paraId="3E207456" w14:textId="77777777" w:rsidR="004B36DD" w:rsidRDefault="00315166">
            <w:pPr>
              <w:pStyle w:val="TableText"/>
            </w:pPr>
            <w:r>
              <w:t>Southern mud oyster or Australian flat oyster</w:t>
            </w:r>
          </w:p>
        </w:tc>
        <w:tc>
          <w:tcPr>
            <w:tcW w:w="2500" w:type="pct"/>
            <w:noWrap/>
          </w:tcPr>
          <w:p w14:paraId="7E1BD64A" w14:textId="77777777" w:rsidR="004B36DD" w:rsidRDefault="00315166">
            <w:pPr>
              <w:pStyle w:val="TableText"/>
              <w:rPr>
                <w:rStyle w:val="Emphasis"/>
              </w:rPr>
            </w:pPr>
            <w:r>
              <w:rPr>
                <w:rStyle w:val="Emphasis"/>
              </w:rPr>
              <w:t xml:space="preserve">Ostrea </w:t>
            </w:r>
            <w:proofErr w:type="spellStart"/>
            <w:r>
              <w:rPr>
                <w:rStyle w:val="Emphasis"/>
              </w:rPr>
              <w:t>angasi</w:t>
            </w:r>
            <w:proofErr w:type="spellEnd"/>
          </w:p>
        </w:tc>
      </w:tr>
      <w:tr w:rsidR="004B36DD" w14:paraId="13DA327E" w14:textId="77777777">
        <w:trPr>
          <w:cantSplit/>
          <w:trHeight w:val="315"/>
        </w:trPr>
        <w:tc>
          <w:tcPr>
            <w:tcW w:w="2500" w:type="pct"/>
            <w:noWrap/>
          </w:tcPr>
          <w:p w14:paraId="3EF43742" w14:textId="77777777" w:rsidR="004B36DD" w:rsidRDefault="00315166">
            <w:pPr>
              <w:pStyle w:val="TableText"/>
            </w:pPr>
            <w:r>
              <w:t>Suminoe oyster</w:t>
            </w:r>
          </w:p>
        </w:tc>
        <w:tc>
          <w:tcPr>
            <w:tcW w:w="2500" w:type="pct"/>
            <w:noWrap/>
          </w:tcPr>
          <w:p w14:paraId="39F8AB8E" w14:textId="77777777" w:rsidR="004B36DD" w:rsidRDefault="00315166">
            <w:pPr>
              <w:pStyle w:val="TableText"/>
              <w:rPr>
                <w:rStyle w:val="Emphasis"/>
              </w:rPr>
            </w:pPr>
            <w:r>
              <w:rPr>
                <w:rStyle w:val="Emphasis"/>
              </w:rPr>
              <w:t xml:space="preserve">Crassostrea </w:t>
            </w:r>
            <w:proofErr w:type="spellStart"/>
            <w:r>
              <w:rPr>
                <w:rStyle w:val="Emphasis"/>
              </w:rPr>
              <w:t>ariakensis</w:t>
            </w:r>
            <w:proofErr w:type="spellEnd"/>
          </w:p>
        </w:tc>
      </w:tr>
    </w:tbl>
    <w:p w14:paraId="34CFBF53" w14:textId="77777777" w:rsidR="004B36DD" w:rsidRDefault="00315166">
      <w:pPr>
        <w:pStyle w:val="Heading2"/>
      </w:pPr>
      <w:r>
        <w:lastRenderedPageBreak/>
        <w:t>Presence in Australia</w:t>
      </w:r>
    </w:p>
    <w:p w14:paraId="20EBABCB" w14:textId="77777777" w:rsidR="004B36DD" w:rsidRDefault="00315166">
      <w:pPr>
        <w:keepNext/>
      </w:pPr>
      <w:r>
        <w:t>Exotic disease—not recorded in Australia.</w:t>
      </w:r>
    </w:p>
    <w:p w14:paraId="0C2A6005" w14:textId="2B66E57F" w:rsidR="004B36DD" w:rsidRDefault="00315166">
      <w:pPr>
        <w:keepNext/>
        <w:keepLines/>
      </w:pPr>
      <w:proofErr w:type="spellStart"/>
      <w:r>
        <w:rPr>
          <w:rStyle w:val="Emphasis"/>
        </w:rPr>
        <w:t>Bonamia</w:t>
      </w:r>
      <w:proofErr w:type="spellEnd"/>
      <w:r>
        <w:rPr>
          <w:rStyle w:val="Emphasis"/>
        </w:rPr>
        <w:t xml:space="preserve"> </w:t>
      </w:r>
      <w:proofErr w:type="spellStart"/>
      <w:r>
        <w:rPr>
          <w:rStyle w:val="Emphasis"/>
        </w:rPr>
        <w:t>ostreae</w:t>
      </w:r>
      <w:proofErr w:type="spellEnd"/>
      <w:r>
        <w:t xml:space="preserve"> has not been recorded and is considered exotic to Australia. Any differential diagnosis of </w:t>
      </w:r>
      <w:proofErr w:type="spellStart"/>
      <w:r>
        <w:rPr>
          <w:rStyle w:val="Emphasis"/>
        </w:rPr>
        <w:t>Bonamia</w:t>
      </w:r>
      <w:proofErr w:type="spellEnd"/>
      <w:r>
        <w:t xml:space="preserve"> spp. infection in Australian oysters requires specific confirmation using molecular diagnostic techniques to discriminate between the endemic </w:t>
      </w:r>
      <w:r>
        <w:rPr>
          <w:rStyle w:val="Emphasis"/>
        </w:rPr>
        <w:t>B. </w:t>
      </w:r>
      <w:proofErr w:type="spellStart"/>
      <w:r>
        <w:rPr>
          <w:rStyle w:val="Emphasis"/>
        </w:rPr>
        <w:t>exitiosa</w:t>
      </w:r>
      <w:proofErr w:type="spellEnd"/>
      <w:r>
        <w:t xml:space="preserve"> and exotic </w:t>
      </w:r>
      <w:r>
        <w:rPr>
          <w:rStyle w:val="Emphasis"/>
        </w:rPr>
        <w:t>B. </w:t>
      </w:r>
      <w:proofErr w:type="spellStart"/>
      <w:r>
        <w:rPr>
          <w:rStyle w:val="Emphasis"/>
        </w:rPr>
        <w:t>ostreae</w:t>
      </w:r>
      <w:proofErr w:type="spellEnd"/>
      <w:r>
        <w:t xml:space="preserve"> and </w:t>
      </w:r>
      <w:proofErr w:type="spellStart"/>
      <w:r>
        <w:rPr>
          <w:rStyle w:val="Emphasis"/>
        </w:rPr>
        <w:t>Bonamia</w:t>
      </w:r>
      <w:proofErr w:type="spellEnd"/>
      <w:r>
        <w:t> spp.</w:t>
      </w:r>
    </w:p>
    <w:p w14:paraId="50B2480D" w14:textId="3997D2F8" w:rsidR="004B36DD" w:rsidRDefault="00315166">
      <w:pPr>
        <w:pStyle w:val="Caption"/>
      </w:pPr>
      <w:r>
        <w:t xml:space="preserve">Map </w:t>
      </w:r>
      <w:r>
        <w:rPr>
          <w:noProof/>
        </w:rPr>
        <w:fldChar w:fldCharType="begin"/>
      </w:r>
      <w:r>
        <w:rPr>
          <w:noProof/>
        </w:rPr>
        <w:instrText xml:space="preserve"> SEQ Map \* ARABIC </w:instrText>
      </w:r>
      <w:r>
        <w:rPr>
          <w:noProof/>
        </w:rPr>
        <w:fldChar w:fldCharType="separate"/>
      </w:r>
      <w:r w:rsidR="0038188B">
        <w:rPr>
          <w:noProof/>
        </w:rPr>
        <w:t>1</w:t>
      </w:r>
      <w:r>
        <w:rPr>
          <w:noProof/>
        </w:rPr>
        <w:fldChar w:fldCharType="end"/>
      </w:r>
      <w:r>
        <w:t xml:space="preserve"> Presence of </w:t>
      </w:r>
      <w:proofErr w:type="spellStart"/>
      <w:r>
        <w:rPr>
          <w:rStyle w:val="Emphasis"/>
          <w:lang w:eastAsia="ja-JP"/>
        </w:rPr>
        <w:t>Bonamia</w:t>
      </w:r>
      <w:proofErr w:type="spellEnd"/>
      <w:r>
        <w:rPr>
          <w:rStyle w:val="Emphasis"/>
          <w:lang w:eastAsia="ja-JP"/>
        </w:rPr>
        <w:t> </w:t>
      </w:r>
      <w:proofErr w:type="spellStart"/>
      <w:r>
        <w:rPr>
          <w:rStyle w:val="Emphasis"/>
          <w:lang w:eastAsia="ja-JP"/>
        </w:rPr>
        <w:t>ostreae</w:t>
      </w:r>
      <w:proofErr w:type="spellEnd"/>
      <w:r>
        <w:t>, by jurisdiction</w:t>
      </w:r>
    </w:p>
    <w:p w14:paraId="62830951" w14:textId="77777777" w:rsidR="004B36DD" w:rsidRDefault="00315166">
      <w:r>
        <w:rPr>
          <w:noProof/>
          <w:lang w:eastAsia="en-AU"/>
        </w:rPr>
        <w:drawing>
          <wp:inline distT="0" distB="0" distL="0" distR="0" wp14:anchorId="670ADDB0" wp14:editId="26E7A3F9">
            <wp:extent cx="4143464" cy="2950464"/>
            <wp:effectExtent l="0" t="0" r="0" b="254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s_blank copy.jpg"/>
                    <pic:cNvPicPr/>
                  </pic:nvPicPr>
                  <pic:blipFill>
                    <a:blip r:embed="rId12" cstate="print">
                      <a:extLst>
                        <a:ext uri="{28A0092B-C50C-407E-A947-70E740481C1C}">
                          <a14:useLocalDpi xmlns:a14="http://schemas.microsoft.com/office/drawing/2010/main"/>
                        </a:ext>
                      </a:extLst>
                    </a:blip>
                    <a:stretch>
                      <a:fillRect/>
                    </a:stretch>
                  </pic:blipFill>
                  <pic:spPr>
                    <a:xfrm>
                      <a:off x="0" y="0"/>
                      <a:ext cx="4143464" cy="2950464"/>
                    </a:xfrm>
                    <a:prstGeom prst="rect">
                      <a:avLst/>
                    </a:prstGeom>
                  </pic:spPr>
                </pic:pic>
              </a:graphicData>
            </a:graphic>
          </wp:inline>
        </w:drawing>
      </w:r>
    </w:p>
    <w:p w14:paraId="58094629" w14:textId="77777777" w:rsidR="004B36DD" w:rsidRDefault="00315166">
      <w:pPr>
        <w:pStyle w:val="Heading2"/>
        <w:keepLines/>
      </w:pPr>
      <w:r>
        <w:t>Epidemiology</w:t>
      </w:r>
    </w:p>
    <w:p w14:paraId="76D575A6" w14:textId="092B361F" w:rsidR="004B36DD" w:rsidRDefault="00315166">
      <w:pPr>
        <w:pStyle w:val="ListBullet"/>
      </w:pPr>
      <w:r>
        <w:t>The critical host age for development of disease appears to be 2 years. However, other age classes are susceptible to infection.</w:t>
      </w:r>
    </w:p>
    <w:p w14:paraId="760F4A93" w14:textId="59C805F2" w:rsidR="004B36DD" w:rsidRDefault="00315166">
      <w:pPr>
        <w:pStyle w:val="ListBullet"/>
      </w:pPr>
      <w:r>
        <w:t>Significant mortalities usually occur at water temperatures of 12 to 20°C.</w:t>
      </w:r>
    </w:p>
    <w:p w14:paraId="43ACF18C" w14:textId="69990814" w:rsidR="004B36DD" w:rsidRDefault="00315166">
      <w:pPr>
        <w:pStyle w:val="ListBullet"/>
      </w:pPr>
      <w:r>
        <w:t>Systemic infection of haemocytes effectively starves the oyster of energy required for survival. The infected animal eventually dies from exhaustion and starvation.</w:t>
      </w:r>
    </w:p>
    <w:p w14:paraId="5CBB6358" w14:textId="6F3B3BFB" w:rsidR="004B36DD" w:rsidRDefault="00315166">
      <w:pPr>
        <w:pStyle w:val="ListBullet"/>
      </w:pPr>
      <w:r>
        <w:t>Some studies suggest that prevalence and intensity of infection increase during late winter and autumn. However, the disease may occur at any time during the year.</w:t>
      </w:r>
    </w:p>
    <w:p w14:paraId="1BDF1EDB" w14:textId="4E79100F" w:rsidR="004B36DD" w:rsidRDefault="00315166">
      <w:pPr>
        <w:pStyle w:val="ListBullet"/>
      </w:pPr>
      <w:r>
        <w:t>The pre-patent period is up to 5 months.</w:t>
      </w:r>
    </w:p>
    <w:p w14:paraId="59AF8303" w14:textId="77777777" w:rsidR="004B36DD" w:rsidRDefault="00315166">
      <w:pPr>
        <w:pStyle w:val="ListBullet"/>
      </w:pPr>
      <w:r>
        <w:t>Horizontal transmission of the parasite can occur directly from host to host and indirectly between oyster beds via the water.</w:t>
      </w:r>
    </w:p>
    <w:p w14:paraId="3D41E08F" w14:textId="0F30D7C3" w:rsidR="004B36DD" w:rsidRDefault="00315166">
      <w:pPr>
        <w:pStyle w:val="ListBullet"/>
      </w:pPr>
      <w:proofErr w:type="spellStart"/>
      <w:r>
        <w:rPr>
          <w:rStyle w:val="Emphasis"/>
        </w:rPr>
        <w:t>Bonamia</w:t>
      </w:r>
      <w:proofErr w:type="spellEnd"/>
      <w:r>
        <w:rPr>
          <w:rStyle w:val="Emphasis"/>
        </w:rPr>
        <w:t xml:space="preserve"> </w:t>
      </w:r>
      <w:proofErr w:type="spellStart"/>
      <w:r>
        <w:rPr>
          <w:rStyle w:val="Emphasis"/>
        </w:rPr>
        <w:t>ostreae</w:t>
      </w:r>
      <w:proofErr w:type="spellEnd"/>
      <w:r>
        <w:t xml:space="preserve"> is thought to have spread from California to Europe by human movement of infected oysters. It has also been detected in New Zealand (including in concurrent infections with </w:t>
      </w:r>
      <w:r>
        <w:rPr>
          <w:rStyle w:val="Emphasis"/>
        </w:rPr>
        <w:t>B. </w:t>
      </w:r>
      <w:proofErr w:type="spellStart"/>
      <w:r>
        <w:rPr>
          <w:rStyle w:val="Emphasis"/>
        </w:rPr>
        <w:t>exitiosa</w:t>
      </w:r>
      <w:proofErr w:type="spellEnd"/>
      <w:r>
        <w:t>) and was possibly introduced by infected hosts carried in biofouling on shipping.</w:t>
      </w:r>
    </w:p>
    <w:p w14:paraId="235098F4" w14:textId="77777777" w:rsidR="004B36DD" w:rsidRDefault="00315166">
      <w:pPr>
        <w:pStyle w:val="Heading2"/>
      </w:pPr>
      <w:r>
        <w:lastRenderedPageBreak/>
        <w:t>Differential diagnosis</w:t>
      </w:r>
    </w:p>
    <w:p w14:paraId="7348861F" w14:textId="02393754" w:rsidR="004B36DD" w:rsidRDefault="00315166">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806EBC" w:rsidRPr="00806EBC">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04E4A66" w14:textId="77777777" w:rsidR="004B36DD" w:rsidRDefault="00315166">
      <w:pPr>
        <w:pStyle w:val="Heading2"/>
      </w:pPr>
      <w:bookmarkStart w:id="0" w:name="_Similar_diseases"/>
      <w:bookmarkEnd w:id="0"/>
      <w:r>
        <w:t>Similar diseases</w:t>
      </w:r>
    </w:p>
    <w:p w14:paraId="1688FDB4" w14:textId="7C7E9648" w:rsidR="004B36DD" w:rsidRDefault="00315166">
      <w:r>
        <w:t xml:space="preserve">Infection with </w:t>
      </w:r>
      <w:proofErr w:type="spellStart"/>
      <w:r>
        <w:rPr>
          <w:rStyle w:val="Emphasis"/>
        </w:rPr>
        <w:t>Bonamia</w:t>
      </w:r>
      <w:proofErr w:type="spellEnd"/>
      <w:r>
        <w:rPr>
          <w:rStyle w:val="Emphasis"/>
        </w:rPr>
        <w:t xml:space="preserve"> </w:t>
      </w:r>
      <w:proofErr w:type="spellStart"/>
      <w:r>
        <w:rPr>
          <w:rStyle w:val="Emphasis"/>
        </w:rPr>
        <w:t>exitiosa</w:t>
      </w:r>
      <w:proofErr w:type="spellEnd"/>
      <w:r>
        <w:t xml:space="preserve">, infection with </w:t>
      </w:r>
      <w:proofErr w:type="spellStart"/>
      <w:r>
        <w:rPr>
          <w:rStyle w:val="Emphasis"/>
        </w:rPr>
        <w:t>Bonamia</w:t>
      </w:r>
      <w:proofErr w:type="spellEnd"/>
      <w:r>
        <w:t xml:space="preserve"> spp. and infection with </w:t>
      </w:r>
      <w:proofErr w:type="spellStart"/>
      <w:r>
        <w:rPr>
          <w:rStyle w:val="Emphasis"/>
        </w:rPr>
        <w:t>Mikrocytos</w:t>
      </w:r>
      <w:proofErr w:type="spellEnd"/>
      <w:r>
        <w:rPr>
          <w:rStyle w:val="Emphasis"/>
        </w:rPr>
        <w:t xml:space="preserve"> </w:t>
      </w:r>
      <w:proofErr w:type="spellStart"/>
      <w:r>
        <w:rPr>
          <w:rStyle w:val="Emphasis"/>
        </w:rPr>
        <w:t>mackini</w:t>
      </w:r>
      <w:proofErr w:type="spellEnd"/>
      <w:r>
        <w:rPr>
          <w:rStyle w:val="Emphasis"/>
        </w:rPr>
        <w:t>.</w:t>
      </w:r>
    </w:p>
    <w:p w14:paraId="2079A348" w14:textId="22B3B234" w:rsidR="004B36DD" w:rsidRDefault="00315166">
      <w:r>
        <w:t xml:space="preserve">There are few or no visual cues to the presence of this disease other than poor condition, shell gaping and increased mortality. Consequently, it is impossible </w:t>
      </w:r>
      <w:r w:rsidR="00D307D3">
        <w:t xml:space="preserve">to </w:t>
      </w:r>
      <w:r>
        <w:t xml:space="preserve">use gross signs alone to differentiate between infection by </w:t>
      </w:r>
      <w:proofErr w:type="spellStart"/>
      <w:r>
        <w:rPr>
          <w:rStyle w:val="Emphasis"/>
        </w:rPr>
        <w:t>Bonamia</w:t>
      </w:r>
      <w:proofErr w:type="spellEnd"/>
      <w:r>
        <w:t xml:space="preserve"> species and </w:t>
      </w:r>
      <w:proofErr w:type="spellStart"/>
      <w:r>
        <w:rPr>
          <w:rStyle w:val="Emphasis"/>
        </w:rPr>
        <w:t>Mikrocytos</w:t>
      </w:r>
      <w:proofErr w:type="spellEnd"/>
      <w:r>
        <w:t xml:space="preserve"> species. Concurrent infections with more than one species of </w:t>
      </w:r>
      <w:proofErr w:type="spellStart"/>
      <w:r>
        <w:rPr>
          <w:rStyle w:val="Emphasis"/>
        </w:rPr>
        <w:t>Bonamia</w:t>
      </w:r>
      <w:proofErr w:type="spellEnd"/>
      <w:r>
        <w:t xml:space="preserve"> may also occur. Any presumptive diagnosis requires further laboratory examination.</w:t>
      </w:r>
    </w:p>
    <w:p w14:paraId="7579C02B" w14:textId="77777777" w:rsidR="004B36DD" w:rsidRDefault="00315166">
      <w:r>
        <w:t>Light microscopy can contribute diagnostic information, but further laboratory examination and molecular diagnostic techniques are required for a definitive diagnosis.</w:t>
      </w:r>
    </w:p>
    <w:p w14:paraId="5ACE289B" w14:textId="77777777" w:rsidR="004B36DD" w:rsidRDefault="00315166">
      <w:pPr>
        <w:pStyle w:val="Heading2"/>
      </w:pPr>
      <w:r>
        <w:t>Sample collection</w:t>
      </w:r>
    </w:p>
    <w:p w14:paraId="2C1A91FE" w14:textId="77777777" w:rsidR="004B36DD" w:rsidRDefault="00315166">
      <w:r w:rsidRPr="00315166">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125F83C9" w14:textId="77777777" w:rsidR="004B36DD" w:rsidRDefault="00315166">
      <w:pPr>
        <w:pStyle w:val="Heading2"/>
      </w:pPr>
      <w:r>
        <w:t>Emergency disease hotline</w:t>
      </w:r>
    </w:p>
    <w:p w14:paraId="754F6692" w14:textId="77777777" w:rsidR="004B36DD" w:rsidRDefault="00315166">
      <w:r>
        <w:t>See something you think is this disease? Report it. Even if you’re not sure.</w:t>
      </w:r>
    </w:p>
    <w:p w14:paraId="021EE3DB" w14:textId="0D710947" w:rsidR="004B36DD" w:rsidRDefault="00315166">
      <w:r>
        <w:t xml:space="preserve">Call the Emergency Animal Disease Watch Hotline on </w:t>
      </w:r>
      <w:r w:rsidR="006A7D25">
        <w:rPr>
          <w:rStyle w:val="Strong"/>
        </w:rPr>
        <w:t>1800 675 888</w:t>
      </w:r>
      <w:r>
        <w:t>. They will refer you to the right state or territory agency.</w:t>
      </w:r>
    </w:p>
    <w:p w14:paraId="03D24652" w14:textId="2262CBA6" w:rsidR="008204FA" w:rsidRDefault="008204FA" w:rsidP="008204FA">
      <w:pPr>
        <w:pStyle w:val="Heading2"/>
      </w:pPr>
      <w:r>
        <w:t>Further reading</w:t>
      </w:r>
    </w:p>
    <w:p w14:paraId="1CC139F6" w14:textId="7EEED50F" w:rsidR="004B36DD" w:rsidRDefault="00315166">
      <w:r>
        <w:t xml:space="preserve">CABI Invasive Species Compendium </w:t>
      </w:r>
      <w:hyperlink r:id="rId13" w:history="1">
        <w:r>
          <w:rPr>
            <w:rStyle w:val="Hyperlink"/>
          </w:rPr>
          <w:t>‘</w:t>
        </w:r>
        <w:proofErr w:type="spellStart"/>
        <w:r>
          <w:rPr>
            <w:rStyle w:val="Hyperlink"/>
          </w:rPr>
          <w:t>Bonamia</w:t>
        </w:r>
        <w:proofErr w:type="spellEnd"/>
        <w:r>
          <w:rPr>
            <w:rStyle w:val="Hyperlink"/>
          </w:rPr>
          <w:t xml:space="preserve"> </w:t>
        </w:r>
        <w:proofErr w:type="spellStart"/>
        <w:r>
          <w:rPr>
            <w:rStyle w:val="Hyperlink"/>
          </w:rPr>
          <w:t>ostr</w:t>
        </w:r>
        <w:r w:rsidR="00AC7E7E">
          <w:rPr>
            <w:rStyle w:val="Hyperlink"/>
          </w:rPr>
          <w:t>e</w:t>
        </w:r>
        <w:r>
          <w:rPr>
            <w:rStyle w:val="Hyperlink"/>
          </w:rPr>
          <w:t>ae</w:t>
        </w:r>
        <w:proofErr w:type="spellEnd"/>
        <w:r>
          <w:rPr>
            <w:rStyle w:val="Hyperlink"/>
          </w:rPr>
          <w:t>’</w:t>
        </w:r>
      </w:hyperlink>
    </w:p>
    <w:p w14:paraId="3BD95A99" w14:textId="019BCFE3" w:rsidR="004B36DD" w:rsidRDefault="00315166">
      <w:r>
        <w:t xml:space="preserve">CEFAS International Database on Aquatic Animal Diseases </w:t>
      </w:r>
      <w:hyperlink r:id="rId14" w:history="1">
        <w:r>
          <w:rPr>
            <w:rStyle w:val="Hyperlink"/>
          </w:rPr>
          <w:t>Infection with ‘</w:t>
        </w:r>
        <w:proofErr w:type="spellStart"/>
        <w:r w:rsidRPr="008D69E7">
          <w:rPr>
            <w:rStyle w:val="Hyperlink"/>
          </w:rPr>
          <w:t>Bonamia</w:t>
        </w:r>
        <w:proofErr w:type="spellEnd"/>
        <w:r w:rsidRPr="008D69E7">
          <w:rPr>
            <w:rStyle w:val="Hyperlink"/>
          </w:rPr>
          <w:t xml:space="preserve"> </w:t>
        </w:r>
        <w:proofErr w:type="spellStart"/>
        <w:r w:rsidRPr="008D69E7">
          <w:rPr>
            <w:rStyle w:val="Hyperlink"/>
          </w:rPr>
          <w:t>ostreae</w:t>
        </w:r>
        <w:proofErr w:type="spellEnd"/>
        <w:r w:rsidRPr="008D69E7">
          <w:rPr>
            <w:rStyle w:val="Hyperlink"/>
          </w:rPr>
          <w:t>’</w:t>
        </w:r>
      </w:hyperlink>
    </w:p>
    <w:p w14:paraId="1C757D52" w14:textId="0366BC4F" w:rsidR="004B36DD" w:rsidRDefault="00315166">
      <w:r>
        <w:t xml:space="preserve">World Organisation for Animal Health </w:t>
      </w:r>
      <w:hyperlink r:id="rId15" w:history="1">
        <w:r>
          <w:rPr>
            <w:rStyle w:val="Hyperlink"/>
            <w:rFonts w:ascii="Calibri" w:hAnsi="Calibri" w:cs="Arial"/>
          </w:rPr>
          <w:t>Manual of diagnostic tests for aquatic animals</w:t>
        </w:r>
      </w:hyperlink>
    </w:p>
    <w:p w14:paraId="62556F2E" w14:textId="5182E445" w:rsidR="004B36DD" w:rsidRDefault="00315166">
      <w:r>
        <w:t>These hyperlinks were correct at the time of publication.</w:t>
      </w:r>
    </w:p>
    <w:p w14:paraId="029720FD" w14:textId="77777777" w:rsidR="004B36DD" w:rsidRDefault="00315166">
      <w:pPr>
        <w:pStyle w:val="Heading2"/>
        <w:ind w:left="0" w:firstLine="0"/>
      </w:pPr>
      <w:r>
        <w:t>Contact details</w:t>
      </w:r>
    </w:p>
    <w:p w14:paraId="7AD94540" w14:textId="77777777" w:rsidR="004B36DD" w:rsidRDefault="00315166">
      <w:pPr>
        <w:spacing w:after="0"/>
      </w:pPr>
      <w:r>
        <w:t>Emergency Animal Disease Watch Hotline 1800 675 888</w:t>
      </w:r>
    </w:p>
    <w:p w14:paraId="7C42A30E" w14:textId="77777777" w:rsidR="004B36DD" w:rsidRDefault="00315166">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23765C21" w14:textId="18F0E136" w:rsidR="004B36DD" w:rsidRDefault="00315166">
      <w:pPr>
        <w:pStyle w:val="Normalsmall"/>
      </w:pPr>
      <w:r>
        <w:t>© Commonwealth of Australia 20</w:t>
      </w:r>
      <w:r w:rsidR="00C23614">
        <w:t>20</w:t>
      </w:r>
      <w:bookmarkStart w:id="1" w:name="_GoBack"/>
      <w:bookmarkEnd w:id="1"/>
    </w:p>
    <w:p w14:paraId="0EB92433" w14:textId="77777777" w:rsidR="004B36DD" w:rsidRDefault="00315166">
      <w:pPr>
        <w:pStyle w:val="Normalsmall"/>
      </w:pPr>
      <w:r>
        <w:t>This work is copyright. It may be reproduced in whole or in part subject to the inclusion of an acknowledgement of the source and no commercial usage or sale.</w:t>
      </w:r>
    </w:p>
    <w:sectPr w:rsidR="004B36DD">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32EAB" w14:textId="77777777" w:rsidR="004B36DD" w:rsidRDefault="00315166">
      <w:r>
        <w:separator/>
      </w:r>
    </w:p>
    <w:p w14:paraId="67F236DA" w14:textId="77777777" w:rsidR="004B36DD" w:rsidRDefault="004B36DD"/>
    <w:p w14:paraId="522F3624" w14:textId="77777777" w:rsidR="004B36DD" w:rsidRDefault="004B36DD"/>
  </w:endnote>
  <w:endnote w:type="continuationSeparator" w:id="0">
    <w:p w14:paraId="528F2E0F" w14:textId="77777777" w:rsidR="004B36DD" w:rsidRDefault="00315166">
      <w:r>
        <w:continuationSeparator/>
      </w:r>
    </w:p>
    <w:p w14:paraId="59E6D67B" w14:textId="77777777" w:rsidR="004B36DD" w:rsidRDefault="004B36DD"/>
    <w:p w14:paraId="07BF0F25" w14:textId="77777777" w:rsidR="004B36DD" w:rsidRDefault="004B36DD"/>
  </w:endnote>
  <w:endnote w:type="continuationNotice" w:id="1">
    <w:p w14:paraId="783D2B82" w14:textId="77777777" w:rsidR="004B36DD" w:rsidRDefault="004B36DD">
      <w:pPr>
        <w:pStyle w:val="Footer"/>
      </w:pPr>
    </w:p>
    <w:p w14:paraId="5DBB1389" w14:textId="77777777" w:rsidR="004B36DD" w:rsidRDefault="004B36DD"/>
    <w:p w14:paraId="6CE94B9A" w14:textId="77777777" w:rsidR="004B36DD" w:rsidRDefault="004B3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D499" w14:textId="7B957712" w:rsidR="004B36DD" w:rsidRDefault="00C23614">
    <w:pPr>
      <w:pStyle w:val="Footer"/>
    </w:pPr>
    <w:r>
      <w:t>Department of Agriculture, Water and the Environment</w:t>
    </w:r>
  </w:p>
  <w:p w14:paraId="4F41D217" w14:textId="77777777" w:rsidR="004B36DD" w:rsidRDefault="00315166">
    <w:pPr>
      <w:pStyle w:val="Footer"/>
    </w:pPr>
    <w:r>
      <w:fldChar w:fldCharType="begin"/>
    </w:r>
    <w:r>
      <w:instrText xml:space="preserve"> PAGE   \* MERGEFORMAT </w:instrText>
    </w:r>
    <w:r>
      <w:fldChar w:fldCharType="separate"/>
    </w:r>
    <w:r w:rsidR="003979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72E74" w14:textId="77777777" w:rsidR="004B36DD" w:rsidRDefault="00315166">
      <w:r>
        <w:separator/>
      </w:r>
    </w:p>
    <w:p w14:paraId="4FBDD941" w14:textId="77777777" w:rsidR="004B36DD" w:rsidRDefault="004B36DD"/>
    <w:p w14:paraId="41446689" w14:textId="77777777" w:rsidR="004B36DD" w:rsidRDefault="004B36DD"/>
  </w:footnote>
  <w:footnote w:type="continuationSeparator" w:id="0">
    <w:p w14:paraId="3F70AA97" w14:textId="77777777" w:rsidR="004B36DD" w:rsidRDefault="00315166">
      <w:r>
        <w:continuationSeparator/>
      </w:r>
    </w:p>
    <w:p w14:paraId="604D39FF" w14:textId="77777777" w:rsidR="004B36DD" w:rsidRDefault="004B36DD"/>
    <w:p w14:paraId="0DB6CEFF" w14:textId="77777777" w:rsidR="004B36DD" w:rsidRDefault="004B36DD"/>
  </w:footnote>
  <w:footnote w:type="continuationNotice" w:id="1">
    <w:p w14:paraId="771533C6" w14:textId="77777777" w:rsidR="004B36DD" w:rsidRDefault="004B36DD">
      <w:pPr>
        <w:pStyle w:val="Footer"/>
      </w:pPr>
    </w:p>
    <w:p w14:paraId="037030BD" w14:textId="77777777" w:rsidR="004B36DD" w:rsidRDefault="004B36DD"/>
    <w:p w14:paraId="020A753E" w14:textId="77777777" w:rsidR="004B36DD" w:rsidRDefault="004B3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4723" w14:textId="77777777" w:rsidR="004B36DD" w:rsidRDefault="00315166">
    <w:pPr>
      <w:pStyle w:val="Header"/>
    </w:pPr>
    <w:r>
      <w:t xml:space="preserve">Infection with </w:t>
    </w:r>
    <w:proofErr w:type="spellStart"/>
    <w:r>
      <w:rPr>
        <w:rStyle w:val="Emphasis"/>
      </w:rPr>
      <w:t>Bonamia</w:t>
    </w:r>
    <w:proofErr w:type="spellEnd"/>
    <w:r>
      <w:rPr>
        <w:rStyle w:val="Emphasis"/>
      </w:rPr>
      <w:t xml:space="preserve"> </w:t>
    </w:r>
    <w:proofErr w:type="spellStart"/>
    <w:r>
      <w:rPr>
        <w:rStyle w:val="Emphasis"/>
      </w:rPr>
      <w:t>ostreae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AD0F0" w14:textId="77777777" w:rsidR="004B36DD" w:rsidRDefault="00315166">
    <w:pPr>
      <w:pStyle w:val="Header"/>
      <w:jc w:val="left"/>
    </w:pPr>
    <w:r>
      <w:rPr>
        <w:noProof/>
        <w:lang w:eastAsia="en-AU"/>
      </w:rPr>
      <w:drawing>
        <wp:anchor distT="0" distB="0" distL="114300" distR="114300" simplePos="0" relativeHeight="251658240" behindDoc="1" locked="0" layoutInCell="1" allowOverlap="1" wp14:anchorId="699DDAA9" wp14:editId="1251D76D">
          <wp:simplePos x="0" y="0"/>
          <wp:positionH relativeFrom="column">
            <wp:posOffset>-900429</wp:posOffset>
          </wp:positionH>
          <wp:positionV relativeFrom="paragraph">
            <wp:posOffset>-353695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D"/>
    <w:rsid w:val="000F7B8B"/>
    <w:rsid w:val="00156857"/>
    <w:rsid w:val="00197EB5"/>
    <w:rsid w:val="001A3B2E"/>
    <w:rsid w:val="00315166"/>
    <w:rsid w:val="0038188B"/>
    <w:rsid w:val="003979C8"/>
    <w:rsid w:val="004B36DD"/>
    <w:rsid w:val="006A7D25"/>
    <w:rsid w:val="00806EBC"/>
    <w:rsid w:val="008204FA"/>
    <w:rsid w:val="008D3680"/>
    <w:rsid w:val="008D69E7"/>
    <w:rsid w:val="009E7D79"/>
    <w:rsid w:val="00AC7E7E"/>
    <w:rsid w:val="00C23614"/>
    <w:rsid w:val="00D307D3"/>
    <w:rsid w:val="00E05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1D86F6E"/>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bi.org/ISC/datasheet/9159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ie.int/en/international-standard-setting/aquatic-manual/access-onlin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fas.co.uk/international-database-on-aquatic-animal-diseases/disease-data/?id=2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88D7DD8-D2FF-44F1-BBDA-EA32E496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5</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Infection with Bonamia ostreae</vt:lpstr>
    </vt:vector>
  </TitlesOfParts>
  <Company>Department of Agriculture Fisheries &amp; Forestry</Company>
  <LinksUpToDate>false</LinksUpToDate>
  <CharactersWithSpaces>6921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Bonamia ostreae</dc:title>
  <dc:creator>Department of Agriculture</dc:creator>
  <cp:lastModifiedBy>Foster-Thorpe, Cian</cp:lastModifiedBy>
  <cp:revision>10</cp:revision>
  <cp:lastPrinted>2020-03-12T05:00:00Z</cp:lastPrinted>
  <dcterms:created xsi:type="dcterms:W3CDTF">2019-09-05T06:12:00Z</dcterms:created>
  <dcterms:modified xsi:type="dcterms:W3CDTF">2020-03-12T05:45:00Z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