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C4124" w14:textId="77777777" w:rsidR="00060A8E" w:rsidRPr="005F7B27" w:rsidRDefault="003F6F99">
      <w:pPr>
        <w:pStyle w:val="Heading1"/>
      </w:pPr>
      <w:r>
        <w:t xml:space="preserve">Infection with </w:t>
      </w:r>
      <w:proofErr w:type="spellStart"/>
      <w:r>
        <w:rPr>
          <w:rStyle w:val="Emphasis"/>
        </w:rPr>
        <w:t>Hepatobacter</w:t>
      </w:r>
      <w:proofErr w:type="spellEnd"/>
      <w:r>
        <w:rPr>
          <w:rStyle w:val="Emphasis"/>
        </w:rPr>
        <w:t xml:space="preserve"> </w:t>
      </w:r>
      <w:proofErr w:type="spellStart"/>
      <w:r>
        <w:rPr>
          <w:rStyle w:val="Emphasis"/>
        </w:rPr>
        <w:t>penaei</w:t>
      </w:r>
      <w:proofErr w:type="spellEnd"/>
    </w:p>
    <w:p w14:paraId="6D9BCD87" w14:textId="77777777" w:rsidR="00060A8E" w:rsidRDefault="003F6F99">
      <w:pPr>
        <w:pStyle w:val="Subtitle"/>
      </w:pPr>
      <w:r>
        <w:rPr>
          <w:sz w:val="24"/>
          <w:szCs w:val="24"/>
        </w:rPr>
        <w:t xml:space="preserve">Also known as necrotising </w:t>
      </w:r>
      <w:proofErr w:type="spellStart"/>
      <w:r>
        <w:rPr>
          <w:sz w:val="24"/>
          <w:szCs w:val="24"/>
        </w:rPr>
        <w:t>hepatopancreatitis</w:t>
      </w:r>
      <w:proofErr w:type="spellEnd"/>
      <w:r>
        <w:rPr>
          <w:sz w:val="24"/>
          <w:szCs w:val="24"/>
        </w:rPr>
        <w:t xml:space="preserve"> (NHP)</w:t>
      </w:r>
    </w:p>
    <w:p w14:paraId="0D28B0E0" w14:textId="77777777" w:rsidR="00060A8E" w:rsidRDefault="003F6F99">
      <w:pPr>
        <w:pStyle w:val="Subtitle"/>
      </w:pPr>
      <w:r>
        <w:t xml:space="preserve">From </w:t>
      </w:r>
      <w:r>
        <w:rPr>
          <w:rStyle w:val="Emphasis"/>
        </w:rPr>
        <w:t>Aquatic animal diseases significant to Australia: identification field guide</w:t>
      </w:r>
      <w:r>
        <w:t>, 5th edition</w:t>
      </w:r>
    </w:p>
    <w:p w14:paraId="6D164C87" w14:textId="51C8A63D" w:rsidR="00060A8E" w:rsidRDefault="003F6F99">
      <w:pPr>
        <w:pStyle w:val="Caption"/>
      </w:pPr>
      <w:r>
        <w:t xml:space="preserve">Figure </w:t>
      </w:r>
      <w:r>
        <w:rPr>
          <w:noProof/>
        </w:rPr>
        <w:fldChar w:fldCharType="begin"/>
      </w:r>
      <w:r>
        <w:rPr>
          <w:noProof/>
        </w:rPr>
        <w:instrText xml:space="preserve"> SEQ Figure \* ARABIC </w:instrText>
      </w:r>
      <w:r>
        <w:rPr>
          <w:noProof/>
        </w:rPr>
        <w:fldChar w:fldCharType="separate"/>
      </w:r>
      <w:r w:rsidR="006D5BB9">
        <w:rPr>
          <w:noProof/>
        </w:rPr>
        <w:t>1</w:t>
      </w:r>
      <w:r>
        <w:rPr>
          <w:noProof/>
        </w:rPr>
        <w:fldChar w:fldCharType="end"/>
      </w:r>
      <w:r>
        <w:t xml:space="preserve">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xml:space="preserve">) infected with </w:t>
      </w:r>
      <w:proofErr w:type="spellStart"/>
      <w:r>
        <w:rPr>
          <w:rStyle w:val="Emphasis"/>
        </w:rPr>
        <w:t>Hepatobacter</w:t>
      </w:r>
      <w:proofErr w:type="spellEnd"/>
      <w:r>
        <w:rPr>
          <w:rStyle w:val="Emphasis"/>
        </w:rPr>
        <w:t xml:space="preserve"> </w:t>
      </w:r>
      <w:proofErr w:type="spellStart"/>
      <w:r>
        <w:rPr>
          <w:rStyle w:val="Emphasis"/>
        </w:rPr>
        <w:t>penaei</w:t>
      </w:r>
      <w:proofErr w:type="spellEnd"/>
    </w:p>
    <w:p w14:paraId="0B82B801" w14:textId="77777777" w:rsidR="00060A8E" w:rsidRDefault="003F6F99">
      <w:pPr>
        <w:ind w:right="-2"/>
      </w:pPr>
      <w:r>
        <w:rPr>
          <w:noProof/>
          <w:lang w:eastAsia="en-AU"/>
        </w:rPr>
        <w:drawing>
          <wp:inline distT="0" distB="0" distL="0" distR="0" wp14:anchorId="2E060A37" wp14:editId="38C2A0B8">
            <wp:extent cx="3960000" cy="3088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960000" cy="3088800"/>
                    </a:xfrm>
                    <a:prstGeom prst="rect">
                      <a:avLst/>
                    </a:prstGeom>
                    <a:noFill/>
                    <a:ln>
                      <a:noFill/>
                    </a:ln>
                  </pic:spPr>
                </pic:pic>
              </a:graphicData>
            </a:graphic>
          </wp:inline>
        </w:drawing>
      </w:r>
    </w:p>
    <w:p w14:paraId="30D9B3A3" w14:textId="77777777" w:rsidR="00060A8E" w:rsidRDefault="003F6F99">
      <w:pPr>
        <w:pStyle w:val="FigureTableNoteSource"/>
      </w:pPr>
      <w:r>
        <w:t>Note: Marked reduction in size and pale colour of the hepatopancreas.</w:t>
      </w:r>
    </w:p>
    <w:p w14:paraId="2ACD53AD" w14:textId="77777777" w:rsidR="00060A8E" w:rsidRDefault="003F6F99">
      <w:pPr>
        <w:pStyle w:val="FigureTableNoteSource"/>
      </w:pPr>
      <w:r>
        <w:t>Source: DV Lightner</w:t>
      </w:r>
    </w:p>
    <w:p w14:paraId="220FD70F" w14:textId="30F550B0" w:rsidR="00060A8E" w:rsidRDefault="003F6F99">
      <w:pPr>
        <w:pStyle w:val="Caption"/>
      </w:pPr>
      <w:r>
        <w:t xml:space="preserve">Figure </w:t>
      </w:r>
      <w:r>
        <w:rPr>
          <w:noProof/>
        </w:rPr>
        <w:fldChar w:fldCharType="begin"/>
      </w:r>
      <w:r>
        <w:rPr>
          <w:noProof/>
        </w:rPr>
        <w:instrText xml:space="preserve"> SEQ Figure \* ARABIC </w:instrText>
      </w:r>
      <w:r>
        <w:rPr>
          <w:noProof/>
        </w:rPr>
        <w:fldChar w:fldCharType="separate"/>
      </w:r>
      <w:r w:rsidR="006D5BB9">
        <w:rPr>
          <w:noProof/>
        </w:rPr>
        <w:t>2</w:t>
      </w:r>
      <w:r>
        <w:rPr>
          <w:noProof/>
        </w:rPr>
        <w:fldChar w:fldCharType="end"/>
      </w:r>
      <w:r>
        <w:t xml:space="preserve"> Swimmerets of a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xml:space="preserve">) infected with </w:t>
      </w:r>
      <w:proofErr w:type="spellStart"/>
      <w:r>
        <w:rPr>
          <w:rStyle w:val="Emphasis"/>
        </w:rPr>
        <w:t>Hepatobacter</w:t>
      </w:r>
      <w:proofErr w:type="spellEnd"/>
      <w:r>
        <w:rPr>
          <w:rStyle w:val="Emphasis"/>
        </w:rPr>
        <w:t xml:space="preserve"> </w:t>
      </w:r>
      <w:proofErr w:type="spellStart"/>
      <w:r>
        <w:rPr>
          <w:rStyle w:val="Emphasis"/>
        </w:rPr>
        <w:t>penaei</w:t>
      </w:r>
      <w:proofErr w:type="spellEnd"/>
    </w:p>
    <w:p w14:paraId="54BA31AA" w14:textId="77777777" w:rsidR="00060A8E" w:rsidRDefault="003F6F99">
      <w:pPr>
        <w:ind w:right="-2"/>
      </w:pPr>
      <w:r>
        <w:rPr>
          <w:noProof/>
          <w:lang w:eastAsia="en-AU"/>
        </w:rPr>
        <w:drawing>
          <wp:inline distT="0" distB="0" distL="0" distR="0" wp14:anchorId="1D9C8A4A" wp14:editId="1971EB63">
            <wp:extent cx="3960000" cy="2638800"/>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960000" cy="2638800"/>
                    </a:xfrm>
                    <a:prstGeom prst="rect">
                      <a:avLst/>
                    </a:prstGeom>
                    <a:noFill/>
                    <a:ln>
                      <a:noFill/>
                    </a:ln>
                  </pic:spPr>
                </pic:pic>
              </a:graphicData>
            </a:graphic>
          </wp:inline>
        </w:drawing>
      </w:r>
    </w:p>
    <w:p w14:paraId="06103116" w14:textId="77777777" w:rsidR="00060A8E" w:rsidRDefault="003F6F99">
      <w:pPr>
        <w:pStyle w:val="FigureTableNoteSource"/>
      </w:pPr>
      <w:r>
        <w:t>Note: Darkening at base of swimmerets, giving a fouled, ‘dirty’ appearance.</w:t>
      </w:r>
    </w:p>
    <w:p w14:paraId="3637C2CE" w14:textId="77777777" w:rsidR="00060A8E" w:rsidRDefault="003F6F99">
      <w:pPr>
        <w:pStyle w:val="FigureTableNoteSource"/>
      </w:pPr>
      <w:r>
        <w:t>Source: DV Lightner</w:t>
      </w:r>
    </w:p>
    <w:p w14:paraId="143919F4" w14:textId="77777777" w:rsidR="00060A8E" w:rsidRDefault="003F6F99">
      <w:pPr>
        <w:pStyle w:val="Heading2"/>
      </w:pPr>
      <w:r>
        <w:lastRenderedPageBreak/>
        <w:t>Signs of disease</w:t>
      </w:r>
    </w:p>
    <w:p w14:paraId="6DA55332" w14:textId="77777777" w:rsidR="00060A8E" w:rsidRDefault="003F6F99">
      <w:pPr>
        <w:rPr>
          <w:lang w:eastAsia="ja-JP"/>
        </w:rPr>
      </w:pPr>
      <w:r>
        <w:rPr>
          <w:lang w:eastAsia="ja-JP"/>
        </w:rPr>
        <w:t>Important: Animals with this disease may show one or more of these signs, but the pathogen may still be present in the absence of any signs.</w:t>
      </w:r>
    </w:p>
    <w:p w14:paraId="7A758FC9" w14:textId="77777777" w:rsidR="00060A8E" w:rsidRDefault="003F6F99">
      <w:pPr>
        <w:rPr>
          <w:lang w:eastAsia="ja-JP"/>
        </w:rPr>
      </w:pPr>
      <w:r>
        <w:rPr>
          <w:lang w:eastAsia="ja-JP"/>
        </w:rPr>
        <w:t>Disease signs at the farm, tank or pond level are:</w:t>
      </w:r>
    </w:p>
    <w:p w14:paraId="0B19FE25" w14:textId="77777777" w:rsidR="00060A8E" w:rsidRDefault="003F6F99">
      <w:pPr>
        <w:pStyle w:val="ListBullet"/>
        <w:numPr>
          <w:ilvl w:val="0"/>
          <w:numId w:val="34"/>
        </w:numPr>
        <w:rPr>
          <w:lang w:eastAsia="ja-JP"/>
        </w:rPr>
      </w:pPr>
      <w:r>
        <w:rPr>
          <w:lang w:eastAsia="ja-JP"/>
        </w:rPr>
        <w:t>lethargy</w:t>
      </w:r>
    </w:p>
    <w:p w14:paraId="7F37891C" w14:textId="77777777" w:rsidR="00060A8E" w:rsidRDefault="003F6F99">
      <w:pPr>
        <w:pStyle w:val="ListBullet"/>
        <w:numPr>
          <w:ilvl w:val="0"/>
          <w:numId w:val="34"/>
        </w:numPr>
        <w:rPr>
          <w:lang w:eastAsia="ja-JP"/>
        </w:rPr>
      </w:pPr>
      <w:r>
        <w:rPr>
          <w:lang w:eastAsia="ja-JP"/>
        </w:rPr>
        <w:t>emaciation</w:t>
      </w:r>
    </w:p>
    <w:p w14:paraId="1093F5CE" w14:textId="77777777" w:rsidR="00060A8E" w:rsidRDefault="003F6F99">
      <w:pPr>
        <w:pStyle w:val="ListBullet"/>
        <w:numPr>
          <w:ilvl w:val="0"/>
          <w:numId w:val="34"/>
        </w:numPr>
        <w:rPr>
          <w:lang w:eastAsia="ja-JP"/>
        </w:rPr>
      </w:pPr>
      <w:r>
        <w:rPr>
          <w:lang w:eastAsia="ja-JP"/>
        </w:rPr>
        <w:t>heavy protozoan or bacterial fouling</w:t>
      </w:r>
    </w:p>
    <w:p w14:paraId="1749926A" w14:textId="77777777" w:rsidR="00060A8E" w:rsidRDefault="003F6F99">
      <w:pPr>
        <w:pStyle w:val="ListBullet"/>
        <w:numPr>
          <w:ilvl w:val="0"/>
          <w:numId w:val="34"/>
        </w:numPr>
        <w:rPr>
          <w:lang w:eastAsia="ja-JP"/>
        </w:rPr>
      </w:pPr>
      <w:r>
        <w:rPr>
          <w:lang w:eastAsia="ja-JP"/>
        </w:rPr>
        <w:t>reduced growth rate.</w:t>
      </w:r>
    </w:p>
    <w:p w14:paraId="7C82B748" w14:textId="77777777" w:rsidR="00060A8E" w:rsidRDefault="003F6F99">
      <w:pPr>
        <w:rPr>
          <w:lang w:eastAsia="ja-JP"/>
        </w:rPr>
      </w:pPr>
      <w:r>
        <w:rPr>
          <w:lang w:eastAsia="ja-JP"/>
        </w:rPr>
        <w:t>Gross pathological signs are:</w:t>
      </w:r>
    </w:p>
    <w:p w14:paraId="3DBE5000" w14:textId="77777777" w:rsidR="00060A8E" w:rsidRDefault="003F6F99">
      <w:pPr>
        <w:pStyle w:val="ListBullet"/>
        <w:numPr>
          <w:ilvl w:val="0"/>
          <w:numId w:val="34"/>
        </w:numPr>
        <w:rPr>
          <w:lang w:eastAsia="ja-JP"/>
        </w:rPr>
      </w:pPr>
      <w:r>
        <w:rPr>
          <w:lang w:eastAsia="ja-JP"/>
        </w:rPr>
        <w:t>soft shell</w:t>
      </w:r>
    </w:p>
    <w:p w14:paraId="490FD9CE" w14:textId="77777777" w:rsidR="00060A8E" w:rsidRDefault="003F6F99">
      <w:pPr>
        <w:pStyle w:val="ListBullet"/>
        <w:numPr>
          <w:ilvl w:val="0"/>
          <w:numId w:val="34"/>
        </w:numPr>
        <w:rPr>
          <w:lang w:eastAsia="ja-JP"/>
        </w:rPr>
      </w:pPr>
      <w:r>
        <w:rPr>
          <w:lang w:eastAsia="ja-JP"/>
        </w:rPr>
        <w:t>flaccid body</w:t>
      </w:r>
    </w:p>
    <w:p w14:paraId="00238A75" w14:textId="77777777" w:rsidR="00060A8E" w:rsidRDefault="003F6F99">
      <w:pPr>
        <w:pStyle w:val="ListBullet"/>
        <w:numPr>
          <w:ilvl w:val="0"/>
          <w:numId w:val="34"/>
        </w:numPr>
        <w:rPr>
          <w:lang w:eastAsia="ja-JP"/>
        </w:rPr>
      </w:pPr>
      <w:r>
        <w:rPr>
          <w:lang w:eastAsia="ja-JP"/>
        </w:rPr>
        <w:t>black gills</w:t>
      </w:r>
    </w:p>
    <w:p w14:paraId="6E835D14" w14:textId="77777777" w:rsidR="00060A8E" w:rsidRDefault="003F6F99">
      <w:pPr>
        <w:pStyle w:val="ListBullet"/>
        <w:numPr>
          <w:ilvl w:val="0"/>
          <w:numId w:val="34"/>
        </w:numPr>
        <w:rPr>
          <w:lang w:eastAsia="ja-JP"/>
        </w:rPr>
      </w:pPr>
      <w:r>
        <w:rPr>
          <w:lang w:eastAsia="ja-JP"/>
        </w:rPr>
        <w:t>empty intestinal tract</w:t>
      </w:r>
    </w:p>
    <w:p w14:paraId="4096B969" w14:textId="77777777" w:rsidR="00060A8E" w:rsidRDefault="003F6F99">
      <w:pPr>
        <w:pStyle w:val="ListBullet"/>
        <w:numPr>
          <w:ilvl w:val="0"/>
          <w:numId w:val="34"/>
        </w:numPr>
        <w:rPr>
          <w:lang w:eastAsia="ja-JP"/>
        </w:rPr>
      </w:pPr>
      <w:r>
        <w:rPr>
          <w:lang w:eastAsia="ja-JP"/>
        </w:rPr>
        <w:t>degenerated or atrophied digestive gland (hepatopancreas), which appears pale to white</w:t>
      </w:r>
    </w:p>
    <w:p w14:paraId="7153BDA5" w14:textId="77777777" w:rsidR="00060A8E" w:rsidRDefault="003F6F99">
      <w:pPr>
        <w:pStyle w:val="ListBullet"/>
        <w:numPr>
          <w:ilvl w:val="0"/>
          <w:numId w:val="34"/>
        </w:numPr>
        <w:rPr>
          <w:lang w:eastAsia="ja-JP"/>
        </w:rPr>
      </w:pPr>
      <w:r>
        <w:rPr>
          <w:lang w:eastAsia="ja-JP"/>
        </w:rPr>
        <w:t>black (melanised) streaks in the hepatopancreas.</w:t>
      </w:r>
    </w:p>
    <w:p w14:paraId="349F4E3D" w14:textId="77777777" w:rsidR="00060A8E" w:rsidRDefault="003F6F99">
      <w:pPr>
        <w:rPr>
          <w:lang w:eastAsia="ja-JP"/>
        </w:rPr>
      </w:pPr>
      <w:r>
        <w:rPr>
          <w:lang w:eastAsia="ja-JP"/>
        </w:rPr>
        <w:t>Microscopic pathological signs are:</w:t>
      </w:r>
    </w:p>
    <w:p w14:paraId="5E895832" w14:textId="77777777" w:rsidR="00060A8E" w:rsidRDefault="003F6F99">
      <w:pPr>
        <w:pStyle w:val="ListBullet"/>
        <w:numPr>
          <w:ilvl w:val="0"/>
          <w:numId w:val="34"/>
        </w:numPr>
        <w:rPr>
          <w:lang w:eastAsia="ja-JP"/>
        </w:rPr>
      </w:pPr>
      <w:r>
        <w:rPr>
          <w:lang w:eastAsia="ja-JP"/>
        </w:rPr>
        <w:t>multifocal granulomatous lesions in hepatopancreatic tubules, with atrophy of adjacent hepatopancreatic tubule epithelial cells</w:t>
      </w:r>
    </w:p>
    <w:p w14:paraId="56094E6E" w14:textId="77777777" w:rsidR="00060A8E" w:rsidRDefault="003F6F99">
      <w:pPr>
        <w:pStyle w:val="ListBullet"/>
        <w:numPr>
          <w:ilvl w:val="0"/>
          <w:numId w:val="34"/>
        </w:numPr>
        <w:rPr>
          <w:lang w:eastAsia="ja-JP"/>
        </w:rPr>
      </w:pPr>
      <w:r>
        <w:rPr>
          <w:lang w:eastAsia="ja-JP"/>
        </w:rPr>
        <w:t>tubular cells within the granulomatous lesions that can be hypertrophied and contain basophilic organisms within the cytoplasm</w:t>
      </w:r>
    </w:p>
    <w:p w14:paraId="3E12AAC0" w14:textId="77777777" w:rsidR="00060A8E" w:rsidRDefault="003F6F99">
      <w:pPr>
        <w:pStyle w:val="ListBullet"/>
        <w:numPr>
          <w:ilvl w:val="0"/>
          <w:numId w:val="34"/>
        </w:numPr>
        <w:rPr>
          <w:lang w:eastAsia="ja-JP"/>
        </w:rPr>
      </w:pPr>
      <w:r>
        <w:rPr>
          <w:lang w:eastAsia="ja-JP"/>
        </w:rPr>
        <w:t>sloughing of tubule epithelial cells</w:t>
      </w:r>
    </w:p>
    <w:p w14:paraId="6D2D6AF4" w14:textId="77777777" w:rsidR="00060A8E" w:rsidRDefault="003F6F99">
      <w:pPr>
        <w:pStyle w:val="ListBullet"/>
        <w:numPr>
          <w:ilvl w:val="0"/>
          <w:numId w:val="34"/>
        </w:numPr>
      </w:pPr>
      <w:r>
        <w:rPr>
          <w:lang w:eastAsia="ja-JP"/>
        </w:rPr>
        <w:t xml:space="preserve">severe </w:t>
      </w:r>
      <w:proofErr w:type="spellStart"/>
      <w:r>
        <w:rPr>
          <w:lang w:eastAsia="ja-JP"/>
        </w:rPr>
        <w:t>haemocytic</w:t>
      </w:r>
      <w:proofErr w:type="spellEnd"/>
      <w:r>
        <w:rPr>
          <w:lang w:eastAsia="ja-JP"/>
        </w:rPr>
        <w:t xml:space="preserve"> inflammation of the intratubular spaces.</w:t>
      </w:r>
    </w:p>
    <w:p w14:paraId="026CFF5E" w14:textId="77777777" w:rsidR="00060A8E" w:rsidRDefault="003F6F99">
      <w:pPr>
        <w:pStyle w:val="Heading2"/>
      </w:pPr>
      <w:r>
        <w:t>Disease agent</w:t>
      </w:r>
    </w:p>
    <w:p w14:paraId="7C0A6653" w14:textId="59DB8C71" w:rsidR="002A1262" w:rsidRDefault="008C1908">
      <w:r>
        <w:t>NHP is caused by infection with</w:t>
      </w:r>
      <w:r w:rsidR="003F6F99">
        <w:t xml:space="preserve"> </w:t>
      </w:r>
      <w:proofErr w:type="spellStart"/>
      <w:r w:rsidR="003F6F99">
        <w:rPr>
          <w:rStyle w:val="Emphasis"/>
        </w:rPr>
        <w:t>Hepatobacter</w:t>
      </w:r>
      <w:proofErr w:type="spellEnd"/>
      <w:r w:rsidR="003F6F99">
        <w:rPr>
          <w:rStyle w:val="Emphasis"/>
        </w:rPr>
        <w:t xml:space="preserve"> </w:t>
      </w:r>
      <w:proofErr w:type="spellStart"/>
      <w:r w:rsidR="003F6F99">
        <w:rPr>
          <w:rStyle w:val="Emphasis"/>
        </w:rPr>
        <w:t>penaei</w:t>
      </w:r>
      <w:proofErr w:type="spellEnd"/>
      <w:r>
        <w:rPr>
          <w:rStyle w:val="Emphasis"/>
        </w:rPr>
        <w:t>,</w:t>
      </w:r>
      <w:r w:rsidR="003F6F99">
        <w:t xml:space="preserve"> a Gram-negative, intracytoplasmic species of </w:t>
      </w:r>
      <w:proofErr w:type="spellStart"/>
      <w:r w:rsidR="003F6F99">
        <w:t>alphaproteobacterium</w:t>
      </w:r>
      <w:proofErr w:type="spellEnd"/>
      <w:r w:rsidR="003F6F99">
        <w:t xml:space="preserve"> that infects the hepatopancreas of prawns</w:t>
      </w:r>
      <w:r>
        <w:t>.</w:t>
      </w:r>
      <w:r w:rsidR="003E1FC9">
        <w:t xml:space="preserve"> </w:t>
      </w:r>
      <w:r>
        <w:rPr>
          <w:rStyle w:val="Emphasis"/>
        </w:rPr>
        <w:t>H. </w:t>
      </w:r>
      <w:proofErr w:type="spellStart"/>
      <w:r>
        <w:rPr>
          <w:rStyle w:val="Emphasis"/>
        </w:rPr>
        <w:t>penaei</w:t>
      </w:r>
      <w:proofErr w:type="spellEnd"/>
      <w:r w:rsidDel="008C1908">
        <w:t xml:space="preserve"> </w:t>
      </w:r>
      <w:r w:rsidR="003E1FC9">
        <w:t xml:space="preserve">is </w:t>
      </w:r>
      <w:r w:rsidR="003F6F99">
        <w:t xml:space="preserve">also referred to as </w:t>
      </w:r>
      <w:r w:rsidR="003E1FC9">
        <w:t xml:space="preserve">the </w:t>
      </w:r>
      <w:r w:rsidR="003F6F99">
        <w:t>NHP bacterium.</w:t>
      </w:r>
    </w:p>
    <w:p w14:paraId="6747A598" w14:textId="7CB1DF5A" w:rsidR="002A1262" w:rsidRDefault="003F6F99">
      <w:r>
        <w:rPr>
          <w:rStyle w:val="Emphasis"/>
        </w:rPr>
        <w:t>H. </w:t>
      </w:r>
      <w:proofErr w:type="spellStart"/>
      <w:r>
        <w:rPr>
          <w:rStyle w:val="Emphasis"/>
        </w:rPr>
        <w:t>penaei</w:t>
      </w:r>
      <w:proofErr w:type="spellEnd"/>
      <w:r>
        <w:t xml:space="preserve"> exists in two morphological forms:</w:t>
      </w:r>
    </w:p>
    <w:p w14:paraId="4C0C5CB5" w14:textId="17CC38EE" w:rsidR="002A1262" w:rsidRDefault="003F6F99" w:rsidP="009A55BF">
      <w:pPr>
        <w:pStyle w:val="ListBullet"/>
      </w:pPr>
      <w:r>
        <w:t xml:space="preserve">rod-shaped, </w:t>
      </w:r>
      <w:proofErr w:type="spellStart"/>
      <w:r>
        <w:t>nonflagellated</w:t>
      </w:r>
      <w:proofErr w:type="spellEnd"/>
      <w:r>
        <w:t xml:space="preserve"> rickettsia-like organism</w:t>
      </w:r>
    </w:p>
    <w:p w14:paraId="2A8D5BD8" w14:textId="68B8ED68" w:rsidR="00060A8E" w:rsidRDefault="003F6F99" w:rsidP="009A55BF">
      <w:pPr>
        <w:pStyle w:val="ListBullet"/>
      </w:pPr>
      <w:r>
        <w:t>helical flagellated form.</w:t>
      </w:r>
    </w:p>
    <w:p w14:paraId="0C0924C6" w14:textId="77777777" w:rsidR="00060A8E" w:rsidRDefault="003F6F99">
      <w:pPr>
        <w:pStyle w:val="Heading2"/>
        <w:keepLines/>
      </w:pPr>
      <w:r>
        <w:lastRenderedPageBreak/>
        <w:t>Host range</w:t>
      </w:r>
    </w:p>
    <w:p w14:paraId="55D465FE" w14:textId="2B751519" w:rsidR="00060A8E" w:rsidRDefault="003F6F99">
      <w:pPr>
        <w:pStyle w:val="Caption"/>
        <w:keepLines/>
      </w:pPr>
      <w:r>
        <w:t xml:space="preserve">Table </w:t>
      </w:r>
      <w:r>
        <w:rPr>
          <w:noProof/>
        </w:rPr>
        <w:fldChar w:fldCharType="begin"/>
      </w:r>
      <w:r>
        <w:rPr>
          <w:noProof/>
        </w:rPr>
        <w:instrText xml:space="preserve"> SEQ Table \* ARABIC </w:instrText>
      </w:r>
      <w:r>
        <w:rPr>
          <w:noProof/>
        </w:rPr>
        <w:fldChar w:fldCharType="separate"/>
      </w:r>
      <w:r w:rsidR="006D5BB9">
        <w:rPr>
          <w:noProof/>
        </w:rPr>
        <w:t>1</w:t>
      </w:r>
      <w:r>
        <w:rPr>
          <w:noProof/>
        </w:rPr>
        <w:fldChar w:fldCharType="end"/>
      </w:r>
      <w:r>
        <w:t xml:space="preserve"> Species known to be susceptible to </w:t>
      </w:r>
      <w:proofErr w:type="spellStart"/>
      <w:r>
        <w:rPr>
          <w:rStyle w:val="Emphasis"/>
        </w:rPr>
        <w:t>Hepatobacter</w:t>
      </w:r>
      <w:proofErr w:type="spellEnd"/>
      <w:r>
        <w:rPr>
          <w:rStyle w:val="Emphasis"/>
        </w:rPr>
        <w:t xml:space="preserve"> </w:t>
      </w:r>
      <w:proofErr w:type="spellStart"/>
      <w:r>
        <w:rPr>
          <w:rStyle w:val="Emphasis"/>
        </w:rPr>
        <w:t>penaei</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060A8E" w14:paraId="2DD8A856" w14:textId="77777777">
        <w:trPr>
          <w:cantSplit/>
          <w:trHeight w:val="300"/>
          <w:tblHeader/>
        </w:trPr>
        <w:tc>
          <w:tcPr>
            <w:tcW w:w="2500" w:type="pct"/>
            <w:tcBorders>
              <w:top w:val="single" w:sz="4" w:space="0" w:color="auto"/>
              <w:bottom w:val="single" w:sz="4" w:space="0" w:color="auto"/>
            </w:tcBorders>
            <w:noWrap/>
          </w:tcPr>
          <w:p w14:paraId="5059A59A" w14:textId="77777777" w:rsidR="00060A8E" w:rsidRDefault="003F6F99">
            <w:pPr>
              <w:pStyle w:val="TableHeading"/>
              <w:keepLines/>
            </w:pPr>
            <w:r>
              <w:t>Common name</w:t>
            </w:r>
          </w:p>
        </w:tc>
        <w:tc>
          <w:tcPr>
            <w:tcW w:w="2500" w:type="pct"/>
            <w:tcBorders>
              <w:top w:val="single" w:sz="4" w:space="0" w:color="auto"/>
              <w:bottom w:val="single" w:sz="4" w:space="0" w:color="auto"/>
            </w:tcBorders>
            <w:noWrap/>
          </w:tcPr>
          <w:p w14:paraId="1A32E71B" w14:textId="77777777" w:rsidR="00060A8E" w:rsidRDefault="003F6F99">
            <w:pPr>
              <w:pStyle w:val="TableHeading"/>
              <w:keepLines/>
            </w:pPr>
            <w:r>
              <w:t>Scientific name</w:t>
            </w:r>
          </w:p>
        </w:tc>
      </w:tr>
      <w:tr w:rsidR="00060A8E" w14:paraId="70DC71D4" w14:textId="77777777">
        <w:trPr>
          <w:cantSplit/>
          <w:trHeight w:val="315"/>
        </w:trPr>
        <w:tc>
          <w:tcPr>
            <w:tcW w:w="2500" w:type="pct"/>
            <w:tcBorders>
              <w:top w:val="single" w:sz="4" w:space="0" w:color="auto"/>
            </w:tcBorders>
            <w:noWrap/>
          </w:tcPr>
          <w:p w14:paraId="6BBEC78D" w14:textId="77777777" w:rsidR="00060A8E" w:rsidRDefault="003F6F99">
            <w:pPr>
              <w:pStyle w:val="TableText"/>
              <w:keepNext/>
              <w:keepLines/>
            </w:pPr>
            <w:r>
              <w:t>Aloha prawn</w:t>
            </w:r>
          </w:p>
        </w:tc>
        <w:tc>
          <w:tcPr>
            <w:tcW w:w="2500" w:type="pct"/>
            <w:tcBorders>
              <w:top w:val="single" w:sz="4" w:space="0" w:color="auto"/>
            </w:tcBorders>
            <w:noWrap/>
          </w:tcPr>
          <w:p w14:paraId="10FA6409" w14:textId="77777777" w:rsidR="00060A8E" w:rsidRDefault="003F6F99">
            <w:pPr>
              <w:pStyle w:val="TableText"/>
              <w:keepNext/>
              <w:keepLines/>
              <w:rPr>
                <w:rStyle w:val="Emphasis"/>
              </w:rPr>
            </w:pPr>
            <w:r>
              <w:rPr>
                <w:rStyle w:val="Emphasis"/>
              </w:rPr>
              <w:t xml:space="preserve">Penaeus </w:t>
            </w:r>
            <w:proofErr w:type="spellStart"/>
            <w:r>
              <w:rPr>
                <w:rStyle w:val="Emphasis"/>
              </w:rPr>
              <w:t>marginatus</w:t>
            </w:r>
            <w:proofErr w:type="spellEnd"/>
          </w:p>
        </w:tc>
      </w:tr>
      <w:tr w:rsidR="00060A8E" w14:paraId="577A854D" w14:textId="77777777">
        <w:trPr>
          <w:cantSplit/>
          <w:trHeight w:val="315"/>
        </w:trPr>
        <w:tc>
          <w:tcPr>
            <w:tcW w:w="2500" w:type="pct"/>
            <w:noWrap/>
          </w:tcPr>
          <w:p w14:paraId="5407B392" w14:textId="77777777" w:rsidR="00060A8E" w:rsidRDefault="003F6F99">
            <w:pPr>
              <w:pStyle w:val="TableText"/>
              <w:keepNext/>
              <w:keepLines/>
            </w:pPr>
            <w:r>
              <w:t>American lobster</w:t>
            </w:r>
          </w:p>
        </w:tc>
        <w:tc>
          <w:tcPr>
            <w:tcW w:w="2500" w:type="pct"/>
            <w:noWrap/>
          </w:tcPr>
          <w:p w14:paraId="4680D50F" w14:textId="77777777" w:rsidR="00060A8E" w:rsidRDefault="003F6F99">
            <w:pPr>
              <w:pStyle w:val="TableText"/>
              <w:keepNext/>
              <w:keepLines/>
              <w:rPr>
                <w:rStyle w:val="Emphasis"/>
                <w:rFonts w:eastAsia="SimSun"/>
              </w:rPr>
            </w:pPr>
            <w:r>
              <w:rPr>
                <w:rStyle w:val="Emphasis"/>
              </w:rPr>
              <w:t xml:space="preserve">Homarus </w:t>
            </w:r>
            <w:proofErr w:type="spellStart"/>
            <w:r>
              <w:rPr>
                <w:rStyle w:val="Emphasis"/>
              </w:rPr>
              <w:t>americanus</w:t>
            </w:r>
            <w:proofErr w:type="spellEnd"/>
          </w:p>
        </w:tc>
      </w:tr>
      <w:tr w:rsidR="00060A8E" w14:paraId="62EB7CDA" w14:textId="77777777">
        <w:trPr>
          <w:cantSplit/>
          <w:trHeight w:val="315"/>
        </w:trPr>
        <w:tc>
          <w:tcPr>
            <w:tcW w:w="2500" w:type="pct"/>
            <w:noWrap/>
          </w:tcPr>
          <w:p w14:paraId="1258C78C" w14:textId="77777777" w:rsidR="00060A8E" w:rsidRDefault="003F6F99">
            <w:pPr>
              <w:pStyle w:val="TableText"/>
              <w:keepNext/>
              <w:keepLines/>
            </w:pPr>
            <w:r>
              <w:t>Black tiger prawn</w:t>
            </w:r>
          </w:p>
        </w:tc>
        <w:tc>
          <w:tcPr>
            <w:tcW w:w="2500" w:type="pct"/>
            <w:noWrap/>
          </w:tcPr>
          <w:p w14:paraId="72EC00E6" w14:textId="77777777" w:rsidR="00060A8E" w:rsidRDefault="003F6F99">
            <w:pPr>
              <w:pStyle w:val="TableText"/>
              <w:keepNext/>
              <w:keepLines/>
              <w:rPr>
                <w:rStyle w:val="Emphasis"/>
                <w:rFonts w:eastAsia="SimSun"/>
              </w:rPr>
            </w:pPr>
            <w:r>
              <w:rPr>
                <w:rStyle w:val="Emphasis"/>
              </w:rPr>
              <w:t>Penaeus monodon</w:t>
            </w:r>
          </w:p>
        </w:tc>
      </w:tr>
      <w:tr w:rsidR="00060A8E" w14:paraId="55C7DA38" w14:textId="77777777">
        <w:trPr>
          <w:cantSplit/>
          <w:trHeight w:val="315"/>
        </w:trPr>
        <w:tc>
          <w:tcPr>
            <w:tcW w:w="2500" w:type="pct"/>
            <w:noWrap/>
          </w:tcPr>
          <w:p w14:paraId="7F21966D" w14:textId="77777777" w:rsidR="00060A8E" w:rsidRDefault="003F6F99">
            <w:pPr>
              <w:pStyle w:val="TableText"/>
              <w:keepNext/>
              <w:keepLines/>
            </w:pPr>
            <w:r>
              <w:t>Gulf banana prawn</w:t>
            </w:r>
          </w:p>
        </w:tc>
        <w:tc>
          <w:tcPr>
            <w:tcW w:w="2500" w:type="pct"/>
            <w:noWrap/>
          </w:tcPr>
          <w:p w14:paraId="4694CEA1" w14:textId="0575670E" w:rsidR="00060A8E" w:rsidRDefault="00C6534B">
            <w:pPr>
              <w:pStyle w:val="TableText"/>
              <w:keepNext/>
              <w:keepLines/>
              <w:rPr>
                <w:rStyle w:val="Emphasis"/>
                <w:rFonts w:eastAsia="SimSun"/>
              </w:rPr>
            </w:pPr>
            <w:r w:rsidRPr="003D3752">
              <w:rPr>
                <w:rStyle w:val="Emphasis"/>
              </w:rPr>
              <w:t>Penaeus</w:t>
            </w:r>
            <w:r>
              <w:t xml:space="preserve"> (</w:t>
            </w:r>
            <w:proofErr w:type="spellStart"/>
            <w:r w:rsidR="003F6F99">
              <w:rPr>
                <w:rStyle w:val="Emphasis"/>
              </w:rPr>
              <w:t>Fenneropenaeus</w:t>
            </w:r>
            <w:proofErr w:type="spellEnd"/>
            <w:r>
              <w:rPr>
                <w:rStyle w:val="Emphasis"/>
              </w:rPr>
              <w:t>)</w:t>
            </w:r>
            <w:r w:rsidR="003F6F99">
              <w:rPr>
                <w:rStyle w:val="Emphasis"/>
              </w:rPr>
              <w:t xml:space="preserve"> </w:t>
            </w:r>
            <w:proofErr w:type="spellStart"/>
            <w:r w:rsidR="003F6F99">
              <w:rPr>
                <w:rStyle w:val="Emphasis"/>
              </w:rPr>
              <w:t>merguiensis</w:t>
            </w:r>
            <w:proofErr w:type="spellEnd"/>
          </w:p>
        </w:tc>
      </w:tr>
      <w:tr w:rsidR="00060A8E" w14:paraId="766B4814" w14:textId="77777777">
        <w:trPr>
          <w:cantSplit/>
          <w:trHeight w:val="315"/>
        </w:trPr>
        <w:tc>
          <w:tcPr>
            <w:tcW w:w="2500" w:type="pct"/>
            <w:noWrap/>
          </w:tcPr>
          <w:p w14:paraId="6F0B671D" w14:textId="77777777" w:rsidR="00060A8E" w:rsidRDefault="003F6F99">
            <w:pPr>
              <w:pStyle w:val="TableText"/>
              <w:keepNext/>
              <w:keepLines/>
            </w:pPr>
            <w:r>
              <w:t xml:space="preserve">Northern brown </w:t>
            </w:r>
            <w:proofErr w:type="spellStart"/>
            <w:r>
              <w:t>shrimp</w:t>
            </w:r>
            <w:r>
              <w:rPr>
                <w:vertAlign w:val="superscript"/>
              </w:rPr>
              <w:t>a</w:t>
            </w:r>
            <w:proofErr w:type="spellEnd"/>
          </w:p>
        </w:tc>
        <w:tc>
          <w:tcPr>
            <w:tcW w:w="2500" w:type="pct"/>
            <w:noWrap/>
          </w:tcPr>
          <w:p w14:paraId="237FBC66" w14:textId="77777777" w:rsidR="00060A8E" w:rsidRDefault="003F6F99">
            <w:pPr>
              <w:pStyle w:val="TableText"/>
              <w:keepNext/>
              <w:keepLines/>
              <w:rPr>
                <w:rStyle w:val="Emphasis"/>
              </w:rPr>
            </w:pPr>
            <w:r>
              <w:rPr>
                <w:rStyle w:val="Emphasis"/>
              </w:rPr>
              <w:t>Penaeus (</w:t>
            </w:r>
            <w:proofErr w:type="spellStart"/>
            <w:r>
              <w:rPr>
                <w:rStyle w:val="Emphasis"/>
              </w:rPr>
              <w:t>Farfantepenaeus</w:t>
            </w:r>
            <w:proofErr w:type="spellEnd"/>
            <w:r>
              <w:rPr>
                <w:rStyle w:val="Emphasis"/>
              </w:rPr>
              <w:t xml:space="preserve">) </w:t>
            </w:r>
            <w:proofErr w:type="spellStart"/>
            <w:r>
              <w:rPr>
                <w:rStyle w:val="Emphasis"/>
              </w:rPr>
              <w:t>aztecus</w:t>
            </w:r>
            <w:proofErr w:type="spellEnd"/>
          </w:p>
        </w:tc>
      </w:tr>
      <w:tr w:rsidR="00060A8E" w14:paraId="0B3E050B" w14:textId="77777777">
        <w:trPr>
          <w:cantSplit/>
          <w:trHeight w:val="315"/>
        </w:trPr>
        <w:tc>
          <w:tcPr>
            <w:tcW w:w="2500" w:type="pct"/>
            <w:noWrap/>
          </w:tcPr>
          <w:p w14:paraId="0CB91BDC" w14:textId="77777777" w:rsidR="00060A8E" w:rsidRDefault="003F6F99">
            <w:pPr>
              <w:pStyle w:val="TableText"/>
              <w:keepNext/>
              <w:keepLines/>
            </w:pPr>
            <w:r>
              <w:t xml:space="preserve">Northern pink </w:t>
            </w:r>
            <w:proofErr w:type="spellStart"/>
            <w:r>
              <w:t>shrimp</w:t>
            </w:r>
            <w:r>
              <w:rPr>
                <w:vertAlign w:val="superscript"/>
              </w:rPr>
              <w:t>a</w:t>
            </w:r>
            <w:proofErr w:type="spellEnd"/>
          </w:p>
        </w:tc>
        <w:tc>
          <w:tcPr>
            <w:tcW w:w="2500" w:type="pct"/>
            <w:noWrap/>
          </w:tcPr>
          <w:p w14:paraId="346E6C50" w14:textId="77777777" w:rsidR="00060A8E" w:rsidRDefault="003F6F99">
            <w:pPr>
              <w:pStyle w:val="TableText"/>
              <w:keepNext/>
              <w:keepLines/>
              <w:rPr>
                <w:rStyle w:val="Emphasis"/>
              </w:rPr>
            </w:pPr>
            <w:r>
              <w:rPr>
                <w:rStyle w:val="Emphasis"/>
              </w:rPr>
              <w:t>Penaeus (</w:t>
            </w:r>
            <w:proofErr w:type="spellStart"/>
            <w:r>
              <w:rPr>
                <w:rStyle w:val="Emphasis"/>
              </w:rPr>
              <w:t>Farfantepenaeus</w:t>
            </w:r>
            <w:proofErr w:type="spellEnd"/>
            <w:r>
              <w:rPr>
                <w:rStyle w:val="Emphasis"/>
              </w:rPr>
              <w:t xml:space="preserve">) </w:t>
            </w:r>
            <w:proofErr w:type="spellStart"/>
            <w:r>
              <w:rPr>
                <w:rStyle w:val="Emphasis"/>
              </w:rPr>
              <w:t>duorarum</w:t>
            </w:r>
            <w:proofErr w:type="spellEnd"/>
          </w:p>
        </w:tc>
      </w:tr>
      <w:tr w:rsidR="00060A8E" w14:paraId="13671C9A" w14:textId="77777777">
        <w:trPr>
          <w:cantSplit/>
          <w:trHeight w:val="315"/>
        </w:trPr>
        <w:tc>
          <w:tcPr>
            <w:tcW w:w="2500" w:type="pct"/>
            <w:noWrap/>
          </w:tcPr>
          <w:p w14:paraId="65543183" w14:textId="77777777" w:rsidR="00060A8E" w:rsidRDefault="003F6F99">
            <w:pPr>
              <w:pStyle w:val="TableText"/>
              <w:keepNext/>
              <w:keepLines/>
            </w:pPr>
            <w:r>
              <w:t xml:space="preserve">Northern white </w:t>
            </w:r>
            <w:proofErr w:type="spellStart"/>
            <w:r>
              <w:t>shrimp</w:t>
            </w:r>
            <w:r>
              <w:rPr>
                <w:vertAlign w:val="superscript"/>
              </w:rPr>
              <w:t>a</w:t>
            </w:r>
            <w:proofErr w:type="spellEnd"/>
          </w:p>
        </w:tc>
        <w:tc>
          <w:tcPr>
            <w:tcW w:w="2500" w:type="pct"/>
            <w:noWrap/>
          </w:tcPr>
          <w:p w14:paraId="69FC6978" w14:textId="77777777" w:rsidR="00060A8E" w:rsidRDefault="003F6F99">
            <w:pPr>
              <w:pStyle w:val="TableText"/>
              <w:keepNext/>
              <w:keepLines/>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setiferus</w:t>
            </w:r>
            <w:proofErr w:type="spellEnd"/>
          </w:p>
        </w:tc>
      </w:tr>
      <w:tr w:rsidR="00060A8E" w14:paraId="2842B44E" w14:textId="77777777">
        <w:trPr>
          <w:cantSplit/>
          <w:trHeight w:val="315"/>
        </w:trPr>
        <w:tc>
          <w:tcPr>
            <w:tcW w:w="2500" w:type="pct"/>
            <w:noWrap/>
          </w:tcPr>
          <w:p w14:paraId="75C10B05" w14:textId="77777777" w:rsidR="00060A8E" w:rsidRDefault="003F6F99">
            <w:pPr>
              <w:pStyle w:val="TableText"/>
              <w:keepNext/>
              <w:keepLines/>
            </w:pPr>
            <w:r>
              <w:t xml:space="preserve">Pacific blue </w:t>
            </w:r>
            <w:proofErr w:type="spellStart"/>
            <w:r>
              <w:t>shrimp</w:t>
            </w:r>
            <w:r>
              <w:rPr>
                <w:vertAlign w:val="superscript"/>
              </w:rPr>
              <w:t>a</w:t>
            </w:r>
            <w:proofErr w:type="spellEnd"/>
          </w:p>
        </w:tc>
        <w:tc>
          <w:tcPr>
            <w:tcW w:w="2500" w:type="pct"/>
            <w:noWrap/>
          </w:tcPr>
          <w:p w14:paraId="09D0BF2C" w14:textId="77777777" w:rsidR="00060A8E" w:rsidRDefault="003F6F99">
            <w:pPr>
              <w:pStyle w:val="TableText"/>
              <w:keepNext/>
              <w:keepLines/>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p>
        </w:tc>
      </w:tr>
      <w:tr w:rsidR="00060A8E" w14:paraId="0C4943B9" w14:textId="77777777">
        <w:trPr>
          <w:cantSplit/>
          <w:trHeight w:val="315"/>
        </w:trPr>
        <w:tc>
          <w:tcPr>
            <w:tcW w:w="2500" w:type="pct"/>
            <w:noWrap/>
          </w:tcPr>
          <w:p w14:paraId="220BEC74" w14:textId="77777777" w:rsidR="00060A8E" w:rsidRDefault="003F6F99">
            <w:pPr>
              <w:pStyle w:val="TableText"/>
              <w:keepNext/>
              <w:keepLines/>
            </w:pPr>
            <w:r>
              <w:t xml:space="preserve">Pacific white </w:t>
            </w:r>
            <w:proofErr w:type="spellStart"/>
            <w:r>
              <w:t>shrimp</w:t>
            </w:r>
            <w:r>
              <w:rPr>
                <w:vertAlign w:val="superscript"/>
              </w:rPr>
              <w:t>a</w:t>
            </w:r>
            <w:proofErr w:type="spellEnd"/>
          </w:p>
        </w:tc>
        <w:tc>
          <w:tcPr>
            <w:tcW w:w="2500" w:type="pct"/>
            <w:noWrap/>
          </w:tcPr>
          <w:p w14:paraId="3E7AE8FF" w14:textId="77777777" w:rsidR="00060A8E" w:rsidRDefault="003F6F99">
            <w:pPr>
              <w:pStyle w:val="TableText"/>
              <w:keepNext/>
              <w:keepLines/>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p>
        </w:tc>
      </w:tr>
      <w:tr w:rsidR="00060A8E" w14:paraId="73B67DD0" w14:textId="77777777">
        <w:trPr>
          <w:cantSplit/>
          <w:trHeight w:val="315"/>
        </w:trPr>
        <w:tc>
          <w:tcPr>
            <w:tcW w:w="2500" w:type="pct"/>
            <w:noWrap/>
          </w:tcPr>
          <w:p w14:paraId="71B7D5D0" w14:textId="77777777" w:rsidR="00060A8E" w:rsidRDefault="003F6F99">
            <w:pPr>
              <w:pStyle w:val="TableText"/>
              <w:keepNext/>
              <w:keepLines/>
            </w:pPr>
            <w:r>
              <w:t xml:space="preserve">Yellow-leg </w:t>
            </w:r>
            <w:proofErr w:type="spellStart"/>
            <w:r>
              <w:t>shrimp</w:t>
            </w:r>
            <w:r>
              <w:rPr>
                <w:vertAlign w:val="superscript"/>
              </w:rPr>
              <w:t>a</w:t>
            </w:r>
            <w:proofErr w:type="spellEnd"/>
          </w:p>
        </w:tc>
        <w:tc>
          <w:tcPr>
            <w:tcW w:w="2500" w:type="pct"/>
            <w:noWrap/>
          </w:tcPr>
          <w:p w14:paraId="349282F3" w14:textId="19789643" w:rsidR="00060A8E" w:rsidRDefault="00C6534B">
            <w:pPr>
              <w:pStyle w:val="TableText"/>
              <w:keepNext/>
              <w:keepLines/>
              <w:rPr>
                <w:rStyle w:val="Emphasis"/>
              </w:rPr>
            </w:pPr>
            <w:r w:rsidRPr="003D3752">
              <w:rPr>
                <w:rStyle w:val="Emphasis"/>
              </w:rPr>
              <w:t>Penaeus</w:t>
            </w:r>
            <w:r>
              <w:t xml:space="preserve"> (</w:t>
            </w:r>
            <w:proofErr w:type="spellStart"/>
            <w:r>
              <w:rPr>
                <w:rStyle w:val="Emphasis"/>
              </w:rPr>
              <w:t>Farfantepenaeus</w:t>
            </w:r>
            <w:proofErr w:type="spellEnd"/>
            <w:r>
              <w:rPr>
                <w:rStyle w:val="Emphasis"/>
              </w:rPr>
              <w:t xml:space="preserve">) </w:t>
            </w:r>
            <w:proofErr w:type="spellStart"/>
            <w:r w:rsidR="003F6F99">
              <w:rPr>
                <w:rStyle w:val="Emphasis"/>
              </w:rPr>
              <w:t>californiensis</w:t>
            </w:r>
            <w:proofErr w:type="spellEnd"/>
          </w:p>
        </w:tc>
      </w:tr>
    </w:tbl>
    <w:p w14:paraId="3B059717" w14:textId="77777777" w:rsidR="00060A8E" w:rsidRDefault="003F6F99">
      <w:pPr>
        <w:pStyle w:val="FigureTableNoteSource"/>
        <w:keepNext/>
        <w:keepLines/>
      </w:pPr>
      <w:r>
        <w:rPr>
          <w:rStyle w:val="Strong"/>
        </w:rPr>
        <w:t>a</w:t>
      </w:r>
      <w:r>
        <w:t xml:space="preserve"> Naturally susceptible.</w:t>
      </w:r>
    </w:p>
    <w:p w14:paraId="60821104" w14:textId="77777777" w:rsidR="00060A8E" w:rsidRDefault="003F6F99">
      <w:pPr>
        <w:pStyle w:val="Heading2"/>
      </w:pPr>
      <w:r>
        <w:t>Presence in Australia</w:t>
      </w:r>
    </w:p>
    <w:p w14:paraId="78D3A11D" w14:textId="77777777" w:rsidR="00060A8E" w:rsidRDefault="003F6F99">
      <w:r>
        <w:t>Exotic disease—not recorded in Australia.</w:t>
      </w:r>
    </w:p>
    <w:p w14:paraId="69D8CD7E" w14:textId="6BBEFAB3" w:rsidR="00060A8E" w:rsidRDefault="003F6F99">
      <w:pPr>
        <w:pStyle w:val="Caption"/>
      </w:pPr>
      <w:r>
        <w:t xml:space="preserve">Map </w:t>
      </w:r>
      <w:r>
        <w:rPr>
          <w:noProof/>
        </w:rPr>
        <w:fldChar w:fldCharType="begin"/>
      </w:r>
      <w:r>
        <w:rPr>
          <w:noProof/>
        </w:rPr>
        <w:instrText xml:space="preserve"> SEQ Map \* ARABIC </w:instrText>
      </w:r>
      <w:r>
        <w:rPr>
          <w:noProof/>
        </w:rPr>
        <w:fldChar w:fldCharType="separate"/>
      </w:r>
      <w:r w:rsidR="006D5BB9">
        <w:rPr>
          <w:noProof/>
        </w:rPr>
        <w:t>1</w:t>
      </w:r>
      <w:r>
        <w:rPr>
          <w:noProof/>
        </w:rPr>
        <w:fldChar w:fldCharType="end"/>
      </w:r>
      <w:r>
        <w:t xml:space="preserve"> Presence of </w:t>
      </w:r>
      <w:proofErr w:type="spellStart"/>
      <w:r>
        <w:rPr>
          <w:rStyle w:val="Emphasis"/>
        </w:rPr>
        <w:t>Hepatobacter</w:t>
      </w:r>
      <w:proofErr w:type="spellEnd"/>
      <w:r>
        <w:rPr>
          <w:rStyle w:val="Emphasis"/>
        </w:rPr>
        <w:t xml:space="preserve"> </w:t>
      </w:r>
      <w:proofErr w:type="spellStart"/>
      <w:r>
        <w:rPr>
          <w:rStyle w:val="Emphasis"/>
        </w:rPr>
        <w:t>penaei</w:t>
      </w:r>
      <w:proofErr w:type="spellEnd"/>
      <w:r>
        <w:t>, by jurisdiction</w:t>
      </w:r>
    </w:p>
    <w:p w14:paraId="3D5053A2" w14:textId="77777777" w:rsidR="00060A8E" w:rsidRDefault="003F6F99">
      <w:r>
        <w:rPr>
          <w:noProof/>
          <w:lang w:eastAsia="en-AU"/>
        </w:rPr>
        <w:drawing>
          <wp:inline distT="0" distB="0" distL="0" distR="0" wp14:anchorId="425FF8C6" wp14:editId="6CA6544B">
            <wp:extent cx="3616106" cy="25749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tic Disease - not recorded from Australia."/>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616106" cy="2574945"/>
                    </a:xfrm>
                    <a:prstGeom prst="rect">
                      <a:avLst/>
                    </a:prstGeom>
                    <a:noFill/>
                    <a:ln>
                      <a:noFill/>
                    </a:ln>
                  </pic:spPr>
                </pic:pic>
              </a:graphicData>
            </a:graphic>
          </wp:inline>
        </w:drawing>
      </w:r>
    </w:p>
    <w:p w14:paraId="4DA5472A" w14:textId="77777777" w:rsidR="00060A8E" w:rsidRDefault="003F6F99">
      <w:pPr>
        <w:pStyle w:val="Heading2"/>
      </w:pPr>
      <w:r>
        <w:t>Epidemiology</w:t>
      </w:r>
    </w:p>
    <w:p w14:paraId="58A803E0" w14:textId="42057CD1" w:rsidR="00060A8E" w:rsidRDefault="003F6F99">
      <w:pPr>
        <w:pStyle w:val="ListBullet"/>
      </w:pPr>
      <w:r>
        <w:t>NHP outbreaks are often preceded by lengthy periods of high water temperatures (29°C to 31°C) and elevated salinity (up to 40ppt).</w:t>
      </w:r>
    </w:p>
    <w:p w14:paraId="40A99E9D" w14:textId="6C6CEEA9" w:rsidR="00060A8E" w:rsidRDefault="003F6F99">
      <w:pPr>
        <w:pStyle w:val="ListBullet"/>
      </w:pPr>
      <w:r>
        <w:t>Mortalities usually occur midway through the grow-out phase and can reach 90% to 95% within 30</w:t>
      </w:r>
      <w:r w:rsidR="00820D0B">
        <w:t> </w:t>
      </w:r>
      <w:r>
        <w:t>days.</w:t>
      </w:r>
    </w:p>
    <w:p w14:paraId="4636B8A3" w14:textId="2A0CC52D" w:rsidR="00060A8E" w:rsidRDefault="003F6F99">
      <w:pPr>
        <w:pStyle w:val="ListBullet"/>
      </w:pPr>
      <w:r>
        <w:t xml:space="preserve">NHP appears to be transmitted by direct ingestion of carrier prawns (survivors of </w:t>
      </w:r>
      <w:r>
        <w:rPr>
          <w:rStyle w:val="Emphasis"/>
        </w:rPr>
        <w:t>H. </w:t>
      </w:r>
      <w:proofErr w:type="spellStart"/>
      <w:r>
        <w:rPr>
          <w:rStyle w:val="Emphasis"/>
        </w:rPr>
        <w:t>penaei</w:t>
      </w:r>
      <w:proofErr w:type="spellEnd"/>
      <w:r>
        <w:t xml:space="preserve"> infections may carry the bacteria for life) and through contaminated water.</w:t>
      </w:r>
    </w:p>
    <w:p w14:paraId="3C56299F" w14:textId="7B373E83" w:rsidR="00060A8E" w:rsidRDefault="003F6F99">
      <w:pPr>
        <w:pStyle w:val="ListBullet"/>
      </w:pPr>
      <w:proofErr w:type="spellStart"/>
      <w:r>
        <w:rPr>
          <w:rStyle w:val="Emphasis"/>
        </w:rPr>
        <w:t>Hepatobacter</w:t>
      </w:r>
      <w:proofErr w:type="spellEnd"/>
      <w:r>
        <w:rPr>
          <w:rStyle w:val="Emphasis"/>
        </w:rPr>
        <w:t xml:space="preserve"> </w:t>
      </w:r>
      <w:proofErr w:type="spellStart"/>
      <w:r>
        <w:rPr>
          <w:rStyle w:val="Emphasis"/>
        </w:rPr>
        <w:t>penaei</w:t>
      </w:r>
      <w:proofErr w:type="spellEnd"/>
      <w:r>
        <w:t xml:space="preserve"> may also be shed in faeces and contribute to disease transmission.</w:t>
      </w:r>
    </w:p>
    <w:p w14:paraId="50877B86" w14:textId="77777777" w:rsidR="00060A8E" w:rsidRDefault="003F6F99">
      <w:pPr>
        <w:pStyle w:val="Heading2"/>
      </w:pPr>
      <w:r>
        <w:lastRenderedPageBreak/>
        <w:t>Differential diagnosis</w:t>
      </w:r>
    </w:p>
    <w:p w14:paraId="098681CA" w14:textId="4016137E" w:rsidR="004C5A78" w:rsidRDefault="00F47A1E" w:rsidP="00F47A1E">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w:t>
      </w:r>
      <w:r w:rsidR="00712200" w:rsidRPr="00712200">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sidR="00712200">
        <w:rPr>
          <w:lang w:eastAsia="en-AU"/>
        </w:rPr>
        <w:t>.</w:t>
      </w:r>
    </w:p>
    <w:p w14:paraId="5DB0F376" w14:textId="77777777" w:rsidR="00060A8E" w:rsidRDefault="003F6F99">
      <w:pPr>
        <w:pStyle w:val="Heading2"/>
      </w:pPr>
      <w:bookmarkStart w:id="0" w:name="_Similar_diseases"/>
      <w:bookmarkEnd w:id="0"/>
      <w:r>
        <w:t>Similar diseases</w:t>
      </w:r>
    </w:p>
    <w:p w14:paraId="6878EA3B" w14:textId="472414AA" w:rsidR="00060A8E" w:rsidRDefault="003F6F99">
      <w:r>
        <w:t>Acute hepatopancreatic necrosis disease</w:t>
      </w:r>
      <w:r w:rsidR="00712200">
        <w:t xml:space="preserve"> </w:t>
      </w:r>
      <w:r w:rsidR="002E2EC3">
        <w:t xml:space="preserve">(AHPND) </w:t>
      </w:r>
      <w:r w:rsidR="00712200">
        <w:t>and</w:t>
      </w:r>
      <w:r>
        <w:t xml:space="preserve"> infection with </w:t>
      </w:r>
      <w:proofErr w:type="spellStart"/>
      <w:r>
        <w:rPr>
          <w:rStyle w:val="Emphasis"/>
        </w:rPr>
        <w:t>Enterocytozoon</w:t>
      </w:r>
      <w:proofErr w:type="spellEnd"/>
      <w:r>
        <w:rPr>
          <w:rStyle w:val="Emphasis"/>
        </w:rPr>
        <w:t xml:space="preserve"> </w:t>
      </w:r>
      <w:proofErr w:type="spellStart"/>
      <w:r>
        <w:rPr>
          <w:rStyle w:val="Emphasis"/>
        </w:rPr>
        <w:t>hepatopenaei</w:t>
      </w:r>
      <w:proofErr w:type="spellEnd"/>
      <w:r w:rsidR="002E2EC3">
        <w:t xml:space="preserve"> (EHP).</w:t>
      </w:r>
    </w:p>
    <w:p w14:paraId="01BEB6A6" w14:textId="77777777" w:rsidR="00060A8E" w:rsidRDefault="003F6F99">
      <w:pPr>
        <w:pStyle w:val="Heading2"/>
      </w:pPr>
      <w:r>
        <w:t>Sample collection</w:t>
      </w:r>
    </w:p>
    <w:p w14:paraId="5164D1E0" w14:textId="05BB1D3D" w:rsidR="004C5A78" w:rsidRDefault="00820D0B" w:rsidP="004C5A78">
      <w:r w:rsidRPr="00820D0B">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08499EC" w14:textId="77777777" w:rsidR="00060A8E" w:rsidRDefault="003F6F99">
      <w:pPr>
        <w:pStyle w:val="Heading2"/>
      </w:pPr>
      <w:r>
        <w:t>Emergency disease hotline</w:t>
      </w:r>
    </w:p>
    <w:p w14:paraId="7A119C15" w14:textId="77777777" w:rsidR="00060A8E" w:rsidRDefault="003F6F99">
      <w:r>
        <w:t>See something you think is this disease? Report it. Even if you’re not sure.</w:t>
      </w:r>
    </w:p>
    <w:p w14:paraId="109DCCC5" w14:textId="09B29491" w:rsidR="00060A8E" w:rsidRDefault="003F6F99">
      <w:r>
        <w:t xml:space="preserve">Call the Emergency Animal Disease Watch Hotline on </w:t>
      </w:r>
      <w:r w:rsidR="00B60A75">
        <w:rPr>
          <w:rStyle w:val="Strong"/>
        </w:rPr>
        <w:t>1800 675 888</w:t>
      </w:r>
      <w:r>
        <w:t>. They will refer you to the right state or territory agency.</w:t>
      </w:r>
    </w:p>
    <w:p w14:paraId="6CC31083" w14:textId="1FBC8315" w:rsidR="00060A8E" w:rsidRDefault="001A6FFD">
      <w:pPr>
        <w:pStyle w:val="Heading2"/>
      </w:pPr>
      <w:r>
        <w:t>Microscope</w:t>
      </w:r>
      <w:r w:rsidR="003F6F99">
        <w:t xml:space="preserve"> images</w:t>
      </w:r>
    </w:p>
    <w:p w14:paraId="125D5805" w14:textId="21089D08" w:rsidR="00060A8E" w:rsidRDefault="003F6F99" w:rsidP="00F47A1E">
      <w:pPr>
        <w:pStyle w:val="Caption"/>
      </w:pPr>
      <w:bookmarkStart w:id="1" w:name="_Ref9244939"/>
      <w:r>
        <w:t xml:space="preserve">Figure </w:t>
      </w:r>
      <w:r>
        <w:rPr>
          <w:b w:val="0"/>
          <w:bCs w:val="0"/>
        </w:rPr>
        <w:fldChar w:fldCharType="begin"/>
      </w:r>
      <w:r>
        <w:rPr>
          <w:noProof/>
        </w:rPr>
        <w:instrText xml:space="preserve"> SEQ Figure \* ARABIC </w:instrText>
      </w:r>
      <w:r>
        <w:rPr>
          <w:b w:val="0"/>
          <w:bCs w:val="0"/>
        </w:rPr>
        <w:fldChar w:fldCharType="separate"/>
      </w:r>
      <w:r w:rsidR="006D5BB9">
        <w:rPr>
          <w:noProof/>
        </w:rPr>
        <w:t>3</w:t>
      </w:r>
      <w:r>
        <w:rPr>
          <w:b w:val="0"/>
          <w:bCs w:val="0"/>
        </w:rPr>
        <w:fldChar w:fldCharType="end"/>
      </w:r>
      <w:bookmarkEnd w:id="1"/>
      <w:r>
        <w:t xml:space="preserve"> </w:t>
      </w:r>
      <w:r w:rsidRPr="00F11418">
        <w:t>Photomicrograph</w:t>
      </w:r>
      <w:r>
        <w:t xml:space="preserve"> of hepatopancreas of juvenile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with severe subacute (grade 3–4) NHP</w:t>
      </w:r>
    </w:p>
    <w:p w14:paraId="220676FC" w14:textId="77777777" w:rsidR="00060A8E" w:rsidRDefault="003F6F99">
      <w:r>
        <w:rPr>
          <w:noProof/>
          <w:lang w:eastAsia="en-AU"/>
        </w:rPr>
        <w:drawing>
          <wp:inline distT="0" distB="0" distL="0" distR="0" wp14:anchorId="4B02A6C3" wp14:editId="688D17AC">
            <wp:extent cx="3598447" cy="2968831"/>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600000" cy="2970113"/>
                    </a:xfrm>
                    <a:prstGeom prst="rect">
                      <a:avLst/>
                    </a:prstGeom>
                    <a:noFill/>
                    <a:ln>
                      <a:noFill/>
                    </a:ln>
                    <a:extLst>
                      <a:ext uri="{53640926-AAD7-44D8-BBD7-CCE9431645EC}">
                        <a14:shadowObscured xmlns:a14="http://schemas.microsoft.com/office/drawing/2010/main"/>
                      </a:ext>
                    </a:extLst>
                  </pic:spPr>
                </pic:pic>
              </a:graphicData>
            </a:graphic>
          </wp:inline>
        </w:drawing>
      </w:r>
    </w:p>
    <w:p w14:paraId="6D0F59BE" w14:textId="086F7891" w:rsidR="00060A8E" w:rsidRDefault="003F6F99">
      <w:pPr>
        <w:pStyle w:val="FigureTableNoteSource"/>
      </w:pPr>
      <w:r w:rsidRPr="00C15A92">
        <w:t xml:space="preserve">Note: Principal histopathological changes due to the disease include severe </w:t>
      </w:r>
      <w:proofErr w:type="spellStart"/>
      <w:r w:rsidRPr="00C15A92">
        <w:t>haemocytic</w:t>
      </w:r>
      <w:proofErr w:type="spellEnd"/>
      <w:r w:rsidRPr="00C15A92">
        <w:t xml:space="preserve"> inflammation (with some melanised foci) of the intratubular spaces (</w:t>
      </w:r>
      <w:r w:rsidR="00AB28EF">
        <w:t>a</w:t>
      </w:r>
      <w:r w:rsidRPr="00C15A92">
        <w:t>) in response to necrosis, cytolysis and sloughing of hepatopancreas tubule epithelial cells (</w:t>
      </w:r>
      <w:r w:rsidR="00AB28EF">
        <w:t>b</w:t>
      </w:r>
      <w:r w:rsidRPr="00C15A92">
        <w:t>).</w:t>
      </w:r>
      <w:r w:rsidR="00712200">
        <w:t xml:space="preserve"> 150x magnification.</w:t>
      </w:r>
    </w:p>
    <w:p w14:paraId="7971CBC5" w14:textId="47B3694C" w:rsidR="00060A8E" w:rsidRDefault="003F6F99" w:rsidP="00F47A1E">
      <w:pPr>
        <w:pStyle w:val="FigureTableNoteSource"/>
      </w:pPr>
      <w:r>
        <w:t>Source: DV Lightner</w:t>
      </w:r>
    </w:p>
    <w:p w14:paraId="1DA3315E" w14:textId="57EA9C99" w:rsidR="00060A8E" w:rsidRDefault="003F6F99">
      <w:pPr>
        <w:pStyle w:val="Caption"/>
      </w:pPr>
      <w:r>
        <w:lastRenderedPageBreak/>
        <w:t xml:space="preserve">Figure </w:t>
      </w:r>
      <w:r w:rsidR="002E2EC3">
        <w:rPr>
          <w:noProof/>
        </w:rPr>
        <w:fldChar w:fldCharType="begin"/>
      </w:r>
      <w:r w:rsidR="002E2EC3">
        <w:rPr>
          <w:noProof/>
        </w:rPr>
        <w:instrText xml:space="preserve"> SEQ Figure \* ARABIC </w:instrText>
      </w:r>
      <w:r w:rsidR="002E2EC3">
        <w:rPr>
          <w:noProof/>
        </w:rPr>
        <w:fldChar w:fldCharType="separate"/>
      </w:r>
      <w:r w:rsidR="006D5BB9">
        <w:rPr>
          <w:noProof/>
        </w:rPr>
        <w:t>4</w:t>
      </w:r>
      <w:r w:rsidR="002E2EC3">
        <w:rPr>
          <w:noProof/>
        </w:rPr>
        <w:fldChar w:fldCharType="end"/>
      </w:r>
      <w:r>
        <w:t xml:space="preserve"> </w:t>
      </w:r>
      <w:r w:rsidR="00712200">
        <w:t xml:space="preserve">Photomicrograph </w:t>
      </w:r>
      <w:r>
        <w:t>of hepatopancreas of juvenile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with severe subacute (grade 3–4) NHP</w:t>
      </w:r>
    </w:p>
    <w:p w14:paraId="18A99846" w14:textId="77777777" w:rsidR="00060A8E" w:rsidRDefault="003F6F99">
      <w:r>
        <w:rPr>
          <w:noProof/>
          <w:lang w:eastAsia="en-AU"/>
        </w:rPr>
        <w:drawing>
          <wp:inline distT="0" distB="0" distL="0" distR="0" wp14:anchorId="6AC0D043" wp14:editId="0202851E">
            <wp:extent cx="3600000" cy="3182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600000" cy="3182400"/>
                    </a:xfrm>
                    <a:prstGeom prst="rect">
                      <a:avLst/>
                    </a:prstGeom>
                    <a:noFill/>
                    <a:ln>
                      <a:noFill/>
                    </a:ln>
                    <a:extLst>
                      <a:ext uri="{53640926-AAD7-44D8-BBD7-CCE9431645EC}">
                        <a14:shadowObscured xmlns:a14="http://schemas.microsoft.com/office/drawing/2010/main"/>
                      </a:ext>
                    </a:extLst>
                  </pic:spPr>
                </pic:pic>
              </a:graphicData>
            </a:graphic>
          </wp:inline>
        </w:drawing>
      </w:r>
    </w:p>
    <w:p w14:paraId="3D4386F4" w14:textId="0EA1CF93" w:rsidR="00060A8E" w:rsidRDefault="003F6F99" w:rsidP="00F47A1E">
      <w:pPr>
        <w:pStyle w:val="FigureTableNoteSource"/>
      </w:pPr>
      <w:r>
        <w:t>Note: Higher magnification of upper left of Figure 3.</w:t>
      </w:r>
      <w:r w:rsidR="00712200">
        <w:t xml:space="preserve"> 300x magnification.</w:t>
      </w:r>
    </w:p>
    <w:p w14:paraId="629D0A17" w14:textId="77777777" w:rsidR="00060A8E" w:rsidRDefault="003F6F99" w:rsidP="00F47A1E">
      <w:pPr>
        <w:pStyle w:val="FigureTableNoteSource"/>
      </w:pPr>
      <w:r>
        <w:t>Source: DV Lightner</w:t>
      </w:r>
    </w:p>
    <w:p w14:paraId="3D991130" w14:textId="0B025582" w:rsidR="00060A8E" w:rsidRDefault="003F6F99">
      <w:pPr>
        <w:pStyle w:val="Caption"/>
        <w:keepLines/>
      </w:pPr>
      <w:r>
        <w:t xml:space="preserve">Figure </w:t>
      </w:r>
      <w:r>
        <w:rPr>
          <w:noProof/>
        </w:rPr>
        <w:fldChar w:fldCharType="begin"/>
      </w:r>
      <w:r>
        <w:rPr>
          <w:noProof/>
        </w:rPr>
        <w:instrText xml:space="preserve"> SEQ Figure \* ARABIC </w:instrText>
      </w:r>
      <w:r>
        <w:rPr>
          <w:noProof/>
        </w:rPr>
        <w:fldChar w:fldCharType="separate"/>
      </w:r>
      <w:r w:rsidR="006D5BB9">
        <w:rPr>
          <w:noProof/>
        </w:rPr>
        <w:t>5</w:t>
      </w:r>
      <w:r>
        <w:rPr>
          <w:noProof/>
        </w:rPr>
        <w:fldChar w:fldCharType="end"/>
      </w:r>
      <w:r>
        <w:t xml:space="preserve"> Photomicrograph of hepatopancreas of juvenile Pacific white shrimp (</w:t>
      </w:r>
      <w:r>
        <w:rPr>
          <w:rStyle w:val="Emphasis"/>
        </w:rPr>
        <w:t>Penaeus</w:t>
      </w:r>
      <w:r>
        <w:t> </w:t>
      </w:r>
      <w:r>
        <w:rPr>
          <w:rStyle w:val="Emphasis"/>
        </w:rPr>
        <w:t>(</w:t>
      </w:r>
      <w:proofErr w:type="spellStart"/>
      <w:r>
        <w:rPr>
          <w:rStyle w:val="Emphasis"/>
        </w:rPr>
        <w:t>Litopenaeus</w:t>
      </w:r>
      <w:proofErr w:type="spellEnd"/>
      <w:r>
        <w:rPr>
          <w:rStyle w:val="Emphasis"/>
        </w:rPr>
        <w:t xml:space="preserve">) </w:t>
      </w:r>
      <w:proofErr w:type="spellStart"/>
      <w:r>
        <w:rPr>
          <w:rStyle w:val="Emphasis"/>
        </w:rPr>
        <w:t>vannamei</w:t>
      </w:r>
      <w:proofErr w:type="spellEnd"/>
      <w:r>
        <w:t>) with severe subacute (grade 3–4) NHP</w:t>
      </w:r>
    </w:p>
    <w:p w14:paraId="34352971" w14:textId="77777777" w:rsidR="00060A8E" w:rsidRDefault="003F6F99">
      <w:pPr>
        <w:pStyle w:val="Caption"/>
      </w:pPr>
      <w:r>
        <w:rPr>
          <w:noProof/>
          <w:lang w:eastAsia="en-AU"/>
        </w:rPr>
        <w:drawing>
          <wp:inline distT="0" distB="0" distL="0" distR="0" wp14:anchorId="35B97D28" wp14:editId="37EC770D">
            <wp:extent cx="3597888" cy="3229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3597888" cy="3229200"/>
                    </a:xfrm>
                    <a:prstGeom prst="rect">
                      <a:avLst/>
                    </a:prstGeom>
                    <a:noFill/>
                    <a:ln>
                      <a:noFill/>
                    </a:ln>
                    <a:extLst>
                      <a:ext uri="{53640926-AAD7-44D8-BBD7-CCE9431645EC}">
                        <a14:shadowObscured xmlns:a14="http://schemas.microsoft.com/office/drawing/2010/main"/>
                      </a:ext>
                    </a:extLst>
                  </pic:spPr>
                </pic:pic>
              </a:graphicData>
            </a:graphic>
          </wp:inline>
        </w:drawing>
      </w:r>
    </w:p>
    <w:p w14:paraId="7683A711" w14:textId="7FB1B85B" w:rsidR="00060A8E" w:rsidRDefault="003F6F99">
      <w:pPr>
        <w:pStyle w:val="FigureTableNoteSource"/>
      </w:pPr>
      <w:r>
        <w:t xml:space="preserve">Note: Higher magnification view of Figure 3 and Figure 4. Tubule epithelial cells have no cytoplasmic lipid droplets. Instead, they contain masses of the tiny, non-membrane bound intracytoplasmic </w:t>
      </w:r>
      <w:r>
        <w:rPr>
          <w:rStyle w:val="Emphasis"/>
        </w:rPr>
        <w:t>H</w:t>
      </w:r>
      <w:r w:rsidR="00712200">
        <w:rPr>
          <w:rStyle w:val="Emphasis"/>
        </w:rPr>
        <w:t>. </w:t>
      </w:r>
      <w:proofErr w:type="spellStart"/>
      <w:r>
        <w:rPr>
          <w:rStyle w:val="Emphasis"/>
        </w:rPr>
        <w:t>penaei</w:t>
      </w:r>
      <w:proofErr w:type="spellEnd"/>
      <w:r>
        <w:t xml:space="preserve"> (</w:t>
      </w:r>
      <w:r w:rsidR="00820D0B" w:rsidRPr="00820D0B">
        <w:t>a</w:t>
      </w:r>
      <w:r>
        <w:t>).</w:t>
      </w:r>
      <w:r w:rsidR="00712200">
        <w:t xml:space="preserve"> 1700x magnification.</w:t>
      </w:r>
    </w:p>
    <w:p w14:paraId="33AD4145" w14:textId="77777777" w:rsidR="00060A8E" w:rsidRDefault="003F6F99">
      <w:pPr>
        <w:pStyle w:val="FigureTableNoteSource"/>
      </w:pPr>
      <w:r>
        <w:t>Source: DV Lightner</w:t>
      </w:r>
    </w:p>
    <w:p w14:paraId="18ADC4EB" w14:textId="5D945887" w:rsidR="00060A8E" w:rsidRDefault="003F6F99">
      <w:pPr>
        <w:pStyle w:val="Caption"/>
        <w:keepLines/>
      </w:pPr>
      <w:r>
        <w:lastRenderedPageBreak/>
        <w:t xml:space="preserve">Figure </w:t>
      </w:r>
      <w:r w:rsidR="002E2EC3">
        <w:rPr>
          <w:noProof/>
        </w:rPr>
        <w:fldChar w:fldCharType="begin"/>
      </w:r>
      <w:r w:rsidR="002E2EC3">
        <w:rPr>
          <w:noProof/>
        </w:rPr>
        <w:instrText xml:space="preserve"> SEQ Figure \* ARABIC </w:instrText>
      </w:r>
      <w:r w:rsidR="002E2EC3">
        <w:rPr>
          <w:noProof/>
        </w:rPr>
        <w:fldChar w:fldCharType="separate"/>
      </w:r>
      <w:r w:rsidR="006D5BB9">
        <w:rPr>
          <w:noProof/>
        </w:rPr>
        <w:t>6</w:t>
      </w:r>
      <w:r w:rsidR="002E2EC3">
        <w:rPr>
          <w:noProof/>
        </w:rPr>
        <w:fldChar w:fldCharType="end"/>
      </w:r>
      <w:r>
        <w:t xml:space="preserve"> Photomicrograph of hepatopancreas of juvenile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with severe chronic NHP</w:t>
      </w:r>
    </w:p>
    <w:p w14:paraId="5D681E79" w14:textId="77777777" w:rsidR="00060A8E" w:rsidRDefault="003F6F99">
      <w:r>
        <w:rPr>
          <w:noProof/>
          <w:lang w:eastAsia="en-AU"/>
        </w:rPr>
        <w:drawing>
          <wp:inline distT="0" distB="0" distL="0" distR="0" wp14:anchorId="1E465554" wp14:editId="0B4443F2">
            <wp:extent cx="3600000" cy="3250800"/>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600000" cy="3250800"/>
                    </a:xfrm>
                    <a:prstGeom prst="rect">
                      <a:avLst/>
                    </a:prstGeom>
                    <a:noFill/>
                    <a:ln>
                      <a:noFill/>
                    </a:ln>
                    <a:extLst>
                      <a:ext uri="{53640926-AAD7-44D8-BBD7-CCE9431645EC}">
                        <a14:shadowObscured xmlns:a14="http://schemas.microsoft.com/office/drawing/2010/main"/>
                      </a:ext>
                    </a:extLst>
                  </pic:spPr>
                </pic:pic>
              </a:graphicData>
            </a:graphic>
          </wp:inline>
        </w:drawing>
      </w:r>
    </w:p>
    <w:p w14:paraId="7E65DD26" w14:textId="455DE098" w:rsidR="00060A8E" w:rsidRDefault="003F6F99">
      <w:pPr>
        <w:pStyle w:val="FigureTableNoteSource"/>
      </w:pPr>
      <w:r>
        <w:t>Note: Hepatopancreas tubule epithelium is markedly atrophied, resulting in the formation of large oedematous (fluid-filled or ‘watery’) areas.</w:t>
      </w:r>
      <w:r w:rsidR="00712200">
        <w:t xml:space="preserve"> 100x magnification</w:t>
      </w:r>
    </w:p>
    <w:p w14:paraId="24E1E8CD" w14:textId="77777777" w:rsidR="00060A8E" w:rsidRDefault="003F6F99">
      <w:pPr>
        <w:pStyle w:val="FigureTableNoteSource"/>
      </w:pPr>
      <w:r>
        <w:t>Source: DV Lightner</w:t>
      </w:r>
    </w:p>
    <w:p w14:paraId="09ACCCD4" w14:textId="0878D1C5" w:rsidR="00060A8E" w:rsidRDefault="003F6F99">
      <w:pPr>
        <w:pStyle w:val="Caption"/>
        <w:keepLines/>
      </w:pPr>
      <w:r>
        <w:t xml:space="preserve">Figure </w:t>
      </w:r>
      <w:r>
        <w:rPr>
          <w:noProof/>
        </w:rPr>
        <w:fldChar w:fldCharType="begin"/>
      </w:r>
      <w:r>
        <w:rPr>
          <w:noProof/>
        </w:rPr>
        <w:instrText xml:space="preserve"> SEQ Figure \* ARABIC </w:instrText>
      </w:r>
      <w:r>
        <w:rPr>
          <w:noProof/>
        </w:rPr>
        <w:fldChar w:fldCharType="separate"/>
      </w:r>
      <w:r w:rsidR="006D5BB9">
        <w:rPr>
          <w:noProof/>
        </w:rPr>
        <w:t>7</w:t>
      </w:r>
      <w:r>
        <w:rPr>
          <w:noProof/>
        </w:rPr>
        <w:fldChar w:fldCharType="end"/>
      </w:r>
      <w:r>
        <w:t xml:space="preserve"> Photomicrograph of atrophied hepatopancreas from juvenile Pacific white shrimp (</w:t>
      </w:r>
      <w:r w:rsidRPr="00C6534B">
        <w:rPr>
          <w:rStyle w:val="Emphasis"/>
        </w:rPr>
        <w:t>Penaeus (</w:t>
      </w:r>
      <w:proofErr w:type="spellStart"/>
      <w:r w:rsidRPr="00C6534B">
        <w:rPr>
          <w:rStyle w:val="Emphasis"/>
        </w:rPr>
        <w:t>Litopenaeus</w:t>
      </w:r>
      <w:proofErr w:type="spellEnd"/>
      <w:r w:rsidRPr="00C6534B">
        <w:rPr>
          <w:rStyle w:val="Emphasis"/>
        </w:rPr>
        <w:t xml:space="preserve">) </w:t>
      </w:r>
      <w:proofErr w:type="spellStart"/>
      <w:r w:rsidRPr="00C6534B">
        <w:rPr>
          <w:rStyle w:val="Emphasis"/>
        </w:rPr>
        <w:t>vannamei</w:t>
      </w:r>
      <w:proofErr w:type="spellEnd"/>
      <w:r>
        <w:t>) with chronic NHP</w:t>
      </w:r>
    </w:p>
    <w:p w14:paraId="453A9803" w14:textId="77777777" w:rsidR="00060A8E" w:rsidRDefault="003F6F99">
      <w:r>
        <w:rPr>
          <w:noProof/>
          <w:lang w:eastAsia="en-AU"/>
        </w:rPr>
        <w:drawing>
          <wp:inline distT="0" distB="0" distL="0" distR="0" wp14:anchorId="54EF58E1" wp14:editId="7D3191E4">
            <wp:extent cx="3600000" cy="32472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600000" cy="3247200"/>
                    </a:xfrm>
                    <a:prstGeom prst="rect">
                      <a:avLst/>
                    </a:prstGeom>
                    <a:noFill/>
                    <a:ln>
                      <a:noFill/>
                    </a:ln>
                    <a:extLst>
                      <a:ext uri="{53640926-AAD7-44D8-BBD7-CCE9431645EC}">
                        <a14:shadowObscured xmlns:a14="http://schemas.microsoft.com/office/drawing/2010/main"/>
                      </a:ext>
                    </a:extLst>
                  </pic:spPr>
                </pic:pic>
              </a:graphicData>
            </a:graphic>
          </wp:inline>
        </w:drawing>
      </w:r>
    </w:p>
    <w:p w14:paraId="73E6915D" w14:textId="63B4263D" w:rsidR="00060A8E" w:rsidRDefault="003F6F99">
      <w:pPr>
        <w:pStyle w:val="FigureTableNoteSource"/>
      </w:pPr>
      <w:r>
        <w:t xml:space="preserve">Note: In contrast to the subacute phase of NHP, chronic-phase NHP shows no, or only occasional, foci of </w:t>
      </w:r>
      <w:proofErr w:type="spellStart"/>
      <w:r>
        <w:t>haemocytic</w:t>
      </w:r>
      <w:proofErr w:type="spellEnd"/>
      <w:r>
        <w:t xml:space="preserve"> inflammation of the necrotic or degenerating hepatopancreatic tubules. NHP bacteria may be found in the cytoplasm of an occasional </w:t>
      </w:r>
      <w:proofErr w:type="spellStart"/>
      <w:r>
        <w:t>hepatopancreocyte</w:t>
      </w:r>
      <w:proofErr w:type="spellEnd"/>
      <w:r>
        <w:t>.</w:t>
      </w:r>
      <w:r w:rsidR="00712200" w:rsidRPr="00712200">
        <w:t xml:space="preserve"> </w:t>
      </w:r>
      <w:r w:rsidR="00712200">
        <w:t>900x magnification.</w:t>
      </w:r>
    </w:p>
    <w:p w14:paraId="6F639AAA" w14:textId="77777777" w:rsidR="00060A8E" w:rsidRDefault="003F6F99">
      <w:pPr>
        <w:pStyle w:val="FigureTableNoteSource"/>
      </w:pPr>
      <w:r>
        <w:t>Source: DV Lightner</w:t>
      </w:r>
    </w:p>
    <w:p w14:paraId="5B314B97" w14:textId="65B4577E" w:rsidR="00060A8E" w:rsidRDefault="003F6F99">
      <w:pPr>
        <w:pStyle w:val="Caption"/>
      </w:pPr>
      <w:r>
        <w:lastRenderedPageBreak/>
        <w:t xml:space="preserve">Figure </w:t>
      </w:r>
      <w:r w:rsidR="002E2EC3">
        <w:rPr>
          <w:noProof/>
        </w:rPr>
        <w:fldChar w:fldCharType="begin"/>
      </w:r>
      <w:r w:rsidR="002E2EC3">
        <w:rPr>
          <w:noProof/>
        </w:rPr>
        <w:instrText xml:space="preserve"> SEQ Figure \* ARABIC </w:instrText>
      </w:r>
      <w:r w:rsidR="002E2EC3">
        <w:rPr>
          <w:noProof/>
        </w:rPr>
        <w:fldChar w:fldCharType="separate"/>
      </w:r>
      <w:r w:rsidR="006D5BB9">
        <w:rPr>
          <w:noProof/>
        </w:rPr>
        <w:t>8</w:t>
      </w:r>
      <w:r w:rsidR="002E2EC3">
        <w:rPr>
          <w:noProof/>
        </w:rPr>
        <w:fldChar w:fldCharType="end"/>
      </w:r>
      <w:r>
        <w:t xml:space="preserve"> </w:t>
      </w:r>
      <w:proofErr w:type="spellStart"/>
      <w:r>
        <w:t>Hepatopancreocyte</w:t>
      </w:r>
      <w:proofErr w:type="spellEnd"/>
      <w:r>
        <w:t xml:space="preserve"> containing cytoplasmic masses of the NHP bacterium</w:t>
      </w:r>
    </w:p>
    <w:p w14:paraId="0D2DC5FC" w14:textId="77777777" w:rsidR="00060A8E" w:rsidRDefault="003F6F99">
      <w:r>
        <w:rPr>
          <w:noProof/>
          <w:lang w:eastAsia="en-AU"/>
        </w:rPr>
        <w:drawing>
          <wp:inline distT="0" distB="0" distL="0" distR="0" wp14:anchorId="71B6D614" wp14:editId="0E3FC005">
            <wp:extent cx="3598990" cy="3250631"/>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600000" cy="3251543"/>
                    </a:xfrm>
                    <a:prstGeom prst="rect">
                      <a:avLst/>
                    </a:prstGeom>
                    <a:noFill/>
                    <a:ln>
                      <a:noFill/>
                    </a:ln>
                    <a:extLst>
                      <a:ext uri="{53640926-AAD7-44D8-BBD7-CCE9431645EC}">
                        <a14:shadowObscured xmlns:a14="http://schemas.microsoft.com/office/drawing/2010/main"/>
                      </a:ext>
                    </a:extLst>
                  </pic:spPr>
                </pic:pic>
              </a:graphicData>
            </a:graphic>
          </wp:inline>
        </w:drawing>
      </w:r>
    </w:p>
    <w:p w14:paraId="30111E21" w14:textId="0E60CA34" w:rsidR="00060A8E" w:rsidRDefault="003F6F99">
      <w:pPr>
        <w:pStyle w:val="FigureTableNoteSource"/>
      </w:pPr>
      <w:r>
        <w:t>Note:</w:t>
      </w:r>
      <w:r w:rsidR="00EE3C20">
        <w:t xml:space="preserve"> Silver stain has been used to show individual bacteria as brown or black. Unaffected cells and nuclei are pale brown.</w:t>
      </w:r>
      <w:r w:rsidR="00712200">
        <w:t xml:space="preserve"> 1600x magnification.</w:t>
      </w:r>
    </w:p>
    <w:p w14:paraId="1BBD99B4" w14:textId="77777777" w:rsidR="00060A8E" w:rsidRDefault="003F6F99">
      <w:pPr>
        <w:pStyle w:val="FigureTableNoteSource"/>
      </w:pPr>
      <w:r>
        <w:t>Source: DV Lightner</w:t>
      </w:r>
    </w:p>
    <w:p w14:paraId="53BE4D54" w14:textId="078B9B29" w:rsidR="00060A8E" w:rsidRDefault="003F6F99">
      <w:pPr>
        <w:pStyle w:val="Caption"/>
      </w:pPr>
      <w:r>
        <w:t xml:space="preserve">Figure </w:t>
      </w:r>
      <w:r>
        <w:rPr>
          <w:noProof/>
        </w:rPr>
        <w:fldChar w:fldCharType="begin"/>
      </w:r>
      <w:r>
        <w:rPr>
          <w:noProof/>
        </w:rPr>
        <w:instrText xml:space="preserve"> SEQ Figure \* ARABIC </w:instrText>
      </w:r>
      <w:r>
        <w:rPr>
          <w:noProof/>
        </w:rPr>
        <w:fldChar w:fldCharType="separate"/>
      </w:r>
      <w:r w:rsidR="006D5BB9">
        <w:rPr>
          <w:noProof/>
        </w:rPr>
        <w:t>9</w:t>
      </w:r>
      <w:r>
        <w:rPr>
          <w:noProof/>
        </w:rPr>
        <w:fldChar w:fldCharType="end"/>
      </w:r>
      <w:r>
        <w:t xml:space="preserve"> Transmission electron microscope micrograph of a </w:t>
      </w:r>
      <w:proofErr w:type="spellStart"/>
      <w:r>
        <w:t>hepatopancreocyte</w:t>
      </w:r>
      <w:proofErr w:type="spellEnd"/>
      <w:r>
        <w:t xml:space="preserve"> of a juvenile Pacific white shrimp (</w:t>
      </w:r>
      <w:r w:rsidRPr="00EE3C20">
        <w:rPr>
          <w:rStyle w:val="Emphasis"/>
        </w:rPr>
        <w:t>Penaeus (</w:t>
      </w:r>
      <w:proofErr w:type="spellStart"/>
      <w:r w:rsidRPr="00EE3C20">
        <w:rPr>
          <w:rStyle w:val="Emphasis"/>
        </w:rPr>
        <w:t>Litopenaeus</w:t>
      </w:r>
      <w:proofErr w:type="spellEnd"/>
      <w:r w:rsidRPr="00EE3C20">
        <w:rPr>
          <w:rStyle w:val="Emphasis"/>
        </w:rPr>
        <w:t xml:space="preserve">) </w:t>
      </w:r>
      <w:proofErr w:type="spellStart"/>
      <w:r w:rsidRPr="00EE3C20">
        <w:rPr>
          <w:rStyle w:val="Emphasis"/>
        </w:rPr>
        <w:t>vannamei</w:t>
      </w:r>
      <w:proofErr w:type="spellEnd"/>
      <w:r>
        <w:t>) with NHP</w:t>
      </w:r>
    </w:p>
    <w:p w14:paraId="46A97F89" w14:textId="77777777" w:rsidR="00060A8E" w:rsidRDefault="003F6F99">
      <w:r>
        <w:rPr>
          <w:noProof/>
          <w:lang w:eastAsia="en-AU"/>
        </w:rPr>
        <w:drawing>
          <wp:inline distT="0" distB="0" distL="0" distR="0" wp14:anchorId="3EB631F2" wp14:editId="2A8B8C62">
            <wp:extent cx="3596242" cy="3189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 (left, 10,000×) of a hepatopancreocyte of a juvenile Pacific white shrimp (Penaeus (Litopenaeus) vannamei) with NHP. Profiles of intracellular rod-shaped forms (large arrow) and helical forms (small arrow) of the NHP bacterium are abundant in the cytoplasm. Low-magnification (right, 250×) of a section of the hepatopancreas of a juvenile Pacific white shrimp (Penaeus (Litopenaeus) vannamei) with NHP. The digoxygenin (DIG)-labelled DNA probe marks cytoplasmic masses of Hepatobacter penaei blue to blue-black. Source: DV Lightner."/>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3596242" cy="3189600"/>
                    </a:xfrm>
                    <a:prstGeom prst="rect">
                      <a:avLst/>
                    </a:prstGeom>
                    <a:noFill/>
                    <a:ln>
                      <a:noFill/>
                    </a:ln>
                    <a:extLst>
                      <a:ext uri="{53640926-AAD7-44D8-BBD7-CCE9431645EC}">
                        <a14:shadowObscured xmlns:a14="http://schemas.microsoft.com/office/drawing/2010/main"/>
                      </a:ext>
                    </a:extLst>
                  </pic:spPr>
                </pic:pic>
              </a:graphicData>
            </a:graphic>
          </wp:inline>
        </w:drawing>
      </w:r>
    </w:p>
    <w:p w14:paraId="6F8E7373" w14:textId="0CD0CDBF" w:rsidR="00060A8E" w:rsidRDefault="003F6F99">
      <w:pPr>
        <w:pStyle w:val="FigureTableNoteSource"/>
      </w:pPr>
      <w:r>
        <w:t>Note: The micrograph shows many intracellular rod-</w:t>
      </w:r>
      <w:r w:rsidRPr="00AB28EF">
        <w:t>shaped forms (</w:t>
      </w:r>
      <w:r w:rsidR="00AB28EF" w:rsidRPr="00AB28EF">
        <w:t>a</w:t>
      </w:r>
      <w:r w:rsidRPr="00AB28EF">
        <w:t>) and helical forms (</w:t>
      </w:r>
      <w:r w:rsidR="00AB28EF" w:rsidRPr="00AB28EF">
        <w:t>b</w:t>
      </w:r>
      <w:r>
        <w:t>) of the NHP bacterium</w:t>
      </w:r>
      <w:r w:rsidR="00E304C6">
        <w:t xml:space="preserve"> in </w:t>
      </w:r>
      <w:r>
        <w:t>the cytoplasm.</w:t>
      </w:r>
      <w:r w:rsidR="00712200">
        <w:t xml:space="preserve"> 10,000× magnification</w:t>
      </w:r>
    </w:p>
    <w:p w14:paraId="46EFE3F6" w14:textId="77777777" w:rsidR="00060A8E" w:rsidRDefault="003F6F99">
      <w:pPr>
        <w:pStyle w:val="FigureTableNoteSource"/>
      </w:pPr>
      <w:r>
        <w:t>Source: DV Lightner</w:t>
      </w:r>
    </w:p>
    <w:p w14:paraId="7C091E78" w14:textId="12B858D4" w:rsidR="00060A8E" w:rsidRDefault="003F6F99">
      <w:pPr>
        <w:pStyle w:val="Caption"/>
      </w:pPr>
      <w:r>
        <w:lastRenderedPageBreak/>
        <w:t xml:space="preserve">Figure </w:t>
      </w:r>
      <w:r w:rsidR="002E2EC3">
        <w:rPr>
          <w:noProof/>
        </w:rPr>
        <w:fldChar w:fldCharType="begin"/>
      </w:r>
      <w:r w:rsidR="002E2EC3">
        <w:rPr>
          <w:noProof/>
        </w:rPr>
        <w:instrText xml:space="preserve"> SEQ Figure \* ARABIC </w:instrText>
      </w:r>
      <w:r w:rsidR="002E2EC3">
        <w:rPr>
          <w:noProof/>
        </w:rPr>
        <w:fldChar w:fldCharType="separate"/>
      </w:r>
      <w:r w:rsidR="006D5BB9">
        <w:rPr>
          <w:noProof/>
        </w:rPr>
        <w:t>10</w:t>
      </w:r>
      <w:r w:rsidR="002E2EC3">
        <w:rPr>
          <w:noProof/>
        </w:rPr>
        <w:fldChar w:fldCharType="end"/>
      </w:r>
      <w:r>
        <w:t xml:space="preserve"> Hepatopancreas of juvenile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with</w:t>
      </w:r>
      <w:r w:rsidR="00712200">
        <w:t> </w:t>
      </w:r>
      <w:r>
        <w:t>NHP</w:t>
      </w:r>
    </w:p>
    <w:p w14:paraId="04E2D417" w14:textId="77777777" w:rsidR="00060A8E" w:rsidRDefault="003F6F99">
      <w:r>
        <w:rPr>
          <w:noProof/>
          <w:lang w:eastAsia="en-AU"/>
        </w:rPr>
        <w:drawing>
          <wp:inline distT="0" distB="0" distL="0" distR="0" wp14:anchorId="11C2BFBB" wp14:editId="2DF59E4C">
            <wp:extent cx="3600000" cy="3294000"/>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 (left, 10,000×) of a hepatopancreocyte of a juvenile Pacific white shrimp (Penaeus (Litopenaeus) vannamei) with NHP. Profiles of intracellular rod-shaped forms (large arrow) and helical forms (small arrow) of the NHP bacterium are abundant in the cytoplasm. Low-magnification (right, 250×) of a section of the hepatopancreas of a juvenile Pacific white shrimp (Penaeus (Litopenaeus) vannamei) with NHP. The digoxygenin (DIG)-labelled DNA probe marks cytoplasmic masses of Hepatobacter penaei blue to blue-black. Source: DV Lightner."/>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600000" cy="3294000"/>
                    </a:xfrm>
                    <a:prstGeom prst="rect">
                      <a:avLst/>
                    </a:prstGeom>
                    <a:noFill/>
                    <a:ln>
                      <a:noFill/>
                    </a:ln>
                    <a:extLst>
                      <a:ext uri="{53640926-AAD7-44D8-BBD7-CCE9431645EC}">
                        <a14:shadowObscured xmlns:a14="http://schemas.microsoft.com/office/drawing/2010/main"/>
                      </a:ext>
                    </a:extLst>
                  </pic:spPr>
                </pic:pic>
              </a:graphicData>
            </a:graphic>
          </wp:inline>
        </w:drawing>
      </w:r>
    </w:p>
    <w:p w14:paraId="0CEF1874" w14:textId="68BEB9E0" w:rsidR="00060A8E" w:rsidRDefault="003F6F99">
      <w:pPr>
        <w:pStyle w:val="FigureTableNoteSource"/>
      </w:pPr>
      <w:r>
        <w:t xml:space="preserve">Note: The digoxigenin-labelled DNA probe marks cytoplasmic masses of </w:t>
      </w:r>
      <w:proofErr w:type="spellStart"/>
      <w:r w:rsidRPr="0049158C">
        <w:rPr>
          <w:rStyle w:val="Emphasis"/>
        </w:rPr>
        <w:t>H</w:t>
      </w:r>
      <w:r w:rsidR="0049158C" w:rsidRPr="00A6176D">
        <w:rPr>
          <w:rStyle w:val="Emphasis"/>
        </w:rPr>
        <w:t>epatobacter</w:t>
      </w:r>
      <w:proofErr w:type="spellEnd"/>
      <w:r w:rsidRPr="00A6176D">
        <w:rPr>
          <w:rStyle w:val="Emphasis"/>
        </w:rPr>
        <w:t> </w:t>
      </w:r>
      <w:proofErr w:type="spellStart"/>
      <w:r w:rsidRPr="00A6176D">
        <w:rPr>
          <w:rStyle w:val="Emphasis"/>
        </w:rPr>
        <w:t>penaei</w:t>
      </w:r>
      <w:proofErr w:type="spellEnd"/>
      <w:r>
        <w:t xml:space="preserve"> blue-black.</w:t>
      </w:r>
      <w:r w:rsidR="00712200">
        <w:t xml:space="preserve"> 250x magnification.</w:t>
      </w:r>
    </w:p>
    <w:p w14:paraId="4B89C00E" w14:textId="77777777" w:rsidR="00060A8E" w:rsidRDefault="003F6F99">
      <w:pPr>
        <w:pStyle w:val="FigureTableNoteSource"/>
      </w:pPr>
      <w:r>
        <w:t>Source: DV Lightner</w:t>
      </w:r>
    </w:p>
    <w:p w14:paraId="7E99AF7A" w14:textId="78C85931" w:rsidR="00060A8E" w:rsidRDefault="003F6F99">
      <w:pPr>
        <w:pStyle w:val="Caption"/>
        <w:keepLines/>
        <w:jc w:val="both"/>
        <w:rPr>
          <w:szCs w:val="22"/>
        </w:rPr>
      </w:pPr>
      <w:r>
        <w:t xml:space="preserve">Figure </w:t>
      </w:r>
      <w:r>
        <w:rPr>
          <w:noProof/>
        </w:rPr>
        <w:fldChar w:fldCharType="begin"/>
      </w:r>
      <w:r>
        <w:rPr>
          <w:noProof/>
        </w:rPr>
        <w:instrText xml:space="preserve"> SEQ Figure \* ARABIC </w:instrText>
      </w:r>
      <w:r>
        <w:rPr>
          <w:noProof/>
        </w:rPr>
        <w:fldChar w:fldCharType="separate"/>
      </w:r>
      <w:r w:rsidR="006D5BB9">
        <w:rPr>
          <w:noProof/>
        </w:rPr>
        <w:t>11</w:t>
      </w:r>
      <w:r>
        <w:rPr>
          <w:noProof/>
        </w:rPr>
        <w:fldChar w:fldCharType="end"/>
      </w:r>
      <w:r>
        <w:t xml:space="preserve"> </w:t>
      </w:r>
      <w:r>
        <w:rPr>
          <w:szCs w:val="22"/>
        </w:rPr>
        <w:t>Hepatopancreas of juvenile Pacific white shrimp (</w:t>
      </w:r>
      <w:r>
        <w:rPr>
          <w:i/>
          <w:szCs w:val="22"/>
        </w:rPr>
        <w:t>Penaeus</w:t>
      </w:r>
      <w:r>
        <w:rPr>
          <w:szCs w:val="22"/>
        </w:rPr>
        <w:t xml:space="preserve"> (</w:t>
      </w:r>
      <w:proofErr w:type="spellStart"/>
      <w:r>
        <w:rPr>
          <w:i/>
          <w:szCs w:val="22"/>
        </w:rPr>
        <w:t>Litopenaeus</w:t>
      </w:r>
      <w:proofErr w:type="spellEnd"/>
      <w:r>
        <w:rPr>
          <w:szCs w:val="22"/>
        </w:rPr>
        <w:t>)</w:t>
      </w:r>
      <w:r>
        <w:rPr>
          <w:i/>
          <w:iCs/>
          <w:szCs w:val="22"/>
        </w:rPr>
        <w:t xml:space="preserve"> </w:t>
      </w:r>
      <w:proofErr w:type="spellStart"/>
      <w:r>
        <w:rPr>
          <w:i/>
          <w:iCs/>
          <w:szCs w:val="22"/>
        </w:rPr>
        <w:t>vannamei</w:t>
      </w:r>
      <w:proofErr w:type="spellEnd"/>
      <w:r>
        <w:rPr>
          <w:iCs/>
          <w:szCs w:val="22"/>
        </w:rPr>
        <w:t xml:space="preserve">) </w:t>
      </w:r>
      <w:r>
        <w:rPr>
          <w:szCs w:val="22"/>
        </w:rPr>
        <w:t>with</w:t>
      </w:r>
      <w:r w:rsidR="00712200">
        <w:rPr>
          <w:szCs w:val="22"/>
        </w:rPr>
        <w:t> </w:t>
      </w:r>
      <w:r>
        <w:rPr>
          <w:szCs w:val="22"/>
        </w:rPr>
        <w:t>NHP</w:t>
      </w:r>
    </w:p>
    <w:p w14:paraId="68EDC5B7" w14:textId="77777777" w:rsidR="00060A8E" w:rsidRDefault="003F6F99">
      <w:r>
        <w:rPr>
          <w:noProof/>
          <w:lang w:eastAsia="en-AU"/>
        </w:rPr>
        <w:drawing>
          <wp:inline distT="0" distB="0" distL="0" distR="0" wp14:anchorId="414B1728" wp14:editId="59B2C1DD">
            <wp:extent cx="3600000" cy="319320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magnification (1000×) view of a section of the hepatopancreas of a juvenile Pacific white shrimp (Penaeus (Litopenaeus) vannamei) with NHP. The digoxygenin (DIG)-labelled DNA probe marks cytoplasmic masses of Hepatobacter penaei blue to blue-black. Source: DV Lightn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600000" cy="3193200"/>
                    </a:xfrm>
                    <a:prstGeom prst="rect">
                      <a:avLst/>
                    </a:prstGeom>
                    <a:noFill/>
                    <a:ln>
                      <a:noFill/>
                    </a:ln>
                  </pic:spPr>
                </pic:pic>
              </a:graphicData>
            </a:graphic>
          </wp:inline>
        </w:drawing>
      </w:r>
    </w:p>
    <w:p w14:paraId="04C6FAFD" w14:textId="7A08D0B3" w:rsidR="00060A8E" w:rsidRDefault="003F6F99">
      <w:pPr>
        <w:pStyle w:val="FigureTableNoteSource"/>
      </w:pPr>
      <w:r>
        <w:t xml:space="preserve">Note: The digoxigenin-labelled DNA probe marks cytoplasmic masses of </w:t>
      </w:r>
      <w:r w:rsidRPr="0049158C">
        <w:rPr>
          <w:rStyle w:val="Emphasis"/>
        </w:rPr>
        <w:t>H</w:t>
      </w:r>
      <w:r w:rsidR="00712200">
        <w:rPr>
          <w:rStyle w:val="Emphasis"/>
        </w:rPr>
        <w:t>.</w:t>
      </w:r>
      <w:r w:rsidRPr="00A6176D">
        <w:rPr>
          <w:rStyle w:val="Emphasis"/>
        </w:rPr>
        <w:t> </w:t>
      </w:r>
      <w:proofErr w:type="spellStart"/>
      <w:r w:rsidRPr="00A6176D">
        <w:rPr>
          <w:rStyle w:val="Emphasis"/>
        </w:rPr>
        <w:t>penaei</w:t>
      </w:r>
      <w:proofErr w:type="spellEnd"/>
      <w:r>
        <w:t xml:space="preserve"> blue-black.</w:t>
      </w:r>
      <w:r w:rsidR="00712200">
        <w:t xml:space="preserve"> 1000x magnification.</w:t>
      </w:r>
    </w:p>
    <w:p w14:paraId="609778E6" w14:textId="77777777" w:rsidR="00060A8E" w:rsidRDefault="003F6F99">
      <w:pPr>
        <w:pStyle w:val="FigureTableNoteSource"/>
      </w:pPr>
      <w:r>
        <w:t>Source: DV Lightner</w:t>
      </w:r>
    </w:p>
    <w:p w14:paraId="1482A711" w14:textId="77777777" w:rsidR="00CE2BE3" w:rsidRDefault="00CE2BE3" w:rsidP="00F11418">
      <w:pPr>
        <w:pStyle w:val="Heading2"/>
        <w:keepLines/>
        <w:rPr>
          <w:rFonts w:ascii="Cambria" w:eastAsiaTheme="minorHAnsi" w:hAnsi="Cambria"/>
          <w:b w:val="0"/>
          <w:bCs w:val="0"/>
          <w:color w:val="auto"/>
          <w:sz w:val="22"/>
          <w:szCs w:val="22"/>
          <w:lang w:eastAsia="en-US"/>
        </w:rPr>
      </w:pPr>
      <w:r>
        <w:lastRenderedPageBreak/>
        <w:t>Further reading</w:t>
      </w:r>
    </w:p>
    <w:p w14:paraId="734FE494" w14:textId="77777777" w:rsidR="00CE2BE3" w:rsidRDefault="00CE2BE3" w:rsidP="00F11418">
      <w:pPr>
        <w:keepNext/>
        <w:keepLines/>
      </w:pPr>
      <w:r>
        <w:t xml:space="preserve">CABI Invasive Species Compendium </w:t>
      </w:r>
      <w:hyperlink r:id="rId23" w:history="1">
        <w:r>
          <w:rPr>
            <w:rStyle w:val="Hyperlink"/>
          </w:rPr>
          <w:t xml:space="preserve">Necrotising </w:t>
        </w:r>
        <w:proofErr w:type="spellStart"/>
        <w:r>
          <w:rPr>
            <w:rStyle w:val="Hyperlink"/>
          </w:rPr>
          <w:t>hepatopancreatitis</w:t>
        </w:r>
        <w:proofErr w:type="spellEnd"/>
      </w:hyperlink>
    </w:p>
    <w:p w14:paraId="5B0104D0" w14:textId="77777777" w:rsidR="00CE2BE3" w:rsidRDefault="00CE2BE3" w:rsidP="00CE2BE3">
      <w:r>
        <w:t xml:space="preserve">CEFAS International Database on Aquatic Animal Diseases </w:t>
      </w:r>
      <w:hyperlink r:id="rId24" w:history="1">
        <w:r>
          <w:rPr>
            <w:rStyle w:val="Hyperlink"/>
          </w:rPr>
          <w:t>‘</w:t>
        </w:r>
        <w:proofErr w:type="spellStart"/>
        <w:r>
          <w:rPr>
            <w:rStyle w:val="Hyperlink"/>
          </w:rPr>
          <w:t>Hepatobacter</w:t>
        </w:r>
        <w:proofErr w:type="spellEnd"/>
        <w:r>
          <w:rPr>
            <w:rStyle w:val="Hyperlink"/>
          </w:rPr>
          <w:t xml:space="preserve"> </w:t>
        </w:r>
        <w:proofErr w:type="spellStart"/>
        <w:r>
          <w:rPr>
            <w:rStyle w:val="Hyperlink"/>
          </w:rPr>
          <w:t>penaei</w:t>
        </w:r>
        <w:proofErr w:type="spellEnd"/>
        <w:r>
          <w:rPr>
            <w:rStyle w:val="Hyperlink"/>
          </w:rPr>
          <w:t xml:space="preserve">’ (Necrotising </w:t>
        </w:r>
        <w:proofErr w:type="spellStart"/>
        <w:r>
          <w:rPr>
            <w:rStyle w:val="Hyperlink"/>
          </w:rPr>
          <w:t>hepatopancreatitis</w:t>
        </w:r>
        <w:proofErr w:type="spellEnd"/>
        <w:r>
          <w:rPr>
            <w:rStyle w:val="Hyperlink"/>
          </w:rPr>
          <w:t>)</w:t>
        </w:r>
      </w:hyperlink>
    </w:p>
    <w:p w14:paraId="512293ED" w14:textId="60EA07D9" w:rsidR="00CE2BE3" w:rsidRDefault="00CE2BE3" w:rsidP="00CE2BE3">
      <w:pPr>
        <w:jc w:val="both"/>
      </w:pPr>
      <w:r>
        <w:t xml:space="preserve">World Organisation for Animal Health </w:t>
      </w:r>
      <w:hyperlink r:id="rId25" w:history="1">
        <w:r>
          <w:rPr>
            <w:rStyle w:val="Hyperlink"/>
            <w:rFonts w:ascii="Calibri" w:hAnsi="Calibri" w:cs="Arial"/>
          </w:rPr>
          <w:t>Manual of diagnostic tests for aquatic animals</w:t>
        </w:r>
      </w:hyperlink>
    </w:p>
    <w:p w14:paraId="3691C84F" w14:textId="77777777" w:rsidR="00CE2BE3" w:rsidRDefault="00CE2BE3" w:rsidP="00CE2BE3">
      <w:r>
        <w:t>These hyperlinks were correct at the time of publication.</w:t>
      </w:r>
    </w:p>
    <w:p w14:paraId="11BE570B" w14:textId="77777777" w:rsidR="00CE2BE3" w:rsidRDefault="00CE2BE3" w:rsidP="00CE2BE3">
      <w:pPr>
        <w:pStyle w:val="Heading2"/>
        <w:ind w:left="0" w:firstLine="0"/>
      </w:pPr>
      <w:r>
        <w:t>Contact details</w:t>
      </w:r>
    </w:p>
    <w:p w14:paraId="4E1DFA64" w14:textId="77777777" w:rsidR="00CE2BE3" w:rsidRDefault="00CE2BE3" w:rsidP="00CE2BE3">
      <w:pPr>
        <w:spacing w:after="0"/>
      </w:pPr>
      <w:r>
        <w:t>Emergency Animal Disease Watch Hotline 1800 675 888</w:t>
      </w:r>
    </w:p>
    <w:p w14:paraId="6F1BAD69" w14:textId="77777777" w:rsidR="00CE2BE3" w:rsidRDefault="00CE2BE3" w:rsidP="00CE2BE3">
      <w:r>
        <w:t xml:space="preserve">Email </w:t>
      </w:r>
      <w:hyperlink r:id="rId26" w:history="1">
        <w:r>
          <w:rPr>
            <w:rStyle w:val="Hyperlink"/>
          </w:rPr>
          <w:t>AAH@agriculture.gov.au</w:t>
        </w:r>
      </w:hyperlink>
      <w:r>
        <w:cr/>
        <w:t xml:space="preserve">Website </w:t>
      </w:r>
      <w:hyperlink r:id="rId27" w:history="1">
        <w:r>
          <w:rPr>
            <w:rStyle w:val="Hyperlink"/>
          </w:rPr>
          <w:t>agriculture.gov.au/pests-diseases-weeds/aquatic</w:t>
        </w:r>
      </w:hyperlink>
    </w:p>
    <w:p w14:paraId="13D8823E" w14:textId="5AC03DAD" w:rsidR="00CE2BE3" w:rsidRDefault="00CE2BE3" w:rsidP="00CE2BE3">
      <w:pPr>
        <w:pStyle w:val="Normalsmall"/>
      </w:pPr>
      <w:r>
        <w:t>© Commonwealth of Australia 20</w:t>
      </w:r>
      <w:r w:rsidR="0092018A">
        <w:t>20</w:t>
      </w:r>
    </w:p>
    <w:p w14:paraId="2296F6B1" w14:textId="23680AA3" w:rsidR="00CE2BE3" w:rsidRPr="00F11418" w:rsidRDefault="00CE2BE3" w:rsidP="00F11418">
      <w:pPr>
        <w:pStyle w:val="Normalsmall"/>
      </w:pPr>
      <w:r>
        <w:t>This work is copyright. It may be reproduced in whole or in part subject to the inclusion of an acknowledgement of the source and no commercial usage or s</w:t>
      </w:r>
      <w:bookmarkStart w:id="2" w:name="_GoBack"/>
      <w:bookmarkEnd w:id="2"/>
      <w:r>
        <w:t>ale.</w:t>
      </w:r>
    </w:p>
    <w:sectPr w:rsidR="00CE2BE3" w:rsidRPr="00F11418">
      <w:headerReference w:type="default" r:id="rId28"/>
      <w:footerReference w:type="default" r:id="rId29"/>
      <w:headerReference w:type="first" r:id="rId3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C1D4D" w14:textId="77777777" w:rsidR="00060A8E" w:rsidRDefault="003F6F99">
      <w:r>
        <w:separator/>
      </w:r>
    </w:p>
    <w:p w14:paraId="38ACF7FA" w14:textId="77777777" w:rsidR="00060A8E" w:rsidRDefault="00060A8E"/>
    <w:p w14:paraId="5EB205F7" w14:textId="77777777" w:rsidR="00060A8E" w:rsidRDefault="00060A8E"/>
  </w:endnote>
  <w:endnote w:type="continuationSeparator" w:id="0">
    <w:p w14:paraId="656B09DF" w14:textId="77777777" w:rsidR="00060A8E" w:rsidRDefault="003F6F99">
      <w:r>
        <w:continuationSeparator/>
      </w:r>
    </w:p>
    <w:p w14:paraId="5666AE91" w14:textId="77777777" w:rsidR="00060A8E" w:rsidRDefault="00060A8E"/>
    <w:p w14:paraId="3C43C27F" w14:textId="77777777" w:rsidR="00060A8E" w:rsidRDefault="00060A8E"/>
  </w:endnote>
  <w:endnote w:type="continuationNotice" w:id="1">
    <w:p w14:paraId="489FC037" w14:textId="77777777" w:rsidR="00060A8E" w:rsidRDefault="00060A8E">
      <w:pPr>
        <w:pStyle w:val="Footer"/>
      </w:pPr>
    </w:p>
    <w:p w14:paraId="339DCA7C" w14:textId="77777777" w:rsidR="00060A8E" w:rsidRDefault="00060A8E"/>
    <w:p w14:paraId="476DBBFB" w14:textId="77777777" w:rsidR="00060A8E" w:rsidRDefault="00060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C7513" w14:textId="145EA8C3" w:rsidR="00060A8E" w:rsidRDefault="0092018A">
    <w:pPr>
      <w:pStyle w:val="Footer"/>
    </w:pPr>
    <w:r>
      <w:t>Department of Agriculture, Water and the Environment</w:t>
    </w:r>
  </w:p>
  <w:p w14:paraId="59442042" w14:textId="77777777" w:rsidR="00060A8E" w:rsidRDefault="003F6F99">
    <w:pPr>
      <w:pStyle w:val="Footer"/>
    </w:pPr>
    <w:r>
      <w:fldChar w:fldCharType="begin"/>
    </w:r>
    <w:r>
      <w:instrText xml:space="preserve"> PAGE   \* MERGEFORMAT </w:instrText>
    </w:r>
    <w:r>
      <w:fldChar w:fldCharType="separate"/>
    </w:r>
    <w:r w:rsidR="00341394">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985CE" w14:textId="77777777" w:rsidR="00060A8E" w:rsidRDefault="003F6F99">
      <w:r>
        <w:separator/>
      </w:r>
    </w:p>
    <w:p w14:paraId="00CF1D29" w14:textId="77777777" w:rsidR="00060A8E" w:rsidRDefault="00060A8E"/>
    <w:p w14:paraId="249E61F9" w14:textId="77777777" w:rsidR="00060A8E" w:rsidRDefault="00060A8E"/>
  </w:footnote>
  <w:footnote w:type="continuationSeparator" w:id="0">
    <w:p w14:paraId="77267E16" w14:textId="77777777" w:rsidR="00060A8E" w:rsidRDefault="003F6F99">
      <w:r>
        <w:continuationSeparator/>
      </w:r>
    </w:p>
    <w:p w14:paraId="1AC01857" w14:textId="77777777" w:rsidR="00060A8E" w:rsidRDefault="00060A8E"/>
    <w:p w14:paraId="56728F4E" w14:textId="77777777" w:rsidR="00060A8E" w:rsidRDefault="00060A8E"/>
  </w:footnote>
  <w:footnote w:type="continuationNotice" w:id="1">
    <w:p w14:paraId="3E12C118" w14:textId="77777777" w:rsidR="00060A8E" w:rsidRDefault="00060A8E">
      <w:pPr>
        <w:pStyle w:val="Footer"/>
      </w:pPr>
    </w:p>
    <w:p w14:paraId="708693FA" w14:textId="77777777" w:rsidR="00060A8E" w:rsidRDefault="00060A8E"/>
    <w:p w14:paraId="75E7CAFD" w14:textId="77777777" w:rsidR="00060A8E" w:rsidRDefault="00060A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BE9D" w14:textId="77777777" w:rsidR="00060A8E" w:rsidRDefault="003F6F99">
    <w:pPr>
      <w:pStyle w:val="Header"/>
    </w:pPr>
    <w:r>
      <w:t xml:space="preserve">Infection with </w:t>
    </w:r>
    <w:proofErr w:type="spellStart"/>
    <w:r>
      <w:rPr>
        <w:i/>
      </w:rPr>
      <w:t>Hepatobacter</w:t>
    </w:r>
    <w:proofErr w:type="spellEnd"/>
    <w:r>
      <w:rPr>
        <w:i/>
      </w:rPr>
      <w:t xml:space="preserve"> </w:t>
    </w:r>
    <w:proofErr w:type="spellStart"/>
    <w:r>
      <w:rPr>
        <w:i/>
      </w:rPr>
      <w:t>penaei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E77C" w14:textId="77777777" w:rsidR="00060A8E" w:rsidRDefault="003F6F99">
    <w:pPr>
      <w:pStyle w:val="Header"/>
      <w:jc w:val="left"/>
    </w:pPr>
    <w:r>
      <w:rPr>
        <w:noProof/>
        <w:lang w:eastAsia="en-AU"/>
      </w:rPr>
      <w:drawing>
        <wp:anchor distT="0" distB="0" distL="114300" distR="114300" simplePos="0" relativeHeight="251659264" behindDoc="1" locked="0" layoutInCell="1" allowOverlap="1" wp14:anchorId="78C7703A" wp14:editId="3D1CA64D">
          <wp:simplePos x="0" y="0"/>
          <wp:positionH relativeFrom="page">
            <wp:align>left</wp:align>
          </wp:positionH>
          <wp:positionV relativeFrom="paragraph">
            <wp:posOffset>-362310</wp:posOffset>
          </wp:positionV>
          <wp:extent cx="7579637" cy="162391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37" cy="1623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A8E"/>
    <w:rsid w:val="00060A8E"/>
    <w:rsid w:val="001A6FFD"/>
    <w:rsid w:val="001E5045"/>
    <w:rsid w:val="0024798F"/>
    <w:rsid w:val="002A1262"/>
    <w:rsid w:val="002E2EC3"/>
    <w:rsid w:val="00341394"/>
    <w:rsid w:val="003E1FC9"/>
    <w:rsid w:val="003F6F99"/>
    <w:rsid w:val="0049158C"/>
    <w:rsid w:val="004C5A78"/>
    <w:rsid w:val="00585E4F"/>
    <w:rsid w:val="005E3A2F"/>
    <w:rsid w:val="005F7B27"/>
    <w:rsid w:val="006D5BB9"/>
    <w:rsid w:val="00712200"/>
    <w:rsid w:val="0073687E"/>
    <w:rsid w:val="007D02CE"/>
    <w:rsid w:val="007D67B5"/>
    <w:rsid w:val="00820D0B"/>
    <w:rsid w:val="008C1908"/>
    <w:rsid w:val="0092002C"/>
    <w:rsid w:val="0092018A"/>
    <w:rsid w:val="009A55BF"/>
    <w:rsid w:val="00A6176D"/>
    <w:rsid w:val="00AB28EF"/>
    <w:rsid w:val="00B60A75"/>
    <w:rsid w:val="00C15A92"/>
    <w:rsid w:val="00C37994"/>
    <w:rsid w:val="00C6534B"/>
    <w:rsid w:val="00C750D6"/>
    <w:rsid w:val="00CE2BE3"/>
    <w:rsid w:val="00D97C97"/>
    <w:rsid w:val="00E304C6"/>
    <w:rsid w:val="00EE3C20"/>
    <w:rsid w:val="00F11418"/>
    <w:rsid w:val="00F47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E4F1B5A"/>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 w:type="character" w:customStyle="1" w:styleId="veryhardreadability">
    <w:name w:val="veryhardreadability"/>
    <w:basedOn w:val="DefaultParagraphFont"/>
    <w:rsid w:val="004C5A78"/>
  </w:style>
  <w:style w:type="character" w:customStyle="1" w:styleId="hardreadability">
    <w:name w:val="hardreadability"/>
    <w:basedOn w:val="DefaultParagraphFont"/>
    <w:rsid w:val="004C5A78"/>
  </w:style>
  <w:style w:type="character" w:customStyle="1" w:styleId="adverb">
    <w:name w:val="adverb"/>
    <w:basedOn w:val="DefaultParagraphFont"/>
    <w:rsid w:val="004C5A78"/>
  </w:style>
  <w:style w:type="character" w:customStyle="1" w:styleId="passivevoice">
    <w:name w:val="passivevoice"/>
    <w:basedOn w:val="DefaultParagraphFont"/>
    <w:rsid w:val="004C5A78"/>
  </w:style>
  <w:style w:type="character" w:customStyle="1" w:styleId="complexword">
    <w:name w:val="complexword"/>
    <w:basedOn w:val="DefaultParagraphFont"/>
    <w:rsid w:val="004C5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51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0933">
      <w:bodyDiv w:val="1"/>
      <w:marLeft w:val="0"/>
      <w:marRight w:val="0"/>
      <w:marTop w:val="0"/>
      <w:marBottom w:val="0"/>
      <w:divBdr>
        <w:top w:val="none" w:sz="0" w:space="0" w:color="auto"/>
        <w:left w:val="none" w:sz="0" w:space="0" w:color="auto"/>
        <w:bottom w:val="none" w:sz="0" w:space="0" w:color="auto"/>
        <w:right w:val="none" w:sz="0" w:space="0" w:color="auto"/>
      </w:divBdr>
    </w:div>
    <w:div w:id="605619815">
      <w:bodyDiv w:val="1"/>
      <w:marLeft w:val="0"/>
      <w:marRight w:val="0"/>
      <w:marTop w:val="0"/>
      <w:marBottom w:val="0"/>
      <w:divBdr>
        <w:top w:val="none" w:sz="0" w:space="0" w:color="auto"/>
        <w:left w:val="none" w:sz="0" w:space="0" w:color="auto"/>
        <w:bottom w:val="none" w:sz="0" w:space="0" w:color="auto"/>
        <w:right w:val="none" w:sz="0" w:space="0" w:color="auto"/>
      </w:divBdr>
      <w:divsChild>
        <w:div w:id="1056975829">
          <w:marLeft w:val="0"/>
          <w:marRight w:val="0"/>
          <w:marTop w:val="0"/>
          <w:marBottom w:val="0"/>
          <w:divBdr>
            <w:top w:val="none" w:sz="0" w:space="0" w:color="auto"/>
            <w:left w:val="none" w:sz="0" w:space="0" w:color="auto"/>
            <w:bottom w:val="none" w:sz="0" w:space="0" w:color="auto"/>
            <w:right w:val="none" w:sz="0" w:space="0" w:color="auto"/>
          </w:divBdr>
          <w:divsChild>
            <w:div w:id="835001037">
              <w:marLeft w:val="0"/>
              <w:marRight w:val="0"/>
              <w:marTop w:val="0"/>
              <w:marBottom w:val="0"/>
              <w:divBdr>
                <w:top w:val="none" w:sz="0" w:space="0" w:color="auto"/>
                <w:left w:val="none" w:sz="0" w:space="0" w:color="auto"/>
                <w:bottom w:val="none" w:sz="0" w:space="0" w:color="auto"/>
                <w:right w:val="none" w:sz="0" w:space="0" w:color="auto"/>
              </w:divBdr>
              <w:divsChild>
                <w:div w:id="394471114">
                  <w:marLeft w:val="0"/>
                  <w:marRight w:val="0"/>
                  <w:marTop w:val="0"/>
                  <w:marBottom w:val="0"/>
                  <w:divBdr>
                    <w:top w:val="none" w:sz="0" w:space="0" w:color="auto"/>
                    <w:left w:val="none" w:sz="0" w:space="0" w:color="auto"/>
                    <w:bottom w:val="none" w:sz="0" w:space="0" w:color="auto"/>
                    <w:right w:val="none" w:sz="0" w:space="0" w:color="auto"/>
                  </w:divBdr>
                  <w:divsChild>
                    <w:div w:id="538514344">
                      <w:marLeft w:val="0"/>
                      <w:marRight w:val="0"/>
                      <w:marTop w:val="0"/>
                      <w:marBottom w:val="0"/>
                      <w:divBdr>
                        <w:top w:val="none" w:sz="0" w:space="0" w:color="auto"/>
                        <w:left w:val="none" w:sz="0" w:space="0" w:color="auto"/>
                        <w:bottom w:val="none" w:sz="0" w:space="0" w:color="auto"/>
                        <w:right w:val="none" w:sz="0" w:space="0" w:color="auto"/>
                      </w:divBdr>
                      <w:divsChild>
                        <w:div w:id="1112212478">
                          <w:marLeft w:val="0"/>
                          <w:marRight w:val="0"/>
                          <w:marTop w:val="0"/>
                          <w:marBottom w:val="0"/>
                          <w:divBdr>
                            <w:top w:val="none" w:sz="0" w:space="0" w:color="auto"/>
                            <w:left w:val="none" w:sz="0" w:space="0" w:color="auto"/>
                            <w:bottom w:val="none" w:sz="0" w:space="0" w:color="auto"/>
                            <w:right w:val="none" w:sz="0" w:space="0" w:color="auto"/>
                          </w:divBdr>
                          <w:divsChild>
                            <w:div w:id="1834880680">
                              <w:marLeft w:val="0"/>
                              <w:marRight w:val="0"/>
                              <w:marTop w:val="0"/>
                              <w:marBottom w:val="0"/>
                              <w:divBdr>
                                <w:top w:val="none" w:sz="0" w:space="0" w:color="auto"/>
                                <w:left w:val="none" w:sz="0" w:space="0" w:color="auto"/>
                                <w:bottom w:val="none" w:sz="0" w:space="0" w:color="auto"/>
                                <w:right w:val="none" w:sz="0" w:space="0" w:color="auto"/>
                              </w:divBdr>
                              <w:divsChild>
                                <w:div w:id="824977817">
                                  <w:marLeft w:val="0"/>
                                  <w:marRight w:val="0"/>
                                  <w:marTop w:val="0"/>
                                  <w:marBottom w:val="0"/>
                                  <w:divBdr>
                                    <w:top w:val="none" w:sz="0" w:space="0" w:color="auto"/>
                                    <w:left w:val="none" w:sz="0" w:space="0" w:color="auto"/>
                                    <w:bottom w:val="none" w:sz="0" w:space="0" w:color="auto"/>
                                    <w:right w:val="none" w:sz="0" w:space="0" w:color="auto"/>
                                  </w:divBdr>
                                  <w:divsChild>
                                    <w:div w:id="1414667511">
                                      <w:marLeft w:val="0"/>
                                      <w:marRight w:val="0"/>
                                      <w:marTop w:val="0"/>
                                      <w:marBottom w:val="0"/>
                                      <w:divBdr>
                                        <w:top w:val="none" w:sz="0" w:space="0" w:color="auto"/>
                                        <w:left w:val="none" w:sz="0" w:space="0" w:color="auto"/>
                                        <w:bottom w:val="none" w:sz="0" w:space="0" w:color="auto"/>
                                        <w:right w:val="none" w:sz="0" w:space="0" w:color="auto"/>
                                      </w:divBdr>
                                      <w:divsChild>
                                        <w:div w:id="1498958832">
                                          <w:marLeft w:val="0"/>
                                          <w:marRight w:val="0"/>
                                          <w:marTop w:val="0"/>
                                          <w:marBottom w:val="0"/>
                                          <w:divBdr>
                                            <w:top w:val="none" w:sz="0" w:space="0" w:color="auto"/>
                                            <w:left w:val="none" w:sz="0" w:space="0" w:color="auto"/>
                                            <w:bottom w:val="none" w:sz="0" w:space="0" w:color="auto"/>
                                            <w:right w:val="none" w:sz="0" w:space="0" w:color="auto"/>
                                          </w:divBdr>
                                          <w:divsChild>
                                            <w:div w:id="98650486">
                                              <w:marLeft w:val="0"/>
                                              <w:marRight w:val="0"/>
                                              <w:marTop w:val="0"/>
                                              <w:marBottom w:val="0"/>
                                              <w:divBdr>
                                                <w:top w:val="none" w:sz="0" w:space="0" w:color="auto"/>
                                                <w:left w:val="none" w:sz="0" w:space="0" w:color="auto"/>
                                                <w:bottom w:val="none" w:sz="0" w:space="0" w:color="auto"/>
                                                <w:right w:val="none" w:sz="0" w:space="0" w:color="auto"/>
                                              </w:divBdr>
                                              <w:divsChild>
                                                <w:div w:id="5426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8207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01310">
      <w:bodyDiv w:val="1"/>
      <w:marLeft w:val="0"/>
      <w:marRight w:val="0"/>
      <w:marTop w:val="0"/>
      <w:marBottom w:val="0"/>
      <w:divBdr>
        <w:top w:val="none" w:sz="0" w:space="0" w:color="auto"/>
        <w:left w:val="none" w:sz="0" w:space="0" w:color="auto"/>
        <w:bottom w:val="none" w:sz="0" w:space="0" w:color="auto"/>
        <w:right w:val="none" w:sz="0" w:space="0" w:color="auto"/>
      </w:divBdr>
    </w:div>
    <w:div w:id="1068770090">
      <w:bodyDiv w:val="1"/>
      <w:marLeft w:val="0"/>
      <w:marRight w:val="0"/>
      <w:marTop w:val="0"/>
      <w:marBottom w:val="0"/>
      <w:divBdr>
        <w:top w:val="none" w:sz="0" w:space="0" w:color="auto"/>
        <w:left w:val="none" w:sz="0" w:space="0" w:color="auto"/>
        <w:bottom w:val="none" w:sz="0" w:space="0" w:color="auto"/>
        <w:right w:val="none" w:sz="0" w:space="0" w:color="auto"/>
      </w:divBdr>
      <w:divsChild>
        <w:div w:id="758217868">
          <w:marLeft w:val="0"/>
          <w:marRight w:val="0"/>
          <w:marTop w:val="0"/>
          <w:marBottom w:val="0"/>
          <w:divBdr>
            <w:top w:val="none" w:sz="0" w:space="0" w:color="auto"/>
            <w:left w:val="none" w:sz="0" w:space="0" w:color="auto"/>
            <w:bottom w:val="none" w:sz="0" w:space="0" w:color="auto"/>
            <w:right w:val="none" w:sz="0" w:space="0" w:color="auto"/>
          </w:divBdr>
          <w:divsChild>
            <w:div w:id="2126927042">
              <w:marLeft w:val="0"/>
              <w:marRight w:val="0"/>
              <w:marTop w:val="0"/>
              <w:marBottom w:val="0"/>
              <w:divBdr>
                <w:top w:val="none" w:sz="0" w:space="0" w:color="auto"/>
                <w:left w:val="none" w:sz="0" w:space="0" w:color="auto"/>
                <w:bottom w:val="none" w:sz="0" w:space="0" w:color="auto"/>
                <w:right w:val="none" w:sz="0" w:space="0" w:color="auto"/>
              </w:divBdr>
              <w:divsChild>
                <w:div w:id="2062704967">
                  <w:marLeft w:val="0"/>
                  <w:marRight w:val="0"/>
                  <w:marTop w:val="0"/>
                  <w:marBottom w:val="0"/>
                  <w:divBdr>
                    <w:top w:val="none" w:sz="0" w:space="0" w:color="auto"/>
                    <w:left w:val="none" w:sz="0" w:space="0" w:color="auto"/>
                    <w:bottom w:val="none" w:sz="0" w:space="0" w:color="auto"/>
                    <w:right w:val="none" w:sz="0" w:space="0" w:color="auto"/>
                  </w:divBdr>
                  <w:divsChild>
                    <w:div w:id="1685283583">
                      <w:marLeft w:val="0"/>
                      <w:marRight w:val="0"/>
                      <w:marTop w:val="0"/>
                      <w:marBottom w:val="0"/>
                      <w:divBdr>
                        <w:top w:val="none" w:sz="0" w:space="0" w:color="auto"/>
                        <w:left w:val="none" w:sz="0" w:space="0" w:color="auto"/>
                        <w:bottom w:val="none" w:sz="0" w:space="0" w:color="auto"/>
                        <w:right w:val="none" w:sz="0" w:space="0" w:color="auto"/>
                      </w:divBdr>
                      <w:divsChild>
                        <w:div w:id="1223491997">
                          <w:marLeft w:val="0"/>
                          <w:marRight w:val="0"/>
                          <w:marTop w:val="0"/>
                          <w:marBottom w:val="0"/>
                          <w:divBdr>
                            <w:top w:val="none" w:sz="0" w:space="0" w:color="auto"/>
                            <w:left w:val="none" w:sz="0" w:space="0" w:color="auto"/>
                            <w:bottom w:val="none" w:sz="0" w:space="0" w:color="auto"/>
                            <w:right w:val="none" w:sz="0" w:space="0" w:color="auto"/>
                          </w:divBdr>
                          <w:divsChild>
                            <w:div w:id="2010402923">
                              <w:marLeft w:val="0"/>
                              <w:marRight w:val="0"/>
                              <w:marTop w:val="0"/>
                              <w:marBottom w:val="0"/>
                              <w:divBdr>
                                <w:top w:val="none" w:sz="0" w:space="0" w:color="auto"/>
                                <w:left w:val="none" w:sz="0" w:space="0" w:color="auto"/>
                                <w:bottom w:val="none" w:sz="0" w:space="0" w:color="auto"/>
                                <w:right w:val="none" w:sz="0" w:space="0" w:color="auto"/>
                              </w:divBdr>
                              <w:divsChild>
                                <w:div w:id="1352754987">
                                  <w:marLeft w:val="0"/>
                                  <w:marRight w:val="0"/>
                                  <w:marTop w:val="0"/>
                                  <w:marBottom w:val="0"/>
                                  <w:divBdr>
                                    <w:top w:val="none" w:sz="0" w:space="0" w:color="auto"/>
                                    <w:left w:val="none" w:sz="0" w:space="0" w:color="auto"/>
                                    <w:bottom w:val="none" w:sz="0" w:space="0" w:color="auto"/>
                                    <w:right w:val="none" w:sz="0" w:space="0" w:color="auto"/>
                                  </w:divBdr>
                                  <w:divsChild>
                                    <w:div w:id="1752582381">
                                      <w:marLeft w:val="0"/>
                                      <w:marRight w:val="0"/>
                                      <w:marTop w:val="0"/>
                                      <w:marBottom w:val="0"/>
                                      <w:divBdr>
                                        <w:top w:val="none" w:sz="0" w:space="0" w:color="auto"/>
                                        <w:left w:val="none" w:sz="0" w:space="0" w:color="auto"/>
                                        <w:bottom w:val="none" w:sz="0" w:space="0" w:color="auto"/>
                                        <w:right w:val="none" w:sz="0" w:space="0" w:color="auto"/>
                                      </w:divBdr>
                                      <w:divsChild>
                                        <w:div w:id="77606464">
                                          <w:marLeft w:val="0"/>
                                          <w:marRight w:val="0"/>
                                          <w:marTop w:val="0"/>
                                          <w:marBottom w:val="0"/>
                                          <w:divBdr>
                                            <w:top w:val="none" w:sz="0" w:space="0" w:color="auto"/>
                                            <w:left w:val="none" w:sz="0" w:space="0" w:color="auto"/>
                                            <w:bottom w:val="none" w:sz="0" w:space="0" w:color="auto"/>
                                            <w:right w:val="none" w:sz="0" w:space="0" w:color="auto"/>
                                          </w:divBdr>
                                          <w:divsChild>
                                            <w:div w:id="393889744">
                                              <w:marLeft w:val="0"/>
                                              <w:marRight w:val="0"/>
                                              <w:marTop w:val="0"/>
                                              <w:marBottom w:val="0"/>
                                              <w:divBdr>
                                                <w:top w:val="none" w:sz="0" w:space="0" w:color="auto"/>
                                                <w:left w:val="none" w:sz="0" w:space="0" w:color="auto"/>
                                                <w:bottom w:val="none" w:sz="0" w:space="0" w:color="auto"/>
                                                <w:right w:val="none" w:sz="0" w:space="0" w:color="auto"/>
                                              </w:divBdr>
                                              <w:divsChild>
                                                <w:div w:id="10392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649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2569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496508">
      <w:bodyDiv w:val="1"/>
      <w:marLeft w:val="0"/>
      <w:marRight w:val="0"/>
      <w:marTop w:val="0"/>
      <w:marBottom w:val="0"/>
      <w:divBdr>
        <w:top w:val="none" w:sz="0" w:space="0" w:color="auto"/>
        <w:left w:val="none" w:sz="0" w:space="0" w:color="auto"/>
        <w:bottom w:val="none" w:sz="0" w:space="0" w:color="auto"/>
        <w:right w:val="none" w:sz="0" w:space="0" w:color="auto"/>
      </w:divBdr>
      <w:divsChild>
        <w:div w:id="478109579">
          <w:marLeft w:val="0"/>
          <w:marRight w:val="0"/>
          <w:marTop w:val="0"/>
          <w:marBottom w:val="0"/>
          <w:divBdr>
            <w:top w:val="none" w:sz="0" w:space="0" w:color="auto"/>
            <w:left w:val="none" w:sz="0" w:space="0" w:color="auto"/>
            <w:bottom w:val="none" w:sz="0" w:space="0" w:color="auto"/>
            <w:right w:val="none" w:sz="0" w:space="0" w:color="auto"/>
          </w:divBdr>
          <w:divsChild>
            <w:div w:id="562368904">
              <w:marLeft w:val="0"/>
              <w:marRight w:val="0"/>
              <w:marTop w:val="0"/>
              <w:marBottom w:val="0"/>
              <w:divBdr>
                <w:top w:val="none" w:sz="0" w:space="0" w:color="auto"/>
                <w:left w:val="none" w:sz="0" w:space="0" w:color="auto"/>
                <w:bottom w:val="none" w:sz="0" w:space="0" w:color="auto"/>
                <w:right w:val="none" w:sz="0" w:space="0" w:color="auto"/>
              </w:divBdr>
              <w:divsChild>
                <w:div w:id="863904307">
                  <w:marLeft w:val="0"/>
                  <w:marRight w:val="0"/>
                  <w:marTop w:val="0"/>
                  <w:marBottom w:val="0"/>
                  <w:divBdr>
                    <w:top w:val="none" w:sz="0" w:space="0" w:color="auto"/>
                    <w:left w:val="none" w:sz="0" w:space="0" w:color="auto"/>
                    <w:bottom w:val="none" w:sz="0" w:space="0" w:color="auto"/>
                    <w:right w:val="none" w:sz="0" w:space="0" w:color="auto"/>
                  </w:divBdr>
                  <w:divsChild>
                    <w:div w:id="1159342741">
                      <w:marLeft w:val="0"/>
                      <w:marRight w:val="0"/>
                      <w:marTop w:val="0"/>
                      <w:marBottom w:val="0"/>
                      <w:divBdr>
                        <w:top w:val="none" w:sz="0" w:space="0" w:color="auto"/>
                        <w:left w:val="none" w:sz="0" w:space="0" w:color="auto"/>
                        <w:bottom w:val="none" w:sz="0" w:space="0" w:color="auto"/>
                        <w:right w:val="none" w:sz="0" w:space="0" w:color="auto"/>
                      </w:divBdr>
                      <w:divsChild>
                        <w:div w:id="884759183">
                          <w:marLeft w:val="0"/>
                          <w:marRight w:val="0"/>
                          <w:marTop w:val="0"/>
                          <w:marBottom w:val="0"/>
                          <w:divBdr>
                            <w:top w:val="none" w:sz="0" w:space="0" w:color="auto"/>
                            <w:left w:val="none" w:sz="0" w:space="0" w:color="auto"/>
                            <w:bottom w:val="none" w:sz="0" w:space="0" w:color="auto"/>
                            <w:right w:val="none" w:sz="0" w:space="0" w:color="auto"/>
                          </w:divBdr>
                          <w:divsChild>
                            <w:div w:id="1295528254">
                              <w:marLeft w:val="0"/>
                              <w:marRight w:val="0"/>
                              <w:marTop w:val="0"/>
                              <w:marBottom w:val="0"/>
                              <w:divBdr>
                                <w:top w:val="none" w:sz="0" w:space="0" w:color="auto"/>
                                <w:left w:val="none" w:sz="0" w:space="0" w:color="auto"/>
                                <w:bottom w:val="none" w:sz="0" w:space="0" w:color="auto"/>
                                <w:right w:val="none" w:sz="0" w:space="0" w:color="auto"/>
                              </w:divBdr>
                              <w:divsChild>
                                <w:div w:id="595479202">
                                  <w:marLeft w:val="0"/>
                                  <w:marRight w:val="0"/>
                                  <w:marTop w:val="0"/>
                                  <w:marBottom w:val="0"/>
                                  <w:divBdr>
                                    <w:top w:val="none" w:sz="0" w:space="0" w:color="auto"/>
                                    <w:left w:val="none" w:sz="0" w:space="0" w:color="auto"/>
                                    <w:bottom w:val="none" w:sz="0" w:space="0" w:color="auto"/>
                                    <w:right w:val="none" w:sz="0" w:space="0" w:color="auto"/>
                                  </w:divBdr>
                                  <w:divsChild>
                                    <w:div w:id="546138607">
                                      <w:marLeft w:val="0"/>
                                      <w:marRight w:val="0"/>
                                      <w:marTop w:val="0"/>
                                      <w:marBottom w:val="0"/>
                                      <w:divBdr>
                                        <w:top w:val="none" w:sz="0" w:space="0" w:color="auto"/>
                                        <w:left w:val="none" w:sz="0" w:space="0" w:color="auto"/>
                                        <w:bottom w:val="none" w:sz="0" w:space="0" w:color="auto"/>
                                        <w:right w:val="none" w:sz="0" w:space="0" w:color="auto"/>
                                      </w:divBdr>
                                      <w:divsChild>
                                        <w:div w:id="734856757">
                                          <w:marLeft w:val="0"/>
                                          <w:marRight w:val="0"/>
                                          <w:marTop w:val="0"/>
                                          <w:marBottom w:val="0"/>
                                          <w:divBdr>
                                            <w:top w:val="none" w:sz="0" w:space="0" w:color="auto"/>
                                            <w:left w:val="none" w:sz="0" w:space="0" w:color="auto"/>
                                            <w:bottom w:val="none" w:sz="0" w:space="0" w:color="auto"/>
                                            <w:right w:val="none" w:sz="0" w:space="0" w:color="auto"/>
                                          </w:divBdr>
                                          <w:divsChild>
                                            <w:div w:id="1149639770">
                                              <w:marLeft w:val="0"/>
                                              <w:marRight w:val="0"/>
                                              <w:marTop w:val="0"/>
                                              <w:marBottom w:val="0"/>
                                              <w:divBdr>
                                                <w:top w:val="none" w:sz="0" w:space="0" w:color="auto"/>
                                                <w:left w:val="none" w:sz="0" w:space="0" w:color="auto"/>
                                                <w:bottom w:val="none" w:sz="0" w:space="0" w:color="auto"/>
                                                <w:right w:val="none" w:sz="0" w:space="0" w:color="auto"/>
                                              </w:divBdr>
                                              <w:divsChild>
                                                <w:div w:id="5725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AAH@agriculture.gov.au"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oie.int/en/international-standard-setting/aquatic-manual/access-online"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efas.co.uk/international-database-on-aquatic-animal-diseases/disease-data/?id=9"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abi.org/ISC/datasheet/73087"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agriculture.gov.au/pests-diseases-weeds/aquatic"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31753-5EF2-47B6-ADF6-2DAD6D577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9</TotalTime>
  <Pages>9</Pages>
  <Words>1294</Words>
  <Characters>7381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Infection with Hepatobacter penaei</vt:lpstr>
    </vt:vector>
  </TitlesOfParts>
  <Company>Department of Agriculture Fisheries &amp; Forestry</Company>
  <LinksUpToDate>false</LinksUpToDate>
  <CharactersWithSpaces>8658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Hepatobacter penaei</dc:title>
  <dc:creator>Department of Agriculture</dc:creator>
  <cp:lastModifiedBy>Caldwell, Louise</cp:lastModifiedBy>
  <cp:revision>9</cp:revision>
  <cp:lastPrinted>2020-03-11T04:50:00Z</cp:lastPrinted>
  <dcterms:created xsi:type="dcterms:W3CDTF">2019-09-05T05:44:00Z</dcterms:created>
  <dcterms:modified xsi:type="dcterms:W3CDTF">2020-03-11T04:50:00Z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