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F9270" w14:textId="2FA7D5C0" w:rsidR="002C1E29" w:rsidRDefault="0079157D">
      <w:pPr>
        <w:pStyle w:val="Heading1"/>
      </w:pPr>
      <w:r>
        <w:t>Infection with infectious hypodermal and haematopoietic necrosis virus (IHHNV)</w:t>
      </w:r>
    </w:p>
    <w:p w14:paraId="32E1BBF6" w14:textId="111186AF" w:rsidR="002C1E29" w:rsidRDefault="0079157D">
      <w:pPr>
        <w:pStyle w:val="Subtitle"/>
      </w:pPr>
      <w:r>
        <w:rPr>
          <w:sz w:val="24"/>
          <w:szCs w:val="24"/>
        </w:rPr>
        <w:t>A</w:t>
      </w:r>
      <w:r w:rsidRPr="00352584">
        <w:rPr>
          <w:sz w:val="24"/>
          <w:szCs w:val="24"/>
        </w:rPr>
        <w:t xml:space="preserve">lso known as </w:t>
      </w:r>
      <w:r w:rsidR="00352584" w:rsidRPr="00352584">
        <w:rPr>
          <w:sz w:val="24"/>
          <w:szCs w:val="24"/>
        </w:rPr>
        <w:t xml:space="preserve">infectious hypodermal and haematopoietic necrosis (IHHN), </w:t>
      </w:r>
      <w:r>
        <w:rPr>
          <w:sz w:val="24"/>
          <w:szCs w:val="24"/>
        </w:rPr>
        <w:t xml:space="preserve">infection with </w:t>
      </w:r>
      <w:r>
        <w:rPr>
          <w:rStyle w:val="Emphasis"/>
          <w:sz w:val="24"/>
          <w:szCs w:val="24"/>
        </w:rPr>
        <w:t xml:space="preserve">Penaeus </w:t>
      </w:r>
      <w:proofErr w:type="spellStart"/>
      <w:r>
        <w:rPr>
          <w:rStyle w:val="Emphasis"/>
          <w:sz w:val="24"/>
          <w:szCs w:val="24"/>
        </w:rPr>
        <w:t>stylirostris</w:t>
      </w:r>
      <w:proofErr w:type="spellEnd"/>
      <w:r>
        <w:rPr>
          <w:sz w:val="24"/>
          <w:szCs w:val="24"/>
        </w:rPr>
        <w:t xml:space="preserve"> </w:t>
      </w:r>
      <w:proofErr w:type="spellStart"/>
      <w:r>
        <w:rPr>
          <w:sz w:val="24"/>
          <w:szCs w:val="24"/>
        </w:rPr>
        <w:t>densovirus</w:t>
      </w:r>
      <w:proofErr w:type="spellEnd"/>
      <w:r>
        <w:rPr>
          <w:sz w:val="24"/>
          <w:szCs w:val="24"/>
        </w:rPr>
        <w:t xml:space="preserve"> (</w:t>
      </w:r>
      <w:proofErr w:type="spellStart"/>
      <w:r>
        <w:rPr>
          <w:sz w:val="24"/>
          <w:szCs w:val="24"/>
        </w:rPr>
        <w:t>PstDNV</w:t>
      </w:r>
      <w:proofErr w:type="spellEnd"/>
      <w:r>
        <w:rPr>
          <w:sz w:val="24"/>
          <w:szCs w:val="24"/>
        </w:rPr>
        <w:t>) and runt deformity syndrome (RDS)</w:t>
      </w:r>
    </w:p>
    <w:p w14:paraId="18F4AE14" w14:textId="77777777" w:rsidR="002C1E29" w:rsidRDefault="0079157D">
      <w:pPr>
        <w:pStyle w:val="Subtitle"/>
      </w:pPr>
      <w:r>
        <w:t xml:space="preserve">From </w:t>
      </w:r>
      <w:r>
        <w:rPr>
          <w:rStyle w:val="Emphasis"/>
        </w:rPr>
        <w:t>Aquatic animal diseases significant to Australia: identification field guide</w:t>
      </w:r>
      <w:r>
        <w:t>, 5th edition</w:t>
      </w:r>
    </w:p>
    <w:p w14:paraId="7DC6E358" w14:textId="08183919" w:rsidR="002C1E29" w:rsidRDefault="0079157D">
      <w:pPr>
        <w:pStyle w:val="Caption"/>
      </w:pPr>
      <w:r>
        <w:t xml:space="preserve">Figure </w:t>
      </w:r>
      <w:r>
        <w:rPr>
          <w:noProof/>
        </w:rPr>
        <w:fldChar w:fldCharType="begin"/>
      </w:r>
      <w:r>
        <w:rPr>
          <w:noProof/>
        </w:rPr>
        <w:instrText xml:space="preserve"> SEQ Figure \* ARABIC </w:instrText>
      </w:r>
      <w:r>
        <w:rPr>
          <w:noProof/>
        </w:rPr>
        <w:fldChar w:fldCharType="separate"/>
      </w:r>
      <w:r w:rsidR="00AF45CE">
        <w:rPr>
          <w:noProof/>
        </w:rPr>
        <w:t>1</w:t>
      </w:r>
      <w:r>
        <w:rPr>
          <w:noProof/>
        </w:rPr>
        <w:fldChar w:fldCharType="end"/>
      </w:r>
      <w:r>
        <w:t xml:space="preserve"> Infection with IHHNV in juvenile Pacific blue shrimp (</w:t>
      </w:r>
      <w:r>
        <w:rPr>
          <w:rStyle w:val="Emphasis"/>
        </w:rPr>
        <w:t>Penaeus (</w:t>
      </w:r>
      <w:proofErr w:type="spellStart"/>
      <w:r>
        <w:rPr>
          <w:rStyle w:val="Emphasis"/>
        </w:rPr>
        <w:t>Litopenaeus</w:t>
      </w:r>
      <w:proofErr w:type="spellEnd"/>
      <w:r>
        <w:rPr>
          <w:rStyle w:val="Emphasis"/>
        </w:rPr>
        <w:t xml:space="preserve">) </w:t>
      </w:r>
      <w:proofErr w:type="spellStart"/>
      <w:r>
        <w:rPr>
          <w:rStyle w:val="Emphasis"/>
        </w:rPr>
        <w:t>stylirostris</w:t>
      </w:r>
      <w:proofErr w:type="spellEnd"/>
      <w:r>
        <w:t>)</w:t>
      </w:r>
    </w:p>
    <w:p w14:paraId="520C9C02" w14:textId="77777777" w:rsidR="002C1E29" w:rsidRDefault="0079157D">
      <w:pPr>
        <w:ind w:right="-2"/>
      </w:pPr>
      <w:r>
        <w:rPr>
          <w:noProof/>
          <w:lang w:eastAsia="en-AU"/>
        </w:rPr>
        <w:drawing>
          <wp:inline distT="0" distB="0" distL="0" distR="0" wp14:anchorId="5C2DEE84" wp14:editId="6E95687E">
            <wp:extent cx="3960000" cy="2551153"/>
            <wp:effectExtent l="0" t="0" r="2540" b="1905"/>
            <wp:docPr id="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HNVLightner.jpg"/>
                    <pic:cNvPicPr/>
                  </pic:nvPicPr>
                  <pic:blipFill>
                    <a:blip r:embed="rId11">
                      <a:extLst>
                        <a:ext uri="{28A0092B-C50C-407E-A947-70E740481C1C}">
                          <a14:useLocalDpi xmlns:a14="http://schemas.microsoft.com/office/drawing/2010/main" val="0"/>
                        </a:ext>
                      </a:extLst>
                    </a:blip>
                    <a:stretch>
                      <a:fillRect/>
                    </a:stretch>
                  </pic:blipFill>
                  <pic:spPr>
                    <a:xfrm>
                      <a:off x="0" y="0"/>
                      <a:ext cx="3960000" cy="2551153"/>
                    </a:xfrm>
                    <a:prstGeom prst="rect">
                      <a:avLst/>
                    </a:prstGeom>
                  </pic:spPr>
                </pic:pic>
              </a:graphicData>
            </a:graphic>
          </wp:inline>
        </w:drawing>
      </w:r>
    </w:p>
    <w:p w14:paraId="48C9C813" w14:textId="4C7A9E67" w:rsidR="002C1E29" w:rsidRDefault="0079157D">
      <w:pPr>
        <w:pStyle w:val="FigureTableNoteSource"/>
      </w:pPr>
      <w:r>
        <w:t>Note: White to buff lesions under carapace (</w:t>
      </w:r>
      <w:r w:rsidR="00D2793A" w:rsidRPr="00D2793A">
        <w:t>a</w:t>
      </w:r>
      <w:r>
        <w:t>).</w:t>
      </w:r>
    </w:p>
    <w:p w14:paraId="000D6875" w14:textId="77777777" w:rsidR="002C1E29" w:rsidRDefault="0079157D">
      <w:pPr>
        <w:pStyle w:val="FigureTableNoteSource"/>
      </w:pPr>
      <w:r>
        <w:t>Source: DV Lightner</w:t>
      </w:r>
    </w:p>
    <w:p w14:paraId="1D6D0508" w14:textId="12E7C58B" w:rsidR="002C1E29" w:rsidRDefault="0079157D">
      <w:pPr>
        <w:pStyle w:val="Caption"/>
      </w:pPr>
      <w:r>
        <w:t xml:space="preserve">Figure </w:t>
      </w:r>
      <w:r>
        <w:rPr>
          <w:noProof/>
        </w:rPr>
        <w:fldChar w:fldCharType="begin"/>
      </w:r>
      <w:r>
        <w:rPr>
          <w:noProof/>
        </w:rPr>
        <w:instrText xml:space="preserve"> SEQ Figure \* ARABIC </w:instrText>
      </w:r>
      <w:r>
        <w:rPr>
          <w:noProof/>
        </w:rPr>
        <w:fldChar w:fldCharType="separate"/>
      </w:r>
      <w:r w:rsidR="00AF45CE">
        <w:rPr>
          <w:noProof/>
        </w:rPr>
        <w:t>2</w:t>
      </w:r>
      <w:r>
        <w:rPr>
          <w:noProof/>
        </w:rPr>
        <w:fldChar w:fldCharType="end"/>
      </w:r>
      <w:r>
        <w:t xml:space="preserve"> Runt deformity syndrome due to infection with IHHNV in juvenile black tiger prawn (</w:t>
      </w:r>
      <w:r>
        <w:rPr>
          <w:rStyle w:val="Emphasis"/>
        </w:rPr>
        <w:t>Penaeus monodon</w:t>
      </w:r>
      <w:r>
        <w:t>)</w:t>
      </w:r>
    </w:p>
    <w:p w14:paraId="7A66C40B" w14:textId="77777777" w:rsidR="002C1E29" w:rsidRDefault="0079157D">
      <w:pPr>
        <w:ind w:right="-2"/>
      </w:pPr>
      <w:r>
        <w:rPr>
          <w:noProof/>
          <w:lang w:eastAsia="en-AU"/>
        </w:rPr>
        <w:drawing>
          <wp:inline distT="0" distB="0" distL="0" distR="0" wp14:anchorId="2A3E4693" wp14:editId="32262F2C">
            <wp:extent cx="3960000" cy="2390400"/>
            <wp:effectExtent l="0" t="0" r="254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HNV Diggles.jpg"/>
                    <pic:cNvPicPr/>
                  </pic:nvPicPr>
                  <pic:blipFill>
                    <a:blip r:embed="rId12" cstate="print"/>
                    <a:stretch>
                      <a:fillRect/>
                    </a:stretch>
                  </pic:blipFill>
                  <pic:spPr>
                    <a:xfrm>
                      <a:off x="0" y="0"/>
                      <a:ext cx="3960000" cy="2390400"/>
                    </a:xfrm>
                    <a:prstGeom prst="rect">
                      <a:avLst/>
                    </a:prstGeom>
                  </pic:spPr>
                </pic:pic>
              </a:graphicData>
            </a:graphic>
          </wp:inline>
        </w:drawing>
      </w:r>
    </w:p>
    <w:p w14:paraId="537BD40E" w14:textId="77777777" w:rsidR="002C1E29" w:rsidRDefault="0079157D">
      <w:pPr>
        <w:pStyle w:val="FigureTableNoteSource"/>
      </w:pPr>
      <w:r>
        <w:t>Note: Deformity of the sixth abdominal segment.</w:t>
      </w:r>
    </w:p>
    <w:p w14:paraId="5082F2E1" w14:textId="77777777" w:rsidR="002C1E29" w:rsidRDefault="0079157D">
      <w:pPr>
        <w:pStyle w:val="FigureTableNoteSource"/>
      </w:pPr>
      <w:r>
        <w:t xml:space="preserve">Source: B </w:t>
      </w:r>
      <w:proofErr w:type="spellStart"/>
      <w:r>
        <w:t>Diggles</w:t>
      </w:r>
      <w:proofErr w:type="spellEnd"/>
    </w:p>
    <w:p w14:paraId="4AAC7AC1" w14:textId="1A4DB79A" w:rsidR="002C1E29" w:rsidRDefault="0079157D">
      <w:pPr>
        <w:pStyle w:val="Caption"/>
      </w:pPr>
      <w:r>
        <w:lastRenderedPageBreak/>
        <w:t xml:space="preserve">Figure </w:t>
      </w:r>
      <w:r>
        <w:fldChar w:fldCharType="begin"/>
      </w:r>
      <w:r>
        <w:rPr>
          <w:noProof/>
        </w:rPr>
        <w:instrText xml:space="preserve"> SEQ Figure \* ARABIC </w:instrText>
      </w:r>
      <w:r>
        <w:fldChar w:fldCharType="separate"/>
      </w:r>
      <w:r w:rsidR="00AF45CE">
        <w:rPr>
          <w:noProof/>
        </w:rPr>
        <w:t>3</w:t>
      </w:r>
      <w:r>
        <w:fldChar w:fldCharType="end"/>
      </w:r>
      <w:r>
        <w:t xml:space="preserve"> </w:t>
      </w:r>
      <w:r w:rsidR="00746B90">
        <w:t>R</w:t>
      </w:r>
      <w:r>
        <w:t>unt deformity syndrome in juvenile Pacific blue shrimp (</w:t>
      </w:r>
      <w:r>
        <w:rPr>
          <w:rStyle w:val="Emphasis"/>
        </w:rPr>
        <w:t>Penaeus (</w:t>
      </w:r>
      <w:proofErr w:type="spellStart"/>
      <w:r>
        <w:rPr>
          <w:rStyle w:val="Emphasis"/>
        </w:rPr>
        <w:t>Litopenaeus</w:t>
      </w:r>
      <w:proofErr w:type="spellEnd"/>
      <w:r>
        <w:rPr>
          <w:rStyle w:val="Emphasis"/>
        </w:rPr>
        <w:t>) </w:t>
      </w:r>
      <w:proofErr w:type="spellStart"/>
      <w:r>
        <w:rPr>
          <w:rStyle w:val="Emphasis"/>
        </w:rPr>
        <w:t>stylirostris</w:t>
      </w:r>
      <w:proofErr w:type="spellEnd"/>
      <w:r>
        <w:rPr>
          <w:rStyle w:val="Emphasis"/>
        </w:rPr>
        <w:t>)</w:t>
      </w:r>
      <w:r>
        <w:t xml:space="preserve"> infected with IHHNV</w:t>
      </w:r>
    </w:p>
    <w:p w14:paraId="55EE0FDC" w14:textId="77777777" w:rsidR="002C1E29" w:rsidRDefault="0079157D">
      <w:r>
        <w:rPr>
          <w:noProof/>
          <w:lang w:eastAsia="en-AU"/>
        </w:rPr>
        <w:drawing>
          <wp:inline distT="0" distB="0" distL="0" distR="0" wp14:anchorId="7DEC868B" wp14:editId="75F28159">
            <wp:extent cx="4320000" cy="2757600"/>
            <wp:effectExtent l="0" t="0" r="4445" b="508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HNVLightner3.jpg"/>
                    <pic:cNvPicPr/>
                  </pic:nvPicPr>
                  <pic:blipFill>
                    <a:blip r:embed="rId13" cstate="print"/>
                    <a:stretch>
                      <a:fillRect/>
                    </a:stretch>
                  </pic:blipFill>
                  <pic:spPr>
                    <a:xfrm>
                      <a:off x="0" y="0"/>
                      <a:ext cx="4320000" cy="2757600"/>
                    </a:xfrm>
                    <a:prstGeom prst="rect">
                      <a:avLst/>
                    </a:prstGeom>
                  </pic:spPr>
                </pic:pic>
              </a:graphicData>
            </a:graphic>
          </wp:inline>
        </w:drawing>
      </w:r>
    </w:p>
    <w:p w14:paraId="3D89F8FF" w14:textId="77777777" w:rsidR="00746B90" w:rsidRDefault="00746B90" w:rsidP="00746B90">
      <w:pPr>
        <w:pStyle w:val="FigureTableNoteSource"/>
      </w:pPr>
      <w:r>
        <w:t>Note: Classic rostrum deformation.</w:t>
      </w:r>
    </w:p>
    <w:p w14:paraId="28E34B48" w14:textId="77777777" w:rsidR="002C1E29" w:rsidRDefault="0079157D">
      <w:pPr>
        <w:pStyle w:val="FigureTableNoteSource"/>
      </w:pPr>
      <w:r>
        <w:t>Source: DV Lightner</w:t>
      </w:r>
    </w:p>
    <w:p w14:paraId="32CBD343" w14:textId="77777777" w:rsidR="002C1E29" w:rsidRDefault="0079157D">
      <w:pPr>
        <w:pStyle w:val="Heading2"/>
      </w:pPr>
      <w:r>
        <w:t>Signs of disease</w:t>
      </w:r>
    </w:p>
    <w:p w14:paraId="50747D77" w14:textId="77777777" w:rsidR="002C1E29" w:rsidRDefault="0079157D">
      <w:pPr>
        <w:rPr>
          <w:lang w:eastAsia="ja-JP"/>
        </w:rPr>
      </w:pPr>
      <w:r>
        <w:rPr>
          <w:lang w:eastAsia="ja-JP"/>
        </w:rPr>
        <w:t>Important: Animals with this disease may show one or more of these signs, but the pathogen may still be present in the absence of any signs.</w:t>
      </w:r>
    </w:p>
    <w:p w14:paraId="1FFE2D0D" w14:textId="77777777" w:rsidR="002C1E29" w:rsidRDefault="0079157D">
      <w:pPr>
        <w:rPr>
          <w:lang w:eastAsia="ja-JP"/>
        </w:rPr>
      </w:pPr>
      <w:r>
        <w:rPr>
          <w:lang w:eastAsia="ja-JP"/>
        </w:rPr>
        <w:t>Disease signs at the farm, tank or pond level are:</w:t>
      </w:r>
    </w:p>
    <w:p w14:paraId="751317FF" w14:textId="77777777" w:rsidR="002C1E29" w:rsidRDefault="0079157D">
      <w:pPr>
        <w:pStyle w:val="ListBullet"/>
        <w:rPr>
          <w:lang w:eastAsia="ja-JP"/>
        </w:rPr>
      </w:pPr>
      <w:r>
        <w:rPr>
          <w:lang w:eastAsia="ja-JP"/>
        </w:rPr>
        <w:t>reduced food consumption</w:t>
      </w:r>
    </w:p>
    <w:p w14:paraId="788C8E64" w14:textId="77777777" w:rsidR="002C1E29" w:rsidRDefault="0079157D">
      <w:pPr>
        <w:pStyle w:val="ListBullet"/>
        <w:rPr>
          <w:lang w:eastAsia="ja-JP"/>
        </w:rPr>
      </w:pPr>
      <w:r>
        <w:rPr>
          <w:lang w:eastAsia="ja-JP"/>
        </w:rPr>
        <w:t>cannibalism</w:t>
      </w:r>
    </w:p>
    <w:p w14:paraId="433F7CCD" w14:textId="77777777" w:rsidR="002C1E29" w:rsidRDefault="0079157D">
      <w:pPr>
        <w:pStyle w:val="ListBullet"/>
        <w:rPr>
          <w:lang w:eastAsia="ja-JP"/>
        </w:rPr>
      </w:pPr>
      <w:r>
        <w:rPr>
          <w:lang w:eastAsia="ja-JP"/>
        </w:rPr>
        <w:t>repeatedly floating slowly to the water surface, rolling over and then sinking to the bottom</w:t>
      </w:r>
    </w:p>
    <w:p w14:paraId="75A3A2A8" w14:textId="77777777" w:rsidR="002C1E29" w:rsidRDefault="0079157D">
      <w:pPr>
        <w:pStyle w:val="ListBullet"/>
        <w:rPr>
          <w:lang w:eastAsia="ja-JP"/>
        </w:rPr>
      </w:pPr>
      <w:r>
        <w:rPr>
          <w:lang w:eastAsia="ja-JP"/>
        </w:rPr>
        <w:t>morbidity or mortality</w:t>
      </w:r>
    </w:p>
    <w:p w14:paraId="21A3ED3C" w14:textId="77777777" w:rsidR="002C1E29" w:rsidRDefault="0079157D">
      <w:pPr>
        <w:pStyle w:val="ListBullet"/>
        <w:rPr>
          <w:lang w:eastAsia="ja-JP"/>
        </w:rPr>
      </w:pPr>
      <w:r>
        <w:rPr>
          <w:lang w:eastAsia="ja-JP"/>
        </w:rPr>
        <w:t>poor hatching success of eggs</w:t>
      </w:r>
    </w:p>
    <w:p w14:paraId="28D0E759" w14:textId="77777777" w:rsidR="002C1E29" w:rsidRDefault="0079157D">
      <w:pPr>
        <w:pStyle w:val="ListBullet"/>
        <w:rPr>
          <w:lang w:eastAsia="ja-JP"/>
        </w:rPr>
      </w:pPr>
      <w:r>
        <w:rPr>
          <w:lang w:eastAsia="ja-JP"/>
        </w:rPr>
        <w:t xml:space="preserve">poor survival of larvae and </w:t>
      </w:r>
      <w:proofErr w:type="spellStart"/>
      <w:r>
        <w:rPr>
          <w:lang w:eastAsia="ja-JP"/>
        </w:rPr>
        <w:t>postlarvae</w:t>
      </w:r>
      <w:proofErr w:type="spellEnd"/>
      <w:r>
        <w:rPr>
          <w:lang w:eastAsia="ja-JP"/>
        </w:rPr>
        <w:t>.</w:t>
      </w:r>
    </w:p>
    <w:p w14:paraId="7147FEEC" w14:textId="77777777" w:rsidR="002C1E29" w:rsidRDefault="0079157D">
      <w:pPr>
        <w:rPr>
          <w:lang w:eastAsia="ja-JP"/>
        </w:rPr>
      </w:pPr>
      <w:r>
        <w:rPr>
          <w:lang w:eastAsia="ja-JP"/>
        </w:rPr>
        <w:t>Gross pathological signs are:</w:t>
      </w:r>
    </w:p>
    <w:p w14:paraId="720B8969" w14:textId="22930F5B" w:rsidR="002C1E29" w:rsidRDefault="0079157D">
      <w:pPr>
        <w:pStyle w:val="ListBullet"/>
        <w:numPr>
          <w:ilvl w:val="0"/>
          <w:numId w:val="34"/>
        </w:numPr>
        <w:rPr>
          <w:lang w:eastAsia="ja-JP"/>
        </w:rPr>
      </w:pPr>
      <w:r>
        <w:rPr>
          <w:lang w:eastAsia="ja-JP"/>
        </w:rPr>
        <w:t>opaque abdominal musculature</w:t>
      </w:r>
    </w:p>
    <w:p w14:paraId="3FA36DB7" w14:textId="77777777" w:rsidR="002C1E29" w:rsidRDefault="0079157D">
      <w:pPr>
        <w:pStyle w:val="ListBullet"/>
        <w:numPr>
          <w:ilvl w:val="0"/>
          <w:numId w:val="34"/>
        </w:numPr>
        <w:rPr>
          <w:lang w:eastAsia="ja-JP"/>
        </w:rPr>
      </w:pPr>
      <w:r>
        <w:rPr>
          <w:lang w:eastAsia="ja-JP"/>
        </w:rPr>
        <w:t>white to buff lesions under the carapace.</w:t>
      </w:r>
    </w:p>
    <w:p w14:paraId="4C2E6E48" w14:textId="77777777" w:rsidR="002C1E29" w:rsidRDefault="0079157D">
      <w:pPr>
        <w:rPr>
          <w:lang w:eastAsia="ja-JP"/>
        </w:rPr>
      </w:pPr>
      <w:r>
        <w:rPr>
          <w:lang w:eastAsia="ja-JP"/>
        </w:rPr>
        <w:t xml:space="preserve">In Pacific blue </w:t>
      </w:r>
      <w:r>
        <w:t>shrimp</w:t>
      </w:r>
      <w:r>
        <w:rPr>
          <w:lang w:eastAsia="ja-JP"/>
        </w:rPr>
        <w:t>, Pacific white shrimp and black tiger prawns, additional gross pathological signs are:</w:t>
      </w:r>
    </w:p>
    <w:p w14:paraId="2C499461" w14:textId="77777777" w:rsidR="002C1E29" w:rsidRDefault="0079157D">
      <w:pPr>
        <w:pStyle w:val="ListBullet"/>
        <w:rPr>
          <w:lang w:eastAsia="ja-JP"/>
        </w:rPr>
      </w:pPr>
      <w:r>
        <w:rPr>
          <w:lang w:eastAsia="ja-JP"/>
        </w:rPr>
        <w:t>blue appearance of moribund prawns</w:t>
      </w:r>
    </w:p>
    <w:p w14:paraId="1DCE0703" w14:textId="77777777" w:rsidR="002C1E29" w:rsidRDefault="0079157D">
      <w:pPr>
        <w:pStyle w:val="ListBullet"/>
        <w:rPr>
          <w:lang w:eastAsia="ja-JP"/>
        </w:rPr>
      </w:pPr>
      <w:r>
        <w:rPr>
          <w:lang w:eastAsia="ja-JP"/>
        </w:rPr>
        <w:t>runt deformity syndrome, the effects of which include</w:t>
      </w:r>
    </w:p>
    <w:p w14:paraId="03EFB34B" w14:textId="77777777" w:rsidR="002C1E29" w:rsidRDefault="0079157D">
      <w:pPr>
        <w:pStyle w:val="ListBullet2"/>
        <w:rPr>
          <w:lang w:eastAsia="ja-JP"/>
        </w:rPr>
      </w:pPr>
      <w:r>
        <w:rPr>
          <w:lang w:eastAsia="ja-JP"/>
        </w:rPr>
        <w:t>reduced and irregular growth in juveniles and subadults</w:t>
      </w:r>
    </w:p>
    <w:p w14:paraId="1DBDF660" w14:textId="77777777" w:rsidR="002C1E29" w:rsidRDefault="0079157D">
      <w:pPr>
        <w:pStyle w:val="ListBullet2"/>
        <w:rPr>
          <w:lang w:eastAsia="ja-JP"/>
        </w:rPr>
      </w:pPr>
      <w:r>
        <w:rPr>
          <w:lang w:eastAsia="ja-JP"/>
        </w:rPr>
        <w:t>deformed rostrums growing to one side</w:t>
      </w:r>
    </w:p>
    <w:p w14:paraId="1BA18836" w14:textId="77777777" w:rsidR="002C1E29" w:rsidRDefault="0079157D">
      <w:pPr>
        <w:pStyle w:val="ListBullet2"/>
        <w:rPr>
          <w:lang w:eastAsia="ja-JP"/>
        </w:rPr>
      </w:pPr>
      <w:r>
        <w:rPr>
          <w:lang w:eastAsia="ja-JP"/>
        </w:rPr>
        <w:t>deformed sixth abdominal segment.</w:t>
      </w:r>
    </w:p>
    <w:p w14:paraId="1EF33019" w14:textId="52519654" w:rsidR="002C1E29" w:rsidRDefault="0079157D">
      <w:pPr>
        <w:rPr>
          <w:lang w:eastAsia="ja-JP"/>
        </w:rPr>
      </w:pPr>
      <w:r>
        <w:rPr>
          <w:lang w:eastAsia="ja-JP"/>
        </w:rPr>
        <w:lastRenderedPageBreak/>
        <w:t xml:space="preserve">In Pacific blue </w:t>
      </w:r>
      <w:r>
        <w:t>shrimp</w:t>
      </w:r>
      <w:r>
        <w:rPr>
          <w:lang w:eastAsia="ja-JP"/>
        </w:rPr>
        <w:t>, further gross pathological signs are:</w:t>
      </w:r>
    </w:p>
    <w:p w14:paraId="7288F690" w14:textId="77777777" w:rsidR="002C1E29" w:rsidRDefault="0079157D">
      <w:pPr>
        <w:pStyle w:val="ListBullet"/>
        <w:rPr>
          <w:lang w:eastAsia="ja-JP"/>
        </w:rPr>
      </w:pPr>
      <w:r>
        <w:rPr>
          <w:lang w:eastAsia="ja-JP"/>
        </w:rPr>
        <w:t>cuticular roughness</w:t>
      </w:r>
    </w:p>
    <w:p w14:paraId="0B67D718" w14:textId="77777777" w:rsidR="002C1E29" w:rsidRDefault="0079157D">
      <w:pPr>
        <w:pStyle w:val="ListBullet"/>
        <w:rPr>
          <w:lang w:eastAsia="ja-JP"/>
        </w:rPr>
      </w:pPr>
      <w:r>
        <w:rPr>
          <w:lang w:eastAsia="ja-JP"/>
        </w:rPr>
        <w:t>cuticular deformities</w:t>
      </w:r>
    </w:p>
    <w:p w14:paraId="29B37309" w14:textId="77777777" w:rsidR="002C1E29" w:rsidRDefault="0079157D">
      <w:pPr>
        <w:pStyle w:val="ListBullet"/>
        <w:rPr>
          <w:lang w:eastAsia="ja-JP"/>
        </w:rPr>
      </w:pPr>
      <w:r>
        <w:rPr>
          <w:lang w:eastAsia="ja-JP"/>
        </w:rPr>
        <w:t>white to buff mottling of the shell, especially at the junction of abdominal shell plates.</w:t>
      </w:r>
    </w:p>
    <w:p w14:paraId="6450E667" w14:textId="77777777" w:rsidR="002C1E29" w:rsidRDefault="0079157D">
      <w:pPr>
        <w:rPr>
          <w:lang w:eastAsia="ja-JP"/>
        </w:rPr>
      </w:pPr>
      <w:r>
        <w:rPr>
          <w:lang w:eastAsia="ja-JP"/>
        </w:rPr>
        <w:t xml:space="preserve">Microscopic </w:t>
      </w:r>
      <w:r>
        <w:t>pathological</w:t>
      </w:r>
      <w:r>
        <w:rPr>
          <w:lang w:eastAsia="ja-JP"/>
        </w:rPr>
        <w:t xml:space="preserve"> signs are:</w:t>
      </w:r>
    </w:p>
    <w:p w14:paraId="0EA3D7DC" w14:textId="0E2996BE" w:rsidR="002C1E29" w:rsidRDefault="0079157D">
      <w:pPr>
        <w:pStyle w:val="ListBullet"/>
        <w:numPr>
          <w:ilvl w:val="0"/>
          <w:numId w:val="34"/>
        </w:numPr>
      </w:pPr>
      <w:r>
        <w:rPr>
          <w:lang w:eastAsia="ja-JP"/>
        </w:rPr>
        <w:t>eosinophilic to pale basophilic intranuclear inclusion bodies (Cowdry type A inclusions) within tissues of ectodermal and mesodermal origin. These inclusion bodies may be easily confused with developing intranuclear inclusion bodies caused by white spot disease.</w:t>
      </w:r>
    </w:p>
    <w:p w14:paraId="3E9CCF9D" w14:textId="77777777" w:rsidR="002C1E29" w:rsidRDefault="0079157D">
      <w:pPr>
        <w:pStyle w:val="Heading2"/>
        <w:keepLines/>
      </w:pPr>
      <w:r>
        <w:t>Disease agent</w:t>
      </w:r>
    </w:p>
    <w:p w14:paraId="20D598D2" w14:textId="32F5668D" w:rsidR="002C1E29" w:rsidRDefault="0079157D">
      <w:pPr>
        <w:keepNext/>
        <w:keepLines/>
      </w:pPr>
      <w:r>
        <w:t xml:space="preserve">IHHNV causes runt deformity syndrome (RDS). IHHNV is a </w:t>
      </w:r>
      <w:proofErr w:type="spellStart"/>
      <w:r>
        <w:t>densovirus</w:t>
      </w:r>
      <w:proofErr w:type="spellEnd"/>
      <w:r>
        <w:t xml:space="preserve"> belonging to the family </w:t>
      </w:r>
      <w:proofErr w:type="spellStart"/>
      <w:r>
        <w:rPr>
          <w:rStyle w:val="Emphasis"/>
        </w:rPr>
        <w:t>Parvoviridae</w:t>
      </w:r>
      <w:proofErr w:type="spellEnd"/>
      <w:r>
        <w:t xml:space="preserve"> (subfamily </w:t>
      </w:r>
      <w:proofErr w:type="spellStart"/>
      <w:r>
        <w:t>Densovirinae</w:t>
      </w:r>
      <w:proofErr w:type="spellEnd"/>
      <w:r>
        <w:t xml:space="preserve">, genus </w:t>
      </w:r>
      <w:proofErr w:type="spellStart"/>
      <w:r>
        <w:rPr>
          <w:rStyle w:val="Emphasis"/>
        </w:rPr>
        <w:t>Brevidensovirus</w:t>
      </w:r>
      <w:proofErr w:type="spellEnd"/>
      <w:r>
        <w:t>). At least 3 distinct genotypes of IHHNV have been identified, but only 2 are known to be infectious to either Pacific white shrimp (</w:t>
      </w:r>
      <w:r>
        <w:rPr>
          <w:rStyle w:val="Emphasis"/>
        </w:rPr>
        <w:t>Penaeus (</w:t>
      </w:r>
      <w:proofErr w:type="spellStart"/>
      <w:r>
        <w:rPr>
          <w:rStyle w:val="Emphasis"/>
        </w:rPr>
        <w:t>Litopenaeus</w:t>
      </w:r>
      <w:proofErr w:type="spellEnd"/>
      <w:r>
        <w:rPr>
          <w:rStyle w:val="Emphasis"/>
        </w:rPr>
        <w:t xml:space="preserve">) </w:t>
      </w:r>
      <w:proofErr w:type="spellStart"/>
      <w:r>
        <w:rPr>
          <w:rStyle w:val="Emphasis"/>
        </w:rPr>
        <w:t>vannamei</w:t>
      </w:r>
      <w:proofErr w:type="spellEnd"/>
      <w:r>
        <w:t>) or black tiger prawns (</w:t>
      </w:r>
      <w:r>
        <w:rPr>
          <w:rStyle w:val="Emphasis"/>
        </w:rPr>
        <w:t>Penaeus monodon)</w:t>
      </w:r>
      <w:r>
        <w:t>. Homologues of portions of the IHHNV genome have been reported from the genomes of host prawns.</w:t>
      </w:r>
    </w:p>
    <w:p w14:paraId="3D548183" w14:textId="77777777" w:rsidR="002C1E29" w:rsidRDefault="0079157D">
      <w:pPr>
        <w:pStyle w:val="Heading2"/>
        <w:keepLines/>
      </w:pPr>
      <w:r>
        <w:t>Host range</w:t>
      </w:r>
    </w:p>
    <w:p w14:paraId="6DF95488" w14:textId="4FF26EFD" w:rsidR="002C1E29" w:rsidRDefault="0079157D">
      <w:pPr>
        <w:pStyle w:val="Caption"/>
        <w:keepLines/>
      </w:pPr>
      <w:r>
        <w:t xml:space="preserve">Table </w:t>
      </w:r>
      <w:r>
        <w:rPr>
          <w:noProof/>
        </w:rPr>
        <w:fldChar w:fldCharType="begin"/>
      </w:r>
      <w:r>
        <w:rPr>
          <w:noProof/>
        </w:rPr>
        <w:instrText xml:space="preserve"> SEQ Table \* ARABIC </w:instrText>
      </w:r>
      <w:r>
        <w:rPr>
          <w:noProof/>
        </w:rPr>
        <w:fldChar w:fldCharType="separate"/>
      </w:r>
      <w:r w:rsidR="00AF45CE">
        <w:rPr>
          <w:noProof/>
        </w:rPr>
        <w:t>1</w:t>
      </w:r>
      <w:r>
        <w:rPr>
          <w:noProof/>
        </w:rPr>
        <w:fldChar w:fldCharType="end"/>
      </w:r>
      <w:r>
        <w:t xml:space="preserve"> Species known to be susceptible to</w:t>
      </w:r>
      <w:r>
        <w:rPr>
          <w:szCs w:val="22"/>
        </w:rPr>
        <w:t xml:space="preserve"> IHHNV</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2C1E29" w14:paraId="28515AF3" w14:textId="77777777">
        <w:trPr>
          <w:cantSplit/>
          <w:trHeight w:val="300"/>
          <w:tblHeader/>
        </w:trPr>
        <w:tc>
          <w:tcPr>
            <w:tcW w:w="2500" w:type="pct"/>
            <w:tcBorders>
              <w:top w:val="single" w:sz="4" w:space="0" w:color="auto"/>
              <w:bottom w:val="single" w:sz="4" w:space="0" w:color="auto"/>
            </w:tcBorders>
            <w:noWrap/>
          </w:tcPr>
          <w:p w14:paraId="112CCC5C" w14:textId="77777777" w:rsidR="002C1E29" w:rsidRDefault="0079157D">
            <w:pPr>
              <w:pStyle w:val="TableHeading"/>
            </w:pPr>
            <w:r>
              <w:t>Common name</w:t>
            </w:r>
          </w:p>
        </w:tc>
        <w:tc>
          <w:tcPr>
            <w:tcW w:w="2500" w:type="pct"/>
            <w:tcBorders>
              <w:top w:val="single" w:sz="4" w:space="0" w:color="auto"/>
              <w:bottom w:val="single" w:sz="4" w:space="0" w:color="auto"/>
            </w:tcBorders>
            <w:noWrap/>
          </w:tcPr>
          <w:p w14:paraId="7EA8AF13" w14:textId="77777777" w:rsidR="002C1E29" w:rsidRDefault="0079157D">
            <w:pPr>
              <w:pStyle w:val="TableHeading"/>
            </w:pPr>
            <w:r>
              <w:t>Scientific name</w:t>
            </w:r>
          </w:p>
        </w:tc>
      </w:tr>
      <w:tr w:rsidR="002C1E29" w14:paraId="03C3857B" w14:textId="77777777">
        <w:trPr>
          <w:cantSplit/>
          <w:trHeight w:val="315"/>
        </w:trPr>
        <w:tc>
          <w:tcPr>
            <w:tcW w:w="2500" w:type="pct"/>
            <w:tcBorders>
              <w:top w:val="single" w:sz="4" w:space="0" w:color="auto"/>
            </w:tcBorders>
            <w:noWrap/>
          </w:tcPr>
          <w:p w14:paraId="541AD73F" w14:textId="77777777" w:rsidR="002C1E29" w:rsidRDefault="0079157D">
            <w:pPr>
              <w:pStyle w:val="TableText"/>
            </w:pPr>
            <w:r>
              <w:t>Argentine stiletto shrimp</w:t>
            </w:r>
          </w:p>
        </w:tc>
        <w:tc>
          <w:tcPr>
            <w:tcW w:w="2500" w:type="pct"/>
            <w:tcBorders>
              <w:top w:val="single" w:sz="4" w:space="0" w:color="auto"/>
            </w:tcBorders>
            <w:noWrap/>
          </w:tcPr>
          <w:p w14:paraId="24C063DB" w14:textId="77777777" w:rsidR="002C1E29" w:rsidRDefault="0079157D">
            <w:pPr>
              <w:pStyle w:val="TableText"/>
              <w:rPr>
                <w:rStyle w:val="Emphasis"/>
              </w:rPr>
            </w:pPr>
            <w:proofErr w:type="spellStart"/>
            <w:r>
              <w:rPr>
                <w:rStyle w:val="Emphasis"/>
              </w:rPr>
              <w:t>Artemesia</w:t>
            </w:r>
            <w:proofErr w:type="spellEnd"/>
            <w:r>
              <w:rPr>
                <w:rStyle w:val="Emphasis"/>
              </w:rPr>
              <w:t xml:space="preserve"> </w:t>
            </w:r>
            <w:proofErr w:type="spellStart"/>
            <w:r>
              <w:rPr>
                <w:rStyle w:val="Emphasis"/>
              </w:rPr>
              <w:t>longinaris</w:t>
            </w:r>
            <w:proofErr w:type="spellEnd"/>
          </w:p>
        </w:tc>
      </w:tr>
      <w:tr w:rsidR="002C1E29" w14:paraId="68E02966" w14:textId="77777777">
        <w:trPr>
          <w:cantSplit/>
          <w:trHeight w:val="315"/>
        </w:trPr>
        <w:tc>
          <w:tcPr>
            <w:tcW w:w="2500" w:type="pct"/>
            <w:noWrap/>
          </w:tcPr>
          <w:p w14:paraId="7EE466A5" w14:textId="77777777" w:rsidR="002C1E29" w:rsidRDefault="0079157D">
            <w:pPr>
              <w:pStyle w:val="TableText"/>
            </w:pPr>
            <w:r>
              <w:t xml:space="preserve">Black tiger </w:t>
            </w:r>
            <w:proofErr w:type="spellStart"/>
            <w:r>
              <w:t>prawn</w:t>
            </w:r>
            <w:r>
              <w:rPr>
                <w:vertAlign w:val="superscript"/>
              </w:rPr>
              <w:t>a</w:t>
            </w:r>
            <w:proofErr w:type="spellEnd"/>
          </w:p>
        </w:tc>
        <w:tc>
          <w:tcPr>
            <w:tcW w:w="2500" w:type="pct"/>
            <w:noWrap/>
          </w:tcPr>
          <w:p w14:paraId="1B42B32B" w14:textId="77777777" w:rsidR="002C1E29" w:rsidRDefault="0079157D">
            <w:pPr>
              <w:pStyle w:val="TableText"/>
              <w:rPr>
                <w:rStyle w:val="Emphasis"/>
                <w:rFonts w:eastAsia="SimSun"/>
              </w:rPr>
            </w:pPr>
            <w:r>
              <w:rPr>
                <w:rStyle w:val="Emphasis"/>
              </w:rPr>
              <w:t>Penaeus monodon</w:t>
            </w:r>
          </w:p>
        </w:tc>
      </w:tr>
      <w:tr w:rsidR="002C1E29" w14:paraId="12E158DE" w14:textId="77777777">
        <w:trPr>
          <w:cantSplit/>
          <w:trHeight w:val="315"/>
        </w:trPr>
        <w:tc>
          <w:tcPr>
            <w:tcW w:w="2500" w:type="pct"/>
            <w:noWrap/>
          </w:tcPr>
          <w:p w14:paraId="7AA11168" w14:textId="77777777" w:rsidR="002C1E29" w:rsidRDefault="0079157D">
            <w:pPr>
              <w:pStyle w:val="TableText"/>
            </w:pPr>
            <w:r>
              <w:t>Brush clawed shore crab</w:t>
            </w:r>
          </w:p>
        </w:tc>
        <w:tc>
          <w:tcPr>
            <w:tcW w:w="2500" w:type="pct"/>
            <w:noWrap/>
          </w:tcPr>
          <w:p w14:paraId="1025BD71" w14:textId="77777777" w:rsidR="002C1E29" w:rsidRDefault="0079157D">
            <w:pPr>
              <w:pStyle w:val="TableText"/>
              <w:rPr>
                <w:rStyle w:val="Emphasis"/>
                <w:rFonts w:eastAsia="SimSun"/>
              </w:rPr>
            </w:pPr>
            <w:proofErr w:type="spellStart"/>
            <w:r>
              <w:rPr>
                <w:rStyle w:val="Emphasis"/>
              </w:rPr>
              <w:t>Hemigrapsus</w:t>
            </w:r>
            <w:proofErr w:type="spellEnd"/>
            <w:r>
              <w:rPr>
                <w:rStyle w:val="Emphasis"/>
              </w:rPr>
              <w:t xml:space="preserve"> </w:t>
            </w:r>
            <w:proofErr w:type="spellStart"/>
            <w:r>
              <w:rPr>
                <w:rStyle w:val="Emphasis"/>
              </w:rPr>
              <w:t>penicillatus</w:t>
            </w:r>
            <w:proofErr w:type="spellEnd"/>
          </w:p>
        </w:tc>
      </w:tr>
      <w:tr w:rsidR="002C1E29" w14:paraId="16E9F155" w14:textId="77777777">
        <w:trPr>
          <w:cantSplit/>
          <w:trHeight w:val="315"/>
        </w:trPr>
        <w:tc>
          <w:tcPr>
            <w:tcW w:w="2500" w:type="pct"/>
            <w:noWrap/>
          </w:tcPr>
          <w:p w14:paraId="6A1AF4B1" w14:textId="77777777" w:rsidR="002C1E29" w:rsidRDefault="0079157D">
            <w:pPr>
              <w:pStyle w:val="TableText"/>
            </w:pPr>
            <w:r>
              <w:t xml:space="preserve">Chinese white </w:t>
            </w:r>
            <w:proofErr w:type="spellStart"/>
            <w:r>
              <w:t>shrimp</w:t>
            </w:r>
            <w:r>
              <w:rPr>
                <w:vertAlign w:val="superscript"/>
              </w:rPr>
              <w:t>a</w:t>
            </w:r>
            <w:proofErr w:type="spellEnd"/>
          </w:p>
        </w:tc>
        <w:tc>
          <w:tcPr>
            <w:tcW w:w="2500" w:type="pct"/>
            <w:noWrap/>
          </w:tcPr>
          <w:p w14:paraId="272A2569" w14:textId="77777777" w:rsidR="002C1E29" w:rsidRDefault="0079157D">
            <w:pPr>
              <w:pStyle w:val="TableText"/>
              <w:rPr>
                <w:rStyle w:val="Emphasis"/>
                <w:rFonts w:eastAsia="SimSun"/>
              </w:rPr>
            </w:pPr>
            <w:r>
              <w:rPr>
                <w:rStyle w:val="Emphasis"/>
              </w:rPr>
              <w:t>Penaeus</w:t>
            </w:r>
            <w:r>
              <w:t xml:space="preserve"> </w:t>
            </w:r>
            <w:r>
              <w:rPr>
                <w:rStyle w:val="Emphasis"/>
              </w:rPr>
              <w:t>(</w:t>
            </w:r>
            <w:proofErr w:type="spellStart"/>
            <w:r>
              <w:rPr>
                <w:rStyle w:val="Emphasis"/>
              </w:rPr>
              <w:t>Fenneropenaeus</w:t>
            </w:r>
            <w:proofErr w:type="spellEnd"/>
            <w:r>
              <w:rPr>
                <w:rStyle w:val="Emphasis"/>
              </w:rPr>
              <w:t xml:space="preserve">) </w:t>
            </w:r>
            <w:proofErr w:type="spellStart"/>
            <w:r>
              <w:rPr>
                <w:rStyle w:val="Emphasis"/>
              </w:rPr>
              <w:t>chinensis</w:t>
            </w:r>
            <w:proofErr w:type="spellEnd"/>
          </w:p>
        </w:tc>
      </w:tr>
      <w:tr w:rsidR="002C1E29" w14:paraId="76C1B3EB" w14:textId="77777777">
        <w:trPr>
          <w:cantSplit/>
          <w:trHeight w:val="315"/>
        </w:trPr>
        <w:tc>
          <w:tcPr>
            <w:tcW w:w="2500" w:type="pct"/>
            <w:noWrap/>
          </w:tcPr>
          <w:p w14:paraId="27DC0898" w14:textId="77777777" w:rsidR="002C1E29" w:rsidRDefault="0079157D">
            <w:pPr>
              <w:pStyle w:val="TableText"/>
            </w:pPr>
            <w:proofErr w:type="spellStart"/>
            <w:r>
              <w:t>Cuata</w:t>
            </w:r>
            <w:proofErr w:type="spellEnd"/>
            <w:r>
              <w:t xml:space="preserve"> </w:t>
            </w:r>
            <w:proofErr w:type="spellStart"/>
            <w:r>
              <w:t>swimcrab</w:t>
            </w:r>
            <w:proofErr w:type="spellEnd"/>
          </w:p>
        </w:tc>
        <w:tc>
          <w:tcPr>
            <w:tcW w:w="2500" w:type="pct"/>
            <w:noWrap/>
          </w:tcPr>
          <w:p w14:paraId="3F428A55" w14:textId="77777777" w:rsidR="002C1E29" w:rsidRDefault="0079157D">
            <w:pPr>
              <w:pStyle w:val="TableText"/>
              <w:rPr>
                <w:rStyle w:val="Emphasis"/>
              </w:rPr>
            </w:pPr>
            <w:r>
              <w:rPr>
                <w:rStyle w:val="Emphasis"/>
              </w:rPr>
              <w:t xml:space="preserve">Callinectes </w:t>
            </w:r>
            <w:proofErr w:type="spellStart"/>
            <w:r>
              <w:rPr>
                <w:rStyle w:val="Emphasis"/>
              </w:rPr>
              <w:t>arcuatus</w:t>
            </w:r>
            <w:proofErr w:type="spellEnd"/>
          </w:p>
        </w:tc>
      </w:tr>
      <w:tr w:rsidR="002C1E29" w14:paraId="0CDF49F7" w14:textId="77777777">
        <w:trPr>
          <w:cantSplit/>
          <w:trHeight w:val="315"/>
        </w:trPr>
        <w:tc>
          <w:tcPr>
            <w:tcW w:w="2500" w:type="pct"/>
            <w:noWrap/>
          </w:tcPr>
          <w:p w14:paraId="002044CC" w14:textId="77777777" w:rsidR="002C1E29" w:rsidRDefault="0079157D">
            <w:pPr>
              <w:pStyle w:val="TableText"/>
            </w:pPr>
            <w:r>
              <w:t xml:space="preserve">Giant freshwater </w:t>
            </w:r>
            <w:proofErr w:type="spellStart"/>
            <w:r>
              <w:t>prawn</w:t>
            </w:r>
            <w:r>
              <w:rPr>
                <w:vertAlign w:val="superscript"/>
              </w:rPr>
              <w:t>a</w:t>
            </w:r>
            <w:proofErr w:type="spellEnd"/>
          </w:p>
        </w:tc>
        <w:tc>
          <w:tcPr>
            <w:tcW w:w="2500" w:type="pct"/>
            <w:noWrap/>
          </w:tcPr>
          <w:p w14:paraId="70FBF47D" w14:textId="77777777" w:rsidR="002C1E29" w:rsidRDefault="0079157D">
            <w:pPr>
              <w:pStyle w:val="TableText"/>
              <w:rPr>
                <w:rStyle w:val="Emphasis"/>
              </w:rPr>
            </w:pPr>
            <w:proofErr w:type="spellStart"/>
            <w:r>
              <w:rPr>
                <w:rStyle w:val="Emphasis"/>
              </w:rPr>
              <w:t>Macrobrachium</w:t>
            </w:r>
            <w:proofErr w:type="spellEnd"/>
            <w:r>
              <w:rPr>
                <w:rStyle w:val="Emphasis"/>
              </w:rPr>
              <w:t xml:space="preserve"> </w:t>
            </w:r>
            <w:proofErr w:type="spellStart"/>
            <w:r>
              <w:rPr>
                <w:rStyle w:val="Emphasis"/>
              </w:rPr>
              <w:t>rosenbergii</w:t>
            </w:r>
            <w:proofErr w:type="spellEnd"/>
          </w:p>
        </w:tc>
      </w:tr>
      <w:tr w:rsidR="002C1E29" w14:paraId="3F4CA213" w14:textId="77777777">
        <w:trPr>
          <w:cantSplit/>
          <w:trHeight w:val="315"/>
        </w:trPr>
        <w:tc>
          <w:tcPr>
            <w:tcW w:w="2500" w:type="pct"/>
            <w:noWrap/>
          </w:tcPr>
          <w:p w14:paraId="6D252F77" w14:textId="77777777" w:rsidR="002C1E29" w:rsidRDefault="0079157D">
            <w:pPr>
              <w:pStyle w:val="TableText"/>
            </w:pPr>
            <w:r>
              <w:t xml:space="preserve">Green tiger prawn or grooved tiger </w:t>
            </w:r>
            <w:proofErr w:type="spellStart"/>
            <w:r>
              <w:t>prawn</w:t>
            </w:r>
            <w:r>
              <w:rPr>
                <w:vertAlign w:val="superscript"/>
              </w:rPr>
              <w:t>a</w:t>
            </w:r>
            <w:proofErr w:type="spellEnd"/>
          </w:p>
        </w:tc>
        <w:tc>
          <w:tcPr>
            <w:tcW w:w="2500" w:type="pct"/>
            <w:noWrap/>
          </w:tcPr>
          <w:p w14:paraId="469AE4E9" w14:textId="77777777" w:rsidR="002C1E29" w:rsidRDefault="0079157D">
            <w:pPr>
              <w:pStyle w:val="TableText"/>
              <w:rPr>
                <w:rStyle w:val="Emphasis"/>
              </w:rPr>
            </w:pPr>
            <w:r>
              <w:rPr>
                <w:rStyle w:val="Emphasis"/>
              </w:rPr>
              <w:t xml:space="preserve">Penaeus </w:t>
            </w:r>
            <w:proofErr w:type="spellStart"/>
            <w:r>
              <w:rPr>
                <w:rStyle w:val="Emphasis"/>
              </w:rPr>
              <w:t>semisulcatus</w:t>
            </w:r>
            <w:proofErr w:type="spellEnd"/>
          </w:p>
        </w:tc>
      </w:tr>
      <w:tr w:rsidR="002C1E29" w14:paraId="0E29300E" w14:textId="77777777">
        <w:trPr>
          <w:cantSplit/>
          <w:trHeight w:val="315"/>
        </w:trPr>
        <w:tc>
          <w:tcPr>
            <w:tcW w:w="2500" w:type="pct"/>
            <w:noWrap/>
          </w:tcPr>
          <w:p w14:paraId="79F28E29" w14:textId="77777777" w:rsidR="002C1E29" w:rsidRDefault="0079157D">
            <w:pPr>
              <w:pStyle w:val="TableText"/>
            </w:pPr>
            <w:r>
              <w:t>Gulf banana prawn</w:t>
            </w:r>
          </w:p>
        </w:tc>
        <w:tc>
          <w:tcPr>
            <w:tcW w:w="2500" w:type="pct"/>
            <w:noWrap/>
          </w:tcPr>
          <w:p w14:paraId="6944C43C" w14:textId="77777777" w:rsidR="002C1E29" w:rsidRDefault="0079157D">
            <w:pPr>
              <w:pStyle w:val="TableText"/>
              <w:rPr>
                <w:rStyle w:val="Emphasis"/>
              </w:rPr>
            </w:pPr>
            <w:r>
              <w:rPr>
                <w:rStyle w:val="Emphasis"/>
              </w:rPr>
              <w:t>Penaeus</w:t>
            </w:r>
            <w:r>
              <w:t xml:space="preserve"> </w:t>
            </w:r>
            <w:r>
              <w:rPr>
                <w:rStyle w:val="Emphasis"/>
              </w:rPr>
              <w:t>(</w:t>
            </w:r>
            <w:proofErr w:type="spellStart"/>
            <w:r>
              <w:rPr>
                <w:rStyle w:val="Emphasis"/>
              </w:rPr>
              <w:t>Fenneropenaeus</w:t>
            </w:r>
            <w:proofErr w:type="spellEnd"/>
            <w:r>
              <w:rPr>
                <w:rStyle w:val="Emphasis"/>
              </w:rPr>
              <w:t xml:space="preserve">) </w:t>
            </w:r>
            <w:proofErr w:type="spellStart"/>
            <w:r>
              <w:rPr>
                <w:rStyle w:val="Emphasis"/>
              </w:rPr>
              <w:t>merguiensis</w:t>
            </w:r>
            <w:proofErr w:type="spellEnd"/>
          </w:p>
        </w:tc>
      </w:tr>
      <w:tr w:rsidR="002C1E29" w14:paraId="2C4B1054" w14:textId="77777777">
        <w:trPr>
          <w:cantSplit/>
          <w:trHeight w:val="315"/>
        </w:trPr>
        <w:tc>
          <w:tcPr>
            <w:tcW w:w="2500" w:type="pct"/>
            <w:noWrap/>
          </w:tcPr>
          <w:p w14:paraId="5D253F08" w14:textId="77777777" w:rsidR="002C1E29" w:rsidRDefault="0079157D">
            <w:pPr>
              <w:pStyle w:val="TableText"/>
            </w:pPr>
            <w:r>
              <w:t>Indian banana prawn</w:t>
            </w:r>
          </w:p>
        </w:tc>
        <w:tc>
          <w:tcPr>
            <w:tcW w:w="2500" w:type="pct"/>
            <w:noWrap/>
          </w:tcPr>
          <w:p w14:paraId="78F00DB7" w14:textId="77777777" w:rsidR="002C1E29" w:rsidRDefault="0079157D">
            <w:pPr>
              <w:pStyle w:val="TableText"/>
              <w:rPr>
                <w:rStyle w:val="Emphasis"/>
              </w:rPr>
            </w:pPr>
            <w:r>
              <w:rPr>
                <w:rStyle w:val="Emphasis"/>
              </w:rPr>
              <w:t>Penaeus</w:t>
            </w:r>
            <w:r>
              <w:t xml:space="preserve"> </w:t>
            </w:r>
            <w:r>
              <w:rPr>
                <w:rStyle w:val="Emphasis"/>
              </w:rPr>
              <w:t>(</w:t>
            </w:r>
            <w:proofErr w:type="spellStart"/>
            <w:r>
              <w:rPr>
                <w:rStyle w:val="Emphasis"/>
              </w:rPr>
              <w:t>Fenneropenaeus</w:t>
            </w:r>
            <w:proofErr w:type="spellEnd"/>
            <w:r>
              <w:rPr>
                <w:rStyle w:val="Emphasis"/>
              </w:rPr>
              <w:t>) indicus</w:t>
            </w:r>
          </w:p>
        </w:tc>
      </w:tr>
      <w:tr w:rsidR="002C1E29" w14:paraId="5CEA3A02" w14:textId="77777777">
        <w:trPr>
          <w:cantSplit/>
          <w:trHeight w:val="315"/>
        </w:trPr>
        <w:tc>
          <w:tcPr>
            <w:tcW w:w="2500" w:type="pct"/>
            <w:noWrap/>
          </w:tcPr>
          <w:p w14:paraId="56BE4141" w14:textId="77777777" w:rsidR="002C1E29" w:rsidRDefault="0079157D">
            <w:pPr>
              <w:pStyle w:val="TableText"/>
            </w:pPr>
            <w:proofErr w:type="spellStart"/>
            <w:r>
              <w:t>Kuruma</w:t>
            </w:r>
            <w:proofErr w:type="spellEnd"/>
            <w:r>
              <w:t xml:space="preserve"> </w:t>
            </w:r>
            <w:proofErr w:type="spellStart"/>
            <w:r>
              <w:t>prawn</w:t>
            </w:r>
            <w:r>
              <w:rPr>
                <w:vertAlign w:val="superscript"/>
              </w:rPr>
              <w:t>a</w:t>
            </w:r>
            <w:proofErr w:type="spellEnd"/>
          </w:p>
        </w:tc>
        <w:tc>
          <w:tcPr>
            <w:tcW w:w="2500" w:type="pct"/>
            <w:noWrap/>
          </w:tcPr>
          <w:p w14:paraId="5BDA332D" w14:textId="77777777" w:rsidR="002C1E29" w:rsidRDefault="0079157D">
            <w:pPr>
              <w:pStyle w:val="TableText"/>
              <w:rPr>
                <w:rStyle w:val="Emphasis"/>
              </w:rPr>
            </w:pPr>
            <w:r>
              <w:rPr>
                <w:rStyle w:val="Emphasis"/>
              </w:rPr>
              <w:t>Penaeus</w:t>
            </w:r>
            <w:r>
              <w:t xml:space="preserve"> </w:t>
            </w:r>
            <w:r>
              <w:rPr>
                <w:rStyle w:val="Emphasis"/>
              </w:rPr>
              <w:t>(</w:t>
            </w:r>
            <w:proofErr w:type="spellStart"/>
            <w:r>
              <w:rPr>
                <w:rStyle w:val="Emphasis"/>
              </w:rPr>
              <w:t>Marsupenaeus</w:t>
            </w:r>
            <w:proofErr w:type="spellEnd"/>
            <w:r>
              <w:rPr>
                <w:rStyle w:val="Emphasis"/>
              </w:rPr>
              <w:t>) japonicus</w:t>
            </w:r>
          </w:p>
        </w:tc>
      </w:tr>
      <w:tr w:rsidR="002C1E29" w14:paraId="20658021" w14:textId="77777777">
        <w:trPr>
          <w:cantSplit/>
          <w:trHeight w:val="315"/>
        </w:trPr>
        <w:tc>
          <w:tcPr>
            <w:tcW w:w="2500" w:type="pct"/>
            <w:noWrap/>
          </w:tcPr>
          <w:p w14:paraId="20C057D0" w14:textId="77777777" w:rsidR="002C1E29" w:rsidRDefault="0079157D">
            <w:pPr>
              <w:pStyle w:val="TableText"/>
            </w:pPr>
            <w:r>
              <w:t xml:space="preserve">Louisiana swamp </w:t>
            </w:r>
            <w:proofErr w:type="spellStart"/>
            <w:r>
              <w:t>crayfish</w:t>
            </w:r>
            <w:r>
              <w:rPr>
                <w:vertAlign w:val="superscript"/>
              </w:rPr>
              <w:t>a</w:t>
            </w:r>
            <w:proofErr w:type="spellEnd"/>
          </w:p>
        </w:tc>
        <w:tc>
          <w:tcPr>
            <w:tcW w:w="2500" w:type="pct"/>
            <w:noWrap/>
          </w:tcPr>
          <w:p w14:paraId="0DF58E6C" w14:textId="77777777" w:rsidR="002C1E29" w:rsidRDefault="0079157D">
            <w:pPr>
              <w:pStyle w:val="TableText"/>
              <w:rPr>
                <w:rStyle w:val="Emphasis"/>
              </w:rPr>
            </w:pPr>
            <w:proofErr w:type="spellStart"/>
            <w:r>
              <w:rPr>
                <w:rStyle w:val="Emphasis"/>
              </w:rPr>
              <w:t>Procambarus</w:t>
            </w:r>
            <w:proofErr w:type="spellEnd"/>
            <w:r>
              <w:rPr>
                <w:rStyle w:val="Emphasis"/>
              </w:rPr>
              <w:t xml:space="preserve"> </w:t>
            </w:r>
            <w:proofErr w:type="spellStart"/>
            <w:r>
              <w:rPr>
                <w:rStyle w:val="Emphasis"/>
              </w:rPr>
              <w:t>clarkii</w:t>
            </w:r>
            <w:proofErr w:type="spellEnd"/>
          </w:p>
        </w:tc>
      </w:tr>
      <w:tr w:rsidR="002C1E29" w14:paraId="0AFBCB3B" w14:textId="77777777">
        <w:trPr>
          <w:cantSplit/>
          <w:trHeight w:val="315"/>
        </w:trPr>
        <w:tc>
          <w:tcPr>
            <w:tcW w:w="2500" w:type="pct"/>
            <w:noWrap/>
          </w:tcPr>
          <w:p w14:paraId="70F142FC" w14:textId="77777777" w:rsidR="002C1E29" w:rsidRDefault="0079157D">
            <w:pPr>
              <w:pStyle w:val="TableText"/>
            </w:pPr>
            <w:r>
              <w:t>Northern brown shrimp</w:t>
            </w:r>
          </w:p>
        </w:tc>
        <w:tc>
          <w:tcPr>
            <w:tcW w:w="2500" w:type="pct"/>
            <w:noWrap/>
          </w:tcPr>
          <w:p w14:paraId="72A3A4F2" w14:textId="77777777" w:rsidR="002C1E29" w:rsidRDefault="0079157D">
            <w:pPr>
              <w:pStyle w:val="TableText"/>
              <w:rPr>
                <w:rStyle w:val="Emphasis"/>
              </w:rPr>
            </w:pPr>
            <w:r>
              <w:rPr>
                <w:rStyle w:val="Emphasis"/>
              </w:rPr>
              <w:t>Penaeus (</w:t>
            </w:r>
            <w:proofErr w:type="spellStart"/>
            <w:r>
              <w:rPr>
                <w:rStyle w:val="Emphasis"/>
              </w:rPr>
              <w:t>Farfantepenaeus</w:t>
            </w:r>
            <w:proofErr w:type="spellEnd"/>
            <w:r>
              <w:rPr>
                <w:rStyle w:val="Emphasis"/>
              </w:rPr>
              <w:t xml:space="preserve">) </w:t>
            </w:r>
            <w:proofErr w:type="spellStart"/>
            <w:r>
              <w:rPr>
                <w:rStyle w:val="Emphasis"/>
              </w:rPr>
              <w:t>aztecus</w:t>
            </w:r>
            <w:proofErr w:type="spellEnd"/>
          </w:p>
        </w:tc>
      </w:tr>
      <w:tr w:rsidR="002C1E29" w14:paraId="0DAA6B5B" w14:textId="77777777">
        <w:trPr>
          <w:cantSplit/>
          <w:trHeight w:val="315"/>
        </w:trPr>
        <w:tc>
          <w:tcPr>
            <w:tcW w:w="2500" w:type="pct"/>
            <w:noWrap/>
          </w:tcPr>
          <w:p w14:paraId="78B05EE3" w14:textId="77777777" w:rsidR="002C1E29" w:rsidRDefault="0079157D">
            <w:pPr>
              <w:pStyle w:val="TableText"/>
            </w:pPr>
            <w:r>
              <w:t>Northern pink shrimp</w:t>
            </w:r>
          </w:p>
        </w:tc>
        <w:tc>
          <w:tcPr>
            <w:tcW w:w="2500" w:type="pct"/>
            <w:noWrap/>
          </w:tcPr>
          <w:p w14:paraId="21351D1B" w14:textId="77777777" w:rsidR="002C1E29" w:rsidRDefault="0079157D">
            <w:pPr>
              <w:pStyle w:val="TableText"/>
              <w:rPr>
                <w:rStyle w:val="Emphasis"/>
              </w:rPr>
            </w:pPr>
            <w:r>
              <w:rPr>
                <w:rStyle w:val="Emphasis"/>
              </w:rPr>
              <w:t>Penaeus (</w:t>
            </w:r>
            <w:proofErr w:type="spellStart"/>
            <w:r>
              <w:rPr>
                <w:rStyle w:val="Emphasis"/>
              </w:rPr>
              <w:t>Farfantepenaeus</w:t>
            </w:r>
            <w:proofErr w:type="spellEnd"/>
            <w:r>
              <w:rPr>
                <w:rStyle w:val="Emphasis"/>
              </w:rPr>
              <w:t xml:space="preserve">) </w:t>
            </w:r>
            <w:proofErr w:type="spellStart"/>
            <w:r>
              <w:rPr>
                <w:rStyle w:val="Emphasis"/>
              </w:rPr>
              <w:t>duorarum</w:t>
            </w:r>
            <w:proofErr w:type="spellEnd"/>
          </w:p>
        </w:tc>
      </w:tr>
      <w:tr w:rsidR="002C1E29" w14:paraId="2AA74BEC" w14:textId="77777777">
        <w:trPr>
          <w:cantSplit/>
          <w:trHeight w:val="315"/>
        </w:trPr>
        <w:tc>
          <w:tcPr>
            <w:tcW w:w="2500" w:type="pct"/>
            <w:noWrap/>
          </w:tcPr>
          <w:p w14:paraId="5DE52DAA" w14:textId="77777777" w:rsidR="002C1E29" w:rsidRDefault="0079157D">
            <w:pPr>
              <w:pStyle w:val="TableText"/>
            </w:pPr>
            <w:r>
              <w:t>Northern white shrimp</w:t>
            </w:r>
          </w:p>
        </w:tc>
        <w:tc>
          <w:tcPr>
            <w:tcW w:w="2500" w:type="pct"/>
            <w:noWrap/>
          </w:tcPr>
          <w:p w14:paraId="3C15C805" w14:textId="77777777" w:rsidR="002C1E29" w:rsidRDefault="0079157D">
            <w:pPr>
              <w:pStyle w:val="TableText"/>
              <w:rPr>
                <w:rStyle w:val="Emphasis"/>
              </w:rPr>
            </w:pPr>
            <w:r>
              <w:rPr>
                <w:rStyle w:val="Emphasis"/>
              </w:rPr>
              <w:t>Penaeus (</w:t>
            </w:r>
            <w:proofErr w:type="spellStart"/>
            <w:r>
              <w:rPr>
                <w:rStyle w:val="Emphasis"/>
              </w:rPr>
              <w:t>Litopenaeus</w:t>
            </w:r>
            <w:proofErr w:type="spellEnd"/>
            <w:r>
              <w:rPr>
                <w:rStyle w:val="Emphasis"/>
              </w:rPr>
              <w:t xml:space="preserve">) </w:t>
            </w:r>
            <w:proofErr w:type="spellStart"/>
            <w:r>
              <w:rPr>
                <w:rStyle w:val="Emphasis"/>
              </w:rPr>
              <w:t>setiferus</w:t>
            </w:r>
            <w:proofErr w:type="spellEnd"/>
          </w:p>
        </w:tc>
      </w:tr>
      <w:tr w:rsidR="002C1E29" w14:paraId="180BAFD0" w14:textId="77777777">
        <w:trPr>
          <w:cantSplit/>
          <w:trHeight w:val="315"/>
        </w:trPr>
        <w:tc>
          <w:tcPr>
            <w:tcW w:w="2500" w:type="pct"/>
            <w:noWrap/>
          </w:tcPr>
          <w:p w14:paraId="6F1869FC" w14:textId="77777777" w:rsidR="002C1E29" w:rsidRDefault="0079157D">
            <w:pPr>
              <w:pStyle w:val="TableText"/>
            </w:pPr>
            <w:r>
              <w:t xml:space="preserve">Pacific blue </w:t>
            </w:r>
            <w:proofErr w:type="spellStart"/>
            <w:r>
              <w:t>shrimp</w:t>
            </w:r>
            <w:r>
              <w:rPr>
                <w:vertAlign w:val="superscript"/>
              </w:rPr>
              <w:t>a</w:t>
            </w:r>
            <w:proofErr w:type="spellEnd"/>
          </w:p>
        </w:tc>
        <w:tc>
          <w:tcPr>
            <w:tcW w:w="2500" w:type="pct"/>
            <w:noWrap/>
          </w:tcPr>
          <w:p w14:paraId="16A6CCCE" w14:textId="77777777" w:rsidR="002C1E29" w:rsidRDefault="0079157D">
            <w:pPr>
              <w:pStyle w:val="TableText"/>
              <w:rPr>
                <w:rStyle w:val="Emphasis"/>
              </w:rPr>
            </w:pPr>
            <w:r>
              <w:rPr>
                <w:rStyle w:val="Emphasis"/>
              </w:rPr>
              <w:t>Penaeus (</w:t>
            </w:r>
            <w:proofErr w:type="spellStart"/>
            <w:r>
              <w:rPr>
                <w:rStyle w:val="Emphasis"/>
              </w:rPr>
              <w:t>Litopenaeus</w:t>
            </w:r>
            <w:proofErr w:type="spellEnd"/>
            <w:r>
              <w:rPr>
                <w:rStyle w:val="Emphasis"/>
              </w:rPr>
              <w:t xml:space="preserve">) </w:t>
            </w:r>
            <w:proofErr w:type="spellStart"/>
            <w:r>
              <w:rPr>
                <w:rStyle w:val="Emphasis"/>
              </w:rPr>
              <w:t>stylirostris</w:t>
            </w:r>
            <w:proofErr w:type="spellEnd"/>
          </w:p>
        </w:tc>
      </w:tr>
      <w:tr w:rsidR="002C1E29" w14:paraId="1C7C6738" w14:textId="77777777">
        <w:trPr>
          <w:cantSplit/>
          <w:trHeight w:val="315"/>
        </w:trPr>
        <w:tc>
          <w:tcPr>
            <w:tcW w:w="2500" w:type="pct"/>
            <w:noWrap/>
          </w:tcPr>
          <w:p w14:paraId="13648227" w14:textId="77777777" w:rsidR="002C1E29" w:rsidRDefault="0079157D">
            <w:pPr>
              <w:pStyle w:val="TableText"/>
            </w:pPr>
            <w:r>
              <w:t xml:space="preserve">Pacific white </w:t>
            </w:r>
            <w:proofErr w:type="spellStart"/>
            <w:r>
              <w:t>shrimp</w:t>
            </w:r>
            <w:r>
              <w:rPr>
                <w:vertAlign w:val="superscript"/>
              </w:rPr>
              <w:t>a</w:t>
            </w:r>
            <w:proofErr w:type="spellEnd"/>
          </w:p>
        </w:tc>
        <w:tc>
          <w:tcPr>
            <w:tcW w:w="2500" w:type="pct"/>
            <w:noWrap/>
          </w:tcPr>
          <w:p w14:paraId="11E1BF81" w14:textId="77777777" w:rsidR="002C1E29" w:rsidRDefault="0079157D">
            <w:pPr>
              <w:pStyle w:val="TableText"/>
              <w:rPr>
                <w:rStyle w:val="Emphasis"/>
              </w:rPr>
            </w:pPr>
            <w:r>
              <w:rPr>
                <w:rStyle w:val="Emphasis"/>
              </w:rPr>
              <w:t>Penaeus (</w:t>
            </w:r>
            <w:proofErr w:type="spellStart"/>
            <w:r>
              <w:rPr>
                <w:rStyle w:val="Emphasis"/>
              </w:rPr>
              <w:t>Litopenaeus</w:t>
            </w:r>
            <w:proofErr w:type="spellEnd"/>
            <w:r>
              <w:rPr>
                <w:rStyle w:val="Emphasis"/>
              </w:rPr>
              <w:t xml:space="preserve">) </w:t>
            </w:r>
            <w:proofErr w:type="spellStart"/>
            <w:r>
              <w:rPr>
                <w:rStyle w:val="Emphasis"/>
              </w:rPr>
              <w:t>vannamei</w:t>
            </w:r>
            <w:proofErr w:type="spellEnd"/>
          </w:p>
        </w:tc>
      </w:tr>
      <w:tr w:rsidR="002C1E29" w14:paraId="6FC7114B" w14:textId="77777777">
        <w:trPr>
          <w:cantSplit/>
          <w:trHeight w:val="315"/>
        </w:trPr>
        <w:tc>
          <w:tcPr>
            <w:tcW w:w="2500" w:type="pct"/>
            <w:noWrap/>
          </w:tcPr>
          <w:p w14:paraId="6B90A163" w14:textId="77777777" w:rsidR="002C1E29" w:rsidRDefault="0079157D">
            <w:pPr>
              <w:pStyle w:val="TableText"/>
            </w:pPr>
            <w:r>
              <w:t xml:space="preserve">Southern white </w:t>
            </w:r>
            <w:proofErr w:type="spellStart"/>
            <w:r>
              <w:t>shrimp</w:t>
            </w:r>
            <w:r>
              <w:rPr>
                <w:vertAlign w:val="superscript"/>
              </w:rPr>
              <w:t>a</w:t>
            </w:r>
            <w:proofErr w:type="spellEnd"/>
          </w:p>
        </w:tc>
        <w:tc>
          <w:tcPr>
            <w:tcW w:w="2500" w:type="pct"/>
            <w:noWrap/>
          </w:tcPr>
          <w:p w14:paraId="268C4F33" w14:textId="77777777" w:rsidR="002C1E29" w:rsidRDefault="0079157D">
            <w:pPr>
              <w:pStyle w:val="TableText"/>
              <w:rPr>
                <w:rStyle w:val="Emphasis"/>
              </w:rPr>
            </w:pPr>
            <w:r>
              <w:rPr>
                <w:rStyle w:val="Emphasis"/>
              </w:rPr>
              <w:t>Penaeus</w:t>
            </w:r>
            <w:r>
              <w:t xml:space="preserve"> </w:t>
            </w:r>
            <w:r>
              <w:rPr>
                <w:rStyle w:val="Emphasis"/>
              </w:rPr>
              <w:t>(</w:t>
            </w:r>
            <w:proofErr w:type="spellStart"/>
            <w:r>
              <w:rPr>
                <w:rStyle w:val="Emphasis"/>
              </w:rPr>
              <w:t>Litopenaeus</w:t>
            </w:r>
            <w:proofErr w:type="spellEnd"/>
            <w:r>
              <w:rPr>
                <w:rStyle w:val="Emphasis"/>
              </w:rPr>
              <w:t xml:space="preserve">) </w:t>
            </w:r>
            <w:proofErr w:type="spellStart"/>
            <w:r>
              <w:rPr>
                <w:rStyle w:val="Emphasis"/>
              </w:rPr>
              <w:t>schmitti</w:t>
            </w:r>
            <w:proofErr w:type="spellEnd"/>
          </w:p>
        </w:tc>
      </w:tr>
      <w:tr w:rsidR="002C1E29" w14:paraId="388C4B65" w14:textId="77777777">
        <w:trPr>
          <w:cantSplit/>
          <w:trHeight w:val="315"/>
        </w:trPr>
        <w:tc>
          <w:tcPr>
            <w:tcW w:w="2500" w:type="pct"/>
            <w:noWrap/>
          </w:tcPr>
          <w:p w14:paraId="42EF6C2C" w14:textId="77777777" w:rsidR="002C1E29" w:rsidRDefault="0079157D">
            <w:pPr>
              <w:pStyle w:val="TableText"/>
            </w:pPr>
            <w:r>
              <w:t xml:space="preserve">Western white </w:t>
            </w:r>
            <w:proofErr w:type="spellStart"/>
            <w:r>
              <w:t>shrimp</w:t>
            </w:r>
            <w:r>
              <w:rPr>
                <w:vertAlign w:val="superscript"/>
              </w:rPr>
              <w:t>a</w:t>
            </w:r>
            <w:proofErr w:type="spellEnd"/>
          </w:p>
        </w:tc>
        <w:tc>
          <w:tcPr>
            <w:tcW w:w="2500" w:type="pct"/>
            <w:noWrap/>
          </w:tcPr>
          <w:p w14:paraId="7615AC9F" w14:textId="77777777" w:rsidR="002C1E29" w:rsidRDefault="0079157D">
            <w:pPr>
              <w:pStyle w:val="TableText"/>
              <w:rPr>
                <w:rStyle w:val="Emphasis"/>
              </w:rPr>
            </w:pPr>
            <w:r>
              <w:rPr>
                <w:rStyle w:val="Emphasis"/>
              </w:rPr>
              <w:t>Penaeus</w:t>
            </w:r>
            <w:r>
              <w:t xml:space="preserve"> </w:t>
            </w:r>
            <w:r>
              <w:rPr>
                <w:rStyle w:val="Emphasis"/>
              </w:rPr>
              <w:t>(</w:t>
            </w:r>
            <w:proofErr w:type="spellStart"/>
            <w:r>
              <w:rPr>
                <w:rStyle w:val="Emphasis"/>
              </w:rPr>
              <w:t>Litopenaeus</w:t>
            </w:r>
            <w:proofErr w:type="spellEnd"/>
            <w:r>
              <w:rPr>
                <w:rStyle w:val="Emphasis"/>
              </w:rPr>
              <w:t xml:space="preserve">) </w:t>
            </w:r>
            <w:proofErr w:type="spellStart"/>
            <w:r>
              <w:rPr>
                <w:rStyle w:val="Emphasis"/>
              </w:rPr>
              <w:t>occidentalis</w:t>
            </w:r>
            <w:proofErr w:type="spellEnd"/>
          </w:p>
        </w:tc>
      </w:tr>
      <w:tr w:rsidR="002C1E29" w14:paraId="1F567AFD" w14:textId="77777777">
        <w:trPr>
          <w:cantSplit/>
          <w:trHeight w:val="315"/>
        </w:trPr>
        <w:tc>
          <w:tcPr>
            <w:tcW w:w="2500" w:type="pct"/>
            <w:noWrap/>
          </w:tcPr>
          <w:p w14:paraId="79353070" w14:textId="77777777" w:rsidR="002C1E29" w:rsidRDefault="0079157D">
            <w:pPr>
              <w:pStyle w:val="TableText"/>
            </w:pPr>
            <w:r>
              <w:t xml:space="preserve">Yellow-leg </w:t>
            </w:r>
            <w:proofErr w:type="spellStart"/>
            <w:r>
              <w:t>shrimp</w:t>
            </w:r>
            <w:r>
              <w:rPr>
                <w:vertAlign w:val="superscript"/>
              </w:rPr>
              <w:t>a</w:t>
            </w:r>
            <w:proofErr w:type="spellEnd"/>
          </w:p>
        </w:tc>
        <w:tc>
          <w:tcPr>
            <w:tcW w:w="2500" w:type="pct"/>
            <w:noWrap/>
          </w:tcPr>
          <w:p w14:paraId="08903539" w14:textId="0B6C0E4F" w:rsidR="002C1E29" w:rsidRDefault="0079157D">
            <w:pPr>
              <w:pStyle w:val="TableText"/>
              <w:rPr>
                <w:rStyle w:val="Emphasis"/>
              </w:rPr>
            </w:pPr>
            <w:r>
              <w:rPr>
                <w:rStyle w:val="Emphasis"/>
              </w:rPr>
              <w:t>Penaeus</w:t>
            </w:r>
            <w:r>
              <w:t xml:space="preserve"> </w:t>
            </w:r>
            <w:r>
              <w:rPr>
                <w:rStyle w:val="Emphasis"/>
              </w:rPr>
              <w:t>(</w:t>
            </w:r>
            <w:proofErr w:type="spellStart"/>
            <w:r>
              <w:rPr>
                <w:rStyle w:val="Emphasis"/>
              </w:rPr>
              <w:t>Farfantepenaeus</w:t>
            </w:r>
            <w:proofErr w:type="spellEnd"/>
            <w:r>
              <w:rPr>
                <w:rStyle w:val="Emphasis"/>
              </w:rPr>
              <w:t xml:space="preserve">) </w:t>
            </w:r>
            <w:proofErr w:type="spellStart"/>
            <w:r>
              <w:rPr>
                <w:rStyle w:val="Emphasis"/>
              </w:rPr>
              <w:t>californiensis</w:t>
            </w:r>
            <w:proofErr w:type="spellEnd"/>
          </w:p>
        </w:tc>
      </w:tr>
    </w:tbl>
    <w:p w14:paraId="53B906FD" w14:textId="77777777" w:rsidR="002C1E29" w:rsidRDefault="0079157D">
      <w:pPr>
        <w:pStyle w:val="FigureTableNoteSource"/>
      </w:pPr>
      <w:r>
        <w:rPr>
          <w:rStyle w:val="Strong"/>
        </w:rPr>
        <w:t>a</w:t>
      </w:r>
      <w:r>
        <w:t xml:space="preserve"> Naturally susceptible.</w:t>
      </w:r>
    </w:p>
    <w:p w14:paraId="7C4DF1E5" w14:textId="77777777" w:rsidR="002C1E29" w:rsidRDefault="0079157D">
      <w:pPr>
        <w:pStyle w:val="Heading2"/>
        <w:keepLines/>
      </w:pPr>
      <w:r>
        <w:lastRenderedPageBreak/>
        <w:t>Presence in Australia</w:t>
      </w:r>
    </w:p>
    <w:p w14:paraId="5545E42A" w14:textId="77777777" w:rsidR="002C1E29" w:rsidRDefault="0079157D">
      <w:pPr>
        <w:keepNext/>
        <w:keepLines/>
      </w:pPr>
      <w:r>
        <w:t>IHHNV has been officially reported in black tiger prawns from the Northern Territory and Queensland.</w:t>
      </w:r>
    </w:p>
    <w:p w14:paraId="754EF067" w14:textId="445C38C6" w:rsidR="002C1E29" w:rsidRDefault="0079157D">
      <w:pPr>
        <w:pStyle w:val="Caption"/>
      </w:pPr>
      <w:r>
        <w:t xml:space="preserve">Map </w:t>
      </w:r>
      <w:r>
        <w:rPr>
          <w:noProof/>
        </w:rPr>
        <w:fldChar w:fldCharType="begin"/>
      </w:r>
      <w:r>
        <w:rPr>
          <w:noProof/>
        </w:rPr>
        <w:instrText xml:space="preserve"> SEQ Map \* ARABIC </w:instrText>
      </w:r>
      <w:r>
        <w:rPr>
          <w:noProof/>
        </w:rPr>
        <w:fldChar w:fldCharType="separate"/>
      </w:r>
      <w:r w:rsidR="00AF45CE">
        <w:rPr>
          <w:noProof/>
        </w:rPr>
        <w:t>1</w:t>
      </w:r>
      <w:r>
        <w:rPr>
          <w:noProof/>
        </w:rPr>
        <w:fldChar w:fldCharType="end"/>
      </w:r>
      <w:r>
        <w:t xml:space="preserve"> Presence of </w:t>
      </w:r>
      <w:r>
        <w:rPr>
          <w:szCs w:val="22"/>
        </w:rPr>
        <w:t>IHHNV,</w:t>
      </w:r>
      <w:r>
        <w:t xml:space="preserve"> by jurisdiction</w:t>
      </w:r>
    </w:p>
    <w:p w14:paraId="706994C1" w14:textId="77777777" w:rsidR="002C1E29" w:rsidRDefault="0079157D">
      <w:pPr>
        <w:tabs>
          <w:tab w:val="left" w:pos="4253"/>
        </w:tabs>
      </w:pPr>
      <w:r>
        <w:rPr>
          <w:noProof/>
          <w:lang w:eastAsia="en-AU"/>
        </w:rPr>
        <w:drawing>
          <wp:inline distT="0" distB="0" distL="0" distR="0" wp14:anchorId="73592119" wp14:editId="3D57C055">
            <wp:extent cx="3618521" cy="25740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HN virus in the black tiger prawn has been officially reported from the Northern Territory and Queenslan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618521" cy="2574000"/>
                    </a:xfrm>
                    <a:prstGeom prst="rect">
                      <a:avLst/>
                    </a:prstGeom>
                    <a:noFill/>
                    <a:ln>
                      <a:noFill/>
                    </a:ln>
                  </pic:spPr>
                </pic:pic>
              </a:graphicData>
            </a:graphic>
          </wp:inline>
        </w:drawing>
      </w:r>
    </w:p>
    <w:p w14:paraId="1D7C9B57" w14:textId="77777777" w:rsidR="002C1E29" w:rsidRDefault="0079157D">
      <w:pPr>
        <w:pStyle w:val="Heading2"/>
      </w:pPr>
      <w:r>
        <w:t>Epidemiology</w:t>
      </w:r>
    </w:p>
    <w:p w14:paraId="50600962" w14:textId="4A896EC8" w:rsidR="002C1E29" w:rsidRDefault="0079157D">
      <w:pPr>
        <w:pStyle w:val="ListBullet"/>
      </w:pPr>
      <w:r>
        <w:t xml:space="preserve">Gross signs of disease in an infected animal become evident from about 35 days into </w:t>
      </w:r>
      <w:proofErr w:type="spellStart"/>
      <w:r>
        <w:t>postlarval</w:t>
      </w:r>
      <w:proofErr w:type="spellEnd"/>
      <w:r>
        <w:t xml:space="preserve"> development.</w:t>
      </w:r>
    </w:p>
    <w:p w14:paraId="0F54D7F6" w14:textId="156BD71C" w:rsidR="002C1E29" w:rsidRDefault="0079157D">
      <w:pPr>
        <w:pStyle w:val="ListBullet"/>
      </w:pPr>
      <w:r>
        <w:t xml:space="preserve">IHHNV-resistant prawns and early life stages are </w:t>
      </w:r>
      <w:proofErr w:type="gramStart"/>
      <w:r>
        <w:t>carriers, and</w:t>
      </w:r>
      <w:proofErr w:type="gramEnd"/>
      <w:r>
        <w:t xml:space="preserve"> may transfer the virus to more susceptible species and life stages.</w:t>
      </w:r>
    </w:p>
    <w:p w14:paraId="44EDA64C" w14:textId="77777777" w:rsidR="002C1E29" w:rsidRDefault="0079157D">
      <w:pPr>
        <w:pStyle w:val="ListBullet"/>
      </w:pPr>
      <w:r>
        <w:t>The typical gross signs of runt deformity syndrome may be observed in juveniles and subadults.</w:t>
      </w:r>
    </w:p>
    <w:p w14:paraId="6C1198B5" w14:textId="77777777" w:rsidR="002C1E29" w:rsidRDefault="0079157D">
      <w:pPr>
        <w:pStyle w:val="ListBullet"/>
      </w:pPr>
      <w:r>
        <w:t>Mortality events seldom occur in infected adult prawns.</w:t>
      </w:r>
    </w:p>
    <w:p w14:paraId="7A1C558E" w14:textId="77777777" w:rsidR="002C1E29" w:rsidRDefault="0079157D">
      <w:pPr>
        <w:pStyle w:val="ListBullet"/>
      </w:pPr>
      <w:r>
        <w:t>IHHNV suppresses the prawn’s immune system, allowing infection by other disease agents.</w:t>
      </w:r>
    </w:p>
    <w:p w14:paraId="2C0B27E4" w14:textId="750A2AC4" w:rsidR="002C1E29" w:rsidRDefault="0079157D">
      <w:pPr>
        <w:pStyle w:val="ListBullet"/>
      </w:pPr>
      <w:r>
        <w:t>Infected tissue remains infectious after 5 years of storage at –20°C, after 10 years at –80°C, and after storage in 50% glycerine.</w:t>
      </w:r>
    </w:p>
    <w:p w14:paraId="430620AE" w14:textId="77777777" w:rsidR="002C1E29" w:rsidRDefault="0079157D">
      <w:pPr>
        <w:pStyle w:val="ListBullet"/>
      </w:pPr>
      <w:r>
        <w:t xml:space="preserve">IHHNV infection can result in cumulative mortalities as high as 90% in </w:t>
      </w:r>
      <w:proofErr w:type="spellStart"/>
      <w:r>
        <w:t>postlarvae</w:t>
      </w:r>
      <w:proofErr w:type="spellEnd"/>
      <w:r>
        <w:t xml:space="preserve"> and juveniles.</w:t>
      </w:r>
    </w:p>
    <w:p w14:paraId="5D209EA8" w14:textId="7BE90EF2" w:rsidR="002C1E29" w:rsidRDefault="0079157D">
      <w:pPr>
        <w:pStyle w:val="ListBullet"/>
      </w:pPr>
      <w:r>
        <w:t>Transmission of IHHNV can be via horizontal or vertical routes. Horizontal transmission has been demonstrated by cannibalism or through contaminated water. Vertical transmission has been demonstrated via infected eggs.</w:t>
      </w:r>
    </w:p>
    <w:p w14:paraId="47737F01" w14:textId="77777777" w:rsidR="002C1E29" w:rsidRDefault="0079157D">
      <w:pPr>
        <w:pStyle w:val="Heading2"/>
      </w:pPr>
      <w:r>
        <w:t>Differential diagnosis</w:t>
      </w:r>
    </w:p>
    <w:p w14:paraId="7AC6C480" w14:textId="1DCE0B85" w:rsidR="002C1E29" w:rsidRDefault="0079157D">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860D43" w:rsidRPr="00860D43">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bookmarkStart w:id="0" w:name="_GoBack"/>
      <w:bookmarkEnd w:id="0"/>
    </w:p>
    <w:p w14:paraId="366D6507" w14:textId="77777777" w:rsidR="002C1E29" w:rsidRDefault="0079157D">
      <w:pPr>
        <w:pStyle w:val="Heading2"/>
      </w:pPr>
      <w:bookmarkStart w:id="1" w:name="_Similar_diseases"/>
      <w:bookmarkEnd w:id="1"/>
      <w:r>
        <w:t>Similar diseases</w:t>
      </w:r>
    </w:p>
    <w:p w14:paraId="1DC98135" w14:textId="4C9A963D" w:rsidR="002C1E29" w:rsidRDefault="0079157D">
      <w:r>
        <w:t>Infection with white spot syndrome virus</w:t>
      </w:r>
      <w:r w:rsidR="007C6543">
        <w:t xml:space="preserve"> (WSSV)</w:t>
      </w:r>
      <w:r>
        <w:t>.</w:t>
      </w:r>
    </w:p>
    <w:p w14:paraId="566E828E" w14:textId="77777777" w:rsidR="002C1E29" w:rsidRDefault="0079157D">
      <w:pPr>
        <w:pStyle w:val="Heading2"/>
      </w:pPr>
      <w:r>
        <w:lastRenderedPageBreak/>
        <w:t>Sample collection</w:t>
      </w:r>
    </w:p>
    <w:p w14:paraId="76EB047E" w14:textId="77777777" w:rsidR="002C1E29" w:rsidRDefault="0079157D">
      <w:r w:rsidRPr="0079157D">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31184E7C" w14:textId="77777777" w:rsidR="002C1E29" w:rsidRDefault="0079157D">
      <w:pPr>
        <w:pStyle w:val="Heading2"/>
      </w:pPr>
      <w:r>
        <w:t>Emergency disease hotline</w:t>
      </w:r>
    </w:p>
    <w:p w14:paraId="0C87B681" w14:textId="77777777" w:rsidR="002C1E29" w:rsidRDefault="0079157D">
      <w:r>
        <w:t>See something you think is this disease? Report it. Even if you’re not sure.</w:t>
      </w:r>
    </w:p>
    <w:p w14:paraId="4D7122F7" w14:textId="575FDDF8" w:rsidR="002C1E29" w:rsidRDefault="0079157D">
      <w:r>
        <w:t xml:space="preserve">Call the Emergency Animal Disease Watch Hotline on </w:t>
      </w:r>
      <w:r w:rsidR="004B46D5">
        <w:rPr>
          <w:rStyle w:val="Strong"/>
        </w:rPr>
        <w:t>1800 675 888</w:t>
      </w:r>
      <w:r>
        <w:t>. They will refer you to the right state or territory agency.</w:t>
      </w:r>
    </w:p>
    <w:p w14:paraId="03D3D7A7" w14:textId="67C5AE45" w:rsidR="002C1E29" w:rsidRDefault="0079157D">
      <w:pPr>
        <w:pStyle w:val="Heading2"/>
      </w:pPr>
      <w:r>
        <w:t>Microscope images</w:t>
      </w:r>
    </w:p>
    <w:p w14:paraId="5B8A79E8" w14:textId="58A195A5" w:rsidR="002C1E29" w:rsidRDefault="0079157D">
      <w:pPr>
        <w:pStyle w:val="Caption"/>
      </w:pPr>
      <w:r>
        <w:t xml:space="preserve">Figure </w:t>
      </w:r>
      <w:r>
        <w:rPr>
          <w:noProof/>
        </w:rPr>
        <w:fldChar w:fldCharType="begin"/>
      </w:r>
      <w:r>
        <w:rPr>
          <w:noProof/>
        </w:rPr>
        <w:instrText xml:space="preserve"> SEQ Figure \* ARABIC </w:instrText>
      </w:r>
      <w:r>
        <w:rPr>
          <w:noProof/>
        </w:rPr>
        <w:fldChar w:fldCharType="separate"/>
      </w:r>
      <w:r w:rsidR="00AF45CE">
        <w:rPr>
          <w:noProof/>
        </w:rPr>
        <w:t>4</w:t>
      </w:r>
      <w:r>
        <w:rPr>
          <w:noProof/>
        </w:rPr>
        <w:fldChar w:fldCharType="end"/>
      </w:r>
      <w:r>
        <w:t xml:space="preserve"> Cuticular epithelium and subcuticular connective tissue near heart of juvenile Pacific blue shrimp (</w:t>
      </w:r>
      <w:r>
        <w:rPr>
          <w:rStyle w:val="Emphasis"/>
        </w:rPr>
        <w:t>Penaeus (</w:t>
      </w:r>
      <w:proofErr w:type="spellStart"/>
      <w:r>
        <w:rPr>
          <w:rStyle w:val="Emphasis"/>
        </w:rPr>
        <w:t>Litopenaeus</w:t>
      </w:r>
      <w:proofErr w:type="spellEnd"/>
      <w:r>
        <w:rPr>
          <w:rStyle w:val="Emphasis"/>
        </w:rPr>
        <w:t xml:space="preserve">) </w:t>
      </w:r>
      <w:proofErr w:type="spellStart"/>
      <w:r>
        <w:rPr>
          <w:rStyle w:val="Emphasis"/>
        </w:rPr>
        <w:t>stylirostris</w:t>
      </w:r>
      <w:proofErr w:type="spellEnd"/>
      <w:r>
        <w:t>) with severe acute IHHN</w:t>
      </w:r>
    </w:p>
    <w:p w14:paraId="6A73990A" w14:textId="77777777" w:rsidR="002C1E29" w:rsidRDefault="0079157D">
      <w:r>
        <w:rPr>
          <w:noProof/>
          <w:lang w:eastAsia="en-AU"/>
        </w:rPr>
        <w:drawing>
          <wp:inline distT="0" distB="0" distL="0" distR="0" wp14:anchorId="508745DE" wp14:editId="7090237F">
            <wp:extent cx="3468705" cy="32400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HNVLightner4&amp;5.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3468705" cy="3240000"/>
                    </a:xfrm>
                    <a:prstGeom prst="rect">
                      <a:avLst/>
                    </a:prstGeom>
                    <a:ln>
                      <a:noFill/>
                    </a:ln>
                    <a:extLst>
                      <a:ext uri="{53640926-AAD7-44D8-BBD7-CCE9431645EC}">
                        <a14:shadowObscured xmlns:a14="http://schemas.microsoft.com/office/drawing/2010/main"/>
                      </a:ext>
                    </a:extLst>
                  </pic:spPr>
                </pic:pic>
              </a:graphicData>
            </a:graphic>
          </wp:inline>
        </w:drawing>
      </w:r>
    </w:p>
    <w:p w14:paraId="6FC2F3B7" w14:textId="0589901A" w:rsidR="002C1E29" w:rsidRDefault="0079157D">
      <w:pPr>
        <w:pStyle w:val="FigureTableNoteSource"/>
      </w:pPr>
      <w:r>
        <w:t>Note: Section stained with haematoxylin and eosin. Numerous necrotic cells with pyknotic nuclei (a) or with pathognomonic eosinophilic intranuclear inclusion bodies (Cowdry type A) (b). 830x magnification.</w:t>
      </w:r>
    </w:p>
    <w:p w14:paraId="250CA094" w14:textId="77777777" w:rsidR="002C1E29" w:rsidRDefault="0079157D">
      <w:pPr>
        <w:pStyle w:val="FigureTableNoteSource"/>
      </w:pPr>
      <w:r>
        <w:t>Source: DV Lightner</w:t>
      </w:r>
    </w:p>
    <w:p w14:paraId="70791339" w14:textId="21456E7F" w:rsidR="002C1E29" w:rsidRDefault="0079157D">
      <w:pPr>
        <w:pStyle w:val="Caption"/>
      </w:pPr>
      <w:r>
        <w:lastRenderedPageBreak/>
        <w:t xml:space="preserve">Figure </w:t>
      </w:r>
      <w:r w:rsidR="007C6543">
        <w:rPr>
          <w:noProof/>
        </w:rPr>
        <w:fldChar w:fldCharType="begin"/>
      </w:r>
      <w:r w:rsidR="007C6543">
        <w:rPr>
          <w:noProof/>
        </w:rPr>
        <w:instrText xml:space="preserve"> SEQ Figure \* ARABIC </w:instrText>
      </w:r>
      <w:r w:rsidR="007C6543">
        <w:rPr>
          <w:noProof/>
        </w:rPr>
        <w:fldChar w:fldCharType="separate"/>
      </w:r>
      <w:r w:rsidR="00AF45CE">
        <w:rPr>
          <w:noProof/>
        </w:rPr>
        <w:t>5</w:t>
      </w:r>
      <w:r w:rsidR="007C6543">
        <w:rPr>
          <w:noProof/>
        </w:rPr>
        <w:fldChar w:fldCharType="end"/>
      </w:r>
      <w:r>
        <w:t xml:space="preserve"> Gills of juvenile Pacific blue shrimp (</w:t>
      </w:r>
      <w:r>
        <w:rPr>
          <w:rStyle w:val="Emphasis"/>
        </w:rPr>
        <w:t>Penaeus (</w:t>
      </w:r>
      <w:proofErr w:type="spellStart"/>
      <w:r>
        <w:rPr>
          <w:rStyle w:val="Emphasis"/>
        </w:rPr>
        <w:t>Litopenaeus</w:t>
      </w:r>
      <w:proofErr w:type="spellEnd"/>
      <w:r>
        <w:rPr>
          <w:rStyle w:val="Emphasis"/>
        </w:rPr>
        <w:t xml:space="preserve">) </w:t>
      </w:r>
      <w:proofErr w:type="spellStart"/>
      <w:r>
        <w:rPr>
          <w:rStyle w:val="Emphasis"/>
        </w:rPr>
        <w:t>stylirostris</w:t>
      </w:r>
      <w:proofErr w:type="spellEnd"/>
      <w:r>
        <w:t xml:space="preserve">) with </w:t>
      </w:r>
      <w:r w:rsidR="00352584">
        <w:t>severe </w:t>
      </w:r>
      <w:r w:rsidR="00423532">
        <w:t>acute </w:t>
      </w:r>
      <w:r>
        <w:t>IHHN</w:t>
      </w:r>
    </w:p>
    <w:p w14:paraId="6FE35A28" w14:textId="77777777" w:rsidR="002C1E29" w:rsidRDefault="0079157D">
      <w:r>
        <w:rPr>
          <w:noProof/>
          <w:lang w:eastAsia="en-AU"/>
        </w:rPr>
        <w:drawing>
          <wp:inline distT="0" distB="0" distL="0" distR="0" wp14:anchorId="64AEB4C6" wp14:editId="1D59F0AA">
            <wp:extent cx="3592610" cy="3376800"/>
            <wp:effectExtent l="0" t="0" r="825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HNVLightner4&amp;5.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3592610" cy="3376800"/>
                    </a:xfrm>
                    <a:prstGeom prst="rect">
                      <a:avLst/>
                    </a:prstGeom>
                    <a:ln>
                      <a:noFill/>
                    </a:ln>
                    <a:extLst>
                      <a:ext uri="{53640926-AAD7-44D8-BBD7-CCE9431645EC}">
                        <a14:shadowObscured xmlns:a14="http://schemas.microsoft.com/office/drawing/2010/main"/>
                      </a:ext>
                    </a:extLst>
                  </pic:spPr>
                </pic:pic>
              </a:graphicData>
            </a:graphic>
          </wp:inline>
        </w:drawing>
      </w:r>
    </w:p>
    <w:p w14:paraId="00069277" w14:textId="77777777" w:rsidR="002C1E29" w:rsidRDefault="0079157D">
      <w:pPr>
        <w:pStyle w:val="FigureTableNoteSource"/>
      </w:pPr>
      <w:r>
        <w:t>Note: Numerous necrotic cells (a) with pathognomonic eosinophilic intranuclear inclusion bodies (Cowdry type A) that are pathognomonic for IHHNV infection. 1800x magnification.</w:t>
      </w:r>
    </w:p>
    <w:p w14:paraId="172DA24B" w14:textId="77777777" w:rsidR="002C1E29" w:rsidRDefault="0079157D">
      <w:pPr>
        <w:pStyle w:val="FigureTableNoteSource"/>
        <w:rPr>
          <w:rFonts w:asciiTheme="minorHAnsi" w:hAnsiTheme="minorHAnsi"/>
          <w:sz w:val="22"/>
        </w:rPr>
      </w:pPr>
      <w:r>
        <w:t>Source: DV Lightner</w:t>
      </w:r>
    </w:p>
    <w:p w14:paraId="4CB7E087" w14:textId="21F7AD41" w:rsidR="002C1E29" w:rsidRDefault="0079157D">
      <w:pPr>
        <w:pStyle w:val="Caption"/>
        <w:keepLines/>
      </w:pPr>
      <w:r>
        <w:t xml:space="preserve">Figure </w:t>
      </w:r>
      <w:r>
        <w:rPr>
          <w:noProof/>
        </w:rPr>
        <w:fldChar w:fldCharType="begin"/>
      </w:r>
      <w:r>
        <w:rPr>
          <w:noProof/>
        </w:rPr>
        <w:instrText xml:space="preserve"> SEQ Figure \* ARABIC </w:instrText>
      </w:r>
      <w:r>
        <w:rPr>
          <w:noProof/>
        </w:rPr>
        <w:fldChar w:fldCharType="separate"/>
      </w:r>
      <w:r w:rsidR="00AF45CE">
        <w:rPr>
          <w:noProof/>
        </w:rPr>
        <w:t>6</w:t>
      </w:r>
      <w:r>
        <w:rPr>
          <w:noProof/>
        </w:rPr>
        <w:fldChar w:fldCharType="end"/>
      </w:r>
      <w:r>
        <w:t xml:space="preserve"> Gill lamella with diagnostic</w:t>
      </w:r>
      <w:r w:rsidR="00352584">
        <w:t xml:space="preserve"> IHHNV Cowdry type A inclusions</w:t>
      </w:r>
    </w:p>
    <w:p w14:paraId="452D74E7" w14:textId="77777777" w:rsidR="002C1E29" w:rsidRDefault="0079157D">
      <w:r>
        <w:rPr>
          <w:noProof/>
          <w:lang w:eastAsia="en-AU"/>
        </w:rPr>
        <w:drawing>
          <wp:inline distT="0" distB="0" distL="0" distR="0" wp14:anchorId="1E727058" wp14:editId="274C977E">
            <wp:extent cx="3592610" cy="3376800"/>
            <wp:effectExtent l="0" t="0" r="825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HNVLightner6&amp;7.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3592610" cy="3376800"/>
                    </a:xfrm>
                    <a:prstGeom prst="rect">
                      <a:avLst/>
                    </a:prstGeom>
                    <a:ln>
                      <a:noFill/>
                    </a:ln>
                    <a:extLst>
                      <a:ext uri="{53640926-AAD7-44D8-BBD7-CCE9431645EC}">
                        <a14:shadowObscured xmlns:a14="http://schemas.microsoft.com/office/drawing/2010/main"/>
                      </a:ext>
                    </a:extLst>
                  </pic:spPr>
                </pic:pic>
              </a:graphicData>
            </a:graphic>
          </wp:inline>
        </w:drawing>
      </w:r>
    </w:p>
    <w:p w14:paraId="7BEA8BB8" w14:textId="4FEFECCD" w:rsidR="002C1E29" w:rsidRDefault="0079157D">
      <w:pPr>
        <w:pStyle w:val="FigureTableNoteSource"/>
      </w:pPr>
      <w:r>
        <w:t>Note: Light micrograph shows 3 adjacent cells with diagnostic IHHNV Cowdry type A inclusions (a) in their hypertrophied nuclei. 1800x magnification.</w:t>
      </w:r>
    </w:p>
    <w:p w14:paraId="6FFF0ED2" w14:textId="77777777" w:rsidR="002C1E29" w:rsidRDefault="0079157D">
      <w:pPr>
        <w:pStyle w:val="FigureTableNoteSource"/>
      </w:pPr>
      <w:r>
        <w:t>Source: DV Lightner</w:t>
      </w:r>
    </w:p>
    <w:p w14:paraId="26E88D98" w14:textId="6F9A2954" w:rsidR="002C1E29" w:rsidRDefault="0079157D">
      <w:pPr>
        <w:pStyle w:val="Caption"/>
        <w:keepLines/>
      </w:pPr>
      <w:r>
        <w:lastRenderedPageBreak/>
        <w:t xml:space="preserve">Figure </w:t>
      </w:r>
      <w:r>
        <w:rPr>
          <w:noProof/>
        </w:rPr>
        <w:fldChar w:fldCharType="begin"/>
      </w:r>
      <w:r>
        <w:rPr>
          <w:noProof/>
        </w:rPr>
        <w:instrText xml:space="preserve"> SEQ Figure \* ARABIC </w:instrText>
      </w:r>
      <w:r>
        <w:rPr>
          <w:noProof/>
        </w:rPr>
        <w:fldChar w:fldCharType="separate"/>
      </w:r>
      <w:r w:rsidR="00AF45CE">
        <w:rPr>
          <w:noProof/>
        </w:rPr>
        <w:t>7</w:t>
      </w:r>
      <w:r>
        <w:rPr>
          <w:noProof/>
        </w:rPr>
        <w:fldChar w:fldCharType="end"/>
      </w:r>
      <w:r>
        <w:t xml:space="preserve"> IHHNV Cowdry type A inclusion in nucleus of gill epithelial cell</w:t>
      </w:r>
    </w:p>
    <w:p w14:paraId="428CCB13" w14:textId="77777777" w:rsidR="002C1E29" w:rsidRDefault="0079157D">
      <w:r>
        <w:rPr>
          <w:noProof/>
          <w:lang w:eastAsia="en-AU"/>
        </w:rPr>
        <w:drawing>
          <wp:inline distT="0" distB="0" distL="0" distR="0" wp14:anchorId="405C871A" wp14:editId="38B7D17A">
            <wp:extent cx="3545836" cy="3355200"/>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HNVLightner6&amp;7.jpg"/>
                    <pic:cNvPicPr/>
                  </pic:nvPicPr>
                  <pic:blipFill>
                    <a:blip r:embed="rId18">
                      <a:extLst>
                        <a:ext uri="{28A0092B-C50C-407E-A947-70E740481C1C}">
                          <a14:useLocalDpi xmlns:a14="http://schemas.microsoft.com/office/drawing/2010/main" val="0"/>
                        </a:ext>
                      </a:extLst>
                    </a:blip>
                    <a:stretch>
                      <a:fillRect/>
                    </a:stretch>
                  </pic:blipFill>
                  <pic:spPr bwMode="auto">
                    <a:xfrm>
                      <a:off x="0" y="0"/>
                      <a:ext cx="3545836" cy="3355200"/>
                    </a:xfrm>
                    <a:prstGeom prst="rect">
                      <a:avLst/>
                    </a:prstGeom>
                    <a:ln>
                      <a:noFill/>
                    </a:ln>
                    <a:extLst>
                      <a:ext uri="{53640926-AAD7-44D8-BBD7-CCE9431645EC}">
                        <a14:shadowObscured xmlns:a14="http://schemas.microsoft.com/office/drawing/2010/main"/>
                      </a:ext>
                    </a:extLst>
                  </pic:spPr>
                </pic:pic>
              </a:graphicData>
            </a:graphic>
          </wp:inline>
        </w:drawing>
      </w:r>
    </w:p>
    <w:p w14:paraId="2E575CFD" w14:textId="216E152E" w:rsidR="002C1E29" w:rsidRDefault="0079157D">
      <w:pPr>
        <w:pStyle w:val="FigureTableNoteSource"/>
      </w:pPr>
      <w:r>
        <w:t>Note: Light micrograph shows a chromatin process within the inclusion body (a). 1800x magnification.</w:t>
      </w:r>
    </w:p>
    <w:p w14:paraId="68971B84" w14:textId="77777777" w:rsidR="002C1E29" w:rsidRDefault="0079157D">
      <w:pPr>
        <w:pStyle w:val="FigureTableNoteSource"/>
      </w:pPr>
      <w:r>
        <w:t>Source: DV Lightner</w:t>
      </w:r>
    </w:p>
    <w:p w14:paraId="08078D58" w14:textId="28D74CCE" w:rsidR="002C1E29" w:rsidRDefault="0079157D">
      <w:pPr>
        <w:pStyle w:val="Caption"/>
        <w:keepLines/>
      </w:pPr>
      <w:r>
        <w:t xml:space="preserve">Figure </w:t>
      </w:r>
      <w:r w:rsidR="007C6543">
        <w:rPr>
          <w:noProof/>
        </w:rPr>
        <w:fldChar w:fldCharType="begin"/>
      </w:r>
      <w:r w:rsidR="007C6543">
        <w:rPr>
          <w:noProof/>
        </w:rPr>
        <w:instrText xml:space="preserve"> SEQ Figure \* ARABIC </w:instrText>
      </w:r>
      <w:r w:rsidR="007C6543">
        <w:rPr>
          <w:noProof/>
        </w:rPr>
        <w:fldChar w:fldCharType="separate"/>
      </w:r>
      <w:r w:rsidR="00AF45CE">
        <w:rPr>
          <w:noProof/>
        </w:rPr>
        <w:t>8</w:t>
      </w:r>
      <w:r w:rsidR="007C6543">
        <w:rPr>
          <w:noProof/>
        </w:rPr>
        <w:fldChar w:fldCharType="end"/>
      </w:r>
      <w:r>
        <w:t xml:space="preserve"> Midsagittal section of ventral nerve cord of juvenile Pacific white shrimp (</w:t>
      </w:r>
      <w:r>
        <w:rPr>
          <w:rStyle w:val="Emphasis"/>
        </w:rPr>
        <w:t>Penaeus (</w:t>
      </w:r>
      <w:proofErr w:type="spellStart"/>
      <w:r>
        <w:rPr>
          <w:rStyle w:val="Emphasis"/>
        </w:rPr>
        <w:t>Litopenaeus</w:t>
      </w:r>
      <w:proofErr w:type="spellEnd"/>
      <w:r>
        <w:rPr>
          <w:rStyle w:val="Emphasis"/>
        </w:rPr>
        <w:t>) </w:t>
      </w:r>
      <w:proofErr w:type="spellStart"/>
      <w:r>
        <w:rPr>
          <w:rStyle w:val="Emphasis"/>
        </w:rPr>
        <w:t>vannamei</w:t>
      </w:r>
      <w:proofErr w:type="spellEnd"/>
      <w:r>
        <w:t xml:space="preserve">) with </w:t>
      </w:r>
      <w:r w:rsidR="00203BB9">
        <w:t>IHHN</w:t>
      </w:r>
    </w:p>
    <w:p w14:paraId="24C61C26" w14:textId="77777777" w:rsidR="002C1E29" w:rsidRDefault="0079157D">
      <w:r>
        <w:rPr>
          <w:noProof/>
          <w:lang w:eastAsia="en-AU"/>
        </w:rPr>
        <w:drawing>
          <wp:inline distT="0" distB="0" distL="0" distR="0" wp14:anchorId="7EEC17C6" wp14:editId="4258FAB2">
            <wp:extent cx="3596908" cy="3330000"/>
            <wp:effectExtent l="0" t="0" r="3810" b="381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HNVLightner8&amp;9.jpg"/>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6908" cy="3330000"/>
                    </a:xfrm>
                    <a:prstGeom prst="rect">
                      <a:avLst/>
                    </a:prstGeom>
                    <a:ln>
                      <a:noFill/>
                    </a:ln>
                    <a:extLst>
                      <a:ext uri="{53640926-AAD7-44D8-BBD7-CCE9431645EC}">
                        <a14:shadowObscured xmlns:a14="http://schemas.microsoft.com/office/drawing/2010/main"/>
                      </a:ext>
                    </a:extLst>
                  </pic:spPr>
                </pic:pic>
              </a:graphicData>
            </a:graphic>
          </wp:inline>
        </w:drawing>
      </w:r>
    </w:p>
    <w:p w14:paraId="5F32939A" w14:textId="122F33C7" w:rsidR="002C1E29" w:rsidRDefault="0079157D">
      <w:pPr>
        <w:pStyle w:val="FigureTableNoteSource"/>
      </w:pPr>
      <w:r>
        <w:t>Note: Cowdry type</w:t>
      </w:r>
      <w:r w:rsidR="00423532">
        <w:t> </w:t>
      </w:r>
      <w:r>
        <w:t>A inclusions take the shape of the host cell nucleus (a). In the nerve cord</w:t>
      </w:r>
      <w:r w:rsidR="00352584">
        <w:t>,</w:t>
      </w:r>
      <w:r>
        <w:t xml:space="preserve"> they are often elliptical and appear slightly different from Cowdry ty</w:t>
      </w:r>
      <w:r w:rsidR="00352584">
        <w:t>pe A inclusions in other tissue</w:t>
      </w:r>
      <w:r>
        <w:t>. 1800x magnification.</w:t>
      </w:r>
    </w:p>
    <w:p w14:paraId="325564D2" w14:textId="77777777" w:rsidR="002C1E29" w:rsidRDefault="0079157D">
      <w:pPr>
        <w:pStyle w:val="FigureTableNoteSource"/>
      </w:pPr>
      <w:r>
        <w:t>Source: DV Lightner</w:t>
      </w:r>
    </w:p>
    <w:p w14:paraId="11099905" w14:textId="04F64F79" w:rsidR="002C1E29" w:rsidRDefault="0079157D">
      <w:pPr>
        <w:pStyle w:val="Caption"/>
      </w:pPr>
      <w:bookmarkStart w:id="2" w:name="_Ref10123913"/>
      <w:r>
        <w:lastRenderedPageBreak/>
        <w:t xml:space="preserve">Figure </w:t>
      </w:r>
      <w:r w:rsidR="007C6543">
        <w:rPr>
          <w:noProof/>
        </w:rPr>
        <w:fldChar w:fldCharType="begin"/>
      </w:r>
      <w:r w:rsidR="007C6543">
        <w:rPr>
          <w:noProof/>
        </w:rPr>
        <w:instrText xml:space="preserve"> SEQ Figure \* ARABIC </w:instrText>
      </w:r>
      <w:r w:rsidR="007C6543">
        <w:rPr>
          <w:noProof/>
        </w:rPr>
        <w:fldChar w:fldCharType="separate"/>
      </w:r>
      <w:r w:rsidR="00AF45CE">
        <w:rPr>
          <w:noProof/>
        </w:rPr>
        <w:t>9</w:t>
      </w:r>
      <w:r w:rsidR="007C6543">
        <w:rPr>
          <w:noProof/>
        </w:rPr>
        <w:fldChar w:fldCharType="end"/>
      </w:r>
      <w:bookmarkEnd w:id="2"/>
      <w:r>
        <w:t xml:space="preserve"> Photomicrograph of vas deferens of adult Pacific white shrimp (</w:t>
      </w:r>
      <w:r>
        <w:rPr>
          <w:rStyle w:val="Emphasis"/>
        </w:rPr>
        <w:t>Penaeus (</w:t>
      </w:r>
      <w:proofErr w:type="spellStart"/>
      <w:r>
        <w:rPr>
          <w:rStyle w:val="Emphasis"/>
        </w:rPr>
        <w:t>Litopenaeus</w:t>
      </w:r>
      <w:proofErr w:type="spellEnd"/>
      <w:r>
        <w:rPr>
          <w:rStyle w:val="Emphasis"/>
        </w:rPr>
        <w:t>) </w:t>
      </w:r>
      <w:proofErr w:type="spellStart"/>
      <w:r>
        <w:rPr>
          <w:rStyle w:val="Emphasis"/>
        </w:rPr>
        <w:t>vannamei</w:t>
      </w:r>
      <w:proofErr w:type="spellEnd"/>
      <w:r>
        <w:t>) with IHHN</w:t>
      </w:r>
    </w:p>
    <w:p w14:paraId="3840084B" w14:textId="77777777" w:rsidR="002C1E29" w:rsidRDefault="0079157D">
      <w:r>
        <w:rPr>
          <w:noProof/>
          <w:lang w:eastAsia="en-AU"/>
        </w:rPr>
        <w:drawing>
          <wp:inline distT="0" distB="0" distL="0" distR="0" wp14:anchorId="6A964A90" wp14:editId="22B77698">
            <wp:extent cx="3588608" cy="339840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HNVLightner8&amp;9.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3588608" cy="3398400"/>
                    </a:xfrm>
                    <a:prstGeom prst="rect">
                      <a:avLst/>
                    </a:prstGeom>
                    <a:ln>
                      <a:noFill/>
                    </a:ln>
                    <a:extLst>
                      <a:ext uri="{53640926-AAD7-44D8-BBD7-CCE9431645EC}">
                        <a14:shadowObscured xmlns:a14="http://schemas.microsoft.com/office/drawing/2010/main"/>
                      </a:ext>
                    </a:extLst>
                  </pic:spPr>
                </pic:pic>
              </a:graphicData>
            </a:graphic>
          </wp:inline>
        </w:drawing>
      </w:r>
    </w:p>
    <w:p w14:paraId="0B8AF6EC" w14:textId="26D16E2C" w:rsidR="002C1E29" w:rsidRDefault="0079157D">
      <w:pPr>
        <w:pStyle w:val="FigureTableNoteSource"/>
      </w:pPr>
      <w:r>
        <w:t xml:space="preserve">Note: Cowdry type A inclusions </w:t>
      </w:r>
      <w:r w:rsidR="00607D7C" w:rsidRPr="00BF2C62">
        <w:t>in the vas deferens</w:t>
      </w:r>
      <w:r w:rsidR="00607D7C">
        <w:t xml:space="preserve"> </w:t>
      </w:r>
      <w:r>
        <w:t xml:space="preserve">may be </w:t>
      </w:r>
      <w:r w:rsidR="00D0218A">
        <w:t>unusually</w:t>
      </w:r>
      <w:r>
        <w:t xml:space="preserve"> shaped (a) because they take on the shape of the nuclei of the tissue. 700x magnification.</w:t>
      </w:r>
    </w:p>
    <w:p w14:paraId="6D2F6EC2" w14:textId="77777777" w:rsidR="002C1E29" w:rsidRDefault="0079157D">
      <w:pPr>
        <w:pStyle w:val="FigureTableNoteSource"/>
      </w:pPr>
      <w:r>
        <w:t>Source: DV Lightner</w:t>
      </w:r>
    </w:p>
    <w:p w14:paraId="4FB8FD10" w14:textId="2F7400BD" w:rsidR="002C1E29" w:rsidRDefault="0079157D">
      <w:pPr>
        <w:pStyle w:val="Caption"/>
        <w:keepLines/>
      </w:pPr>
      <w:r>
        <w:t xml:space="preserve">Figure </w:t>
      </w:r>
      <w:r>
        <w:rPr>
          <w:noProof/>
        </w:rPr>
        <w:fldChar w:fldCharType="begin"/>
      </w:r>
      <w:r>
        <w:rPr>
          <w:noProof/>
        </w:rPr>
        <w:instrText xml:space="preserve"> SEQ Figure \* ARABIC </w:instrText>
      </w:r>
      <w:r>
        <w:rPr>
          <w:noProof/>
        </w:rPr>
        <w:fldChar w:fldCharType="separate"/>
      </w:r>
      <w:r w:rsidR="00AF45CE">
        <w:rPr>
          <w:noProof/>
        </w:rPr>
        <w:t>10</w:t>
      </w:r>
      <w:r>
        <w:rPr>
          <w:noProof/>
        </w:rPr>
        <w:fldChar w:fldCharType="end"/>
      </w:r>
      <w:r>
        <w:t xml:space="preserve"> Gills of juvenile Pacific blue shrimp (</w:t>
      </w:r>
      <w:r>
        <w:rPr>
          <w:rStyle w:val="Emphasis"/>
        </w:rPr>
        <w:t>Penaeus (</w:t>
      </w:r>
      <w:proofErr w:type="spellStart"/>
      <w:r>
        <w:rPr>
          <w:rStyle w:val="Emphasis"/>
        </w:rPr>
        <w:t>Litopenaeus</w:t>
      </w:r>
      <w:proofErr w:type="spellEnd"/>
      <w:r>
        <w:rPr>
          <w:rStyle w:val="Emphasis"/>
        </w:rPr>
        <w:t>) </w:t>
      </w:r>
      <w:proofErr w:type="spellStart"/>
      <w:r>
        <w:rPr>
          <w:rStyle w:val="Emphasis"/>
        </w:rPr>
        <w:t>stylirostris</w:t>
      </w:r>
      <w:proofErr w:type="spellEnd"/>
      <w:r>
        <w:t>) with IHHN</w:t>
      </w:r>
    </w:p>
    <w:p w14:paraId="06D140EF" w14:textId="77777777" w:rsidR="002C1E29" w:rsidRDefault="0079157D">
      <w:r>
        <w:rPr>
          <w:noProof/>
          <w:lang w:eastAsia="en-AU"/>
        </w:rPr>
        <w:drawing>
          <wp:inline distT="0" distB="0" distL="0" distR="0" wp14:anchorId="734D577E" wp14:editId="79227867">
            <wp:extent cx="3588780" cy="3373200"/>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HNVLightner10&amp;11.jpg"/>
                    <pic:cNvPicPr/>
                  </pic:nvPicPr>
                  <pic:blipFill>
                    <a:blip r:embed="rId21">
                      <a:extLst>
                        <a:ext uri="{28A0092B-C50C-407E-A947-70E740481C1C}">
                          <a14:useLocalDpi xmlns:a14="http://schemas.microsoft.com/office/drawing/2010/main" val="0"/>
                        </a:ext>
                      </a:extLst>
                    </a:blip>
                    <a:stretch>
                      <a:fillRect/>
                    </a:stretch>
                  </pic:blipFill>
                  <pic:spPr bwMode="auto">
                    <a:xfrm>
                      <a:off x="0" y="0"/>
                      <a:ext cx="3588780" cy="3373200"/>
                    </a:xfrm>
                    <a:prstGeom prst="rect">
                      <a:avLst/>
                    </a:prstGeom>
                    <a:ln>
                      <a:noFill/>
                    </a:ln>
                    <a:extLst>
                      <a:ext uri="{53640926-AAD7-44D8-BBD7-CCE9431645EC}">
                        <a14:shadowObscured xmlns:a14="http://schemas.microsoft.com/office/drawing/2010/main"/>
                      </a:ext>
                    </a:extLst>
                  </pic:spPr>
                </pic:pic>
              </a:graphicData>
            </a:graphic>
          </wp:inline>
        </w:drawing>
      </w:r>
    </w:p>
    <w:p w14:paraId="43C7C792" w14:textId="2E937831" w:rsidR="002C1E29" w:rsidRDefault="0079157D">
      <w:pPr>
        <w:pStyle w:val="FigureTableNoteSource"/>
      </w:pPr>
      <w:r>
        <w:t xml:space="preserve">Note Section stained with </w:t>
      </w:r>
      <w:proofErr w:type="spellStart"/>
      <w:r>
        <w:t>haemotoxylin</w:t>
      </w:r>
      <w:proofErr w:type="spellEnd"/>
      <w:r>
        <w:t xml:space="preserve"> and eosin. Although necrotic cells with pyknotic nuclei are numerous (a), no diagnostic Cowdry type</w:t>
      </w:r>
      <w:r w:rsidR="00423532">
        <w:t> </w:t>
      </w:r>
      <w:r>
        <w:t>A inclusions are apparent 700x magnification.</w:t>
      </w:r>
    </w:p>
    <w:p w14:paraId="6240008E" w14:textId="77777777" w:rsidR="002C1E29" w:rsidRDefault="0079157D">
      <w:pPr>
        <w:pStyle w:val="FigureTableNoteSource"/>
      </w:pPr>
      <w:r>
        <w:t>Source: DV Lightner</w:t>
      </w:r>
    </w:p>
    <w:p w14:paraId="4C624398" w14:textId="0590988F" w:rsidR="002C1E29" w:rsidRDefault="0079157D">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AF45CE">
        <w:rPr>
          <w:noProof/>
        </w:rPr>
        <w:t>11</w:t>
      </w:r>
      <w:r>
        <w:rPr>
          <w:noProof/>
        </w:rPr>
        <w:fldChar w:fldCharType="end"/>
      </w:r>
      <w:r>
        <w:t xml:space="preserve"> Gills of juvenile Pacific blue shrimp (</w:t>
      </w:r>
      <w:r>
        <w:rPr>
          <w:rStyle w:val="Emphasis"/>
        </w:rPr>
        <w:t>Penaeus (</w:t>
      </w:r>
      <w:proofErr w:type="spellStart"/>
      <w:r>
        <w:rPr>
          <w:rStyle w:val="Emphasis"/>
        </w:rPr>
        <w:t>Litopenaeus</w:t>
      </w:r>
      <w:proofErr w:type="spellEnd"/>
      <w:r>
        <w:rPr>
          <w:rStyle w:val="Emphasis"/>
        </w:rPr>
        <w:t>) </w:t>
      </w:r>
      <w:proofErr w:type="spellStart"/>
      <w:r>
        <w:rPr>
          <w:rStyle w:val="Emphasis"/>
        </w:rPr>
        <w:t>stylirostris</w:t>
      </w:r>
      <w:proofErr w:type="spellEnd"/>
      <w:r>
        <w:t>) with</w:t>
      </w:r>
      <w:r w:rsidR="00423532">
        <w:t> </w:t>
      </w:r>
      <w:r>
        <w:t>IHHN</w:t>
      </w:r>
    </w:p>
    <w:p w14:paraId="70C7E94B" w14:textId="77777777" w:rsidR="002C1E29" w:rsidRDefault="0079157D">
      <w:r>
        <w:rPr>
          <w:noProof/>
          <w:lang w:eastAsia="en-AU"/>
        </w:rPr>
        <w:drawing>
          <wp:inline distT="0" distB="0" distL="0" distR="0" wp14:anchorId="3A71FC88" wp14:editId="41F1C3A6">
            <wp:extent cx="3590602" cy="3387600"/>
            <wp:effectExtent l="0" t="0" r="0" b="381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HNVLightner10&amp;11.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3590602" cy="3387600"/>
                    </a:xfrm>
                    <a:prstGeom prst="rect">
                      <a:avLst/>
                    </a:prstGeom>
                    <a:ln>
                      <a:noFill/>
                    </a:ln>
                    <a:extLst>
                      <a:ext uri="{53640926-AAD7-44D8-BBD7-CCE9431645EC}">
                        <a14:shadowObscured xmlns:a14="http://schemas.microsoft.com/office/drawing/2010/main"/>
                      </a:ext>
                    </a:extLst>
                  </pic:spPr>
                </pic:pic>
              </a:graphicData>
            </a:graphic>
          </wp:inline>
        </w:drawing>
      </w:r>
    </w:p>
    <w:p w14:paraId="404DE299" w14:textId="3B84DF28" w:rsidR="002C1E29" w:rsidRDefault="0079157D">
      <w:pPr>
        <w:pStyle w:val="FigureTableNoteSource"/>
      </w:pPr>
      <w:r>
        <w:t>Note: In situ hybridisation section. Several IHHNV-infected cell nuclei have reacted with the digoxigenin labelled probe (a), although no diagnostic Cowdry type A inclusions are apparent. 700x magnification.</w:t>
      </w:r>
    </w:p>
    <w:p w14:paraId="06FAE745" w14:textId="77777777" w:rsidR="002C1E29" w:rsidRDefault="0079157D">
      <w:pPr>
        <w:pStyle w:val="FigureTableNoteSource"/>
      </w:pPr>
      <w:r>
        <w:t>Source: DV Lightner</w:t>
      </w:r>
    </w:p>
    <w:p w14:paraId="6286F3D1" w14:textId="6F23C3E3" w:rsidR="002C1E29" w:rsidRDefault="0079157D">
      <w:pPr>
        <w:pStyle w:val="Caption"/>
      </w:pPr>
      <w:r>
        <w:t xml:space="preserve">Figure </w:t>
      </w:r>
      <w:r>
        <w:rPr>
          <w:noProof/>
        </w:rPr>
        <w:fldChar w:fldCharType="begin"/>
      </w:r>
      <w:r>
        <w:rPr>
          <w:noProof/>
        </w:rPr>
        <w:instrText xml:space="preserve"> SEQ Figure \* ARABIC </w:instrText>
      </w:r>
      <w:r>
        <w:rPr>
          <w:noProof/>
        </w:rPr>
        <w:fldChar w:fldCharType="separate"/>
      </w:r>
      <w:r w:rsidR="00AF45CE">
        <w:rPr>
          <w:noProof/>
        </w:rPr>
        <w:t>12</w:t>
      </w:r>
      <w:r>
        <w:rPr>
          <w:noProof/>
        </w:rPr>
        <w:fldChar w:fldCharType="end"/>
      </w:r>
      <w:r>
        <w:t xml:space="preserve"> Haematopoietic tissue from juvenile Pacific blue shrimp (</w:t>
      </w:r>
      <w:r>
        <w:rPr>
          <w:rStyle w:val="Emphasis"/>
        </w:rPr>
        <w:t>Penaeus (</w:t>
      </w:r>
      <w:proofErr w:type="spellStart"/>
      <w:r>
        <w:rPr>
          <w:rStyle w:val="Emphasis"/>
        </w:rPr>
        <w:t>Litopenaeus</w:t>
      </w:r>
      <w:proofErr w:type="spellEnd"/>
      <w:r>
        <w:rPr>
          <w:rStyle w:val="Emphasis"/>
        </w:rPr>
        <w:t>) </w:t>
      </w:r>
      <w:proofErr w:type="spellStart"/>
      <w:r>
        <w:rPr>
          <w:rStyle w:val="Emphasis"/>
        </w:rPr>
        <w:t>stylirostris</w:t>
      </w:r>
      <w:proofErr w:type="spellEnd"/>
      <w:r>
        <w:t>) with IHHN</w:t>
      </w:r>
    </w:p>
    <w:p w14:paraId="6E448A24" w14:textId="77777777" w:rsidR="002C1E29" w:rsidRDefault="0079157D">
      <w:r>
        <w:rPr>
          <w:noProof/>
          <w:lang w:eastAsia="en-AU"/>
        </w:rPr>
        <w:drawing>
          <wp:inline distT="0" distB="0" distL="0" distR="0" wp14:anchorId="72EB93C3" wp14:editId="5290A596">
            <wp:extent cx="3599708" cy="3249930"/>
            <wp:effectExtent l="0" t="0" r="1270" b="762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HNVLightner12&amp;13.jpg"/>
                    <pic:cNvPicPr/>
                  </pic:nvPicPr>
                  <pic:blipFill rotWithShape="1">
                    <a:blip r:embed="rId23" cstate="print"/>
                    <a:srcRect t="2269" r="49888" b="943"/>
                    <a:stretch/>
                  </pic:blipFill>
                  <pic:spPr bwMode="auto">
                    <a:xfrm>
                      <a:off x="0" y="0"/>
                      <a:ext cx="3600000" cy="3250194"/>
                    </a:xfrm>
                    <a:prstGeom prst="rect">
                      <a:avLst/>
                    </a:prstGeom>
                    <a:ln>
                      <a:noFill/>
                    </a:ln>
                    <a:extLst>
                      <a:ext uri="{53640926-AAD7-44D8-BBD7-CCE9431645EC}">
                        <a14:shadowObscured xmlns:a14="http://schemas.microsoft.com/office/drawing/2010/main"/>
                      </a:ext>
                    </a:extLst>
                  </pic:spPr>
                </pic:pic>
              </a:graphicData>
            </a:graphic>
          </wp:inline>
        </w:drawing>
      </w:r>
    </w:p>
    <w:p w14:paraId="56747286" w14:textId="25E027C1" w:rsidR="002C1E29" w:rsidRDefault="0079157D">
      <w:pPr>
        <w:pStyle w:val="FigureTableNoteSource"/>
      </w:pPr>
      <w:r>
        <w:t xml:space="preserve">Note: </w:t>
      </w:r>
      <w:r w:rsidR="00F80BEA" w:rsidRPr="00F80BEA">
        <w:t>In situ hybridisation section. Digoxigenin (DIG)-labelled probe shows abundant DIG-positive cells where cellular debris or haemolymph have a high content of IHHNV. 700x magnification.</w:t>
      </w:r>
    </w:p>
    <w:p w14:paraId="4C5A6ACD" w14:textId="77777777" w:rsidR="002C1E29" w:rsidRDefault="0079157D">
      <w:pPr>
        <w:pStyle w:val="FigureTableNoteSource"/>
      </w:pPr>
      <w:r>
        <w:t>Source: DV Lightner</w:t>
      </w:r>
    </w:p>
    <w:p w14:paraId="43C0186F" w14:textId="64981D1C" w:rsidR="002C1E29" w:rsidRDefault="0079157D">
      <w:pPr>
        <w:pStyle w:val="Caption"/>
      </w:pPr>
      <w:r>
        <w:lastRenderedPageBreak/>
        <w:t xml:space="preserve">Figure </w:t>
      </w:r>
      <w:r w:rsidR="007C6543">
        <w:rPr>
          <w:noProof/>
        </w:rPr>
        <w:fldChar w:fldCharType="begin"/>
      </w:r>
      <w:r w:rsidR="007C6543">
        <w:rPr>
          <w:noProof/>
        </w:rPr>
        <w:instrText xml:space="preserve"> SEQ Figure \* ARABIC </w:instrText>
      </w:r>
      <w:r w:rsidR="007C6543">
        <w:rPr>
          <w:noProof/>
        </w:rPr>
        <w:fldChar w:fldCharType="separate"/>
      </w:r>
      <w:r w:rsidR="00AF45CE">
        <w:rPr>
          <w:noProof/>
        </w:rPr>
        <w:t>13</w:t>
      </w:r>
      <w:r w:rsidR="007C6543">
        <w:rPr>
          <w:noProof/>
        </w:rPr>
        <w:fldChar w:fldCharType="end"/>
      </w:r>
      <w:r>
        <w:t xml:space="preserve"> Midsagittal section of juvenile white shrimp (</w:t>
      </w:r>
      <w:r>
        <w:rPr>
          <w:rStyle w:val="Emphasis"/>
        </w:rPr>
        <w:t>Penaeus (</w:t>
      </w:r>
      <w:proofErr w:type="spellStart"/>
      <w:r>
        <w:rPr>
          <w:rStyle w:val="Emphasis"/>
        </w:rPr>
        <w:t>Litopenaeus</w:t>
      </w:r>
      <w:proofErr w:type="spellEnd"/>
      <w:r>
        <w:rPr>
          <w:rStyle w:val="Emphasis"/>
        </w:rPr>
        <w:t>) </w:t>
      </w:r>
      <w:proofErr w:type="spellStart"/>
      <w:r>
        <w:rPr>
          <w:rStyle w:val="Emphasis"/>
        </w:rPr>
        <w:t>vannamei</w:t>
      </w:r>
      <w:proofErr w:type="spellEnd"/>
      <w:r>
        <w:t>) with</w:t>
      </w:r>
      <w:r w:rsidR="00203BB9">
        <w:t> IHHN</w:t>
      </w:r>
    </w:p>
    <w:p w14:paraId="3B762B9F" w14:textId="77777777" w:rsidR="002C1E29" w:rsidRDefault="0079157D">
      <w:r>
        <w:rPr>
          <w:noProof/>
          <w:lang w:eastAsia="en-AU"/>
        </w:rPr>
        <w:drawing>
          <wp:inline distT="0" distB="0" distL="0" distR="0" wp14:anchorId="122D4E2D" wp14:editId="6F1CD04A">
            <wp:extent cx="3598233" cy="3394800"/>
            <wp:effectExtent l="0" t="0" r="254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HNVLightner12&amp;13.jpg"/>
                    <pic:cNvPicPr/>
                  </pic:nvPicPr>
                  <pic:blipFill>
                    <a:blip r:embed="rId24">
                      <a:extLst>
                        <a:ext uri="{28A0092B-C50C-407E-A947-70E740481C1C}">
                          <a14:useLocalDpi xmlns:a14="http://schemas.microsoft.com/office/drawing/2010/main" val="0"/>
                        </a:ext>
                      </a:extLst>
                    </a:blip>
                    <a:stretch>
                      <a:fillRect/>
                    </a:stretch>
                  </pic:blipFill>
                  <pic:spPr bwMode="auto">
                    <a:xfrm>
                      <a:off x="0" y="0"/>
                      <a:ext cx="3598233" cy="3394800"/>
                    </a:xfrm>
                    <a:prstGeom prst="rect">
                      <a:avLst/>
                    </a:prstGeom>
                    <a:ln>
                      <a:noFill/>
                    </a:ln>
                    <a:extLst>
                      <a:ext uri="{53640926-AAD7-44D8-BBD7-CCE9431645EC}">
                        <a14:shadowObscured xmlns:a14="http://schemas.microsoft.com/office/drawing/2010/main"/>
                      </a:ext>
                    </a:extLst>
                  </pic:spPr>
                </pic:pic>
              </a:graphicData>
            </a:graphic>
          </wp:inline>
        </w:drawing>
      </w:r>
    </w:p>
    <w:p w14:paraId="3F744FAC" w14:textId="77777777" w:rsidR="002C1E29" w:rsidRDefault="0079157D">
      <w:pPr>
        <w:pStyle w:val="FigureTableNoteSource"/>
      </w:pPr>
      <w:r>
        <w:t>Note: The digoxigenin-labelled probe has reacted with several Cowdry type A inclusions (a) and with cellular debris or haemolymph with a high content of IHHNV. 600x magnification.</w:t>
      </w:r>
    </w:p>
    <w:p w14:paraId="6C215C50" w14:textId="77777777" w:rsidR="002C1E29" w:rsidRDefault="0079157D">
      <w:pPr>
        <w:pStyle w:val="FigureTableNoteSource"/>
      </w:pPr>
      <w:r>
        <w:t>Source: DV Lightner</w:t>
      </w:r>
    </w:p>
    <w:p w14:paraId="56DF594E" w14:textId="77777777" w:rsidR="002C1E29" w:rsidRDefault="0079157D">
      <w:pPr>
        <w:pStyle w:val="Heading2"/>
        <w:rPr>
          <w:rFonts w:ascii="Cambria" w:eastAsiaTheme="minorHAnsi" w:hAnsi="Cambria"/>
          <w:b w:val="0"/>
          <w:bCs w:val="0"/>
          <w:color w:val="auto"/>
          <w:sz w:val="22"/>
          <w:szCs w:val="22"/>
          <w:lang w:eastAsia="en-US"/>
        </w:rPr>
      </w:pPr>
      <w:r>
        <w:t>Further reading</w:t>
      </w:r>
    </w:p>
    <w:p w14:paraId="5171E312" w14:textId="6E758E69" w:rsidR="002C1E29" w:rsidRDefault="0079157D">
      <w:pPr>
        <w:tabs>
          <w:tab w:val="left" w:pos="7530"/>
        </w:tabs>
      </w:pPr>
      <w:r>
        <w:t xml:space="preserve">CABI Invasive Species Compendium </w:t>
      </w:r>
      <w:hyperlink r:id="rId25" w:history="1">
        <w:r>
          <w:rPr>
            <w:rStyle w:val="Hyperlink"/>
          </w:rPr>
          <w:t>Infectious hypodermal and haematopoietic necrosis</w:t>
        </w:r>
      </w:hyperlink>
    </w:p>
    <w:p w14:paraId="19210C4C" w14:textId="77777777" w:rsidR="002C1E29" w:rsidRDefault="0079157D">
      <w:pPr>
        <w:tabs>
          <w:tab w:val="left" w:pos="7530"/>
        </w:tabs>
      </w:pPr>
      <w:r>
        <w:t xml:space="preserve">CEFAS International Database on Aquatic Animal Diseases </w:t>
      </w:r>
      <w:hyperlink r:id="rId26" w:history="1">
        <w:r>
          <w:rPr>
            <w:rStyle w:val="Hyperlink"/>
          </w:rPr>
          <w:t>Infectious hypodermal and haematopoietic necrosis</w:t>
        </w:r>
      </w:hyperlink>
    </w:p>
    <w:p w14:paraId="23E18286" w14:textId="51F8AFEA" w:rsidR="002C1E29" w:rsidRDefault="0079157D">
      <w:pPr>
        <w:tabs>
          <w:tab w:val="left" w:pos="7530"/>
        </w:tabs>
      </w:pPr>
      <w:r>
        <w:t xml:space="preserve">World Organisation for Animal Health </w:t>
      </w:r>
      <w:hyperlink r:id="rId27" w:history="1">
        <w:r>
          <w:rPr>
            <w:rStyle w:val="Hyperlink"/>
            <w:rFonts w:ascii="Calibri" w:hAnsi="Calibri" w:cs="Arial"/>
          </w:rPr>
          <w:t>Manual of diagnostic tests for aquatic animals</w:t>
        </w:r>
      </w:hyperlink>
    </w:p>
    <w:p w14:paraId="1D590A06" w14:textId="77777777" w:rsidR="002C1E29" w:rsidRDefault="0079157D">
      <w:pPr>
        <w:tabs>
          <w:tab w:val="left" w:pos="7530"/>
        </w:tabs>
      </w:pPr>
      <w:r>
        <w:t>These hyperlinks were correct at the time of publication.</w:t>
      </w:r>
    </w:p>
    <w:p w14:paraId="7BE25C9F" w14:textId="77777777" w:rsidR="002C1E29" w:rsidRDefault="0079157D">
      <w:pPr>
        <w:pStyle w:val="Heading2"/>
        <w:ind w:left="0" w:firstLine="0"/>
      </w:pPr>
      <w:r>
        <w:t>Contact details</w:t>
      </w:r>
    </w:p>
    <w:p w14:paraId="360834CD" w14:textId="77777777" w:rsidR="002C1E29" w:rsidRDefault="0079157D">
      <w:pPr>
        <w:spacing w:after="0"/>
      </w:pPr>
      <w:r>
        <w:t>Emergency Animal Disease Watch Hotline 1800 675 888</w:t>
      </w:r>
    </w:p>
    <w:p w14:paraId="73DE6BD2" w14:textId="77777777" w:rsidR="002C1E29" w:rsidRDefault="0079157D">
      <w:r>
        <w:t xml:space="preserve">Email </w:t>
      </w:r>
      <w:hyperlink r:id="rId28" w:history="1">
        <w:r>
          <w:rPr>
            <w:rStyle w:val="Hyperlink"/>
          </w:rPr>
          <w:t>AAH@agriculture.gov.au</w:t>
        </w:r>
      </w:hyperlink>
      <w:r>
        <w:cr/>
        <w:t xml:space="preserve">Website </w:t>
      </w:r>
      <w:hyperlink r:id="rId29" w:history="1">
        <w:r>
          <w:rPr>
            <w:rStyle w:val="Hyperlink"/>
          </w:rPr>
          <w:t>agriculture.gov.au/pests-diseases-weeds/aquatic</w:t>
        </w:r>
      </w:hyperlink>
    </w:p>
    <w:p w14:paraId="36DB3ED7" w14:textId="592CE5A7" w:rsidR="002C1E29" w:rsidRDefault="0079157D">
      <w:pPr>
        <w:pStyle w:val="Normalsmall"/>
      </w:pPr>
      <w:r>
        <w:t>© Commonwealth of Australia 20</w:t>
      </w:r>
      <w:r w:rsidR="00AF45CE">
        <w:t>20</w:t>
      </w:r>
    </w:p>
    <w:p w14:paraId="14069925" w14:textId="77777777" w:rsidR="002C1E29" w:rsidRDefault="0079157D">
      <w:pPr>
        <w:pStyle w:val="Normalsmall"/>
      </w:pPr>
      <w:r>
        <w:t>This work is copyright. It may be reproduced in whole or in part subject to the inclusion of an acknowledgement of the source and no commercial usage or sale.</w:t>
      </w:r>
    </w:p>
    <w:sectPr w:rsidR="002C1E29">
      <w:headerReference w:type="default" r:id="rId30"/>
      <w:footerReference w:type="default" r:id="rId31"/>
      <w:headerReference w:type="first" r:id="rId32"/>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F56DA" w14:textId="77777777" w:rsidR="002C1E29" w:rsidRDefault="0079157D">
      <w:r>
        <w:separator/>
      </w:r>
    </w:p>
    <w:p w14:paraId="1C83C895" w14:textId="77777777" w:rsidR="002C1E29" w:rsidRDefault="002C1E29"/>
    <w:p w14:paraId="06B2B860" w14:textId="77777777" w:rsidR="002C1E29" w:rsidRDefault="002C1E29"/>
  </w:endnote>
  <w:endnote w:type="continuationSeparator" w:id="0">
    <w:p w14:paraId="759941C7" w14:textId="77777777" w:rsidR="002C1E29" w:rsidRDefault="0079157D">
      <w:r>
        <w:continuationSeparator/>
      </w:r>
    </w:p>
    <w:p w14:paraId="137D695B" w14:textId="77777777" w:rsidR="002C1E29" w:rsidRDefault="002C1E29"/>
    <w:p w14:paraId="4D3F777D" w14:textId="77777777" w:rsidR="002C1E29" w:rsidRDefault="002C1E29"/>
  </w:endnote>
  <w:endnote w:type="continuationNotice" w:id="1">
    <w:p w14:paraId="703D5A58" w14:textId="77777777" w:rsidR="002C1E29" w:rsidRDefault="002C1E29">
      <w:pPr>
        <w:pStyle w:val="Footer"/>
      </w:pPr>
    </w:p>
    <w:p w14:paraId="7CBFC253" w14:textId="77777777" w:rsidR="002C1E29" w:rsidRDefault="002C1E29"/>
    <w:p w14:paraId="638EDAC5" w14:textId="77777777" w:rsidR="002C1E29" w:rsidRDefault="002C1E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F5330" w14:textId="442087C0" w:rsidR="002C1E29" w:rsidRDefault="00AF45CE">
    <w:pPr>
      <w:pStyle w:val="Footer"/>
    </w:pPr>
    <w:r>
      <w:t>Department of Agriculture, Water and the Environment</w:t>
    </w:r>
    <w:r w:rsidR="0079157D">
      <w:t xml:space="preserve"> </w:t>
    </w:r>
  </w:p>
  <w:p w14:paraId="71B70DDC" w14:textId="77777777" w:rsidR="002C1E29" w:rsidRDefault="0079157D">
    <w:pPr>
      <w:pStyle w:val="Footer"/>
    </w:pPr>
    <w:r>
      <w:fldChar w:fldCharType="begin"/>
    </w:r>
    <w:r>
      <w:instrText xml:space="preserve"> PAGE   \* MERGEFORMAT </w:instrText>
    </w:r>
    <w:r>
      <w:fldChar w:fldCharType="separate"/>
    </w:r>
    <w:r w:rsidR="00C976BF">
      <w:rPr>
        <w:noProof/>
      </w:rPr>
      <w:t>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08910" w14:textId="77777777" w:rsidR="002C1E29" w:rsidRDefault="0079157D">
      <w:r>
        <w:separator/>
      </w:r>
    </w:p>
    <w:p w14:paraId="64B7150F" w14:textId="77777777" w:rsidR="002C1E29" w:rsidRDefault="002C1E29"/>
    <w:p w14:paraId="5EAFD02A" w14:textId="77777777" w:rsidR="002C1E29" w:rsidRDefault="002C1E29"/>
  </w:footnote>
  <w:footnote w:type="continuationSeparator" w:id="0">
    <w:p w14:paraId="21DD3B0D" w14:textId="77777777" w:rsidR="002C1E29" w:rsidRDefault="0079157D">
      <w:r>
        <w:continuationSeparator/>
      </w:r>
    </w:p>
    <w:p w14:paraId="3F2F2A41" w14:textId="77777777" w:rsidR="002C1E29" w:rsidRDefault="002C1E29"/>
    <w:p w14:paraId="0F74D2DD" w14:textId="77777777" w:rsidR="002C1E29" w:rsidRDefault="002C1E29"/>
  </w:footnote>
  <w:footnote w:type="continuationNotice" w:id="1">
    <w:p w14:paraId="56758693" w14:textId="77777777" w:rsidR="002C1E29" w:rsidRDefault="002C1E29">
      <w:pPr>
        <w:pStyle w:val="Footer"/>
      </w:pPr>
    </w:p>
    <w:p w14:paraId="75B88905" w14:textId="77777777" w:rsidR="002C1E29" w:rsidRDefault="002C1E29"/>
    <w:p w14:paraId="436D79EE" w14:textId="77777777" w:rsidR="002C1E29" w:rsidRDefault="002C1E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193F0" w14:textId="77777777" w:rsidR="002C1E29" w:rsidRDefault="0079157D">
    <w:pPr>
      <w:pStyle w:val="Header"/>
    </w:pPr>
    <w:r>
      <w:t>Infection with infectious hypodermal and haematopoietic necrosis virus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56AC1" w14:textId="77777777" w:rsidR="002C1E29" w:rsidRDefault="0079157D">
    <w:pPr>
      <w:pStyle w:val="Header"/>
      <w:jc w:val="left"/>
    </w:pPr>
    <w:r>
      <w:rPr>
        <w:noProof/>
        <w:lang w:eastAsia="en-AU"/>
      </w:rPr>
      <w:drawing>
        <wp:anchor distT="0" distB="0" distL="114300" distR="114300" simplePos="0" relativeHeight="251659264" behindDoc="1" locked="0" layoutInCell="1" allowOverlap="1" wp14:anchorId="6E065FF2" wp14:editId="7F711699">
          <wp:simplePos x="0" y="0"/>
          <wp:positionH relativeFrom="page">
            <wp:align>left</wp:align>
          </wp:positionH>
          <wp:positionV relativeFrom="paragraph">
            <wp:posOffset>-362310</wp:posOffset>
          </wp:positionV>
          <wp:extent cx="7579637" cy="1623912"/>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637" cy="1623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 w:numId="34">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044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E29"/>
    <w:rsid w:val="00203BB9"/>
    <w:rsid w:val="002C1E29"/>
    <w:rsid w:val="00352584"/>
    <w:rsid w:val="003A439E"/>
    <w:rsid w:val="00423532"/>
    <w:rsid w:val="004B46D5"/>
    <w:rsid w:val="005D2DEF"/>
    <w:rsid w:val="00607D7C"/>
    <w:rsid w:val="006B0DFB"/>
    <w:rsid w:val="00746B90"/>
    <w:rsid w:val="0079157D"/>
    <w:rsid w:val="007C6543"/>
    <w:rsid w:val="007E6750"/>
    <w:rsid w:val="00850D42"/>
    <w:rsid w:val="00860D43"/>
    <w:rsid w:val="009109C0"/>
    <w:rsid w:val="009440BC"/>
    <w:rsid w:val="00955856"/>
    <w:rsid w:val="00AF45CE"/>
    <w:rsid w:val="00C976BF"/>
    <w:rsid w:val="00D0218A"/>
    <w:rsid w:val="00D2793A"/>
    <w:rsid w:val="00E25AD8"/>
    <w:rsid w:val="00F80B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7B13093C"/>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35"/>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8514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63830933">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882077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301310">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46499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925696">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yperlink" Target="https://www.cefas.co.uk/international-database-on-aquatic-animal-diseases/disease-data/?id=39" TargetMode="External"/><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hyperlink" Target="https://www.cabi.org/ISC/datasheet/5994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www.agriculture.gov.au/pests-diseases-weeds/aquati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hyperlink" Target="mailto:AAH@agriculture.gov.au" TargetMode="Externa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hyperlink" Target="http://www.oie.int/en/international-standard-setting/aquatic-manual/access-online" TargetMode="External"/><Relationship Id="rId3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7cf0e0db-f490-4122-abae-21917392c748"/>
    <ds:schemaRef ds:uri="http://www.w3.org/XML/1998/namespace"/>
  </ds:schemaRefs>
</ds:datastoreItem>
</file>

<file path=customXml/itemProps4.xml><?xml version="1.0" encoding="utf-8"?>
<ds:datastoreItem xmlns:ds="http://schemas.openxmlformats.org/officeDocument/2006/customXml" ds:itemID="{A5804B54-EC43-4493-8C60-844AB8AD4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18</TotalTime>
  <Pages>10</Pages>
  <Words>1591</Words>
  <Characters>9074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Infection with infectious hypodermal and haematopoietic necrosis virus (IHHNV)</vt:lpstr>
    </vt:vector>
  </TitlesOfParts>
  <Company>Department of Agriculture Fisheries &amp; Forestry</Company>
  <LinksUpToDate>false</LinksUpToDate>
  <CharactersWithSpaces>10644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with infectious hypodermal and haematopoietic necrosis virus (IHHNV)</dc:title>
  <dc:creator>Department of Agriculture</dc:creator>
  <cp:lastModifiedBy>Foster-Thorpe, Cian</cp:lastModifiedBy>
  <cp:revision>10</cp:revision>
  <cp:lastPrinted>2020-03-12T04:32:00Z</cp:lastPrinted>
  <dcterms:created xsi:type="dcterms:W3CDTF">2019-09-05T06:00:00Z</dcterms:created>
  <dcterms:modified xsi:type="dcterms:W3CDTF">2020-03-12T04:34:00Z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