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6BE0856F" w:rsidR="00ED0614" w:rsidRPr="008F3A41" w:rsidRDefault="00CB11B9" w:rsidP="005412E2">
      <w:pPr>
        <w:pStyle w:val="Heading1"/>
      </w:pPr>
      <w:r w:rsidRPr="00CB11B9">
        <w:t>Infection with infectious spleen and kidney necrosis virus (ISKNV)-like viruses</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1660E2FD" w:rsidR="00ED0614"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393E72">
        <w:rPr>
          <w:noProof/>
        </w:rPr>
        <w:t>1</w:t>
      </w:r>
      <w:r>
        <w:rPr>
          <w:noProof/>
        </w:rPr>
        <w:fldChar w:fldCharType="end"/>
      </w:r>
      <w:r>
        <w:t xml:space="preserve"> </w:t>
      </w:r>
      <w:r w:rsidR="009B5DE8">
        <w:t>D</w:t>
      </w:r>
      <w:r w:rsidR="00CB11B9" w:rsidRPr="00CB11B9">
        <w:t>warf gourami (</w:t>
      </w:r>
      <w:r w:rsidR="00CB11B9" w:rsidRPr="009B5DE8">
        <w:rPr>
          <w:rStyle w:val="Emphasis"/>
        </w:rPr>
        <w:t>Colisa lalia</w:t>
      </w:r>
      <w:r w:rsidR="00CB11B9" w:rsidRPr="00CB11B9">
        <w:t>) infected with an ISKNV</w:t>
      </w:r>
      <w:r w:rsidR="009A09FC">
        <w:noBreakHyphen/>
      </w:r>
      <w:r w:rsidR="00CB11B9" w:rsidRPr="00CB11B9">
        <w:t>like iridovirus</w:t>
      </w:r>
    </w:p>
    <w:p w14:paraId="0EFF3543" w14:textId="4964F2E8" w:rsidR="00ED0614" w:rsidRPr="008F3A41" w:rsidRDefault="00CB11B9">
      <w:r>
        <w:rPr>
          <w:noProof/>
          <w:lang w:eastAsia="en-AU"/>
        </w:rPr>
        <w:drawing>
          <wp:inline distT="0" distB="0" distL="0" distR="0" wp14:anchorId="40C77A43" wp14:editId="2A7B1D4D">
            <wp:extent cx="3960000" cy="4399200"/>
            <wp:effectExtent l="0" t="0" r="2540" b="1905"/>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KNV JGo.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4399200"/>
                    </a:xfrm>
                    <a:prstGeom prst="rect">
                      <a:avLst/>
                    </a:prstGeom>
                    <a:ln>
                      <a:noFill/>
                    </a:ln>
                    <a:extLst>
                      <a:ext uri="{53640926-AAD7-44D8-BBD7-CCE9431645EC}">
                        <a14:shadowObscured xmlns:a14="http://schemas.microsoft.com/office/drawing/2010/main"/>
                      </a:ext>
                    </a:extLst>
                  </pic:spPr>
                </pic:pic>
              </a:graphicData>
            </a:graphic>
          </wp:inline>
        </w:drawing>
      </w:r>
    </w:p>
    <w:p w14:paraId="3E562019" w14:textId="194829EB" w:rsidR="00CB11B9" w:rsidRDefault="00E260DC" w:rsidP="00CB11B9">
      <w:pPr>
        <w:pStyle w:val="FigureTableNoteSource"/>
      </w:pPr>
      <w:r>
        <w:t xml:space="preserve">Note: </w:t>
      </w:r>
      <w:r w:rsidR="00CB11B9">
        <w:t>Pale colouration of diseased fish (top) compared with normal colours of unaffected fish (bottom).</w:t>
      </w:r>
    </w:p>
    <w:p w14:paraId="0FE7139E" w14:textId="091A2897" w:rsidR="00ED0614" w:rsidRPr="008F3A41" w:rsidRDefault="00CB11B9" w:rsidP="00CB11B9">
      <w:pPr>
        <w:pStyle w:val="FigureTableNoteSource"/>
      </w:pPr>
      <w:r>
        <w:t>Source: J Go</w:t>
      </w:r>
    </w:p>
    <w:p w14:paraId="2EE83D63" w14:textId="21ECB58D" w:rsidR="00ED0614" w:rsidRPr="008F3A41" w:rsidRDefault="00E260DC">
      <w:pPr>
        <w:pStyle w:val="Caption"/>
      </w:pPr>
      <w:r>
        <w:t xml:space="preserve">Figure </w:t>
      </w:r>
      <w:r>
        <w:rPr>
          <w:noProof/>
        </w:rPr>
        <w:fldChar w:fldCharType="begin"/>
      </w:r>
      <w:r>
        <w:rPr>
          <w:noProof/>
        </w:rPr>
        <w:instrText xml:space="preserve"> SEQ Figure \* ARABIC </w:instrText>
      </w:r>
      <w:r>
        <w:rPr>
          <w:noProof/>
        </w:rPr>
        <w:fldChar w:fldCharType="separate"/>
      </w:r>
      <w:r w:rsidR="00393E72">
        <w:rPr>
          <w:noProof/>
        </w:rPr>
        <w:t>2</w:t>
      </w:r>
      <w:r>
        <w:rPr>
          <w:noProof/>
        </w:rPr>
        <w:fldChar w:fldCharType="end"/>
      </w:r>
      <w:r>
        <w:t xml:space="preserve"> </w:t>
      </w:r>
      <w:r w:rsidR="00CB11B9" w:rsidRPr="00CB11B9">
        <w:t>Murray cod (</w:t>
      </w:r>
      <w:r w:rsidR="00CB11B9" w:rsidRPr="009B5DE8">
        <w:rPr>
          <w:rStyle w:val="Emphasis"/>
        </w:rPr>
        <w:t>Maccullochella peelii</w:t>
      </w:r>
      <w:r w:rsidR="00CB11B9" w:rsidRPr="00CB11B9">
        <w:t>) fingerling experimentally infected with an ISKNV</w:t>
      </w:r>
      <w:r w:rsidR="009A09FC">
        <w:noBreakHyphen/>
      </w:r>
      <w:r w:rsidR="00CB11B9" w:rsidRPr="00CB11B9">
        <w:t>like iridovirus</w:t>
      </w:r>
    </w:p>
    <w:p w14:paraId="1E87C028" w14:textId="1E887525" w:rsidR="00ED0614" w:rsidRPr="008F3A41" w:rsidRDefault="00CB11B9">
      <w:r>
        <w:rPr>
          <w:noProof/>
          <w:lang w:eastAsia="en-AU"/>
        </w:rPr>
        <w:drawing>
          <wp:inline distT="0" distB="0" distL="0" distR="0" wp14:anchorId="7402DC9D" wp14:editId="7E6ADB2C">
            <wp:extent cx="5398022" cy="1425039"/>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KNV murray cod JGo.jp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400000" cy="1425561"/>
                    </a:xfrm>
                    <a:prstGeom prst="rect">
                      <a:avLst/>
                    </a:prstGeom>
                    <a:ln>
                      <a:noFill/>
                    </a:ln>
                    <a:extLst>
                      <a:ext uri="{53640926-AAD7-44D8-BBD7-CCE9431645EC}">
                        <a14:shadowObscured xmlns:a14="http://schemas.microsoft.com/office/drawing/2010/main"/>
                      </a:ext>
                    </a:extLst>
                  </pic:spPr>
                </pic:pic>
              </a:graphicData>
            </a:graphic>
          </wp:inline>
        </w:drawing>
      </w:r>
    </w:p>
    <w:p w14:paraId="2499A18D" w14:textId="2178C20F" w:rsidR="00ED0614" w:rsidRDefault="00E260DC" w:rsidP="00DF2031">
      <w:pPr>
        <w:pStyle w:val="FigureTableNoteSource"/>
      </w:pPr>
      <w:r>
        <w:t xml:space="preserve">Note: </w:t>
      </w:r>
      <w:r w:rsidR="00CB11B9" w:rsidRPr="00CB11B9">
        <w:t>Discolouration around the front of the body (normal colouration evident near the tail) and signs of respiratory distress at time of death (flared opercula).</w:t>
      </w:r>
    </w:p>
    <w:p w14:paraId="34D7581A" w14:textId="77777777" w:rsidR="00ED0614" w:rsidRDefault="00E260DC">
      <w:pPr>
        <w:pStyle w:val="Heading2"/>
      </w:pPr>
      <w:r>
        <w:lastRenderedPageBreak/>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6A68D0A6" w14:textId="052B2479" w:rsidR="00CB11B9" w:rsidRDefault="00CB11B9" w:rsidP="00CB11B9">
      <w:pPr>
        <w:pStyle w:val="ListBullet"/>
        <w:rPr>
          <w:lang w:eastAsia="ja-JP"/>
        </w:rPr>
      </w:pPr>
      <w:r>
        <w:rPr>
          <w:lang w:eastAsia="ja-JP"/>
        </w:rPr>
        <w:t>mortalities between 50% and</w:t>
      </w:r>
      <w:r w:rsidR="00E46901">
        <w:rPr>
          <w:lang w:eastAsia="ja-JP"/>
        </w:rPr>
        <w:t> </w:t>
      </w:r>
      <w:r>
        <w:rPr>
          <w:lang w:eastAsia="ja-JP"/>
        </w:rPr>
        <w:t>100%</w:t>
      </w:r>
    </w:p>
    <w:p w14:paraId="52195B00" w14:textId="77777777" w:rsidR="00CB11B9" w:rsidRDefault="00CB11B9" w:rsidP="00CB11B9">
      <w:pPr>
        <w:pStyle w:val="ListBullet"/>
        <w:rPr>
          <w:lang w:eastAsia="ja-JP"/>
        </w:rPr>
      </w:pPr>
      <w:r>
        <w:rPr>
          <w:lang w:eastAsia="ja-JP"/>
        </w:rPr>
        <w:t>fish remaining on bottom of tank and not feeding well</w:t>
      </w:r>
    </w:p>
    <w:p w14:paraId="31C50204" w14:textId="77777777" w:rsidR="00CB11B9" w:rsidRDefault="00CB11B9" w:rsidP="00CB11B9">
      <w:pPr>
        <w:pStyle w:val="ListBullet"/>
        <w:rPr>
          <w:lang w:eastAsia="ja-JP"/>
        </w:rPr>
      </w:pPr>
      <w:r>
        <w:rPr>
          <w:lang w:eastAsia="ja-JP"/>
        </w:rPr>
        <w:t>lethargy</w:t>
      </w:r>
    </w:p>
    <w:p w14:paraId="64631B6C" w14:textId="6DEB2652" w:rsidR="00ED0614" w:rsidRDefault="00CB11B9" w:rsidP="00CB11B9">
      <w:pPr>
        <w:pStyle w:val="ListBullet"/>
        <w:rPr>
          <w:lang w:eastAsia="ja-JP"/>
        </w:rPr>
      </w:pPr>
      <w:r>
        <w:rPr>
          <w:lang w:eastAsia="ja-JP"/>
        </w:rPr>
        <w:t>respiratory distress (rapid movement of opercula)</w:t>
      </w:r>
      <w:r w:rsidR="00E260DC">
        <w:rPr>
          <w:lang w:eastAsia="ja-JP"/>
        </w:rPr>
        <w:t>.</w:t>
      </w:r>
    </w:p>
    <w:p w14:paraId="7418287E" w14:textId="77777777" w:rsidR="00CD0FA5" w:rsidRDefault="00DF2031" w:rsidP="00DF2031">
      <w:pPr>
        <w:rPr>
          <w:lang w:eastAsia="ja-JP"/>
        </w:rPr>
      </w:pPr>
      <w:r>
        <w:rPr>
          <w:lang w:eastAsia="ja-JP"/>
        </w:rPr>
        <w:t xml:space="preserve">Gross </w:t>
      </w:r>
      <w:r w:rsidRPr="00DF2031">
        <w:t>pathological</w:t>
      </w:r>
      <w:r>
        <w:rPr>
          <w:lang w:eastAsia="ja-JP"/>
        </w:rPr>
        <w:t xml:space="preserve"> signs </w:t>
      </w:r>
      <w:r w:rsidR="00CD0FA5">
        <w:rPr>
          <w:lang w:eastAsia="ja-JP"/>
        </w:rPr>
        <w:t>are:</w:t>
      </w:r>
    </w:p>
    <w:p w14:paraId="73E58CCB" w14:textId="4E22B055" w:rsidR="00CB11B9" w:rsidRDefault="00CB11B9" w:rsidP="00CB11B9">
      <w:pPr>
        <w:pStyle w:val="ListBullet"/>
        <w:rPr>
          <w:lang w:eastAsia="ja-JP"/>
        </w:rPr>
      </w:pPr>
      <w:r>
        <w:rPr>
          <w:lang w:eastAsia="ja-JP"/>
        </w:rPr>
        <w:t>changes in body colour (darkening or lightening)</w:t>
      </w:r>
    </w:p>
    <w:p w14:paraId="48574E3E" w14:textId="77777777" w:rsidR="00CB11B9" w:rsidRDefault="00CB11B9" w:rsidP="00CB11B9">
      <w:pPr>
        <w:pStyle w:val="ListBullet"/>
        <w:rPr>
          <w:lang w:eastAsia="ja-JP"/>
        </w:rPr>
      </w:pPr>
      <w:r>
        <w:rPr>
          <w:lang w:eastAsia="ja-JP"/>
        </w:rPr>
        <w:t>exophthalmos (popeye)</w:t>
      </w:r>
    </w:p>
    <w:p w14:paraId="06EC2B36" w14:textId="58617C29" w:rsidR="00ED0614" w:rsidRDefault="00CB11B9" w:rsidP="00CB11B9">
      <w:pPr>
        <w:pStyle w:val="ListBullet"/>
        <w:rPr>
          <w:lang w:eastAsia="ja-JP"/>
        </w:rPr>
      </w:pPr>
      <w:r>
        <w:rPr>
          <w:lang w:eastAsia="ja-JP"/>
        </w:rPr>
        <w:t>abdominal distension (due to fluid or enlargement of organs)</w:t>
      </w:r>
      <w:r w:rsidR="00E260DC">
        <w:rPr>
          <w:lang w:eastAsia="ja-JP"/>
        </w:rPr>
        <w:t>.</w:t>
      </w:r>
    </w:p>
    <w:p w14:paraId="2D426F0A" w14:textId="77777777" w:rsidR="00ED0614" w:rsidRDefault="00E260DC">
      <w:pPr>
        <w:rPr>
          <w:lang w:eastAsia="ja-JP"/>
        </w:rPr>
      </w:pPr>
      <w:r>
        <w:rPr>
          <w:lang w:eastAsia="ja-JP"/>
        </w:rPr>
        <w:t>Microscopic pathological signs are:</w:t>
      </w:r>
    </w:p>
    <w:p w14:paraId="11A49061" w14:textId="77777777" w:rsidR="00CB11B9" w:rsidRPr="00CB11B9" w:rsidRDefault="00CB11B9" w:rsidP="00CB11B9">
      <w:pPr>
        <w:pStyle w:val="ListBullet"/>
        <w:rPr>
          <w:lang w:val="en-US"/>
        </w:rPr>
      </w:pPr>
      <w:r w:rsidRPr="00CB11B9">
        <w:rPr>
          <w:lang w:val="en-US"/>
        </w:rPr>
        <w:t>basophilic hypertrophied cells throughout numerous body tissues, but especially the haematopoietic tissues of the kidney and spleen</w:t>
      </w:r>
    </w:p>
    <w:p w14:paraId="68AAA3DA" w14:textId="7143A3A4" w:rsidR="00ED0614" w:rsidRDefault="00CB11B9" w:rsidP="00CB11B9">
      <w:pPr>
        <w:pStyle w:val="ListBullet"/>
        <w:rPr>
          <w:lang w:val="en-US"/>
        </w:rPr>
      </w:pPr>
      <w:r w:rsidRPr="00CB11B9">
        <w:rPr>
          <w:lang w:val="en-US"/>
        </w:rPr>
        <w:t>some virus affected cells may resemble amoebae in appearance</w:t>
      </w:r>
      <w:r w:rsidR="00E260DC">
        <w:rPr>
          <w:lang w:val="en-US"/>
        </w:rPr>
        <w:t>.</w:t>
      </w:r>
    </w:p>
    <w:p w14:paraId="755CDE80" w14:textId="77777777" w:rsidR="00ED0614" w:rsidRDefault="00E260DC">
      <w:pPr>
        <w:pStyle w:val="Heading2"/>
      </w:pPr>
      <w:r>
        <w:t>Disease agent</w:t>
      </w:r>
    </w:p>
    <w:p w14:paraId="29CE47E4" w14:textId="1DAA4E19" w:rsidR="009B5DE8" w:rsidRDefault="00CB11B9" w:rsidP="008B4009">
      <w:r w:rsidRPr="00CB11B9">
        <w:t>ISKNV-like vir</w:t>
      </w:r>
      <w:r w:rsidR="005E631A">
        <w:t xml:space="preserve">uses are </w:t>
      </w:r>
      <w:r w:rsidRPr="00CB11B9">
        <w:t xml:space="preserve">classified in the genus </w:t>
      </w:r>
      <w:r w:rsidRPr="009B5DE8">
        <w:rPr>
          <w:rStyle w:val="Emphasis"/>
        </w:rPr>
        <w:t>Megalocytivirus</w:t>
      </w:r>
      <w:r w:rsidRPr="00CB11B9">
        <w:t xml:space="preserve">, family </w:t>
      </w:r>
      <w:r w:rsidRPr="009B5DE8">
        <w:rPr>
          <w:rStyle w:val="Emphasis"/>
        </w:rPr>
        <w:t>Iridoviridae</w:t>
      </w:r>
      <w:r w:rsidRPr="00CB11B9">
        <w:t xml:space="preserve">. Viruses of this group are related to </w:t>
      </w:r>
      <w:r w:rsidR="00961562">
        <w:t>r</w:t>
      </w:r>
      <w:r w:rsidRPr="00CB11B9">
        <w:t>anaviruses and predominantly cause disease in freshwater fish (particularly cichlids, gouramis and poeciliids)</w:t>
      </w:r>
      <w:r w:rsidR="009B5DE8">
        <w:t>.</w:t>
      </w:r>
      <w:r w:rsidRPr="00CB11B9">
        <w:t xml:space="preserve"> ISKNV-like megalocytiviruses </w:t>
      </w:r>
      <w:r w:rsidR="000C0CEB">
        <w:t>that</w:t>
      </w:r>
      <w:r w:rsidR="000C0CEB" w:rsidRPr="00CB11B9">
        <w:t xml:space="preserve"> </w:t>
      </w:r>
      <w:r w:rsidRPr="00CB11B9">
        <w:t xml:space="preserve">are genetically distinct from red seabream </w:t>
      </w:r>
      <w:r w:rsidR="00961562">
        <w:t>i</w:t>
      </w:r>
      <w:r w:rsidRPr="00CB11B9">
        <w:t>ridovirus</w:t>
      </w:r>
      <w:r w:rsidR="00662491">
        <w:t xml:space="preserve"> (listed separately in this guide)</w:t>
      </w:r>
      <w:r w:rsidRPr="00CB11B9">
        <w:t xml:space="preserve"> (RSIV) are also being increasingly isolated from various species of euryhaline and/or estuarine fish, particularly within the orders Perciformes and Pleuronectiformes.</w:t>
      </w:r>
    </w:p>
    <w:p w14:paraId="7C26BB54" w14:textId="7851A2BA" w:rsidR="009D02AD" w:rsidRPr="000C0CEB" w:rsidRDefault="009D02AD" w:rsidP="000C0CEB">
      <w:pPr>
        <w:pStyle w:val="Heading3"/>
      </w:pPr>
      <w:r w:rsidRPr="000C0CEB">
        <w:rPr>
          <w:rFonts w:eastAsiaTheme="minorHAnsi"/>
        </w:rPr>
        <w:t>ISKNV-like megalocytiviruses</w:t>
      </w:r>
    </w:p>
    <w:p w14:paraId="139BDE97" w14:textId="68F2696A" w:rsidR="00CB11B9" w:rsidRDefault="009D02AD" w:rsidP="000C0CEB">
      <w:r w:rsidRPr="000C0CEB">
        <w:t>ISKNV-like viruses from</w:t>
      </w:r>
      <w:r w:rsidRPr="00CB11B9">
        <w:t xml:space="preserve"> </w:t>
      </w:r>
      <w:r>
        <w:t>c</w:t>
      </w:r>
      <w:r w:rsidR="00CB11B9" w:rsidRPr="00CB11B9">
        <w:t xml:space="preserve">ichlids (all fish belonging to the family </w:t>
      </w:r>
      <w:r w:rsidR="00CB11B9" w:rsidRPr="00B31582">
        <w:t>Cichlidae</w:t>
      </w:r>
      <w:r w:rsidR="00CB11B9" w:rsidRPr="00CB11B9">
        <w:t>):</w:t>
      </w:r>
    </w:p>
    <w:p w14:paraId="1147A2DF" w14:textId="77777777" w:rsidR="00CB11B9" w:rsidRDefault="00CB11B9" w:rsidP="000C0CEB">
      <w:pPr>
        <w:pStyle w:val="ListBullet"/>
      </w:pPr>
      <w:r>
        <w:t>Angelfish iridovirus</w:t>
      </w:r>
    </w:p>
    <w:p w14:paraId="043FF844" w14:textId="36C2E6E4" w:rsidR="00CB11B9" w:rsidRDefault="00CB11B9" w:rsidP="000C0CEB">
      <w:pPr>
        <w:pStyle w:val="ListBullet"/>
      </w:pPr>
      <w:r>
        <w:t>Cichlid iridovirus (includes ram cichlid and chromide cichlid. Although currently uncharacterised, based on histopathology</w:t>
      </w:r>
      <w:r w:rsidR="009B5DE8">
        <w:t>,</w:t>
      </w:r>
      <w:r>
        <w:t xml:space="preserve"> cichlid iridoviruses are considered to be megalocytiviruses</w:t>
      </w:r>
      <w:r w:rsidR="00D5760E">
        <w:t>)</w:t>
      </w:r>
    </w:p>
    <w:p w14:paraId="25240579" w14:textId="77777777" w:rsidR="00CB11B9" w:rsidRDefault="00CB11B9" w:rsidP="000C0CEB">
      <w:pPr>
        <w:pStyle w:val="ListBullet"/>
      </w:pPr>
      <w:r>
        <w:t xml:space="preserve">Iridovirus in </w:t>
      </w:r>
      <w:r w:rsidRPr="009B5DE8">
        <w:rPr>
          <w:rStyle w:val="Emphasis"/>
        </w:rPr>
        <w:t>Apistogramma</w:t>
      </w:r>
      <w:r>
        <w:t xml:space="preserve"> spp.</w:t>
      </w:r>
    </w:p>
    <w:p w14:paraId="71F2B258" w14:textId="77777777" w:rsidR="00CB11B9" w:rsidRDefault="00CB11B9" w:rsidP="000C0CEB">
      <w:pPr>
        <w:pStyle w:val="ListBullet"/>
      </w:pPr>
      <w:r>
        <w:t>Iridovirus in oscars</w:t>
      </w:r>
    </w:p>
    <w:p w14:paraId="06B0CD70" w14:textId="77777777" w:rsidR="00CB11B9" w:rsidRDefault="00CB11B9" w:rsidP="000C0CEB">
      <w:pPr>
        <w:pStyle w:val="ListBullet"/>
      </w:pPr>
      <w:r>
        <w:t>Iridovirus in rainbow krib</w:t>
      </w:r>
    </w:p>
    <w:p w14:paraId="41ED0B63" w14:textId="00B0F204" w:rsidR="00CB11B9" w:rsidRDefault="00CB11B9" w:rsidP="000C0CEB">
      <w:pPr>
        <w:pStyle w:val="ListBullet"/>
      </w:pPr>
      <w:r>
        <w:t>Iridovirus in curviceps.</w:t>
      </w:r>
    </w:p>
    <w:p w14:paraId="3E71923E" w14:textId="73F7CCA9" w:rsidR="00CB11B9" w:rsidRDefault="009D02AD" w:rsidP="00191DD6">
      <w:pPr>
        <w:keepNext/>
        <w:keepLines/>
      </w:pPr>
      <w:r w:rsidRPr="00CB11B9">
        <w:lastRenderedPageBreak/>
        <w:t xml:space="preserve">ISKNV-like viruses from </w:t>
      </w:r>
      <w:r>
        <w:t>g</w:t>
      </w:r>
      <w:r w:rsidR="00CB11B9" w:rsidRPr="00CB11B9">
        <w:t>ouramis (</w:t>
      </w:r>
      <w:r w:rsidR="00961562">
        <w:t>f</w:t>
      </w:r>
      <w:r w:rsidR="00CB11B9" w:rsidRPr="00CB11B9">
        <w:t xml:space="preserve">ish of the subfamilies </w:t>
      </w:r>
      <w:r w:rsidR="00CB11B9" w:rsidRPr="00B31582">
        <w:t>Luciocephalinae and Macropodinae, family Osphronemidae</w:t>
      </w:r>
      <w:r w:rsidR="00CB11B9" w:rsidRPr="00CB11B9">
        <w:t>):</w:t>
      </w:r>
    </w:p>
    <w:p w14:paraId="0170C8FE" w14:textId="56D040E4" w:rsidR="00CB11B9" w:rsidRDefault="00CB11B9" w:rsidP="00191DD6">
      <w:pPr>
        <w:pStyle w:val="ListBullet"/>
        <w:keepNext/>
        <w:keepLines/>
      </w:pPr>
      <w:r>
        <w:t>Dwarf gourami iridovirus (DGIV)</w:t>
      </w:r>
    </w:p>
    <w:p w14:paraId="5EDB665A" w14:textId="77777777" w:rsidR="00CB11B9" w:rsidRDefault="00CB11B9" w:rsidP="000C0CEB">
      <w:pPr>
        <w:pStyle w:val="ListBullet"/>
      </w:pPr>
      <w:r>
        <w:t>Pearl gourami iridovirus</w:t>
      </w:r>
    </w:p>
    <w:p w14:paraId="21F27FBD" w14:textId="77777777" w:rsidR="00CB11B9" w:rsidRDefault="00CB11B9" w:rsidP="000C0CEB">
      <w:pPr>
        <w:pStyle w:val="ListBullet"/>
      </w:pPr>
      <w:r>
        <w:t>Iridovirus in thick-lipped gourami, three-spot gourami and silver gourami</w:t>
      </w:r>
    </w:p>
    <w:p w14:paraId="600261F1" w14:textId="5F6A00E3" w:rsidR="00CB11B9" w:rsidRDefault="00CB11B9" w:rsidP="000C0CEB">
      <w:pPr>
        <w:pStyle w:val="ListBullet"/>
      </w:pPr>
      <w:r>
        <w:t>Iridovirus in paradise fish.</w:t>
      </w:r>
    </w:p>
    <w:p w14:paraId="6ACEA62F" w14:textId="583A389C" w:rsidR="00CB11B9" w:rsidRDefault="009D02AD" w:rsidP="000C0CEB">
      <w:r w:rsidRPr="00CB11B9">
        <w:t xml:space="preserve">ISKNV-like viruses from </w:t>
      </w:r>
      <w:r>
        <w:t>p</w:t>
      </w:r>
      <w:r w:rsidR="00CB11B9" w:rsidRPr="00CB11B9">
        <w:t>oeciliids (</w:t>
      </w:r>
      <w:r w:rsidR="00961562">
        <w:t>a</w:t>
      </w:r>
      <w:r w:rsidR="00CB11B9" w:rsidRPr="00CB11B9">
        <w:t xml:space="preserve">ll fish belonging to the family </w:t>
      </w:r>
      <w:r w:rsidR="00CB11B9" w:rsidRPr="00B31582">
        <w:t>Poeciliidae</w:t>
      </w:r>
      <w:r w:rsidR="00CB11B9" w:rsidRPr="00CB11B9">
        <w:t>):</w:t>
      </w:r>
    </w:p>
    <w:p w14:paraId="309CDB07" w14:textId="4C9A913D" w:rsidR="00CB11B9" w:rsidRDefault="00CB11B9" w:rsidP="000C0CEB">
      <w:pPr>
        <w:pStyle w:val="ListBullet"/>
      </w:pPr>
      <w:r>
        <w:t>African lampeye iridovirus (</w:t>
      </w:r>
      <w:r w:rsidR="00D5760E">
        <w:t>a</w:t>
      </w:r>
      <w:r>
        <w:t xml:space="preserve">ll fish belonging to the subfamily </w:t>
      </w:r>
      <w:r w:rsidRPr="00B31582">
        <w:t>Aplocheilichthyinae</w:t>
      </w:r>
      <w:r>
        <w:t xml:space="preserve">, family </w:t>
      </w:r>
      <w:r w:rsidRPr="00B31582">
        <w:t>Poeciliidae</w:t>
      </w:r>
      <w:r>
        <w:t>)</w:t>
      </w:r>
    </w:p>
    <w:p w14:paraId="0C8B7456" w14:textId="77777777" w:rsidR="00CB11B9" w:rsidRDefault="00CB11B9" w:rsidP="000C0CEB">
      <w:pPr>
        <w:pStyle w:val="ListBullet"/>
      </w:pPr>
      <w:r>
        <w:t xml:space="preserve">Swordtail iridovirus (based on histopathology, swordtail iridovirus and other iridoviruses identified in the family </w:t>
      </w:r>
      <w:r w:rsidRPr="00B31582">
        <w:t>Poeciliidae</w:t>
      </w:r>
      <w:r>
        <w:t xml:space="preserve"> are considered to be megalocytiviruses)</w:t>
      </w:r>
    </w:p>
    <w:p w14:paraId="5CFAC415" w14:textId="77777777" w:rsidR="00CB11B9" w:rsidRDefault="00CB11B9" w:rsidP="000C0CEB">
      <w:pPr>
        <w:pStyle w:val="ListBullet"/>
      </w:pPr>
      <w:r>
        <w:t>Iridovirus in mollies and platys</w:t>
      </w:r>
    </w:p>
    <w:p w14:paraId="1F4125FF" w14:textId="1B41465A" w:rsidR="00CB11B9" w:rsidRDefault="00CB11B9" w:rsidP="000C0CEB">
      <w:pPr>
        <w:pStyle w:val="ListBullet"/>
      </w:pPr>
      <w:r>
        <w:t>Iridovirus in guppies.</w:t>
      </w:r>
    </w:p>
    <w:p w14:paraId="1132E7AE" w14:textId="60C29F75" w:rsidR="00CB11B9" w:rsidRDefault="00CB11B9" w:rsidP="000C0CEB">
      <w:r w:rsidRPr="00CB11B9">
        <w:t>ISKNV-like viruses from euryhaline or estuarine fish:</w:t>
      </w:r>
    </w:p>
    <w:p w14:paraId="5950B003" w14:textId="77777777" w:rsidR="00CB11B9" w:rsidRDefault="00CB11B9" w:rsidP="000C0CEB">
      <w:pPr>
        <w:pStyle w:val="ListBullet"/>
      </w:pPr>
      <w:r>
        <w:t>Iridovirus in Chinese mandarin fish</w:t>
      </w:r>
    </w:p>
    <w:p w14:paraId="077D55E2" w14:textId="77777777" w:rsidR="00CB11B9" w:rsidRDefault="00CB11B9" w:rsidP="000C0CEB">
      <w:pPr>
        <w:pStyle w:val="ListBullet"/>
      </w:pPr>
      <w:r>
        <w:t>Iridovirus in tiger grouper hybrids</w:t>
      </w:r>
    </w:p>
    <w:p w14:paraId="6E547D11" w14:textId="02C5EFDA" w:rsidR="00CB11B9" w:rsidRDefault="00CB11B9" w:rsidP="000C0CEB">
      <w:pPr>
        <w:pStyle w:val="ListBullet"/>
      </w:pPr>
      <w:r>
        <w:t>Flatfish infected with turbot reddish body iridovirus (TRBIV)</w:t>
      </w:r>
    </w:p>
    <w:p w14:paraId="54C7B5E3" w14:textId="6D4DC96E" w:rsidR="00CB11B9" w:rsidRPr="00CB11B9" w:rsidRDefault="00CB11B9" w:rsidP="000C0CEB">
      <w:pPr>
        <w:pStyle w:val="ListBullet"/>
      </w:pPr>
      <w:r>
        <w:t>Iridovirus in barramundi with scale drop disease syndrome.</w:t>
      </w:r>
    </w:p>
    <w:p w14:paraId="10B41ACC" w14:textId="77777777" w:rsidR="00ED0614" w:rsidRDefault="00E260DC">
      <w:pPr>
        <w:pStyle w:val="Heading2"/>
        <w:keepLines/>
      </w:pPr>
      <w:r>
        <w:t>Host range</w:t>
      </w:r>
    </w:p>
    <w:p w14:paraId="63E14290" w14:textId="41F75AF0"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393E72">
        <w:rPr>
          <w:noProof/>
        </w:rPr>
        <w:t>1</w:t>
      </w:r>
      <w:r>
        <w:rPr>
          <w:noProof/>
        </w:rPr>
        <w:fldChar w:fldCharType="end"/>
      </w:r>
      <w:r>
        <w:t xml:space="preserve"> </w:t>
      </w:r>
      <w:r w:rsidR="00CB11B9" w:rsidRPr="00CB11B9">
        <w:t>Species known to be susceptible to ISKNV-like viruses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CB11B9" w14:paraId="3B818FD2" w14:textId="77777777">
        <w:trPr>
          <w:cantSplit/>
          <w:trHeight w:val="315"/>
        </w:trPr>
        <w:tc>
          <w:tcPr>
            <w:tcW w:w="2500" w:type="pct"/>
            <w:tcBorders>
              <w:top w:val="single" w:sz="4" w:space="0" w:color="auto"/>
            </w:tcBorders>
            <w:noWrap/>
          </w:tcPr>
          <w:p w14:paraId="2F3C0965" w14:textId="626D9037" w:rsidR="00CB11B9" w:rsidRDefault="00CB11B9" w:rsidP="00CB11B9">
            <w:pPr>
              <w:pStyle w:val="TableText"/>
            </w:pPr>
            <w:r w:rsidRPr="00F95216">
              <w:t>African lampeye killifish</w:t>
            </w:r>
            <w:r w:rsidR="004B703A" w:rsidRPr="004B703A">
              <w:rPr>
                <w:vertAlign w:val="superscript"/>
              </w:rPr>
              <w:t>a</w:t>
            </w:r>
          </w:p>
        </w:tc>
        <w:tc>
          <w:tcPr>
            <w:tcW w:w="2500" w:type="pct"/>
            <w:tcBorders>
              <w:top w:val="single" w:sz="4" w:space="0" w:color="auto"/>
            </w:tcBorders>
            <w:noWrap/>
          </w:tcPr>
          <w:p w14:paraId="2D4141AF" w14:textId="649097DF" w:rsidR="00CB11B9" w:rsidRPr="004B703A" w:rsidRDefault="00CB11B9" w:rsidP="00CB11B9">
            <w:pPr>
              <w:pStyle w:val="TableText"/>
              <w:rPr>
                <w:rStyle w:val="Emphasis"/>
              </w:rPr>
            </w:pPr>
            <w:r w:rsidRPr="004B703A">
              <w:rPr>
                <w:rStyle w:val="Emphasis"/>
              </w:rPr>
              <w:t>Aplocheilichthys normani</w:t>
            </w:r>
          </w:p>
        </w:tc>
      </w:tr>
      <w:tr w:rsidR="00CB11B9" w14:paraId="163A359F" w14:textId="77777777">
        <w:trPr>
          <w:cantSplit/>
          <w:trHeight w:val="315"/>
        </w:trPr>
        <w:tc>
          <w:tcPr>
            <w:tcW w:w="2500" w:type="pct"/>
            <w:noWrap/>
          </w:tcPr>
          <w:p w14:paraId="74773C6F" w14:textId="37C7F7DA" w:rsidR="00CB11B9" w:rsidRDefault="00CB11B9" w:rsidP="00CB11B9">
            <w:pPr>
              <w:pStyle w:val="TableText"/>
            </w:pPr>
            <w:r w:rsidRPr="00F95216">
              <w:t>Amberjack</w:t>
            </w:r>
          </w:p>
        </w:tc>
        <w:tc>
          <w:tcPr>
            <w:tcW w:w="2500" w:type="pct"/>
            <w:noWrap/>
          </w:tcPr>
          <w:p w14:paraId="1D5663AA" w14:textId="6ED4976D" w:rsidR="00CB11B9" w:rsidRPr="004B703A" w:rsidRDefault="00CB11B9" w:rsidP="00CB11B9">
            <w:pPr>
              <w:pStyle w:val="TableText"/>
              <w:rPr>
                <w:rStyle w:val="Emphasis"/>
                <w:rFonts w:eastAsia="SimSun"/>
              </w:rPr>
            </w:pPr>
            <w:r w:rsidRPr="004B703A">
              <w:rPr>
                <w:rStyle w:val="Emphasis"/>
              </w:rPr>
              <w:t>Seriola dumerili</w:t>
            </w:r>
          </w:p>
        </w:tc>
      </w:tr>
      <w:tr w:rsidR="00CB11B9" w14:paraId="5C3B7FD0" w14:textId="77777777">
        <w:trPr>
          <w:cantSplit/>
          <w:trHeight w:val="315"/>
        </w:trPr>
        <w:tc>
          <w:tcPr>
            <w:tcW w:w="2500" w:type="pct"/>
            <w:noWrap/>
          </w:tcPr>
          <w:p w14:paraId="5227C577" w14:textId="2F0B8FA9" w:rsidR="00CB11B9" w:rsidRDefault="00CB11B9" w:rsidP="00CB11B9">
            <w:pPr>
              <w:pStyle w:val="TableText"/>
            </w:pPr>
            <w:r w:rsidRPr="00F95216">
              <w:t>Angelfish</w:t>
            </w:r>
            <w:r w:rsidR="004B703A" w:rsidRPr="004B703A">
              <w:rPr>
                <w:vertAlign w:val="superscript"/>
              </w:rPr>
              <w:t>a</w:t>
            </w:r>
          </w:p>
        </w:tc>
        <w:tc>
          <w:tcPr>
            <w:tcW w:w="2500" w:type="pct"/>
            <w:noWrap/>
          </w:tcPr>
          <w:p w14:paraId="5ACF429E" w14:textId="0C673B5C" w:rsidR="00CB11B9" w:rsidRPr="004B703A" w:rsidRDefault="00CB11B9" w:rsidP="00CB11B9">
            <w:pPr>
              <w:pStyle w:val="TableText"/>
              <w:rPr>
                <w:rStyle w:val="Emphasis"/>
                <w:rFonts w:eastAsia="SimSun"/>
              </w:rPr>
            </w:pPr>
            <w:r w:rsidRPr="004B703A">
              <w:rPr>
                <w:rStyle w:val="Emphasis"/>
              </w:rPr>
              <w:t>Pterophyllum scalare</w:t>
            </w:r>
          </w:p>
        </w:tc>
      </w:tr>
      <w:tr w:rsidR="00CB11B9" w14:paraId="42EB7617" w14:textId="77777777">
        <w:trPr>
          <w:cantSplit/>
          <w:trHeight w:val="315"/>
        </w:trPr>
        <w:tc>
          <w:tcPr>
            <w:tcW w:w="2500" w:type="pct"/>
            <w:noWrap/>
          </w:tcPr>
          <w:p w14:paraId="71A33549" w14:textId="49E42B04" w:rsidR="00CB11B9" w:rsidRDefault="00CB11B9" w:rsidP="00CB11B9">
            <w:pPr>
              <w:pStyle w:val="TableText"/>
            </w:pPr>
            <w:r w:rsidRPr="00F95216">
              <w:t>Banggai cardinalfish</w:t>
            </w:r>
            <w:r w:rsidR="004B703A" w:rsidRPr="004B703A">
              <w:rPr>
                <w:vertAlign w:val="superscript"/>
              </w:rPr>
              <w:t>a</w:t>
            </w:r>
          </w:p>
        </w:tc>
        <w:tc>
          <w:tcPr>
            <w:tcW w:w="2500" w:type="pct"/>
            <w:noWrap/>
          </w:tcPr>
          <w:p w14:paraId="1D4032D9" w14:textId="6CB5E7D4" w:rsidR="00CB11B9" w:rsidRPr="004B703A" w:rsidRDefault="00CB11B9" w:rsidP="00CB11B9">
            <w:pPr>
              <w:pStyle w:val="TableText"/>
              <w:rPr>
                <w:rStyle w:val="Emphasis"/>
                <w:rFonts w:eastAsia="SimSun"/>
              </w:rPr>
            </w:pPr>
            <w:r w:rsidRPr="004B703A">
              <w:rPr>
                <w:rStyle w:val="Emphasis"/>
              </w:rPr>
              <w:t>Pterapogon kauderni</w:t>
            </w:r>
          </w:p>
        </w:tc>
      </w:tr>
      <w:tr w:rsidR="00CB11B9" w14:paraId="2B6394AD" w14:textId="77777777">
        <w:trPr>
          <w:cantSplit/>
          <w:trHeight w:val="315"/>
        </w:trPr>
        <w:tc>
          <w:tcPr>
            <w:tcW w:w="2500" w:type="pct"/>
            <w:noWrap/>
          </w:tcPr>
          <w:p w14:paraId="5E1E203A" w14:textId="7A310194" w:rsidR="00CB11B9" w:rsidRDefault="00CB11B9" w:rsidP="00CB11B9">
            <w:pPr>
              <w:pStyle w:val="TableText"/>
            </w:pPr>
            <w:r w:rsidRPr="00F95216">
              <w:t>Barramundi</w:t>
            </w:r>
            <w:r w:rsidR="004B703A" w:rsidRPr="004B703A">
              <w:rPr>
                <w:vertAlign w:val="superscript"/>
              </w:rPr>
              <w:t>a</w:t>
            </w:r>
          </w:p>
        </w:tc>
        <w:tc>
          <w:tcPr>
            <w:tcW w:w="2500" w:type="pct"/>
            <w:noWrap/>
          </w:tcPr>
          <w:p w14:paraId="44C74309" w14:textId="52C9F88A" w:rsidR="00CB11B9" w:rsidRPr="004B703A" w:rsidRDefault="00CB11B9" w:rsidP="00CB11B9">
            <w:pPr>
              <w:pStyle w:val="TableText"/>
              <w:rPr>
                <w:rStyle w:val="Emphasis"/>
              </w:rPr>
            </w:pPr>
            <w:r w:rsidRPr="004B703A">
              <w:rPr>
                <w:rStyle w:val="Emphasis"/>
              </w:rPr>
              <w:t>Lates calcarifer</w:t>
            </w:r>
          </w:p>
        </w:tc>
      </w:tr>
      <w:tr w:rsidR="00CB11B9" w14:paraId="6920FABC" w14:textId="77777777">
        <w:trPr>
          <w:cantSplit/>
          <w:trHeight w:val="315"/>
        </w:trPr>
        <w:tc>
          <w:tcPr>
            <w:tcW w:w="2500" w:type="pct"/>
            <w:noWrap/>
          </w:tcPr>
          <w:p w14:paraId="264B739C" w14:textId="138C16D9" w:rsidR="00CB11B9" w:rsidRDefault="00CB11B9" w:rsidP="00CB11B9">
            <w:pPr>
              <w:pStyle w:val="TableText"/>
            </w:pPr>
            <w:r w:rsidRPr="00F95216">
              <w:t>Blue tilapia</w:t>
            </w:r>
          </w:p>
        </w:tc>
        <w:tc>
          <w:tcPr>
            <w:tcW w:w="2500" w:type="pct"/>
            <w:noWrap/>
          </w:tcPr>
          <w:p w14:paraId="379EFB71" w14:textId="641EF7AF" w:rsidR="00CB11B9" w:rsidRPr="004B703A" w:rsidRDefault="00CB11B9" w:rsidP="00CB11B9">
            <w:pPr>
              <w:pStyle w:val="TableText"/>
              <w:rPr>
                <w:rStyle w:val="Emphasis"/>
              </w:rPr>
            </w:pPr>
            <w:r w:rsidRPr="004B703A">
              <w:rPr>
                <w:rStyle w:val="Emphasis"/>
              </w:rPr>
              <w:t>Oreochromis aureus</w:t>
            </w:r>
          </w:p>
        </w:tc>
      </w:tr>
      <w:tr w:rsidR="00CB11B9" w14:paraId="0D6ED91A" w14:textId="77777777">
        <w:trPr>
          <w:cantSplit/>
          <w:trHeight w:val="315"/>
        </w:trPr>
        <w:tc>
          <w:tcPr>
            <w:tcW w:w="2500" w:type="pct"/>
            <w:noWrap/>
          </w:tcPr>
          <w:p w14:paraId="3198F7CB" w14:textId="0DEF31A2" w:rsidR="00CB11B9" w:rsidRPr="002F7844" w:rsidRDefault="00CB11B9" w:rsidP="00CB11B9">
            <w:pPr>
              <w:pStyle w:val="TableText"/>
            </w:pPr>
            <w:r w:rsidRPr="00F95216">
              <w:t>Chinese perch or mandarin fish</w:t>
            </w:r>
            <w:r w:rsidR="004B703A" w:rsidRPr="004B703A">
              <w:rPr>
                <w:vertAlign w:val="superscript"/>
              </w:rPr>
              <w:t>a</w:t>
            </w:r>
          </w:p>
        </w:tc>
        <w:tc>
          <w:tcPr>
            <w:tcW w:w="2500" w:type="pct"/>
            <w:noWrap/>
          </w:tcPr>
          <w:p w14:paraId="5466F917" w14:textId="05D70461" w:rsidR="00CB11B9" w:rsidRPr="004B703A" w:rsidRDefault="00CB11B9" w:rsidP="00CB11B9">
            <w:pPr>
              <w:pStyle w:val="TableText"/>
              <w:rPr>
                <w:rStyle w:val="Emphasis"/>
              </w:rPr>
            </w:pPr>
            <w:r w:rsidRPr="004B703A">
              <w:rPr>
                <w:rStyle w:val="Emphasis"/>
              </w:rPr>
              <w:t>Siniperca chuatsi</w:t>
            </w:r>
          </w:p>
        </w:tc>
      </w:tr>
      <w:tr w:rsidR="00CB11B9" w14:paraId="50940242" w14:textId="77777777">
        <w:trPr>
          <w:cantSplit/>
          <w:trHeight w:val="315"/>
        </w:trPr>
        <w:tc>
          <w:tcPr>
            <w:tcW w:w="2500" w:type="pct"/>
            <w:noWrap/>
          </w:tcPr>
          <w:p w14:paraId="708B6394" w14:textId="0C76497E" w:rsidR="00CB11B9" w:rsidRPr="002F7844" w:rsidRDefault="00CB11B9" w:rsidP="00CB11B9">
            <w:pPr>
              <w:pStyle w:val="TableText"/>
            </w:pPr>
            <w:r w:rsidRPr="00F95216">
              <w:t>Curviceps</w:t>
            </w:r>
            <w:r w:rsidR="004B703A" w:rsidRPr="004B703A">
              <w:rPr>
                <w:vertAlign w:val="superscript"/>
              </w:rPr>
              <w:t>a</w:t>
            </w:r>
          </w:p>
        </w:tc>
        <w:tc>
          <w:tcPr>
            <w:tcW w:w="2500" w:type="pct"/>
            <w:noWrap/>
          </w:tcPr>
          <w:p w14:paraId="2E781A41" w14:textId="78213687" w:rsidR="00CB11B9" w:rsidRPr="004B703A" w:rsidRDefault="00CB11B9" w:rsidP="00CB11B9">
            <w:pPr>
              <w:pStyle w:val="TableText"/>
              <w:rPr>
                <w:rStyle w:val="Emphasis"/>
              </w:rPr>
            </w:pPr>
            <w:r w:rsidRPr="004B703A">
              <w:rPr>
                <w:rStyle w:val="Emphasis"/>
              </w:rPr>
              <w:t>Laetacara curviceps</w:t>
            </w:r>
          </w:p>
        </w:tc>
      </w:tr>
      <w:tr w:rsidR="00CB11B9" w14:paraId="0E71F767" w14:textId="77777777">
        <w:trPr>
          <w:cantSplit/>
          <w:trHeight w:val="315"/>
        </w:trPr>
        <w:tc>
          <w:tcPr>
            <w:tcW w:w="2500" w:type="pct"/>
            <w:noWrap/>
          </w:tcPr>
          <w:p w14:paraId="5927853A" w14:textId="390D3F73" w:rsidR="00CB11B9" w:rsidRPr="002F7844" w:rsidRDefault="00CB11B9" w:rsidP="00CB11B9">
            <w:pPr>
              <w:pStyle w:val="TableText"/>
            </w:pPr>
            <w:r w:rsidRPr="00F95216">
              <w:t>Dwarf cichlids</w:t>
            </w:r>
            <w:r w:rsidR="004B703A" w:rsidRPr="004B703A">
              <w:rPr>
                <w:vertAlign w:val="superscript"/>
              </w:rPr>
              <w:t>a</w:t>
            </w:r>
          </w:p>
        </w:tc>
        <w:tc>
          <w:tcPr>
            <w:tcW w:w="2500" w:type="pct"/>
            <w:noWrap/>
          </w:tcPr>
          <w:p w14:paraId="5C2EE772" w14:textId="48B33895" w:rsidR="00CB11B9" w:rsidRPr="00CB11B9" w:rsidRDefault="00CB11B9" w:rsidP="00CB11B9">
            <w:pPr>
              <w:pStyle w:val="TableText"/>
            </w:pPr>
            <w:r w:rsidRPr="004B703A">
              <w:rPr>
                <w:rStyle w:val="Emphasis"/>
              </w:rPr>
              <w:t>Apistogramma</w:t>
            </w:r>
            <w:r w:rsidRPr="00CB11B9">
              <w:t xml:space="preserve"> spp.</w:t>
            </w:r>
          </w:p>
        </w:tc>
      </w:tr>
      <w:tr w:rsidR="00CB11B9" w14:paraId="037225C0" w14:textId="77777777">
        <w:trPr>
          <w:cantSplit/>
          <w:trHeight w:val="315"/>
        </w:trPr>
        <w:tc>
          <w:tcPr>
            <w:tcW w:w="2500" w:type="pct"/>
            <w:noWrap/>
          </w:tcPr>
          <w:p w14:paraId="452CEEFA" w14:textId="7EA6C7C0" w:rsidR="00CB11B9" w:rsidRPr="002F7844" w:rsidRDefault="00CB11B9" w:rsidP="00CB11B9">
            <w:pPr>
              <w:pStyle w:val="TableText"/>
            </w:pPr>
            <w:r w:rsidRPr="00F95216">
              <w:t>Dwarf gourami</w:t>
            </w:r>
            <w:r w:rsidR="004B703A" w:rsidRPr="004B703A">
              <w:rPr>
                <w:vertAlign w:val="superscript"/>
              </w:rPr>
              <w:t>a</w:t>
            </w:r>
          </w:p>
        </w:tc>
        <w:tc>
          <w:tcPr>
            <w:tcW w:w="2500" w:type="pct"/>
            <w:noWrap/>
          </w:tcPr>
          <w:p w14:paraId="67D8CE60" w14:textId="097AD277" w:rsidR="00CB11B9" w:rsidRPr="00CB11B9" w:rsidRDefault="00CB11B9" w:rsidP="00CB11B9">
            <w:pPr>
              <w:pStyle w:val="TableText"/>
            </w:pPr>
            <w:r w:rsidRPr="004A104B">
              <w:rPr>
                <w:rStyle w:val="Emphasis"/>
              </w:rPr>
              <w:t>Trichogaster lalius</w:t>
            </w:r>
          </w:p>
        </w:tc>
      </w:tr>
      <w:tr w:rsidR="00CB11B9" w14:paraId="4C9324AD" w14:textId="77777777">
        <w:trPr>
          <w:cantSplit/>
          <w:trHeight w:val="315"/>
        </w:trPr>
        <w:tc>
          <w:tcPr>
            <w:tcW w:w="2500" w:type="pct"/>
            <w:noWrap/>
          </w:tcPr>
          <w:p w14:paraId="4D1EE74E" w14:textId="36961C88" w:rsidR="00CB11B9" w:rsidRPr="002F7844" w:rsidRDefault="00CB11B9" w:rsidP="00CB11B9">
            <w:pPr>
              <w:pStyle w:val="TableText"/>
            </w:pPr>
            <w:r w:rsidRPr="00F95216">
              <w:t>Flounders</w:t>
            </w:r>
            <w:r w:rsidR="004B703A" w:rsidRPr="004B703A">
              <w:rPr>
                <w:vertAlign w:val="superscript"/>
              </w:rPr>
              <w:t>a</w:t>
            </w:r>
          </w:p>
        </w:tc>
        <w:tc>
          <w:tcPr>
            <w:tcW w:w="2500" w:type="pct"/>
            <w:noWrap/>
          </w:tcPr>
          <w:p w14:paraId="359C69C9" w14:textId="4C551F7E" w:rsidR="00CB11B9" w:rsidRPr="00CB11B9" w:rsidRDefault="00CB11B9" w:rsidP="00CB11B9">
            <w:pPr>
              <w:pStyle w:val="TableText"/>
            </w:pPr>
            <w:r w:rsidRPr="004B703A">
              <w:rPr>
                <w:rStyle w:val="Emphasis"/>
              </w:rPr>
              <w:t>Paralichthyidae</w:t>
            </w:r>
            <w:r w:rsidRPr="00CB11B9">
              <w:t>, all species</w:t>
            </w:r>
          </w:p>
        </w:tc>
      </w:tr>
      <w:tr w:rsidR="00CB11B9" w14:paraId="5CD53359" w14:textId="77777777">
        <w:trPr>
          <w:cantSplit/>
          <w:trHeight w:val="315"/>
        </w:trPr>
        <w:tc>
          <w:tcPr>
            <w:tcW w:w="2500" w:type="pct"/>
            <w:noWrap/>
          </w:tcPr>
          <w:p w14:paraId="43F2E6D3" w14:textId="288EEF42" w:rsidR="00CB11B9" w:rsidRPr="002F7844" w:rsidRDefault="003317F6" w:rsidP="003317F6">
            <w:pPr>
              <w:pStyle w:val="TableText"/>
            </w:pPr>
            <w:r>
              <w:t xml:space="preserve">Giant </w:t>
            </w:r>
            <w:r w:rsidR="00CB11B9" w:rsidRPr="00F95216">
              <w:t>grouper</w:t>
            </w:r>
          </w:p>
        </w:tc>
        <w:tc>
          <w:tcPr>
            <w:tcW w:w="2500" w:type="pct"/>
            <w:noWrap/>
          </w:tcPr>
          <w:p w14:paraId="588E0EA8" w14:textId="4D2F35C8" w:rsidR="00CB11B9" w:rsidRPr="004B703A" w:rsidRDefault="00CB11B9" w:rsidP="00CB11B9">
            <w:pPr>
              <w:pStyle w:val="TableText"/>
              <w:rPr>
                <w:rStyle w:val="Emphasis"/>
              </w:rPr>
            </w:pPr>
            <w:r w:rsidRPr="004B703A">
              <w:rPr>
                <w:rStyle w:val="Emphasis"/>
              </w:rPr>
              <w:t>Epinephelus lanceolatus</w:t>
            </w:r>
          </w:p>
        </w:tc>
      </w:tr>
      <w:tr w:rsidR="00CB11B9" w14:paraId="548A4547" w14:textId="77777777">
        <w:trPr>
          <w:cantSplit/>
          <w:trHeight w:val="315"/>
        </w:trPr>
        <w:tc>
          <w:tcPr>
            <w:tcW w:w="2500" w:type="pct"/>
            <w:noWrap/>
          </w:tcPr>
          <w:p w14:paraId="422000DC" w14:textId="51E6B982" w:rsidR="00CB11B9" w:rsidRPr="002F7844" w:rsidRDefault="00CB11B9" w:rsidP="00CB11B9">
            <w:pPr>
              <w:pStyle w:val="TableText"/>
            </w:pPr>
            <w:r w:rsidRPr="00F95216">
              <w:t>Golden perch</w:t>
            </w:r>
          </w:p>
        </w:tc>
        <w:tc>
          <w:tcPr>
            <w:tcW w:w="2500" w:type="pct"/>
            <w:noWrap/>
          </w:tcPr>
          <w:p w14:paraId="60CDDC53" w14:textId="7110FE59" w:rsidR="00CB11B9" w:rsidRPr="004B703A" w:rsidRDefault="00CB11B9" w:rsidP="00CB11B9">
            <w:pPr>
              <w:pStyle w:val="TableText"/>
              <w:rPr>
                <w:rStyle w:val="Emphasis"/>
              </w:rPr>
            </w:pPr>
            <w:r w:rsidRPr="004B703A">
              <w:rPr>
                <w:rStyle w:val="Emphasis"/>
              </w:rPr>
              <w:t>Macquaria ambigua</w:t>
            </w:r>
          </w:p>
        </w:tc>
      </w:tr>
      <w:tr w:rsidR="00CB11B9" w14:paraId="0038A2EE" w14:textId="77777777">
        <w:trPr>
          <w:cantSplit/>
          <w:trHeight w:val="315"/>
        </w:trPr>
        <w:tc>
          <w:tcPr>
            <w:tcW w:w="2500" w:type="pct"/>
            <w:noWrap/>
          </w:tcPr>
          <w:p w14:paraId="57908890" w14:textId="31485A73" w:rsidR="00CB11B9" w:rsidRPr="002F7844" w:rsidRDefault="00CB11B9" w:rsidP="00CB11B9">
            <w:pPr>
              <w:pStyle w:val="TableText"/>
            </w:pPr>
            <w:r w:rsidRPr="00F95216">
              <w:t xml:space="preserve">Grass carp </w:t>
            </w:r>
          </w:p>
        </w:tc>
        <w:tc>
          <w:tcPr>
            <w:tcW w:w="2500" w:type="pct"/>
            <w:noWrap/>
          </w:tcPr>
          <w:p w14:paraId="5ED3D8FF" w14:textId="78A5F65E" w:rsidR="00CB11B9" w:rsidRPr="004B703A" w:rsidRDefault="00CB11B9" w:rsidP="00CB11B9">
            <w:pPr>
              <w:pStyle w:val="TableText"/>
              <w:rPr>
                <w:rStyle w:val="Emphasis"/>
              </w:rPr>
            </w:pPr>
            <w:r w:rsidRPr="004B703A">
              <w:rPr>
                <w:rStyle w:val="Emphasis"/>
              </w:rPr>
              <w:t>Ctenopharyngodon idell</w:t>
            </w:r>
            <w:r w:rsidR="00444EA9">
              <w:rPr>
                <w:rStyle w:val="Emphasis"/>
              </w:rPr>
              <w:t>a</w:t>
            </w:r>
          </w:p>
        </w:tc>
      </w:tr>
      <w:tr w:rsidR="00CB11B9" w14:paraId="42AFDBED" w14:textId="77777777">
        <w:trPr>
          <w:cantSplit/>
          <w:trHeight w:val="315"/>
        </w:trPr>
        <w:tc>
          <w:tcPr>
            <w:tcW w:w="2500" w:type="pct"/>
            <w:noWrap/>
          </w:tcPr>
          <w:p w14:paraId="17CF3458" w14:textId="746D7058" w:rsidR="00CB11B9" w:rsidRPr="002F7844" w:rsidRDefault="00CB11B9" w:rsidP="00CB11B9">
            <w:pPr>
              <w:pStyle w:val="TableText"/>
            </w:pPr>
            <w:r w:rsidRPr="00F95216">
              <w:lastRenderedPageBreak/>
              <w:t>Grouper and estuary cod</w:t>
            </w:r>
            <w:r w:rsidR="004B703A" w:rsidRPr="004B703A">
              <w:rPr>
                <w:vertAlign w:val="superscript"/>
              </w:rPr>
              <w:t>a</w:t>
            </w:r>
          </w:p>
        </w:tc>
        <w:tc>
          <w:tcPr>
            <w:tcW w:w="2500" w:type="pct"/>
            <w:noWrap/>
          </w:tcPr>
          <w:p w14:paraId="0317CA13" w14:textId="1581B61C" w:rsidR="00CB11B9" w:rsidRPr="00CB11B9" w:rsidRDefault="00CB11B9" w:rsidP="00CB11B9">
            <w:pPr>
              <w:pStyle w:val="TableText"/>
            </w:pPr>
            <w:r w:rsidRPr="004B703A">
              <w:rPr>
                <w:rStyle w:val="Emphasis"/>
              </w:rPr>
              <w:t>Epinephelus</w:t>
            </w:r>
            <w:r w:rsidRPr="00CB11B9">
              <w:t xml:space="preserve"> spp.</w:t>
            </w:r>
          </w:p>
        </w:tc>
      </w:tr>
      <w:tr w:rsidR="00CB11B9" w14:paraId="5316B5D4" w14:textId="77777777">
        <w:trPr>
          <w:cantSplit/>
          <w:trHeight w:val="315"/>
        </w:trPr>
        <w:tc>
          <w:tcPr>
            <w:tcW w:w="2500" w:type="pct"/>
            <w:noWrap/>
          </w:tcPr>
          <w:p w14:paraId="6F94F8C2" w14:textId="1BAA314A" w:rsidR="00CB11B9" w:rsidRPr="002F7844" w:rsidRDefault="00CB11B9" w:rsidP="00CB11B9">
            <w:pPr>
              <w:pStyle w:val="TableText"/>
            </w:pPr>
            <w:r w:rsidRPr="00F95216">
              <w:t>Guppy</w:t>
            </w:r>
            <w:r w:rsidR="004B703A" w:rsidRPr="004B703A">
              <w:rPr>
                <w:vertAlign w:val="superscript"/>
              </w:rPr>
              <w:t>a</w:t>
            </w:r>
          </w:p>
        </w:tc>
        <w:tc>
          <w:tcPr>
            <w:tcW w:w="2500" w:type="pct"/>
            <w:noWrap/>
          </w:tcPr>
          <w:p w14:paraId="41180F7B" w14:textId="2CF2665D" w:rsidR="00CB11B9" w:rsidRPr="00CB11B9" w:rsidRDefault="00CB11B9" w:rsidP="00444EA9">
            <w:pPr>
              <w:pStyle w:val="TableText"/>
            </w:pPr>
            <w:r w:rsidRPr="004B703A">
              <w:rPr>
                <w:rStyle w:val="Emphasis"/>
              </w:rPr>
              <w:t>Poecilia reticulata</w:t>
            </w:r>
          </w:p>
        </w:tc>
      </w:tr>
      <w:tr w:rsidR="00CB11B9" w14:paraId="14E9C5CF" w14:textId="77777777">
        <w:trPr>
          <w:cantSplit/>
          <w:trHeight w:val="315"/>
        </w:trPr>
        <w:tc>
          <w:tcPr>
            <w:tcW w:w="2500" w:type="pct"/>
            <w:noWrap/>
          </w:tcPr>
          <w:p w14:paraId="294A5F2F" w14:textId="43A8F6E6" w:rsidR="00CB11B9" w:rsidRPr="002F7844" w:rsidRDefault="00CB11B9" w:rsidP="00CB11B9">
            <w:pPr>
              <w:pStyle w:val="TableText"/>
            </w:pPr>
            <w:r w:rsidRPr="00F95216">
              <w:t>Japanese parrotfish</w:t>
            </w:r>
          </w:p>
        </w:tc>
        <w:tc>
          <w:tcPr>
            <w:tcW w:w="2500" w:type="pct"/>
            <w:noWrap/>
          </w:tcPr>
          <w:p w14:paraId="25324765" w14:textId="660A24D9" w:rsidR="00CB11B9" w:rsidRPr="004B703A" w:rsidRDefault="00CB11B9" w:rsidP="00CB11B9">
            <w:pPr>
              <w:pStyle w:val="TableText"/>
              <w:rPr>
                <w:rStyle w:val="Emphasis"/>
              </w:rPr>
            </w:pPr>
            <w:r w:rsidRPr="004B703A">
              <w:rPr>
                <w:rStyle w:val="Emphasis"/>
              </w:rPr>
              <w:t>Oplegnathus fasciatus</w:t>
            </w:r>
          </w:p>
        </w:tc>
      </w:tr>
      <w:tr w:rsidR="00CB11B9" w14:paraId="6BDD2C97" w14:textId="77777777">
        <w:trPr>
          <w:cantSplit/>
          <w:trHeight w:val="315"/>
        </w:trPr>
        <w:tc>
          <w:tcPr>
            <w:tcW w:w="2500" w:type="pct"/>
            <w:noWrap/>
          </w:tcPr>
          <w:p w14:paraId="6756610D" w14:textId="6A68807E" w:rsidR="00CB11B9" w:rsidRPr="002F7844" w:rsidRDefault="00CB11B9" w:rsidP="00CB11B9">
            <w:pPr>
              <w:pStyle w:val="TableText"/>
            </w:pPr>
            <w:r w:rsidRPr="00F95216">
              <w:t>Japanese yellowtail</w:t>
            </w:r>
            <w:r w:rsidR="004B703A" w:rsidRPr="004B703A">
              <w:rPr>
                <w:vertAlign w:val="superscript"/>
              </w:rPr>
              <w:t>a</w:t>
            </w:r>
          </w:p>
        </w:tc>
        <w:tc>
          <w:tcPr>
            <w:tcW w:w="2500" w:type="pct"/>
            <w:noWrap/>
          </w:tcPr>
          <w:p w14:paraId="77D61B2B" w14:textId="75E2EAD6" w:rsidR="00CB11B9" w:rsidRPr="004B703A" w:rsidRDefault="00CB11B9" w:rsidP="00CB11B9">
            <w:pPr>
              <w:pStyle w:val="TableText"/>
              <w:rPr>
                <w:rStyle w:val="Emphasis"/>
              </w:rPr>
            </w:pPr>
            <w:r w:rsidRPr="004B703A">
              <w:rPr>
                <w:rStyle w:val="Emphasis"/>
              </w:rPr>
              <w:t>Seriola quinqueradiata</w:t>
            </w:r>
          </w:p>
        </w:tc>
      </w:tr>
      <w:tr w:rsidR="00CB11B9" w14:paraId="11DA0ABD" w14:textId="77777777">
        <w:trPr>
          <w:cantSplit/>
          <w:trHeight w:val="315"/>
        </w:trPr>
        <w:tc>
          <w:tcPr>
            <w:tcW w:w="2500" w:type="pct"/>
            <w:noWrap/>
          </w:tcPr>
          <w:p w14:paraId="1F049352" w14:textId="574CB94C" w:rsidR="00CB11B9" w:rsidRPr="002F7844" w:rsidRDefault="00CB11B9" w:rsidP="00CB11B9">
            <w:pPr>
              <w:pStyle w:val="TableText"/>
            </w:pPr>
            <w:r w:rsidRPr="00F95216">
              <w:t xml:space="preserve">Largemouth bass </w:t>
            </w:r>
          </w:p>
        </w:tc>
        <w:tc>
          <w:tcPr>
            <w:tcW w:w="2500" w:type="pct"/>
            <w:noWrap/>
          </w:tcPr>
          <w:p w14:paraId="0D946B03" w14:textId="44F73E7D" w:rsidR="00CB11B9" w:rsidRPr="004B703A" w:rsidRDefault="00CB11B9" w:rsidP="00CB11B9">
            <w:pPr>
              <w:pStyle w:val="TableText"/>
              <w:rPr>
                <w:rStyle w:val="Emphasis"/>
              </w:rPr>
            </w:pPr>
            <w:r w:rsidRPr="004B703A">
              <w:rPr>
                <w:rStyle w:val="Emphasis"/>
              </w:rPr>
              <w:t>Micropterus salmoides</w:t>
            </w:r>
          </w:p>
        </w:tc>
      </w:tr>
      <w:tr w:rsidR="00CB11B9" w14:paraId="49DD3D93" w14:textId="77777777">
        <w:trPr>
          <w:cantSplit/>
          <w:trHeight w:val="315"/>
        </w:trPr>
        <w:tc>
          <w:tcPr>
            <w:tcW w:w="2500" w:type="pct"/>
            <w:noWrap/>
          </w:tcPr>
          <w:p w14:paraId="74DAB46C" w14:textId="180BC6FC" w:rsidR="00CB11B9" w:rsidRPr="002F7844" w:rsidRDefault="00CB11B9" w:rsidP="00CB11B9">
            <w:pPr>
              <w:pStyle w:val="TableText"/>
            </w:pPr>
            <w:r w:rsidRPr="00F95216">
              <w:t>Large yellow croaker</w:t>
            </w:r>
          </w:p>
        </w:tc>
        <w:tc>
          <w:tcPr>
            <w:tcW w:w="2500" w:type="pct"/>
            <w:noWrap/>
          </w:tcPr>
          <w:p w14:paraId="0548832E" w14:textId="6A4DCD48" w:rsidR="00CB11B9" w:rsidRPr="004B703A" w:rsidRDefault="00444EA9" w:rsidP="00444EA9">
            <w:pPr>
              <w:pStyle w:val="TableText"/>
              <w:rPr>
                <w:rStyle w:val="Emphasis"/>
              </w:rPr>
            </w:pPr>
            <w:r>
              <w:rPr>
                <w:rStyle w:val="Emphasis"/>
              </w:rPr>
              <w:t>Larimichthys</w:t>
            </w:r>
            <w:r w:rsidR="00CB11B9" w:rsidRPr="004B703A">
              <w:rPr>
                <w:rStyle w:val="Emphasis"/>
              </w:rPr>
              <w:t xml:space="preserve"> crocea</w:t>
            </w:r>
          </w:p>
        </w:tc>
      </w:tr>
      <w:tr w:rsidR="00CB11B9" w14:paraId="3228CE78" w14:textId="77777777">
        <w:trPr>
          <w:cantSplit/>
          <w:trHeight w:val="315"/>
        </w:trPr>
        <w:tc>
          <w:tcPr>
            <w:tcW w:w="2500" w:type="pct"/>
            <w:noWrap/>
          </w:tcPr>
          <w:p w14:paraId="478FFD47" w14:textId="3D8D6C00" w:rsidR="00CB11B9" w:rsidRPr="002F7844" w:rsidRDefault="00CB11B9" w:rsidP="00CB11B9">
            <w:pPr>
              <w:pStyle w:val="TableText"/>
            </w:pPr>
            <w:r w:rsidRPr="00F95216">
              <w:t>Macquarie perch</w:t>
            </w:r>
          </w:p>
        </w:tc>
        <w:tc>
          <w:tcPr>
            <w:tcW w:w="2500" w:type="pct"/>
            <w:noWrap/>
          </w:tcPr>
          <w:p w14:paraId="79F47491" w14:textId="2569A696" w:rsidR="00CB11B9" w:rsidRPr="004B703A" w:rsidRDefault="00CB11B9" w:rsidP="00CB11B9">
            <w:pPr>
              <w:pStyle w:val="TableText"/>
              <w:rPr>
                <w:rStyle w:val="Emphasis"/>
              </w:rPr>
            </w:pPr>
            <w:r w:rsidRPr="004B703A">
              <w:rPr>
                <w:rStyle w:val="Emphasis"/>
              </w:rPr>
              <w:t>Macquaria australasica</w:t>
            </w:r>
          </w:p>
        </w:tc>
      </w:tr>
      <w:tr w:rsidR="00CB11B9" w14:paraId="2C43C197" w14:textId="77777777">
        <w:trPr>
          <w:cantSplit/>
          <w:trHeight w:val="315"/>
        </w:trPr>
        <w:tc>
          <w:tcPr>
            <w:tcW w:w="2500" w:type="pct"/>
            <w:noWrap/>
          </w:tcPr>
          <w:p w14:paraId="6285ABBB" w14:textId="64044221" w:rsidR="00CB11B9" w:rsidRPr="002F7844" w:rsidRDefault="00CB11B9" w:rsidP="00CB11B9">
            <w:pPr>
              <w:pStyle w:val="TableText"/>
            </w:pPr>
            <w:r w:rsidRPr="00F95216">
              <w:t>Malabar grouper</w:t>
            </w:r>
            <w:r w:rsidR="004B703A" w:rsidRPr="004B703A">
              <w:rPr>
                <w:vertAlign w:val="superscript"/>
              </w:rPr>
              <w:t>a</w:t>
            </w:r>
          </w:p>
        </w:tc>
        <w:tc>
          <w:tcPr>
            <w:tcW w:w="2500" w:type="pct"/>
            <w:noWrap/>
          </w:tcPr>
          <w:p w14:paraId="3D1A127B" w14:textId="3B57305E" w:rsidR="00CB11B9" w:rsidRPr="004B703A" w:rsidRDefault="00CB11B9" w:rsidP="00CB11B9">
            <w:pPr>
              <w:pStyle w:val="TableText"/>
              <w:rPr>
                <w:rStyle w:val="Emphasis"/>
              </w:rPr>
            </w:pPr>
            <w:r w:rsidRPr="004B703A">
              <w:rPr>
                <w:rStyle w:val="Emphasis"/>
              </w:rPr>
              <w:t>Epinephelus malabaricus</w:t>
            </w:r>
          </w:p>
        </w:tc>
      </w:tr>
      <w:tr w:rsidR="00CB11B9" w14:paraId="4EB22764" w14:textId="77777777">
        <w:trPr>
          <w:cantSplit/>
          <w:trHeight w:val="315"/>
        </w:trPr>
        <w:tc>
          <w:tcPr>
            <w:tcW w:w="2500" w:type="pct"/>
            <w:noWrap/>
          </w:tcPr>
          <w:p w14:paraId="7E3474E2" w14:textId="1AE75068" w:rsidR="00CB11B9" w:rsidRPr="00686B1E" w:rsidRDefault="00CB11B9" w:rsidP="00CB11B9">
            <w:pPr>
              <w:pStyle w:val="TableText"/>
            </w:pPr>
            <w:r w:rsidRPr="00F95216">
              <w:t>Mango tilapia</w:t>
            </w:r>
          </w:p>
        </w:tc>
        <w:tc>
          <w:tcPr>
            <w:tcW w:w="2500" w:type="pct"/>
            <w:noWrap/>
          </w:tcPr>
          <w:p w14:paraId="3D750E4B" w14:textId="3704597C" w:rsidR="00CB11B9" w:rsidRPr="004B703A" w:rsidRDefault="00CB11B9" w:rsidP="00CB11B9">
            <w:pPr>
              <w:pStyle w:val="TableText"/>
              <w:rPr>
                <w:rStyle w:val="Emphasis"/>
              </w:rPr>
            </w:pPr>
            <w:r w:rsidRPr="004B703A">
              <w:rPr>
                <w:rStyle w:val="Emphasis"/>
              </w:rPr>
              <w:t>Sarotherodon galilaeus</w:t>
            </w:r>
          </w:p>
        </w:tc>
      </w:tr>
      <w:tr w:rsidR="00CB11B9" w14:paraId="495B7D9F" w14:textId="77777777">
        <w:trPr>
          <w:cantSplit/>
          <w:trHeight w:val="315"/>
        </w:trPr>
        <w:tc>
          <w:tcPr>
            <w:tcW w:w="2500" w:type="pct"/>
            <w:noWrap/>
          </w:tcPr>
          <w:p w14:paraId="239E007F" w14:textId="7FF69AC0" w:rsidR="00CB11B9" w:rsidRPr="00686B1E" w:rsidRDefault="00CB11B9" w:rsidP="00CB11B9">
            <w:pPr>
              <w:pStyle w:val="TableText"/>
            </w:pPr>
            <w:r w:rsidRPr="00F95216">
              <w:t>Marble goby</w:t>
            </w:r>
            <w:r w:rsidR="004B703A" w:rsidRPr="004B703A">
              <w:rPr>
                <w:vertAlign w:val="superscript"/>
              </w:rPr>
              <w:t>a</w:t>
            </w:r>
            <w:r w:rsidRPr="00F95216">
              <w:t xml:space="preserve"> </w:t>
            </w:r>
          </w:p>
        </w:tc>
        <w:tc>
          <w:tcPr>
            <w:tcW w:w="2500" w:type="pct"/>
            <w:noWrap/>
          </w:tcPr>
          <w:p w14:paraId="7F85C174" w14:textId="45C938A5" w:rsidR="00CB11B9" w:rsidRPr="004B703A" w:rsidRDefault="00CB11B9" w:rsidP="00CB11B9">
            <w:pPr>
              <w:pStyle w:val="TableText"/>
              <w:rPr>
                <w:rStyle w:val="Emphasis"/>
              </w:rPr>
            </w:pPr>
            <w:r w:rsidRPr="004B703A">
              <w:rPr>
                <w:rStyle w:val="Emphasis"/>
              </w:rPr>
              <w:t>Oxyeleotris marmorat</w:t>
            </w:r>
            <w:r w:rsidR="00444EA9">
              <w:rPr>
                <w:rStyle w:val="Emphasis"/>
              </w:rPr>
              <w:t>a</w:t>
            </w:r>
          </w:p>
        </w:tc>
      </w:tr>
      <w:tr w:rsidR="00CB11B9" w14:paraId="0A2043A9" w14:textId="77777777">
        <w:trPr>
          <w:cantSplit/>
          <w:trHeight w:val="315"/>
        </w:trPr>
        <w:tc>
          <w:tcPr>
            <w:tcW w:w="2500" w:type="pct"/>
            <w:noWrap/>
          </w:tcPr>
          <w:p w14:paraId="55EF079D" w14:textId="1C570D18" w:rsidR="00CB11B9" w:rsidRPr="00686B1E" w:rsidRDefault="00CB11B9" w:rsidP="00CB11B9">
            <w:pPr>
              <w:pStyle w:val="TableText"/>
            </w:pPr>
            <w:r w:rsidRPr="00F95216">
              <w:t>Molly</w:t>
            </w:r>
            <w:r w:rsidR="004B703A" w:rsidRPr="004B703A">
              <w:rPr>
                <w:vertAlign w:val="superscript"/>
              </w:rPr>
              <w:t>a</w:t>
            </w:r>
          </w:p>
        </w:tc>
        <w:tc>
          <w:tcPr>
            <w:tcW w:w="2500" w:type="pct"/>
            <w:noWrap/>
          </w:tcPr>
          <w:p w14:paraId="4E03FD7B" w14:textId="57ED41C3" w:rsidR="00CB11B9" w:rsidRPr="004B703A" w:rsidRDefault="00CB11B9" w:rsidP="00CB11B9">
            <w:pPr>
              <w:pStyle w:val="TableText"/>
              <w:rPr>
                <w:rStyle w:val="Emphasis"/>
              </w:rPr>
            </w:pPr>
            <w:r w:rsidRPr="004B703A">
              <w:rPr>
                <w:rStyle w:val="Emphasis"/>
              </w:rPr>
              <w:t>Poecilia sphenops</w:t>
            </w:r>
          </w:p>
        </w:tc>
      </w:tr>
      <w:tr w:rsidR="00CB11B9" w14:paraId="6714B449" w14:textId="77777777">
        <w:trPr>
          <w:cantSplit/>
          <w:trHeight w:val="315"/>
        </w:trPr>
        <w:tc>
          <w:tcPr>
            <w:tcW w:w="2500" w:type="pct"/>
            <w:noWrap/>
          </w:tcPr>
          <w:p w14:paraId="12D0540F" w14:textId="16E056CF" w:rsidR="00CB11B9" w:rsidRPr="00686B1E" w:rsidRDefault="00CB11B9" w:rsidP="00CB11B9">
            <w:pPr>
              <w:pStyle w:val="TableText"/>
            </w:pPr>
            <w:r w:rsidRPr="00F95216">
              <w:t>Murray cod</w:t>
            </w:r>
            <w:r w:rsidR="004B703A" w:rsidRPr="004B703A">
              <w:rPr>
                <w:vertAlign w:val="superscript"/>
              </w:rPr>
              <w:t>a</w:t>
            </w:r>
          </w:p>
        </w:tc>
        <w:tc>
          <w:tcPr>
            <w:tcW w:w="2500" w:type="pct"/>
            <w:noWrap/>
          </w:tcPr>
          <w:p w14:paraId="5D3576A0" w14:textId="538EE496" w:rsidR="00CB11B9" w:rsidRPr="004B703A" w:rsidRDefault="00CB11B9" w:rsidP="00B31582">
            <w:pPr>
              <w:pStyle w:val="TableText"/>
              <w:rPr>
                <w:rStyle w:val="Emphasis"/>
              </w:rPr>
            </w:pPr>
            <w:r w:rsidRPr="004B703A">
              <w:rPr>
                <w:rStyle w:val="Emphasis"/>
              </w:rPr>
              <w:t xml:space="preserve">Maccullochella peelii </w:t>
            </w:r>
          </w:p>
        </w:tc>
      </w:tr>
      <w:tr w:rsidR="00CB11B9" w14:paraId="2D7063B6" w14:textId="77777777">
        <w:trPr>
          <w:cantSplit/>
          <w:trHeight w:val="315"/>
        </w:trPr>
        <w:tc>
          <w:tcPr>
            <w:tcW w:w="2500" w:type="pct"/>
            <w:noWrap/>
          </w:tcPr>
          <w:p w14:paraId="20553E65" w14:textId="376A377A" w:rsidR="00CB11B9" w:rsidRPr="00686B1E" w:rsidRDefault="00CB11B9" w:rsidP="00CB11B9">
            <w:pPr>
              <w:pStyle w:val="TableText"/>
            </w:pPr>
            <w:r w:rsidRPr="00F95216">
              <w:t>Nile tilapia</w:t>
            </w:r>
            <w:r w:rsidR="004B703A" w:rsidRPr="004B703A">
              <w:rPr>
                <w:vertAlign w:val="superscript"/>
              </w:rPr>
              <w:t>a</w:t>
            </w:r>
          </w:p>
        </w:tc>
        <w:tc>
          <w:tcPr>
            <w:tcW w:w="2500" w:type="pct"/>
            <w:noWrap/>
          </w:tcPr>
          <w:p w14:paraId="0147756C" w14:textId="47311C21" w:rsidR="00CB11B9" w:rsidRPr="004B703A" w:rsidRDefault="00CB11B9" w:rsidP="00CB11B9">
            <w:pPr>
              <w:pStyle w:val="TableText"/>
              <w:rPr>
                <w:rStyle w:val="Emphasis"/>
              </w:rPr>
            </w:pPr>
            <w:r w:rsidRPr="004B703A">
              <w:rPr>
                <w:rStyle w:val="Emphasis"/>
              </w:rPr>
              <w:t>Oreochromis niloticus</w:t>
            </w:r>
          </w:p>
        </w:tc>
      </w:tr>
      <w:tr w:rsidR="00CB11B9" w14:paraId="40009A57" w14:textId="77777777">
        <w:trPr>
          <w:cantSplit/>
          <w:trHeight w:val="315"/>
        </w:trPr>
        <w:tc>
          <w:tcPr>
            <w:tcW w:w="2500" w:type="pct"/>
            <w:noWrap/>
          </w:tcPr>
          <w:p w14:paraId="4BAE0ECA" w14:textId="09466CE4" w:rsidR="00CB11B9" w:rsidRPr="00686B1E" w:rsidRDefault="00CB11B9" w:rsidP="00CB11B9">
            <w:pPr>
              <w:pStyle w:val="TableText"/>
            </w:pPr>
            <w:r w:rsidRPr="00F95216">
              <w:t>Orange chromide</w:t>
            </w:r>
            <w:r w:rsidR="004B703A" w:rsidRPr="004B703A">
              <w:rPr>
                <w:vertAlign w:val="superscript"/>
              </w:rPr>
              <w:t>a</w:t>
            </w:r>
          </w:p>
        </w:tc>
        <w:tc>
          <w:tcPr>
            <w:tcW w:w="2500" w:type="pct"/>
            <w:noWrap/>
          </w:tcPr>
          <w:p w14:paraId="6F7A4045" w14:textId="1EE69E5D" w:rsidR="00CB11B9" w:rsidRPr="004B703A" w:rsidRDefault="00CB11B9" w:rsidP="00CB11B9">
            <w:pPr>
              <w:pStyle w:val="TableText"/>
              <w:rPr>
                <w:rStyle w:val="Emphasis"/>
              </w:rPr>
            </w:pPr>
            <w:r w:rsidRPr="004B703A">
              <w:rPr>
                <w:rStyle w:val="Emphasis"/>
              </w:rPr>
              <w:t>Etroplus maculatus</w:t>
            </w:r>
          </w:p>
        </w:tc>
      </w:tr>
      <w:tr w:rsidR="00CB11B9" w14:paraId="7D75F068" w14:textId="77777777">
        <w:trPr>
          <w:cantSplit/>
          <w:trHeight w:val="315"/>
        </w:trPr>
        <w:tc>
          <w:tcPr>
            <w:tcW w:w="2500" w:type="pct"/>
            <w:noWrap/>
          </w:tcPr>
          <w:p w14:paraId="722DDE6F" w14:textId="4A679C04" w:rsidR="00CB11B9" w:rsidRPr="00686B1E" w:rsidRDefault="00CB11B9" w:rsidP="00CB11B9">
            <w:pPr>
              <w:pStyle w:val="TableText"/>
            </w:pPr>
            <w:r w:rsidRPr="00F95216">
              <w:t>Orange spotted grouper</w:t>
            </w:r>
            <w:r w:rsidR="004B703A" w:rsidRPr="004B703A">
              <w:rPr>
                <w:vertAlign w:val="superscript"/>
              </w:rPr>
              <w:t>a</w:t>
            </w:r>
          </w:p>
        </w:tc>
        <w:tc>
          <w:tcPr>
            <w:tcW w:w="2500" w:type="pct"/>
            <w:noWrap/>
          </w:tcPr>
          <w:p w14:paraId="64BB3891" w14:textId="52A4FEDE" w:rsidR="00CB11B9" w:rsidRPr="004B703A" w:rsidRDefault="00CB11B9" w:rsidP="00CB11B9">
            <w:pPr>
              <w:pStyle w:val="TableText"/>
              <w:rPr>
                <w:rStyle w:val="Emphasis"/>
              </w:rPr>
            </w:pPr>
            <w:r w:rsidRPr="004B703A">
              <w:rPr>
                <w:rStyle w:val="Emphasis"/>
              </w:rPr>
              <w:t>Epinephelus coioides</w:t>
            </w:r>
          </w:p>
        </w:tc>
      </w:tr>
      <w:tr w:rsidR="00CB11B9" w14:paraId="36940477" w14:textId="77777777">
        <w:trPr>
          <w:cantSplit/>
          <w:trHeight w:val="315"/>
        </w:trPr>
        <w:tc>
          <w:tcPr>
            <w:tcW w:w="2500" w:type="pct"/>
            <w:noWrap/>
          </w:tcPr>
          <w:p w14:paraId="3094CEE7" w14:textId="7370155E" w:rsidR="00CB11B9" w:rsidRPr="00686B1E" w:rsidRDefault="00CB11B9" w:rsidP="00CB11B9">
            <w:pPr>
              <w:pStyle w:val="TableText"/>
            </w:pPr>
            <w:r w:rsidRPr="00F95216">
              <w:t>Orbiculate batfish</w:t>
            </w:r>
            <w:r w:rsidR="004B703A" w:rsidRPr="004B703A">
              <w:rPr>
                <w:vertAlign w:val="superscript"/>
              </w:rPr>
              <w:t>a</w:t>
            </w:r>
          </w:p>
        </w:tc>
        <w:tc>
          <w:tcPr>
            <w:tcW w:w="2500" w:type="pct"/>
            <w:noWrap/>
          </w:tcPr>
          <w:p w14:paraId="57D236FA" w14:textId="0C037771" w:rsidR="00CB11B9" w:rsidRPr="004B703A" w:rsidRDefault="00CB11B9" w:rsidP="00CB11B9">
            <w:pPr>
              <w:pStyle w:val="TableText"/>
              <w:rPr>
                <w:rStyle w:val="Emphasis"/>
              </w:rPr>
            </w:pPr>
            <w:r w:rsidRPr="004B703A">
              <w:rPr>
                <w:rStyle w:val="Emphasis"/>
              </w:rPr>
              <w:t>Platax orbicularis</w:t>
            </w:r>
          </w:p>
        </w:tc>
      </w:tr>
      <w:tr w:rsidR="00CB11B9" w14:paraId="5A8F17E8" w14:textId="77777777">
        <w:trPr>
          <w:cantSplit/>
          <w:trHeight w:val="315"/>
        </w:trPr>
        <w:tc>
          <w:tcPr>
            <w:tcW w:w="2500" w:type="pct"/>
            <w:noWrap/>
          </w:tcPr>
          <w:p w14:paraId="677C156E" w14:textId="76D24122" w:rsidR="00CB11B9" w:rsidRPr="00686B1E" w:rsidRDefault="00CB11B9" w:rsidP="00CB11B9">
            <w:pPr>
              <w:pStyle w:val="TableText"/>
            </w:pPr>
            <w:r w:rsidRPr="00F95216">
              <w:t>Oscar</w:t>
            </w:r>
            <w:r w:rsidR="004B703A" w:rsidRPr="004B703A">
              <w:rPr>
                <w:vertAlign w:val="superscript"/>
              </w:rPr>
              <w:t>a</w:t>
            </w:r>
          </w:p>
        </w:tc>
        <w:tc>
          <w:tcPr>
            <w:tcW w:w="2500" w:type="pct"/>
            <w:noWrap/>
          </w:tcPr>
          <w:p w14:paraId="1E4F12C0" w14:textId="23CEBB56" w:rsidR="00CB11B9" w:rsidRPr="004B703A" w:rsidRDefault="00CB11B9" w:rsidP="00CB11B9">
            <w:pPr>
              <w:pStyle w:val="TableText"/>
              <w:rPr>
                <w:rStyle w:val="Emphasis"/>
              </w:rPr>
            </w:pPr>
            <w:r w:rsidRPr="004B703A">
              <w:rPr>
                <w:rStyle w:val="Emphasis"/>
              </w:rPr>
              <w:t>Astronotus ocellatus</w:t>
            </w:r>
          </w:p>
        </w:tc>
      </w:tr>
      <w:tr w:rsidR="00CB11B9" w14:paraId="449213B2" w14:textId="77777777">
        <w:trPr>
          <w:cantSplit/>
          <w:trHeight w:val="315"/>
        </w:trPr>
        <w:tc>
          <w:tcPr>
            <w:tcW w:w="2500" w:type="pct"/>
            <w:noWrap/>
          </w:tcPr>
          <w:p w14:paraId="3E94F60C" w14:textId="20FE40E0" w:rsidR="00CB11B9" w:rsidRPr="00686B1E" w:rsidRDefault="00CB11B9" w:rsidP="00CB11B9">
            <w:pPr>
              <w:pStyle w:val="TableText"/>
            </w:pPr>
            <w:r w:rsidRPr="00F95216">
              <w:t>Paradise fish</w:t>
            </w:r>
            <w:r w:rsidR="004B703A" w:rsidRPr="004B703A">
              <w:rPr>
                <w:vertAlign w:val="superscript"/>
              </w:rPr>
              <w:t>a</w:t>
            </w:r>
          </w:p>
        </w:tc>
        <w:tc>
          <w:tcPr>
            <w:tcW w:w="2500" w:type="pct"/>
            <w:noWrap/>
          </w:tcPr>
          <w:p w14:paraId="73B0113C" w14:textId="028AB059" w:rsidR="00CB11B9" w:rsidRPr="004B703A" w:rsidRDefault="00CB11B9" w:rsidP="00CB11B9">
            <w:pPr>
              <w:pStyle w:val="TableText"/>
              <w:rPr>
                <w:rStyle w:val="Emphasis"/>
              </w:rPr>
            </w:pPr>
            <w:r w:rsidRPr="004B703A">
              <w:rPr>
                <w:rStyle w:val="Emphasis"/>
              </w:rPr>
              <w:t>Macropodus opercularis</w:t>
            </w:r>
          </w:p>
        </w:tc>
      </w:tr>
      <w:tr w:rsidR="00CB11B9" w14:paraId="4DEAA38A" w14:textId="77777777">
        <w:trPr>
          <w:cantSplit/>
          <w:trHeight w:val="315"/>
        </w:trPr>
        <w:tc>
          <w:tcPr>
            <w:tcW w:w="2500" w:type="pct"/>
            <w:noWrap/>
          </w:tcPr>
          <w:p w14:paraId="330A78E5" w14:textId="3702A4B6" w:rsidR="00CB11B9" w:rsidRPr="00686B1E" w:rsidRDefault="00CB11B9" w:rsidP="00CB11B9">
            <w:pPr>
              <w:pStyle w:val="TableText"/>
            </w:pPr>
            <w:r w:rsidRPr="00F95216">
              <w:t>Pearl gourami</w:t>
            </w:r>
            <w:r w:rsidR="004B703A" w:rsidRPr="004B703A">
              <w:rPr>
                <w:vertAlign w:val="superscript"/>
              </w:rPr>
              <w:t>a</w:t>
            </w:r>
          </w:p>
        </w:tc>
        <w:tc>
          <w:tcPr>
            <w:tcW w:w="2500" w:type="pct"/>
            <w:noWrap/>
          </w:tcPr>
          <w:p w14:paraId="33CCABE1" w14:textId="02052050" w:rsidR="00CB11B9" w:rsidRPr="004B703A" w:rsidRDefault="00CB11B9" w:rsidP="00CB11B9">
            <w:pPr>
              <w:pStyle w:val="TableText"/>
              <w:rPr>
                <w:rStyle w:val="Emphasis"/>
              </w:rPr>
            </w:pPr>
            <w:r w:rsidRPr="004B703A">
              <w:rPr>
                <w:rStyle w:val="Emphasis"/>
              </w:rPr>
              <w:t>Trichogaster leerii</w:t>
            </w:r>
          </w:p>
        </w:tc>
      </w:tr>
      <w:tr w:rsidR="00CB11B9" w14:paraId="71D3CB35" w14:textId="77777777">
        <w:trPr>
          <w:cantSplit/>
          <w:trHeight w:val="315"/>
        </w:trPr>
        <w:tc>
          <w:tcPr>
            <w:tcW w:w="2500" w:type="pct"/>
            <w:noWrap/>
          </w:tcPr>
          <w:p w14:paraId="3D90C5F1" w14:textId="6CE496EA" w:rsidR="00CB11B9" w:rsidRPr="00686B1E" w:rsidRDefault="00CB11B9" w:rsidP="00CB11B9">
            <w:pPr>
              <w:pStyle w:val="TableText"/>
            </w:pPr>
            <w:r w:rsidRPr="00F95216">
              <w:t>Rainbow krib</w:t>
            </w:r>
            <w:r w:rsidR="004B703A" w:rsidRPr="004B703A">
              <w:rPr>
                <w:vertAlign w:val="superscript"/>
              </w:rPr>
              <w:t>a</w:t>
            </w:r>
          </w:p>
        </w:tc>
        <w:tc>
          <w:tcPr>
            <w:tcW w:w="2500" w:type="pct"/>
            <w:noWrap/>
          </w:tcPr>
          <w:p w14:paraId="76067C19" w14:textId="5958CCE7" w:rsidR="00CB11B9" w:rsidRPr="004B703A" w:rsidRDefault="00CB11B9" w:rsidP="00CB11B9">
            <w:pPr>
              <w:pStyle w:val="TableText"/>
              <w:rPr>
                <w:rStyle w:val="Emphasis"/>
              </w:rPr>
            </w:pPr>
            <w:r w:rsidRPr="004B703A">
              <w:rPr>
                <w:rStyle w:val="Emphasis"/>
              </w:rPr>
              <w:t>Pelvicachromis pulcher</w:t>
            </w:r>
          </w:p>
        </w:tc>
      </w:tr>
      <w:tr w:rsidR="00CB11B9" w14:paraId="588F9F79" w14:textId="77777777">
        <w:trPr>
          <w:cantSplit/>
          <w:trHeight w:val="315"/>
        </w:trPr>
        <w:tc>
          <w:tcPr>
            <w:tcW w:w="2500" w:type="pct"/>
            <w:noWrap/>
          </w:tcPr>
          <w:p w14:paraId="6527A178" w14:textId="4A545BD9" w:rsidR="00CB11B9" w:rsidRPr="00686B1E" w:rsidRDefault="00CB11B9" w:rsidP="00CB11B9">
            <w:pPr>
              <w:pStyle w:val="TableText"/>
            </w:pPr>
            <w:r w:rsidRPr="00F95216">
              <w:t>Ram cichlid</w:t>
            </w:r>
            <w:r w:rsidR="004B703A" w:rsidRPr="004B703A">
              <w:rPr>
                <w:vertAlign w:val="superscript"/>
              </w:rPr>
              <w:t>a</w:t>
            </w:r>
          </w:p>
        </w:tc>
        <w:tc>
          <w:tcPr>
            <w:tcW w:w="2500" w:type="pct"/>
            <w:noWrap/>
          </w:tcPr>
          <w:p w14:paraId="3C6A641E" w14:textId="74C198F8" w:rsidR="00CB11B9" w:rsidRPr="004B703A" w:rsidRDefault="00CB11B9" w:rsidP="00CB11B9">
            <w:pPr>
              <w:pStyle w:val="TableText"/>
              <w:rPr>
                <w:rStyle w:val="Emphasis"/>
              </w:rPr>
            </w:pPr>
            <w:r w:rsidRPr="004B703A">
              <w:rPr>
                <w:rStyle w:val="Emphasis"/>
              </w:rPr>
              <w:t>Mikrogeophagus ramirezi</w:t>
            </w:r>
          </w:p>
        </w:tc>
      </w:tr>
      <w:tr w:rsidR="00CB11B9" w14:paraId="24B42431" w14:textId="77777777">
        <w:trPr>
          <w:cantSplit/>
          <w:trHeight w:val="315"/>
        </w:trPr>
        <w:tc>
          <w:tcPr>
            <w:tcW w:w="2500" w:type="pct"/>
            <w:noWrap/>
          </w:tcPr>
          <w:p w14:paraId="1D759709" w14:textId="3D81E25B" w:rsidR="00CB11B9" w:rsidRPr="00686B1E" w:rsidRDefault="00CB11B9" w:rsidP="00CB11B9">
            <w:pPr>
              <w:pStyle w:val="TableText"/>
            </w:pPr>
            <w:r w:rsidRPr="00F95216">
              <w:t>Red drum</w:t>
            </w:r>
            <w:r w:rsidR="004B703A" w:rsidRPr="004B703A">
              <w:rPr>
                <w:vertAlign w:val="superscript"/>
              </w:rPr>
              <w:t>a</w:t>
            </w:r>
          </w:p>
        </w:tc>
        <w:tc>
          <w:tcPr>
            <w:tcW w:w="2500" w:type="pct"/>
            <w:noWrap/>
          </w:tcPr>
          <w:p w14:paraId="4330081D" w14:textId="6BCC3D23" w:rsidR="00CB11B9" w:rsidRPr="004B703A" w:rsidRDefault="00CB11B9" w:rsidP="00CB11B9">
            <w:pPr>
              <w:pStyle w:val="TableText"/>
              <w:rPr>
                <w:rStyle w:val="Emphasis"/>
              </w:rPr>
            </w:pPr>
            <w:r w:rsidRPr="004B703A">
              <w:rPr>
                <w:rStyle w:val="Emphasis"/>
              </w:rPr>
              <w:t>Sciaenops ocellatus</w:t>
            </w:r>
          </w:p>
        </w:tc>
      </w:tr>
      <w:tr w:rsidR="00CB11B9" w14:paraId="2F79CA0A" w14:textId="77777777">
        <w:trPr>
          <w:cantSplit/>
          <w:trHeight w:val="315"/>
        </w:trPr>
        <w:tc>
          <w:tcPr>
            <w:tcW w:w="2500" w:type="pct"/>
            <w:noWrap/>
          </w:tcPr>
          <w:p w14:paraId="2DDD359B" w14:textId="15524920" w:rsidR="00CB11B9" w:rsidRPr="00686B1E" w:rsidRDefault="00CB11B9" w:rsidP="00CB11B9">
            <w:pPr>
              <w:pStyle w:val="TableText"/>
            </w:pPr>
            <w:r w:rsidRPr="00F95216">
              <w:t>Redbelly tilapia</w:t>
            </w:r>
          </w:p>
        </w:tc>
        <w:tc>
          <w:tcPr>
            <w:tcW w:w="2500" w:type="pct"/>
            <w:noWrap/>
          </w:tcPr>
          <w:p w14:paraId="1A5E51EE" w14:textId="2BE435BF" w:rsidR="00CB11B9" w:rsidRPr="004B703A" w:rsidRDefault="00725A7B" w:rsidP="00CB11B9">
            <w:pPr>
              <w:pStyle w:val="TableText"/>
              <w:rPr>
                <w:rStyle w:val="Emphasis"/>
              </w:rPr>
            </w:pPr>
            <w:r>
              <w:rPr>
                <w:rStyle w:val="Emphasis"/>
              </w:rPr>
              <w:t>Coptodon</w:t>
            </w:r>
            <w:r w:rsidRPr="004B703A">
              <w:rPr>
                <w:rStyle w:val="Emphasis"/>
              </w:rPr>
              <w:t xml:space="preserve"> </w:t>
            </w:r>
            <w:r w:rsidR="00CB11B9" w:rsidRPr="004B703A">
              <w:rPr>
                <w:rStyle w:val="Emphasis"/>
              </w:rPr>
              <w:t>zilli</w:t>
            </w:r>
          </w:p>
        </w:tc>
      </w:tr>
      <w:tr w:rsidR="00CB11B9" w14:paraId="4655EFEE" w14:textId="77777777">
        <w:trPr>
          <w:cantSplit/>
          <w:trHeight w:val="315"/>
        </w:trPr>
        <w:tc>
          <w:tcPr>
            <w:tcW w:w="2500" w:type="pct"/>
            <w:noWrap/>
          </w:tcPr>
          <w:p w14:paraId="6E48AC69" w14:textId="30A014FE" w:rsidR="00CB11B9" w:rsidRPr="00686B1E" w:rsidRDefault="00CB11B9" w:rsidP="00CB11B9">
            <w:pPr>
              <w:pStyle w:val="TableText"/>
            </w:pPr>
            <w:r w:rsidRPr="00F95216">
              <w:t>Red sea bream</w:t>
            </w:r>
            <w:r w:rsidR="004B703A" w:rsidRPr="004B703A">
              <w:rPr>
                <w:vertAlign w:val="superscript"/>
              </w:rPr>
              <w:t>a</w:t>
            </w:r>
          </w:p>
        </w:tc>
        <w:tc>
          <w:tcPr>
            <w:tcW w:w="2500" w:type="pct"/>
            <w:noWrap/>
          </w:tcPr>
          <w:p w14:paraId="750B1C9F" w14:textId="012517DB" w:rsidR="00CB11B9" w:rsidRPr="004B703A" w:rsidRDefault="00CB11B9" w:rsidP="00CB11B9">
            <w:pPr>
              <w:pStyle w:val="TableText"/>
              <w:rPr>
                <w:rStyle w:val="Emphasis"/>
              </w:rPr>
            </w:pPr>
            <w:r w:rsidRPr="004B703A">
              <w:rPr>
                <w:rStyle w:val="Emphasis"/>
              </w:rPr>
              <w:t>Pagrus major</w:t>
            </w:r>
          </w:p>
        </w:tc>
      </w:tr>
      <w:tr w:rsidR="00CB11B9" w14:paraId="1EE491ED" w14:textId="77777777">
        <w:trPr>
          <w:cantSplit/>
          <w:trHeight w:val="315"/>
        </w:trPr>
        <w:tc>
          <w:tcPr>
            <w:tcW w:w="2500" w:type="pct"/>
            <w:noWrap/>
          </w:tcPr>
          <w:p w14:paraId="69E25427" w14:textId="52D70AAE" w:rsidR="00CB11B9" w:rsidRPr="00686B1E" w:rsidRDefault="00CB11B9" w:rsidP="00CB11B9">
            <w:pPr>
              <w:pStyle w:val="TableText"/>
            </w:pPr>
            <w:r w:rsidRPr="00F95216">
              <w:t>Sailfin mollies</w:t>
            </w:r>
            <w:r w:rsidR="004B703A" w:rsidRPr="004B703A">
              <w:rPr>
                <w:vertAlign w:val="superscript"/>
              </w:rPr>
              <w:t>a</w:t>
            </w:r>
          </w:p>
        </w:tc>
        <w:tc>
          <w:tcPr>
            <w:tcW w:w="2500" w:type="pct"/>
            <w:noWrap/>
          </w:tcPr>
          <w:p w14:paraId="2AC33C14" w14:textId="2F8632E4" w:rsidR="00CB11B9" w:rsidRPr="004B703A" w:rsidRDefault="00CB11B9" w:rsidP="00CB11B9">
            <w:pPr>
              <w:pStyle w:val="TableText"/>
              <w:rPr>
                <w:rStyle w:val="Emphasis"/>
              </w:rPr>
            </w:pPr>
            <w:r w:rsidRPr="004B703A">
              <w:rPr>
                <w:rStyle w:val="Emphasis"/>
              </w:rPr>
              <w:t>Poecilia latipinna</w:t>
            </w:r>
          </w:p>
        </w:tc>
      </w:tr>
      <w:tr w:rsidR="00CB11B9" w14:paraId="1E925939" w14:textId="77777777">
        <w:trPr>
          <w:cantSplit/>
          <w:trHeight w:val="315"/>
        </w:trPr>
        <w:tc>
          <w:tcPr>
            <w:tcW w:w="2500" w:type="pct"/>
            <w:noWrap/>
          </w:tcPr>
          <w:p w14:paraId="41BEEF97" w14:textId="069069BF" w:rsidR="00CB11B9" w:rsidRPr="00686B1E" w:rsidRDefault="00CB11B9" w:rsidP="00CB11B9">
            <w:pPr>
              <w:pStyle w:val="TableText"/>
            </w:pPr>
            <w:r w:rsidRPr="00F95216">
              <w:t>Sea bass</w:t>
            </w:r>
            <w:r w:rsidR="004B703A" w:rsidRPr="004B703A">
              <w:rPr>
                <w:vertAlign w:val="superscript"/>
              </w:rPr>
              <w:t>a</w:t>
            </w:r>
          </w:p>
        </w:tc>
        <w:tc>
          <w:tcPr>
            <w:tcW w:w="2500" w:type="pct"/>
            <w:noWrap/>
          </w:tcPr>
          <w:p w14:paraId="54FA3A10" w14:textId="231F25A4" w:rsidR="00CB11B9" w:rsidRPr="004B703A" w:rsidRDefault="00CB11B9" w:rsidP="00CB11B9">
            <w:pPr>
              <w:pStyle w:val="TableText"/>
              <w:rPr>
                <w:rStyle w:val="Emphasis"/>
              </w:rPr>
            </w:pPr>
            <w:r w:rsidRPr="004B703A">
              <w:rPr>
                <w:rStyle w:val="Emphasis"/>
              </w:rPr>
              <w:t>Plectranthias yamakawai</w:t>
            </w:r>
          </w:p>
        </w:tc>
      </w:tr>
      <w:tr w:rsidR="00CB11B9" w14:paraId="2C93F07E" w14:textId="77777777">
        <w:trPr>
          <w:cantSplit/>
          <w:trHeight w:val="315"/>
        </w:trPr>
        <w:tc>
          <w:tcPr>
            <w:tcW w:w="2500" w:type="pct"/>
            <w:noWrap/>
          </w:tcPr>
          <w:p w14:paraId="6F759846" w14:textId="37A8C66E" w:rsidR="00CB11B9" w:rsidRPr="00686B1E" w:rsidRDefault="00CB11B9" w:rsidP="00CB11B9">
            <w:pPr>
              <w:pStyle w:val="TableText"/>
            </w:pPr>
            <w:r w:rsidRPr="00F95216">
              <w:t>Sea mullet</w:t>
            </w:r>
            <w:r w:rsidR="004B703A" w:rsidRPr="004B703A">
              <w:rPr>
                <w:vertAlign w:val="superscript"/>
              </w:rPr>
              <w:t>a</w:t>
            </w:r>
          </w:p>
        </w:tc>
        <w:tc>
          <w:tcPr>
            <w:tcW w:w="2500" w:type="pct"/>
            <w:noWrap/>
          </w:tcPr>
          <w:p w14:paraId="0D5FBAF5" w14:textId="302D3D20" w:rsidR="00CB11B9" w:rsidRPr="004B703A" w:rsidRDefault="00CB11B9" w:rsidP="00CB11B9">
            <w:pPr>
              <w:pStyle w:val="TableText"/>
              <w:rPr>
                <w:rStyle w:val="Emphasis"/>
              </w:rPr>
            </w:pPr>
            <w:r w:rsidRPr="004B703A">
              <w:rPr>
                <w:rStyle w:val="Emphasis"/>
              </w:rPr>
              <w:t>Mugil cephalus</w:t>
            </w:r>
          </w:p>
        </w:tc>
      </w:tr>
      <w:tr w:rsidR="00CB11B9" w14:paraId="20002190" w14:textId="77777777">
        <w:trPr>
          <w:cantSplit/>
          <w:trHeight w:val="315"/>
        </w:trPr>
        <w:tc>
          <w:tcPr>
            <w:tcW w:w="2500" w:type="pct"/>
            <w:noWrap/>
          </w:tcPr>
          <w:p w14:paraId="427DE10C" w14:textId="587611E2" w:rsidR="00CB11B9" w:rsidRPr="00686B1E" w:rsidRDefault="00CB11B9" w:rsidP="00CB11B9">
            <w:pPr>
              <w:pStyle w:val="TableText"/>
            </w:pPr>
            <w:r w:rsidRPr="00F95216">
              <w:t>Silver gourami</w:t>
            </w:r>
            <w:r w:rsidR="004B703A" w:rsidRPr="004B703A">
              <w:rPr>
                <w:vertAlign w:val="superscript"/>
              </w:rPr>
              <w:t>a</w:t>
            </w:r>
          </w:p>
        </w:tc>
        <w:tc>
          <w:tcPr>
            <w:tcW w:w="2500" w:type="pct"/>
            <w:noWrap/>
          </w:tcPr>
          <w:p w14:paraId="722F69F0" w14:textId="4A06CEC0" w:rsidR="00CB11B9" w:rsidRPr="004B703A" w:rsidRDefault="00CB11B9" w:rsidP="00CB11B9">
            <w:pPr>
              <w:pStyle w:val="TableText"/>
              <w:rPr>
                <w:rStyle w:val="Emphasis"/>
              </w:rPr>
            </w:pPr>
            <w:r w:rsidRPr="004B703A">
              <w:rPr>
                <w:rStyle w:val="Emphasis"/>
              </w:rPr>
              <w:t>Trichogaster microlepis</w:t>
            </w:r>
          </w:p>
        </w:tc>
      </w:tr>
      <w:tr w:rsidR="00CB11B9" w14:paraId="0659878C" w14:textId="77777777">
        <w:trPr>
          <w:cantSplit/>
          <w:trHeight w:val="315"/>
        </w:trPr>
        <w:tc>
          <w:tcPr>
            <w:tcW w:w="2500" w:type="pct"/>
            <w:noWrap/>
          </w:tcPr>
          <w:p w14:paraId="40145114" w14:textId="02366E66" w:rsidR="00CB11B9" w:rsidRPr="00686B1E" w:rsidRDefault="00CB11B9" w:rsidP="00CB11B9">
            <w:pPr>
              <w:pStyle w:val="TableText"/>
            </w:pPr>
            <w:r w:rsidRPr="00F95216">
              <w:t>Snapper</w:t>
            </w:r>
          </w:p>
        </w:tc>
        <w:tc>
          <w:tcPr>
            <w:tcW w:w="2500" w:type="pct"/>
            <w:noWrap/>
          </w:tcPr>
          <w:p w14:paraId="667735D8" w14:textId="7D35FFF0" w:rsidR="00CB11B9" w:rsidRPr="004B703A" w:rsidRDefault="00CB11B9" w:rsidP="00CB11B9">
            <w:pPr>
              <w:pStyle w:val="TableText"/>
              <w:rPr>
                <w:rStyle w:val="Emphasis"/>
              </w:rPr>
            </w:pPr>
            <w:r w:rsidRPr="004B703A">
              <w:rPr>
                <w:rStyle w:val="Emphasis"/>
              </w:rPr>
              <w:t>Pagrus auratus</w:t>
            </w:r>
          </w:p>
        </w:tc>
      </w:tr>
      <w:tr w:rsidR="00CB11B9" w14:paraId="7F72D8AA" w14:textId="77777777">
        <w:trPr>
          <w:cantSplit/>
          <w:trHeight w:val="315"/>
        </w:trPr>
        <w:tc>
          <w:tcPr>
            <w:tcW w:w="2500" w:type="pct"/>
            <w:noWrap/>
          </w:tcPr>
          <w:p w14:paraId="33B1C4CD" w14:textId="3A5FAE88" w:rsidR="00CB11B9" w:rsidRPr="00686B1E" w:rsidRDefault="00CB11B9" w:rsidP="00CB11B9">
            <w:pPr>
              <w:pStyle w:val="TableText"/>
            </w:pPr>
            <w:r w:rsidRPr="00F95216">
              <w:t>Southern platyfish or red wagtail platy</w:t>
            </w:r>
            <w:r w:rsidR="004B703A" w:rsidRPr="004B703A">
              <w:rPr>
                <w:vertAlign w:val="superscript"/>
              </w:rPr>
              <w:t>a</w:t>
            </w:r>
          </w:p>
        </w:tc>
        <w:tc>
          <w:tcPr>
            <w:tcW w:w="2500" w:type="pct"/>
            <w:noWrap/>
          </w:tcPr>
          <w:p w14:paraId="45D7B621" w14:textId="2FF28317" w:rsidR="00CB11B9" w:rsidRPr="004B703A" w:rsidRDefault="00CB11B9" w:rsidP="00CB11B9">
            <w:pPr>
              <w:pStyle w:val="TableText"/>
              <w:rPr>
                <w:rStyle w:val="Emphasis"/>
              </w:rPr>
            </w:pPr>
            <w:r w:rsidRPr="004B703A">
              <w:rPr>
                <w:rStyle w:val="Emphasis"/>
              </w:rPr>
              <w:t>Xiphophorus maculatus</w:t>
            </w:r>
          </w:p>
        </w:tc>
      </w:tr>
      <w:tr w:rsidR="00CB11B9" w14:paraId="50948E41" w14:textId="77777777">
        <w:trPr>
          <w:cantSplit/>
          <w:trHeight w:val="315"/>
        </w:trPr>
        <w:tc>
          <w:tcPr>
            <w:tcW w:w="2500" w:type="pct"/>
            <w:noWrap/>
          </w:tcPr>
          <w:p w14:paraId="73EEF94D" w14:textId="059BC4DA" w:rsidR="00CB11B9" w:rsidRPr="00686B1E" w:rsidRDefault="00CB11B9" w:rsidP="00CB11B9">
            <w:pPr>
              <w:pStyle w:val="TableText"/>
            </w:pPr>
            <w:r w:rsidRPr="00F95216">
              <w:t>Southern pygmy perch</w:t>
            </w:r>
          </w:p>
        </w:tc>
        <w:tc>
          <w:tcPr>
            <w:tcW w:w="2500" w:type="pct"/>
            <w:noWrap/>
          </w:tcPr>
          <w:p w14:paraId="31DEEF71" w14:textId="43DB9B37" w:rsidR="00CB11B9" w:rsidRPr="004B703A" w:rsidRDefault="00CB11B9" w:rsidP="00CB11B9">
            <w:pPr>
              <w:pStyle w:val="TableText"/>
              <w:rPr>
                <w:rStyle w:val="Emphasis"/>
              </w:rPr>
            </w:pPr>
            <w:r w:rsidRPr="004B703A">
              <w:rPr>
                <w:rStyle w:val="Emphasis"/>
              </w:rPr>
              <w:t>Nannoperca australis</w:t>
            </w:r>
          </w:p>
        </w:tc>
      </w:tr>
      <w:tr w:rsidR="00CB11B9" w14:paraId="57896239" w14:textId="77777777">
        <w:trPr>
          <w:cantSplit/>
          <w:trHeight w:val="315"/>
        </w:trPr>
        <w:tc>
          <w:tcPr>
            <w:tcW w:w="2500" w:type="pct"/>
            <w:noWrap/>
          </w:tcPr>
          <w:p w14:paraId="6E222309" w14:textId="5ADE5369" w:rsidR="00CB11B9" w:rsidRPr="00686B1E" w:rsidRDefault="00CB11B9" w:rsidP="00CB11B9">
            <w:pPr>
              <w:pStyle w:val="TableText"/>
            </w:pPr>
            <w:r w:rsidRPr="00F95216">
              <w:t>Spangled emperor</w:t>
            </w:r>
          </w:p>
        </w:tc>
        <w:tc>
          <w:tcPr>
            <w:tcW w:w="2500" w:type="pct"/>
            <w:noWrap/>
          </w:tcPr>
          <w:p w14:paraId="2EA6FECA" w14:textId="1E32D975" w:rsidR="00CB11B9" w:rsidRPr="004B703A" w:rsidRDefault="00CB11B9" w:rsidP="00CB11B9">
            <w:pPr>
              <w:pStyle w:val="TableText"/>
              <w:rPr>
                <w:rStyle w:val="Emphasis"/>
              </w:rPr>
            </w:pPr>
            <w:r w:rsidRPr="004B703A">
              <w:rPr>
                <w:rStyle w:val="Emphasis"/>
              </w:rPr>
              <w:t>Lethrinus nebulosus</w:t>
            </w:r>
          </w:p>
        </w:tc>
      </w:tr>
      <w:tr w:rsidR="00CB11B9" w14:paraId="78FF359A" w14:textId="77777777">
        <w:trPr>
          <w:cantSplit/>
          <w:trHeight w:val="315"/>
        </w:trPr>
        <w:tc>
          <w:tcPr>
            <w:tcW w:w="2500" w:type="pct"/>
            <w:noWrap/>
          </w:tcPr>
          <w:p w14:paraId="4C8A128D" w14:textId="2E5B1CC0" w:rsidR="00CB11B9" w:rsidRPr="00686B1E" w:rsidRDefault="00CB11B9" w:rsidP="00CB11B9">
            <w:pPr>
              <w:pStyle w:val="TableText"/>
            </w:pPr>
            <w:r w:rsidRPr="00F95216">
              <w:t>Striped beakfish</w:t>
            </w:r>
            <w:r w:rsidR="004B703A" w:rsidRPr="004B703A">
              <w:rPr>
                <w:vertAlign w:val="superscript"/>
              </w:rPr>
              <w:t>a</w:t>
            </w:r>
          </w:p>
        </w:tc>
        <w:tc>
          <w:tcPr>
            <w:tcW w:w="2500" w:type="pct"/>
            <w:noWrap/>
          </w:tcPr>
          <w:p w14:paraId="67F69000" w14:textId="1DBA2930" w:rsidR="00CB11B9" w:rsidRPr="004B703A" w:rsidRDefault="00CB11B9" w:rsidP="00CB11B9">
            <w:pPr>
              <w:pStyle w:val="TableText"/>
              <w:rPr>
                <w:rStyle w:val="Emphasis"/>
              </w:rPr>
            </w:pPr>
            <w:r w:rsidRPr="004B703A">
              <w:rPr>
                <w:rStyle w:val="Emphasis"/>
              </w:rPr>
              <w:t>Oplegnathus fasciatus</w:t>
            </w:r>
          </w:p>
        </w:tc>
      </w:tr>
      <w:tr w:rsidR="00CB11B9" w14:paraId="21DE1495" w14:textId="77777777">
        <w:trPr>
          <w:cantSplit/>
          <w:trHeight w:val="315"/>
        </w:trPr>
        <w:tc>
          <w:tcPr>
            <w:tcW w:w="2500" w:type="pct"/>
            <w:noWrap/>
          </w:tcPr>
          <w:p w14:paraId="71B83A78" w14:textId="33C0B526" w:rsidR="00CB11B9" w:rsidRPr="00686B1E" w:rsidRDefault="00CB11B9" w:rsidP="00CB11B9">
            <w:pPr>
              <w:pStyle w:val="TableText"/>
            </w:pPr>
            <w:r w:rsidRPr="00F95216">
              <w:t>Swordtail or green swordtail</w:t>
            </w:r>
            <w:r w:rsidR="004B703A" w:rsidRPr="004B703A">
              <w:rPr>
                <w:vertAlign w:val="superscript"/>
              </w:rPr>
              <w:t>a</w:t>
            </w:r>
          </w:p>
        </w:tc>
        <w:tc>
          <w:tcPr>
            <w:tcW w:w="2500" w:type="pct"/>
            <w:noWrap/>
          </w:tcPr>
          <w:p w14:paraId="43A81297" w14:textId="4609ACA7" w:rsidR="00CB11B9" w:rsidRPr="004B703A" w:rsidRDefault="00CB11B9" w:rsidP="00CB11B9">
            <w:pPr>
              <w:pStyle w:val="TableText"/>
              <w:rPr>
                <w:rStyle w:val="Emphasis"/>
              </w:rPr>
            </w:pPr>
            <w:r w:rsidRPr="004B703A">
              <w:rPr>
                <w:rStyle w:val="Emphasis"/>
              </w:rPr>
              <w:t>Xiphophorus helleri</w:t>
            </w:r>
          </w:p>
        </w:tc>
      </w:tr>
      <w:tr w:rsidR="00CB11B9" w14:paraId="6516CE10" w14:textId="77777777">
        <w:trPr>
          <w:cantSplit/>
          <w:trHeight w:val="315"/>
        </w:trPr>
        <w:tc>
          <w:tcPr>
            <w:tcW w:w="2500" w:type="pct"/>
            <w:noWrap/>
          </w:tcPr>
          <w:p w14:paraId="5FC856EB" w14:textId="2473279E" w:rsidR="00CB11B9" w:rsidRPr="00686B1E" w:rsidRDefault="00CB11B9" w:rsidP="00CB11B9">
            <w:pPr>
              <w:pStyle w:val="TableText"/>
            </w:pPr>
            <w:r w:rsidRPr="00F95216">
              <w:t>Thick-lipped gourami</w:t>
            </w:r>
            <w:r w:rsidR="004B703A" w:rsidRPr="004B703A">
              <w:rPr>
                <w:vertAlign w:val="superscript"/>
              </w:rPr>
              <w:t>a</w:t>
            </w:r>
          </w:p>
        </w:tc>
        <w:tc>
          <w:tcPr>
            <w:tcW w:w="2500" w:type="pct"/>
            <w:noWrap/>
          </w:tcPr>
          <w:p w14:paraId="23BB5774" w14:textId="0A0D778D" w:rsidR="00CB11B9" w:rsidRPr="004B703A" w:rsidRDefault="00CB11B9" w:rsidP="00CB11B9">
            <w:pPr>
              <w:pStyle w:val="TableText"/>
              <w:rPr>
                <w:rStyle w:val="Emphasis"/>
              </w:rPr>
            </w:pPr>
            <w:r w:rsidRPr="004B703A">
              <w:rPr>
                <w:rStyle w:val="Emphasis"/>
              </w:rPr>
              <w:t>Colisa labiosa</w:t>
            </w:r>
          </w:p>
        </w:tc>
      </w:tr>
      <w:tr w:rsidR="00CB11B9" w14:paraId="13FB3E60" w14:textId="77777777">
        <w:trPr>
          <w:cantSplit/>
          <w:trHeight w:val="315"/>
        </w:trPr>
        <w:tc>
          <w:tcPr>
            <w:tcW w:w="2500" w:type="pct"/>
            <w:noWrap/>
          </w:tcPr>
          <w:p w14:paraId="36EC1C3F" w14:textId="18C8B9D4" w:rsidR="00CB11B9" w:rsidRPr="00686B1E" w:rsidRDefault="00CB11B9" w:rsidP="00CB11B9">
            <w:pPr>
              <w:pStyle w:val="TableText"/>
            </w:pPr>
            <w:r w:rsidRPr="00F95216">
              <w:t>Three-spot gourami</w:t>
            </w:r>
            <w:r w:rsidR="004B703A" w:rsidRPr="004B703A">
              <w:rPr>
                <w:vertAlign w:val="superscript"/>
              </w:rPr>
              <w:t>a</w:t>
            </w:r>
          </w:p>
        </w:tc>
        <w:tc>
          <w:tcPr>
            <w:tcW w:w="2500" w:type="pct"/>
            <w:noWrap/>
          </w:tcPr>
          <w:p w14:paraId="1B046DF6" w14:textId="1CEC39F5" w:rsidR="00CB11B9" w:rsidRPr="004B703A" w:rsidRDefault="00CB11B9" w:rsidP="00CB11B9">
            <w:pPr>
              <w:pStyle w:val="TableText"/>
              <w:rPr>
                <w:rStyle w:val="Emphasis"/>
              </w:rPr>
            </w:pPr>
            <w:r w:rsidRPr="004B703A">
              <w:rPr>
                <w:rStyle w:val="Emphasis"/>
              </w:rPr>
              <w:t>Trichogaster trichopterus</w:t>
            </w:r>
          </w:p>
        </w:tc>
      </w:tr>
      <w:tr w:rsidR="00CB11B9" w14:paraId="177BA461" w14:textId="77777777">
        <w:trPr>
          <w:cantSplit/>
          <w:trHeight w:val="315"/>
        </w:trPr>
        <w:tc>
          <w:tcPr>
            <w:tcW w:w="2500" w:type="pct"/>
            <w:noWrap/>
          </w:tcPr>
          <w:p w14:paraId="2894B1B5" w14:textId="438FF210" w:rsidR="00CB11B9" w:rsidRPr="00686B1E" w:rsidRDefault="00CB11B9" w:rsidP="00CB11B9">
            <w:pPr>
              <w:pStyle w:val="TableText"/>
            </w:pPr>
            <w:r w:rsidRPr="00F95216">
              <w:t>Tiger grouper hybrid</w:t>
            </w:r>
            <w:r w:rsidR="004B703A" w:rsidRPr="004B703A">
              <w:rPr>
                <w:vertAlign w:val="superscript"/>
              </w:rPr>
              <w:t>a</w:t>
            </w:r>
          </w:p>
        </w:tc>
        <w:tc>
          <w:tcPr>
            <w:tcW w:w="2500" w:type="pct"/>
            <w:noWrap/>
          </w:tcPr>
          <w:p w14:paraId="6B723582" w14:textId="31F018F4" w:rsidR="00CB11B9" w:rsidRPr="004B703A" w:rsidRDefault="00CB11B9" w:rsidP="00CB11B9">
            <w:pPr>
              <w:pStyle w:val="TableText"/>
              <w:rPr>
                <w:rStyle w:val="Emphasis"/>
              </w:rPr>
            </w:pPr>
            <w:r w:rsidRPr="004B703A">
              <w:rPr>
                <w:rStyle w:val="Emphasis"/>
              </w:rPr>
              <w:t xml:space="preserve">Epinephelus fuscoguttatus </w:t>
            </w:r>
            <w:r w:rsidR="00B46E77" w:rsidRPr="00273FEF">
              <w:t>×</w:t>
            </w:r>
            <w:r w:rsidRPr="004B703A">
              <w:rPr>
                <w:rStyle w:val="Emphasis"/>
              </w:rPr>
              <w:t xml:space="preserve"> </w:t>
            </w:r>
            <w:r w:rsidR="00B46E77">
              <w:rPr>
                <w:rStyle w:val="Emphasis"/>
              </w:rPr>
              <w:t xml:space="preserve">E. </w:t>
            </w:r>
            <w:r w:rsidRPr="004B703A">
              <w:rPr>
                <w:rStyle w:val="Emphasis"/>
              </w:rPr>
              <w:t>lanceolatus</w:t>
            </w:r>
          </w:p>
        </w:tc>
      </w:tr>
      <w:tr w:rsidR="00CB11B9" w14:paraId="27541C98" w14:textId="77777777">
        <w:trPr>
          <w:cantSplit/>
          <w:trHeight w:val="315"/>
        </w:trPr>
        <w:tc>
          <w:tcPr>
            <w:tcW w:w="2500" w:type="pct"/>
            <w:noWrap/>
          </w:tcPr>
          <w:p w14:paraId="7D5DE34B" w14:textId="23C3A3B5" w:rsidR="00CB11B9" w:rsidRPr="00686B1E" w:rsidRDefault="00CB11B9" w:rsidP="00CB11B9">
            <w:pPr>
              <w:pStyle w:val="TableText"/>
            </w:pPr>
            <w:r w:rsidRPr="00F95216">
              <w:t>Tilapias</w:t>
            </w:r>
          </w:p>
        </w:tc>
        <w:tc>
          <w:tcPr>
            <w:tcW w:w="2500" w:type="pct"/>
            <w:noWrap/>
          </w:tcPr>
          <w:p w14:paraId="15E5AE15" w14:textId="236C0E47" w:rsidR="00CB11B9" w:rsidRPr="00CB11B9" w:rsidRDefault="00CB11B9" w:rsidP="00CB11B9">
            <w:pPr>
              <w:pStyle w:val="TableText"/>
            </w:pPr>
            <w:r w:rsidRPr="004B703A">
              <w:rPr>
                <w:rStyle w:val="Emphasis"/>
              </w:rPr>
              <w:t>Cichlidae</w:t>
            </w:r>
            <w:r w:rsidRPr="00CB11B9">
              <w:t>, various genera and species</w:t>
            </w:r>
          </w:p>
        </w:tc>
      </w:tr>
      <w:tr w:rsidR="00CB11B9" w14:paraId="4F8803A0" w14:textId="77777777">
        <w:trPr>
          <w:cantSplit/>
          <w:trHeight w:val="315"/>
        </w:trPr>
        <w:tc>
          <w:tcPr>
            <w:tcW w:w="2500" w:type="pct"/>
            <w:noWrap/>
          </w:tcPr>
          <w:p w14:paraId="60D9B933" w14:textId="036C8420" w:rsidR="00CB11B9" w:rsidRPr="00686B1E" w:rsidRDefault="00CB11B9" w:rsidP="00CB11B9">
            <w:pPr>
              <w:pStyle w:val="TableText"/>
            </w:pPr>
            <w:r w:rsidRPr="00F95216">
              <w:lastRenderedPageBreak/>
              <w:t>Tilapia hybrids</w:t>
            </w:r>
          </w:p>
        </w:tc>
        <w:tc>
          <w:tcPr>
            <w:tcW w:w="2500" w:type="pct"/>
            <w:noWrap/>
          </w:tcPr>
          <w:p w14:paraId="1BA2CC65" w14:textId="37583E53" w:rsidR="00CB11B9" w:rsidRPr="004B703A" w:rsidRDefault="00B46E77" w:rsidP="00CB11B9">
            <w:pPr>
              <w:pStyle w:val="TableText"/>
              <w:rPr>
                <w:rStyle w:val="Emphasis"/>
              </w:rPr>
            </w:pPr>
            <w:r>
              <w:rPr>
                <w:rStyle w:val="Emphasis"/>
              </w:rPr>
              <w:t xml:space="preserve">Oreochromis niloticus </w:t>
            </w:r>
            <w:r w:rsidRPr="00273FEF">
              <w:t>×</w:t>
            </w:r>
            <w:r w:rsidR="00CB11B9" w:rsidRPr="004B703A">
              <w:rPr>
                <w:rStyle w:val="Emphasis"/>
              </w:rPr>
              <w:t xml:space="preserve"> </w:t>
            </w:r>
            <w:r>
              <w:rPr>
                <w:rStyle w:val="Emphasis"/>
              </w:rPr>
              <w:t xml:space="preserve">O. </w:t>
            </w:r>
            <w:r w:rsidR="00CB11B9" w:rsidRPr="004B703A">
              <w:rPr>
                <w:rStyle w:val="Emphasis"/>
              </w:rPr>
              <w:t>aureus</w:t>
            </w:r>
          </w:p>
        </w:tc>
      </w:tr>
      <w:tr w:rsidR="00CB11B9" w14:paraId="36EC8DAF" w14:textId="77777777">
        <w:trPr>
          <w:cantSplit/>
          <w:trHeight w:val="315"/>
        </w:trPr>
        <w:tc>
          <w:tcPr>
            <w:tcW w:w="2500" w:type="pct"/>
            <w:noWrap/>
          </w:tcPr>
          <w:p w14:paraId="2FFFEF29" w14:textId="1325F86E" w:rsidR="00CB11B9" w:rsidRPr="00686B1E" w:rsidRDefault="00CB11B9" w:rsidP="00CB11B9">
            <w:pPr>
              <w:pStyle w:val="TableText"/>
            </w:pPr>
            <w:r w:rsidRPr="00F95216">
              <w:t>Turbot</w:t>
            </w:r>
            <w:r w:rsidR="004B703A" w:rsidRPr="004B703A">
              <w:rPr>
                <w:vertAlign w:val="superscript"/>
              </w:rPr>
              <w:t>a</w:t>
            </w:r>
          </w:p>
        </w:tc>
        <w:tc>
          <w:tcPr>
            <w:tcW w:w="2500" w:type="pct"/>
            <w:noWrap/>
          </w:tcPr>
          <w:p w14:paraId="0886D02A" w14:textId="5673D3F1" w:rsidR="00CB11B9" w:rsidRPr="004B703A" w:rsidRDefault="00CB11B9" w:rsidP="00CB11B9">
            <w:pPr>
              <w:pStyle w:val="TableText"/>
              <w:rPr>
                <w:rStyle w:val="Emphasis"/>
              </w:rPr>
            </w:pPr>
            <w:r w:rsidRPr="004B703A">
              <w:rPr>
                <w:rStyle w:val="Emphasis"/>
              </w:rPr>
              <w:t>Scophthalmus maximus</w:t>
            </w:r>
          </w:p>
        </w:tc>
      </w:tr>
      <w:tr w:rsidR="00CB11B9" w14:paraId="7F16826E" w14:textId="77777777">
        <w:trPr>
          <w:cantSplit/>
          <w:trHeight w:val="315"/>
        </w:trPr>
        <w:tc>
          <w:tcPr>
            <w:tcW w:w="2500" w:type="pct"/>
            <w:noWrap/>
          </w:tcPr>
          <w:p w14:paraId="2C0455C8" w14:textId="277516A6" w:rsidR="00CB11B9" w:rsidRPr="00686B1E" w:rsidRDefault="004B703A" w:rsidP="00CB11B9">
            <w:pPr>
              <w:pStyle w:val="TableText"/>
            </w:pPr>
            <w:r>
              <w:t>Zebrafish</w:t>
            </w:r>
          </w:p>
        </w:tc>
        <w:tc>
          <w:tcPr>
            <w:tcW w:w="2500" w:type="pct"/>
            <w:noWrap/>
          </w:tcPr>
          <w:p w14:paraId="3D5BA004" w14:textId="6CEE9F66" w:rsidR="00CB11B9" w:rsidRPr="004B703A" w:rsidRDefault="00CB11B9" w:rsidP="00CB11B9">
            <w:pPr>
              <w:pStyle w:val="TableText"/>
              <w:rPr>
                <w:rStyle w:val="Emphasis"/>
              </w:rPr>
            </w:pPr>
            <w:r w:rsidRPr="004B703A">
              <w:rPr>
                <w:rStyle w:val="Emphasis"/>
              </w:rPr>
              <w:t>Danio rerio</w:t>
            </w:r>
          </w:p>
        </w:tc>
      </w:tr>
    </w:tbl>
    <w:p w14:paraId="233F7A2B" w14:textId="2B7A801A" w:rsidR="00DF2031" w:rsidRDefault="00DF2031" w:rsidP="00DF2031">
      <w:pPr>
        <w:pStyle w:val="FigureTableNoteSource"/>
      </w:pPr>
      <w:r w:rsidRPr="00DF2031">
        <w:rPr>
          <w:rStyle w:val="Strong"/>
        </w:rPr>
        <w:t>a</w:t>
      </w:r>
      <w:r w:rsidRPr="00DF2031">
        <w:t xml:space="preserve"> Naturally susceptible</w:t>
      </w:r>
      <w:r>
        <w:t>. Note:</w:t>
      </w:r>
      <w:r w:rsidRPr="00DF2031">
        <w:t xml:space="preserve"> </w:t>
      </w:r>
      <w:r>
        <w:t>O</w:t>
      </w:r>
      <w:r w:rsidRPr="00DF2031">
        <w:t>ther species have been shown to be experimentally susceptible</w:t>
      </w:r>
      <w:r>
        <w:t>.</w:t>
      </w:r>
      <w:r w:rsidR="004A104B">
        <w:t xml:space="preserve"> S</w:t>
      </w:r>
      <w:r w:rsidR="004A104B" w:rsidRPr="00CB11B9">
        <w:t xml:space="preserve">ome native Australian fish species </w:t>
      </w:r>
      <w:r w:rsidR="004A104B">
        <w:t xml:space="preserve">included </w:t>
      </w:r>
      <w:r w:rsidR="00D92BB9">
        <w:t xml:space="preserve">(such as Murray cod, </w:t>
      </w:r>
      <w:r w:rsidR="00D92BB9">
        <w:rPr>
          <w:rStyle w:val="Emphasis"/>
        </w:rPr>
        <w:t>Maccullochella peelii</w:t>
      </w:r>
      <w:r w:rsidR="00D92BB9">
        <w:t>) a</w:t>
      </w:r>
      <w:r w:rsidR="004A104B">
        <w:t xml:space="preserve">re </w:t>
      </w:r>
      <w:r w:rsidR="004A104B" w:rsidRPr="00CB11B9">
        <w:t>known to be highly susceptible to ISKNV-like viruses</w:t>
      </w:r>
      <w:r w:rsidR="004A104B">
        <w:t>.</w:t>
      </w:r>
    </w:p>
    <w:p w14:paraId="07189146" w14:textId="77777777" w:rsidR="00ED0614" w:rsidRDefault="00E260DC">
      <w:pPr>
        <w:pStyle w:val="Heading2"/>
      </w:pPr>
      <w:r>
        <w:t>Presence in Australia</w:t>
      </w:r>
    </w:p>
    <w:p w14:paraId="12DFE40E" w14:textId="277F361A" w:rsidR="00FD7D78" w:rsidRDefault="004B703A">
      <w:pPr>
        <w:keepNext/>
        <w:keepLines/>
      </w:pPr>
      <w:r w:rsidRPr="004B703A">
        <w:t>Exotic disease—not recorded in Australia.</w:t>
      </w:r>
    </w:p>
    <w:p w14:paraId="564B48FA" w14:textId="41885876" w:rsidR="004B703A" w:rsidRDefault="004B703A">
      <w:pPr>
        <w:keepNext/>
        <w:keepLines/>
      </w:pPr>
      <w:r w:rsidRPr="004B703A">
        <w:t>ISKNV-like viruses have not been recorded from wild fish in Australia</w:t>
      </w:r>
      <w:r w:rsidR="004A104B">
        <w:t>.</w:t>
      </w:r>
      <w:r w:rsidRPr="004B703A">
        <w:t xml:space="preserve"> </w:t>
      </w:r>
      <w:r w:rsidR="004A104B">
        <w:t>H</w:t>
      </w:r>
      <w:r w:rsidRPr="004B703A">
        <w:t>owever</w:t>
      </w:r>
      <w:r w:rsidR="004A104B">
        <w:t>,</w:t>
      </w:r>
      <w:r w:rsidRPr="004B703A">
        <w:t xml:space="preserve"> these viruses are regularly detected in ornamental fish in quarantine at the international border, and in retail pet shops.</w:t>
      </w:r>
    </w:p>
    <w:p w14:paraId="55B0F228" w14:textId="42720383"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393E72">
        <w:rPr>
          <w:noProof/>
        </w:rPr>
        <w:t>1</w:t>
      </w:r>
      <w:r>
        <w:rPr>
          <w:noProof/>
        </w:rPr>
        <w:fldChar w:fldCharType="end"/>
      </w:r>
      <w:r>
        <w:t xml:space="preserve"> Presence </w:t>
      </w:r>
      <w:r w:rsidR="004B703A" w:rsidRPr="004B703A">
        <w:t>of ISKNV-like viruses</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3"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6B46EA">
      <w:pPr>
        <w:pStyle w:val="Heading2"/>
        <w:keepLines/>
      </w:pPr>
      <w:r>
        <w:t>Epidemiology</w:t>
      </w:r>
    </w:p>
    <w:p w14:paraId="3FA24738" w14:textId="431E09CC" w:rsidR="004B703A" w:rsidRDefault="004B703A" w:rsidP="004B703A">
      <w:pPr>
        <w:pStyle w:val="ListBullet"/>
      </w:pPr>
      <w:r>
        <w:t>ISKNV-like viruses are prone to inactivation by desiccation or heat at temperatures above</w:t>
      </w:r>
      <w:r w:rsidR="004A104B">
        <w:t> </w:t>
      </w:r>
      <w:r>
        <w:t>50°C, but are stable in water at</w:t>
      </w:r>
      <w:r w:rsidR="004A104B">
        <w:t> </w:t>
      </w:r>
      <w:r>
        <w:t>4°C for extended periods.</w:t>
      </w:r>
    </w:p>
    <w:p w14:paraId="4F92F759" w14:textId="0010A31A" w:rsidR="004B703A" w:rsidRDefault="004B703A" w:rsidP="004B703A">
      <w:pPr>
        <w:pStyle w:val="ListBullet"/>
      </w:pPr>
      <w:r>
        <w:t>ISKNV-like viruses have been found to cause disease in a wide variety of species (may lack strict host specificity).</w:t>
      </w:r>
    </w:p>
    <w:p w14:paraId="54280086" w14:textId="194DD851" w:rsidR="004B703A" w:rsidRDefault="006E3E02" w:rsidP="004B703A">
      <w:pPr>
        <w:pStyle w:val="ListBullet"/>
      </w:pPr>
      <w:r>
        <w:t>H</w:t>
      </w:r>
      <w:r w:rsidR="004B703A">
        <w:t>orizontal transmission via cohabitation, water, ingestion of excreta or cannibalism is likely</w:t>
      </w:r>
      <w:r w:rsidR="00191DD6">
        <w:t xml:space="preserve"> (based on experimental transmission studies)</w:t>
      </w:r>
      <w:r w:rsidR="004B703A">
        <w:t>.</w:t>
      </w:r>
    </w:p>
    <w:p w14:paraId="45CF7725" w14:textId="5A7053EC" w:rsidR="00ED0614" w:rsidRDefault="004B703A" w:rsidP="004B703A">
      <w:pPr>
        <w:pStyle w:val="ListBullet"/>
      </w:pPr>
      <w:r>
        <w:t>There is evidence that some species may be long-term asymptomatic carriers of ISKNV-like viruses and that prevalence in infected populations may be high.</w:t>
      </w:r>
    </w:p>
    <w:p w14:paraId="431A90C5" w14:textId="77777777" w:rsidR="00ED0614" w:rsidRDefault="00E260DC">
      <w:pPr>
        <w:pStyle w:val="Heading2"/>
      </w:pPr>
      <w:r>
        <w:lastRenderedPageBreak/>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37BE867F" w:rsidR="00ED0614" w:rsidRDefault="004B703A">
      <w:r w:rsidRPr="004B703A">
        <w:t>Epizootic haematopoietic necrosis (EHN), grouper iridoviral disease</w:t>
      </w:r>
      <w:r w:rsidR="006E3E02">
        <w:t xml:space="preserve"> and</w:t>
      </w:r>
      <w:r w:rsidRPr="004B703A">
        <w:t xml:space="preserve"> red sea bream iridoviral disease (RSIVD)</w:t>
      </w:r>
      <w:r w:rsidR="00C331ED">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
        <w:t>See something you think is this disease? Report it. Even if you’re not sure.</w:t>
      </w:r>
    </w:p>
    <w:p w14:paraId="742BD5A1" w14:textId="1D111DA1" w:rsidR="00ED0614" w:rsidRDefault="00E260DC">
      <w:r>
        <w:t xml:space="preserve">Call the Emergency Animal Disease Watch Hotline on </w:t>
      </w:r>
      <w:r w:rsidR="007B72EC">
        <w:rPr>
          <w:rStyle w:val="Strong"/>
        </w:rPr>
        <w:t>1800 675 888</w:t>
      </w:r>
      <w:r>
        <w:t>. They will refer you to the right state or territory agency.</w:t>
      </w:r>
    </w:p>
    <w:p w14:paraId="6B39C243" w14:textId="77777777" w:rsidR="00ED0614" w:rsidRDefault="00E260DC" w:rsidP="006B46EA">
      <w:pPr>
        <w:pStyle w:val="Heading2"/>
        <w:keepLines/>
        <w:rPr>
          <w:rFonts w:ascii="Cambria" w:eastAsiaTheme="minorHAnsi" w:hAnsi="Cambria"/>
          <w:b w:val="0"/>
          <w:bCs w:val="0"/>
          <w:color w:val="auto"/>
          <w:sz w:val="22"/>
          <w:szCs w:val="22"/>
          <w:lang w:eastAsia="en-US"/>
        </w:rPr>
      </w:pPr>
      <w:r>
        <w:t>Further reading</w:t>
      </w:r>
    </w:p>
    <w:p w14:paraId="21F9F511" w14:textId="7E864999" w:rsidR="004B703A" w:rsidRDefault="004B703A" w:rsidP="004B703A">
      <w:r>
        <w:t>Biosecurity Australia 201</w:t>
      </w:r>
      <w:r w:rsidR="001F4A1F">
        <w:t>4</w:t>
      </w:r>
      <w:r>
        <w:t xml:space="preserve">, </w:t>
      </w:r>
      <w:r w:rsidRPr="00DD7F2B">
        <w:rPr>
          <w:rStyle w:val="Emphasis"/>
        </w:rPr>
        <w:t>Importation of freshwater ornamental fish: review of biosecurity risks associated with gourami iridovirus and related viruses—provisional final import risk analysis report</w:t>
      </w:r>
    </w:p>
    <w:p w14:paraId="0D3B62D2" w14:textId="61426E2A" w:rsidR="004B703A" w:rsidRDefault="004B703A" w:rsidP="004B703A">
      <w:r>
        <w:t xml:space="preserve">Fu X, Li N, Liu L, Lin Q, Wang F, Lai Y, Jiang H, Pan H, Shi C, Wu S 2011, </w:t>
      </w:r>
      <w:r w:rsidR="00DD7F2B">
        <w:t>‘</w:t>
      </w:r>
      <w:r>
        <w:t>Genotype and host range analysis of infectious spleen and kidney necrosis virus (ISKNV)</w:t>
      </w:r>
      <w:r w:rsidR="00DD7F2B">
        <w:t>’,</w:t>
      </w:r>
      <w:r>
        <w:t xml:space="preserve"> </w:t>
      </w:r>
      <w:r w:rsidR="00DD7F2B">
        <w:rPr>
          <w:rStyle w:val="Emphasis"/>
        </w:rPr>
        <w:t>Virus Gene</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4" w:history="1">
        <w:r>
          <w:rPr>
            <w:rStyle w:val="Hyperlink"/>
          </w:rPr>
          <w:t>AAH@agriculture.gov.au</w:t>
        </w:r>
      </w:hyperlink>
      <w:r>
        <w:cr/>
        <w:t xml:space="preserve">Website </w:t>
      </w:r>
      <w:hyperlink r:id="rId15" w:history="1">
        <w:r>
          <w:rPr>
            <w:rStyle w:val="Hyperlink"/>
          </w:rPr>
          <w:t>agriculture.gov.au/pests-diseases-weeds/aquatic</w:t>
        </w:r>
      </w:hyperlink>
    </w:p>
    <w:p w14:paraId="16C0A9CE" w14:textId="2CFC1C5B" w:rsidR="00ED0614" w:rsidRDefault="00E260DC">
      <w:pPr>
        <w:pStyle w:val="Normalsmall"/>
      </w:pPr>
      <w:r>
        <w:t>© Commonwealth of Australia 20</w:t>
      </w:r>
      <w:r w:rsidR="00393E72">
        <w:t>20</w:t>
      </w:r>
      <w:bookmarkStart w:id="1" w:name="_GoBack"/>
      <w:bookmarkEnd w:id="1"/>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6"/>
      <w:footerReference w:type="default" r:id="rId17"/>
      <w:head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6E298878" w:rsidR="00ED0614" w:rsidRDefault="00393E72">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C51F07">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4C32FC33" w:rsidR="00ED0614" w:rsidRPr="00CB11B9" w:rsidRDefault="00CB11B9" w:rsidP="00CB11B9">
    <w:pPr>
      <w:pStyle w:val="Header"/>
    </w:pPr>
    <w:r w:rsidRPr="00CB11B9">
      <w:t>Infection with infectious spleen and kidney necrosis virus (ISKNV)-like viruses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0CA589D4">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C4AEC5C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B2882B6"/>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328D5"/>
    <w:multiLevelType w:val="multilevel"/>
    <w:tmpl w:val="BE78A4F8"/>
    <w:numStyleLink w:val="Numberlist"/>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B103637"/>
    <w:multiLevelType w:val="multilevel"/>
    <w:tmpl w:val="BE78A4F8"/>
    <w:numStyleLink w:val="Numberlist"/>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abstractNumId w:val="7"/>
  </w:num>
  <w:num w:numId="2">
    <w:abstractNumId w:val="20"/>
  </w:num>
  <w:num w:numId="3">
    <w:abstractNumId w:val="21"/>
  </w:num>
  <w:num w:numId="4">
    <w:abstractNumId w:val="13"/>
  </w:num>
  <w:num w:numId="5">
    <w:abstractNumId w:val="26"/>
  </w:num>
  <w:num w:numId="6">
    <w:abstractNumId w:val="27"/>
  </w:num>
  <w:num w:numId="7">
    <w:abstractNumId w:val="9"/>
  </w:num>
  <w:num w:numId="8">
    <w:abstractNumId w:val="16"/>
  </w:num>
  <w:num w:numId="9">
    <w:abstractNumId w:val="18"/>
  </w:num>
  <w:num w:numId="10">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4"/>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7"/>
  </w:num>
  <w:num w:numId="22">
    <w:abstractNumId w:val="22"/>
  </w:num>
  <w:num w:numId="23">
    <w:abstractNumId w:val="29"/>
  </w:num>
  <w:num w:numId="24">
    <w:abstractNumId w:val="15"/>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25"/>
  </w:num>
  <w:num w:numId="30">
    <w:abstractNumId w:val="12"/>
  </w:num>
  <w:num w:numId="31">
    <w:abstractNumId w:val="8"/>
  </w:num>
  <w:num w:numId="32">
    <w:abstractNumId w:val="10"/>
  </w:num>
  <w:num w:numId="33">
    <w:abstractNumId w:val="11"/>
  </w:num>
  <w:num w:numId="3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13ABE"/>
    <w:rsid w:val="00024A7E"/>
    <w:rsid w:val="00025DF0"/>
    <w:rsid w:val="00030111"/>
    <w:rsid w:val="00050C3A"/>
    <w:rsid w:val="000C051E"/>
    <w:rsid w:val="000C0CEB"/>
    <w:rsid w:val="000C322A"/>
    <w:rsid w:val="000D05F1"/>
    <w:rsid w:val="000D38F7"/>
    <w:rsid w:val="001413A7"/>
    <w:rsid w:val="001474D1"/>
    <w:rsid w:val="001726AA"/>
    <w:rsid w:val="001779BD"/>
    <w:rsid w:val="001875C0"/>
    <w:rsid w:val="00191DD6"/>
    <w:rsid w:val="001A7824"/>
    <w:rsid w:val="001E366B"/>
    <w:rsid w:val="001E6330"/>
    <w:rsid w:val="001F30EF"/>
    <w:rsid w:val="001F4A1F"/>
    <w:rsid w:val="00274A52"/>
    <w:rsid w:val="002A77D5"/>
    <w:rsid w:val="002D3686"/>
    <w:rsid w:val="003137A2"/>
    <w:rsid w:val="003317F6"/>
    <w:rsid w:val="00393E72"/>
    <w:rsid w:val="003F4E8E"/>
    <w:rsid w:val="00427103"/>
    <w:rsid w:val="00443AAB"/>
    <w:rsid w:val="00444EA9"/>
    <w:rsid w:val="0045639F"/>
    <w:rsid w:val="0045792C"/>
    <w:rsid w:val="004A104B"/>
    <w:rsid w:val="004B703A"/>
    <w:rsid w:val="004E3720"/>
    <w:rsid w:val="005312B5"/>
    <w:rsid w:val="005412E2"/>
    <w:rsid w:val="00542188"/>
    <w:rsid w:val="00583281"/>
    <w:rsid w:val="00583B3C"/>
    <w:rsid w:val="00590B87"/>
    <w:rsid w:val="005A359A"/>
    <w:rsid w:val="005B0B25"/>
    <w:rsid w:val="005B5670"/>
    <w:rsid w:val="005C17C2"/>
    <w:rsid w:val="005E631A"/>
    <w:rsid w:val="005E698C"/>
    <w:rsid w:val="00662491"/>
    <w:rsid w:val="006B46EA"/>
    <w:rsid w:val="006D51D3"/>
    <w:rsid w:val="006E2720"/>
    <w:rsid w:val="006E3E02"/>
    <w:rsid w:val="006F5862"/>
    <w:rsid w:val="00725A7B"/>
    <w:rsid w:val="00742002"/>
    <w:rsid w:val="00743440"/>
    <w:rsid w:val="007741F5"/>
    <w:rsid w:val="007757E1"/>
    <w:rsid w:val="00793DD5"/>
    <w:rsid w:val="007B72EC"/>
    <w:rsid w:val="007C7651"/>
    <w:rsid w:val="007E3043"/>
    <w:rsid w:val="00823728"/>
    <w:rsid w:val="00844BA3"/>
    <w:rsid w:val="00853ED4"/>
    <w:rsid w:val="00885F5E"/>
    <w:rsid w:val="008B4009"/>
    <w:rsid w:val="008F3A41"/>
    <w:rsid w:val="009475EC"/>
    <w:rsid w:val="0095639C"/>
    <w:rsid w:val="00961562"/>
    <w:rsid w:val="009A09FC"/>
    <w:rsid w:val="009B5DE8"/>
    <w:rsid w:val="009B7ED9"/>
    <w:rsid w:val="009C7070"/>
    <w:rsid w:val="009D02AD"/>
    <w:rsid w:val="00A83B83"/>
    <w:rsid w:val="00A94C32"/>
    <w:rsid w:val="00AC0804"/>
    <w:rsid w:val="00B31582"/>
    <w:rsid w:val="00B46E77"/>
    <w:rsid w:val="00B85992"/>
    <w:rsid w:val="00BA0B27"/>
    <w:rsid w:val="00C10318"/>
    <w:rsid w:val="00C331ED"/>
    <w:rsid w:val="00C36630"/>
    <w:rsid w:val="00C51F07"/>
    <w:rsid w:val="00C605BC"/>
    <w:rsid w:val="00CB11B9"/>
    <w:rsid w:val="00CC02C5"/>
    <w:rsid w:val="00CD0FA5"/>
    <w:rsid w:val="00D1126F"/>
    <w:rsid w:val="00D12B64"/>
    <w:rsid w:val="00D467E7"/>
    <w:rsid w:val="00D5760E"/>
    <w:rsid w:val="00D81D8E"/>
    <w:rsid w:val="00D92BB9"/>
    <w:rsid w:val="00DD769F"/>
    <w:rsid w:val="00DD7F2B"/>
    <w:rsid w:val="00DF2031"/>
    <w:rsid w:val="00E260DC"/>
    <w:rsid w:val="00E263C9"/>
    <w:rsid w:val="00E46901"/>
    <w:rsid w:val="00E61FA3"/>
    <w:rsid w:val="00E84766"/>
    <w:rsid w:val="00ED0614"/>
    <w:rsid w:val="00F00E26"/>
    <w:rsid w:val="00F03FC2"/>
    <w:rsid w:val="00F06A73"/>
    <w:rsid w:val="00F52111"/>
    <w:rsid w:val="00F72EFE"/>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rsid w:val="005412E2"/>
    <w:pPr>
      <w:keepNext/>
      <w:keepLines/>
      <w:spacing w:after="120"/>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sid w:val="005412E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agriculture.gov.au/pests-diseases-weeds/aquati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H@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59B52DE-05F0-4217-BA71-B6F52E1B1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20</TotalTime>
  <Pages>6</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Infection with infectious spleen and kidney necrosis virus (ISKNV)-like viruses</vt:lpstr>
    </vt:vector>
  </TitlesOfParts>
  <Company>Department of Agriculture Fisheries &amp; Forestry</Company>
  <LinksUpToDate>false</LinksUpToDate>
  <CharactersWithSpaces>8895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infectious spleen and kidney necrosis virus (ISKNV)-like viruses</dc:title>
  <dc:creator>Department of Agriculture</dc:creator>
  <cp:lastModifiedBy>Caldwell, Louise</cp:lastModifiedBy>
  <cp:revision>15</cp:revision>
  <cp:lastPrinted>2020-03-11T06:04:00Z</cp:lastPrinted>
  <dcterms:created xsi:type="dcterms:W3CDTF">2019-09-11T00:09:00Z</dcterms:created>
  <dcterms:modified xsi:type="dcterms:W3CDTF">2020-03-11T06:04:00Z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