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0751B" w14:textId="77777777" w:rsidR="008557C1" w:rsidRPr="00671B47" w:rsidRDefault="000C4DF1">
      <w:pPr>
        <w:pStyle w:val="Heading1"/>
      </w:pPr>
      <w:r>
        <w:t xml:space="preserve">Infection with </w:t>
      </w:r>
      <w:proofErr w:type="spellStart"/>
      <w:r>
        <w:rPr>
          <w:rStyle w:val="Emphasis"/>
        </w:rPr>
        <w:t>Macrobrachium</w:t>
      </w:r>
      <w:proofErr w:type="spellEnd"/>
      <w:r>
        <w:rPr>
          <w:rStyle w:val="Emphasis"/>
        </w:rPr>
        <w:t xml:space="preserve"> </w:t>
      </w:r>
      <w:proofErr w:type="spellStart"/>
      <w:r>
        <w:rPr>
          <w:rStyle w:val="Emphasis"/>
        </w:rPr>
        <w:t>rosenbergii</w:t>
      </w:r>
      <w:proofErr w:type="spellEnd"/>
      <w:r>
        <w:t xml:space="preserve"> </w:t>
      </w:r>
      <w:proofErr w:type="spellStart"/>
      <w:r>
        <w:t>nodavirus</w:t>
      </w:r>
      <w:proofErr w:type="spellEnd"/>
      <w:r>
        <w:t xml:space="preserve"> (</w:t>
      </w:r>
      <w:proofErr w:type="spellStart"/>
      <w:r>
        <w:t>MrNV</w:t>
      </w:r>
      <w:proofErr w:type="spellEnd"/>
      <w:r>
        <w:t>)</w:t>
      </w:r>
    </w:p>
    <w:p w14:paraId="4529799B" w14:textId="0976F1D9" w:rsidR="008557C1" w:rsidRDefault="000C4DF1">
      <w:pPr>
        <w:pStyle w:val="Subtitle"/>
      </w:pPr>
      <w:r>
        <w:rPr>
          <w:sz w:val="24"/>
          <w:szCs w:val="24"/>
        </w:rPr>
        <w:t xml:space="preserve">Also known as white tail disease </w:t>
      </w:r>
      <w:r w:rsidR="00080D9D">
        <w:rPr>
          <w:sz w:val="24"/>
          <w:szCs w:val="24"/>
        </w:rPr>
        <w:t>and</w:t>
      </w:r>
      <w:r>
        <w:rPr>
          <w:sz w:val="24"/>
          <w:szCs w:val="24"/>
        </w:rPr>
        <w:t xml:space="preserve"> white muscle disease</w:t>
      </w:r>
    </w:p>
    <w:p w14:paraId="632B1642" w14:textId="1C2F2407" w:rsidR="008557C1" w:rsidRDefault="000C4DF1">
      <w:pPr>
        <w:pStyle w:val="Subtitle"/>
      </w:pPr>
      <w:r>
        <w:t xml:space="preserve">From </w:t>
      </w:r>
      <w:r>
        <w:rPr>
          <w:rStyle w:val="Emphasis"/>
        </w:rPr>
        <w:t>Aquatic animal diseases significant to Australia: identification field guide</w:t>
      </w:r>
      <w:r>
        <w:t>, 5th </w:t>
      </w:r>
      <w:r w:rsidR="00273715">
        <w:t>Department of Agriculture, Water and the Environment</w:t>
      </w:r>
    </w:p>
    <w:p w14:paraId="0701D1D9" w14:textId="71743C45" w:rsidR="008557C1" w:rsidRDefault="000C4DF1">
      <w:pPr>
        <w:pStyle w:val="Caption"/>
      </w:pPr>
      <w:bookmarkStart w:id="0" w:name="_Ref10549149"/>
      <w:r>
        <w:t xml:space="preserve">Figure </w:t>
      </w:r>
      <w:r>
        <w:rPr>
          <w:noProof/>
        </w:rPr>
        <w:fldChar w:fldCharType="begin"/>
      </w:r>
      <w:r>
        <w:rPr>
          <w:noProof/>
        </w:rPr>
        <w:instrText xml:space="preserve"> SEQ Figure \* ARABIC </w:instrText>
      </w:r>
      <w:r>
        <w:rPr>
          <w:noProof/>
        </w:rPr>
        <w:fldChar w:fldCharType="separate"/>
      </w:r>
      <w:r w:rsidR="008800BA">
        <w:rPr>
          <w:noProof/>
        </w:rPr>
        <w:t>1</w:t>
      </w:r>
      <w:r>
        <w:rPr>
          <w:noProof/>
        </w:rPr>
        <w:fldChar w:fldCharType="end"/>
      </w:r>
      <w:bookmarkEnd w:id="0"/>
      <w:r>
        <w:t xml:space="preserve"> White tail disease in giant freshwater prawn (</w:t>
      </w:r>
      <w:proofErr w:type="spellStart"/>
      <w:r>
        <w:rPr>
          <w:rStyle w:val="Emphasis"/>
        </w:rPr>
        <w:t>Macrobrachium</w:t>
      </w:r>
      <w:proofErr w:type="spellEnd"/>
      <w:r>
        <w:rPr>
          <w:rStyle w:val="Emphasis"/>
        </w:rPr>
        <w:t> </w:t>
      </w:r>
      <w:proofErr w:type="spellStart"/>
      <w:r>
        <w:rPr>
          <w:rStyle w:val="Emphasis"/>
        </w:rPr>
        <w:t>rosenbergii</w:t>
      </w:r>
      <w:proofErr w:type="spellEnd"/>
      <w:r>
        <w:t xml:space="preserve">) </w:t>
      </w:r>
      <w:proofErr w:type="spellStart"/>
      <w:r>
        <w:t>postlarvae</w:t>
      </w:r>
      <w:proofErr w:type="spellEnd"/>
      <w:r>
        <w:t xml:space="preserve"> infected with </w:t>
      </w:r>
      <w:proofErr w:type="spellStart"/>
      <w:r>
        <w:t>MrNV</w:t>
      </w:r>
      <w:proofErr w:type="spellEnd"/>
    </w:p>
    <w:p w14:paraId="6BDC2C93" w14:textId="77777777" w:rsidR="008557C1" w:rsidRDefault="000C4DF1">
      <w:pPr>
        <w:ind w:right="-2"/>
      </w:pPr>
      <w:r>
        <w:rPr>
          <w:noProof/>
          <w:lang w:eastAsia="en-AU"/>
        </w:rPr>
        <w:drawing>
          <wp:inline distT="0" distB="0" distL="0" distR="0" wp14:anchorId="6D3BDB1D" wp14:editId="2C51E4F7">
            <wp:extent cx="4317248" cy="2664823"/>
            <wp:effectExtent l="0" t="0" r="7620" b="254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D Sauhl hameed.jpg"/>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4319245" cy="2666056"/>
                    </a:xfrm>
                    <a:prstGeom prst="rect">
                      <a:avLst/>
                    </a:prstGeom>
                    <a:ln>
                      <a:noFill/>
                    </a:ln>
                    <a:extLst>
                      <a:ext uri="{53640926-AAD7-44D8-BBD7-CCE9431645EC}">
                        <a14:shadowObscured xmlns:a14="http://schemas.microsoft.com/office/drawing/2010/main"/>
                      </a:ext>
                    </a:extLst>
                  </pic:spPr>
                </pic:pic>
              </a:graphicData>
            </a:graphic>
          </wp:inline>
        </w:drawing>
      </w:r>
    </w:p>
    <w:p w14:paraId="78A6ECD3" w14:textId="2CF2E980" w:rsidR="008557C1" w:rsidRDefault="000C4DF1">
      <w:pPr>
        <w:pStyle w:val="FigureTableNoteSource"/>
      </w:pPr>
      <w:r>
        <w:t>Note: Compare opaque musculature of affected prawns with the more transparent healthy prawns.</w:t>
      </w:r>
    </w:p>
    <w:p w14:paraId="36D84A5F" w14:textId="77777777" w:rsidR="008557C1" w:rsidRDefault="000C4DF1">
      <w:pPr>
        <w:pStyle w:val="FigureTableNoteSource"/>
      </w:pPr>
      <w:r>
        <w:t>Source: AS Sahul Hameed</w:t>
      </w:r>
    </w:p>
    <w:p w14:paraId="22A9F1C2" w14:textId="77777777" w:rsidR="008557C1" w:rsidRDefault="000C4DF1">
      <w:pPr>
        <w:pStyle w:val="Heading2"/>
      </w:pPr>
      <w:r>
        <w:t>Signs of disease</w:t>
      </w:r>
    </w:p>
    <w:p w14:paraId="6CAC71BF" w14:textId="77777777" w:rsidR="008557C1" w:rsidRDefault="000C4DF1">
      <w:pPr>
        <w:rPr>
          <w:lang w:eastAsia="ja-JP"/>
        </w:rPr>
      </w:pPr>
      <w:r>
        <w:rPr>
          <w:lang w:eastAsia="ja-JP"/>
        </w:rPr>
        <w:t>Important: Animals with this disease may show one or more of these signs, but the pathogen may still be present in the absence of any signs.</w:t>
      </w:r>
    </w:p>
    <w:p w14:paraId="2E949729" w14:textId="77777777" w:rsidR="008557C1" w:rsidRDefault="000C4DF1">
      <w:pPr>
        <w:rPr>
          <w:lang w:eastAsia="ja-JP"/>
        </w:rPr>
      </w:pPr>
      <w:r>
        <w:rPr>
          <w:lang w:eastAsia="ja-JP"/>
        </w:rPr>
        <w:t>Disease signs at the farm, tank or pond level are:</w:t>
      </w:r>
    </w:p>
    <w:p w14:paraId="1577D398" w14:textId="2CE76895" w:rsidR="008557C1" w:rsidRDefault="000C4DF1">
      <w:pPr>
        <w:pStyle w:val="ListBullet"/>
        <w:rPr>
          <w:lang w:eastAsia="ja-JP"/>
        </w:rPr>
      </w:pPr>
      <w:r>
        <w:rPr>
          <w:lang w:eastAsia="ja-JP"/>
        </w:rPr>
        <w:t xml:space="preserve">whitish </w:t>
      </w:r>
      <w:proofErr w:type="spellStart"/>
      <w:r>
        <w:rPr>
          <w:lang w:eastAsia="ja-JP"/>
        </w:rPr>
        <w:t>postlarvae</w:t>
      </w:r>
      <w:proofErr w:type="spellEnd"/>
    </w:p>
    <w:p w14:paraId="30FD1D93" w14:textId="77777777" w:rsidR="008557C1" w:rsidRDefault="000C4DF1">
      <w:pPr>
        <w:pStyle w:val="ListBullet"/>
        <w:rPr>
          <w:lang w:eastAsia="ja-JP"/>
        </w:rPr>
      </w:pPr>
      <w:r>
        <w:rPr>
          <w:lang w:eastAsia="ja-JP"/>
        </w:rPr>
        <w:t>lethargy</w:t>
      </w:r>
    </w:p>
    <w:p w14:paraId="79646272" w14:textId="32A8A4DD" w:rsidR="008557C1" w:rsidRDefault="000C4DF1">
      <w:pPr>
        <w:pStyle w:val="ListBullet"/>
        <w:rPr>
          <w:lang w:eastAsia="ja-JP"/>
        </w:rPr>
      </w:pPr>
      <w:r>
        <w:rPr>
          <w:lang w:eastAsia="ja-JP"/>
        </w:rPr>
        <w:t xml:space="preserve">mortality occurring 2 to 3 days after infection of the first </w:t>
      </w:r>
      <w:proofErr w:type="spellStart"/>
      <w:r>
        <w:rPr>
          <w:lang w:eastAsia="ja-JP"/>
        </w:rPr>
        <w:t>postlarva</w:t>
      </w:r>
      <w:proofErr w:type="spellEnd"/>
      <w:r>
        <w:rPr>
          <w:lang w:eastAsia="ja-JP"/>
        </w:rPr>
        <w:t xml:space="preserve"> in larval rearing tanks</w:t>
      </w:r>
    </w:p>
    <w:p w14:paraId="75C2B912" w14:textId="710F4880" w:rsidR="008557C1" w:rsidRDefault="000C4DF1">
      <w:pPr>
        <w:pStyle w:val="ListBullet"/>
        <w:rPr>
          <w:lang w:eastAsia="ja-JP"/>
        </w:rPr>
      </w:pPr>
      <w:r>
        <w:rPr>
          <w:lang w:eastAsia="ja-JP"/>
        </w:rPr>
        <w:t>mortality of up to 95% within 5 days after the appearance of the first gross signs.</w:t>
      </w:r>
    </w:p>
    <w:p w14:paraId="4A42E977" w14:textId="77777777" w:rsidR="008557C1" w:rsidRDefault="000C4DF1">
      <w:pPr>
        <w:rPr>
          <w:lang w:eastAsia="ja-JP"/>
        </w:rPr>
      </w:pPr>
      <w:r>
        <w:rPr>
          <w:lang w:eastAsia="ja-JP"/>
        </w:rPr>
        <w:t xml:space="preserve">Gross </w:t>
      </w:r>
      <w:r>
        <w:t>pathological</w:t>
      </w:r>
      <w:r>
        <w:rPr>
          <w:lang w:eastAsia="ja-JP"/>
        </w:rPr>
        <w:t xml:space="preserve"> signs are:</w:t>
      </w:r>
    </w:p>
    <w:p w14:paraId="040352E0" w14:textId="77777777" w:rsidR="008557C1" w:rsidRDefault="000C4DF1">
      <w:pPr>
        <w:pStyle w:val="ListBullet"/>
        <w:rPr>
          <w:lang w:eastAsia="ja-JP"/>
        </w:rPr>
      </w:pPr>
      <w:r>
        <w:rPr>
          <w:lang w:eastAsia="ja-JP"/>
        </w:rPr>
        <w:t>particularly milky and opaque abdomen (tail), starting at the tail extremity (telson region) and gradually progressing towards the head</w:t>
      </w:r>
    </w:p>
    <w:p w14:paraId="0E8F0A49" w14:textId="1FDB0563" w:rsidR="008557C1" w:rsidRDefault="000C4DF1">
      <w:pPr>
        <w:pStyle w:val="ListBullet"/>
        <w:rPr>
          <w:lang w:eastAsia="ja-JP"/>
        </w:rPr>
      </w:pPr>
      <w:r>
        <w:rPr>
          <w:lang w:eastAsia="ja-JP"/>
        </w:rPr>
        <w:t xml:space="preserve">appearance in the tanks of </w:t>
      </w:r>
      <w:r w:rsidR="0077767D">
        <w:rPr>
          <w:lang w:eastAsia="ja-JP"/>
        </w:rPr>
        <w:t xml:space="preserve">abnormal </w:t>
      </w:r>
      <w:r>
        <w:rPr>
          <w:lang w:eastAsia="ja-JP"/>
        </w:rPr>
        <w:t>floating moults that resemble mica flakes</w:t>
      </w:r>
    </w:p>
    <w:p w14:paraId="208A3AC2" w14:textId="77777777" w:rsidR="008557C1" w:rsidRDefault="000C4DF1">
      <w:pPr>
        <w:pStyle w:val="ListBullet"/>
        <w:rPr>
          <w:lang w:eastAsia="ja-JP"/>
        </w:rPr>
      </w:pPr>
      <w:r>
        <w:rPr>
          <w:lang w:eastAsia="ja-JP"/>
        </w:rPr>
        <w:t>degeneration of telson and uropods (in severe cases)</w:t>
      </w:r>
    </w:p>
    <w:p w14:paraId="71FCECB4" w14:textId="77777777" w:rsidR="008557C1" w:rsidRDefault="000C4DF1">
      <w:pPr>
        <w:pStyle w:val="ListBullet"/>
        <w:rPr>
          <w:lang w:eastAsia="ja-JP"/>
        </w:rPr>
      </w:pPr>
      <w:r>
        <w:rPr>
          <w:lang w:eastAsia="ja-JP"/>
        </w:rPr>
        <w:lastRenderedPageBreak/>
        <w:t>white colouration of abdominal muscle.</w:t>
      </w:r>
    </w:p>
    <w:p w14:paraId="0F11B97E" w14:textId="77777777" w:rsidR="008557C1" w:rsidRDefault="000C4DF1">
      <w:pPr>
        <w:keepNext/>
        <w:rPr>
          <w:lang w:eastAsia="ja-JP"/>
        </w:rPr>
      </w:pPr>
      <w:r>
        <w:t>Microscopic pathological</w:t>
      </w:r>
      <w:r>
        <w:rPr>
          <w:lang w:eastAsia="ja-JP"/>
        </w:rPr>
        <w:t xml:space="preserve"> signs are:</w:t>
      </w:r>
    </w:p>
    <w:p w14:paraId="3605D33E" w14:textId="77777777" w:rsidR="008557C1" w:rsidRDefault="000C4DF1">
      <w:pPr>
        <w:pStyle w:val="ListBullet"/>
        <w:rPr>
          <w:lang w:eastAsia="ja-JP"/>
        </w:rPr>
      </w:pPr>
      <w:r>
        <w:rPr>
          <w:lang w:eastAsia="ja-JP"/>
        </w:rPr>
        <w:t xml:space="preserve">acute </w:t>
      </w:r>
      <w:proofErr w:type="spellStart"/>
      <w:r>
        <w:rPr>
          <w:lang w:eastAsia="ja-JP"/>
        </w:rPr>
        <w:t>Zenker's</w:t>
      </w:r>
      <w:proofErr w:type="spellEnd"/>
      <w:r>
        <w:rPr>
          <w:lang w:eastAsia="ja-JP"/>
        </w:rPr>
        <w:t xml:space="preserve"> necrosis of striated muscles, characterised by severe hyaline degeneration, necrosis and muscular lysis</w:t>
      </w:r>
    </w:p>
    <w:p w14:paraId="1885BB68" w14:textId="77777777" w:rsidR="008557C1" w:rsidRDefault="000C4DF1">
      <w:pPr>
        <w:pStyle w:val="ListBullet"/>
        <w:rPr>
          <w:lang w:eastAsia="ja-JP"/>
        </w:rPr>
      </w:pPr>
      <w:r>
        <w:rPr>
          <w:lang w:eastAsia="ja-JP"/>
        </w:rPr>
        <w:t>pathognomonic basophilic intracytoplasmic inclusion bodies in infected muscle tissues.</w:t>
      </w:r>
    </w:p>
    <w:p w14:paraId="5D733C00" w14:textId="77777777" w:rsidR="008557C1" w:rsidRDefault="000C4DF1">
      <w:pPr>
        <w:pStyle w:val="Heading2"/>
      </w:pPr>
      <w:r>
        <w:t>Disease agent</w:t>
      </w:r>
    </w:p>
    <w:p w14:paraId="28D1C72F" w14:textId="0D81A640" w:rsidR="008557C1" w:rsidRDefault="000C4DF1">
      <w:r>
        <w:t xml:space="preserve">Also known as white tail disease or white muscle disease, this disease is caused by infection with </w:t>
      </w:r>
      <w:proofErr w:type="spellStart"/>
      <w:r>
        <w:rPr>
          <w:rStyle w:val="Emphasis"/>
        </w:rPr>
        <w:t>Macrobrachium</w:t>
      </w:r>
      <w:proofErr w:type="spellEnd"/>
      <w:r>
        <w:rPr>
          <w:rStyle w:val="Emphasis"/>
        </w:rPr>
        <w:t xml:space="preserve"> </w:t>
      </w:r>
      <w:proofErr w:type="spellStart"/>
      <w:r>
        <w:rPr>
          <w:rStyle w:val="Emphasis"/>
        </w:rPr>
        <w:t>rosenbergii</w:t>
      </w:r>
      <w:proofErr w:type="spellEnd"/>
      <w:r>
        <w:t xml:space="preserve"> </w:t>
      </w:r>
      <w:proofErr w:type="spellStart"/>
      <w:r>
        <w:t>nodavirus</w:t>
      </w:r>
      <w:proofErr w:type="spellEnd"/>
      <w:r>
        <w:t xml:space="preserve"> (</w:t>
      </w:r>
      <w:proofErr w:type="spellStart"/>
      <w:r>
        <w:t>MrNV</w:t>
      </w:r>
      <w:proofErr w:type="spellEnd"/>
      <w:r>
        <w:t xml:space="preserve">) and extra small virus (XSV). </w:t>
      </w:r>
      <w:proofErr w:type="spellStart"/>
      <w:r>
        <w:t>MrNV</w:t>
      </w:r>
      <w:proofErr w:type="spellEnd"/>
      <w:r>
        <w:t xml:space="preserve"> is a member of the family </w:t>
      </w:r>
      <w:proofErr w:type="spellStart"/>
      <w:r>
        <w:rPr>
          <w:rStyle w:val="Emphasis"/>
        </w:rPr>
        <w:t>Nodaviridae</w:t>
      </w:r>
      <w:proofErr w:type="spellEnd"/>
      <w:r>
        <w:t xml:space="preserve">. </w:t>
      </w:r>
      <w:proofErr w:type="spellStart"/>
      <w:r>
        <w:t>MrNV</w:t>
      </w:r>
      <w:proofErr w:type="spellEnd"/>
      <w:r>
        <w:t xml:space="preserve"> and XSV are </w:t>
      </w:r>
      <w:r w:rsidR="005F6106">
        <w:t xml:space="preserve">both </w:t>
      </w:r>
      <w:r>
        <w:t>associated with the disease, but their respective roles are uncertain. These viruses are known to occur in fresh and brackish water.</w:t>
      </w:r>
    </w:p>
    <w:p w14:paraId="12D3213B" w14:textId="77777777" w:rsidR="008557C1" w:rsidRDefault="000C4DF1">
      <w:pPr>
        <w:pStyle w:val="Heading2"/>
        <w:keepLines/>
      </w:pPr>
      <w:r>
        <w:t>Host range</w:t>
      </w:r>
    </w:p>
    <w:p w14:paraId="48AE8F07" w14:textId="108D67C6" w:rsidR="008557C1" w:rsidRDefault="000C4DF1">
      <w:pPr>
        <w:rPr>
          <w:lang w:eastAsia="ja-JP"/>
        </w:rPr>
      </w:pPr>
      <w:proofErr w:type="spellStart"/>
      <w:r>
        <w:rPr>
          <w:lang w:eastAsia="ja-JP"/>
        </w:rPr>
        <w:t>MrNV</w:t>
      </w:r>
      <w:proofErr w:type="spellEnd"/>
      <w:r>
        <w:rPr>
          <w:lang w:eastAsia="ja-JP"/>
        </w:rPr>
        <w:t xml:space="preserve"> causes disease mainly in giant freshwater prawns (</w:t>
      </w:r>
      <w:proofErr w:type="spellStart"/>
      <w:r>
        <w:rPr>
          <w:rStyle w:val="Emphasis"/>
          <w:lang w:eastAsia="ja-JP"/>
        </w:rPr>
        <w:t>Macrobrachium</w:t>
      </w:r>
      <w:proofErr w:type="spellEnd"/>
      <w:r>
        <w:rPr>
          <w:rStyle w:val="Emphasis"/>
          <w:lang w:eastAsia="ja-JP"/>
        </w:rPr>
        <w:t xml:space="preserve"> </w:t>
      </w:r>
      <w:proofErr w:type="spellStart"/>
      <w:r>
        <w:rPr>
          <w:rStyle w:val="Emphasis"/>
          <w:lang w:eastAsia="ja-JP"/>
        </w:rPr>
        <w:t>rosenbergii</w:t>
      </w:r>
      <w:proofErr w:type="spellEnd"/>
      <w:r>
        <w:rPr>
          <w:lang w:eastAsia="ja-JP"/>
        </w:rPr>
        <w:t xml:space="preserve">). However, several species of penaeids and red claw crayfish may be asymptomatic carriers of the virus, and </w:t>
      </w:r>
      <w:r>
        <w:rPr>
          <w:rStyle w:val="Emphasis"/>
          <w:lang w:eastAsia="ja-JP"/>
        </w:rPr>
        <w:t>Artemia</w:t>
      </w:r>
      <w:r>
        <w:rPr>
          <w:lang w:eastAsia="ja-JP"/>
        </w:rPr>
        <w:t xml:space="preserve"> and various species of aquatic insects are known vectors that can carry </w:t>
      </w:r>
      <w:proofErr w:type="spellStart"/>
      <w:r>
        <w:rPr>
          <w:lang w:eastAsia="ja-JP"/>
        </w:rPr>
        <w:t>MrNV</w:t>
      </w:r>
      <w:proofErr w:type="spellEnd"/>
      <w:r>
        <w:rPr>
          <w:lang w:eastAsia="ja-JP"/>
        </w:rPr>
        <w:t>.</w:t>
      </w:r>
    </w:p>
    <w:p w14:paraId="6BB1DB07" w14:textId="4781B7B3" w:rsidR="008557C1" w:rsidRDefault="000C4DF1">
      <w:pPr>
        <w:pStyle w:val="Caption"/>
        <w:keepLines/>
      </w:pPr>
      <w:r>
        <w:t xml:space="preserve">Table </w:t>
      </w:r>
      <w:r>
        <w:rPr>
          <w:noProof/>
        </w:rPr>
        <w:fldChar w:fldCharType="begin"/>
      </w:r>
      <w:r>
        <w:rPr>
          <w:noProof/>
        </w:rPr>
        <w:instrText xml:space="preserve"> SEQ Table \* ARABIC </w:instrText>
      </w:r>
      <w:r>
        <w:rPr>
          <w:noProof/>
        </w:rPr>
        <w:fldChar w:fldCharType="separate"/>
      </w:r>
      <w:r w:rsidR="008800BA">
        <w:rPr>
          <w:noProof/>
        </w:rPr>
        <w:t>1</w:t>
      </w:r>
      <w:r>
        <w:rPr>
          <w:noProof/>
        </w:rPr>
        <w:fldChar w:fldCharType="end"/>
      </w:r>
      <w:r>
        <w:t xml:space="preserve"> Species known to be susceptible to infection with </w:t>
      </w:r>
      <w:proofErr w:type="spellStart"/>
      <w:r>
        <w:t>MrNV</w:t>
      </w:r>
      <w:proofErr w:type="spellEnd"/>
    </w:p>
    <w:tbl>
      <w:tblPr>
        <w:tblW w:w="5000" w:type="pct"/>
        <w:tblBorders>
          <w:top w:val="single" w:sz="4" w:space="0" w:color="auto"/>
          <w:bottom w:val="single" w:sz="4" w:space="0" w:color="auto"/>
        </w:tblBorders>
        <w:tblLook w:val="04A0" w:firstRow="1" w:lastRow="0" w:firstColumn="1" w:lastColumn="0" w:noHBand="0" w:noVBand="1"/>
      </w:tblPr>
      <w:tblGrid>
        <w:gridCol w:w="4535"/>
        <w:gridCol w:w="4535"/>
      </w:tblGrid>
      <w:tr w:rsidR="008557C1" w14:paraId="6ECFEEF9" w14:textId="77777777" w:rsidTr="000C4DF1">
        <w:trPr>
          <w:cantSplit/>
          <w:tblHeader/>
        </w:trPr>
        <w:tc>
          <w:tcPr>
            <w:tcW w:w="2500" w:type="pct"/>
            <w:tcBorders>
              <w:top w:val="single" w:sz="4" w:space="0" w:color="auto"/>
              <w:bottom w:val="single" w:sz="4" w:space="0" w:color="auto"/>
            </w:tcBorders>
            <w:noWrap/>
          </w:tcPr>
          <w:p w14:paraId="212C936E" w14:textId="77777777" w:rsidR="008557C1" w:rsidRDefault="000C4DF1">
            <w:pPr>
              <w:pStyle w:val="TableHeading"/>
            </w:pPr>
            <w:r>
              <w:t>Common name</w:t>
            </w:r>
          </w:p>
        </w:tc>
        <w:tc>
          <w:tcPr>
            <w:tcW w:w="2500" w:type="pct"/>
            <w:tcBorders>
              <w:top w:val="single" w:sz="4" w:space="0" w:color="auto"/>
              <w:bottom w:val="single" w:sz="4" w:space="0" w:color="auto"/>
            </w:tcBorders>
            <w:noWrap/>
          </w:tcPr>
          <w:p w14:paraId="4620AE6A" w14:textId="77777777" w:rsidR="008557C1" w:rsidRDefault="000C4DF1">
            <w:pPr>
              <w:pStyle w:val="TableHeading"/>
            </w:pPr>
            <w:r>
              <w:t>Scientific name</w:t>
            </w:r>
          </w:p>
        </w:tc>
      </w:tr>
      <w:tr w:rsidR="008557C1" w14:paraId="4C864616" w14:textId="77777777">
        <w:trPr>
          <w:cantSplit/>
          <w:trHeight w:val="315"/>
        </w:trPr>
        <w:tc>
          <w:tcPr>
            <w:tcW w:w="2500" w:type="pct"/>
            <w:tcBorders>
              <w:top w:val="single" w:sz="4" w:space="0" w:color="auto"/>
            </w:tcBorders>
            <w:noWrap/>
          </w:tcPr>
          <w:p w14:paraId="3A0FB7D3" w14:textId="77777777" w:rsidR="008557C1" w:rsidRDefault="000C4DF1">
            <w:pPr>
              <w:pStyle w:val="TableText"/>
            </w:pPr>
            <w:r>
              <w:t>Black tiger prawn</w:t>
            </w:r>
          </w:p>
        </w:tc>
        <w:tc>
          <w:tcPr>
            <w:tcW w:w="2500" w:type="pct"/>
            <w:tcBorders>
              <w:top w:val="single" w:sz="4" w:space="0" w:color="auto"/>
            </w:tcBorders>
            <w:noWrap/>
          </w:tcPr>
          <w:p w14:paraId="080BECC0" w14:textId="77777777" w:rsidR="008557C1" w:rsidRDefault="000C4DF1">
            <w:pPr>
              <w:pStyle w:val="TableText"/>
              <w:rPr>
                <w:rStyle w:val="Emphasis"/>
              </w:rPr>
            </w:pPr>
            <w:r>
              <w:rPr>
                <w:rStyle w:val="Emphasis"/>
              </w:rPr>
              <w:t>Penaeus monodon</w:t>
            </w:r>
          </w:p>
        </w:tc>
      </w:tr>
      <w:tr w:rsidR="008557C1" w14:paraId="2B42135B" w14:textId="77777777">
        <w:trPr>
          <w:cantSplit/>
          <w:trHeight w:val="315"/>
        </w:trPr>
        <w:tc>
          <w:tcPr>
            <w:tcW w:w="2500" w:type="pct"/>
            <w:noWrap/>
          </w:tcPr>
          <w:p w14:paraId="563B86A5" w14:textId="77777777" w:rsidR="008557C1" w:rsidRDefault="000C4DF1">
            <w:pPr>
              <w:pStyle w:val="TableText"/>
            </w:pPr>
            <w:r>
              <w:t xml:space="preserve">Giant freshwater </w:t>
            </w:r>
            <w:proofErr w:type="spellStart"/>
            <w:r>
              <w:t>prawn</w:t>
            </w:r>
            <w:r>
              <w:rPr>
                <w:vertAlign w:val="superscript"/>
              </w:rPr>
              <w:t>a</w:t>
            </w:r>
            <w:proofErr w:type="spellEnd"/>
          </w:p>
        </w:tc>
        <w:tc>
          <w:tcPr>
            <w:tcW w:w="2500" w:type="pct"/>
            <w:noWrap/>
          </w:tcPr>
          <w:p w14:paraId="44A93AD0" w14:textId="77777777" w:rsidR="008557C1" w:rsidRDefault="000C4DF1">
            <w:pPr>
              <w:pStyle w:val="TableText"/>
              <w:rPr>
                <w:rStyle w:val="Emphasis"/>
                <w:rFonts w:eastAsia="SimSun"/>
              </w:rPr>
            </w:pPr>
            <w:proofErr w:type="spellStart"/>
            <w:r>
              <w:rPr>
                <w:rStyle w:val="Emphasis"/>
              </w:rPr>
              <w:t>Macrobrachium</w:t>
            </w:r>
            <w:proofErr w:type="spellEnd"/>
            <w:r>
              <w:rPr>
                <w:rStyle w:val="Emphasis"/>
              </w:rPr>
              <w:t xml:space="preserve"> </w:t>
            </w:r>
            <w:proofErr w:type="spellStart"/>
            <w:r>
              <w:rPr>
                <w:rStyle w:val="Emphasis"/>
              </w:rPr>
              <w:t>rosenbergii</w:t>
            </w:r>
            <w:proofErr w:type="spellEnd"/>
          </w:p>
        </w:tc>
      </w:tr>
      <w:tr w:rsidR="008557C1" w14:paraId="3C8C3DAA" w14:textId="77777777">
        <w:trPr>
          <w:cantSplit/>
          <w:trHeight w:val="315"/>
        </w:trPr>
        <w:tc>
          <w:tcPr>
            <w:tcW w:w="2500" w:type="pct"/>
            <w:noWrap/>
          </w:tcPr>
          <w:p w14:paraId="20ED6313" w14:textId="77777777" w:rsidR="008557C1" w:rsidRDefault="000C4DF1">
            <w:pPr>
              <w:pStyle w:val="TableText"/>
            </w:pPr>
            <w:r>
              <w:t>Indian banana prawn</w:t>
            </w:r>
          </w:p>
        </w:tc>
        <w:tc>
          <w:tcPr>
            <w:tcW w:w="2500" w:type="pct"/>
            <w:noWrap/>
          </w:tcPr>
          <w:p w14:paraId="4DFEA1A6" w14:textId="77777777" w:rsidR="008557C1" w:rsidRDefault="000C4DF1">
            <w:pPr>
              <w:pStyle w:val="TableText"/>
              <w:rPr>
                <w:rStyle w:val="Emphasis"/>
                <w:rFonts w:eastAsia="SimSun"/>
              </w:rPr>
            </w:pPr>
            <w:r>
              <w:rPr>
                <w:rStyle w:val="Emphasis"/>
              </w:rPr>
              <w:t>Penaeus</w:t>
            </w:r>
            <w:r>
              <w:t xml:space="preserve"> </w:t>
            </w:r>
            <w:r>
              <w:rPr>
                <w:rStyle w:val="Emphasis"/>
              </w:rPr>
              <w:t>(</w:t>
            </w:r>
            <w:proofErr w:type="spellStart"/>
            <w:r>
              <w:rPr>
                <w:rStyle w:val="Emphasis"/>
              </w:rPr>
              <w:t>Fenneropenaeus</w:t>
            </w:r>
            <w:proofErr w:type="spellEnd"/>
            <w:r>
              <w:rPr>
                <w:rStyle w:val="Emphasis"/>
              </w:rPr>
              <w:t>) indicus</w:t>
            </w:r>
          </w:p>
        </w:tc>
      </w:tr>
      <w:tr w:rsidR="008557C1" w14:paraId="5E6D78F6" w14:textId="77777777">
        <w:trPr>
          <w:cantSplit/>
          <w:trHeight w:val="315"/>
        </w:trPr>
        <w:tc>
          <w:tcPr>
            <w:tcW w:w="2500" w:type="pct"/>
            <w:noWrap/>
          </w:tcPr>
          <w:p w14:paraId="6B266CDC" w14:textId="77777777" w:rsidR="008557C1" w:rsidRDefault="000C4DF1">
            <w:pPr>
              <w:pStyle w:val="TableText"/>
            </w:pPr>
            <w:r>
              <w:t>Kuruma prawn</w:t>
            </w:r>
          </w:p>
        </w:tc>
        <w:tc>
          <w:tcPr>
            <w:tcW w:w="2500" w:type="pct"/>
            <w:noWrap/>
          </w:tcPr>
          <w:p w14:paraId="3C2B266A" w14:textId="77777777" w:rsidR="008557C1" w:rsidRDefault="000C4DF1">
            <w:pPr>
              <w:pStyle w:val="TableText"/>
              <w:rPr>
                <w:rStyle w:val="Emphasis"/>
                <w:rFonts w:eastAsia="SimSun"/>
              </w:rPr>
            </w:pPr>
            <w:r>
              <w:rPr>
                <w:rStyle w:val="Emphasis"/>
              </w:rPr>
              <w:t>Penaeus</w:t>
            </w:r>
            <w:r>
              <w:t xml:space="preserve"> </w:t>
            </w:r>
            <w:r>
              <w:rPr>
                <w:rStyle w:val="Emphasis"/>
              </w:rPr>
              <w:t>(</w:t>
            </w:r>
            <w:proofErr w:type="spellStart"/>
            <w:r>
              <w:rPr>
                <w:rStyle w:val="Emphasis"/>
              </w:rPr>
              <w:t>Marsupenaeus</w:t>
            </w:r>
            <w:proofErr w:type="spellEnd"/>
            <w:r>
              <w:rPr>
                <w:rStyle w:val="Emphasis"/>
              </w:rPr>
              <w:t>) japonicus</w:t>
            </w:r>
          </w:p>
        </w:tc>
      </w:tr>
      <w:tr w:rsidR="008557C1" w14:paraId="7898C84B" w14:textId="77777777">
        <w:trPr>
          <w:cantSplit/>
          <w:trHeight w:val="315"/>
        </w:trPr>
        <w:tc>
          <w:tcPr>
            <w:tcW w:w="2500" w:type="pct"/>
            <w:noWrap/>
          </w:tcPr>
          <w:p w14:paraId="28C66802" w14:textId="77777777" w:rsidR="008557C1" w:rsidRDefault="000C4DF1">
            <w:pPr>
              <w:pStyle w:val="TableText"/>
            </w:pPr>
            <w:r>
              <w:t>Pacific white shrimp</w:t>
            </w:r>
          </w:p>
        </w:tc>
        <w:tc>
          <w:tcPr>
            <w:tcW w:w="2500" w:type="pct"/>
            <w:noWrap/>
          </w:tcPr>
          <w:p w14:paraId="5E90EB1E" w14:textId="77777777" w:rsidR="008557C1" w:rsidRDefault="000C4DF1">
            <w:pPr>
              <w:pStyle w:val="TableText"/>
              <w:rPr>
                <w:rStyle w:val="Emphasis"/>
              </w:rPr>
            </w:pPr>
            <w:r>
              <w:rPr>
                <w:rStyle w:val="Emphasis"/>
              </w:rPr>
              <w:t>Penaeus (</w:t>
            </w:r>
            <w:proofErr w:type="spellStart"/>
            <w:r>
              <w:rPr>
                <w:rStyle w:val="Emphasis"/>
              </w:rPr>
              <w:t>Litopenaeus</w:t>
            </w:r>
            <w:proofErr w:type="spellEnd"/>
            <w:r>
              <w:rPr>
                <w:rStyle w:val="Emphasis"/>
              </w:rPr>
              <w:t xml:space="preserve">) </w:t>
            </w:r>
            <w:proofErr w:type="spellStart"/>
            <w:r>
              <w:rPr>
                <w:rStyle w:val="Emphasis"/>
              </w:rPr>
              <w:t>vannamei</w:t>
            </w:r>
            <w:proofErr w:type="spellEnd"/>
          </w:p>
        </w:tc>
      </w:tr>
      <w:tr w:rsidR="008557C1" w14:paraId="265F96FA" w14:textId="77777777">
        <w:trPr>
          <w:cantSplit/>
          <w:trHeight w:val="315"/>
        </w:trPr>
        <w:tc>
          <w:tcPr>
            <w:tcW w:w="2500" w:type="pct"/>
            <w:noWrap/>
          </w:tcPr>
          <w:p w14:paraId="1848E2C1" w14:textId="77777777" w:rsidR="008557C1" w:rsidRDefault="000C4DF1">
            <w:pPr>
              <w:pStyle w:val="TableText"/>
            </w:pPr>
            <w:r>
              <w:t>Penaeids</w:t>
            </w:r>
          </w:p>
        </w:tc>
        <w:tc>
          <w:tcPr>
            <w:tcW w:w="2500" w:type="pct"/>
            <w:noWrap/>
          </w:tcPr>
          <w:p w14:paraId="3F2FC32E" w14:textId="77777777" w:rsidR="008557C1" w:rsidRDefault="000C4DF1">
            <w:pPr>
              <w:pStyle w:val="TableText"/>
              <w:rPr>
                <w:rStyle w:val="Emphasis"/>
                <w:i w:val="0"/>
                <w:iCs w:val="0"/>
              </w:rPr>
            </w:pPr>
            <w:r>
              <w:t>Various genera and species</w:t>
            </w:r>
          </w:p>
        </w:tc>
      </w:tr>
      <w:tr w:rsidR="008557C1" w14:paraId="60C24334" w14:textId="77777777">
        <w:trPr>
          <w:cantSplit/>
          <w:trHeight w:val="315"/>
        </w:trPr>
        <w:tc>
          <w:tcPr>
            <w:tcW w:w="2500" w:type="pct"/>
            <w:noWrap/>
          </w:tcPr>
          <w:p w14:paraId="3C2FB170" w14:textId="77777777" w:rsidR="008557C1" w:rsidRDefault="000C4DF1">
            <w:pPr>
              <w:pStyle w:val="TableText"/>
            </w:pPr>
            <w:r>
              <w:t>Red claw crayfish</w:t>
            </w:r>
          </w:p>
        </w:tc>
        <w:tc>
          <w:tcPr>
            <w:tcW w:w="2500" w:type="pct"/>
            <w:noWrap/>
          </w:tcPr>
          <w:p w14:paraId="0CB6ED82" w14:textId="77777777" w:rsidR="008557C1" w:rsidRDefault="000C4DF1">
            <w:pPr>
              <w:pStyle w:val="TableText"/>
              <w:rPr>
                <w:rStyle w:val="Emphasis"/>
              </w:rPr>
            </w:pPr>
            <w:proofErr w:type="spellStart"/>
            <w:r>
              <w:rPr>
                <w:rStyle w:val="Emphasis"/>
              </w:rPr>
              <w:t>Cherax</w:t>
            </w:r>
            <w:proofErr w:type="spellEnd"/>
            <w:r>
              <w:rPr>
                <w:rStyle w:val="Emphasis"/>
              </w:rPr>
              <w:t xml:space="preserve"> </w:t>
            </w:r>
            <w:proofErr w:type="spellStart"/>
            <w:r>
              <w:rPr>
                <w:rStyle w:val="Emphasis"/>
              </w:rPr>
              <w:t>quadricarinatus</w:t>
            </w:r>
            <w:proofErr w:type="spellEnd"/>
          </w:p>
        </w:tc>
      </w:tr>
    </w:tbl>
    <w:p w14:paraId="17991DD3" w14:textId="7127DA26" w:rsidR="008557C1" w:rsidRDefault="000C4DF1">
      <w:pPr>
        <w:pStyle w:val="FigureTableNoteSource"/>
      </w:pPr>
      <w:r>
        <w:rPr>
          <w:rStyle w:val="Strong"/>
        </w:rPr>
        <w:t>a</w:t>
      </w:r>
      <w:r>
        <w:t xml:space="preserve"> Naturally susceptible. Note: Other species are known carriers or potential carriers of the virus.</w:t>
      </w:r>
    </w:p>
    <w:p w14:paraId="6819EBC3" w14:textId="68F38E79" w:rsidR="008557C1" w:rsidRDefault="000C4DF1">
      <w:pPr>
        <w:pStyle w:val="Caption"/>
        <w:keepLines/>
      </w:pPr>
      <w:r>
        <w:t xml:space="preserve">Table </w:t>
      </w:r>
      <w:r>
        <w:rPr>
          <w:noProof/>
        </w:rPr>
        <w:fldChar w:fldCharType="begin"/>
      </w:r>
      <w:r>
        <w:rPr>
          <w:noProof/>
        </w:rPr>
        <w:instrText xml:space="preserve"> SEQ Table \* ARABIC </w:instrText>
      </w:r>
      <w:r>
        <w:rPr>
          <w:noProof/>
        </w:rPr>
        <w:fldChar w:fldCharType="separate"/>
      </w:r>
      <w:r w:rsidR="008800BA">
        <w:rPr>
          <w:noProof/>
        </w:rPr>
        <w:t>2</w:t>
      </w:r>
      <w:r>
        <w:rPr>
          <w:noProof/>
        </w:rPr>
        <w:fldChar w:fldCharType="end"/>
      </w:r>
      <w:r>
        <w:t xml:space="preserve"> </w:t>
      </w:r>
      <w:r>
        <w:rPr>
          <w:szCs w:val="22"/>
        </w:rPr>
        <w:t>Non-decapod crustacean carriers</w:t>
      </w:r>
    </w:p>
    <w:tbl>
      <w:tblPr>
        <w:tblW w:w="5000" w:type="pct"/>
        <w:tblBorders>
          <w:top w:val="single" w:sz="4" w:space="0" w:color="auto"/>
          <w:bottom w:val="single" w:sz="4" w:space="0" w:color="auto"/>
        </w:tblBorders>
        <w:tblLook w:val="04A0" w:firstRow="1" w:lastRow="0" w:firstColumn="1" w:lastColumn="0" w:noHBand="0" w:noVBand="1"/>
      </w:tblPr>
      <w:tblGrid>
        <w:gridCol w:w="4535"/>
        <w:gridCol w:w="4535"/>
      </w:tblGrid>
      <w:tr w:rsidR="008557C1" w14:paraId="1640D843" w14:textId="77777777" w:rsidTr="000C4DF1">
        <w:trPr>
          <w:cantSplit/>
          <w:tblHeader/>
        </w:trPr>
        <w:tc>
          <w:tcPr>
            <w:tcW w:w="2500" w:type="pct"/>
            <w:tcBorders>
              <w:top w:val="single" w:sz="4" w:space="0" w:color="auto"/>
              <w:bottom w:val="single" w:sz="4" w:space="0" w:color="auto"/>
            </w:tcBorders>
            <w:noWrap/>
          </w:tcPr>
          <w:p w14:paraId="457675F3" w14:textId="77777777" w:rsidR="008557C1" w:rsidRDefault="000C4DF1">
            <w:pPr>
              <w:pStyle w:val="TableHeading"/>
            </w:pPr>
            <w:r>
              <w:t>Common name</w:t>
            </w:r>
          </w:p>
        </w:tc>
        <w:tc>
          <w:tcPr>
            <w:tcW w:w="2500" w:type="pct"/>
            <w:tcBorders>
              <w:top w:val="single" w:sz="4" w:space="0" w:color="auto"/>
              <w:bottom w:val="single" w:sz="4" w:space="0" w:color="auto"/>
            </w:tcBorders>
            <w:noWrap/>
          </w:tcPr>
          <w:p w14:paraId="6C97CA82" w14:textId="77777777" w:rsidR="008557C1" w:rsidRDefault="000C4DF1">
            <w:pPr>
              <w:pStyle w:val="TableHeading"/>
            </w:pPr>
            <w:r>
              <w:t>Scientific name</w:t>
            </w:r>
          </w:p>
        </w:tc>
      </w:tr>
      <w:tr w:rsidR="008557C1" w14:paraId="1514B48B" w14:textId="77777777">
        <w:trPr>
          <w:cantSplit/>
          <w:trHeight w:val="315"/>
        </w:trPr>
        <w:tc>
          <w:tcPr>
            <w:tcW w:w="2500" w:type="pct"/>
            <w:noWrap/>
          </w:tcPr>
          <w:p w14:paraId="50B53FB5" w14:textId="77777777" w:rsidR="008557C1" w:rsidRDefault="000C4DF1">
            <w:pPr>
              <w:pStyle w:val="TableText"/>
            </w:pPr>
            <w:r>
              <w:t xml:space="preserve">Aquatic </w:t>
            </w:r>
            <w:proofErr w:type="spellStart"/>
            <w:r>
              <w:t>insects</w:t>
            </w:r>
            <w:r>
              <w:rPr>
                <w:vertAlign w:val="superscript"/>
              </w:rPr>
              <w:t>a</w:t>
            </w:r>
            <w:proofErr w:type="spellEnd"/>
          </w:p>
        </w:tc>
        <w:tc>
          <w:tcPr>
            <w:tcW w:w="2500" w:type="pct"/>
            <w:noWrap/>
          </w:tcPr>
          <w:p w14:paraId="5459D387" w14:textId="77777777" w:rsidR="008557C1" w:rsidRDefault="000C4DF1">
            <w:pPr>
              <w:pStyle w:val="TableText"/>
              <w:rPr>
                <w:rStyle w:val="Emphasis"/>
                <w:rFonts w:eastAsia="SimSun"/>
                <w:i w:val="0"/>
                <w:iCs w:val="0"/>
              </w:rPr>
            </w:pPr>
            <w:r>
              <w:t>Various genera and species</w:t>
            </w:r>
          </w:p>
        </w:tc>
      </w:tr>
      <w:tr w:rsidR="008557C1" w14:paraId="226CC325" w14:textId="77777777">
        <w:trPr>
          <w:cantSplit/>
          <w:trHeight w:val="315"/>
        </w:trPr>
        <w:tc>
          <w:tcPr>
            <w:tcW w:w="2500" w:type="pct"/>
            <w:noWrap/>
          </w:tcPr>
          <w:p w14:paraId="565EEB72" w14:textId="77777777" w:rsidR="008557C1" w:rsidRDefault="000C4DF1">
            <w:pPr>
              <w:pStyle w:val="TableText"/>
            </w:pPr>
            <w:r>
              <w:t>Brine shrimp</w:t>
            </w:r>
          </w:p>
        </w:tc>
        <w:tc>
          <w:tcPr>
            <w:tcW w:w="2500" w:type="pct"/>
            <w:noWrap/>
          </w:tcPr>
          <w:p w14:paraId="127B620A" w14:textId="77777777" w:rsidR="008557C1" w:rsidRDefault="000C4DF1">
            <w:pPr>
              <w:pStyle w:val="TableText"/>
              <w:rPr>
                <w:rStyle w:val="Emphasis"/>
                <w:rFonts w:eastAsia="SimSun"/>
              </w:rPr>
            </w:pPr>
            <w:r>
              <w:rPr>
                <w:rStyle w:val="Emphasis"/>
              </w:rPr>
              <w:t xml:space="preserve">Artemia </w:t>
            </w:r>
            <w:proofErr w:type="spellStart"/>
            <w:r>
              <w:rPr>
                <w:rStyle w:val="Emphasis"/>
              </w:rPr>
              <w:t>salina</w:t>
            </w:r>
            <w:proofErr w:type="spellEnd"/>
          </w:p>
        </w:tc>
      </w:tr>
    </w:tbl>
    <w:p w14:paraId="41872E0B" w14:textId="20943D15" w:rsidR="008557C1" w:rsidRDefault="000C4DF1">
      <w:pPr>
        <w:pStyle w:val="FigureTableNoteSource"/>
      </w:pPr>
      <w:r>
        <w:rPr>
          <w:rStyle w:val="Strong"/>
        </w:rPr>
        <w:t>a</w:t>
      </w:r>
      <w:r>
        <w:t xml:space="preserve"> Naturally susceptible. Note: Other species have been shown to be experimentally susceptible.</w:t>
      </w:r>
      <w:bookmarkStart w:id="1" w:name="_GoBack"/>
      <w:bookmarkEnd w:id="1"/>
    </w:p>
    <w:p w14:paraId="79FE4066" w14:textId="77777777" w:rsidR="008557C1" w:rsidRDefault="000C4DF1">
      <w:pPr>
        <w:pStyle w:val="Heading2"/>
        <w:keepLines/>
      </w:pPr>
      <w:r>
        <w:lastRenderedPageBreak/>
        <w:t>Presence in Australia</w:t>
      </w:r>
    </w:p>
    <w:p w14:paraId="29F9722E" w14:textId="71F80147" w:rsidR="008557C1" w:rsidRDefault="000C4DF1">
      <w:pPr>
        <w:keepNext/>
        <w:keepLines/>
      </w:pPr>
      <w:r>
        <w:t>White tail disease has been officially reported in giant freshwater prawns in north Queensland.</w:t>
      </w:r>
    </w:p>
    <w:p w14:paraId="619E228E" w14:textId="662D184E" w:rsidR="008557C1" w:rsidRDefault="000C4DF1">
      <w:pPr>
        <w:pStyle w:val="Caption"/>
      </w:pPr>
      <w:r>
        <w:t xml:space="preserve">Map </w:t>
      </w:r>
      <w:r>
        <w:rPr>
          <w:noProof/>
        </w:rPr>
        <w:fldChar w:fldCharType="begin"/>
      </w:r>
      <w:r>
        <w:rPr>
          <w:noProof/>
        </w:rPr>
        <w:instrText xml:space="preserve"> SEQ Map \* ARABIC </w:instrText>
      </w:r>
      <w:r>
        <w:rPr>
          <w:noProof/>
        </w:rPr>
        <w:fldChar w:fldCharType="separate"/>
      </w:r>
      <w:r w:rsidR="008800BA">
        <w:rPr>
          <w:noProof/>
        </w:rPr>
        <w:t>1</w:t>
      </w:r>
      <w:r>
        <w:rPr>
          <w:noProof/>
        </w:rPr>
        <w:fldChar w:fldCharType="end"/>
      </w:r>
      <w:r>
        <w:t xml:space="preserve"> Presence of </w:t>
      </w:r>
      <w:proofErr w:type="spellStart"/>
      <w:r>
        <w:t>MrNV</w:t>
      </w:r>
      <w:proofErr w:type="spellEnd"/>
      <w:r>
        <w:t>, by jurisdiction</w:t>
      </w:r>
    </w:p>
    <w:p w14:paraId="0AA0853F" w14:textId="77777777" w:rsidR="008557C1" w:rsidRDefault="000C4DF1">
      <w:pPr>
        <w:spacing w:before="240"/>
      </w:pPr>
      <w:r>
        <w:rPr>
          <w:noProof/>
          <w:lang w:eastAsia="en-AU"/>
        </w:rPr>
        <w:drawing>
          <wp:inline distT="0" distB="0" distL="0" distR="0" wp14:anchorId="5CC9B444" wp14:editId="41157B0E">
            <wp:extent cx="3593217" cy="2556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ite tail disease has been officially reported from Queensland."/>
                    <pic:cNvPicPr>
                      <a:picLocks noChangeAspect="1" noChangeArrowheads="1"/>
                    </pic:cNvPicPr>
                  </pic:nvPicPr>
                  <pic:blipFill>
                    <a:blip r:embed="rId12" cstate="print">
                      <a:extLst>
                        <a:ext uri="{28A0092B-C50C-407E-A947-70E740481C1C}">
                          <a14:useLocalDpi xmlns:a14="http://schemas.microsoft.com/office/drawing/2010/main"/>
                        </a:ext>
                      </a:extLst>
                    </a:blip>
                    <a:stretch>
                      <a:fillRect/>
                    </a:stretch>
                  </pic:blipFill>
                  <pic:spPr bwMode="auto">
                    <a:xfrm>
                      <a:off x="0" y="0"/>
                      <a:ext cx="3593217" cy="2556000"/>
                    </a:xfrm>
                    <a:prstGeom prst="rect">
                      <a:avLst/>
                    </a:prstGeom>
                    <a:noFill/>
                    <a:ln>
                      <a:noFill/>
                    </a:ln>
                  </pic:spPr>
                </pic:pic>
              </a:graphicData>
            </a:graphic>
          </wp:inline>
        </w:drawing>
      </w:r>
    </w:p>
    <w:p w14:paraId="4B246554" w14:textId="77777777" w:rsidR="008557C1" w:rsidRDefault="000C4DF1">
      <w:pPr>
        <w:pStyle w:val="Heading2"/>
      </w:pPr>
      <w:r>
        <w:t>Epidemiology</w:t>
      </w:r>
    </w:p>
    <w:p w14:paraId="4E501E22" w14:textId="5255F8E7" w:rsidR="008557C1" w:rsidRDefault="000C4DF1">
      <w:pPr>
        <w:pStyle w:val="ListBullet"/>
      </w:pPr>
      <w:r>
        <w:t xml:space="preserve">Very few </w:t>
      </w:r>
      <w:proofErr w:type="spellStart"/>
      <w:r>
        <w:t>postlarvae</w:t>
      </w:r>
      <w:proofErr w:type="spellEnd"/>
      <w:r>
        <w:t xml:space="preserve"> showing the clinical signs of white tail disease survive. Those that survive seem to grow normally in grow-out ponds.</w:t>
      </w:r>
    </w:p>
    <w:p w14:paraId="72A0D74A" w14:textId="473A965A" w:rsidR="008557C1" w:rsidRDefault="000C4DF1">
      <w:pPr>
        <w:pStyle w:val="ListBullet"/>
      </w:pPr>
      <w:r>
        <w:t xml:space="preserve">Outbreaks most commonly occur in larvae, </w:t>
      </w:r>
      <w:proofErr w:type="spellStart"/>
      <w:r>
        <w:t>postlarvae</w:t>
      </w:r>
      <w:proofErr w:type="spellEnd"/>
      <w:r>
        <w:t xml:space="preserve"> and early juveniles. Adult life stages are resistant and act as carriers.</w:t>
      </w:r>
    </w:p>
    <w:p w14:paraId="1F702307" w14:textId="7B8C8DAD" w:rsidR="008557C1" w:rsidRDefault="000C4DF1">
      <w:pPr>
        <w:pStyle w:val="ListBullet"/>
      </w:pPr>
      <w:r>
        <w:t>Transmission is both vertical (</w:t>
      </w:r>
      <w:r w:rsidR="0077767D">
        <w:t>direct passage from parents to offspring via eggs</w:t>
      </w:r>
      <w:r>
        <w:t>) and horizontal (from virus present in the water surrounding susceptible prawns or direct contact with an infected prawn).</w:t>
      </w:r>
    </w:p>
    <w:p w14:paraId="2BFC81CF" w14:textId="2DA6CBC5" w:rsidR="008557C1" w:rsidRDefault="000C4DF1">
      <w:pPr>
        <w:pStyle w:val="ListBullet"/>
      </w:pPr>
      <w:r>
        <w:t>Mortality rates are variable and reach up to 95%.</w:t>
      </w:r>
    </w:p>
    <w:p w14:paraId="110CB9DE" w14:textId="77777777" w:rsidR="008557C1" w:rsidRDefault="000C4DF1">
      <w:pPr>
        <w:pStyle w:val="ListBullet"/>
      </w:pPr>
      <w:r>
        <w:t xml:space="preserve">Some penaeid shrimp, crayfish, </w:t>
      </w:r>
      <w:r>
        <w:rPr>
          <w:rStyle w:val="Emphasis"/>
        </w:rPr>
        <w:t>Artemia</w:t>
      </w:r>
      <w:r>
        <w:t xml:space="preserve"> and aquatic insects are vectors of white tail disease.</w:t>
      </w:r>
    </w:p>
    <w:p w14:paraId="3043410E" w14:textId="77777777" w:rsidR="008557C1" w:rsidRDefault="000C4DF1">
      <w:pPr>
        <w:pStyle w:val="Heading2"/>
      </w:pPr>
      <w:r>
        <w:t>Differential diagnosis</w:t>
      </w:r>
    </w:p>
    <w:p w14:paraId="32EDA1EB" w14:textId="261726E2" w:rsidR="008557C1" w:rsidRDefault="000C4DF1">
      <w:pPr>
        <w:rPr>
          <w:lang w:eastAsia="en-AU"/>
        </w:rPr>
      </w:pPr>
      <w:r>
        <w:rPr>
          <w:lang w:eastAsia="en-AU"/>
        </w:rPr>
        <w:t xml:space="preserve">The list of </w:t>
      </w:r>
      <w:hyperlink w:anchor="_Similar_diseases" w:history="1">
        <w:r>
          <w:rPr>
            <w:rStyle w:val="Hyperlink"/>
            <w:lang w:eastAsia="en-AU"/>
          </w:rPr>
          <w:t>similar diseases</w:t>
        </w:r>
      </w:hyperlink>
      <w:r>
        <w:rPr>
          <w:lang w:eastAsia="en-AU"/>
        </w:rPr>
        <w:t xml:space="preserve"> in the next section refers only to the diseases covered by this field guide. </w:t>
      </w:r>
      <w:r w:rsidR="009F78EA" w:rsidRPr="009F78EA">
        <w:rPr>
          <w:lang w:eastAsia="en-AU"/>
        </w:rPr>
        <w:t>Gross pathological signs may also be representative of diseases not included in this guide. Do not rely on gross signs to provide a definitive diagnosis. Use them as a tool to help identify the listed diseases that most closely account for the observed signs</w:t>
      </w:r>
      <w:r>
        <w:rPr>
          <w:lang w:eastAsia="en-AU"/>
        </w:rPr>
        <w:t>.</w:t>
      </w:r>
    </w:p>
    <w:p w14:paraId="418CA690" w14:textId="68FFF886" w:rsidR="005F6106" w:rsidRDefault="005F6106">
      <w:r w:rsidRPr="005F6106">
        <w:t>The clinical signs described and shown here may also be symptomatic of other bacterial or viral infections, or poor water quality. Further laboratory examination is needed for a definitive diagnosis.</w:t>
      </w:r>
    </w:p>
    <w:p w14:paraId="61697329" w14:textId="77777777" w:rsidR="008557C1" w:rsidRDefault="000C4DF1">
      <w:pPr>
        <w:pStyle w:val="Heading2"/>
      </w:pPr>
      <w:bookmarkStart w:id="2" w:name="_Similar_diseases"/>
      <w:bookmarkEnd w:id="2"/>
      <w:r>
        <w:t>Similar diseases</w:t>
      </w:r>
    </w:p>
    <w:p w14:paraId="2573CDFA" w14:textId="34193EF7" w:rsidR="008557C1" w:rsidRDefault="000C4DF1">
      <w:r>
        <w:t>Infection with infectious myonecrosis virus</w:t>
      </w:r>
      <w:r w:rsidR="006448A7">
        <w:t xml:space="preserve"> (IMNV)</w:t>
      </w:r>
      <w:r>
        <w:t xml:space="preserve"> and infection with shrimp haemocyte iridescent virus</w:t>
      </w:r>
      <w:r w:rsidR="006448A7">
        <w:t xml:space="preserve"> (SHIV)</w:t>
      </w:r>
      <w:r>
        <w:t>.</w:t>
      </w:r>
    </w:p>
    <w:p w14:paraId="66B1C0BE" w14:textId="77777777" w:rsidR="008557C1" w:rsidRDefault="000C4DF1">
      <w:pPr>
        <w:pStyle w:val="Heading2"/>
        <w:keepLines/>
      </w:pPr>
      <w:r>
        <w:lastRenderedPageBreak/>
        <w:t>Sample collection</w:t>
      </w:r>
    </w:p>
    <w:p w14:paraId="38A96E94" w14:textId="77777777" w:rsidR="008557C1" w:rsidRDefault="000C4DF1">
      <w:pPr>
        <w:keepNext/>
        <w:keepLines/>
      </w:pPr>
      <w:r w:rsidRPr="000C4DF1">
        <w:rPr>
          <w:lang w:eastAsia="en-AU"/>
        </w:rPr>
        <w:t>Only trained personnel should collect samples. Using only gross pathological signs to differentiate between diseases is not reliable, and some aquatic animal disease agents pose a risk to humans. If you are not appropriately trained, phone your state or territory hotline number and report your observations. If you have to collect samples, the agency taking your call will advise you on the appropriate course of action. Local or district fisheries or veterinary authorities may also advise on sampling</w:t>
      </w:r>
      <w:r>
        <w:rPr>
          <w:lang w:eastAsia="en-AU"/>
        </w:rPr>
        <w:t>.</w:t>
      </w:r>
    </w:p>
    <w:p w14:paraId="5703EBC5" w14:textId="77777777" w:rsidR="008557C1" w:rsidRDefault="000C4DF1">
      <w:pPr>
        <w:pStyle w:val="Heading2"/>
      </w:pPr>
      <w:r>
        <w:t>Emergency disease hotline</w:t>
      </w:r>
    </w:p>
    <w:p w14:paraId="4C78D3C2" w14:textId="77777777" w:rsidR="008557C1" w:rsidRDefault="000C4DF1">
      <w:r>
        <w:t>See something you think is this disease? Report it. Even if you’re not sure.</w:t>
      </w:r>
    </w:p>
    <w:p w14:paraId="5260A898" w14:textId="49F56215" w:rsidR="008557C1" w:rsidRDefault="000C4DF1">
      <w:r>
        <w:t xml:space="preserve">Call the Emergency Animal Disease Watch Hotline on </w:t>
      </w:r>
      <w:r w:rsidR="007424B5">
        <w:rPr>
          <w:rStyle w:val="Strong"/>
        </w:rPr>
        <w:t>1800 675 888</w:t>
      </w:r>
      <w:r>
        <w:t>. They will refer you to the right state or territory agency.</w:t>
      </w:r>
    </w:p>
    <w:p w14:paraId="6130B75E" w14:textId="77777777" w:rsidR="008557C1" w:rsidRDefault="000C4DF1">
      <w:pPr>
        <w:pStyle w:val="Heading2"/>
        <w:rPr>
          <w:rFonts w:ascii="Cambria" w:eastAsiaTheme="minorHAnsi" w:hAnsi="Cambria"/>
          <w:b w:val="0"/>
          <w:bCs w:val="0"/>
          <w:color w:val="auto"/>
          <w:sz w:val="22"/>
          <w:szCs w:val="22"/>
          <w:lang w:eastAsia="en-US"/>
        </w:rPr>
      </w:pPr>
      <w:r>
        <w:t>Further reading</w:t>
      </w:r>
    </w:p>
    <w:p w14:paraId="45935DC5" w14:textId="6683788B" w:rsidR="008557C1" w:rsidRDefault="000C4DF1">
      <w:r>
        <w:t xml:space="preserve">CABI Invasive Species Compendium </w:t>
      </w:r>
      <w:hyperlink r:id="rId13" w:history="1">
        <w:r>
          <w:rPr>
            <w:rStyle w:val="Hyperlink"/>
          </w:rPr>
          <w:t>White tail disease</w:t>
        </w:r>
      </w:hyperlink>
    </w:p>
    <w:p w14:paraId="4181179F" w14:textId="5CB45864" w:rsidR="008557C1" w:rsidRDefault="000C4DF1">
      <w:r>
        <w:t xml:space="preserve">CEFAS International Database on Aquatic Animal Diseases </w:t>
      </w:r>
      <w:hyperlink r:id="rId14" w:history="1">
        <w:r>
          <w:rPr>
            <w:rStyle w:val="Hyperlink"/>
          </w:rPr>
          <w:t>White tail disease</w:t>
        </w:r>
      </w:hyperlink>
    </w:p>
    <w:p w14:paraId="10740C6D" w14:textId="0D990032" w:rsidR="008557C1" w:rsidRDefault="000C4DF1">
      <w:r>
        <w:t xml:space="preserve">World Organisation for Animal Health </w:t>
      </w:r>
      <w:hyperlink r:id="rId15" w:history="1">
        <w:r>
          <w:rPr>
            <w:rStyle w:val="Hyperlink"/>
            <w:rFonts w:ascii="Calibri" w:hAnsi="Calibri" w:cs="Arial"/>
          </w:rPr>
          <w:t>Manual of diagnostic tests for aquatic animals</w:t>
        </w:r>
      </w:hyperlink>
    </w:p>
    <w:p w14:paraId="4F0D6705" w14:textId="0DAFE3C0" w:rsidR="008557C1" w:rsidRDefault="000C4DF1">
      <w:r>
        <w:t>These hyperlinks were correct at the time of publication.</w:t>
      </w:r>
    </w:p>
    <w:p w14:paraId="50361836" w14:textId="77777777" w:rsidR="008557C1" w:rsidRDefault="000C4DF1">
      <w:pPr>
        <w:pStyle w:val="Heading2"/>
        <w:ind w:left="0" w:firstLine="0"/>
      </w:pPr>
      <w:r>
        <w:t>Contact details</w:t>
      </w:r>
    </w:p>
    <w:p w14:paraId="464BB0F3" w14:textId="77777777" w:rsidR="008557C1" w:rsidRDefault="000C4DF1">
      <w:pPr>
        <w:spacing w:after="0"/>
      </w:pPr>
      <w:r>
        <w:t>Emergency Animal Disease Watch Hotline 1800 675 888</w:t>
      </w:r>
    </w:p>
    <w:p w14:paraId="60D0323E" w14:textId="77777777" w:rsidR="008557C1" w:rsidRDefault="000C4DF1">
      <w:r>
        <w:t xml:space="preserve">Email </w:t>
      </w:r>
      <w:hyperlink r:id="rId16" w:history="1">
        <w:r>
          <w:rPr>
            <w:rStyle w:val="Hyperlink"/>
          </w:rPr>
          <w:t>AAH@agriculture.gov.au</w:t>
        </w:r>
      </w:hyperlink>
      <w:r>
        <w:cr/>
        <w:t xml:space="preserve">Website </w:t>
      </w:r>
      <w:hyperlink r:id="rId17" w:history="1">
        <w:r>
          <w:rPr>
            <w:rStyle w:val="Hyperlink"/>
          </w:rPr>
          <w:t>agriculture.gov.au/pests-diseases-weeds/aquatic</w:t>
        </w:r>
      </w:hyperlink>
    </w:p>
    <w:p w14:paraId="2E2457CE" w14:textId="7AD454BF" w:rsidR="008557C1" w:rsidRDefault="000C4DF1">
      <w:pPr>
        <w:pStyle w:val="Normalsmall"/>
      </w:pPr>
      <w:r>
        <w:t>© Commonwealth of Australia 20</w:t>
      </w:r>
      <w:r w:rsidR="00273715">
        <w:t>20</w:t>
      </w:r>
    </w:p>
    <w:p w14:paraId="43494729" w14:textId="77777777" w:rsidR="008557C1" w:rsidRDefault="000C4DF1">
      <w:pPr>
        <w:pStyle w:val="Normalsmall"/>
      </w:pPr>
      <w:r>
        <w:t>This work is copyright. It may be reproduced in whole or in part subject to the inclusion of an acknowledgement of the source and no commercial usage or sale.</w:t>
      </w:r>
    </w:p>
    <w:sectPr w:rsidR="008557C1">
      <w:headerReference w:type="default" r:id="rId18"/>
      <w:footerReference w:type="default" r:id="rId19"/>
      <w:headerReference w:type="first" r:id="rId20"/>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D225D" w14:textId="77777777" w:rsidR="008557C1" w:rsidRDefault="000C4DF1">
      <w:r>
        <w:separator/>
      </w:r>
    </w:p>
    <w:p w14:paraId="6A6C2AE4" w14:textId="77777777" w:rsidR="008557C1" w:rsidRDefault="008557C1"/>
    <w:p w14:paraId="52B65640" w14:textId="77777777" w:rsidR="008557C1" w:rsidRDefault="008557C1"/>
  </w:endnote>
  <w:endnote w:type="continuationSeparator" w:id="0">
    <w:p w14:paraId="02E95166" w14:textId="77777777" w:rsidR="008557C1" w:rsidRDefault="000C4DF1">
      <w:r>
        <w:continuationSeparator/>
      </w:r>
    </w:p>
    <w:p w14:paraId="4BE45F1D" w14:textId="77777777" w:rsidR="008557C1" w:rsidRDefault="008557C1"/>
    <w:p w14:paraId="1321CA0F" w14:textId="77777777" w:rsidR="008557C1" w:rsidRDefault="008557C1"/>
  </w:endnote>
  <w:endnote w:type="continuationNotice" w:id="1">
    <w:p w14:paraId="5830775E" w14:textId="77777777" w:rsidR="008557C1" w:rsidRDefault="008557C1">
      <w:pPr>
        <w:pStyle w:val="Footer"/>
      </w:pPr>
    </w:p>
    <w:p w14:paraId="56603ADF" w14:textId="77777777" w:rsidR="008557C1" w:rsidRDefault="008557C1"/>
    <w:p w14:paraId="44BF622A" w14:textId="77777777" w:rsidR="008557C1" w:rsidRDefault="008557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AF564" w14:textId="22D61439" w:rsidR="008557C1" w:rsidRDefault="000C4DF1">
    <w:pPr>
      <w:pStyle w:val="Footer"/>
    </w:pPr>
    <w:r>
      <w:t>Department of Agriculture</w:t>
    </w:r>
    <w:r w:rsidR="008800BA">
      <w:t>, Water and the Environment</w:t>
    </w:r>
  </w:p>
  <w:p w14:paraId="1CC4EBB3" w14:textId="77777777" w:rsidR="008557C1" w:rsidRDefault="000C4DF1">
    <w:pPr>
      <w:pStyle w:val="Footer"/>
    </w:pPr>
    <w:r>
      <w:fldChar w:fldCharType="begin"/>
    </w:r>
    <w:r>
      <w:instrText xml:space="preserve"> PAGE   \* MERGEFORMAT </w:instrText>
    </w:r>
    <w:r>
      <w:fldChar w:fldCharType="separate"/>
    </w:r>
    <w:r w:rsidR="00AC7B9D">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20AA6" w14:textId="77777777" w:rsidR="008557C1" w:rsidRDefault="000C4DF1">
      <w:r>
        <w:separator/>
      </w:r>
    </w:p>
    <w:p w14:paraId="32BF32C9" w14:textId="77777777" w:rsidR="008557C1" w:rsidRDefault="008557C1"/>
    <w:p w14:paraId="6C0C1080" w14:textId="77777777" w:rsidR="008557C1" w:rsidRDefault="008557C1"/>
  </w:footnote>
  <w:footnote w:type="continuationSeparator" w:id="0">
    <w:p w14:paraId="65D90078" w14:textId="77777777" w:rsidR="008557C1" w:rsidRDefault="000C4DF1">
      <w:r>
        <w:continuationSeparator/>
      </w:r>
    </w:p>
    <w:p w14:paraId="50F3E817" w14:textId="77777777" w:rsidR="008557C1" w:rsidRDefault="008557C1"/>
    <w:p w14:paraId="381B94CB" w14:textId="77777777" w:rsidR="008557C1" w:rsidRDefault="008557C1"/>
  </w:footnote>
  <w:footnote w:type="continuationNotice" w:id="1">
    <w:p w14:paraId="3D662142" w14:textId="77777777" w:rsidR="008557C1" w:rsidRDefault="008557C1">
      <w:pPr>
        <w:pStyle w:val="Footer"/>
      </w:pPr>
    </w:p>
    <w:p w14:paraId="1216B234" w14:textId="77777777" w:rsidR="008557C1" w:rsidRDefault="008557C1"/>
    <w:p w14:paraId="0BBF2479" w14:textId="77777777" w:rsidR="008557C1" w:rsidRDefault="008557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D2588" w14:textId="77777777" w:rsidR="008557C1" w:rsidRDefault="000C4DF1">
    <w:pPr>
      <w:pStyle w:val="Header"/>
    </w:pPr>
    <w:r>
      <w:t xml:space="preserve">Infection with </w:t>
    </w:r>
    <w:proofErr w:type="spellStart"/>
    <w:r>
      <w:rPr>
        <w:rStyle w:val="Emphasis"/>
      </w:rPr>
      <w:t>Macrobrachium</w:t>
    </w:r>
    <w:proofErr w:type="spellEnd"/>
    <w:r>
      <w:rPr>
        <w:rStyle w:val="Emphasis"/>
      </w:rPr>
      <w:t xml:space="preserve"> </w:t>
    </w:r>
    <w:proofErr w:type="spellStart"/>
    <w:r>
      <w:rPr>
        <w:rStyle w:val="Emphasis"/>
      </w:rPr>
      <w:t>rosenbergii</w:t>
    </w:r>
    <w:proofErr w:type="spellEnd"/>
    <w:r>
      <w:t xml:space="preserve"> </w:t>
    </w:r>
    <w:proofErr w:type="spellStart"/>
    <w:r>
      <w:t>nodavirus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E92AE" w14:textId="77777777" w:rsidR="008557C1" w:rsidRDefault="000C4DF1">
    <w:pPr>
      <w:pStyle w:val="Header"/>
      <w:jc w:val="left"/>
    </w:pPr>
    <w:r>
      <w:rPr>
        <w:noProof/>
        <w:lang w:eastAsia="en-AU"/>
      </w:rPr>
      <w:drawing>
        <wp:anchor distT="0" distB="0" distL="114300" distR="114300" simplePos="0" relativeHeight="251659264" behindDoc="1" locked="0" layoutInCell="1" allowOverlap="1" wp14:anchorId="3548582E" wp14:editId="20111B0F">
          <wp:simplePos x="0" y="0"/>
          <wp:positionH relativeFrom="page">
            <wp:align>left</wp:align>
          </wp:positionH>
          <wp:positionV relativeFrom="paragraph">
            <wp:posOffset>-357809</wp:posOffset>
          </wp:positionV>
          <wp:extent cx="7579637" cy="1623912"/>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9637" cy="162391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5136E848"/>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A727430"/>
    <w:multiLevelType w:val="hybridMultilevel"/>
    <w:tmpl w:val="495E2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DD54AFF"/>
    <w:multiLevelType w:val="hybridMultilevel"/>
    <w:tmpl w:val="B6820B98"/>
    <w:lvl w:ilvl="0" w:tplc="8B58330A">
      <w:start w:val="1"/>
      <w:numFmt w:val="bullet"/>
      <w:lvlText w:val="◦"/>
      <w:lvlJc w:val="left"/>
      <w:pPr>
        <w:ind w:left="1800" w:hanging="360"/>
      </w:pPr>
      <w:rPr>
        <w:rFonts w:ascii="Calibri" w:hAnsi="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0F77062D"/>
    <w:multiLevelType w:val="hybridMultilevel"/>
    <w:tmpl w:val="44B42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394A15FE"/>
    <w:multiLevelType w:val="multilevel"/>
    <w:tmpl w:val="F36C17E8"/>
    <w:numStyleLink w:val="Headinglist"/>
  </w:abstractNum>
  <w:abstractNum w:abstractNumId="18" w15:restartNumberingAfterBreak="0">
    <w:nsid w:val="414F4729"/>
    <w:multiLevelType w:val="multilevel"/>
    <w:tmpl w:val="A0241B28"/>
    <w:numStyleLink w:val="List1"/>
  </w:abstractNum>
  <w:abstractNum w:abstractNumId="19" w15:restartNumberingAfterBreak="0">
    <w:nsid w:val="486800B4"/>
    <w:multiLevelType w:val="multilevel"/>
    <w:tmpl w:val="A0241B28"/>
    <w:numStyleLink w:val="List1"/>
  </w:abstractNum>
  <w:abstractNum w:abstractNumId="2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1" w15:restartNumberingAfterBreak="0">
    <w:nsid w:val="496159DC"/>
    <w:multiLevelType w:val="multilevel"/>
    <w:tmpl w:val="BE78A4F8"/>
    <w:numStyleLink w:val="Numberlist"/>
  </w:abstractNum>
  <w:abstractNum w:abstractNumId="2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8C10A1"/>
    <w:multiLevelType w:val="multilevel"/>
    <w:tmpl w:val="BE78A4F8"/>
    <w:numStyleLink w:val="Numberlist"/>
  </w:abstractNum>
  <w:abstractNum w:abstractNumId="29" w15:restartNumberingAfterBreak="0">
    <w:nsid w:val="733934B7"/>
    <w:multiLevelType w:val="multilevel"/>
    <w:tmpl w:val="A0241B28"/>
    <w:numStyleLink w:val="List1"/>
  </w:abstractNum>
  <w:num w:numId="1">
    <w:abstractNumId w:val="6"/>
  </w:num>
  <w:num w:numId="2">
    <w:abstractNumId w:val="19"/>
  </w:num>
  <w:num w:numId="3">
    <w:abstractNumId w:val="20"/>
  </w:num>
  <w:num w:numId="4">
    <w:abstractNumId w:val="12"/>
  </w:num>
  <w:num w:numId="5">
    <w:abstractNumId w:val="25"/>
  </w:num>
  <w:num w:numId="6">
    <w:abstractNumId w:val="26"/>
  </w:num>
  <w:num w:numId="7">
    <w:abstractNumId w:val="8"/>
  </w:num>
  <w:num w:numId="8">
    <w:abstractNumId w:val="15"/>
  </w:num>
  <w:num w:numId="9">
    <w:abstractNumId w:val="17"/>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3"/>
  </w:num>
  <w:num w:numId="16">
    <w:abstractNumId w:val="2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
  </w:num>
  <w:num w:numId="20">
    <w:abstractNumId w:val="0"/>
  </w:num>
  <w:num w:numId="21">
    <w:abstractNumId w:val="16"/>
  </w:num>
  <w:num w:numId="22">
    <w:abstractNumId w:val="21"/>
  </w:num>
  <w:num w:numId="23">
    <w:abstractNumId w:val="28"/>
  </w:num>
  <w:num w:numId="24">
    <w:abstractNumId w:val="14"/>
  </w:num>
  <w:num w:numId="25">
    <w:abstractNumId w:val="1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2"/>
  </w:num>
  <w:num w:numId="29">
    <w:abstractNumId w:val="24"/>
  </w:num>
  <w:num w:numId="30">
    <w:abstractNumId w:val="11"/>
  </w:num>
  <w:num w:numId="31">
    <w:abstractNumId w:val="7"/>
  </w:num>
  <w:num w:numId="32">
    <w:abstractNumId w:val="9"/>
  </w:num>
  <w:num w:numId="33">
    <w:abstractNumId w:val="10"/>
  </w:num>
  <w:num w:numId="34">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880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7C1"/>
    <w:rsid w:val="00080D9D"/>
    <w:rsid w:val="000C4DF1"/>
    <w:rsid w:val="001949F5"/>
    <w:rsid w:val="002324DC"/>
    <w:rsid w:val="00273715"/>
    <w:rsid w:val="004B74D3"/>
    <w:rsid w:val="005F6106"/>
    <w:rsid w:val="006448A7"/>
    <w:rsid w:val="00671B47"/>
    <w:rsid w:val="007424B5"/>
    <w:rsid w:val="0077767D"/>
    <w:rsid w:val="0082236D"/>
    <w:rsid w:val="008557C1"/>
    <w:rsid w:val="008800BA"/>
    <w:rsid w:val="00917D62"/>
    <w:rsid w:val="0099492D"/>
    <w:rsid w:val="009F78EA"/>
    <w:rsid w:val="00AC7B9D"/>
    <w:rsid w:val="00CB5DBF"/>
    <w:rsid w:val="00F8694C"/>
    <w:rsid w:val="00FF7B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B2EE584"/>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widowControl w:val="0"/>
      <w:spacing w:before="600"/>
      <w:contextualSpacing/>
      <w:outlineLvl w:val="0"/>
    </w:pPr>
    <w:rPr>
      <w:rFonts w:ascii="Calibri" w:eastAsiaTheme="minorHAnsi" w:hAnsi="Calibri" w:cstheme="minorBidi"/>
      <w:b/>
      <w:bCs/>
      <w:color w:val="000000"/>
      <w:spacing w:val="5"/>
      <w:kern w:val="28"/>
      <w:sz w:val="40"/>
      <w:szCs w:val="28"/>
      <w:lang w:eastAsia="en-US"/>
    </w:rPr>
  </w:style>
  <w:style w:type="paragraph" w:styleId="Heading2">
    <w:name w:val="heading 2"/>
    <w:basedOn w:val="Normal"/>
    <w:next w:val="Normal"/>
    <w:link w:val="Heading2Char"/>
    <w:uiPriority w:val="3"/>
    <w:pPr>
      <w:keepNext/>
      <w:spacing w:before="120" w:line="240" w:lineRule="auto"/>
      <w:ind w:left="720" w:hanging="720"/>
      <w:outlineLvl w:val="1"/>
    </w:pPr>
    <w:rPr>
      <w:rFonts w:ascii="Calibri" w:eastAsiaTheme="minorEastAsia" w:hAnsi="Calibri"/>
      <w:b/>
      <w:bCs/>
      <w:color w:val="EF3829"/>
      <w:sz w:val="28"/>
      <w:szCs w:val="28"/>
      <w:lang w:eastAsia="ja-JP"/>
    </w:rPr>
  </w:style>
  <w:style w:type="paragraph" w:styleId="Heading3">
    <w:name w:val="heading 3"/>
    <w:next w:val="Normal"/>
    <w:link w:val="Heading3Char"/>
    <w:uiPriority w:val="4"/>
    <w:qFormat/>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40"/>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EF3829"/>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35"/>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2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22"/>
      <w:szCs w:val="22"/>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pPr>
      <w:spacing w:before="60" w:after="60"/>
    </w:pPr>
    <w:rPr>
      <w:rFonts w:ascii="Calibri" w:eastAsia="Times New Roman" w:hAnsi="Calibri" w:cs="Arial"/>
      <w:color w:val="000000"/>
      <w:sz w:val="19"/>
      <w:szCs w:val="22"/>
      <w:lang w:val="en-GB"/>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8514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63830933">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2814970">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68820777">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301310">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464993">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925696">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bi.org/ISC/datasheet/121698"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agriculture.gov.au/pests-diseases-weeds/aquatic" TargetMode="External"/><Relationship Id="rId2" Type="http://schemas.openxmlformats.org/officeDocument/2006/relationships/customXml" Target="../customXml/item2.xml"/><Relationship Id="rId16" Type="http://schemas.openxmlformats.org/officeDocument/2006/relationships/hyperlink" Target="mailto:AAH@agriculture.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oie.int/en/international-standard-setting/aquatic-manual/access-onlin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fas.co.uk/international-database-on-aquatic-animal-diseases/disease-data/?id=68"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4F68E97F-7C78-4157-B29C-30339A738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9</TotalTime>
  <Pages>4</Pages>
  <Words>940</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Infection with Macrobrachium rosenbergii nodavirus (MrNV)</vt:lpstr>
    </vt:vector>
  </TitlesOfParts>
  <Company>Department of Agriculture Fisheries &amp; Forestry</Company>
  <LinksUpToDate>false</LinksUpToDate>
  <CharactersWithSpaces>6292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Macrobrachium rosenbergii nodavirus (MrNV)</dc:title>
  <dc:creator>Department of Agriculture</dc:creator>
  <cp:lastModifiedBy>Caldwell, Louise</cp:lastModifiedBy>
  <cp:revision>13</cp:revision>
  <cp:lastPrinted>2020-03-13T01:12:00Z</cp:lastPrinted>
  <dcterms:created xsi:type="dcterms:W3CDTF">2019-09-05T05:42:00Z</dcterms:created>
  <dcterms:modified xsi:type="dcterms:W3CDTF">2020-03-13T01:13:00Z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