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15054E" w14:textId="77777777" w:rsidR="00C826CD" w:rsidRPr="000D44D9" w:rsidRDefault="00B07A71">
      <w:pPr>
        <w:pStyle w:val="Heading1"/>
      </w:pPr>
      <w:r>
        <w:t xml:space="preserve">Infection with </w:t>
      </w:r>
      <w:proofErr w:type="spellStart"/>
      <w:r>
        <w:rPr>
          <w:rStyle w:val="Emphasis"/>
        </w:rPr>
        <w:t>Marteilia</w:t>
      </w:r>
      <w:proofErr w:type="spellEnd"/>
      <w:r>
        <w:rPr>
          <w:rStyle w:val="Emphasis"/>
        </w:rPr>
        <w:t xml:space="preserve"> </w:t>
      </w:r>
      <w:proofErr w:type="spellStart"/>
      <w:r>
        <w:rPr>
          <w:rStyle w:val="Emphasis"/>
        </w:rPr>
        <w:t>refringens</w:t>
      </w:r>
      <w:proofErr w:type="spellEnd"/>
    </w:p>
    <w:p w14:paraId="1F798789" w14:textId="7BCBA844" w:rsidR="00C826CD" w:rsidRDefault="00B07A71">
      <w:pPr>
        <w:pStyle w:val="Subtitle"/>
      </w:pPr>
      <w:r>
        <w:rPr>
          <w:sz w:val="24"/>
          <w:szCs w:val="24"/>
        </w:rPr>
        <w:t xml:space="preserve">Also known as </w:t>
      </w:r>
      <w:proofErr w:type="spellStart"/>
      <w:r>
        <w:rPr>
          <w:sz w:val="24"/>
          <w:szCs w:val="24"/>
        </w:rPr>
        <w:t>marteiliosis</w:t>
      </w:r>
      <w:proofErr w:type="spellEnd"/>
      <w:r>
        <w:rPr>
          <w:sz w:val="24"/>
          <w:szCs w:val="24"/>
        </w:rPr>
        <w:t xml:space="preserve"> and</w:t>
      </w:r>
      <w:r>
        <w:t xml:space="preserve"> </w:t>
      </w:r>
      <w:r>
        <w:rPr>
          <w:sz w:val="24"/>
          <w:szCs w:val="24"/>
        </w:rPr>
        <w:t>Aber disease</w:t>
      </w:r>
    </w:p>
    <w:p w14:paraId="14515289" w14:textId="77777777" w:rsidR="00C826CD" w:rsidRDefault="00B07A71">
      <w:pPr>
        <w:pStyle w:val="Subtitle"/>
      </w:pPr>
      <w:r>
        <w:t xml:space="preserve">From </w:t>
      </w:r>
      <w:r>
        <w:rPr>
          <w:rStyle w:val="Emphasis"/>
        </w:rPr>
        <w:t>Aquatic animal diseases significant to Australia: identification field guide</w:t>
      </w:r>
      <w:r>
        <w:t>, 5th edition</w:t>
      </w:r>
    </w:p>
    <w:p w14:paraId="00C5D603" w14:textId="4A860368" w:rsidR="00D60B87" w:rsidRDefault="00D60B87" w:rsidP="00D60B87">
      <w:pPr>
        <w:pStyle w:val="Caption"/>
      </w:pPr>
      <w:r>
        <w:t xml:space="preserve">Figure </w:t>
      </w:r>
      <w:r>
        <w:rPr>
          <w:noProof/>
        </w:rPr>
        <w:fldChar w:fldCharType="begin"/>
      </w:r>
      <w:r>
        <w:rPr>
          <w:noProof/>
        </w:rPr>
        <w:instrText xml:space="preserve"> SEQ Figure \* ARABIC </w:instrText>
      </w:r>
      <w:r>
        <w:rPr>
          <w:noProof/>
        </w:rPr>
        <w:fldChar w:fldCharType="separate"/>
      </w:r>
      <w:r w:rsidR="00AD18CF">
        <w:rPr>
          <w:noProof/>
        </w:rPr>
        <w:t>1</w:t>
      </w:r>
      <w:r>
        <w:rPr>
          <w:noProof/>
        </w:rPr>
        <w:fldChar w:fldCharType="end"/>
      </w:r>
      <w:r>
        <w:t xml:space="preserve"> European flat oyster (</w:t>
      </w:r>
      <w:r>
        <w:rPr>
          <w:rStyle w:val="Emphasis"/>
        </w:rPr>
        <w:t>Ostrea edulis</w:t>
      </w:r>
      <w:r>
        <w:t xml:space="preserve">) infected with </w:t>
      </w:r>
      <w:proofErr w:type="spellStart"/>
      <w:r>
        <w:rPr>
          <w:rStyle w:val="Emphasis"/>
        </w:rPr>
        <w:t>Marteilia</w:t>
      </w:r>
      <w:proofErr w:type="spellEnd"/>
      <w:r>
        <w:rPr>
          <w:rStyle w:val="Emphasis"/>
        </w:rPr>
        <w:t> </w:t>
      </w:r>
      <w:proofErr w:type="spellStart"/>
      <w:r>
        <w:rPr>
          <w:rStyle w:val="Emphasis"/>
        </w:rPr>
        <w:t>refringens</w:t>
      </w:r>
      <w:proofErr w:type="spellEnd"/>
    </w:p>
    <w:p w14:paraId="40AFDEF2" w14:textId="77777777" w:rsidR="00D60B87" w:rsidRPr="000D44D9" w:rsidRDefault="00D60B87" w:rsidP="00D60B87">
      <w:r w:rsidRPr="00D60B87">
        <w:rPr>
          <w:noProof/>
          <w:lang w:eastAsia="en-AU"/>
        </w:rPr>
        <w:drawing>
          <wp:inline distT="0" distB="0" distL="0" distR="0" wp14:anchorId="3E0D4770" wp14:editId="1E7A70AD">
            <wp:extent cx="5752465" cy="2163445"/>
            <wp:effectExtent l="0" t="0" r="635"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2465" cy="2163445"/>
                    </a:xfrm>
                    <a:prstGeom prst="rect">
                      <a:avLst/>
                    </a:prstGeom>
                    <a:noFill/>
                    <a:ln>
                      <a:noFill/>
                    </a:ln>
                  </pic:spPr>
                </pic:pic>
              </a:graphicData>
            </a:graphic>
          </wp:inline>
        </w:drawing>
      </w:r>
    </w:p>
    <w:p w14:paraId="3608CA0D" w14:textId="02B5B459" w:rsidR="00D60B87" w:rsidRDefault="00D60B87" w:rsidP="00D60B87">
      <w:pPr>
        <w:pStyle w:val="FigureTableNoteSource"/>
      </w:pPr>
      <w:r>
        <w:t>Note: A healthy oyster (left) with full, creamy-coloured digestive gland. The infected oyster (right) has a translucent, watery, shrunken digestive gland.</w:t>
      </w:r>
    </w:p>
    <w:p w14:paraId="0A3C1564" w14:textId="652C085B" w:rsidR="00D60B87" w:rsidRDefault="00D60B87" w:rsidP="00D60B87">
      <w:pPr>
        <w:pStyle w:val="FigureTableNoteSource"/>
      </w:pPr>
      <w:r>
        <w:t>Source: French Research Institute for Exploration of the Sea</w:t>
      </w:r>
    </w:p>
    <w:p w14:paraId="042611B4" w14:textId="77777777" w:rsidR="00C826CD" w:rsidRDefault="00B07A71">
      <w:pPr>
        <w:pStyle w:val="Heading2"/>
      </w:pPr>
      <w:r>
        <w:t>Signs of disease</w:t>
      </w:r>
    </w:p>
    <w:p w14:paraId="4381EBA0" w14:textId="77777777" w:rsidR="00C826CD" w:rsidRDefault="00B07A71">
      <w:pPr>
        <w:keepNext/>
        <w:keepLines/>
        <w:rPr>
          <w:lang w:eastAsia="ja-JP"/>
        </w:rPr>
      </w:pPr>
      <w:r>
        <w:rPr>
          <w:lang w:eastAsia="ja-JP"/>
        </w:rPr>
        <w:t>Important: Animals with this disease may show one or more of these signs, but the pathogen may still be present in the absence of any signs.</w:t>
      </w:r>
    </w:p>
    <w:p w14:paraId="6A392CAB" w14:textId="77777777" w:rsidR="00C826CD" w:rsidRDefault="00B07A71">
      <w:pPr>
        <w:rPr>
          <w:lang w:eastAsia="ja-JP"/>
        </w:rPr>
      </w:pPr>
      <w:r>
        <w:rPr>
          <w:lang w:eastAsia="ja-JP"/>
        </w:rPr>
        <w:t>Disease signs at the farm, tank or pond level are:</w:t>
      </w:r>
    </w:p>
    <w:p w14:paraId="2E738A44" w14:textId="77777777" w:rsidR="00C826CD" w:rsidRDefault="00B07A71">
      <w:pPr>
        <w:pStyle w:val="ListBullet"/>
        <w:rPr>
          <w:lang w:eastAsia="ja-JP"/>
        </w:rPr>
      </w:pPr>
      <w:r>
        <w:rPr>
          <w:lang w:eastAsia="ja-JP"/>
        </w:rPr>
        <w:t>high mortality</w:t>
      </w:r>
    </w:p>
    <w:p w14:paraId="218C2CFE" w14:textId="77777777" w:rsidR="00C826CD" w:rsidRDefault="00B07A71">
      <w:pPr>
        <w:pStyle w:val="ListBullet"/>
        <w:rPr>
          <w:lang w:eastAsia="ja-JP"/>
        </w:rPr>
      </w:pPr>
      <w:r>
        <w:rPr>
          <w:lang w:eastAsia="ja-JP"/>
        </w:rPr>
        <w:t>reduced growth rate</w:t>
      </w:r>
    </w:p>
    <w:p w14:paraId="19A6E165" w14:textId="77777777" w:rsidR="00C826CD" w:rsidRDefault="00B07A71">
      <w:pPr>
        <w:pStyle w:val="ListBullet"/>
        <w:rPr>
          <w:lang w:eastAsia="ja-JP"/>
        </w:rPr>
      </w:pPr>
      <w:r>
        <w:rPr>
          <w:lang w:eastAsia="ja-JP"/>
        </w:rPr>
        <w:t>gaping shells.</w:t>
      </w:r>
    </w:p>
    <w:p w14:paraId="3221A05B" w14:textId="77777777" w:rsidR="00C826CD" w:rsidRDefault="00B07A71">
      <w:pPr>
        <w:rPr>
          <w:lang w:eastAsia="ja-JP"/>
        </w:rPr>
      </w:pPr>
      <w:r>
        <w:rPr>
          <w:lang w:eastAsia="ja-JP"/>
        </w:rPr>
        <w:t xml:space="preserve">Gross </w:t>
      </w:r>
      <w:r>
        <w:t>pathological</w:t>
      </w:r>
      <w:r>
        <w:rPr>
          <w:lang w:eastAsia="ja-JP"/>
        </w:rPr>
        <w:t xml:space="preserve"> signs are:</w:t>
      </w:r>
    </w:p>
    <w:p w14:paraId="4F119388" w14:textId="77777777" w:rsidR="00C826CD" w:rsidRDefault="00B07A71">
      <w:pPr>
        <w:pStyle w:val="ListBullet"/>
        <w:rPr>
          <w:lang w:eastAsia="ja-JP"/>
        </w:rPr>
      </w:pPr>
      <w:r>
        <w:rPr>
          <w:lang w:eastAsia="ja-JP"/>
        </w:rPr>
        <w:t>poor condition and emaciation</w:t>
      </w:r>
    </w:p>
    <w:p w14:paraId="7055A564" w14:textId="77777777" w:rsidR="00C826CD" w:rsidRDefault="00B07A71">
      <w:pPr>
        <w:pStyle w:val="ListBullet"/>
        <w:rPr>
          <w:lang w:eastAsia="ja-JP"/>
        </w:rPr>
      </w:pPr>
      <w:r>
        <w:rPr>
          <w:lang w:eastAsia="ja-JP"/>
        </w:rPr>
        <w:t>pale, watery digestive gland</w:t>
      </w:r>
    </w:p>
    <w:p w14:paraId="20B6D721" w14:textId="77777777" w:rsidR="00C826CD" w:rsidRDefault="00B07A71">
      <w:pPr>
        <w:pStyle w:val="ListBullet"/>
        <w:rPr>
          <w:lang w:eastAsia="ja-JP"/>
        </w:rPr>
      </w:pPr>
      <w:r>
        <w:rPr>
          <w:lang w:eastAsia="ja-JP"/>
        </w:rPr>
        <w:t>inhibited gonad development.</w:t>
      </w:r>
    </w:p>
    <w:p w14:paraId="2167D2C0" w14:textId="77777777" w:rsidR="00C826CD" w:rsidRDefault="00B07A71">
      <w:pPr>
        <w:rPr>
          <w:lang w:eastAsia="ja-JP"/>
        </w:rPr>
      </w:pPr>
      <w:r>
        <w:rPr>
          <w:lang w:eastAsia="ja-JP"/>
        </w:rPr>
        <w:t xml:space="preserve">Microscopic </w:t>
      </w:r>
      <w:r>
        <w:t>pathological</w:t>
      </w:r>
      <w:r>
        <w:rPr>
          <w:lang w:eastAsia="ja-JP"/>
        </w:rPr>
        <w:t xml:space="preserve"> signs are:</w:t>
      </w:r>
    </w:p>
    <w:p w14:paraId="270CC759" w14:textId="77777777" w:rsidR="00C826CD" w:rsidRDefault="00B07A71">
      <w:pPr>
        <w:pStyle w:val="ListBullet"/>
        <w:rPr>
          <w:lang w:eastAsia="ja-JP"/>
        </w:rPr>
      </w:pPr>
      <w:r>
        <w:rPr>
          <w:lang w:eastAsia="ja-JP"/>
        </w:rPr>
        <w:t>tissue necrosis</w:t>
      </w:r>
    </w:p>
    <w:p w14:paraId="304872A1" w14:textId="77777777" w:rsidR="00C826CD" w:rsidRDefault="00B07A71">
      <w:pPr>
        <w:pStyle w:val="ListBullet"/>
        <w:rPr>
          <w:lang w:val="en-US"/>
        </w:rPr>
      </w:pPr>
      <w:r>
        <w:rPr>
          <w:lang w:eastAsia="ja-JP"/>
        </w:rPr>
        <w:t xml:space="preserve">massive infection of the digestive gland tubule epithelium with </w:t>
      </w:r>
      <w:proofErr w:type="spellStart"/>
      <w:r>
        <w:rPr>
          <w:lang w:eastAsia="ja-JP"/>
        </w:rPr>
        <w:t>sporogenic</w:t>
      </w:r>
      <w:proofErr w:type="spellEnd"/>
      <w:r>
        <w:rPr>
          <w:lang w:eastAsia="ja-JP"/>
        </w:rPr>
        <w:t xml:space="preserve"> stages.</w:t>
      </w:r>
    </w:p>
    <w:p w14:paraId="66626766" w14:textId="77777777" w:rsidR="00C826CD" w:rsidRDefault="00B07A71">
      <w:pPr>
        <w:pStyle w:val="Heading2"/>
      </w:pPr>
      <w:r>
        <w:lastRenderedPageBreak/>
        <w:t>Disease agent</w:t>
      </w:r>
    </w:p>
    <w:p w14:paraId="682596E2" w14:textId="13570558" w:rsidR="00C826CD" w:rsidRDefault="00B07A71" w:rsidP="005B4092">
      <w:pPr>
        <w:keepLines/>
      </w:pPr>
      <w:proofErr w:type="spellStart"/>
      <w:r>
        <w:t>Marteiliosis</w:t>
      </w:r>
      <w:proofErr w:type="spellEnd"/>
      <w:r>
        <w:t xml:space="preserve"> (</w:t>
      </w:r>
      <w:r w:rsidR="007030AC">
        <w:t>or</w:t>
      </w:r>
      <w:r>
        <w:t xml:space="preserve"> Aber disease) is caused by </w:t>
      </w:r>
      <w:r w:rsidR="00EE3B18">
        <w:t xml:space="preserve">infection with </w:t>
      </w:r>
      <w:proofErr w:type="spellStart"/>
      <w:r>
        <w:rPr>
          <w:rStyle w:val="Emphasis"/>
        </w:rPr>
        <w:t>Marteilia</w:t>
      </w:r>
      <w:proofErr w:type="spellEnd"/>
      <w:r>
        <w:rPr>
          <w:rStyle w:val="Emphasis"/>
        </w:rPr>
        <w:t xml:space="preserve"> </w:t>
      </w:r>
      <w:proofErr w:type="spellStart"/>
      <w:r>
        <w:rPr>
          <w:rStyle w:val="Emphasis"/>
        </w:rPr>
        <w:t>refringens</w:t>
      </w:r>
      <w:proofErr w:type="spellEnd"/>
      <w:r>
        <w:t xml:space="preserve">. This is a protozoan parasite (order </w:t>
      </w:r>
      <w:proofErr w:type="spellStart"/>
      <w:r>
        <w:t>Paramyxida</w:t>
      </w:r>
      <w:proofErr w:type="spellEnd"/>
      <w:r>
        <w:t xml:space="preserve">, class </w:t>
      </w:r>
      <w:proofErr w:type="spellStart"/>
      <w:r>
        <w:t>Ascetosporea</w:t>
      </w:r>
      <w:proofErr w:type="spellEnd"/>
      <w:r>
        <w:t xml:space="preserve">) that affects the digestive system of multiple bivalve species, including oysters, mussels, cockles and clams. Other closely related species of </w:t>
      </w:r>
      <w:proofErr w:type="spellStart"/>
      <w:r>
        <w:rPr>
          <w:rStyle w:val="Emphasis"/>
        </w:rPr>
        <w:t>Marteilia</w:t>
      </w:r>
      <w:proofErr w:type="spellEnd"/>
      <w:r>
        <w:t xml:space="preserve"> may cause similar diseases, including </w:t>
      </w:r>
      <w:r>
        <w:rPr>
          <w:rStyle w:val="Emphasis"/>
        </w:rPr>
        <w:t>M. </w:t>
      </w:r>
      <w:proofErr w:type="spellStart"/>
      <w:r>
        <w:rPr>
          <w:rStyle w:val="Emphasis"/>
        </w:rPr>
        <w:t>pararefringens</w:t>
      </w:r>
      <w:proofErr w:type="spellEnd"/>
      <w:r>
        <w:t xml:space="preserve"> in oysters and mussels, </w:t>
      </w:r>
      <w:r>
        <w:rPr>
          <w:rStyle w:val="Emphasis"/>
        </w:rPr>
        <w:t>M. </w:t>
      </w:r>
      <w:proofErr w:type="spellStart"/>
      <w:r>
        <w:rPr>
          <w:rStyle w:val="Emphasis"/>
        </w:rPr>
        <w:t>cochillia</w:t>
      </w:r>
      <w:proofErr w:type="spellEnd"/>
      <w:r>
        <w:t xml:space="preserve"> in cockles, </w:t>
      </w:r>
      <w:r>
        <w:rPr>
          <w:rStyle w:val="Emphasis"/>
        </w:rPr>
        <w:t>M. </w:t>
      </w:r>
      <w:proofErr w:type="spellStart"/>
      <w:r>
        <w:rPr>
          <w:rStyle w:val="Emphasis"/>
        </w:rPr>
        <w:t>octospora</w:t>
      </w:r>
      <w:proofErr w:type="spellEnd"/>
      <w:r>
        <w:t xml:space="preserve"> in razor shells and </w:t>
      </w:r>
      <w:r>
        <w:rPr>
          <w:rStyle w:val="Emphasis"/>
        </w:rPr>
        <w:t>M. </w:t>
      </w:r>
      <w:proofErr w:type="spellStart"/>
      <w:r>
        <w:rPr>
          <w:rStyle w:val="Emphasis"/>
        </w:rPr>
        <w:t>sydneyi</w:t>
      </w:r>
      <w:proofErr w:type="spellEnd"/>
      <w:r>
        <w:t xml:space="preserve"> in Sydney rock oysters.</w:t>
      </w:r>
    </w:p>
    <w:p w14:paraId="051A4C59" w14:textId="77777777" w:rsidR="00C826CD" w:rsidRDefault="00B07A71">
      <w:pPr>
        <w:pStyle w:val="Heading2"/>
        <w:keepLines/>
      </w:pPr>
      <w:r>
        <w:t>Host range</w:t>
      </w:r>
    </w:p>
    <w:p w14:paraId="5CEFA98E" w14:textId="69CF0950" w:rsidR="00C826CD" w:rsidRDefault="00B07A71">
      <w:pPr>
        <w:pStyle w:val="Caption"/>
      </w:pPr>
      <w:r>
        <w:t xml:space="preserve">Table </w:t>
      </w:r>
      <w:r>
        <w:rPr>
          <w:noProof/>
        </w:rPr>
        <w:fldChar w:fldCharType="begin"/>
      </w:r>
      <w:r>
        <w:rPr>
          <w:noProof/>
        </w:rPr>
        <w:instrText xml:space="preserve"> SEQ Table \* ARABIC </w:instrText>
      </w:r>
      <w:r>
        <w:rPr>
          <w:noProof/>
        </w:rPr>
        <w:fldChar w:fldCharType="separate"/>
      </w:r>
      <w:r w:rsidR="00AD18CF">
        <w:rPr>
          <w:noProof/>
        </w:rPr>
        <w:t>1</w:t>
      </w:r>
      <w:r>
        <w:rPr>
          <w:noProof/>
        </w:rPr>
        <w:fldChar w:fldCharType="end"/>
      </w:r>
      <w:r>
        <w:t xml:space="preserve"> Species known to be susceptible to infection with </w:t>
      </w:r>
      <w:proofErr w:type="spellStart"/>
      <w:r>
        <w:rPr>
          <w:rStyle w:val="Emphasis"/>
        </w:rPr>
        <w:t>Marteilia</w:t>
      </w:r>
      <w:proofErr w:type="spellEnd"/>
      <w:r>
        <w:rPr>
          <w:rStyle w:val="Emphasis"/>
        </w:rPr>
        <w:t> </w:t>
      </w:r>
      <w:proofErr w:type="spellStart"/>
      <w:r>
        <w:rPr>
          <w:rStyle w:val="Emphasis"/>
        </w:rPr>
        <w:t>refringens</w:t>
      </w:r>
      <w:proofErr w:type="spellEnd"/>
    </w:p>
    <w:tbl>
      <w:tblPr>
        <w:tblW w:w="5000" w:type="pct"/>
        <w:tblBorders>
          <w:top w:val="single" w:sz="4" w:space="0" w:color="auto"/>
          <w:bottom w:val="single" w:sz="4" w:space="0" w:color="auto"/>
        </w:tblBorders>
        <w:tblLook w:val="04A0" w:firstRow="1" w:lastRow="0" w:firstColumn="1" w:lastColumn="0" w:noHBand="0" w:noVBand="1"/>
      </w:tblPr>
      <w:tblGrid>
        <w:gridCol w:w="4535"/>
        <w:gridCol w:w="4535"/>
      </w:tblGrid>
      <w:tr w:rsidR="00C826CD" w14:paraId="62E9DADB" w14:textId="77777777" w:rsidTr="0023210D">
        <w:trPr>
          <w:cantSplit/>
          <w:tblHeader/>
        </w:trPr>
        <w:tc>
          <w:tcPr>
            <w:tcW w:w="2500" w:type="pct"/>
            <w:tcBorders>
              <w:top w:val="single" w:sz="4" w:space="0" w:color="auto"/>
              <w:bottom w:val="single" w:sz="4" w:space="0" w:color="auto"/>
            </w:tcBorders>
            <w:noWrap/>
          </w:tcPr>
          <w:p w14:paraId="71488167" w14:textId="77777777" w:rsidR="00C826CD" w:rsidRDefault="00B07A71">
            <w:pPr>
              <w:pStyle w:val="TableHeading"/>
            </w:pPr>
            <w:r>
              <w:t>Common name</w:t>
            </w:r>
          </w:p>
        </w:tc>
        <w:tc>
          <w:tcPr>
            <w:tcW w:w="2500" w:type="pct"/>
            <w:tcBorders>
              <w:top w:val="single" w:sz="4" w:space="0" w:color="auto"/>
              <w:bottom w:val="single" w:sz="4" w:space="0" w:color="auto"/>
            </w:tcBorders>
            <w:noWrap/>
          </w:tcPr>
          <w:p w14:paraId="05993DF0" w14:textId="77777777" w:rsidR="00C826CD" w:rsidRDefault="00B07A71">
            <w:pPr>
              <w:pStyle w:val="TableHeading"/>
            </w:pPr>
            <w:r>
              <w:t>Scientific name</w:t>
            </w:r>
          </w:p>
        </w:tc>
      </w:tr>
      <w:tr w:rsidR="00C826CD" w14:paraId="1BD74163" w14:textId="77777777">
        <w:trPr>
          <w:cantSplit/>
          <w:trHeight w:val="315"/>
        </w:trPr>
        <w:tc>
          <w:tcPr>
            <w:tcW w:w="2500" w:type="pct"/>
            <w:tcBorders>
              <w:top w:val="single" w:sz="4" w:space="0" w:color="auto"/>
            </w:tcBorders>
            <w:noWrap/>
          </w:tcPr>
          <w:p w14:paraId="407DE604" w14:textId="77777777" w:rsidR="00C826CD" w:rsidRDefault="00B07A71">
            <w:pPr>
              <w:pStyle w:val="TableText"/>
            </w:pPr>
            <w:r>
              <w:t xml:space="preserve">American </w:t>
            </w:r>
            <w:proofErr w:type="spellStart"/>
            <w:r>
              <w:t>oyster</w:t>
            </w:r>
            <w:r>
              <w:rPr>
                <w:vertAlign w:val="superscript"/>
              </w:rPr>
              <w:t>a</w:t>
            </w:r>
            <w:proofErr w:type="spellEnd"/>
          </w:p>
        </w:tc>
        <w:tc>
          <w:tcPr>
            <w:tcW w:w="2500" w:type="pct"/>
            <w:tcBorders>
              <w:top w:val="single" w:sz="4" w:space="0" w:color="auto"/>
            </w:tcBorders>
            <w:noWrap/>
          </w:tcPr>
          <w:p w14:paraId="38EDF4DB" w14:textId="77777777" w:rsidR="00C826CD" w:rsidRDefault="00B07A71">
            <w:pPr>
              <w:pStyle w:val="TableText"/>
              <w:rPr>
                <w:rStyle w:val="Emphasis"/>
              </w:rPr>
            </w:pPr>
            <w:r>
              <w:rPr>
                <w:rStyle w:val="Emphasis"/>
              </w:rPr>
              <w:t>Crassostrea virginica</w:t>
            </w:r>
          </w:p>
        </w:tc>
      </w:tr>
      <w:tr w:rsidR="00C826CD" w14:paraId="67BCE2AC" w14:textId="77777777">
        <w:trPr>
          <w:cantSplit/>
          <w:trHeight w:val="315"/>
        </w:trPr>
        <w:tc>
          <w:tcPr>
            <w:tcW w:w="2500" w:type="pct"/>
            <w:noWrap/>
          </w:tcPr>
          <w:p w14:paraId="2BF445E9" w14:textId="77777777" w:rsidR="00C826CD" w:rsidRDefault="00B07A71">
            <w:pPr>
              <w:pStyle w:val="TableText"/>
            </w:pPr>
            <w:r>
              <w:t>Argentinian flat oyster</w:t>
            </w:r>
          </w:p>
        </w:tc>
        <w:tc>
          <w:tcPr>
            <w:tcW w:w="2500" w:type="pct"/>
            <w:noWrap/>
          </w:tcPr>
          <w:p w14:paraId="552AD868" w14:textId="77777777" w:rsidR="00C826CD" w:rsidRDefault="00B07A71">
            <w:pPr>
              <w:pStyle w:val="TableText"/>
              <w:rPr>
                <w:rStyle w:val="Emphasis"/>
                <w:rFonts w:eastAsia="SimSun"/>
              </w:rPr>
            </w:pPr>
            <w:r>
              <w:rPr>
                <w:rStyle w:val="Emphasis"/>
              </w:rPr>
              <w:t xml:space="preserve">Ostrea </w:t>
            </w:r>
            <w:proofErr w:type="spellStart"/>
            <w:r>
              <w:rPr>
                <w:rStyle w:val="Emphasis"/>
              </w:rPr>
              <w:t>puelchana</w:t>
            </w:r>
            <w:proofErr w:type="spellEnd"/>
          </w:p>
        </w:tc>
      </w:tr>
      <w:tr w:rsidR="00C826CD" w14:paraId="74324C52" w14:textId="77777777">
        <w:trPr>
          <w:cantSplit/>
          <w:trHeight w:val="315"/>
        </w:trPr>
        <w:tc>
          <w:tcPr>
            <w:tcW w:w="2500" w:type="pct"/>
            <w:noWrap/>
          </w:tcPr>
          <w:p w14:paraId="5450D8F8" w14:textId="77777777" w:rsidR="00C826CD" w:rsidRDefault="00B07A71">
            <w:pPr>
              <w:pStyle w:val="TableText"/>
            </w:pPr>
            <w:r>
              <w:t xml:space="preserve">Asiatic </w:t>
            </w:r>
            <w:proofErr w:type="spellStart"/>
            <w:r>
              <w:t>oyster</w:t>
            </w:r>
            <w:r>
              <w:rPr>
                <w:vertAlign w:val="superscript"/>
              </w:rPr>
              <w:t>a</w:t>
            </w:r>
            <w:proofErr w:type="spellEnd"/>
          </w:p>
        </w:tc>
        <w:tc>
          <w:tcPr>
            <w:tcW w:w="2500" w:type="pct"/>
            <w:noWrap/>
          </w:tcPr>
          <w:p w14:paraId="3CA07EEE" w14:textId="77777777" w:rsidR="00C826CD" w:rsidRDefault="00B07A71">
            <w:pPr>
              <w:pStyle w:val="TableText"/>
              <w:rPr>
                <w:rStyle w:val="Emphasis"/>
                <w:rFonts w:eastAsia="SimSun"/>
              </w:rPr>
            </w:pPr>
            <w:r>
              <w:rPr>
                <w:rStyle w:val="Emphasis"/>
              </w:rPr>
              <w:t xml:space="preserve">Ostrea </w:t>
            </w:r>
            <w:proofErr w:type="spellStart"/>
            <w:r>
              <w:rPr>
                <w:rStyle w:val="Emphasis"/>
              </w:rPr>
              <w:t>denselammellosa</w:t>
            </w:r>
            <w:proofErr w:type="spellEnd"/>
          </w:p>
        </w:tc>
      </w:tr>
      <w:tr w:rsidR="00C826CD" w14:paraId="17BB2C74" w14:textId="77777777">
        <w:trPr>
          <w:cantSplit/>
          <w:trHeight w:val="315"/>
        </w:trPr>
        <w:tc>
          <w:tcPr>
            <w:tcW w:w="2500" w:type="pct"/>
            <w:noWrap/>
          </w:tcPr>
          <w:p w14:paraId="48A6DA27" w14:textId="77777777" w:rsidR="00C826CD" w:rsidRDefault="00B07A71">
            <w:pPr>
              <w:pStyle w:val="TableText"/>
            </w:pPr>
            <w:r>
              <w:t xml:space="preserve">Blue </w:t>
            </w:r>
            <w:proofErr w:type="spellStart"/>
            <w:r>
              <w:t>mussel</w:t>
            </w:r>
            <w:r>
              <w:rPr>
                <w:vertAlign w:val="superscript"/>
              </w:rPr>
              <w:t>a</w:t>
            </w:r>
            <w:proofErr w:type="spellEnd"/>
          </w:p>
        </w:tc>
        <w:tc>
          <w:tcPr>
            <w:tcW w:w="2500" w:type="pct"/>
            <w:noWrap/>
          </w:tcPr>
          <w:p w14:paraId="440BE774" w14:textId="77777777" w:rsidR="00C826CD" w:rsidRDefault="00B07A71">
            <w:pPr>
              <w:pStyle w:val="TableText"/>
              <w:rPr>
                <w:rStyle w:val="Emphasis"/>
                <w:rFonts w:eastAsia="SimSun"/>
              </w:rPr>
            </w:pPr>
            <w:r>
              <w:rPr>
                <w:rStyle w:val="Emphasis"/>
              </w:rPr>
              <w:t>Mytilus edulis</w:t>
            </w:r>
          </w:p>
        </w:tc>
      </w:tr>
      <w:tr w:rsidR="00C826CD" w14:paraId="58ECF54E" w14:textId="77777777">
        <w:trPr>
          <w:cantSplit/>
          <w:trHeight w:val="315"/>
        </w:trPr>
        <w:tc>
          <w:tcPr>
            <w:tcW w:w="2500" w:type="pct"/>
            <w:noWrap/>
          </w:tcPr>
          <w:p w14:paraId="02A5136B" w14:textId="77777777" w:rsidR="00C826CD" w:rsidRDefault="00B07A71">
            <w:pPr>
              <w:pStyle w:val="TableText"/>
            </w:pPr>
            <w:r>
              <w:t>Calico scallop</w:t>
            </w:r>
          </w:p>
        </w:tc>
        <w:tc>
          <w:tcPr>
            <w:tcW w:w="2500" w:type="pct"/>
            <w:noWrap/>
          </w:tcPr>
          <w:p w14:paraId="11E6A8F8" w14:textId="77777777" w:rsidR="00C826CD" w:rsidRDefault="00B07A71">
            <w:pPr>
              <w:pStyle w:val="TableText"/>
              <w:rPr>
                <w:rStyle w:val="Emphasis"/>
              </w:rPr>
            </w:pPr>
            <w:proofErr w:type="spellStart"/>
            <w:r>
              <w:rPr>
                <w:rStyle w:val="Emphasis"/>
              </w:rPr>
              <w:t>Argopecten</w:t>
            </w:r>
            <w:proofErr w:type="spellEnd"/>
            <w:r>
              <w:rPr>
                <w:rStyle w:val="Emphasis"/>
              </w:rPr>
              <w:t xml:space="preserve"> gibbus</w:t>
            </w:r>
          </w:p>
        </w:tc>
      </w:tr>
      <w:tr w:rsidR="00C826CD" w14:paraId="28888E78" w14:textId="77777777">
        <w:trPr>
          <w:cantSplit/>
          <w:trHeight w:val="315"/>
        </w:trPr>
        <w:tc>
          <w:tcPr>
            <w:tcW w:w="2500" w:type="pct"/>
            <w:noWrap/>
          </w:tcPr>
          <w:p w14:paraId="158B9F8F" w14:textId="77777777" w:rsidR="00C826CD" w:rsidRDefault="00B07A71">
            <w:pPr>
              <w:pStyle w:val="TableText"/>
            </w:pPr>
            <w:r>
              <w:t xml:space="preserve">Common </w:t>
            </w:r>
            <w:proofErr w:type="spellStart"/>
            <w:r>
              <w:t>cockle</w:t>
            </w:r>
            <w:r>
              <w:rPr>
                <w:vertAlign w:val="superscript"/>
              </w:rPr>
              <w:t>a</w:t>
            </w:r>
            <w:proofErr w:type="spellEnd"/>
          </w:p>
        </w:tc>
        <w:tc>
          <w:tcPr>
            <w:tcW w:w="2500" w:type="pct"/>
            <w:noWrap/>
          </w:tcPr>
          <w:p w14:paraId="2874EBD8" w14:textId="6CCDDC44" w:rsidR="00C826CD" w:rsidRDefault="00B07A71">
            <w:pPr>
              <w:pStyle w:val="TableText"/>
              <w:rPr>
                <w:rStyle w:val="Emphasis"/>
              </w:rPr>
            </w:pPr>
            <w:proofErr w:type="spellStart"/>
            <w:r>
              <w:rPr>
                <w:rStyle w:val="Emphasis"/>
              </w:rPr>
              <w:t>Cerastoderma</w:t>
            </w:r>
            <w:proofErr w:type="spellEnd"/>
            <w:r>
              <w:rPr>
                <w:rStyle w:val="Emphasis"/>
              </w:rPr>
              <w:t xml:space="preserve"> </w:t>
            </w:r>
            <w:proofErr w:type="spellStart"/>
            <w:r>
              <w:rPr>
                <w:rStyle w:val="Emphasis"/>
              </w:rPr>
              <w:t>edule</w:t>
            </w:r>
            <w:proofErr w:type="spellEnd"/>
          </w:p>
        </w:tc>
      </w:tr>
      <w:tr w:rsidR="00C826CD" w14:paraId="3BFDF038" w14:textId="77777777">
        <w:trPr>
          <w:cantSplit/>
          <w:trHeight w:val="315"/>
        </w:trPr>
        <w:tc>
          <w:tcPr>
            <w:tcW w:w="2500" w:type="pct"/>
            <w:noWrap/>
          </w:tcPr>
          <w:p w14:paraId="19CE52A2" w14:textId="77777777" w:rsidR="00C826CD" w:rsidRDefault="00B07A71">
            <w:pPr>
              <w:pStyle w:val="TableText"/>
            </w:pPr>
            <w:r>
              <w:t>Dwarf oyster</w:t>
            </w:r>
          </w:p>
        </w:tc>
        <w:tc>
          <w:tcPr>
            <w:tcW w:w="2500" w:type="pct"/>
            <w:noWrap/>
          </w:tcPr>
          <w:p w14:paraId="1B44DDCE" w14:textId="77777777" w:rsidR="00C826CD" w:rsidRDefault="00B07A71">
            <w:pPr>
              <w:pStyle w:val="TableText"/>
              <w:rPr>
                <w:rStyle w:val="Emphasis"/>
              </w:rPr>
            </w:pPr>
            <w:r>
              <w:rPr>
                <w:rStyle w:val="Emphasis"/>
              </w:rPr>
              <w:t xml:space="preserve">Ostrea </w:t>
            </w:r>
            <w:proofErr w:type="spellStart"/>
            <w:r>
              <w:rPr>
                <w:rStyle w:val="Emphasis"/>
              </w:rPr>
              <w:t>stentina</w:t>
            </w:r>
            <w:proofErr w:type="spellEnd"/>
          </w:p>
        </w:tc>
      </w:tr>
      <w:tr w:rsidR="00C826CD" w14:paraId="70946CBB" w14:textId="77777777">
        <w:trPr>
          <w:cantSplit/>
          <w:trHeight w:val="315"/>
        </w:trPr>
        <w:tc>
          <w:tcPr>
            <w:tcW w:w="2500" w:type="pct"/>
            <w:noWrap/>
          </w:tcPr>
          <w:p w14:paraId="17F559A8" w14:textId="77777777" w:rsidR="00C826CD" w:rsidRDefault="00B07A71">
            <w:pPr>
              <w:pStyle w:val="TableText"/>
            </w:pPr>
            <w:r>
              <w:t xml:space="preserve">European flat </w:t>
            </w:r>
            <w:proofErr w:type="spellStart"/>
            <w:r>
              <w:t>oyster</w:t>
            </w:r>
            <w:r>
              <w:rPr>
                <w:vertAlign w:val="superscript"/>
              </w:rPr>
              <w:t>a</w:t>
            </w:r>
            <w:proofErr w:type="spellEnd"/>
          </w:p>
        </w:tc>
        <w:tc>
          <w:tcPr>
            <w:tcW w:w="2500" w:type="pct"/>
            <w:noWrap/>
          </w:tcPr>
          <w:p w14:paraId="3A7D362F" w14:textId="77777777" w:rsidR="00C826CD" w:rsidRDefault="00B07A71">
            <w:pPr>
              <w:pStyle w:val="TableText"/>
              <w:rPr>
                <w:rStyle w:val="Emphasis"/>
              </w:rPr>
            </w:pPr>
            <w:r>
              <w:rPr>
                <w:rStyle w:val="Emphasis"/>
              </w:rPr>
              <w:t>Ostrea edulis</w:t>
            </w:r>
          </w:p>
        </w:tc>
      </w:tr>
      <w:tr w:rsidR="00C826CD" w14:paraId="1E019DE5" w14:textId="77777777">
        <w:trPr>
          <w:cantSplit/>
          <w:trHeight w:val="315"/>
        </w:trPr>
        <w:tc>
          <w:tcPr>
            <w:tcW w:w="2500" w:type="pct"/>
            <w:noWrap/>
          </w:tcPr>
          <w:p w14:paraId="091C42F7" w14:textId="77777777" w:rsidR="00C826CD" w:rsidRDefault="00B07A71">
            <w:pPr>
              <w:pStyle w:val="TableText"/>
            </w:pPr>
            <w:r>
              <w:t xml:space="preserve">European razor </w:t>
            </w:r>
            <w:proofErr w:type="spellStart"/>
            <w:r>
              <w:t>clam</w:t>
            </w:r>
            <w:r>
              <w:rPr>
                <w:vertAlign w:val="superscript"/>
              </w:rPr>
              <w:t>a</w:t>
            </w:r>
            <w:proofErr w:type="spellEnd"/>
          </w:p>
        </w:tc>
        <w:tc>
          <w:tcPr>
            <w:tcW w:w="2500" w:type="pct"/>
            <w:noWrap/>
          </w:tcPr>
          <w:p w14:paraId="1C41A91E" w14:textId="77777777" w:rsidR="00C826CD" w:rsidRDefault="00B07A71">
            <w:pPr>
              <w:pStyle w:val="TableText"/>
              <w:rPr>
                <w:rStyle w:val="Emphasis"/>
              </w:rPr>
            </w:pPr>
            <w:proofErr w:type="spellStart"/>
            <w:r>
              <w:rPr>
                <w:rStyle w:val="Emphasis"/>
              </w:rPr>
              <w:t>Solen</w:t>
            </w:r>
            <w:proofErr w:type="spellEnd"/>
            <w:r>
              <w:rPr>
                <w:rStyle w:val="Emphasis"/>
              </w:rPr>
              <w:t xml:space="preserve"> </w:t>
            </w:r>
            <w:proofErr w:type="spellStart"/>
            <w:r>
              <w:rPr>
                <w:rStyle w:val="Emphasis"/>
              </w:rPr>
              <w:t>marginatus</w:t>
            </w:r>
            <w:proofErr w:type="spellEnd"/>
          </w:p>
        </w:tc>
      </w:tr>
      <w:tr w:rsidR="00C826CD" w14:paraId="0D87721F" w14:textId="77777777">
        <w:trPr>
          <w:cantSplit/>
          <w:trHeight w:val="315"/>
        </w:trPr>
        <w:tc>
          <w:tcPr>
            <w:tcW w:w="2500" w:type="pct"/>
            <w:noWrap/>
          </w:tcPr>
          <w:p w14:paraId="3F13244C" w14:textId="77777777" w:rsidR="00C826CD" w:rsidRDefault="00B07A71">
            <w:pPr>
              <w:pStyle w:val="TableText"/>
            </w:pPr>
            <w:r>
              <w:t xml:space="preserve">Mediterranean </w:t>
            </w:r>
            <w:proofErr w:type="spellStart"/>
            <w:r>
              <w:t>mussel</w:t>
            </w:r>
            <w:r>
              <w:rPr>
                <w:vertAlign w:val="superscript"/>
              </w:rPr>
              <w:t>a</w:t>
            </w:r>
            <w:proofErr w:type="spellEnd"/>
          </w:p>
        </w:tc>
        <w:tc>
          <w:tcPr>
            <w:tcW w:w="2500" w:type="pct"/>
            <w:noWrap/>
          </w:tcPr>
          <w:p w14:paraId="5C6443BC" w14:textId="77777777" w:rsidR="00C826CD" w:rsidRDefault="00B07A71">
            <w:pPr>
              <w:pStyle w:val="TableText"/>
              <w:rPr>
                <w:rStyle w:val="Emphasis"/>
              </w:rPr>
            </w:pPr>
            <w:r>
              <w:rPr>
                <w:rStyle w:val="Emphasis"/>
              </w:rPr>
              <w:t xml:space="preserve">Mytilus </w:t>
            </w:r>
            <w:proofErr w:type="spellStart"/>
            <w:r>
              <w:rPr>
                <w:rStyle w:val="Emphasis"/>
              </w:rPr>
              <w:t>galloprovincialis</w:t>
            </w:r>
            <w:proofErr w:type="spellEnd"/>
          </w:p>
        </w:tc>
      </w:tr>
      <w:tr w:rsidR="00C826CD" w14:paraId="5DE61E0F" w14:textId="77777777">
        <w:trPr>
          <w:cantSplit/>
          <w:trHeight w:val="315"/>
        </w:trPr>
        <w:tc>
          <w:tcPr>
            <w:tcW w:w="2500" w:type="pct"/>
            <w:noWrap/>
          </w:tcPr>
          <w:p w14:paraId="2031B52D" w14:textId="77777777" w:rsidR="00C826CD" w:rsidRDefault="00B07A71">
            <w:pPr>
              <w:pStyle w:val="TableText"/>
            </w:pPr>
            <w:r>
              <w:t xml:space="preserve">New Zealand dredge </w:t>
            </w:r>
            <w:proofErr w:type="spellStart"/>
            <w:r>
              <w:t>oyster</w:t>
            </w:r>
            <w:r>
              <w:rPr>
                <w:vertAlign w:val="superscript"/>
              </w:rPr>
              <w:t>a</w:t>
            </w:r>
            <w:proofErr w:type="spellEnd"/>
          </w:p>
        </w:tc>
        <w:tc>
          <w:tcPr>
            <w:tcW w:w="2500" w:type="pct"/>
            <w:noWrap/>
          </w:tcPr>
          <w:p w14:paraId="2E0055BE" w14:textId="77777777" w:rsidR="00C826CD" w:rsidRDefault="00B07A71">
            <w:pPr>
              <w:pStyle w:val="TableText"/>
              <w:rPr>
                <w:rStyle w:val="Emphasis"/>
              </w:rPr>
            </w:pPr>
            <w:r>
              <w:rPr>
                <w:rStyle w:val="Emphasis"/>
              </w:rPr>
              <w:t>Ostrea chilensis</w:t>
            </w:r>
          </w:p>
        </w:tc>
      </w:tr>
      <w:tr w:rsidR="00C826CD" w14:paraId="5F98BBE9" w14:textId="77777777">
        <w:trPr>
          <w:cantSplit/>
          <w:trHeight w:val="315"/>
        </w:trPr>
        <w:tc>
          <w:tcPr>
            <w:tcW w:w="2500" w:type="pct"/>
            <w:noWrap/>
          </w:tcPr>
          <w:p w14:paraId="601BFC97" w14:textId="77777777" w:rsidR="00C826CD" w:rsidRDefault="00B07A71">
            <w:pPr>
              <w:pStyle w:val="TableText"/>
            </w:pPr>
            <w:r>
              <w:t xml:space="preserve">Olympia </w:t>
            </w:r>
            <w:proofErr w:type="spellStart"/>
            <w:r>
              <w:t>oyster</w:t>
            </w:r>
            <w:r>
              <w:rPr>
                <w:vertAlign w:val="superscript"/>
              </w:rPr>
              <w:t>a</w:t>
            </w:r>
            <w:proofErr w:type="spellEnd"/>
          </w:p>
        </w:tc>
        <w:tc>
          <w:tcPr>
            <w:tcW w:w="2500" w:type="pct"/>
            <w:noWrap/>
          </w:tcPr>
          <w:p w14:paraId="2CB61036" w14:textId="77777777" w:rsidR="00C826CD" w:rsidRDefault="00B07A71">
            <w:pPr>
              <w:pStyle w:val="TableText"/>
              <w:rPr>
                <w:rStyle w:val="Emphasis"/>
              </w:rPr>
            </w:pPr>
            <w:r>
              <w:rPr>
                <w:rStyle w:val="Emphasis"/>
              </w:rPr>
              <w:t xml:space="preserve">Ostrea </w:t>
            </w:r>
            <w:proofErr w:type="spellStart"/>
            <w:r>
              <w:rPr>
                <w:rStyle w:val="Emphasis"/>
              </w:rPr>
              <w:t>conchaphila</w:t>
            </w:r>
            <w:proofErr w:type="spellEnd"/>
          </w:p>
        </w:tc>
      </w:tr>
      <w:tr w:rsidR="00C826CD" w14:paraId="06AC3BE3" w14:textId="77777777">
        <w:trPr>
          <w:cantSplit/>
          <w:trHeight w:val="315"/>
        </w:trPr>
        <w:tc>
          <w:tcPr>
            <w:tcW w:w="2500" w:type="pct"/>
            <w:noWrap/>
          </w:tcPr>
          <w:p w14:paraId="016DC0C0" w14:textId="3088083A" w:rsidR="00C826CD" w:rsidRDefault="00B07A71">
            <w:pPr>
              <w:pStyle w:val="TableText"/>
            </w:pPr>
            <w:r>
              <w:t>Pacific oyster</w:t>
            </w:r>
          </w:p>
        </w:tc>
        <w:tc>
          <w:tcPr>
            <w:tcW w:w="2500" w:type="pct"/>
            <w:noWrap/>
          </w:tcPr>
          <w:p w14:paraId="6A8836D3" w14:textId="77777777" w:rsidR="00C826CD" w:rsidRDefault="00B07A71">
            <w:pPr>
              <w:pStyle w:val="TableText"/>
              <w:rPr>
                <w:rStyle w:val="Emphasis"/>
              </w:rPr>
            </w:pPr>
            <w:r>
              <w:rPr>
                <w:rStyle w:val="Emphasis"/>
              </w:rPr>
              <w:t xml:space="preserve">Crassostrea </w:t>
            </w:r>
            <w:proofErr w:type="spellStart"/>
            <w:r>
              <w:rPr>
                <w:rStyle w:val="Emphasis"/>
              </w:rPr>
              <w:t>gigas</w:t>
            </w:r>
            <w:proofErr w:type="spellEnd"/>
          </w:p>
        </w:tc>
      </w:tr>
      <w:tr w:rsidR="00C826CD" w14:paraId="30CBBA84" w14:textId="77777777">
        <w:trPr>
          <w:cantSplit/>
          <w:trHeight w:val="315"/>
        </w:trPr>
        <w:tc>
          <w:tcPr>
            <w:tcW w:w="2500" w:type="pct"/>
            <w:noWrap/>
          </w:tcPr>
          <w:p w14:paraId="18821C61" w14:textId="77777777" w:rsidR="00C826CD" w:rsidRDefault="00B07A71">
            <w:pPr>
              <w:pStyle w:val="TableText"/>
            </w:pPr>
            <w:r>
              <w:t xml:space="preserve">Rock </w:t>
            </w:r>
            <w:proofErr w:type="spellStart"/>
            <w:r>
              <w:t>oyster</w:t>
            </w:r>
            <w:r>
              <w:rPr>
                <w:vertAlign w:val="superscript"/>
              </w:rPr>
              <w:t>a</w:t>
            </w:r>
            <w:proofErr w:type="spellEnd"/>
          </w:p>
        </w:tc>
        <w:tc>
          <w:tcPr>
            <w:tcW w:w="2500" w:type="pct"/>
            <w:noWrap/>
          </w:tcPr>
          <w:p w14:paraId="52876F75" w14:textId="77777777" w:rsidR="00C826CD" w:rsidRDefault="00B07A71">
            <w:pPr>
              <w:pStyle w:val="TableText"/>
              <w:rPr>
                <w:rStyle w:val="Emphasis"/>
              </w:rPr>
            </w:pPr>
            <w:r>
              <w:rPr>
                <w:rStyle w:val="Emphasis"/>
              </w:rPr>
              <w:t xml:space="preserve">Saccostrea </w:t>
            </w:r>
            <w:proofErr w:type="spellStart"/>
            <w:r>
              <w:rPr>
                <w:rStyle w:val="Emphasis"/>
              </w:rPr>
              <w:t>cucullata</w:t>
            </w:r>
            <w:proofErr w:type="spellEnd"/>
          </w:p>
        </w:tc>
      </w:tr>
      <w:tr w:rsidR="00C826CD" w14:paraId="6AEE244F" w14:textId="77777777">
        <w:trPr>
          <w:cantSplit/>
          <w:trHeight w:val="315"/>
        </w:trPr>
        <w:tc>
          <w:tcPr>
            <w:tcW w:w="2500" w:type="pct"/>
            <w:noWrap/>
          </w:tcPr>
          <w:p w14:paraId="12BF19B8" w14:textId="77777777" w:rsidR="00C826CD" w:rsidRDefault="00B07A71">
            <w:pPr>
              <w:pStyle w:val="TableText"/>
            </w:pPr>
            <w:r>
              <w:t>Small brown mussel</w:t>
            </w:r>
          </w:p>
        </w:tc>
        <w:tc>
          <w:tcPr>
            <w:tcW w:w="2500" w:type="pct"/>
            <w:noWrap/>
          </w:tcPr>
          <w:p w14:paraId="484A716C" w14:textId="77777777" w:rsidR="00C826CD" w:rsidRDefault="00B07A71">
            <w:pPr>
              <w:pStyle w:val="TableText"/>
              <w:rPr>
                <w:rStyle w:val="Emphasis"/>
              </w:rPr>
            </w:pPr>
            <w:proofErr w:type="spellStart"/>
            <w:r>
              <w:rPr>
                <w:rStyle w:val="Emphasis"/>
              </w:rPr>
              <w:t>Xenostrobus</w:t>
            </w:r>
            <w:proofErr w:type="spellEnd"/>
            <w:r>
              <w:rPr>
                <w:rStyle w:val="Emphasis"/>
              </w:rPr>
              <w:t xml:space="preserve"> </w:t>
            </w:r>
            <w:proofErr w:type="spellStart"/>
            <w:r>
              <w:rPr>
                <w:rStyle w:val="Emphasis"/>
              </w:rPr>
              <w:t>securis</w:t>
            </w:r>
            <w:proofErr w:type="spellEnd"/>
          </w:p>
        </w:tc>
      </w:tr>
      <w:tr w:rsidR="00C826CD" w14:paraId="765F087E" w14:textId="77777777">
        <w:trPr>
          <w:cantSplit/>
          <w:trHeight w:val="315"/>
        </w:trPr>
        <w:tc>
          <w:tcPr>
            <w:tcW w:w="2500" w:type="pct"/>
            <w:noWrap/>
          </w:tcPr>
          <w:p w14:paraId="4CF3D000" w14:textId="77777777" w:rsidR="00C826CD" w:rsidRDefault="00B07A71">
            <w:pPr>
              <w:pStyle w:val="TableText"/>
            </w:pPr>
            <w:r>
              <w:t>Southern mud oyster or Australian flat oyster</w:t>
            </w:r>
          </w:p>
        </w:tc>
        <w:tc>
          <w:tcPr>
            <w:tcW w:w="2500" w:type="pct"/>
            <w:noWrap/>
          </w:tcPr>
          <w:p w14:paraId="407F8005" w14:textId="77777777" w:rsidR="00C826CD" w:rsidRDefault="00B07A71">
            <w:pPr>
              <w:pStyle w:val="TableText"/>
              <w:rPr>
                <w:rStyle w:val="Emphasis"/>
              </w:rPr>
            </w:pPr>
            <w:r>
              <w:rPr>
                <w:rStyle w:val="Emphasis"/>
              </w:rPr>
              <w:t xml:space="preserve">Ostrea </w:t>
            </w:r>
            <w:proofErr w:type="spellStart"/>
            <w:r>
              <w:rPr>
                <w:rStyle w:val="Emphasis"/>
              </w:rPr>
              <w:t>angasi</w:t>
            </w:r>
            <w:proofErr w:type="spellEnd"/>
          </w:p>
        </w:tc>
      </w:tr>
      <w:tr w:rsidR="00C826CD" w14:paraId="044B1D53" w14:textId="77777777">
        <w:trPr>
          <w:cantSplit/>
          <w:trHeight w:val="315"/>
        </w:trPr>
        <w:tc>
          <w:tcPr>
            <w:tcW w:w="2500" w:type="pct"/>
            <w:noWrap/>
          </w:tcPr>
          <w:p w14:paraId="36D5D152" w14:textId="77777777" w:rsidR="00C826CD" w:rsidRDefault="00B07A71">
            <w:pPr>
              <w:pStyle w:val="TableText"/>
            </w:pPr>
            <w:r>
              <w:t xml:space="preserve">Striped </w:t>
            </w:r>
            <w:proofErr w:type="spellStart"/>
            <w:r>
              <w:t>venus</w:t>
            </w:r>
            <w:proofErr w:type="spellEnd"/>
            <w:r>
              <w:t xml:space="preserve"> </w:t>
            </w:r>
            <w:proofErr w:type="spellStart"/>
            <w:r>
              <w:t>clam</w:t>
            </w:r>
            <w:r>
              <w:rPr>
                <w:vertAlign w:val="superscript"/>
              </w:rPr>
              <w:t>a</w:t>
            </w:r>
            <w:proofErr w:type="spellEnd"/>
          </w:p>
        </w:tc>
        <w:tc>
          <w:tcPr>
            <w:tcW w:w="2500" w:type="pct"/>
            <w:noWrap/>
          </w:tcPr>
          <w:p w14:paraId="43CC00E5" w14:textId="77777777" w:rsidR="00C826CD" w:rsidRDefault="00B07A71">
            <w:pPr>
              <w:pStyle w:val="TableText"/>
              <w:rPr>
                <w:rStyle w:val="Emphasis"/>
              </w:rPr>
            </w:pPr>
            <w:proofErr w:type="spellStart"/>
            <w:r>
              <w:rPr>
                <w:rStyle w:val="Emphasis"/>
              </w:rPr>
              <w:t>Chamelea</w:t>
            </w:r>
            <w:proofErr w:type="spellEnd"/>
            <w:r>
              <w:rPr>
                <w:rStyle w:val="Emphasis"/>
              </w:rPr>
              <w:t xml:space="preserve"> </w:t>
            </w:r>
            <w:proofErr w:type="spellStart"/>
            <w:r>
              <w:rPr>
                <w:rStyle w:val="Emphasis"/>
              </w:rPr>
              <w:t>gallina</w:t>
            </w:r>
            <w:proofErr w:type="spellEnd"/>
          </w:p>
        </w:tc>
      </w:tr>
      <w:tr w:rsidR="00C826CD" w14:paraId="214DFDA7" w14:textId="77777777">
        <w:trPr>
          <w:cantSplit/>
          <w:trHeight w:val="315"/>
        </w:trPr>
        <w:tc>
          <w:tcPr>
            <w:tcW w:w="2500" w:type="pct"/>
            <w:noWrap/>
          </w:tcPr>
          <w:p w14:paraId="50B09B3E" w14:textId="77777777" w:rsidR="00C826CD" w:rsidRDefault="00B07A71">
            <w:pPr>
              <w:pStyle w:val="TableText"/>
            </w:pPr>
            <w:r>
              <w:t xml:space="preserve">Planktonic </w:t>
            </w:r>
            <w:proofErr w:type="spellStart"/>
            <w:r>
              <w:t>copepods</w:t>
            </w:r>
            <w:r>
              <w:rPr>
                <w:vertAlign w:val="superscript"/>
              </w:rPr>
              <w:t>a</w:t>
            </w:r>
            <w:proofErr w:type="spellEnd"/>
          </w:p>
        </w:tc>
        <w:tc>
          <w:tcPr>
            <w:tcW w:w="2500" w:type="pct"/>
            <w:noWrap/>
          </w:tcPr>
          <w:p w14:paraId="22408C2A" w14:textId="77777777" w:rsidR="00C826CD" w:rsidRDefault="00B07A71">
            <w:pPr>
              <w:pStyle w:val="TableText"/>
              <w:rPr>
                <w:rStyle w:val="Emphasis"/>
              </w:rPr>
            </w:pPr>
            <w:proofErr w:type="spellStart"/>
            <w:r>
              <w:rPr>
                <w:rStyle w:val="Emphasis"/>
              </w:rPr>
              <w:t>Paracartia</w:t>
            </w:r>
            <w:proofErr w:type="spellEnd"/>
            <w:r>
              <w:rPr>
                <w:rStyle w:val="Emphasis"/>
              </w:rPr>
              <w:t xml:space="preserve"> </w:t>
            </w:r>
            <w:proofErr w:type="spellStart"/>
            <w:r>
              <w:rPr>
                <w:rStyle w:val="Emphasis"/>
              </w:rPr>
              <w:t>grani</w:t>
            </w:r>
            <w:proofErr w:type="spellEnd"/>
          </w:p>
        </w:tc>
      </w:tr>
    </w:tbl>
    <w:p w14:paraId="4808B3B4" w14:textId="233B3D14" w:rsidR="00C826CD" w:rsidRDefault="00B07A71">
      <w:pPr>
        <w:pStyle w:val="FigureTableNoteSource"/>
      </w:pPr>
      <w:r>
        <w:rPr>
          <w:rStyle w:val="Strong"/>
        </w:rPr>
        <w:t>a</w:t>
      </w:r>
      <w:r>
        <w:t xml:space="preserve"> Naturally susceptible. Note: Other species have been shown to be experimentally susceptible.</w:t>
      </w:r>
    </w:p>
    <w:p w14:paraId="10E2D789" w14:textId="77777777" w:rsidR="00C826CD" w:rsidRDefault="00B07A71" w:rsidP="00D60B87">
      <w:pPr>
        <w:pStyle w:val="Heading2"/>
        <w:pageBreakBefore/>
      </w:pPr>
      <w:r>
        <w:lastRenderedPageBreak/>
        <w:t>Presence in Australia</w:t>
      </w:r>
    </w:p>
    <w:p w14:paraId="69735FC2" w14:textId="77777777" w:rsidR="00C826CD" w:rsidRDefault="00B07A71">
      <w:pPr>
        <w:keepNext/>
      </w:pPr>
      <w:r>
        <w:t>Exotic disease—not recorded in Australia.</w:t>
      </w:r>
    </w:p>
    <w:p w14:paraId="0A2D9023" w14:textId="0D76248E" w:rsidR="00C826CD" w:rsidRDefault="00B07A71">
      <w:proofErr w:type="spellStart"/>
      <w:r>
        <w:rPr>
          <w:rStyle w:val="Emphasis"/>
        </w:rPr>
        <w:t>Marteilia</w:t>
      </w:r>
      <w:proofErr w:type="spellEnd"/>
      <w:r>
        <w:rPr>
          <w:rStyle w:val="Emphasis"/>
        </w:rPr>
        <w:t xml:space="preserve"> </w:t>
      </w:r>
      <w:proofErr w:type="spellStart"/>
      <w:r>
        <w:rPr>
          <w:rStyle w:val="Emphasis"/>
        </w:rPr>
        <w:t>refringens</w:t>
      </w:r>
      <w:proofErr w:type="spellEnd"/>
      <w:r>
        <w:t xml:space="preserve"> has never been recorded in Australia and is considered exotic. However, related species of </w:t>
      </w:r>
      <w:proofErr w:type="spellStart"/>
      <w:r>
        <w:rPr>
          <w:rStyle w:val="Emphasis"/>
        </w:rPr>
        <w:t>Marteilia</w:t>
      </w:r>
      <w:proofErr w:type="spellEnd"/>
      <w:r>
        <w:t xml:space="preserve"> have been detected in various oyster species in Queensland, New South Wales and Western Australia.</w:t>
      </w:r>
    </w:p>
    <w:p w14:paraId="10FF4F75" w14:textId="63855C4F" w:rsidR="00C826CD" w:rsidRDefault="00B07A71">
      <w:pPr>
        <w:pStyle w:val="Caption"/>
      </w:pPr>
      <w:r>
        <w:t xml:space="preserve">Map </w:t>
      </w:r>
      <w:r>
        <w:rPr>
          <w:noProof/>
        </w:rPr>
        <w:fldChar w:fldCharType="begin"/>
      </w:r>
      <w:r>
        <w:rPr>
          <w:noProof/>
        </w:rPr>
        <w:instrText xml:space="preserve"> SEQ Map \* ARABIC </w:instrText>
      </w:r>
      <w:r>
        <w:rPr>
          <w:noProof/>
        </w:rPr>
        <w:fldChar w:fldCharType="separate"/>
      </w:r>
      <w:r w:rsidR="00AD18CF">
        <w:rPr>
          <w:noProof/>
        </w:rPr>
        <w:t>1</w:t>
      </w:r>
      <w:r>
        <w:rPr>
          <w:noProof/>
        </w:rPr>
        <w:fldChar w:fldCharType="end"/>
      </w:r>
      <w:r>
        <w:t xml:space="preserve"> Presence of </w:t>
      </w:r>
      <w:proofErr w:type="spellStart"/>
      <w:r>
        <w:rPr>
          <w:rStyle w:val="Emphasis"/>
        </w:rPr>
        <w:t>Marteilia</w:t>
      </w:r>
      <w:proofErr w:type="spellEnd"/>
      <w:r>
        <w:rPr>
          <w:rStyle w:val="Emphasis"/>
        </w:rPr>
        <w:t xml:space="preserve"> </w:t>
      </w:r>
      <w:proofErr w:type="spellStart"/>
      <w:r>
        <w:rPr>
          <w:rStyle w:val="Emphasis"/>
        </w:rPr>
        <w:t>refringens</w:t>
      </w:r>
      <w:proofErr w:type="spellEnd"/>
      <w:r>
        <w:t>, by jurisdiction</w:t>
      </w:r>
    </w:p>
    <w:p w14:paraId="2D97EC95" w14:textId="77777777" w:rsidR="00C826CD" w:rsidRDefault="00B07A71">
      <w:r>
        <w:rPr>
          <w:noProof/>
          <w:lang w:eastAsia="en-AU"/>
        </w:rPr>
        <w:drawing>
          <wp:inline distT="0" distB="0" distL="0" distR="0" wp14:anchorId="03506F43" wp14:editId="3FC92220">
            <wp:extent cx="4143464" cy="2950464"/>
            <wp:effectExtent l="0" t="0" r="0" b="2540"/>
            <wp:docPr id="1"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s_blank copy.jpg"/>
                    <pic:cNvPicPr/>
                  </pic:nvPicPr>
                  <pic:blipFill>
                    <a:blip r:embed="rId12" cstate="print">
                      <a:extLst>
                        <a:ext uri="{28A0092B-C50C-407E-A947-70E740481C1C}">
                          <a14:useLocalDpi xmlns:a14="http://schemas.microsoft.com/office/drawing/2010/main"/>
                        </a:ext>
                      </a:extLst>
                    </a:blip>
                    <a:stretch>
                      <a:fillRect/>
                    </a:stretch>
                  </pic:blipFill>
                  <pic:spPr>
                    <a:xfrm>
                      <a:off x="0" y="0"/>
                      <a:ext cx="4143464" cy="2950464"/>
                    </a:xfrm>
                    <a:prstGeom prst="rect">
                      <a:avLst/>
                    </a:prstGeom>
                  </pic:spPr>
                </pic:pic>
              </a:graphicData>
            </a:graphic>
          </wp:inline>
        </w:drawing>
      </w:r>
    </w:p>
    <w:p w14:paraId="385BE8FF" w14:textId="77777777" w:rsidR="00C826CD" w:rsidRDefault="00B07A71">
      <w:pPr>
        <w:pStyle w:val="Heading2"/>
        <w:keepLines/>
      </w:pPr>
      <w:r>
        <w:t>Epidemiology</w:t>
      </w:r>
    </w:p>
    <w:p w14:paraId="39064273" w14:textId="2B443BDB" w:rsidR="00C826CD" w:rsidRDefault="00B07A71">
      <w:pPr>
        <w:pStyle w:val="ListBullet"/>
      </w:pPr>
      <w:proofErr w:type="spellStart"/>
      <w:r>
        <w:rPr>
          <w:rStyle w:val="Emphasis"/>
        </w:rPr>
        <w:t>Marteilia</w:t>
      </w:r>
      <w:proofErr w:type="spellEnd"/>
      <w:r>
        <w:rPr>
          <w:rStyle w:val="Emphasis"/>
        </w:rPr>
        <w:t xml:space="preserve"> </w:t>
      </w:r>
      <w:proofErr w:type="spellStart"/>
      <w:r>
        <w:rPr>
          <w:rStyle w:val="Emphasis"/>
        </w:rPr>
        <w:t>refringens</w:t>
      </w:r>
      <w:proofErr w:type="spellEnd"/>
      <w:r>
        <w:t xml:space="preserve"> infections result in high cumulative mortality (50 to 90%) and is associated with sporulation of the parasite in the epithelial cells of the digestive tubules.</w:t>
      </w:r>
    </w:p>
    <w:p w14:paraId="402FF804" w14:textId="77777777" w:rsidR="00C826CD" w:rsidRDefault="00B07A71">
      <w:pPr>
        <w:pStyle w:val="ListBullet"/>
      </w:pPr>
      <w:r>
        <w:t>Highest cumulative mortalities usually occur during summer and autumn.</w:t>
      </w:r>
    </w:p>
    <w:p w14:paraId="0B4A7AD0" w14:textId="77777777" w:rsidR="00C826CD" w:rsidRDefault="00B07A71">
      <w:pPr>
        <w:pStyle w:val="ListBullet"/>
      </w:pPr>
      <w:r>
        <w:t>Earlier stages of sporulation occur in epithelia of the digestive ducts and possibly the gills.</w:t>
      </w:r>
    </w:p>
    <w:p w14:paraId="43562A5F" w14:textId="73B906EA" w:rsidR="00C826CD" w:rsidRDefault="00B07A71">
      <w:pPr>
        <w:pStyle w:val="ListBullet"/>
      </w:pPr>
      <w:r>
        <w:t xml:space="preserve">Several intermediate hosts or a free-living stage are thought to be required during the life cycle of </w:t>
      </w:r>
      <w:r>
        <w:rPr>
          <w:rStyle w:val="Emphasis"/>
        </w:rPr>
        <w:t>M. </w:t>
      </w:r>
      <w:proofErr w:type="spellStart"/>
      <w:r>
        <w:rPr>
          <w:rStyle w:val="Emphasis"/>
        </w:rPr>
        <w:t>refringens</w:t>
      </w:r>
      <w:proofErr w:type="spellEnd"/>
      <w:r>
        <w:t xml:space="preserve">. The planktonic copepod </w:t>
      </w:r>
      <w:proofErr w:type="spellStart"/>
      <w:r>
        <w:rPr>
          <w:rStyle w:val="Emphasis"/>
        </w:rPr>
        <w:t>Paracartia</w:t>
      </w:r>
      <w:proofErr w:type="spellEnd"/>
      <w:r>
        <w:rPr>
          <w:rStyle w:val="Emphasis"/>
        </w:rPr>
        <w:t xml:space="preserve"> </w:t>
      </w:r>
      <w:proofErr w:type="spellStart"/>
      <w:r>
        <w:rPr>
          <w:rStyle w:val="Emphasis"/>
        </w:rPr>
        <w:t>grani</w:t>
      </w:r>
      <w:proofErr w:type="spellEnd"/>
      <w:r>
        <w:t xml:space="preserve"> is one intermediate host and may be involved in transmission of </w:t>
      </w:r>
      <w:r w:rsidR="0023210D">
        <w:rPr>
          <w:rStyle w:val="Emphasis"/>
        </w:rPr>
        <w:t>M. </w:t>
      </w:r>
      <w:proofErr w:type="spellStart"/>
      <w:r w:rsidR="0023210D">
        <w:rPr>
          <w:rStyle w:val="Emphasis"/>
        </w:rPr>
        <w:t>refringens</w:t>
      </w:r>
      <w:proofErr w:type="spellEnd"/>
      <w:r w:rsidR="0023210D">
        <w:t xml:space="preserve"> </w:t>
      </w:r>
      <w:r>
        <w:t>between bivalves.</w:t>
      </w:r>
    </w:p>
    <w:p w14:paraId="5BA449D0" w14:textId="664E9D70" w:rsidR="00C826CD" w:rsidRDefault="00B07A71">
      <w:pPr>
        <w:pStyle w:val="ListBullet"/>
      </w:pPr>
      <w:proofErr w:type="spellStart"/>
      <w:r>
        <w:rPr>
          <w:rStyle w:val="Emphasis"/>
        </w:rPr>
        <w:t>Marteilia</w:t>
      </w:r>
      <w:proofErr w:type="spellEnd"/>
      <w:r>
        <w:rPr>
          <w:rStyle w:val="Emphasis"/>
        </w:rPr>
        <w:t xml:space="preserve"> </w:t>
      </w:r>
      <w:proofErr w:type="spellStart"/>
      <w:r>
        <w:rPr>
          <w:rStyle w:val="Emphasis"/>
        </w:rPr>
        <w:t>refringens</w:t>
      </w:r>
      <w:proofErr w:type="spellEnd"/>
      <w:r>
        <w:t xml:space="preserve"> can exist in a carrier state in apparently healthy oysters, which can be potential reservoirs of infection.</w:t>
      </w:r>
    </w:p>
    <w:p w14:paraId="48B09F75" w14:textId="1C4B2E5B" w:rsidR="00C826CD" w:rsidRDefault="00B07A71">
      <w:pPr>
        <w:pStyle w:val="ListBullet"/>
      </w:pPr>
      <w:r>
        <w:t>Factors triggering a pathogenic host response are not clearly established. Factors may include environmental stresses and differences in susceptibility to disease between different host populations.</w:t>
      </w:r>
    </w:p>
    <w:p w14:paraId="3AE21EC0" w14:textId="0B3E098A" w:rsidR="00C826CD" w:rsidRDefault="00B07A71">
      <w:pPr>
        <w:pStyle w:val="ListBullet"/>
      </w:pPr>
      <w:r>
        <w:t>The temperature threshold for parasite sporulation and transmission is 17°C. However, this is thought to vary with other environmental factors.</w:t>
      </w:r>
    </w:p>
    <w:p w14:paraId="0FC27E06" w14:textId="77777777" w:rsidR="00C826CD" w:rsidRDefault="00B07A71">
      <w:pPr>
        <w:pStyle w:val="Heading2"/>
      </w:pPr>
      <w:r>
        <w:lastRenderedPageBreak/>
        <w:t>Differential diagnosis</w:t>
      </w:r>
    </w:p>
    <w:p w14:paraId="6F112479" w14:textId="150D47B1" w:rsidR="00C826CD" w:rsidRDefault="00B07A71">
      <w:pPr>
        <w:keepLines/>
      </w:pPr>
      <w:r>
        <w:rPr>
          <w:lang w:eastAsia="en-AU"/>
        </w:rPr>
        <w:t xml:space="preserve">The list of </w:t>
      </w:r>
      <w:hyperlink w:anchor="_Similar_diseases" w:history="1">
        <w:r>
          <w:rPr>
            <w:rStyle w:val="Hyperlink"/>
            <w:lang w:eastAsia="en-AU"/>
          </w:rPr>
          <w:t>similar diseases</w:t>
        </w:r>
      </w:hyperlink>
      <w:r>
        <w:rPr>
          <w:lang w:eastAsia="en-AU"/>
        </w:rPr>
        <w:t xml:space="preserve"> in the next section refers only to the diseases covered by this field guide. </w:t>
      </w:r>
      <w:r w:rsidR="00EE3B18" w:rsidRPr="00EE3B18">
        <w:rPr>
          <w:lang w:eastAsia="en-AU"/>
        </w:rPr>
        <w:t>Gross pathological signs may also be representative of diseases not included in this guide. Do not rely on gross signs to provide a definitive diagnosis. Use them as a tool to help identify the listed diseases that most closely account for the observed signs</w:t>
      </w:r>
      <w:r>
        <w:rPr>
          <w:lang w:eastAsia="en-AU"/>
        </w:rPr>
        <w:t>.</w:t>
      </w:r>
    </w:p>
    <w:p w14:paraId="7FB12B11" w14:textId="77777777" w:rsidR="00C826CD" w:rsidRDefault="00B07A71">
      <w:pPr>
        <w:pStyle w:val="Heading2"/>
      </w:pPr>
      <w:bookmarkStart w:id="0" w:name="_Similar_diseases"/>
      <w:bookmarkEnd w:id="0"/>
      <w:r>
        <w:t>Similar diseases</w:t>
      </w:r>
    </w:p>
    <w:p w14:paraId="4ACE27C8" w14:textId="77777777" w:rsidR="00C826CD" w:rsidRDefault="00B07A71">
      <w:r>
        <w:t xml:space="preserve">Infection with </w:t>
      </w:r>
      <w:proofErr w:type="spellStart"/>
      <w:r>
        <w:rPr>
          <w:rStyle w:val="Emphasis"/>
        </w:rPr>
        <w:t>Marteilia</w:t>
      </w:r>
      <w:proofErr w:type="spellEnd"/>
      <w:r>
        <w:rPr>
          <w:rStyle w:val="Emphasis"/>
        </w:rPr>
        <w:t xml:space="preserve"> </w:t>
      </w:r>
      <w:proofErr w:type="spellStart"/>
      <w:r>
        <w:rPr>
          <w:rStyle w:val="Emphasis"/>
        </w:rPr>
        <w:t>sydneyi</w:t>
      </w:r>
      <w:proofErr w:type="spellEnd"/>
      <w:r>
        <w:rPr>
          <w:rStyle w:val="Emphasis"/>
        </w:rPr>
        <w:t>.</w:t>
      </w:r>
    </w:p>
    <w:p w14:paraId="61D90031" w14:textId="7EC156AB" w:rsidR="00C826CD" w:rsidRDefault="00B07A71">
      <w:r>
        <w:t xml:space="preserve">The clinical signs of infection with </w:t>
      </w:r>
      <w:r>
        <w:rPr>
          <w:rStyle w:val="Emphasis"/>
        </w:rPr>
        <w:t>M. </w:t>
      </w:r>
      <w:proofErr w:type="spellStart"/>
      <w:r>
        <w:rPr>
          <w:rStyle w:val="Emphasis"/>
        </w:rPr>
        <w:t>refringens</w:t>
      </w:r>
      <w:proofErr w:type="spellEnd"/>
      <w:r>
        <w:t xml:space="preserve"> are almost identical to those of infection with other </w:t>
      </w:r>
      <w:proofErr w:type="spellStart"/>
      <w:r w:rsidRPr="00712087">
        <w:rPr>
          <w:rStyle w:val="Emphasis"/>
        </w:rPr>
        <w:t>Ascetosporea</w:t>
      </w:r>
      <w:proofErr w:type="spellEnd"/>
      <w:r>
        <w:t>. These include high mortalities associated with colourless and translucent tissue, poor condition, pale digestive gland and a shrunken body.</w:t>
      </w:r>
      <w:r w:rsidR="00712087">
        <w:t xml:space="preserve"> A</w:t>
      </w:r>
      <w:r>
        <w:t>ny presumptive diagnosis requires further laboratory examination. Light microscopy can contribute diagnostic information, but further laboratory examination and molecular diagnostic techniques are required for a definitive diagnosis.</w:t>
      </w:r>
    </w:p>
    <w:p w14:paraId="5CE93E27" w14:textId="77777777" w:rsidR="00C826CD" w:rsidRDefault="00B07A71">
      <w:pPr>
        <w:pStyle w:val="Heading2"/>
      </w:pPr>
      <w:r>
        <w:t>Sample collection</w:t>
      </w:r>
    </w:p>
    <w:p w14:paraId="1FDDAE62" w14:textId="77777777" w:rsidR="00C826CD" w:rsidRDefault="0023210D">
      <w:r w:rsidRPr="0023210D">
        <w:rPr>
          <w:lang w:eastAsia="en-AU"/>
        </w:rPr>
        <w:t>Only trained personnel should collect samples. Using only gross pathological signs to differentiate between diseases is not reliable, and some aquatic animal disease agents pose a risk to humans. If you are not appropriately trained, phone your state or territory hotline number and report your observations. If you have to collect samples, the agency taking your call will advise you on the appropriate course of action. Local or district fisheries or veterinary authorities may also advise on sampling.</w:t>
      </w:r>
    </w:p>
    <w:p w14:paraId="1677A5AB" w14:textId="77777777" w:rsidR="00C826CD" w:rsidRDefault="00B07A71">
      <w:pPr>
        <w:pStyle w:val="Heading2"/>
      </w:pPr>
      <w:r>
        <w:t>Emergency disease hotline</w:t>
      </w:r>
    </w:p>
    <w:p w14:paraId="071B5037" w14:textId="77777777" w:rsidR="00C826CD" w:rsidRDefault="00B07A71">
      <w:r>
        <w:t>See something you think is this disease? Report it. Even if you’re not sure.</w:t>
      </w:r>
    </w:p>
    <w:p w14:paraId="3DE0FF35" w14:textId="1620AEBE" w:rsidR="00C826CD" w:rsidRDefault="00B07A71">
      <w:r>
        <w:t xml:space="preserve">Call the Emergency Animal Disease Watch Hotline on </w:t>
      </w:r>
      <w:r w:rsidR="000673B3">
        <w:rPr>
          <w:rStyle w:val="Strong"/>
        </w:rPr>
        <w:t>1800 675 888</w:t>
      </w:r>
      <w:r>
        <w:t>. They will refer you to the right state or territory agency.</w:t>
      </w:r>
    </w:p>
    <w:p w14:paraId="36D3F377" w14:textId="57EBA9EB" w:rsidR="00C826CD" w:rsidRDefault="00B07A71">
      <w:pPr>
        <w:pStyle w:val="Heading2"/>
      </w:pPr>
      <w:r>
        <w:t>Microscope images</w:t>
      </w:r>
    </w:p>
    <w:p w14:paraId="7C2FEAFA" w14:textId="44690548" w:rsidR="00C826CD" w:rsidRDefault="00B07A71">
      <w:pPr>
        <w:pStyle w:val="Caption"/>
      </w:pPr>
      <w:r>
        <w:t xml:space="preserve">Figure </w:t>
      </w:r>
      <w:r>
        <w:rPr>
          <w:noProof/>
        </w:rPr>
        <w:fldChar w:fldCharType="begin"/>
      </w:r>
      <w:r>
        <w:rPr>
          <w:noProof/>
        </w:rPr>
        <w:instrText xml:space="preserve"> SEQ Figure \* ARABIC </w:instrText>
      </w:r>
      <w:r>
        <w:rPr>
          <w:noProof/>
        </w:rPr>
        <w:fldChar w:fldCharType="separate"/>
      </w:r>
      <w:r w:rsidR="00AD18CF">
        <w:rPr>
          <w:noProof/>
        </w:rPr>
        <w:t>2</w:t>
      </w:r>
      <w:r>
        <w:rPr>
          <w:noProof/>
        </w:rPr>
        <w:fldChar w:fldCharType="end"/>
      </w:r>
      <w:r>
        <w:t xml:space="preserve"> Stained digestive gland imprint from European flat oyster (</w:t>
      </w:r>
      <w:r>
        <w:rPr>
          <w:rStyle w:val="Emphasis"/>
        </w:rPr>
        <w:t>Ostrea edulis</w:t>
      </w:r>
      <w:r>
        <w:t xml:space="preserve">) infected with </w:t>
      </w:r>
      <w:proofErr w:type="spellStart"/>
      <w:r>
        <w:rPr>
          <w:rStyle w:val="Emphasis"/>
        </w:rPr>
        <w:t>Marteilia</w:t>
      </w:r>
      <w:proofErr w:type="spellEnd"/>
      <w:r>
        <w:rPr>
          <w:rStyle w:val="Emphasis"/>
        </w:rPr>
        <w:t> </w:t>
      </w:r>
      <w:proofErr w:type="spellStart"/>
      <w:r>
        <w:rPr>
          <w:rStyle w:val="Emphasis"/>
        </w:rPr>
        <w:t>refringens</w:t>
      </w:r>
      <w:proofErr w:type="spellEnd"/>
    </w:p>
    <w:p w14:paraId="555680D0" w14:textId="77777777" w:rsidR="00C826CD" w:rsidRDefault="00B07A71">
      <w:r>
        <w:rPr>
          <w:noProof/>
          <w:lang w:eastAsia="en-AU"/>
        </w:rPr>
        <w:drawing>
          <wp:inline distT="0" distB="0" distL="0" distR="0" wp14:anchorId="222EF5BA" wp14:editId="2EA3F081">
            <wp:extent cx="3959453" cy="2367501"/>
            <wp:effectExtent l="0" t="0" r="3175"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trefringensIFREMER2.jpg"/>
                    <pic:cNvPicPr/>
                  </pic:nvPicPr>
                  <pic:blipFill rotWithShape="1">
                    <a:blip r:embed="rId13" cstate="print">
                      <a:extLst>
                        <a:ext uri="{28A0092B-C50C-407E-A947-70E740481C1C}">
                          <a14:useLocalDpi xmlns:a14="http://schemas.microsoft.com/office/drawing/2010/main"/>
                        </a:ext>
                      </a:extLst>
                    </a:blip>
                    <a:srcRect t="9154"/>
                    <a:stretch/>
                  </pic:blipFill>
                  <pic:spPr bwMode="auto">
                    <a:xfrm>
                      <a:off x="0" y="0"/>
                      <a:ext cx="3960000" cy="2367828"/>
                    </a:xfrm>
                    <a:prstGeom prst="rect">
                      <a:avLst/>
                    </a:prstGeom>
                    <a:ln>
                      <a:noFill/>
                    </a:ln>
                    <a:extLst>
                      <a:ext uri="{53640926-AAD7-44D8-BBD7-CCE9431645EC}">
                        <a14:shadowObscured xmlns:a14="http://schemas.microsoft.com/office/drawing/2010/main"/>
                      </a:ext>
                    </a:extLst>
                  </pic:spPr>
                </pic:pic>
              </a:graphicData>
            </a:graphic>
          </wp:inline>
        </w:drawing>
      </w:r>
    </w:p>
    <w:p w14:paraId="72989F79" w14:textId="412B981F" w:rsidR="00C826CD" w:rsidRDefault="00B07A71">
      <w:pPr>
        <w:pStyle w:val="FigureTableNoteSource"/>
      </w:pPr>
      <w:r>
        <w:t xml:space="preserve">Note: Several dark-staining </w:t>
      </w:r>
      <w:r>
        <w:rPr>
          <w:rStyle w:val="Emphasis"/>
        </w:rPr>
        <w:t xml:space="preserve">M. </w:t>
      </w:r>
      <w:proofErr w:type="spellStart"/>
      <w:r>
        <w:rPr>
          <w:rStyle w:val="Emphasis"/>
        </w:rPr>
        <w:t>refringens</w:t>
      </w:r>
      <w:proofErr w:type="spellEnd"/>
      <w:r>
        <w:t xml:space="preserve"> </w:t>
      </w:r>
      <w:proofErr w:type="spellStart"/>
      <w:r>
        <w:t>sporonts</w:t>
      </w:r>
      <w:proofErr w:type="spellEnd"/>
      <w:r>
        <w:t xml:space="preserve"> containing pairs of spores.</w:t>
      </w:r>
      <w:r w:rsidR="0023210D">
        <w:t xml:space="preserve"> 120x magnification.</w:t>
      </w:r>
    </w:p>
    <w:p w14:paraId="642AE515" w14:textId="4B2B5874" w:rsidR="00C826CD" w:rsidRDefault="00B07A71">
      <w:pPr>
        <w:pStyle w:val="FigureTableNoteSource"/>
      </w:pPr>
      <w:r>
        <w:t>Source: French Research Institute for Exploration of the Sea</w:t>
      </w:r>
    </w:p>
    <w:p w14:paraId="5CA347D8" w14:textId="51EB4E80" w:rsidR="00C826CD" w:rsidRDefault="00B07A71">
      <w:pPr>
        <w:pStyle w:val="Caption"/>
      </w:pPr>
      <w:r>
        <w:lastRenderedPageBreak/>
        <w:t xml:space="preserve">Figure </w:t>
      </w:r>
      <w:r>
        <w:rPr>
          <w:noProof/>
        </w:rPr>
        <w:fldChar w:fldCharType="begin"/>
      </w:r>
      <w:r>
        <w:rPr>
          <w:noProof/>
        </w:rPr>
        <w:instrText xml:space="preserve"> SEQ Figure \* ARABIC </w:instrText>
      </w:r>
      <w:r>
        <w:rPr>
          <w:noProof/>
        </w:rPr>
        <w:fldChar w:fldCharType="separate"/>
      </w:r>
      <w:r w:rsidR="00AD18CF">
        <w:rPr>
          <w:noProof/>
        </w:rPr>
        <w:t>3</w:t>
      </w:r>
      <w:r>
        <w:rPr>
          <w:noProof/>
        </w:rPr>
        <w:fldChar w:fldCharType="end"/>
      </w:r>
      <w:r>
        <w:t xml:space="preserve"> Histological section through digestive gland of European flat oyster (</w:t>
      </w:r>
      <w:r>
        <w:rPr>
          <w:rStyle w:val="Emphasis"/>
        </w:rPr>
        <w:t>Ostrea edulis</w:t>
      </w:r>
      <w:r>
        <w:t>)</w:t>
      </w:r>
    </w:p>
    <w:p w14:paraId="7F0814EA" w14:textId="77777777" w:rsidR="00C826CD" w:rsidRDefault="00B07A71">
      <w:r>
        <w:rPr>
          <w:noProof/>
          <w:lang w:eastAsia="en-AU"/>
        </w:rPr>
        <w:drawing>
          <wp:inline distT="0" distB="0" distL="0" distR="0" wp14:anchorId="4FCFAED1" wp14:editId="6D727325">
            <wp:extent cx="3960000" cy="2606400"/>
            <wp:effectExtent l="0" t="0" r="2540" b="3810"/>
            <wp:docPr id="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trefringensIFREMER4.jpg"/>
                    <pic:cNvPicPr/>
                  </pic:nvPicPr>
                  <pic:blipFill>
                    <a:blip r:embed="rId14" cstate="print">
                      <a:extLst>
                        <a:ext uri="{28A0092B-C50C-407E-A947-70E740481C1C}">
                          <a14:useLocalDpi xmlns:a14="http://schemas.microsoft.com/office/drawing/2010/main"/>
                        </a:ext>
                      </a:extLst>
                    </a:blip>
                    <a:stretch>
                      <a:fillRect/>
                    </a:stretch>
                  </pic:blipFill>
                  <pic:spPr>
                    <a:xfrm>
                      <a:off x="0" y="0"/>
                      <a:ext cx="3960000" cy="2606400"/>
                    </a:xfrm>
                    <a:prstGeom prst="rect">
                      <a:avLst/>
                    </a:prstGeom>
                  </pic:spPr>
                </pic:pic>
              </a:graphicData>
            </a:graphic>
          </wp:inline>
        </w:drawing>
      </w:r>
    </w:p>
    <w:p w14:paraId="741740FA" w14:textId="2014DFAF" w:rsidR="00C826CD" w:rsidRDefault="00B07A71">
      <w:pPr>
        <w:pStyle w:val="FigureTableNoteSource"/>
      </w:pPr>
      <w:r>
        <w:t xml:space="preserve">Note: Large numbers of </w:t>
      </w:r>
      <w:proofErr w:type="spellStart"/>
      <w:r>
        <w:t>sporogenic</w:t>
      </w:r>
      <w:proofErr w:type="spellEnd"/>
      <w:r>
        <w:t xml:space="preserve"> stages of </w:t>
      </w:r>
      <w:r>
        <w:rPr>
          <w:rStyle w:val="Emphasis"/>
        </w:rPr>
        <w:t xml:space="preserve">M. </w:t>
      </w:r>
      <w:proofErr w:type="spellStart"/>
      <w:r>
        <w:rPr>
          <w:rStyle w:val="Emphasis"/>
        </w:rPr>
        <w:t>refringens</w:t>
      </w:r>
      <w:proofErr w:type="spellEnd"/>
      <w:r>
        <w:t xml:space="preserve"> in the tubule epithelium.</w:t>
      </w:r>
      <w:r w:rsidR="0023210D">
        <w:t xml:space="preserve"> 80x magnification.</w:t>
      </w:r>
    </w:p>
    <w:p w14:paraId="3B24AD48" w14:textId="3D2CC8F1" w:rsidR="00C826CD" w:rsidRDefault="00B07A71">
      <w:pPr>
        <w:pStyle w:val="FigureTableNoteSource"/>
      </w:pPr>
      <w:r>
        <w:t>Source: French Research Institute for Exploration of the Sea</w:t>
      </w:r>
    </w:p>
    <w:p w14:paraId="091883BE" w14:textId="6844C013" w:rsidR="00C826CD" w:rsidRDefault="00B07A71">
      <w:pPr>
        <w:pStyle w:val="Caption"/>
      </w:pPr>
      <w:bookmarkStart w:id="1" w:name="_Ref11924270"/>
      <w:r>
        <w:t xml:space="preserve">Figure </w:t>
      </w:r>
      <w:r>
        <w:rPr>
          <w:noProof/>
        </w:rPr>
        <w:fldChar w:fldCharType="begin"/>
      </w:r>
      <w:r>
        <w:rPr>
          <w:noProof/>
        </w:rPr>
        <w:instrText xml:space="preserve"> SEQ Figure \* ARABIC </w:instrText>
      </w:r>
      <w:r>
        <w:rPr>
          <w:noProof/>
        </w:rPr>
        <w:fldChar w:fldCharType="separate"/>
      </w:r>
      <w:r w:rsidR="00AD18CF">
        <w:rPr>
          <w:noProof/>
        </w:rPr>
        <w:t>4</w:t>
      </w:r>
      <w:r>
        <w:rPr>
          <w:noProof/>
        </w:rPr>
        <w:fldChar w:fldCharType="end"/>
      </w:r>
      <w:bookmarkEnd w:id="1"/>
      <w:r>
        <w:t xml:space="preserve"> Histological section through digestive gland of European flat oyster (</w:t>
      </w:r>
      <w:r>
        <w:rPr>
          <w:rStyle w:val="Emphasis"/>
        </w:rPr>
        <w:t>Ostrea edulis</w:t>
      </w:r>
      <w:r>
        <w:t>)</w:t>
      </w:r>
    </w:p>
    <w:p w14:paraId="0C82C8AC" w14:textId="77777777" w:rsidR="00C826CD" w:rsidRDefault="00B07A71">
      <w:r>
        <w:rPr>
          <w:noProof/>
          <w:lang w:eastAsia="en-AU"/>
        </w:rPr>
        <w:drawing>
          <wp:inline distT="0" distB="0" distL="0" distR="0" wp14:anchorId="5AB84FDF" wp14:editId="6BDCFA8C">
            <wp:extent cx="3960000" cy="2610000"/>
            <wp:effectExtent l="0" t="0" r="2540" b="0"/>
            <wp:docPr id="13" name="Picture 9" descr="Histological section through the digestive gland of a European flat oyster (Ostrea edulis) showing sporogenic stages of Marteilia refringens in the tubule epithelium (120x magnification). Source: French Research Inst. for Exploration of the Sea (IFRE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trefringensIFREMER3.jpg"/>
                    <pic:cNvPicPr/>
                  </pic:nvPicPr>
                  <pic:blipFill>
                    <a:blip r:embed="rId15" cstate="print">
                      <a:extLst>
                        <a:ext uri="{28A0092B-C50C-407E-A947-70E740481C1C}">
                          <a14:useLocalDpi xmlns:a14="http://schemas.microsoft.com/office/drawing/2010/main"/>
                        </a:ext>
                      </a:extLst>
                    </a:blip>
                    <a:stretch>
                      <a:fillRect/>
                    </a:stretch>
                  </pic:blipFill>
                  <pic:spPr>
                    <a:xfrm>
                      <a:off x="0" y="0"/>
                      <a:ext cx="3960000" cy="2610000"/>
                    </a:xfrm>
                    <a:prstGeom prst="rect">
                      <a:avLst/>
                    </a:prstGeom>
                  </pic:spPr>
                </pic:pic>
              </a:graphicData>
            </a:graphic>
          </wp:inline>
        </w:drawing>
      </w:r>
    </w:p>
    <w:p w14:paraId="10592E40" w14:textId="3397308B" w:rsidR="00C826CD" w:rsidRDefault="00B07A71">
      <w:pPr>
        <w:pStyle w:val="FigureTableNoteSource"/>
      </w:pPr>
      <w:r>
        <w:t xml:space="preserve">Note: </w:t>
      </w:r>
      <w:proofErr w:type="spellStart"/>
      <w:r>
        <w:t>Sporogenic</w:t>
      </w:r>
      <w:proofErr w:type="spellEnd"/>
      <w:r>
        <w:t xml:space="preserve"> stages of </w:t>
      </w:r>
      <w:r>
        <w:rPr>
          <w:rStyle w:val="Emphasis"/>
        </w:rPr>
        <w:t xml:space="preserve">M. </w:t>
      </w:r>
      <w:proofErr w:type="spellStart"/>
      <w:r>
        <w:rPr>
          <w:rStyle w:val="Emphasis"/>
        </w:rPr>
        <w:t>refringens</w:t>
      </w:r>
      <w:proofErr w:type="spellEnd"/>
      <w:r>
        <w:t xml:space="preserve"> in the tubule epithelium.</w:t>
      </w:r>
      <w:r w:rsidR="0023210D">
        <w:t xml:space="preserve"> 120x magnification.</w:t>
      </w:r>
    </w:p>
    <w:p w14:paraId="485016D4" w14:textId="63A8396F" w:rsidR="00C826CD" w:rsidRDefault="00B07A71">
      <w:pPr>
        <w:pStyle w:val="FigureTableNoteSource"/>
      </w:pPr>
      <w:r>
        <w:t>Source: French Research Institute for Exploration of the Sea</w:t>
      </w:r>
    </w:p>
    <w:p w14:paraId="4388AB17" w14:textId="77777777" w:rsidR="00C826CD" w:rsidRDefault="00B07A71" w:rsidP="00D60B87">
      <w:pPr>
        <w:pStyle w:val="Heading2"/>
        <w:keepLines/>
        <w:pageBreakBefore/>
        <w:rPr>
          <w:rFonts w:ascii="Cambria" w:eastAsiaTheme="minorHAnsi" w:hAnsi="Cambria"/>
          <w:b w:val="0"/>
          <w:bCs w:val="0"/>
          <w:color w:val="auto"/>
          <w:sz w:val="22"/>
          <w:szCs w:val="22"/>
          <w:lang w:eastAsia="en-US"/>
        </w:rPr>
      </w:pPr>
      <w:r>
        <w:lastRenderedPageBreak/>
        <w:t>Further reading</w:t>
      </w:r>
    </w:p>
    <w:p w14:paraId="6D1876A8" w14:textId="77777777" w:rsidR="00C826CD" w:rsidRDefault="00B07A71">
      <w:r>
        <w:t xml:space="preserve">CABI Invasive Species Compendium </w:t>
      </w:r>
      <w:hyperlink r:id="rId16" w:history="1">
        <w:r>
          <w:rPr>
            <w:rStyle w:val="Hyperlink"/>
          </w:rPr>
          <w:t>Infection with ‘</w:t>
        </w:r>
        <w:proofErr w:type="spellStart"/>
        <w:r>
          <w:rPr>
            <w:rStyle w:val="Hyperlink"/>
          </w:rPr>
          <w:t>Marteilia</w:t>
        </w:r>
        <w:proofErr w:type="spellEnd"/>
        <w:r>
          <w:rPr>
            <w:rStyle w:val="Hyperlink"/>
          </w:rPr>
          <w:t xml:space="preserve"> </w:t>
        </w:r>
        <w:proofErr w:type="spellStart"/>
        <w:r>
          <w:rPr>
            <w:rStyle w:val="Hyperlink"/>
          </w:rPr>
          <w:t>refringens</w:t>
        </w:r>
        <w:proofErr w:type="spellEnd"/>
        <w:r>
          <w:rPr>
            <w:rStyle w:val="Hyperlink"/>
          </w:rPr>
          <w:t>’</w:t>
        </w:r>
      </w:hyperlink>
    </w:p>
    <w:p w14:paraId="5E8CFB0C" w14:textId="77777777" w:rsidR="00C826CD" w:rsidRDefault="00B07A71">
      <w:pPr>
        <w:rPr>
          <w:rFonts w:cs="Arial"/>
          <w:color w:val="333333"/>
        </w:rPr>
      </w:pPr>
      <w:r>
        <w:t>CEFAS International Database on Aquatic Animal Diseases</w:t>
      </w:r>
      <w:r>
        <w:rPr>
          <w:rFonts w:cs="Arial"/>
          <w:color w:val="333333"/>
        </w:rPr>
        <w:t xml:space="preserve"> </w:t>
      </w:r>
      <w:hyperlink r:id="rId17" w:history="1">
        <w:r>
          <w:rPr>
            <w:rStyle w:val="Hyperlink"/>
            <w:rFonts w:cs="Arial"/>
          </w:rPr>
          <w:t>Infection with ‘</w:t>
        </w:r>
        <w:proofErr w:type="spellStart"/>
        <w:r>
          <w:rPr>
            <w:rStyle w:val="Hyperlink"/>
            <w:rFonts w:cs="Arial"/>
          </w:rPr>
          <w:t>Marteilia</w:t>
        </w:r>
        <w:proofErr w:type="spellEnd"/>
        <w:r>
          <w:rPr>
            <w:rStyle w:val="Hyperlink"/>
            <w:rFonts w:cs="Arial"/>
          </w:rPr>
          <w:t xml:space="preserve"> </w:t>
        </w:r>
        <w:proofErr w:type="spellStart"/>
        <w:r>
          <w:rPr>
            <w:rStyle w:val="Hyperlink"/>
            <w:rFonts w:cs="Arial"/>
          </w:rPr>
          <w:t>refringens</w:t>
        </w:r>
        <w:proofErr w:type="spellEnd"/>
        <w:r>
          <w:rPr>
            <w:rStyle w:val="Hyperlink"/>
            <w:rFonts w:cs="Arial"/>
          </w:rPr>
          <w:t>’</w:t>
        </w:r>
      </w:hyperlink>
    </w:p>
    <w:p w14:paraId="6187EA7A" w14:textId="79E84E80" w:rsidR="00C826CD" w:rsidRDefault="00B07A71">
      <w:r>
        <w:t xml:space="preserve">World Organisation for Animal Health </w:t>
      </w:r>
      <w:hyperlink r:id="rId18" w:history="1">
        <w:r>
          <w:rPr>
            <w:rStyle w:val="Hyperlink"/>
            <w:rFonts w:ascii="Calibri" w:hAnsi="Calibri" w:cs="Arial"/>
          </w:rPr>
          <w:t>Manual of diagnostic tests for aquatic animals</w:t>
        </w:r>
      </w:hyperlink>
    </w:p>
    <w:p w14:paraId="363B3279" w14:textId="77777777" w:rsidR="00C826CD" w:rsidRDefault="00B07A71">
      <w:r>
        <w:t>These hyperlinks were correct at the time of publication.</w:t>
      </w:r>
    </w:p>
    <w:p w14:paraId="180C11DE" w14:textId="77777777" w:rsidR="00C826CD" w:rsidRDefault="00B07A71">
      <w:pPr>
        <w:pStyle w:val="Heading2"/>
        <w:ind w:left="0" w:firstLine="0"/>
      </w:pPr>
      <w:r>
        <w:t>Contact details</w:t>
      </w:r>
    </w:p>
    <w:p w14:paraId="2216372F" w14:textId="77777777" w:rsidR="00C826CD" w:rsidRDefault="00B07A71">
      <w:pPr>
        <w:spacing w:after="0"/>
      </w:pPr>
      <w:r>
        <w:t>Emergency Animal Disease Watch Hotline 1800 675 888</w:t>
      </w:r>
    </w:p>
    <w:p w14:paraId="494FCF21" w14:textId="77777777" w:rsidR="00C826CD" w:rsidRDefault="00B07A71">
      <w:r>
        <w:t xml:space="preserve">Email </w:t>
      </w:r>
      <w:hyperlink r:id="rId19" w:history="1">
        <w:r>
          <w:rPr>
            <w:rStyle w:val="Hyperlink"/>
          </w:rPr>
          <w:t>AAH@agriculture.gov.au</w:t>
        </w:r>
      </w:hyperlink>
      <w:r>
        <w:cr/>
        <w:t xml:space="preserve">Website </w:t>
      </w:r>
      <w:hyperlink r:id="rId20" w:history="1">
        <w:r>
          <w:rPr>
            <w:rStyle w:val="Hyperlink"/>
          </w:rPr>
          <w:t>agriculture.gov.au/pests-diseases-weeds/aquatic</w:t>
        </w:r>
      </w:hyperlink>
    </w:p>
    <w:p w14:paraId="15CA02A7" w14:textId="7789BC37" w:rsidR="00C826CD" w:rsidRDefault="00B07A71">
      <w:pPr>
        <w:pStyle w:val="Normalsmall"/>
      </w:pPr>
      <w:r>
        <w:t>© Commonwealth of Australia 20</w:t>
      </w:r>
      <w:r w:rsidR="00AD18CF">
        <w:t>20</w:t>
      </w:r>
      <w:bookmarkStart w:id="2" w:name="_GoBack"/>
      <w:bookmarkEnd w:id="2"/>
    </w:p>
    <w:p w14:paraId="01D47619" w14:textId="77777777" w:rsidR="00C826CD" w:rsidRDefault="00B07A71">
      <w:pPr>
        <w:pStyle w:val="Normalsmall"/>
      </w:pPr>
      <w:r>
        <w:t>This work is copyright. It may be reproduced in whole or in part subject to the inclusion of an acknowledgement of the source and no commercial usage or sale.</w:t>
      </w:r>
    </w:p>
    <w:sectPr w:rsidR="00C826CD">
      <w:headerReference w:type="default" r:id="rId21"/>
      <w:footerReference w:type="default" r:id="rId22"/>
      <w:headerReference w:type="first" r:id="rId23"/>
      <w:pgSz w:w="11906" w:h="16838"/>
      <w:pgMar w:top="1418" w:right="1418" w:bottom="1418" w:left="1418" w:header="567" w:footer="283"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7FEA63" w14:textId="77777777" w:rsidR="00C826CD" w:rsidRDefault="00B07A71">
      <w:r>
        <w:separator/>
      </w:r>
    </w:p>
    <w:p w14:paraId="164F8F44" w14:textId="77777777" w:rsidR="00C826CD" w:rsidRDefault="00C826CD"/>
    <w:p w14:paraId="0537D922" w14:textId="77777777" w:rsidR="00C826CD" w:rsidRDefault="00C826CD"/>
  </w:endnote>
  <w:endnote w:type="continuationSeparator" w:id="0">
    <w:p w14:paraId="4D023726" w14:textId="77777777" w:rsidR="00C826CD" w:rsidRDefault="00B07A71">
      <w:r>
        <w:continuationSeparator/>
      </w:r>
    </w:p>
    <w:p w14:paraId="690A84C5" w14:textId="77777777" w:rsidR="00C826CD" w:rsidRDefault="00C826CD"/>
    <w:p w14:paraId="53945CD8" w14:textId="77777777" w:rsidR="00C826CD" w:rsidRDefault="00C826CD"/>
  </w:endnote>
  <w:endnote w:type="continuationNotice" w:id="1">
    <w:p w14:paraId="001DEFC2" w14:textId="77777777" w:rsidR="00C826CD" w:rsidRDefault="00C826CD">
      <w:pPr>
        <w:pStyle w:val="Footer"/>
      </w:pPr>
    </w:p>
    <w:p w14:paraId="17839642" w14:textId="77777777" w:rsidR="00C826CD" w:rsidRDefault="00C826CD"/>
    <w:p w14:paraId="2E281EF9" w14:textId="77777777" w:rsidR="00C826CD" w:rsidRDefault="00C826C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F5039D" w14:textId="6840B9AE" w:rsidR="00C826CD" w:rsidRDefault="00AD18CF">
    <w:pPr>
      <w:pStyle w:val="Footer"/>
    </w:pPr>
    <w:r>
      <w:t>Department of Agriculture, Water and the Environment</w:t>
    </w:r>
  </w:p>
  <w:p w14:paraId="53989791" w14:textId="77777777" w:rsidR="00C826CD" w:rsidRDefault="00B07A71">
    <w:pPr>
      <w:pStyle w:val="Footer"/>
    </w:pPr>
    <w:r>
      <w:fldChar w:fldCharType="begin"/>
    </w:r>
    <w:r>
      <w:instrText xml:space="preserve"> PAGE   \* MERGEFORMAT </w:instrText>
    </w:r>
    <w:r>
      <w:fldChar w:fldCharType="separate"/>
    </w:r>
    <w:r w:rsidR="00AD0AE6">
      <w:rPr>
        <w:noProof/>
      </w:rPr>
      <w:t>6</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12E515" w14:textId="77777777" w:rsidR="00C826CD" w:rsidRDefault="00B07A71">
      <w:r>
        <w:separator/>
      </w:r>
    </w:p>
    <w:p w14:paraId="0CEB3112" w14:textId="77777777" w:rsidR="00C826CD" w:rsidRDefault="00C826CD"/>
    <w:p w14:paraId="35C63C3B" w14:textId="77777777" w:rsidR="00C826CD" w:rsidRDefault="00C826CD"/>
  </w:footnote>
  <w:footnote w:type="continuationSeparator" w:id="0">
    <w:p w14:paraId="01ED6F92" w14:textId="77777777" w:rsidR="00C826CD" w:rsidRDefault="00B07A71">
      <w:r>
        <w:continuationSeparator/>
      </w:r>
    </w:p>
    <w:p w14:paraId="0CDDE39F" w14:textId="77777777" w:rsidR="00C826CD" w:rsidRDefault="00C826CD"/>
    <w:p w14:paraId="37720B5A" w14:textId="77777777" w:rsidR="00C826CD" w:rsidRDefault="00C826CD"/>
  </w:footnote>
  <w:footnote w:type="continuationNotice" w:id="1">
    <w:p w14:paraId="4D1FB2EB" w14:textId="77777777" w:rsidR="00C826CD" w:rsidRDefault="00C826CD">
      <w:pPr>
        <w:pStyle w:val="Footer"/>
      </w:pPr>
    </w:p>
    <w:p w14:paraId="541FC985" w14:textId="77777777" w:rsidR="00C826CD" w:rsidRDefault="00C826CD"/>
    <w:p w14:paraId="6282DF96" w14:textId="77777777" w:rsidR="00C826CD" w:rsidRDefault="00C826C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C5C04A" w14:textId="77777777" w:rsidR="00C826CD" w:rsidRDefault="00B07A71">
    <w:pPr>
      <w:pStyle w:val="Header"/>
    </w:pPr>
    <w:r>
      <w:t xml:space="preserve">Infection with </w:t>
    </w:r>
    <w:proofErr w:type="spellStart"/>
    <w:r>
      <w:rPr>
        <w:rStyle w:val="Emphasis"/>
      </w:rPr>
      <w:t>Marteilia</w:t>
    </w:r>
    <w:proofErr w:type="spellEnd"/>
    <w:r>
      <w:rPr>
        <w:rStyle w:val="Emphasis"/>
      </w:rPr>
      <w:t xml:space="preserve"> </w:t>
    </w:r>
    <w:proofErr w:type="spellStart"/>
    <w:r>
      <w:rPr>
        <w:rStyle w:val="Emphasis"/>
      </w:rPr>
      <w:t>refringens</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89C33E" w14:textId="77777777" w:rsidR="00C826CD" w:rsidRDefault="00B07A71">
    <w:pPr>
      <w:pStyle w:val="Header"/>
      <w:jc w:val="left"/>
    </w:pPr>
    <w:r>
      <w:rPr>
        <w:noProof/>
        <w:lang w:eastAsia="en-AU"/>
      </w:rPr>
      <w:drawing>
        <wp:anchor distT="0" distB="0" distL="114300" distR="114300" simplePos="0" relativeHeight="251658240" behindDoc="1" locked="0" layoutInCell="1" allowOverlap="1" wp14:anchorId="4205AB8B" wp14:editId="139311C6">
          <wp:simplePos x="0" y="0"/>
          <wp:positionH relativeFrom="column">
            <wp:posOffset>-900429</wp:posOffset>
          </wp:positionH>
          <wp:positionV relativeFrom="paragraph">
            <wp:posOffset>-353695</wp:posOffset>
          </wp:positionV>
          <wp:extent cx="7584375" cy="1624927"/>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nne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7584375" cy="162492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7CC3F2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718C232"/>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0F6C295E"/>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AF5CCE0E"/>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97FE7D78"/>
    <w:lvl w:ilvl="0">
      <w:start w:val="1"/>
      <w:numFmt w:val="bullet"/>
      <w:lvlText w:val="o"/>
      <w:lvlJc w:val="left"/>
      <w:pPr>
        <w:ind w:left="926" w:hanging="360"/>
      </w:pPr>
      <w:rPr>
        <w:rFonts w:ascii="Courier New" w:hAnsi="Courier New" w:cs="Courier New" w:hint="default"/>
      </w:rPr>
    </w:lvl>
  </w:abstractNum>
  <w:abstractNum w:abstractNumId="5" w15:restartNumberingAfterBreak="0">
    <w:nsid w:val="FFFFFF88"/>
    <w:multiLevelType w:val="singleLevel"/>
    <w:tmpl w:val="685ADC2E"/>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5136E848"/>
    <w:lvl w:ilvl="0">
      <w:start w:val="1"/>
      <w:numFmt w:val="bullet"/>
      <w:lvlText w:val=""/>
      <w:lvlJc w:val="left"/>
      <w:pPr>
        <w:tabs>
          <w:tab w:val="num" w:pos="360"/>
        </w:tabs>
        <w:ind w:left="360" w:hanging="360"/>
      </w:pPr>
      <w:rPr>
        <w:rFonts w:ascii="Symbol" w:hAnsi="Symbol" w:hint="default"/>
        <w:color w:val="auto"/>
      </w:rPr>
    </w:lvl>
  </w:abstractNum>
  <w:abstractNum w:abstractNumId="7" w15:restartNumberingAfterBreak="0">
    <w:nsid w:val="0A727430"/>
    <w:multiLevelType w:val="hybridMultilevel"/>
    <w:tmpl w:val="495E27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C5E2F35"/>
    <w:multiLevelType w:val="multilevel"/>
    <w:tmpl w:val="9340AC4C"/>
    <w:lvl w:ilvl="0">
      <w:start w:val="1"/>
      <w:numFmt w:val="decimal"/>
      <w:lvlText w:val="%1)"/>
      <w:lvlJc w:val="left"/>
      <w:pPr>
        <w:ind w:left="567" w:hanging="567"/>
      </w:pPr>
      <w:rPr>
        <w:rFonts w:hint="default"/>
        <w:color w:val="auto"/>
      </w:rPr>
    </w:lvl>
    <w:lvl w:ilvl="1">
      <w:start w:val="1"/>
      <w:numFmt w:val="lowerLetter"/>
      <w:lvlText w:val="%2)"/>
      <w:lvlJc w:val="left"/>
      <w:pPr>
        <w:ind w:left="851" w:hanging="284"/>
      </w:pPr>
      <w:rPr>
        <w:rFonts w:hint="default"/>
      </w:rPr>
    </w:lvl>
    <w:lvl w:ilvl="2">
      <w:start w:val="1"/>
      <w:numFmt w:val="lowerRoman"/>
      <w:lvlText w:val="%3)"/>
      <w:lvlJc w:val="left"/>
      <w:pPr>
        <w:ind w:left="1134" w:hanging="22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9" w15:restartNumberingAfterBreak="0">
    <w:nsid w:val="0DD54AFF"/>
    <w:multiLevelType w:val="hybridMultilevel"/>
    <w:tmpl w:val="B6820B98"/>
    <w:lvl w:ilvl="0" w:tplc="8B58330A">
      <w:start w:val="1"/>
      <w:numFmt w:val="bullet"/>
      <w:lvlText w:val="◦"/>
      <w:lvlJc w:val="left"/>
      <w:pPr>
        <w:ind w:left="1800" w:hanging="360"/>
      </w:pPr>
      <w:rPr>
        <w:rFonts w:ascii="Calibri" w:hAnsi="Calibri"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0" w15:restartNumberingAfterBreak="0">
    <w:nsid w:val="0F77062D"/>
    <w:multiLevelType w:val="hybridMultilevel"/>
    <w:tmpl w:val="44B42D1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2" w15:restartNumberingAfterBreak="0">
    <w:nsid w:val="196B606F"/>
    <w:multiLevelType w:val="hybridMultilevel"/>
    <w:tmpl w:val="E0560262"/>
    <w:lvl w:ilvl="0" w:tplc="B9FA63BE">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13" w15:restartNumberingAfterBreak="0">
    <w:nsid w:val="1CD71580"/>
    <w:multiLevelType w:val="hybridMultilevel"/>
    <w:tmpl w:val="16AAE240"/>
    <w:lvl w:ilvl="0" w:tplc="A9884604">
      <w:start w:val="1"/>
      <w:numFmt w:val="bullet"/>
      <w:lvlText w:val=""/>
      <w:lvlJc w:val="left"/>
      <w:pPr>
        <w:ind w:left="360" w:hanging="360"/>
      </w:pPr>
      <w:rPr>
        <w:rFonts w:ascii="Symbol" w:hAnsi="Symbol" w:hint="default"/>
        <w:color w:val="FF790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1A328D5"/>
    <w:multiLevelType w:val="multilevel"/>
    <w:tmpl w:val="BE78A4F8"/>
    <w:numStyleLink w:val="Numberlist"/>
  </w:abstractNum>
  <w:abstractNum w:abstractNumId="15" w15:restartNumberingAfterBreak="0">
    <w:nsid w:val="21E20078"/>
    <w:multiLevelType w:val="multilevel"/>
    <w:tmpl w:val="F36C17E8"/>
    <w:styleLink w:val="Headinglist"/>
    <w:lvl w:ilvl="0">
      <w:start w:val="1"/>
      <w:numFmt w:val="decimal"/>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964" w:hanging="964"/>
      </w:pPr>
      <w:rPr>
        <w:rFonts w:hint="default"/>
      </w:rPr>
    </w:lvl>
    <w:lvl w:ilvl="2">
      <w:start w:val="1"/>
      <w:numFmt w:val="decimal"/>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2B103637"/>
    <w:multiLevelType w:val="multilevel"/>
    <w:tmpl w:val="BE78A4F8"/>
    <w:numStyleLink w:val="Numberlist"/>
  </w:abstractNum>
  <w:abstractNum w:abstractNumId="17" w15:restartNumberingAfterBreak="0">
    <w:nsid w:val="394A15FE"/>
    <w:multiLevelType w:val="multilevel"/>
    <w:tmpl w:val="F36C17E8"/>
    <w:numStyleLink w:val="Headinglist"/>
  </w:abstractNum>
  <w:abstractNum w:abstractNumId="18" w15:restartNumberingAfterBreak="0">
    <w:nsid w:val="414F4729"/>
    <w:multiLevelType w:val="multilevel"/>
    <w:tmpl w:val="A0241B28"/>
    <w:numStyleLink w:val="List1"/>
  </w:abstractNum>
  <w:abstractNum w:abstractNumId="19" w15:restartNumberingAfterBreak="0">
    <w:nsid w:val="486800B4"/>
    <w:multiLevelType w:val="multilevel"/>
    <w:tmpl w:val="A0241B28"/>
    <w:numStyleLink w:val="List1"/>
  </w:abstractNum>
  <w:abstractNum w:abstractNumId="20"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21" w15:restartNumberingAfterBreak="0">
    <w:nsid w:val="496159DC"/>
    <w:multiLevelType w:val="multilevel"/>
    <w:tmpl w:val="BE78A4F8"/>
    <w:numStyleLink w:val="Numberlist"/>
  </w:abstractNum>
  <w:abstractNum w:abstractNumId="22"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24" w15:restartNumberingAfterBreak="0">
    <w:nsid w:val="5A8B541B"/>
    <w:multiLevelType w:val="multilevel"/>
    <w:tmpl w:val="03FE8AF0"/>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6"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7" w15:restartNumberingAfterBreak="0">
    <w:nsid w:val="683B6DC7"/>
    <w:multiLevelType w:val="multilevel"/>
    <w:tmpl w:val="688C19C6"/>
    <w:lvl w:ilvl="0">
      <w:start w:val="1"/>
      <w:numFmt w:val="bullet"/>
      <w:lvlText w:val="o"/>
      <w:lvlJc w:val="left"/>
      <w:pPr>
        <w:ind w:left="926"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6C8C10A1"/>
    <w:multiLevelType w:val="multilevel"/>
    <w:tmpl w:val="BE78A4F8"/>
    <w:numStyleLink w:val="Numberlist"/>
  </w:abstractNum>
  <w:abstractNum w:abstractNumId="29" w15:restartNumberingAfterBreak="0">
    <w:nsid w:val="733934B7"/>
    <w:multiLevelType w:val="multilevel"/>
    <w:tmpl w:val="A0241B28"/>
    <w:numStyleLink w:val="List1"/>
  </w:abstractNum>
  <w:num w:numId="1">
    <w:abstractNumId w:val="6"/>
  </w:num>
  <w:num w:numId="2">
    <w:abstractNumId w:val="19"/>
  </w:num>
  <w:num w:numId="3">
    <w:abstractNumId w:val="20"/>
  </w:num>
  <w:num w:numId="4">
    <w:abstractNumId w:val="12"/>
  </w:num>
  <w:num w:numId="5">
    <w:abstractNumId w:val="25"/>
  </w:num>
  <w:num w:numId="6">
    <w:abstractNumId w:val="26"/>
  </w:num>
  <w:num w:numId="7">
    <w:abstractNumId w:val="8"/>
  </w:num>
  <w:num w:numId="8">
    <w:abstractNumId w:val="15"/>
  </w:num>
  <w:num w:numId="9">
    <w:abstractNumId w:val="17"/>
  </w:num>
  <w:num w:numId="10">
    <w:abstractNumId w:val="8"/>
    <w:lvlOverride w:ilvl="0">
      <w:startOverride w:val="10"/>
    </w:lvlOverride>
    <w:lvlOverride w:ilvl="1">
      <w:startOverride w:val="1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 w:numId="12">
    <w:abstractNumId w:val="4"/>
  </w:num>
  <w:num w:numId="13">
    <w:abstractNumId w:val="3"/>
  </w:num>
  <w:num w:numId="14">
    <w:abstractNumId w:val="2"/>
  </w:num>
  <w:num w:numId="15">
    <w:abstractNumId w:val="13"/>
  </w:num>
  <w:num w:numId="16">
    <w:abstractNumId w:val="23"/>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7"/>
  </w:num>
  <w:num w:numId="19">
    <w:abstractNumId w:val="1"/>
  </w:num>
  <w:num w:numId="20">
    <w:abstractNumId w:val="0"/>
  </w:num>
  <w:num w:numId="21">
    <w:abstractNumId w:val="16"/>
  </w:num>
  <w:num w:numId="22">
    <w:abstractNumId w:val="21"/>
  </w:num>
  <w:num w:numId="23">
    <w:abstractNumId w:val="28"/>
  </w:num>
  <w:num w:numId="24">
    <w:abstractNumId w:val="14"/>
  </w:num>
  <w:num w:numId="25">
    <w:abstractNumId w:val="18"/>
  </w:num>
  <w:num w:numId="2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9"/>
  </w:num>
  <w:num w:numId="28">
    <w:abstractNumId w:val="22"/>
  </w:num>
  <w:num w:numId="29">
    <w:abstractNumId w:val="24"/>
  </w:num>
  <w:num w:numId="30">
    <w:abstractNumId w:val="11"/>
  </w:num>
  <w:num w:numId="31">
    <w:abstractNumId w:val="7"/>
  </w:num>
  <w:num w:numId="32">
    <w:abstractNumId w:val="9"/>
  </w:num>
  <w:num w:numId="33">
    <w:abstractNumId w:val="1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9830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26CD"/>
    <w:rsid w:val="000673B3"/>
    <w:rsid w:val="000D44D9"/>
    <w:rsid w:val="0023210D"/>
    <w:rsid w:val="003C5217"/>
    <w:rsid w:val="005B4092"/>
    <w:rsid w:val="005D1071"/>
    <w:rsid w:val="007030AC"/>
    <w:rsid w:val="00712087"/>
    <w:rsid w:val="007158D7"/>
    <w:rsid w:val="00AD0AE6"/>
    <w:rsid w:val="00AD18CF"/>
    <w:rsid w:val="00B07A71"/>
    <w:rsid w:val="00C826CD"/>
    <w:rsid w:val="00D26A85"/>
    <w:rsid w:val="00D60B87"/>
    <w:rsid w:val="00EE3B1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98305"/>
    <o:shapelayout v:ext="edit">
      <o:idmap v:ext="edit" data="1"/>
    </o:shapelayout>
  </w:shapeDefaults>
  <w:decimalSymbol w:val="."/>
  <w:listSeparator w:val=","/>
  <w14:docId w14:val="6A4F09C1"/>
  <w15:docId w15:val="{FA3EAC4F-E184-4D40-BF44-78414F3EFF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0" w:line="276" w:lineRule="auto"/>
    </w:pPr>
    <w:rPr>
      <w:rFonts w:asciiTheme="minorHAnsi" w:eastAsiaTheme="minorHAnsi" w:hAnsiTheme="minorHAnsi" w:cstheme="minorBidi"/>
      <w:sz w:val="22"/>
      <w:szCs w:val="22"/>
      <w:lang w:eastAsia="en-US"/>
    </w:rPr>
  </w:style>
  <w:style w:type="paragraph" w:styleId="Heading1">
    <w:name w:val="heading 1"/>
    <w:next w:val="Normal"/>
    <w:link w:val="Heading1Char"/>
    <w:uiPriority w:val="1"/>
    <w:qFormat/>
    <w:pPr>
      <w:widowControl w:val="0"/>
      <w:spacing w:before="600"/>
      <w:contextualSpacing/>
      <w:outlineLvl w:val="0"/>
    </w:pPr>
    <w:rPr>
      <w:rFonts w:ascii="Calibri" w:eastAsiaTheme="minorHAnsi" w:hAnsi="Calibri" w:cstheme="minorBidi"/>
      <w:b/>
      <w:bCs/>
      <w:color w:val="000000"/>
      <w:spacing w:val="5"/>
      <w:kern w:val="28"/>
      <w:sz w:val="40"/>
      <w:szCs w:val="28"/>
      <w:lang w:eastAsia="en-US"/>
    </w:rPr>
  </w:style>
  <w:style w:type="paragraph" w:styleId="Heading2">
    <w:name w:val="heading 2"/>
    <w:basedOn w:val="Normal"/>
    <w:next w:val="Normal"/>
    <w:link w:val="Heading2Char"/>
    <w:uiPriority w:val="3"/>
    <w:pPr>
      <w:keepNext/>
      <w:spacing w:before="120" w:line="240" w:lineRule="auto"/>
      <w:ind w:left="720" w:hanging="720"/>
      <w:outlineLvl w:val="1"/>
    </w:pPr>
    <w:rPr>
      <w:rFonts w:ascii="Calibri" w:eastAsiaTheme="minorEastAsia" w:hAnsi="Calibri"/>
      <w:b/>
      <w:bCs/>
      <w:color w:val="EF3829"/>
      <w:sz w:val="28"/>
      <w:szCs w:val="28"/>
      <w:lang w:eastAsia="ja-JP"/>
    </w:rPr>
  </w:style>
  <w:style w:type="paragraph" w:styleId="Heading3">
    <w:name w:val="heading 3"/>
    <w:next w:val="Normal"/>
    <w:link w:val="Heading3Char"/>
    <w:uiPriority w:val="4"/>
    <w:qFormat/>
    <w:pPr>
      <w:keepNext/>
      <w:keepLines/>
      <w:ind w:left="964" w:hanging="964"/>
      <w:outlineLvl w:val="2"/>
    </w:pPr>
    <w:rPr>
      <w:rFonts w:ascii="Calibri" w:eastAsia="Times New Roman" w:hAnsi="Calibri"/>
      <w:b/>
      <w:bCs/>
      <w:sz w:val="28"/>
      <w:szCs w:val="24"/>
      <w:lang w:eastAsia="en-US"/>
    </w:rPr>
  </w:style>
  <w:style w:type="paragraph" w:styleId="Heading4">
    <w:name w:val="heading 4"/>
    <w:next w:val="Normal"/>
    <w:link w:val="Heading4Char"/>
    <w:uiPriority w:val="5"/>
    <w:qFormat/>
    <w:pPr>
      <w:keepNext/>
      <w:ind w:left="964" w:hanging="964"/>
      <w:outlineLvl w:val="3"/>
    </w:pPr>
    <w:rPr>
      <w:rFonts w:ascii="Calibri" w:eastAsia="Times New Roman" w:hAnsi="Calibri"/>
      <w:b/>
      <w:bCs/>
      <w:sz w:val="24"/>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eastAsiaTheme="minorHAnsi" w:cstheme="minorBidi"/>
      <w:lang w:eastAsia="en-US"/>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27"/>
    <w:pPr>
      <w:tabs>
        <w:tab w:val="center" w:pos="4536"/>
      </w:tabs>
      <w:spacing w:line="240" w:lineRule="auto"/>
      <w:jc w:val="center"/>
    </w:pPr>
    <w:rPr>
      <w:rFonts w:ascii="Calibri" w:hAnsi="Calibri"/>
      <w:sz w:val="20"/>
    </w:rPr>
  </w:style>
  <w:style w:type="character" w:customStyle="1" w:styleId="FooterChar">
    <w:name w:val="Footer Char"/>
    <w:basedOn w:val="DefaultParagraphFont"/>
    <w:link w:val="Footer"/>
    <w:uiPriority w:val="27"/>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Pr>
      <w:rFonts w:ascii="Calibri" w:eastAsiaTheme="minorHAnsi" w:hAnsi="Calibri" w:cstheme="minorBidi"/>
      <w:b/>
      <w:bCs/>
      <w:color w:val="000000"/>
      <w:spacing w:val="5"/>
      <w:kern w:val="28"/>
      <w:sz w:val="40"/>
      <w:szCs w:val="28"/>
      <w:lang w:eastAsia="en-US"/>
    </w:rPr>
  </w:style>
  <w:style w:type="character" w:customStyle="1" w:styleId="Heading2Char">
    <w:name w:val="Heading 2 Char"/>
    <w:basedOn w:val="DefaultParagraphFont"/>
    <w:link w:val="Heading2"/>
    <w:uiPriority w:val="3"/>
    <w:rPr>
      <w:rFonts w:ascii="Calibri" w:eastAsiaTheme="minorEastAsia" w:hAnsi="Calibri" w:cstheme="minorBidi"/>
      <w:b/>
      <w:bCs/>
      <w:color w:val="EF3829"/>
      <w:sz w:val="28"/>
      <w:szCs w:val="28"/>
      <w:lang w:eastAsia="ja-JP"/>
    </w:rPr>
  </w:style>
  <w:style w:type="character" w:customStyle="1" w:styleId="Heading3Char">
    <w:name w:val="Heading 3 Char"/>
    <w:basedOn w:val="DefaultParagraphFont"/>
    <w:link w:val="Heading3"/>
    <w:uiPriority w:val="4"/>
    <w:rPr>
      <w:rFonts w:ascii="Calibri" w:eastAsia="Times New Roman" w:hAnsi="Calibri"/>
      <w:b/>
      <w:bCs/>
      <w:sz w:val="28"/>
      <w:szCs w:val="24"/>
      <w:lang w:eastAsia="en-US"/>
    </w:rPr>
  </w:style>
  <w:style w:type="character" w:customStyle="1" w:styleId="Heading4Char">
    <w:name w:val="Heading 4 Char"/>
    <w:basedOn w:val="DefaultParagraphFont"/>
    <w:link w:val="Heading4"/>
    <w:uiPriority w:val="5"/>
    <w:rPr>
      <w:rFonts w:ascii="Calibri" w:eastAsia="Times New Roman" w:hAnsi="Calibri"/>
      <w:b/>
      <w:bCs/>
      <w:sz w:val="24"/>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pPr>
    <w:rPr>
      <w:sz w:val="20"/>
    </w:rPr>
  </w:style>
  <w:style w:type="paragraph" w:styleId="Caption">
    <w:name w:val="caption"/>
    <w:basedOn w:val="Normal"/>
    <w:next w:val="Normal"/>
    <w:uiPriority w:val="12"/>
    <w:qFormat/>
    <w:pPr>
      <w:keepNext/>
      <w:spacing w:line="240" w:lineRule="auto"/>
    </w:pPr>
    <w:rPr>
      <w:rFonts w:ascii="Calibri" w:hAnsi="Calibri"/>
      <w:b/>
      <w:bCs/>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after="360"/>
    </w:pPr>
    <w:rPr>
      <w:sz w:val="22"/>
      <w:szCs w:val="22"/>
    </w:rPr>
  </w:style>
  <w:style w:type="character" w:customStyle="1" w:styleId="SubtitleChar">
    <w:name w:val="Subtitle Char"/>
    <w:basedOn w:val="DefaultParagraphFont"/>
    <w:link w:val="Subtitle"/>
    <w:uiPriority w:val="23"/>
    <w:rPr>
      <w:rFonts w:ascii="Calibri" w:eastAsiaTheme="minorHAnsi" w:hAnsi="Calibri" w:cstheme="minorBidi"/>
      <w:b/>
      <w:bCs/>
      <w:color w:val="000000"/>
      <w:spacing w:val="5"/>
      <w:kern w:val="28"/>
      <w:sz w:val="22"/>
      <w:szCs w:val="22"/>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line="240" w:lineRule="auto"/>
    </w:pPr>
    <w:rPr>
      <w:b/>
      <w:noProof/>
    </w:rPr>
  </w:style>
  <w:style w:type="paragraph" w:styleId="TOC2">
    <w:name w:val="toc 2"/>
    <w:basedOn w:val="Normal"/>
    <w:next w:val="Normal"/>
    <w:uiPriority w:val="39"/>
    <w:unhideWhenUsed/>
    <w:qFormat/>
    <w:pPr>
      <w:tabs>
        <w:tab w:val="right" w:leader="dot" w:pos="9060"/>
      </w:tabs>
      <w:spacing w:before="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pPr>
      <w:numPr>
        <w:numId w:val="5"/>
      </w:numPr>
      <w:spacing w:before="120"/>
    </w:pPr>
  </w:style>
  <w:style w:type="paragraph" w:styleId="TableofFigures">
    <w:name w:val="table of figures"/>
    <w:basedOn w:val="Normal"/>
    <w:next w:val="Normal"/>
    <w:uiPriority w:val="99"/>
    <w:pPr>
      <w:spacing w:before="120" w:line="240" w:lineRule="auto"/>
    </w:pPr>
  </w:style>
  <w:style w:type="paragraph" w:styleId="ListBullet2">
    <w:name w:val="List Bullet 2"/>
    <w:basedOn w:val="Normal"/>
    <w:uiPriority w:val="8"/>
    <w:qFormat/>
    <w:pPr>
      <w:numPr>
        <w:ilvl w:val="1"/>
        <w:numId w:val="5"/>
      </w:numPr>
      <w:spacing w:before="120"/>
      <w:contextualSpacing/>
    </w:pPr>
  </w:style>
  <w:style w:type="paragraph" w:styleId="ListNumber">
    <w:name w:val="List Number"/>
    <w:basedOn w:val="Normal"/>
    <w:uiPriority w:val="9"/>
    <w:qFormat/>
    <w:pPr>
      <w:numPr>
        <w:numId w:val="24"/>
      </w:numPr>
      <w:tabs>
        <w:tab w:val="left" w:pos="142"/>
      </w:tabs>
      <w:spacing w:before="120"/>
    </w:pPr>
  </w:style>
  <w:style w:type="paragraph" w:styleId="ListNumber2">
    <w:name w:val="List Number 2"/>
    <w:uiPriority w:val="10"/>
    <w:qFormat/>
    <w:pPr>
      <w:numPr>
        <w:ilvl w:val="1"/>
        <w:numId w:val="24"/>
      </w:num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pPr>
      <w:numPr>
        <w:ilvl w:val="2"/>
        <w:numId w:val="24"/>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Normal"/>
    <w:uiPriority w:val="14"/>
    <w:qFormat/>
    <w:pPr>
      <w:keepNext/>
      <w:spacing w:before="60" w:after="60" w:line="240" w:lineRule="auto"/>
    </w:pPr>
    <w:rPr>
      <w:b/>
      <w:sz w:val="19"/>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basedOn w:val="DefaultParagraphFont"/>
    <w:uiPriority w:val="99"/>
    <w:qFormat/>
    <w:rPr>
      <w:b/>
      <w:bCs/>
    </w:rPr>
  </w:style>
  <w:style w:type="paragraph" w:customStyle="1" w:styleId="Glossary">
    <w:name w:val="Glossary"/>
    <w:basedOn w:val="Normal"/>
    <w:link w:val="GlossaryChar"/>
    <w:uiPriority w:val="28"/>
    <w:semiHidden/>
    <w:locked/>
    <w:pPr>
      <w:spacing w:before="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3"/>
      </w:numPr>
      <w:ind w:left="357" w:hanging="357"/>
    </w:pPr>
  </w:style>
  <w:style w:type="paragraph" w:customStyle="1" w:styleId="TableBullet1">
    <w:name w:val="Table Bullet 1"/>
    <w:basedOn w:val="Normal"/>
    <w:uiPriority w:val="15"/>
    <w:qFormat/>
    <w:pPr>
      <w:numPr>
        <w:numId w:val="4"/>
      </w:numPr>
      <w:spacing w:before="60" w:after="60" w:line="240" w:lineRule="auto"/>
      <w:ind w:left="284" w:hanging="284"/>
    </w:pPr>
    <w:rPr>
      <w:sz w:val="20"/>
    </w:r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5"/>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6"/>
      </w:numPr>
    </w:pPr>
  </w:style>
  <w:style w:type="numbering" w:customStyle="1" w:styleId="Headinglist">
    <w:name w:val="Heading list"/>
    <w:uiPriority w:val="99"/>
    <w:pPr>
      <w:numPr>
        <w:numId w:val="8"/>
      </w:numPr>
    </w:pPr>
  </w:style>
  <w:style w:type="paragraph" w:customStyle="1" w:styleId="Normalsmall">
    <w:name w:val="Normal small"/>
    <w:qFormat/>
    <w:pPr>
      <w:spacing w:after="120" w:line="276" w:lineRule="auto"/>
    </w:pPr>
    <w:rPr>
      <w:rFonts w:eastAsiaTheme="minorHAnsi" w:cstheme="minorBidi"/>
      <w:sz w:val="18"/>
      <w:szCs w:val="18"/>
      <w:lang w:eastAsia="en-US"/>
    </w:rPr>
  </w:style>
  <w:style w:type="paragraph" w:styleId="ListBullet3">
    <w:name w:val="List Bullet 3"/>
    <w:basedOn w:val="Normal"/>
    <w:uiPriority w:val="99"/>
    <w:semiHidden/>
    <w:pPr>
      <w:numPr>
        <w:ilvl w:val="2"/>
        <w:numId w:val="5"/>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rPr>
    </w:tblStylePr>
    <w:tblStylePr w:type="firstCol">
      <w:pPr>
        <w:wordWrap/>
        <w:jc w:val="left"/>
      </w:pPr>
    </w:tblStylePr>
  </w:style>
  <w:style w:type="paragraph" w:customStyle="1" w:styleId="Tablenumberedlist">
    <w:name w:val="Table numbered list"/>
    <w:uiPriority w:val="99"/>
    <w:qFormat/>
    <w:pPr>
      <w:numPr>
        <w:numId w:val="16"/>
      </w:numPr>
      <w:spacing w:before="60" w:after="60"/>
      <w:ind w:left="403"/>
      <w:contextualSpacing/>
    </w:pPr>
    <w:rPr>
      <w:rFonts w:asciiTheme="minorHAnsi" w:eastAsia="Calibri" w:hAnsiTheme="minorHAnsi"/>
      <w:color w:val="000000" w:themeColor="text1"/>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qFormat/>
    <w:pPr>
      <w:numPr>
        <w:numId w:val="30"/>
      </w:numPr>
      <w:tabs>
        <w:tab w:val="num" w:pos="284"/>
      </w:tabs>
      <w:ind w:left="568" w:hanging="284"/>
    </w:pPr>
  </w:style>
  <w:style w:type="numbering" w:customStyle="1" w:styleId="TableBulletlist">
    <w:name w:val="Table Bullet list"/>
    <w:uiPriority w:val="99"/>
    <w:pPr>
      <w:numPr>
        <w:numId w:val="28"/>
      </w:numPr>
    </w:pPr>
  </w:style>
  <w:style w:type="paragraph" w:styleId="Revision">
    <w:name w:val="Revision"/>
    <w:hidden/>
    <w:uiPriority w:val="99"/>
    <w:semiHidden/>
    <w:rPr>
      <w:rFonts w:eastAsiaTheme="minorHAnsi" w:cstheme="minorBidi"/>
      <w:sz w:val="22"/>
      <w:szCs w:val="22"/>
      <w:lang w:eastAsia="en-US"/>
    </w:rPr>
  </w:style>
  <w:style w:type="paragraph" w:customStyle="1" w:styleId="TableText">
    <w:name w:val="Table Text"/>
    <w:qFormat/>
    <w:pPr>
      <w:spacing w:before="60" w:after="60"/>
    </w:pPr>
    <w:rPr>
      <w:rFonts w:ascii="Calibri" w:eastAsia="Times New Roman" w:hAnsi="Calibri" w:cs="Arial"/>
      <w:color w:val="000000"/>
      <w:sz w:val="19"/>
      <w:szCs w:val="22"/>
      <w:lang w:val="en-GB"/>
    </w:rPr>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92814970">
      <w:bodyDiv w:val="1"/>
      <w:marLeft w:val="0"/>
      <w:marRight w:val="0"/>
      <w:marTop w:val="0"/>
      <w:marBottom w:val="0"/>
      <w:divBdr>
        <w:top w:val="none" w:sz="0" w:space="0" w:color="auto"/>
        <w:left w:val="none" w:sz="0" w:space="0" w:color="auto"/>
        <w:bottom w:val="none" w:sz="0" w:space="0" w:color="auto"/>
        <w:right w:val="none" w:sz="0" w:space="0" w:color="auto"/>
      </w:divBdr>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www.oie.int/en/international-standard-setting/aquatic-manual/access-online"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cefas.co.uk/international-database-on-aquatic-animal-diseases/disease-data/?id=37"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cabi.org/ISC/datasheet/75268" TargetMode="External"/><Relationship Id="rId20" Type="http://schemas.openxmlformats.org/officeDocument/2006/relationships/hyperlink" Target="http://www.agriculture.gov.au/pests-diseases-weeds/aquatic"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mailto:AAH@agriculture.gov.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onath%20alakananda\Downloads\Standard-report-template-with-numbered-headings%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opic xmlns="7cf0e0db-f490-4122-abae-21917392c748" xsi:nil="true"/>
    <PublishingExpirationDate xmlns="http://schemas.microsoft.com/sharepoint/v3" xsi:nil="true"/>
    <PublishingStartDate xmlns="http://schemas.microsoft.com/sharepoint/v3" xsi:nil="true"/>
    <Display_x0020_as xmlns="7cf0e0db-f490-4122-abae-21917392c748">
      <Value>Template</Value>
    </Display_x0020_as>
    <bb374297174b4bdba831a078c8472ed4 xmlns="7cf0e0db-f490-4122-abae-21917392c748">
      <Terms xmlns="http://schemas.microsoft.com/office/infopath/2007/PartnerControls"/>
    </bb374297174b4bdba831a078c8472ed4>
    <TaxCatchAll xmlns="7cf0e0db-f490-4122-abae-21917392c748"/>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A7FB25C6BD88945B43274A2B55CC893" ma:contentTypeVersion="8" ma:contentTypeDescription="Create a new document." ma:contentTypeScope="" ma:versionID="66fa147d1a090996fdbfbd07790f31d0">
  <xsd:schema xmlns:xsd="http://www.w3.org/2001/XMLSchema" xmlns:xs="http://www.w3.org/2001/XMLSchema" xmlns:p="http://schemas.microsoft.com/office/2006/metadata/properties" xmlns:ns1="http://schemas.microsoft.com/sharepoint/v3" xmlns:ns2="7cf0e0db-f490-4122-abae-21917392c748" targetNamespace="http://schemas.microsoft.com/office/2006/metadata/properties" ma:root="true" ma:fieldsID="b4c7fdbaab2653067f148b97a858fdeb" ns1:_="" ns2:_="">
    <xsd:import namespace="http://schemas.microsoft.com/sharepoint/v3"/>
    <xsd:import namespace="7cf0e0db-f490-4122-abae-21917392c748"/>
    <xsd:element name="properties">
      <xsd:complexType>
        <xsd:sequence>
          <xsd:element name="documentManagement">
            <xsd:complexType>
              <xsd:all>
                <xsd:element ref="ns1:PublishingStartDate" minOccurs="0"/>
                <xsd:element ref="ns1:PublishingExpirationDate" minOccurs="0"/>
                <xsd:element ref="ns2:Topic" minOccurs="0"/>
                <xsd:element ref="ns2:Display_x0020_as" minOccurs="0"/>
                <xsd:element ref="ns2:bb374297174b4bdba831a078c8472ed4" minOccurs="0"/>
                <xsd:element ref="ns2:TaxCatchAll" minOccurs="0"/>
                <xsd:element ref="ns2:TaxCatchAllLabe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cf0e0db-f490-4122-abae-21917392c748" elementFormDefault="qualified">
    <xsd:import namespace="http://schemas.microsoft.com/office/2006/documentManagement/types"/>
    <xsd:import namespace="http://schemas.microsoft.com/office/infopath/2007/PartnerControls"/>
    <xsd:element name="Topic" ma:index="10" nillable="true" ma:displayName="Topic" ma:format="Dropdown" ma:internalName="Topic">
      <xsd:simpleType>
        <xsd:restriction base="dms:Choice">
          <xsd:enumeration value="About the Department"/>
          <xsd:enumeration value="AAIs"/>
          <xsd:enumeration value="Administrative design"/>
          <xsd:enumeration value="Awards and recognition"/>
          <xsd:enumeration value="Budget and Annual Report"/>
          <xsd:enumeration value="Building access"/>
          <xsd:enumeration value="Business Continuity"/>
          <xsd:enumeration value="Business improvement"/>
          <xsd:enumeration value="Canberra Facilities"/>
          <xsd:enumeration value="Car parking"/>
          <xsd:enumeration value="Committees and Networks"/>
          <xsd:enumeration value="Conduct and behavior"/>
          <xsd:enumeration value="Contacts"/>
          <xsd:enumeration value="Corporate and Business Plans"/>
          <xsd:enumeration value="Delegations"/>
          <xsd:enumeration value="Emergency"/>
          <xsd:enumeration value="Enterprise Agreement"/>
          <xsd:enumeration value="FaBS Service Centre"/>
          <xsd:enumeration value="Finance"/>
          <xsd:enumeration value="Finance Training"/>
          <xsd:enumeration value="FOI and Privacy"/>
          <xsd:enumeration value="Fraud and Security"/>
          <xsd:enumeration value="Grants Management"/>
          <xsd:enumeration value="Health and safety"/>
          <xsd:enumeration value="IML"/>
          <xsd:enumeration value="Information/Records Management"/>
          <xsd:enumeration value="IT Services"/>
          <xsd:enumeration value="Learning and development"/>
          <xsd:enumeration value="Leave"/>
          <xsd:enumeration value="Legal"/>
          <xsd:enumeration value="Legislation, regulation and regulatory reform"/>
          <xsd:enumeration value="Mail and Freight"/>
          <xsd:enumeration value="Media and speeches"/>
          <xsd:enumeration value="Minister"/>
          <xsd:enumeration value="Ministerial and parliamentary"/>
          <xsd:enumeration value="News and Events"/>
          <xsd:enumeration value="Office supplies"/>
          <xsd:enumeration value="Online publishing"/>
          <xsd:enumeration value="Performance Management"/>
          <xsd:enumeration value="Program and Project Management"/>
          <xsd:enumeration value="Properties, facilities and supplies"/>
          <xsd:enumeration value="Publications"/>
          <xsd:enumeration value="Recruitment"/>
          <xsd:enumeration value="Risk Management"/>
          <xsd:enumeration value="Salary"/>
          <xsd:enumeration value="Secretary and Executive"/>
          <xsd:enumeration value="Service Delivery"/>
          <xsd:enumeration value="Service Delivery Modernisation"/>
          <xsd:enumeration value="Social"/>
          <xsd:enumeration value="Social Media"/>
          <xsd:enumeration value="Staff Surveys"/>
          <xsd:enumeration value="Structure"/>
          <xsd:enumeration value="Style guides and writing"/>
          <xsd:enumeration value="Tools and Systems"/>
          <xsd:enumeration value="Travel"/>
          <xsd:enumeration value="Vehicles - Fleet"/>
          <xsd:enumeration value="Working arrangements"/>
          <xsd:enumeration value="Worklife balance"/>
          <xsd:enumeration value="Workplace diversity"/>
        </xsd:restriction>
      </xsd:simpleType>
    </xsd:element>
    <xsd:element name="Display_x0020_as" ma:index="11" nillable="true" ma:displayName="Display as" ma:default="N/A" ma:description="for identifying policies procedures, forms and templates" ma:internalName="Display_x0020_as">
      <xsd:complexType>
        <xsd:complexContent>
          <xsd:extension base="dms:MultiChoice">
            <xsd:sequence>
              <xsd:element name="Value" maxOccurs="unbounded" minOccurs="0" nillable="true">
                <xsd:simpleType>
                  <xsd:restriction base="dms:Choice">
                    <xsd:enumeration value="Policy"/>
                    <xsd:enumeration value="Procedure"/>
                    <xsd:enumeration value="Form"/>
                    <xsd:enumeration value="Template"/>
                    <xsd:enumeration value="Checklist"/>
                    <xsd:enumeration value="Contact"/>
                    <xsd:enumeration value="News"/>
                    <xsd:enumeration value="N/A"/>
                  </xsd:restriction>
                </xsd:simpleType>
              </xsd:element>
            </xsd:sequence>
          </xsd:extension>
        </xsd:complexContent>
      </xsd:complexType>
    </xsd:element>
    <xsd:element name="bb374297174b4bdba831a078c8472ed4" ma:index="12" nillable="true" ma:taxonomy="true" ma:internalName="bb374297174b4bdba831a078c8472ed4" ma:taxonomyFieldName="Document_x0020_Type" ma:displayName="Document Type" ma:default="" ma:fieldId="{bb374297-174b-4bdb-a831-a078c8472ed4}" ma:sspId="09220d36-2b40-42d2-98de-701753724435" ma:termSetId="4ce58473-0306-406e-a93f-f5dd13a02506" ma:anchorId="38d06e9b-17d5-490d-973f-9a1f4cecc264" ma:open="false" ma:isKeyword="false">
      <xsd:complexType>
        <xsd:sequence>
          <xsd:element ref="pc:Terms" minOccurs="0" maxOccurs="1"/>
        </xsd:sequence>
      </xsd:complexType>
    </xsd:element>
    <xsd:element name="TaxCatchAll" ma:index="13" nillable="true" ma:displayName="Taxonomy Catch All Column" ma:hidden="true" ma:list="{d6f63d10-0b52-4490-b9e7-721c0b21adac}" ma:internalName="TaxCatchAll" ma:showField="CatchAllData" ma:web="7cf0e0db-f490-4122-abae-21917392c748">
      <xsd:complexType>
        <xsd:complexContent>
          <xsd:extension base="dms:MultiChoiceLookup">
            <xsd:sequence>
              <xsd:element name="Value" type="dms:Lookup" maxOccurs="unbounded" minOccurs="0" nillable="true"/>
            </xsd:sequence>
          </xsd:extension>
        </xsd:complexContent>
      </xsd:complexType>
    </xsd:element>
    <xsd:element name="TaxCatchAllLabel" ma:index="14" nillable="true" ma:displayName="Taxonomy Catch All Column1" ma:hidden="true" ma:list="{d6f63d10-0b52-4490-b9e7-721c0b21adac}" ma:internalName="TaxCatchAllLabel" ma:readOnly="true" ma:showField="CatchAllDataLabel" ma:web="7cf0e0db-f490-4122-abae-21917392c74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HarvardAGPS.XSL" StyleName="Harvard - AGPS*"/>
</file>

<file path=customXml/itemProps1.xml><?xml version="1.0" encoding="utf-8"?>
<ds:datastoreItem xmlns:ds="http://schemas.openxmlformats.org/officeDocument/2006/customXml" ds:itemID="{9D1CAD33-3B39-4665-A5E6-666D035120E9}">
  <ds:schemaRefs>
    <ds:schemaRef ds:uri="http://schemas.openxmlformats.org/package/2006/metadata/core-properties"/>
    <ds:schemaRef ds:uri="http://schemas.microsoft.com/office/2006/documentManagement/types"/>
    <ds:schemaRef ds:uri="http://schemas.microsoft.com/office/infopath/2007/PartnerControls"/>
    <ds:schemaRef ds:uri="7cf0e0db-f490-4122-abae-21917392c748"/>
    <ds:schemaRef ds:uri="http://purl.org/dc/elements/1.1/"/>
    <ds:schemaRef ds:uri="http://schemas.microsoft.com/office/2006/metadata/properties"/>
    <ds:schemaRef ds:uri="http://schemas.microsoft.com/sharepoint/v3"/>
    <ds:schemaRef ds:uri="http://purl.org/dc/terms/"/>
    <ds:schemaRef ds:uri="http://www.w3.org/XML/1998/namespace"/>
    <ds:schemaRef ds:uri="http://purl.org/dc/dcmitype/"/>
  </ds:schemaRefs>
</ds:datastoreItem>
</file>

<file path=customXml/itemProps2.xml><?xml version="1.0" encoding="utf-8"?>
<ds:datastoreItem xmlns:ds="http://schemas.openxmlformats.org/officeDocument/2006/customXml" ds:itemID="{6DCF07A3-2ED5-4901-97F9-F2B2E221F2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cf0e0db-f490-4122-abae-21917392c7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4.xml><?xml version="1.0" encoding="utf-8"?>
<ds:datastoreItem xmlns:ds="http://schemas.openxmlformats.org/officeDocument/2006/customXml" ds:itemID="{A046DC6E-BEC9-4829-A937-B41BD117D2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Standard-report-template-with-numbered-headings (1).dotx</Template>
  <TotalTime>4</TotalTime>
  <Pages>6</Pages>
  <Words>1126</Words>
  <Characters>6419</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Infection with Marteilia refringens</vt:lpstr>
    </vt:vector>
  </TitlesOfParts>
  <Company>Department of Agriculture Fisheries &amp; Forestry</Company>
  <LinksUpToDate>false</LinksUpToDate>
  <CharactersWithSpaces>7530</CharactersWithSpaces>
  <SharedDoc>false</SharedDoc>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Infection with Marteilia refringens</dc:title>
  <dc:creator>Department of Agriculture</dc:creator>
  <cp:lastModifiedBy>Foster-Thorpe, Cian</cp:lastModifiedBy>
  <cp:revision>8</cp:revision>
  <cp:lastPrinted>2020-03-12T05:07:00Z</cp:lastPrinted>
  <dcterms:created xsi:type="dcterms:W3CDTF">2019-09-05T06:16:00Z</dcterms:created>
  <dcterms:modified xsi:type="dcterms:W3CDTF">2020-03-12T05:29:00Z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0x0101004A7FB25C6BD88945B43274A2B55CC893</vt:lpwstr>
  </property>
</Properties>
</file>