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269FB4" w14:textId="1B8539B6" w:rsidR="00ED0614" w:rsidRDefault="004A5DDC">
      <w:pPr>
        <w:pStyle w:val="Heading1"/>
        <w:rPr>
          <w:highlight w:val="yellow"/>
        </w:rPr>
      </w:pPr>
      <w:r w:rsidRPr="004A5DDC">
        <w:t>Infection with salmonid alphavirus (SAV)</w:t>
      </w:r>
    </w:p>
    <w:p w14:paraId="23B7ABCC" w14:textId="6060B780" w:rsidR="002521EC" w:rsidRPr="00F767F5" w:rsidRDefault="002521EC">
      <w:pPr>
        <w:pStyle w:val="Subtitle"/>
        <w:rPr>
          <w:sz w:val="24"/>
          <w:szCs w:val="24"/>
        </w:rPr>
      </w:pPr>
      <w:r w:rsidRPr="00F767F5">
        <w:rPr>
          <w:sz w:val="24"/>
          <w:szCs w:val="24"/>
        </w:rPr>
        <w:t xml:space="preserve">Also known as </w:t>
      </w:r>
      <w:r w:rsidR="00AC4A41" w:rsidRPr="00F767F5">
        <w:rPr>
          <w:sz w:val="24"/>
          <w:szCs w:val="24"/>
        </w:rPr>
        <w:t xml:space="preserve">infection with salmon pancreas disease virus (SPDV), </w:t>
      </w:r>
      <w:r w:rsidR="004A5DDC" w:rsidRPr="00F767F5">
        <w:rPr>
          <w:sz w:val="24"/>
          <w:szCs w:val="24"/>
        </w:rPr>
        <w:t>salmon pancreas disease (SPD), pancreas disease (PD)</w:t>
      </w:r>
      <w:r w:rsidR="004A5DDC" w:rsidRPr="00726FE8">
        <w:rPr>
          <w:sz w:val="24"/>
          <w:szCs w:val="24"/>
        </w:rPr>
        <w:t xml:space="preserve"> and sleeping disease </w:t>
      </w:r>
      <w:r w:rsidR="004A5DDC" w:rsidRPr="00F767F5">
        <w:rPr>
          <w:sz w:val="24"/>
          <w:szCs w:val="24"/>
        </w:rPr>
        <w:t>(SD)</w:t>
      </w:r>
    </w:p>
    <w:p w14:paraId="16BA856D" w14:textId="77777777" w:rsidR="00ED0614" w:rsidRDefault="00E260DC">
      <w:pPr>
        <w:pStyle w:val="Subtitle"/>
      </w:pPr>
      <w:r>
        <w:t xml:space="preserve">From </w:t>
      </w:r>
      <w:r>
        <w:rPr>
          <w:rStyle w:val="Emphasis"/>
        </w:rPr>
        <w:t>Aquatic animal diseases significant to Australia: identification field guide</w:t>
      </w:r>
      <w:r>
        <w:t>, 5th edition</w:t>
      </w:r>
    </w:p>
    <w:p w14:paraId="0C9D70DB" w14:textId="151C197B" w:rsidR="00ED0614" w:rsidRPr="007F1EDC" w:rsidRDefault="00E260DC">
      <w:pPr>
        <w:pStyle w:val="Caption"/>
      </w:pPr>
      <w:r>
        <w:t xml:space="preserve">Figure </w:t>
      </w:r>
      <w:r>
        <w:rPr>
          <w:noProof/>
        </w:rPr>
        <w:fldChar w:fldCharType="begin"/>
      </w:r>
      <w:r>
        <w:rPr>
          <w:noProof/>
        </w:rPr>
        <w:instrText xml:space="preserve"> SEQ Figure \* ARABIC </w:instrText>
      </w:r>
      <w:r>
        <w:rPr>
          <w:noProof/>
        </w:rPr>
        <w:fldChar w:fldCharType="separate"/>
      </w:r>
      <w:r w:rsidR="007D60BD">
        <w:rPr>
          <w:noProof/>
        </w:rPr>
        <w:t>1</w:t>
      </w:r>
      <w:r>
        <w:rPr>
          <w:noProof/>
        </w:rPr>
        <w:fldChar w:fldCharType="end"/>
      </w:r>
      <w:r>
        <w:t xml:space="preserve"> </w:t>
      </w:r>
      <w:r w:rsidR="004A5DDC" w:rsidRPr="004A5DDC">
        <w:t>Atlantic salmon (</w:t>
      </w:r>
      <w:r w:rsidR="004A5DDC" w:rsidRPr="004A5DDC">
        <w:rPr>
          <w:rStyle w:val="Emphasis"/>
        </w:rPr>
        <w:t>Salmo salar</w:t>
      </w:r>
      <w:r w:rsidR="004A5DDC" w:rsidRPr="004A5DDC">
        <w:t xml:space="preserve">) chronically infected with </w:t>
      </w:r>
      <w:r w:rsidR="004A5DDC">
        <w:t>SAV</w:t>
      </w:r>
    </w:p>
    <w:p w14:paraId="0EFF3543" w14:textId="49B41E89" w:rsidR="00ED0614" w:rsidRPr="007F1EDC" w:rsidRDefault="004A5DDC">
      <w:r>
        <w:rPr>
          <w:noProof/>
          <w:lang w:eastAsia="en-AU"/>
        </w:rPr>
        <w:drawing>
          <wp:inline distT="0" distB="0" distL="0" distR="0" wp14:anchorId="18413792" wp14:editId="3B3DDC11">
            <wp:extent cx="3960000" cy="38160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960000" cy="3816000"/>
                    </a:xfrm>
                    <a:prstGeom prst="rect">
                      <a:avLst/>
                    </a:prstGeom>
                    <a:noFill/>
                    <a:ln>
                      <a:noFill/>
                    </a:ln>
                    <a:extLst>
                      <a:ext uri="{53640926-AAD7-44D8-BBD7-CCE9431645EC}">
                        <a14:shadowObscured xmlns:a14="http://schemas.microsoft.com/office/drawing/2010/main"/>
                      </a:ext>
                    </a:extLst>
                  </pic:spPr>
                </pic:pic>
              </a:graphicData>
            </a:graphic>
          </wp:inline>
        </w:drawing>
      </w:r>
    </w:p>
    <w:p w14:paraId="540ECDBE" w14:textId="77777777" w:rsidR="004A5DDC" w:rsidRDefault="00E260DC" w:rsidP="004A5DDC">
      <w:pPr>
        <w:pStyle w:val="FigureTableNoteSource"/>
      </w:pPr>
      <w:r w:rsidRPr="007F1EDC">
        <w:t xml:space="preserve">Note: </w:t>
      </w:r>
      <w:r w:rsidR="004A5DDC">
        <w:t>Very thin carrier fish in poor condition a few months after infection.</w:t>
      </w:r>
    </w:p>
    <w:p w14:paraId="0FE7139E" w14:textId="56F7C51E" w:rsidR="00ED0614" w:rsidRPr="007F1EDC" w:rsidRDefault="004A5DDC" w:rsidP="004A5DDC">
      <w:pPr>
        <w:pStyle w:val="FigureTableNoteSource"/>
      </w:pPr>
      <w:r>
        <w:t>Source: T Poppe</w:t>
      </w:r>
    </w:p>
    <w:p w14:paraId="34D7581A" w14:textId="77777777" w:rsidR="00ED0614" w:rsidRDefault="00E260DC">
      <w:pPr>
        <w:pStyle w:val="Heading2"/>
      </w:pPr>
      <w:r>
        <w:t>Signs of disease</w:t>
      </w:r>
    </w:p>
    <w:p w14:paraId="445BBFA4" w14:textId="77777777" w:rsidR="00ED0614" w:rsidRDefault="00E260DC">
      <w:pPr>
        <w:rPr>
          <w:lang w:eastAsia="ja-JP"/>
        </w:rPr>
      </w:pPr>
      <w:r>
        <w:rPr>
          <w:lang w:eastAsia="ja-JP"/>
        </w:rPr>
        <w:t>Important: Animals with this disease may show one or more of these signs, but the pathogen may still be present in the absence of any signs.</w:t>
      </w:r>
    </w:p>
    <w:p w14:paraId="0ED3BEC6" w14:textId="77777777" w:rsidR="00ED0614" w:rsidRDefault="00E260DC">
      <w:pPr>
        <w:rPr>
          <w:lang w:eastAsia="ja-JP"/>
        </w:rPr>
      </w:pPr>
      <w:r>
        <w:rPr>
          <w:lang w:eastAsia="ja-JP"/>
        </w:rPr>
        <w:t>Disease signs at the farm, tank or pond level are:</w:t>
      </w:r>
    </w:p>
    <w:p w14:paraId="7E25B186" w14:textId="2A2093C0" w:rsidR="004A5DDC" w:rsidRDefault="00743B35" w:rsidP="004A5DDC">
      <w:pPr>
        <w:pStyle w:val="ListBullet"/>
        <w:rPr>
          <w:lang w:eastAsia="ja-JP"/>
        </w:rPr>
      </w:pPr>
      <w:r>
        <w:rPr>
          <w:lang w:eastAsia="ja-JP"/>
        </w:rPr>
        <w:t>Lack of appetite</w:t>
      </w:r>
      <w:r w:rsidR="004A5DDC">
        <w:rPr>
          <w:lang w:eastAsia="ja-JP"/>
        </w:rPr>
        <w:t xml:space="preserve"> a week or two before a disease outbreak</w:t>
      </w:r>
    </w:p>
    <w:p w14:paraId="07185646" w14:textId="570FEBC8" w:rsidR="004A5DDC" w:rsidRDefault="004A5DDC" w:rsidP="004A5DDC">
      <w:pPr>
        <w:pStyle w:val="ListBullet"/>
        <w:rPr>
          <w:lang w:eastAsia="ja-JP"/>
        </w:rPr>
      </w:pPr>
      <w:r>
        <w:rPr>
          <w:lang w:eastAsia="ja-JP"/>
        </w:rPr>
        <w:t>clinically diseased fish may swim against the current close to the surface or corners of the cage, or be found resting at the bottom of the tank or cage (sleeping)</w:t>
      </w:r>
    </w:p>
    <w:p w14:paraId="64631B6C" w14:textId="484B4A9E" w:rsidR="00ED0614" w:rsidRDefault="004A5DDC" w:rsidP="004A5DDC">
      <w:pPr>
        <w:pStyle w:val="ListBullet"/>
        <w:rPr>
          <w:lang w:eastAsia="ja-JP"/>
        </w:rPr>
      </w:pPr>
      <w:r>
        <w:rPr>
          <w:lang w:eastAsia="ja-JP"/>
        </w:rPr>
        <w:t>one to several months after the onset of mortality, a portion of the survivors usually fail to grow and become thin and slender (runts).</w:t>
      </w:r>
    </w:p>
    <w:p w14:paraId="7418287E" w14:textId="77777777" w:rsidR="00CD0FA5" w:rsidRDefault="00DF2031" w:rsidP="004A5DDC">
      <w:pPr>
        <w:keepNext/>
        <w:keepLines/>
        <w:rPr>
          <w:lang w:eastAsia="ja-JP"/>
        </w:rPr>
      </w:pPr>
      <w:r>
        <w:rPr>
          <w:lang w:eastAsia="ja-JP"/>
        </w:rPr>
        <w:lastRenderedPageBreak/>
        <w:t xml:space="preserve">Gross </w:t>
      </w:r>
      <w:r w:rsidRPr="00DF2031">
        <w:t>pathological</w:t>
      </w:r>
      <w:r>
        <w:rPr>
          <w:lang w:eastAsia="ja-JP"/>
        </w:rPr>
        <w:t xml:space="preserve"> signs </w:t>
      </w:r>
      <w:r w:rsidR="00CD0FA5">
        <w:rPr>
          <w:lang w:eastAsia="ja-JP"/>
        </w:rPr>
        <w:t>are:</w:t>
      </w:r>
    </w:p>
    <w:p w14:paraId="4E25DAF8" w14:textId="77777777" w:rsidR="004A5DDC" w:rsidRDefault="004A5DDC" w:rsidP="004A5DDC">
      <w:pPr>
        <w:pStyle w:val="ListBullet"/>
        <w:keepNext/>
        <w:keepLines/>
        <w:rPr>
          <w:lang w:eastAsia="ja-JP"/>
        </w:rPr>
      </w:pPr>
      <w:r>
        <w:rPr>
          <w:lang w:eastAsia="ja-JP"/>
        </w:rPr>
        <w:t>yellow mucoid gut contents</w:t>
      </w:r>
    </w:p>
    <w:p w14:paraId="1D4E4C44" w14:textId="0B7A58C2" w:rsidR="004A5DDC" w:rsidRDefault="004A5DDC" w:rsidP="004A5DDC">
      <w:pPr>
        <w:pStyle w:val="ListBullet"/>
        <w:rPr>
          <w:lang w:eastAsia="ja-JP"/>
        </w:rPr>
      </w:pPr>
      <w:r>
        <w:rPr>
          <w:lang w:eastAsia="ja-JP"/>
        </w:rPr>
        <w:t>petechiae in pyloric fat, pale hearts and/or haemopericardium due to heart rupture</w:t>
      </w:r>
    </w:p>
    <w:p w14:paraId="5FD07CF5" w14:textId="77777777" w:rsidR="004A5DDC" w:rsidRDefault="004A5DDC" w:rsidP="004A5DDC">
      <w:pPr>
        <w:pStyle w:val="ListBullet"/>
        <w:rPr>
          <w:lang w:eastAsia="ja-JP"/>
        </w:rPr>
      </w:pPr>
      <w:r>
        <w:rPr>
          <w:lang w:eastAsia="ja-JP"/>
        </w:rPr>
        <w:t>scale pocket oedema</w:t>
      </w:r>
    </w:p>
    <w:p w14:paraId="5C569BF1" w14:textId="77777777" w:rsidR="004A5DDC" w:rsidRDefault="004A5DDC" w:rsidP="004A5DDC">
      <w:pPr>
        <w:pStyle w:val="ListBullet"/>
        <w:rPr>
          <w:lang w:eastAsia="ja-JP"/>
        </w:rPr>
      </w:pPr>
      <w:r>
        <w:rPr>
          <w:lang w:eastAsia="ja-JP"/>
        </w:rPr>
        <w:t>exophthalmos</w:t>
      </w:r>
    </w:p>
    <w:p w14:paraId="01A95DB2" w14:textId="77777777" w:rsidR="004A5DDC" w:rsidRDefault="004A5DDC" w:rsidP="004A5DDC">
      <w:pPr>
        <w:pStyle w:val="ListBullet"/>
        <w:rPr>
          <w:lang w:eastAsia="ja-JP"/>
        </w:rPr>
      </w:pPr>
      <w:r>
        <w:rPr>
          <w:lang w:eastAsia="ja-JP"/>
        </w:rPr>
        <w:t>ascites</w:t>
      </w:r>
    </w:p>
    <w:p w14:paraId="06EC2B36" w14:textId="597C33C7" w:rsidR="00ED0614" w:rsidRDefault="004A5DDC" w:rsidP="004A5DDC">
      <w:pPr>
        <w:pStyle w:val="ListBullet"/>
        <w:rPr>
          <w:lang w:eastAsia="ja-JP"/>
        </w:rPr>
      </w:pPr>
      <w:r>
        <w:rPr>
          <w:lang w:eastAsia="ja-JP"/>
        </w:rPr>
        <w:t>atrophy of red skeletal muscle in chronic cases</w:t>
      </w:r>
      <w:r w:rsidR="002521EC">
        <w:rPr>
          <w:lang w:eastAsia="ja-JP"/>
        </w:rPr>
        <w:t>.</w:t>
      </w:r>
    </w:p>
    <w:p w14:paraId="2D426F0A" w14:textId="77777777" w:rsidR="00ED0614" w:rsidRDefault="00E260DC">
      <w:pPr>
        <w:rPr>
          <w:lang w:eastAsia="ja-JP"/>
        </w:rPr>
      </w:pPr>
      <w:r>
        <w:rPr>
          <w:lang w:eastAsia="ja-JP"/>
        </w:rPr>
        <w:t>Microscopic pathological signs are:</w:t>
      </w:r>
    </w:p>
    <w:p w14:paraId="425C88AA" w14:textId="77777777" w:rsidR="004A5DDC" w:rsidRPr="004A5DDC" w:rsidRDefault="004A5DDC" w:rsidP="004A5DDC">
      <w:pPr>
        <w:pStyle w:val="ListBullet"/>
        <w:rPr>
          <w:lang w:val="en-US"/>
        </w:rPr>
      </w:pPr>
      <w:r w:rsidRPr="004A5DDC">
        <w:rPr>
          <w:lang w:val="en-US"/>
        </w:rPr>
        <w:t>necrosis of exocrine pancreas develops shortly before cardiomyocytic necrosis</w:t>
      </w:r>
    </w:p>
    <w:p w14:paraId="72F3B78C" w14:textId="77777777" w:rsidR="004A5DDC" w:rsidRPr="004A5DDC" w:rsidRDefault="004A5DDC" w:rsidP="004A5DDC">
      <w:pPr>
        <w:pStyle w:val="ListBullet"/>
        <w:rPr>
          <w:lang w:val="en-US"/>
        </w:rPr>
      </w:pPr>
      <w:r w:rsidRPr="004A5DDC">
        <w:rPr>
          <w:lang w:val="en-US"/>
        </w:rPr>
        <w:t>severe or total loss of exocrine pancreas, myocarditis and skeletal muscle necrosis, degeneration and myositis</w:t>
      </w:r>
    </w:p>
    <w:p w14:paraId="68AAA3DA" w14:textId="236EC0AE" w:rsidR="00ED0614" w:rsidRDefault="00743B35" w:rsidP="004A5DDC">
      <w:pPr>
        <w:pStyle w:val="ListBullet"/>
        <w:rPr>
          <w:lang w:val="en-US"/>
        </w:rPr>
      </w:pPr>
      <w:r>
        <w:rPr>
          <w:lang w:val="en-US"/>
        </w:rPr>
        <w:t>damage, primarily of</w:t>
      </w:r>
      <w:r w:rsidR="004A5DDC" w:rsidRPr="004A5DDC">
        <w:rPr>
          <w:lang w:val="en-US"/>
        </w:rPr>
        <w:t xml:space="preserve"> the pancreas, </w:t>
      </w:r>
      <w:r>
        <w:rPr>
          <w:lang w:val="en-US"/>
        </w:rPr>
        <w:t>and severe cardiac and skeletal</w:t>
      </w:r>
      <w:r w:rsidR="00E260DC">
        <w:rPr>
          <w:lang w:val="en-US"/>
        </w:rPr>
        <w:t>.</w:t>
      </w:r>
    </w:p>
    <w:p w14:paraId="755CDE80" w14:textId="77777777" w:rsidR="00ED0614" w:rsidRDefault="00E260DC">
      <w:pPr>
        <w:pStyle w:val="Heading2"/>
      </w:pPr>
      <w:r>
        <w:t>Disease agent</w:t>
      </w:r>
    </w:p>
    <w:p w14:paraId="54C7B5E3" w14:textId="1721A24B" w:rsidR="00CB11B9" w:rsidRPr="00CB11B9" w:rsidRDefault="00FD74D0" w:rsidP="00876983">
      <w:r>
        <w:t xml:space="preserve">SPD </w:t>
      </w:r>
      <w:r w:rsidR="004A5DDC" w:rsidRPr="004A5DDC">
        <w:t xml:space="preserve">is caused by infection with salmonid alphavirus (SAV), a member of the family </w:t>
      </w:r>
      <w:r w:rsidR="004A5DDC" w:rsidRPr="004A5DDC">
        <w:rPr>
          <w:rStyle w:val="Emphasis"/>
        </w:rPr>
        <w:t>Togaviridae</w:t>
      </w:r>
      <w:r w:rsidR="004A5DDC" w:rsidRPr="004A5DDC">
        <w:t xml:space="preserve"> in the genus </w:t>
      </w:r>
      <w:r w:rsidR="004A5DDC" w:rsidRPr="004A5DDC">
        <w:rPr>
          <w:rStyle w:val="Emphasis"/>
        </w:rPr>
        <w:t>Alphavirus</w:t>
      </w:r>
      <w:r w:rsidR="004A5DDC" w:rsidRPr="004A5DDC">
        <w:t xml:space="preserve">. </w:t>
      </w:r>
      <w:r w:rsidR="00E3028D" w:rsidRPr="004A5DDC">
        <w:t>Various genetic subtypes of the virus have been detected.</w:t>
      </w:r>
      <w:r>
        <w:t xml:space="preserve"> SPD </w:t>
      </w:r>
      <w:r w:rsidR="004A5DDC" w:rsidRPr="004A5DDC">
        <w:t xml:space="preserve">first emerged in Scotland </w:t>
      </w:r>
      <w:r w:rsidR="00743B35">
        <w:t>and</w:t>
      </w:r>
      <w:r w:rsidR="004A5DDC" w:rsidRPr="004A5DDC">
        <w:t xml:space="preserve"> subsequently recognised in France, Ireland, England, Norway, Germany, Italy and Spain.</w:t>
      </w:r>
    </w:p>
    <w:p w14:paraId="10B41ACC" w14:textId="77777777" w:rsidR="00ED0614" w:rsidRDefault="00E260DC">
      <w:pPr>
        <w:pStyle w:val="Heading2"/>
        <w:keepLines/>
      </w:pPr>
      <w:r>
        <w:t>Host range</w:t>
      </w:r>
    </w:p>
    <w:p w14:paraId="3D688FBD" w14:textId="0A1154EF" w:rsidR="004A5DDC" w:rsidRPr="004A5DDC" w:rsidRDefault="004A5DDC" w:rsidP="004A5DDC">
      <w:pPr>
        <w:rPr>
          <w:lang w:eastAsia="ja-JP"/>
        </w:rPr>
      </w:pPr>
      <w:r w:rsidRPr="004A5DDC">
        <w:rPr>
          <w:lang w:eastAsia="ja-JP"/>
        </w:rPr>
        <w:t xml:space="preserve">Clinical signs of </w:t>
      </w:r>
      <w:r w:rsidR="00BE5CB5">
        <w:rPr>
          <w:lang w:eastAsia="ja-JP"/>
        </w:rPr>
        <w:t>salmon pancreas disease</w:t>
      </w:r>
      <w:r w:rsidR="00BE5CB5" w:rsidRPr="004A5DDC">
        <w:rPr>
          <w:lang w:eastAsia="ja-JP"/>
        </w:rPr>
        <w:t xml:space="preserve"> </w:t>
      </w:r>
      <w:r w:rsidRPr="004A5DDC">
        <w:rPr>
          <w:lang w:eastAsia="ja-JP"/>
        </w:rPr>
        <w:t>have been reported in Atlantic salmon, sea-reared rainbow trout, brown trout and Arctic char.</w:t>
      </w:r>
      <w:r w:rsidR="00333D6E">
        <w:rPr>
          <w:lang w:eastAsia="ja-JP"/>
        </w:rPr>
        <w:t xml:space="preserve"> W</w:t>
      </w:r>
      <w:r w:rsidRPr="004A5DDC">
        <w:rPr>
          <w:lang w:eastAsia="ja-JP"/>
        </w:rPr>
        <w:t>ild fish (</w:t>
      </w:r>
      <w:r w:rsidR="00BE5CB5">
        <w:rPr>
          <w:lang w:eastAsia="ja-JP"/>
        </w:rPr>
        <w:t>such as</w:t>
      </w:r>
      <w:r w:rsidRPr="004A5DDC">
        <w:rPr>
          <w:lang w:eastAsia="ja-JP"/>
        </w:rPr>
        <w:t xml:space="preserve"> flatfish and wrasses) can be subclinically infected and may act as potential vectors or reservoirs of infection.</w:t>
      </w:r>
    </w:p>
    <w:p w14:paraId="63E14290" w14:textId="65CCEF24" w:rsidR="00ED0614" w:rsidRDefault="00E260DC">
      <w:pPr>
        <w:pStyle w:val="Caption"/>
      </w:pPr>
      <w:r>
        <w:t xml:space="preserve">Table </w:t>
      </w:r>
      <w:r>
        <w:rPr>
          <w:noProof/>
        </w:rPr>
        <w:fldChar w:fldCharType="begin"/>
      </w:r>
      <w:r>
        <w:rPr>
          <w:noProof/>
        </w:rPr>
        <w:instrText xml:space="preserve"> SEQ Table \* ARABIC </w:instrText>
      </w:r>
      <w:r>
        <w:rPr>
          <w:noProof/>
        </w:rPr>
        <w:fldChar w:fldCharType="separate"/>
      </w:r>
      <w:r w:rsidR="007D60BD">
        <w:rPr>
          <w:noProof/>
        </w:rPr>
        <w:t>1</w:t>
      </w:r>
      <w:r>
        <w:rPr>
          <w:noProof/>
        </w:rPr>
        <w:fldChar w:fldCharType="end"/>
      </w:r>
      <w:r>
        <w:t xml:space="preserve"> </w:t>
      </w:r>
      <w:r w:rsidR="00CB11B9" w:rsidRPr="00CB11B9">
        <w:t xml:space="preserve">Species known to be susceptible to </w:t>
      </w:r>
      <w:r w:rsidR="004A5DDC">
        <w:t>SAV</w:t>
      </w:r>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ED0614" w14:paraId="7F099F95" w14:textId="77777777">
        <w:trPr>
          <w:cantSplit/>
          <w:trHeight w:val="300"/>
          <w:tblHeader/>
        </w:trPr>
        <w:tc>
          <w:tcPr>
            <w:tcW w:w="2500" w:type="pct"/>
            <w:tcBorders>
              <w:top w:val="single" w:sz="4" w:space="0" w:color="auto"/>
              <w:bottom w:val="single" w:sz="4" w:space="0" w:color="auto"/>
            </w:tcBorders>
            <w:noWrap/>
          </w:tcPr>
          <w:p w14:paraId="53C37EB4" w14:textId="77777777" w:rsidR="00ED0614" w:rsidRDefault="00E260DC">
            <w:pPr>
              <w:pStyle w:val="TableHeading"/>
            </w:pPr>
            <w:r>
              <w:t>Common name</w:t>
            </w:r>
          </w:p>
        </w:tc>
        <w:tc>
          <w:tcPr>
            <w:tcW w:w="2500" w:type="pct"/>
            <w:tcBorders>
              <w:top w:val="single" w:sz="4" w:space="0" w:color="auto"/>
              <w:bottom w:val="single" w:sz="4" w:space="0" w:color="auto"/>
            </w:tcBorders>
            <w:noWrap/>
          </w:tcPr>
          <w:p w14:paraId="0DE0AAEB" w14:textId="77777777" w:rsidR="00ED0614" w:rsidRDefault="00E260DC">
            <w:pPr>
              <w:pStyle w:val="TableHeading"/>
            </w:pPr>
            <w:r>
              <w:t>Scientific name</w:t>
            </w:r>
          </w:p>
        </w:tc>
      </w:tr>
      <w:tr w:rsidR="00BE5CB5" w14:paraId="3B818FD2" w14:textId="77777777">
        <w:trPr>
          <w:cantSplit/>
          <w:trHeight w:val="315"/>
        </w:trPr>
        <w:tc>
          <w:tcPr>
            <w:tcW w:w="2500" w:type="pct"/>
            <w:tcBorders>
              <w:top w:val="single" w:sz="4" w:space="0" w:color="auto"/>
            </w:tcBorders>
            <w:noWrap/>
          </w:tcPr>
          <w:p w14:paraId="2F3C0965" w14:textId="121F6B12" w:rsidR="00BE5CB5" w:rsidRDefault="00BE5CB5" w:rsidP="00BE5CB5">
            <w:pPr>
              <w:pStyle w:val="TableText"/>
            </w:pPr>
            <w:r w:rsidRPr="003958F7">
              <w:t>American plaice</w:t>
            </w:r>
            <w:r w:rsidRPr="00BE5CB5">
              <w:rPr>
                <w:vertAlign w:val="superscript"/>
              </w:rPr>
              <w:t>a</w:t>
            </w:r>
          </w:p>
        </w:tc>
        <w:tc>
          <w:tcPr>
            <w:tcW w:w="2500" w:type="pct"/>
            <w:tcBorders>
              <w:top w:val="single" w:sz="4" w:space="0" w:color="auto"/>
            </w:tcBorders>
            <w:noWrap/>
          </w:tcPr>
          <w:p w14:paraId="2D4141AF" w14:textId="23BAAEB9" w:rsidR="00BE5CB5" w:rsidRPr="004A5DDC" w:rsidRDefault="00BE5CB5" w:rsidP="00BE5CB5">
            <w:pPr>
              <w:pStyle w:val="TableText"/>
              <w:rPr>
                <w:rStyle w:val="Emphasis"/>
              </w:rPr>
            </w:pPr>
            <w:r w:rsidRPr="004A5DDC">
              <w:rPr>
                <w:rStyle w:val="Emphasis"/>
              </w:rPr>
              <w:t>Hippoglossoides platessoides</w:t>
            </w:r>
          </w:p>
        </w:tc>
      </w:tr>
      <w:tr w:rsidR="00BE5CB5" w14:paraId="163A359F" w14:textId="77777777">
        <w:trPr>
          <w:cantSplit/>
          <w:trHeight w:val="315"/>
        </w:trPr>
        <w:tc>
          <w:tcPr>
            <w:tcW w:w="2500" w:type="pct"/>
            <w:noWrap/>
          </w:tcPr>
          <w:p w14:paraId="74773C6F" w14:textId="7C1CE8FB" w:rsidR="00BE5CB5" w:rsidRDefault="00BE5CB5" w:rsidP="00BE5CB5">
            <w:pPr>
              <w:pStyle w:val="TableText"/>
            </w:pPr>
            <w:r w:rsidRPr="003958F7">
              <w:t>Arctic char</w:t>
            </w:r>
            <w:r w:rsidRPr="00BE5CB5">
              <w:rPr>
                <w:vertAlign w:val="superscript"/>
              </w:rPr>
              <w:t>a</w:t>
            </w:r>
          </w:p>
        </w:tc>
        <w:tc>
          <w:tcPr>
            <w:tcW w:w="2500" w:type="pct"/>
            <w:noWrap/>
          </w:tcPr>
          <w:p w14:paraId="1D5663AA" w14:textId="667821EB" w:rsidR="00BE5CB5" w:rsidRPr="004A5DDC" w:rsidRDefault="00BE5CB5" w:rsidP="00BE5CB5">
            <w:pPr>
              <w:pStyle w:val="TableText"/>
              <w:rPr>
                <w:rStyle w:val="Emphasis"/>
                <w:rFonts w:eastAsia="SimSun"/>
              </w:rPr>
            </w:pPr>
            <w:r w:rsidRPr="004A5DDC">
              <w:rPr>
                <w:rStyle w:val="Emphasis"/>
              </w:rPr>
              <w:t>Salvelinus alpinus</w:t>
            </w:r>
          </w:p>
        </w:tc>
      </w:tr>
      <w:tr w:rsidR="00BE5CB5" w14:paraId="5C3B7FD0" w14:textId="77777777">
        <w:trPr>
          <w:cantSplit/>
          <w:trHeight w:val="315"/>
        </w:trPr>
        <w:tc>
          <w:tcPr>
            <w:tcW w:w="2500" w:type="pct"/>
            <w:noWrap/>
          </w:tcPr>
          <w:p w14:paraId="5227C577" w14:textId="624B12C3" w:rsidR="00BE5CB5" w:rsidRDefault="00BE5CB5" w:rsidP="00BE5CB5">
            <w:pPr>
              <w:pStyle w:val="TableText"/>
            </w:pPr>
            <w:r w:rsidRPr="003958F7">
              <w:t>Atlantic salmon</w:t>
            </w:r>
            <w:r w:rsidRPr="00BE5CB5">
              <w:rPr>
                <w:vertAlign w:val="superscript"/>
              </w:rPr>
              <w:t>a</w:t>
            </w:r>
          </w:p>
        </w:tc>
        <w:tc>
          <w:tcPr>
            <w:tcW w:w="2500" w:type="pct"/>
            <w:noWrap/>
          </w:tcPr>
          <w:p w14:paraId="5ACF429E" w14:textId="62F10B14" w:rsidR="00BE5CB5" w:rsidRPr="004A5DDC" w:rsidRDefault="00BE5CB5" w:rsidP="00BE5CB5">
            <w:pPr>
              <w:pStyle w:val="TableText"/>
              <w:rPr>
                <w:rStyle w:val="Emphasis"/>
                <w:rFonts w:eastAsia="SimSun"/>
              </w:rPr>
            </w:pPr>
            <w:r w:rsidRPr="004A5DDC">
              <w:rPr>
                <w:rStyle w:val="Emphasis"/>
              </w:rPr>
              <w:t>Salmo salar</w:t>
            </w:r>
          </w:p>
        </w:tc>
      </w:tr>
      <w:tr w:rsidR="00BE5CB5" w14:paraId="42EB7617" w14:textId="77777777">
        <w:trPr>
          <w:cantSplit/>
          <w:trHeight w:val="315"/>
        </w:trPr>
        <w:tc>
          <w:tcPr>
            <w:tcW w:w="2500" w:type="pct"/>
            <w:noWrap/>
          </w:tcPr>
          <w:p w14:paraId="71A33549" w14:textId="108F2C59" w:rsidR="00BE5CB5" w:rsidRDefault="00BE5CB5" w:rsidP="00BE5CB5">
            <w:pPr>
              <w:pStyle w:val="TableText"/>
            </w:pPr>
            <w:r w:rsidRPr="003958F7">
              <w:t>Brown trout</w:t>
            </w:r>
          </w:p>
        </w:tc>
        <w:tc>
          <w:tcPr>
            <w:tcW w:w="2500" w:type="pct"/>
            <w:noWrap/>
          </w:tcPr>
          <w:p w14:paraId="1D4032D9" w14:textId="756B316F" w:rsidR="00BE5CB5" w:rsidRPr="004A5DDC" w:rsidRDefault="00BE5CB5" w:rsidP="00BE5CB5">
            <w:pPr>
              <w:pStyle w:val="TableText"/>
              <w:rPr>
                <w:rStyle w:val="Emphasis"/>
                <w:rFonts w:eastAsia="SimSun"/>
              </w:rPr>
            </w:pPr>
            <w:r w:rsidRPr="004A5DDC">
              <w:rPr>
                <w:rStyle w:val="Emphasis"/>
              </w:rPr>
              <w:t>Salmo trutta</w:t>
            </w:r>
          </w:p>
        </w:tc>
      </w:tr>
      <w:tr w:rsidR="00BE5CB5" w14:paraId="2B6394AD" w14:textId="77777777">
        <w:trPr>
          <w:cantSplit/>
          <w:trHeight w:val="315"/>
        </w:trPr>
        <w:tc>
          <w:tcPr>
            <w:tcW w:w="2500" w:type="pct"/>
            <w:noWrap/>
          </w:tcPr>
          <w:p w14:paraId="5E1E203A" w14:textId="40A9C19F" w:rsidR="00BE5CB5" w:rsidRDefault="00BE5CB5" w:rsidP="00BE5CB5">
            <w:pPr>
              <w:pStyle w:val="TableText"/>
            </w:pPr>
            <w:r w:rsidRPr="003958F7">
              <w:t>Dab</w:t>
            </w:r>
            <w:r w:rsidRPr="00BE5CB5">
              <w:rPr>
                <w:vertAlign w:val="superscript"/>
              </w:rPr>
              <w:t>a</w:t>
            </w:r>
          </w:p>
        </w:tc>
        <w:tc>
          <w:tcPr>
            <w:tcW w:w="2500" w:type="pct"/>
            <w:noWrap/>
          </w:tcPr>
          <w:p w14:paraId="44C74309" w14:textId="2626F05D" w:rsidR="00BE5CB5" w:rsidRPr="004A5DDC" w:rsidRDefault="00BE5CB5" w:rsidP="00BE5CB5">
            <w:pPr>
              <w:pStyle w:val="TableText"/>
              <w:rPr>
                <w:rStyle w:val="Emphasis"/>
              </w:rPr>
            </w:pPr>
            <w:r w:rsidRPr="004A5DDC">
              <w:rPr>
                <w:rStyle w:val="Emphasis"/>
              </w:rPr>
              <w:t>Limanda limanda</w:t>
            </w:r>
          </w:p>
        </w:tc>
      </w:tr>
      <w:tr w:rsidR="00BE5CB5" w14:paraId="6920FABC" w14:textId="77777777">
        <w:trPr>
          <w:cantSplit/>
          <w:trHeight w:val="315"/>
        </w:trPr>
        <w:tc>
          <w:tcPr>
            <w:tcW w:w="2500" w:type="pct"/>
            <w:noWrap/>
          </w:tcPr>
          <w:p w14:paraId="264B739C" w14:textId="02B632EE" w:rsidR="00BE5CB5" w:rsidRDefault="00BE5CB5" w:rsidP="00BE5CB5">
            <w:pPr>
              <w:pStyle w:val="TableText"/>
            </w:pPr>
            <w:r w:rsidRPr="003958F7">
              <w:t>Plaice</w:t>
            </w:r>
            <w:r w:rsidRPr="00BE5CB5">
              <w:rPr>
                <w:vertAlign w:val="superscript"/>
              </w:rPr>
              <w:t>a</w:t>
            </w:r>
          </w:p>
        </w:tc>
        <w:tc>
          <w:tcPr>
            <w:tcW w:w="2500" w:type="pct"/>
            <w:noWrap/>
          </w:tcPr>
          <w:p w14:paraId="379EFB71" w14:textId="3813E2FD" w:rsidR="00BE5CB5" w:rsidRPr="004A5DDC" w:rsidRDefault="00BE5CB5" w:rsidP="00BE5CB5">
            <w:pPr>
              <w:pStyle w:val="TableText"/>
              <w:rPr>
                <w:rStyle w:val="Emphasis"/>
              </w:rPr>
            </w:pPr>
            <w:r w:rsidRPr="004A5DDC">
              <w:rPr>
                <w:rStyle w:val="Emphasis"/>
              </w:rPr>
              <w:t>Pleuronectes platessa</w:t>
            </w:r>
          </w:p>
        </w:tc>
      </w:tr>
      <w:tr w:rsidR="00BE5CB5" w14:paraId="0D6ED91A" w14:textId="77777777">
        <w:trPr>
          <w:cantSplit/>
          <w:trHeight w:val="315"/>
        </w:trPr>
        <w:tc>
          <w:tcPr>
            <w:tcW w:w="2500" w:type="pct"/>
            <w:noWrap/>
          </w:tcPr>
          <w:p w14:paraId="3198F7CB" w14:textId="1A62A10E" w:rsidR="00BE5CB5" w:rsidRPr="002F7844" w:rsidRDefault="00BE5CB5" w:rsidP="00BE5CB5">
            <w:pPr>
              <w:pStyle w:val="TableText"/>
            </w:pPr>
            <w:r w:rsidRPr="003958F7">
              <w:t>Rainbow trout</w:t>
            </w:r>
            <w:r w:rsidRPr="00BE5CB5">
              <w:rPr>
                <w:vertAlign w:val="superscript"/>
              </w:rPr>
              <w:t>a</w:t>
            </w:r>
          </w:p>
        </w:tc>
        <w:tc>
          <w:tcPr>
            <w:tcW w:w="2500" w:type="pct"/>
            <w:noWrap/>
          </w:tcPr>
          <w:p w14:paraId="5466F917" w14:textId="4ADF9EE9" w:rsidR="00BE5CB5" w:rsidRPr="004A5DDC" w:rsidRDefault="00BE5CB5" w:rsidP="00BE5CB5">
            <w:pPr>
              <w:pStyle w:val="TableText"/>
              <w:rPr>
                <w:rStyle w:val="Emphasis"/>
              </w:rPr>
            </w:pPr>
            <w:r w:rsidRPr="004A5DDC">
              <w:rPr>
                <w:rStyle w:val="Emphasis"/>
              </w:rPr>
              <w:t>Oncorhynchus mykiss</w:t>
            </w:r>
          </w:p>
        </w:tc>
      </w:tr>
      <w:tr w:rsidR="00BE5CB5" w14:paraId="50940242" w14:textId="77777777">
        <w:trPr>
          <w:cantSplit/>
          <w:trHeight w:val="315"/>
        </w:trPr>
        <w:tc>
          <w:tcPr>
            <w:tcW w:w="2500" w:type="pct"/>
            <w:noWrap/>
          </w:tcPr>
          <w:p w14:paraId="708B6394" w14:textId="4C39E6E7" w:rsidR="00BE5CB5" w:rsidRPr="002F7844" w:rsidRDefault="00BE5CB5" w:rsidP="00BE5CB5">
            <w:pPr>
              <w:pStyle w:val="TableText"/>
            </w:pPr>
            <w:r w:rsidRPr="003958F7">
              <w:t>Wrasse</w:t>
            </w:r>
            <w:r w:rsidRPr="00BE5CB5">
              <w:rPr>
                <w:vertAlign w:val="superscript"/>
              </w:rPr>
              <w:t>a</w:t>
            </w:r>
          </w:p>
        </w:tc>
        <w:tc>
          <w:tcPr>
            <w:tcW w:w="2500" w:type="pct"/>
            <w:noWrap/>
          </w:tcPr>
          <w:p w14:paraId="2E781A41" w14:textId="456F86C5" w:rsidR="00BE5CB5" w:rsidRPr="004A5DDC" w:rsidRDefault="00BE5CB5" w:rsidP="00BE5CB5">
            <w:pPr>
              <w:pStyle w:val="TableText"/>
              <w:rPr>
                <w:rStyle w:val="Emphasis"/>
              </w:rPr>
            </w:pPr>
            <w:r w:rsidRPr="004A5DDC">
              <w:rPr>
                <w:rStyle w:val="Emphasis"/>
              </w:rPr>
              <w:t>Labrus bergylta</w:t>
            </w:r>
          </w:p>
        </w:tc>
      </w:tr>
    </w:tbl>
    <w:p w14:paraId="233F7A2B" w14:textId="0CD2B074" w:rsidR="00DF2031" w:rsidRDefault="00DF2031" w:rsidP="00DF2031">
      <w:pPr>
        <w:pStyle w:val="FigureTableNoteSource"/>
      </w:pPr>
      <w:r w:rsidRPr="00DF2031">
        <w:rPr>
          <w:rStyle w:val="Strong"/>
        </w:rPr>
        <w:t>a</w:t>
      </w:r>
      <w:r w:rsidRPr="00DF2031">
        <w:t xml:space="preserve"> Naturally susceptible</w:t>
      </w:r>
      <w:r>
        <w:t>. Note:</w:t>
      </w:r>
      <w:r w:rsidRPr="00DF2031">
        <w:t xml:space="preserve"> </w:t>
      </w:r>
      <w:r>
        <w:t>O</w:t>
      </w:r>
      <w:r w:rsidRPr="00DF2031">
        <w:t>ther species have been shown to be experimentally susceptible</w:t>
      </w:r>
      <w:r>
        <w:t>.</w:t>
      </w:r>
    </w:p>
    <w:p w14:paraId="07189146" w14:textId="77777777" w:rsidR="00ED0614" w:rsidRDefault="00E260DC">
      <w:pPr>
        <w:pStyle w:val="Heading2"/>
      </w:pPr>
      <w:r>
        <w:lastRenderedPageBreak/>
        <w:t>Presence in Australia</w:t>
      </w:r>
    </w:p>
    <w:p w14:paraId="12DFE40E" w14:textId="277F361A" w:rsidR="00FD7D78" w:rsidRDefault="004B703A">
      <w:pPr>
        <w:keepNext/>
        <w:keepLines/>
      </w:pPr>
      <w:r w:rsidRPr="004B703A">
        <w:t>Exotic disease—not recorded in Australia.</w:t>
      </w:r>
    </w:p>
    <w:p w14:paraId="55B0F228" w14:textId="656952D4" w:rsidR="00ED0614" w:rsidRDefault="00E260DC">
      <w:pPr>
        <w:pStyle w:val="Caption"/>
      </w:pPr>
      <w:r>
        <w:t xml:space="preserve">Map </w:t>
      </w:r>
      <w:r>
        <w:rPr>
          <w:noProof/>
        </w:rPr>
        <w:fldChar w:fldCharType="begin"/>
      </w:r>
      <w:r>
        <w:rPr>
          <w:noProof/>
        </w:rPr>
        <w:instrText xml:space="preserve"> SEQ Map \* ARABIC </w:instrText>
      </w:r>
      <w:r>
        <w:rPr>
          <w:noProof/>
        </w:rPr>
        <w:fldChar w:fldCharType="separate"/>
      </w:r>
      <w:r w:rsidR="007D60BD">
        <w:rPr>
          <w:noProof/>
        </w:rPr>
        <w:t>1</w:t>
      </w:r>
      <w:r>
        <w:rPr>
          <w:noProof/>
        </w:rPr>
        <w:fldChar w:fldCharType="end"/>
      </w:r>
      <w:r>
        <w:t xml:space="preserve"> Presence </w:t>
      </w:r>
      <w:r w:rsidR="004B703A" w:rsidRPr="004B703A">
        <w:t xml:space="preserve">of </w:t>
      </w:r>
      <w:r w:rsidR="004A5DDC">
        <w:t>SAV</w:t>
      </w:r>
      <w:r>
        <w:t>, by jurisdiction</w:t>
      </w:r>
    </w:p>
    <w:p w14:paraId="0046BA22" w14:textId="77777777" w:rsidR="00ED0614" w:rsidRDefault="00E260DC">
      <w:r>
        <w:rPr>
          <w:noProof/>
          <w:lang w:eastAsia="en-AU"/>
        </w:rPr>
        <w:drawing>
          <wp:inline distT="0" distB="0" distL="0" distR="0" wp14:anchorId="1C3B5809" wp14:editId="7EAC54EB">
            <wp:extent cx="4137772" cy="2946411"/>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sie and Vic AVG.png"/>
                    <pic:cNvPicPr/>
                  </pic:nvPicPr>
                  <pic:blipFill>
                    <a:blip r:embed="rId12" cstate="print">
                      <a:extLst>
                        <a:ext uri="{28A0092B-C50C-407E-A947-70E740481C1C}">
                          <a14:useLocalDpi xmlns:a14="http://schemas.microsoft.com/office/drawing/2010/main"/>
                        </a:ext>
                      </a:extLst>
                    </a:blip>
                    <a:stretch>
                      <a:fillRect/>
                    </a:stretch>
                  </pic:blipFill>
                  <pic:spPr>
                    <a:xfrm>
                      <a:off x="0" y="0"/>
                      <a:ext cx="4137772" cy="2946411"/>
                    </a:xfrm>
                    <a:prstGeom prst="rect">
                      <a:avLst/>
                    </a:prstGeom>
                  </pic:spPr>
                </pic:pic>
              </a:graphicData>
            </a:graphic>
          </wp:inline>
        </w:drawing>
      </w:r>
    </w:p>
    <w:p w14:paraId="345F5669" w14:textId="77777777" w:rsidR="00ED0614" w:rsidRDefault="00E260DC" w:rsidP="002521EC">
      <w:pPr>
        <w:pStyle w:val="Heading2"/>
        <w:keepLines/>
      </w:pPr>
      <w:r>
        <w:t>Epidemiology</w:t>
      </w:r>
    </w:p>
    <w:p w14:paraId="1000E80B" w14:textId="57618907" w:rsidR="004A5DDC" w:rsidRDefault="00333D6E" w:rsidP="004A5DDC">
      <w:pPr>
        <w:pStyle w:val="ListBullet"/>
      </w:pPr>
      <w:r>
        <w:t>SAV</w:t>
      </w:r>
      <w:r w:rsidR="004A5DDC">
        <w:t xml:space="preserve"> is horizontally transmitted, via water and water currents, transport of infected fish, contaminated equipment, well boats </w:t>
      </w:r>
      <w:r w:rsidR="009E53A8">
        <w:t xml:space="preserve">and </w:t>
      </w:r>
      <w:r w:rsidR="00BE0719">
        <w:t>other vehicles</w:t>
      </w:r>
      <w:r w:rsidR="004A5DDC">
        <w:t>. The virus can survive for extended periods in seawater.</w:t>
      </w:r>
    </w:p>
    <w:p w14:paraId="0DD2B0FC" w14:textId="77777777" w:rsidR="004A5DDC" w:rsidRDefault="004A5DDC" w:rsidP="004A5DDC">
      <w:pPr>
        <w:pStyle w:val="ListBullet"/>
      </w:pPr>
      <w:r>
        <w:t>Vertical transmission is considered unlikely but has not been ruled out.</w:t>
      </w:r>
    </w:p>
    <w:p w14:paraId="66DC75DB" w14:textId="6F90824C" w:rsidR="004A5DDC" w:rsidRDefault="004A5DDC" w:rsidP="004A5DDC">
      <w:pPr>
        <w:pStyle w:val="ListBullet"/>
      </w:pPr>
      <w:r>
        <w:t xml:space="preserve">Water temperature may affect the duration and </w:t>
      </w:r>
      <w:r w:rsidR="00743B35">
        <w:t>level</w:t>
      </w:r>
      <w:r>
        <w:t xml:space="preserve"> of mortality.</w:t>
      </w:r>
    </w:p>
    <w:p w14:paraId="32A2493F" w14:textId="77777777" w:rsidR="004A5DDC" w:rsidRDefault="004A5DDC" w:rsidP="004A5DDC">
      <w:pPr>
        <w:pStyle w:val="ListBullet"/>
      </w:pPr>
      <w:r>
        <w:t>Subtypes 1, 2, 3, 4, 5 and 6 may have different virulence in different hosts.</w:t>
      </w:r>
    </w:p>
    <w:p w14:paraId="16E0C4F0" w14:textId="77777777" w:rsidR="004A5DDC" w:rsidRDefault="004A5DDC" w:rsidP="004A5DDC">
      <w:pPr>
        <w:pStyle w:val="ListBullet"/>
      </w:pPr>
      <w:r>
        <w:t>All marine life stages of Atlantic salmon are susceptible to disease, from smolts to adult fish. Different strains of Atlantic salmon may have different susceptibility to SAV.</w:t>
      </w:r>
    </w:p>
    <w:p w14:paraId="47EFF6DD" w14:textId="77777777" w:rsidR="004A5DDC" w:rsidRDefault="004A5DDC" w:rsidP="004A5DDC">
      <w:pPr>
        <w:pStyle w:val="ListBullet"/>
      </w:pPr>
      <w:r>
        <w:t>Farmed rainbow trout in fresh water and salt water are susceptible to disease at all stages of production.</w:t>
      </w:r>
    </w:p>
    <w:p w14:paraId="5BDE67A8" w14:textId="67430735" w:rsidR="004A5DDC" w:rsidRDefault="004A5DDC" w:rsidP="004A5DDC">
      <w:pPr>
        <w:pStyle w:val="ListBullet"/>
      </w:pPr>
      <w:r>
        <w:t>Mortality varies significantly, from negligible to over</w:t>
      </w:r>
      <w:r w:rsidR="009E53A8">
        <w:t> </w:t>
      </w:r>
      <w:r>
        <w:t>50% in severe cases</w:t>
      </w:r>
      <w:r w:rsidR="009E53A8">
        <w:t>.</w:t>
      </w:r>
      <w:r>
        <w:t xml:space="preserve"> </w:t>
      </w:r>
      <w:r w:rsidR="009E53A8">
        <w:t>U</w:t>
      </w:r>
      <w:r>
        <w:t>p to</w:t>
      </w:r>
      <w:r w:rsidR="009E53A8">
        <w:t> </w:t>
      </w:r>
      <w:r>
        <w:t>15% of surviving fish will develop into long, slender fish (runts).</w:t>
      </w:r>
    </w:p>
    <w:p w14:paraId="7E3B7D08" w14:textId="7A57B856" w:rsidR="004A5DDC" w:rsidRDefault="004A5DDC" w:rsidP="004A5DDC">
      <w:pPr>
        <w:pStyle w:val="ListBullet"/>
      </w:pPr>
      <w:r>
        <w:t xml:space="preserve">Management and environmental factors that induce stress </w:t>
      </w:r>
      <w:r w:rsidR="00743B35">
        <w:t>in</w:t>
      </w:r>
      <w:r>
        <w:t xml:space="preserve"> fish probably </w:t>
      </w:r>
      <w:r w:rsidR="00743B35">
        <w:t>increase</w:t>
      </w:r>
      <w:r>
        <w:t xml:space="preserve"> mortality significantly.</w:t>
      </w:r>
    </w:p>
    <w:p w14:paraId="45CF7725" w14:textId="11785DD0" w:rsidR="00ED0614" w:rsidRDefault="004A5DDC" w:rsidP="004A5DDC">
      <w:pPr>
        <w:pStyle w:val="ListBullet"/>
      </w:pPr>
      <w:r>
        <w:t>Natural reservoirs of SAV may include wild fish</w:t>
      </w:r>
      <w:r w:rsidR="009E53A8">
        <w:t>.</w:t>
      </w:r>
      <w:r>
        <w:t xml:space="preserve"> SAV has been detected in some wild flatfish species in Scotland and in wrasses used for sealice management in Ireland</w:t>
      </w:r>
      <w:r w:rsidR="004B703A">
        <w:t>.</w:t>
      </w:r>
    </w:p>
    <w:p w14:paraId="431A90C5" w14:textId="77777777" w:rsidR="00ED0614" w:rsidRDefault="00E260DC">
      <w:pPr>
        <w:pStyle w:val="Heading2"/>
      </w:pPr>
      <w:r>
        <w:lastRenderedPageBreak/>
        <w:t>Differential diagnosis</w:t>
      </w:r>
    </w:p>
    <w:p w14:paraId="00D9EE0B" w14:textId="19BE95C1" w:rsidR="00ED0614" w:rsidRDefault="00E260DC">
      <w:pPr>
        <w:keepLines/>
      </w:pPr>
      <w:r>
        <w:rPr>
          <w:lang w:eastAsia="en-AU"/>
        </w:rPr>
        <w:t xml:space="preserve">The list of </w:t>
      </w:r>
      <w:hyperlink w:anchor="_Similar_diseases" w:history="1">
        <w:r>
          <w:rPr>
            <w:rStyle w:val="Hyperlink"/>
            <w:lang w:eastAsia="en-AU"/>
          </w:rPr>
          <w:t>similar diseases</w:t>
        </w:r>
      </w:hyperlink>
      <w:r>
        <w:rPr>
          <w:lang w:eastAsia="en-AU"/>
        </w:rPr>
        <w:t xml:space="preserve"> in the next section refers only to the diseases covered by this field guide. </w:t>
      </w:r>
      <w:r w:rsidR="000D38F7" w:rsidRPr="000D38F7">
        <w:rPr>
          <w:lang w:eastAsia="en-AU"/>
        </w:rPr>
        <w:t>Gross pathological signs may also be representative of diseases not included in this guide. Do not rely on gross signs to provide a definitive diagnosis. Use them as a tool to help identify the listed diseases that most closely account for the observed signs</w:t>
      </w:r>
      <w:r>
        <w:rPr>
          <w:lang w:eastAsia="en-AU"/>
        </w:rPr>
        <w:t>.</w:t>
      </w:r>
    </w:p>
    <w:p w14:paraId="438DC32F" w14:textId="77777777" w:rsidR="00ED0614" w:rsidRDefault="00E260DC">
      <w:pPr>
        <w:pStyle w:val="Heading2"/>
      </w:pPr>
      <w:bookmarkStart w:id="0" w:name="_Similar_diseases"/>
      <w:bookmarkEnd w:id="0"/>
      <w:r>
        <w:t>Similar diseases</w:t>
      </w:r>
    </w:p>
    <w:p w14:paraId="3085BBD7" w14:textId="07ECE760" w:rsidR="00ED0614" w:rsidRDefault="004A5DDC">
      <w:r w:rsidRPr="004A5DDC">
        <w:t>Infection with HPR-deleted or HPR0 infectious salmon anaemia virus</w:t>
      </w:r>
      <w:r w:rsidR="009E53A8">
        <w:t xml:space="preserve"> and</w:t>
      </w:r>
      <w:r w:rsidRPr="004A5DDC">
        <w:t xml:space="preserve"> infectious pancreatic necrosis (IPN)</w:t>
      </w:r>
      <w:r w:rsidR="006B6C98">
        <w:t>.</w:t>
      </w:r>
    </w:p>
    <w:p w14:paraId="1583FD47" w14:textId="77777777" w:rsidR="00ED0614" w:rsidRDefault="00E260DC">
      <w:pPr>
        <w:pStyle w:val="Heading2"/>
      </w:pPr>
      <w:r>
        <w:t>Sample collection</w:t>
      </w:r>
    </w:p>
    <w:p w14:paraId="023FB03E" w14:textId="73624794" w:rsidR="00ED0614" w:rsidRDefault="00742002">
      <w:r w:rsidRPr="00742002">
        <w:rPr>
          <w:lang w:eastAsia="en-AU"/>
        </w:rPr>
        <w:t>Only trained personnel should collect samples. Using only gross pathological signs to differentiate between diseases is not reliable, and some aquatic animal disease agents pose a risk to humans. If you are not appropriately trained, phone your state or territory hotline number and report your observations. If you have to collect samples, the agency taking your call will advise you on the appropriate course of action. Local or district fisheries or veterinary authorities may also advise on sampling.</w:t>
      </w:r>
    </w:p>
    <w:p w14:paraId="6058F664" w14:textId="77777777" w:rsidR="00ED0614" w:rsidRDefault="00E260DC">
      <w:pPr>
        <w:pStyle w:val="Heading2"/>
      </w:pPr>
      <w:r>
        <w:t>Emergency disease hotline</w:t>
      </w:r>
    </w:p>
    <w:p w14:paraId="4FF13930" w14:textId="77777777" w:rsidR="00ED0614" w:rsidRDefault="00E260DC">
      <w:r>
        <w:t>See something you think is this disease? Report it. Even if you’re not sure.</w:t>
      </w:r>
    </w:p>
    <w:p w14:paraId="57CF72E2" w14:textId="3DD8C984" w:rsidR="002521EC" w:rsidRPr="002521EC" w:rsidRDefault="00E260DC" w:rsidP="004A5DDC">
      <w:pPr>
        <w:rPr>
          <w:lang w:eastAsia="ja-JP"/>
        </w:rPr>
      </w:pPr>
      <w:r>
        <w:t xml:space="preserve">Call the Emergency Animal Disease Watch Hotline on </w:t>
      </w:r>
      <w:r w:rsidR="007B72EC">
        <w:rPr>
          <w:rStyle w:val="Strong"/>
        </w:rPr>
        <w:t>1800 675 888</w:t>
      </w:r>
      <w:r>
        <w:t>. They will refer you to the right state or territory agency.</w:t>
      </w:r>
    </w:p>
    <w:p w14:paraId="6B39C243" w14:textId="77777777" w:rsidR="00ED0614" w:rsidRDefault="00E260DC" w:rsidP="003C1061">
      <w:pPr>
        <w:pStyle w:val="Heading2"/>
        <w:keepLines/>
        <w:rPr>
          <w:rFonts w:ascii="Cambria" w:eastAsiaTheme="minorHAnsi" w:hAnsi="Cambria"/>
          <w:b w:val="0"/>
          <w:bCs w:val="0"/>
          <w:color w:val="auto"/>
          <w:sz w:val="22"/>
          <w:szCs w:val="22"/>
          <w:lang w:eastAsia="en-US"/>
        </w:rPr>
      </w:pPr>
      <w:r>
        <w:t>Further reading</w:t>
      </w:r>
    </w:p>
    <w:p w14:paraId="00C74714" w14:textId="63E151D4" w:rsidR="004A5DDC" w:rsidRDefault="004A5DDC" w:rsidP="004B703A">
      <w:r w:rsidRPr="004A5DDC">
        <w:t xml:space="preserve">World Organisation for Animal Health </w:t>
      </w:r>
      <w:hyperlink r:id="rId13" w:history="1">
        <w:r w:rsidRPr="004A5DDC">
          <w:rPr>
            <w:rStyle w:val="Hyperlink"/>
          </w:rPr>
          <w:t>Manual o</w:t>
        </w:r>
        <w:r w:rsidR="00A1089B" w:rsidRPr="004A5DDC">
          <w:rPr>
            <w:rStyle w:val="Hyperlink"/>
          </w:rPr>
          <w:t>f diagnostic tests for aquatic ani</w:t>
        </w:r>
        <w:r w:rsidRPr="004A5DDC">
          <w:rPr>
            <w:rStyle w:val="Hyperlink"/>
          </w:rPr>
          <w:t>mals</w:t>
        </w:r>
      </w:hyperlink>
    </w:p>
    <w:p w14:paraId="651B3923" w14:textId="47B4F278" w:rsidR="004B703A" w:rsidRDefault="004B703A" w:rsidP="004B703A">
      <w:r>
        <w:t>This hyperlink was correct at the time of publication.</w:t>
      </w:r>
    </w:p>
    <w:p w14:paraId="1AF792C8" w14:textId="77777777" w:rsidR="00ED0614" w:rsidRDefault="00E260DC">
      <w:pPr>
        <w:pStyle w:val="Heading2"/>
        <w:ind w:left="0" w:firstLine="0"/>
      </w:pPr>
      <w:r>
        <w:t>Contact details</w:t>
      </w:r>
    </w:p>
    <w:p w14:paraId="26C6D2C2" w14:textId="77777777" w:rsidR="00ED0614" w:rsidRDefault="00E260DC">
      <w:pPr>
        <w:spacing w:after="0"/>
      </w:pPr>
      <w:r>
        <w:t>Emergency Animal Disease Watch Hotline 1800 675 888</w:t>
      </w:r>
    </w:p>
    <w:p w14:paraId="3490169F" w14:textId="77777777" w:rsidR="00ED0614" w:rsidRDefault="00E260DC">
      <w:r>
        <w:t xml:space="preserve">Email </w:t>
      </w:r>
      <w:hyperlink r:id="rId14" w:history="1">
        <w:r>
          <w:rPr>
            <w:rStyle w:val="Hyperlink"/>
          </w:rPr>
          <w:t>AAH@agriculture.gov.au</w:t>
        </w:r>
      </w:hyperlink>
      <w:r>
        <w:cr/>
        <w:t xml:space="preserve">Website </w:t>
      </w:r>
      <w:hyperlink r:id="rId15" w:history="1">
        <w:r>
          <w:rPr>
            <w:rStyle w:val="Hyperlink"/>
          </w:rPr>
          <w:t>agriculture.gov.au/pests-diseases-weeds/aquatic</w:t>
        </w:r>
      </w:hyperlink>
    </w:p>
    <w:p w14:paraId="16C0A9CE" w14:textId="6B8952B0" w:rsidR="00ED0614" w:rsidRDefault="00E260DC">
      <w:pPr>
        <w:pStyle w:val="Normalsmall"/>
      </w:pPr>
      <w:r>
        <w:t>© Commonwealth of Australia 20</w:t>
      </w:r>
      <w:r w:rsidR="007D60BD">
        <w:t>20</w:t>
      </w:r>
      <w:bookmarkStart w:id="1" w:name="_GoBack"/>
      <w:bookmarkEnd w:id="1"/>
    </w:p>
    <w:p w14:paraId="783F07B8" w14:textId="77777777" w:rsidR="00ED0614" w:rsidRDefault="00E260DC">
      <w:pPr>
        <w:pStyle w:val="Normalsmall"/>
      </w:pPr>
      <w:r>
        <w:t>This work is copyright. It may be reproduced in whole or in part subject to the inclusion of an acknowledgement of the source and no commercial usage or sale.</w:t>
      </w:r>
    </w:p>
    <w:sectPr w:rsidR="00ED0614">
      <w:headerReference w:type="default" r:id="rId16"/>
      <w:footerReference w:type="default" r:id="rId17"/>
      <w:headerReference w:type="first" r:id="rId18"/>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AC78D9" w14:textId="77777777" w:rsidR="00ED0614" w:rsidRDefault="00E260DC">
      <w:r>
        <w:separator/>
      </w:r>
    </w:p>
    <w:p w14:paraId="0AA4D9C1" w14:textId="77777777" w:rsidR="00ED0614" w:rsidRDefault="00ED0614"/>
    <w:p w14:paraId="71426813" w14:textId="77777777" w:rsidR="00ED0614" w:rsidRDefault="00ED0614"/>
  </w:endnote>
  <w:endnote w:type="continuationSeparator" w:id="0">
    <w:p w14:paraId="52CF7EC4" w14:textId="77777777" w:rsidR="00ED0614" w:rsidRDefault="00E260DC">
      <w:r>
        <w:continuationSeparator/>
      </w:r>
    </w:p>
    <w:p w14:paraId="7D3F088E" w14:textId="77777777" w:rsidR="00ED0614" w:rsidRDefault="00ED0614"/>
    <w:p w14:paraId="76382A3E" w14:textId="77777777" w:rsidR="00ED0614" w:rsidRDefault="00ED0614"/>
  </w:endnote>
  <w:endnote w:type="continuationNotice" w:id="1">
    <w:p w14:paraId="5C987883" w14:textId="77777777" w:rsidR="00ED0614" w:rsidRDefault="00ED0614">
      <w:pPr>
        <w:pStyle w:val="Footer"/>
      </w:pPr>
    </w:p>
    <w:p w14:paraId="6054154D" w14:textId="77777777" w:rsidR="00ED0614" w:rsidRDefault="00ED0614"/>
    <w:p w14:paraId="14C21167" w14:textId="77777777" w:rsidR="00ED0614" w:rsidRDefault="00ED06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A225E" w14:textId="66E37FA7" w:rsidR="00ED0614" w:rsidRDefault="007D60BD">
    <w:pPr>
      <w:pStyle w:val="Footer"/>
    </w:pPr>
    <w:r>
      <w:t>Department of Agriculture, Water and the Environment</w:t>
    </w:r>
  </w:p>
  <w:p w14:paraId="17457BBE" w14:textId="77777777" w:rsidR="00ED0614" w:rsidRDefault="00E260DC">
    <w:pPr>
      <w:pStyle w:val="Footer"/>
    </w:pPr>
    <w:r>
      <w:fldChar w:fldCharType="begin"/>
    </w:r>
    <w:r>
      <w:instrText xml:space="preserve"> PAGE   \* MERGEFORMAT </w:instrText>
    </w:r>
    <w:r>
      <w:fldChar w:fldCharType="separate"/>
    </w:r>
    <w:r w:rsidR="00743B35">
      <w:rPr>
        <w:noProof/>
      </w:rPr>
      <w:t>4</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F4587" w14:textId="77777777" w:rsidR="00ED0614" w:rsidRDefault="00E260DC">
      <w:r>
        <w:separator/>
      </w:r>
    </w:p>
    <w:p w14:paraId="653B3757" w14:textId="77777777" w:rsidR="00ED0614" w:rsidRDefault="00ED0614"/>
    <w:p w14:paraId="2BC6E2A4" w14:textId="77777777" w:rsidR="00ED0614" w:rsidRDefault="00ED0614"/>
  </w:footnote>
  <w:footnote w:type="continuationSeparator" w:id="0">
    <w:p w14:paraId="57A88842" w14:textId="77777777" w:rsidR="00ED0614" w:rsidRDefault="00E260DC">
      <w:r>
        <w:continuationSeparator/>
      </w:r>
    </w:p>
    <w:p w14:paraId="77802F2E" w14:textId="77777777" w:rsidR="00ED0614" w:rsidRDefault="00ED0614"/>
    <w:p w14:paraId="0B9EE46F" w14:textId="77777777" w:rsidR="00ED0614" w:rsidRDefault="00ED0614"/>
  </w:footnote>
  <w:footnote w:type="continuationNotice" w:id="1">
    <w:p w14:paraId="5CC249E6" w14:textId="77777777" w:rsidR="00ED0614" w:rsidRDefault="00ED0614">
      <w:pPr>
        <w:pStyle w:val="Footer"/>
      </w:pPr>
    </w:p>
    <w:p w14:paraId="2499D858" w14:textId="77777777" w:rsidR="00ED0614" w:rsidRDefault="00ED0614"/>
    <w:p w14:paraId="3D0D6F00" w14:textId="77777777" w:rsidR="00ED0614" w:rsidRDefault="00ED06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D61D1" w14:textId="1CE20218" w:rsidR="00ED0614" w:rsidRPr="00CB11B9" w:rsidRDefault="004A5DDC" w:rsidP="00CB11B9">
    <w:pPr>
      <w:pStyle w:val="Header"/>
    </w:pPr>
    <w:r w:rsidRPr="004A5DDC">
      <w:t>Infection with salmonid alphavirus (SAV)</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3F4C9" w14:textId="77777777" w:rsidR="00ED0614" w:rsidRDefault="00E260DC">
    <w:pPr>
      <w:pStyle w:val="Header"/>
      <w:jc w:val="left"/>
    </w:pPr>
    <w:r>
      <w:rPr>
        <w:noProof/>
        <w:lang w:eastAsia="en-AU"/>
      </w:rPr>
      <w:drawing>
        <wp:anchor distT="0" distB="0" distL="114300" distR="114300" simplePos="0" relativeHeight="251658240" behindDoc="1" locked="0" layoutInCell="1" allowOverlap="1" wp14:anchorId="21AE8159" wp14:editId="22BF6411">
          <wp:simplePos x="0" y="0"/>
          <wp:positionH relativeFrom="column">
            <wp:posOffset>-900429</wp:posOffset>
          </wp:positionH>
          <wp:positionV relativeFrom="paragraph">
            <wp:posOffset>-360045</wp:posOffset>
          </wp:positionV>
          <wp:extent cx="7584375" cy="1624927"/>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375" cy="16249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136E848"/>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A727430"/>
    <w:multiLevelType w:val="hybridMultilevel"/>
    <w:tmpl w:val="495E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9" w15:restartNumberingAfterBreak="0">
    <w:nsid w:val="0DD54AFF"/>
    <w:multiLevelType w:val="hybridMultilevel"/>
    <w:tmpl w:val="B6820B98"/>
    <w:lvl w:ilvl="0" w:tplc="8B58330A">
      <w:start w:val="1"/>
      <w:numFmt w:val="bullet"/>
      <w:lvlText w:val="◦"/>
      <w:lvlJc w:val="left"/>
      <w:pPr>
        <w:ind w:left="1800" w:hanging="360"/>
      </w:pPr>
      <w:rPr>
        <w:rFonts w:ascii="Calibri" w:hAnsi="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0" w15:restartNumberingAfterBreak="0">
    <w:nsid w:val="0F77062D"/>
    <w:multiLevelType w:val="hybridMultilevel"/>
    <w:tmpl w:val="44B42D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3"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1A328D5"/>
    <w:multiLevelType w:val="multilevel"/>
    <w:tmpl w:val="BE78A4F8"/>
    <w:numStyleLink w:val="Numberlist"/>
  </w:abstractNum>
  <w:abstractNum w:abstractNumId="1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B103637"/>
    <w:multiLevelType w:val="multilevel"/>
    <w:tmpl w:val="BE78A4F8"/>
    <w:numStyleLink w:val="Numberlist"/>
  </w:abstractNum>
  <w:abstractNum w:abstractNumId="17" w15:restartNumberingAfterBreak="0">
    <w:nsid w:val="394A15FE"/>
    <w:multiLevelType w:val="multilevel"/>
    <w:tmpl w:val="F36C17E8"/>
    <w:numStyleLink w:val="Headinglist"/>
  </w:abstractNum>
  <w:abstractNum w:abstractNumId="18" w15:restartNumberingAfterBreak="0">
    <w:nsid w:val="414F4729"/>
    <w:multiLevelType w:val="multilevel"/>
    <w:tmpl w:val="A0241B28"/>
    <w:numStyleLink w:val="List1"/>
  </w:abstractNum>
  <w:abstractNum w:abstractNumId="19" w15:restartNumberingAfterBreak="0">
    <w:nsid w:val="486800B4"/>
    <w:multiLevelType w:val="multilevel"/>
    <w:tmpl w:val="A0241B28"/>
    <w:numStyleLink w:val="List1"/>
  </w:abstractNum>
  <w:abstractNum w:abstractNumId="2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1" w15:restartNumberingAfterBreak="0">
    <w:nsid w:val="496159DC"/>
    <w:multiLevelType w:val="multilevel"/>
    <w:tmpl w:val="BE78A4F8"/>
    <w:numStyleLink w:val="Numberlist"/>
  </w:abstractNum>
  <w:abstractNum w:abstractNumId="22"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4"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7"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8C10A1"/>
    <w:multiLevelType w:val="multilevel"/>
    <w:tmpl w:val="BE78A4F8"/>
    <w:numStyleLink w:val="Numberlist"/>
  </w:abstractNum>
  <w:abstractNum w:abstractNumId="29" w15:restartNumberingAfterBreak="0">
    <w:nsid w:val="733934B7"/>
    <w:multiLevelType w:val="multilevel"/>
    <w:tmpl w:val="A0241B28"/>
    <w:numStyleLink w:val="List1"/>
  </w:abstractNum>
  <w:num w:numId="1">
    <w:abstractNumId w:val="6"/>
  </w:num>
  <w:num w:numId="2">
    <w:abstractNumId w:val="19"/>
  </w:num>
  <w:num w:numId="3">
    <w:abstractNumId w:val="20"/>
  </w:num>
  <w:num w:numId="4">
    <w:abstractNumId w:val="12"/>
  </w:num>
  <w:num w:numId="5">
    <w:abstractNumId w:val="25"/>
  </w:num>
  <w:num w:numId="6">
    <w:abstractNumId w:val="26"/>
  </w:num>
  <w:num w:numId="7">
    <w:abstractNumId w:val="8"/>
  </w:num>
  <w:num w:numId="8">
    <w:abstractNumId w:val="15"/>
  </w:num>
  <w:num w:numId="9">
    <w:abstractNumId w:val="17"/>
  </w:num>
  <w:num w:numId="10">
    <w:abstractNumId w:val="8"/>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3"/>
  </w:num>
  <w:num w:numId="16">
    <w:abstractNumId w:val="23"/>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1"/>
  </w:num>
  <w:num w:numId="20">
    <w:abstractNumId w:val="0"/>
  </w:num>
  <w:num w:numId="21">
    <w:abstractNumId w:val="16"/>
  </w:num>
  <w:num w:numId="22">
    <w:abstractNumId w:val="21"/>
  </w:num>
  <w:num w:numId="23">
    <w:abstractNumId w:val="28"/>
  </w:num>
  <w:num w:numId="24">
    <w:abstractNumId w:val="14"/>
  </w:num>
  <w:num w:numId="25">
    <w:abstractNumId w:val="18"/>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22"/>
  </w:num>
  <w:num w:numId="29">
    <w:abstractNumId w:val="24"/>
  </w:num>
  <w:num w:numId="30">
    <w:abstractNumId w:val="11"/>
  </w:num>
  <w:num w:numId="31">
    <w:abstractNumId w:val="7"/>
  </w:num>
  <w:num w:numId="32">
    <w:abstractNumId w:val="9"/>
  </w:num>
  <w:num w:numId="33">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532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0614"/>
    <w:rsid w:val="00025DF0"/>
    <w:rsid w:val="00030111"/>
    <w:rsid w:val="00050C3A"/>
    <w:rsid w:val="000B2163"/>
    <w:rsid w:val="000C051E"/>
    <w:rsid w:val="000D05F1"/>
    <w:rsid w:val="000D38F7"/>
    <w:rsid w:val="001413A7"/>
    <w:rsid w:val="001474D1"/>
    <w:rsid w:val="001726AA"/>
    <w:rsid w:val="001A7824"/>
    <w:rsid w:val="001E366B"/>
    <w:rsid w:val="001E6330"/>
    <w:rsid w:val="001F30EF"/>
    <w:rsid w:val="002521EC"/>
    <w:rsid w:val="00266BD4"/>
    <w:rsid w:val="00274A52"/>
    <w:rsid w:val="00333D6E"/>
    <w:rsid w:val="003C1061"/>
    <w:rsid w:val="003F4E8E"/>
    <w:rsid w:val="0045639F"/>
    <w:rsid w:val="0045792C"/>
    <w:rsid w:val="004A104B"/>
    <w:rsid w:val="004A5DDC"/>
    <w:rsid w:val="004B703A"/>
    <w:rsid w:val="004E3720"/>
    <w:rsid w:val="00517CDB"/>
    <w:rsid w:val="005312B5"/>
    <w:rsid w:val="00583281"/>
    <w:rsid w:val="00583B3C"/>
    <w:rsid w:val="005A359A"/>
    <w:rsid w:val="005B0B25"/>
    <w:rsid w:val="005B5670"/>
    <w:rsid w:val="005C17C2"/>
    <w:rsid w:val="005E698C"/>
    <w:rsid w:val="0060162D"/>
    <w:rsid w:val="006B6C98"/>
    <w:rsid w:val="006D51D3"/>
    <w:rsid w:val="006E3E02"/>
    <w:rsid w:val="00726FE8"/>
    <w:rsid w:val="00742002"/>
    <w:rsid w:val="00743B35"/>
    <w:rsid w:val="0075605D"/>
    <w:rsid w:val="007757E1"/>
    <w:rsid w:val="00793DD5"/>
    <w:rsid w:val="007A0952"/>
    <w:rsid w:val="007B72EC"/>
    <w:rsid w:val="007D60BD"/>
    <w:rsid w:val="007E3043"/>
    <w:rsid w:val="007F1EDC"/>
    <w:rsid w:val="00844BA3"/>
    <w:rsid w:val="0085325A"/>
    <w:rsid w:val="00853ED4"/>
    <w:rsid w:val="00876983"/>
    <w:rsid w:val="00880A10"/>
    <w:rsid w:val="008B4009"/>
    <w:rsid w:val="0095639C"/>
    <w:rsid w:val="009A09FC"/>
    <w:rsid w:val="009B5DE8"/>
    <w:rsid w:val="009C7070"/>
    <w:rsid w:val="009E53A8"/>
    <w:rsid w:val="00A1089B"/>
    <w:rsid w:val="00A1321C"/>
    <w:rsid w:val="00A93B2B"/>
    <w:rsid w:val="00A94C32"/>
    <w:rsid w:val="00AC4A41"/>
    <w:rsid w:val="00BE0719"/>
    <w:rsid w:val="00BE5CB5"/>
    <w:rsid w:val="00C10318"/>
    <w:rsid w:val="00C36630"/>
    <w:rsid w:val="00C605BC"/>
    <w:rsid w:val="00CB11B9"/>
    <w:rsid w:val="00CC02C5"/>
    <w:rsid w:val="00CC696F"/>
    <w:rsid w:val="00CD0FA5"/>
    <w:rsid w:val="00D1126F"/>
    <w:rsid w:val="00D12B64"/>
    <w:rsid w:val="00D467E7"/>
    <w:rsid w:val="00DD769F"/>
    <w:rsid w:val="00DD7F2B"/>
    <w:rsid w:val="00DF2031"/>
    <w:rsid w:val="00E260DC"/>
    <w:rsid w:val="00E263C9"/>
    <w:rsid w:val="00E3028D"/>
    <w:rsid w:val="00E84766"/>
    <w:rsid w:val="00EC2D39"/>
    <w:rsid w:val="00ED0614"/>
    <w:rsid w:val="00F03FC2"/>
    <w:rsid w:val="00F057A2"/>
    <w:rsid w:val="00F06A73"/>
    <w:rsid w:val="00F2215F"/>
    <w:rsid w:val="00F60647"/>
    <w:rsid w:val="00F72EFE"/>
    <w:rsid w:val="00F767F5"/>
    <w:rsid w:val="00FD5F28"/>
    <w:rsid w:val="00FD74D0"/>
    <w:rsid w:val="00FD7D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7DA6F63D"/>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600"/>
      <w:contextualSpacing/>
      <w:outlineLvl w:val="0"/>
    </w:pPr>
    <w:rPr>
      <w:rFonts w:ascii="Calibri" w:eastAsiaTheme="minorHAnsi" w:hAnsi="Calibri" w:cstheme="minorBidi"/>
      <w:b/>
      <w:bCs/>
      <w:color w:val="000000"/>
      <w:spacing w:val="5"/>
      <w:kern w:val="28"/>
      <w:sz w:val="40"/>
      <w:szCs w:val="28"/>
      <w:lang w:eastAsia="en-US"/>
    </w:rPr>
  </w:style>
  <w:style w:type="paragraph" w:styleId="Heading2">
    <w:name w:val="heading 2"/>
    <w:basedOn w:val="Normal"/>
    <w:next w:val="Normal"/>
    <w:link w:val="Heading2Char"/>
    <w:uiPriority w:val="3"/>
    <w:pPr>
      <w:keepNext/>
      <w:spacing w:before="120" w:line="240" w:lineRule="auto"/>
      <w:ind w:left="720" w:hanging="720"/>
      <w:outlineLvl w:val="1"/>
    </w:pPr>
    <w:rPr>
      <w:rFonts w:ascii="Calibri" w:eastAsiaTheme="minorEastAsia" w:hAnsi="Calibri"/>
      <w:b/>
      <w:bCs/>
      <w:color w:val="EF3829"/>
      <w:sz w:val="28"/>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40"/>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
      <w:bCs/>
      <w:color w:val="EF3829"/>
      <w:sz w:val="28"/>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after="360"/>
    </w:pPr>
    <w:rPr>
      <w:sz w:val="22"/>
      <w:szCs w:val="22"/>
    </w:rPr>
  </w:style>
  <w:style w:type="character" w:customStyle="1" w:styleId="SubtitleChar">
    <w:name w:val="Subtitle Char"/>
    <w:basedOn w:val="DefaultParagraphFont"/>
    <w:link w:val="Subtitle"/>
    <w:uiPriority w:val="23"/>
    <w:rPr>
      <w:rFonts w:ascii="Calibri" w:eastAsiaTheme="minorHAnsi" w:hAnsi="Calibri" w:cstheme="minorBidi"/>
      <w:b/>
      <w:bCs/>
      <w:color w:val="000000"/>
      <w:spacing w:val="5"/>
      <w:kern w:val="28"/>
      <w:sz w:val="22"/>
      <w:szCs w:val="22"/>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5"/>
      </w:numPr>
      <w:spacing w:before="120"/>
      <w:contextualSpacing/>
    </w:pPr>
  </w:style>
  <w:style w:type="paragraph" w:styleId="ListNumber">
    <w:name w:val="List Number"/>
    <w:basedOn w:val="Normal"/>
    <w:uiPriority w:val="9"/>
    <w:qFormat/>
    <w:pPr>
      <w:numPr>
        <w:numId w:val="24"/>
      </w:numPr>
      <w:tabs>
        <w:tab w:val="left" w:pos="142"/>
      </w:tabs>
      <w:spacing w:before="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Normal"/>
    <w:uiPriority w:val="14"/>
    <w:qFormat/>
    <w:pPr>
      <w:keepNext/>
      <w:spacing w:before="60" w:after="60" w:line="240" w:lineRule="auto"/>
    </w:pPr>
    <w:rPr>
      <w:b/>
      <w:sz w:val="19"/>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Normal"/>
    <w:uiPriority w:val="15"/>
    <w:qFormat/>
    <w:pPr>
      <w:numPr>
        <w:numId w:val="4"/>
      </w:numPr>
      <w:spacing w:before="60" w:after="60" w:line="240" w:lineRule="auto"/>
      <w:ind w:left="284" w:hanging="284"/>
    </w:pPr>
    <w:rPr>
      <w:sz w:val="20"/>
    </w:r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asciiTheme="minorHAnsi" w:eastAsia="Calibri" w:hAnsiTheme="minorHAnsi"/>
      <w:color w:val="000000" w:themeColor="text1"/>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Revision">
    <w:name w:val="Revision"/>
    <w:hidden/>
    <w:uiPriority w:val="99"/>
    <w:semiHidden/>
    <w:rPr>
      <w:rFonts w:eastAsiaTheme="minorHAnsi" w:cstheme="minorBidi"/>
      <w:sz w:val="22"/>
      <w:szCs w:val="22"/>
      <w:lang w:eastAsia="en-US"/>
    </w:rPr>
  </w:style>
  <w:style w:type="paragraph" w:customStyle="1" w:styleId="TableText">
    <w:name w:val="Table Text"/>
    <w:qFormat/>
    <w:pPr>
      <w:spacing w:before="60" w:after="60"/>
    </w:pPr>
    <w:rPr>
      <w:rFonts w:ascii="Calibri" w:eastAsia="Times New Roman" w:hAnsi="Calibri" w:cs="Arial"/>
      <w:color w:val="000000"/>
      <w:sz w:val="19"/>
      <w:szCs w:val="22"/>
      <w:lang w:val="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2814970">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oie.int/en/international-standard-setting/aquatic-manual/access-online"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griculture.gov.au/pests-diseases-weeds/aquatic"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AH@agricultu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 xsi:nil="true"/>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4.xml><?xml version="1.0" encoding="utf-8"?>
<ds:datastoreItem xmlns:ds="http://schemas.openxmlformats.org/officeDocument/2006/customXml" ds:itemID="{E9949DDB-7E75-4A47-A543-EA37A0743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(1).dotx</Template>
  <TotalTime>5</TotalTime>
  <Pages>4</Pages>
  <Words>878</Words>
  <Characters>5009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Infection with salmonid alphavirus (SAV)</vt:lpstr>
    </vt:vector>
  </TitlesOfParts>
  <Company>Department of Agriculture Fisheries &amp; Forestry</Company>
  <LinksUpToDate>false</LinksUpToDate>
  <CharactersWithSpaces>5876</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Infection with salmonid alphavirus (SAV)</dc:title>
  <dc:creator>Department of Agriculture</dc:creator>
  <cp:lastModifiedBy>Caldwell, Louise</cp:lastModifiedBy>
  <cp:revision>10</cp:revision>
  <cp:lastPrinted>2020-03-11T06:05:00Z</cp:lastPrinted>
  <dcterms:created xsi:type="dcterms:W3CDTF">2019-09-06T04:32:00Z</dcterms:created>
  <dcterms:modified xsi:type="dcterms:W3CDTF">2020-03-11T06:05:00Z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