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46473D34" w:rsidR="00ED0614" w:rsidRPr="00BD1EBF" w:rsidRDefault="00162F1F">
      <w:pPr>
        <w:pStyle w:val="Heading1"/>
      </w:pPr>
      <w:r w:rsidRPr="00162F1F">
        <w:t>Infectious pancreatic necrosis (IPN)</w:t>
      </w:r>
    </w:p>
    <w:p w14:paraId="6B762390" w14:textId="77777777" w:rsidR="00162F1F" w:rsidRPr="007D5853" w:rsidRDefault="00162F1F" w:rsidP="00162F1F">
      <w:pPr>
        <w:pStyle w:val="Subtitle"/>
        <w:rPr>
          <w:sz w:val="24"/>
          <w:szCs w:val="24"/>
        </w:rPr>
      </w:pPr>
      <w:r w:rsidRPr="007D5853">
        <w:rPr>
          <w:sz w:val="24"/>
          <w:szCs w:val="24"/>
        </w:rPr>
        <w:t xml:space="preserve">Also known as </w:t>
      </w:r>
      <w:r>
        <w:rPr>
          <w:sz w:val="24"/>
          <w:szCs w:val="24"/>
        </w:rPr>
        <w:t xml:space="preserve">infection with </w:t>
      </w:r>
      <w:r w:rsidRPr="00162F1F">
        <w:rPr>
          <w:sz w:val="24"/>
          <w:szCs w:val="24"/>
        </w:rPr>
        <w:t>infectious pancreatic necrosis virus (IPNV)</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75FB393F" w:rsidR="00ED0614" w:rsidRPr="007F1EDC" w:rsidRDefault="00D05FC1" w:rsidP="00D05FC1">
      <w:pPr>
        <w:pStyle w:val="Caption"/>
      </w:pPr>
      <w:r>
        <w:t xml:space="preserve">Figure </w:t>
      </w:r>
      <w:r w:rsidR="002827A3">
        <w:rPr>
          <w:noProof/>
        </w:rPr>
        <w:fldChar w:fldCharType="begin"/>
      </w:r>
      <w:r w:rsidR="002827A3">
        <w:rPr>
          <w:noProof/>
        </w:rPr>
        <w:instrText xml:space="preserve"> SEQ Figure \* ARABIC </w:instrText>
      </w:r>
      <w:r w:rsidR="002827A3">
        <w:rPr>
          <w:noProof/>
        </w:rPr>
        <w:fldChar w:fldCharType="separate"/>
      </w:r>
      <w:r w:rsidR="004309B7">
        <w:rPr>
          <w:noProof/>
        </w:rPr>
        <w:t>1</w:t>
      </w:r>
      <w:r w:rsidR="002827A3">
        <w:rPr>
          <w:noProof/>
        </w:rPr>
        <w:fldChar w:fldCharType="end"/>
      </w:r>
      <w:r>
        <w:t xml:space="preserve"> </w:t>
      </w:r>
      <w:r w:rsidR="00052B5F">
        <w:rPr>
          <w:noProof/>
        </w:rPr>
        <w:t>IPN</w:t>
      </w:r>
      <w:r w:rsidR="00162F1F" w:rsidRPr="00162F1F">
        <w:rPr>
          <w:noProof/>
        </w:rPr>
        <w:t xml:space="preserve"> in rainbow trout (</w:t>
      </w:r>
      <w:r w:rsidR="00162F1F" w:rsidRPr="00162F1F">
        <w:rPr>
          <w:rStyle w:val="Emphasis"/>
        </w:rPr>
        <w:t>Oncorhynchus mykiss</w:t>
      </w:r>
      <w:r w:rsidR="00162F1F" w:rsidRPr="00162F1F">
        <w:rPr>
          <w:noProof/>
        </w:rPr>
        <w:t>)</w:t>
      </w:r>
    </w:p>
    <w:p w14:paraId="0EFF3543" w14:textId="5A380194" w:rsidR="00ED0614" w:rsidRPr="007F1EDC" w:rsidRDefault="00162F1F">
      <w:r w:rsidRPr="00B45297">
        <w:rPr>
          <w:noProof/>
          <w:lang w:eastAsia="en-AU"/>
        </w:rPr>
        <w:drawing>
          <wp:inline distT="0" distB="0" distL="0" distR="0" wp14:anchorId="31A16D99" wp14:editId="7EFB3DB9">
            <wp:extent cx="3959548" cy="3166860"/>
            <wp:effectExtent l="0" t="0" r="317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N Hastein.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3167222"/>
                    </a:xfrm>
                    <a:prstGeom prst="rect">
                      <a:avLst/>
                    </a:prstGeom>
                    <a:ln>
                      <a:noFill/>
                    </a:ln>
                    <a:extLst>
                      <a:ext uri="{53640926-AAD7-44D8-BBD7-CCE9431645EC}">
                        <a14:shadowObscured xmlns:a14="http://schemas.microsoft.com/office/drawing/2010/main"/>
                      </a:ext>
                    </a:extLst>
                  </pic:spPr>
                </pic:pic>
              </a:graphicData>
            </a:graphic>
          </wp:inline>
        </w:drawing>
      </w:r>
    </w:p>
    <w:p w14:paraId="62640F33" w14:textId="332A9B56" w:rsidR="00162F1F" w:rsidRDefault="00E260DC" w:rsidP="00162F1F">
      <w:pPr>
        <w:pStyle w:val="FigureTableNoteSource"/>
      </w:pPr>
      <w:r w:rsidRPr="007F1EDC">
        <w:t xml:space="preserve">Note: </w:t>
      </w:r>
      <w:r w:rsidR="00162F1F">
        <w:t>Abdominal distension and darkened body colour.</w:t>
      </w:r>
    </w:p>
    <w:p w14:paraId="0FE7139E" w14:textId="33A7FC3B" w:rsidR="00ED0614" w:rsidRDefault="00162F1F" w:rsidP="00162F1F">
      <w:pPr>
        <w:pStyle w:val="FigureTableNoteSource"/>
      </w:pPr>
      <w:r>
        <w:t>Source: T Håstein</w:t>
      </w:r>
    </w:p>
    <w:p w14:paraId="34D7581A" w14:textId="77777777" w:rsidR="00ED0614" w:rsidRDefault="00E260DC" w:rsidP="00052B5F">
      <w:pPr>
        <w:pStyle w:val="Heading2"/>
      </w:pPr>
      <w:bookmarkStart w:id="0" w:name="_Signs_of_disease"/>
      <w:bookmarkEnd w:id="0"/>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397837E4" w14:textId="617836FD" w:rsidR="00F554F1" w:rsidRDefault="00F554F1">
      <w:pPr>
        <w:rPr>
          <w:lang w:eastAsia="ja-JP"/>
        </w:rPr>
      </w:pPr>
      <w:r>
        <w:rPr>
          <w:lang w:eastAsia="ja-JP"/>
        </w:rPr>
        <w:t xml:space="preserve">Signs of disease described </w:t>
      </w:r>
      <w:r w:rsidRPr="00162F1F">
        <w:t>are representative of IPN in salmonids</w:t>
      </w:r>
      <w:r>
        <w:t>.</w:t>
      </w:r>
    </w:p>
    <w:p w14:paraId="0ED3BEC6" w14:textId="77777777" w:rsidR="00ED0614" w:rsidRDefault="00E260DC">
      <w:pPr>
        <w:rPr>
          <w:lang w:eastAsia="ja-JP"/>
        </w:rPr>
      </w:pPr>
      <w:r>
        <w:rPr>
          <w:lang w:eastAsia="ja-JP"/>
        </w:rPr>
        <w:t>Disease signs at the farm, tank or pond level are:</w:t>
      </w:r>
    </w:p>
    <w:p w14:paraId="60A850ED" w14:textId="77777777" w:rsidR="00162F1F" w:rsidRDefault="00162F1F" w:rsidP="00162F1F">
      <w:pPr>
        <w:pStyle w:val="ListBullet"/>
        <w:rPr>
          <w:lang w:eastAsia="ja-JP"/>
        </w:rPr>
      </w:pPr>
      <w:r>
        <w:rPr>
          <w:lang w:eastAsia="ja-JP"/>
        </w:rPr>
        <w:t>sudden and progressive increase in mortality at first feeding of fry, particularly in faster growing individuals</w:t>
      </w:r>
    </w:p>
    <w:p w14:paraId="34358ADC" w14:textId="261A39B7" w:rsidR="00162F1F" w:rsidRDefault="00162F1F" w:rsidP="00162F1F">
      <w:pPr>
        <w:pStyle w:val="ListBullet"/>
        <w:rPr>
          <w:lang w:eastAsia="ja-JP"/>
        </w:rPr>
      </w:pPr>
      <w:r>
        <w:rPr>
          <w:lang w:eastAsia="ja-JP"/>
        </w:rPr>
        <w:t>cumulative mortality rates from</w:t>
      </w:r>
      <w:r w:rsidR="00052B5F">
        <w:rPr>
          <w:lang w:eastAsia="ja-JP"/>
        </w:rPr>
        <w:t> </w:t>
      </w:r>
      <w:r>
        <w:rPr>
          <w:lang w:eastAsia="ja-JP"/>
        </w:rPr>
        <w:t>10% to</w:t>
      </w:r>
      <w:r w:rsidR="00052B5F">
        <w:rPr>
          <w:lang w:eastAsia="ja-JP"/>
        </w:rPr>
        <w:t> </w:t>
      </w:r>
      <w:r>
        <w:rPr>
          <w:lang w:eastAsia="ja-JP"/>
        </w:rPr>
        <w:t>90%</w:t>
      </w:r>
    </w:p>
    <w:p w14:paraId="051CEFF2" w14:textId="77777777" w:rsidR="00162F1F" w:rsidRDefault="00162F1F" w:rsidP="00162F1F">
      <w:pPr>
        <w:pStyle w:val="ListBullet"/>
        <w:rPr>
          <w:lang w:eastAsia="ja-JP"/>
        </w:rPr>
      </w:pPr>
      <w:r>
        <w:rPr>
          <w:lang w:eastAsia="ja-JP"/>
        </w:rPr>
        <w:t>low persistent mortality</w:t>
      </w:r>
    </w:p>
    <w:p w14:paraId="422DB81C" w14:textId="420F32AA" w:rsidR="00162F1F" w:rsidRDefault="00162F1F" w:rsidP="00162F1F">
      <w:pPr>
        <w:pStyle w:val="ListBullet"/>
        <w:rPr>
          <w:lang w:eastAsia="ja-JP"/>
        </w:rPr>
      </w:pPr>
      <w:r>
        <w:rPr>
          <w:lang w:eastAsia="ja-JP"/>
        </w:rPr>
        <w:t>fish lying still on the bottom</w:t>
      </w:r>
      <w:r w:rsidR="00545011">
        <w:rPr>
          <w:lang w:eastAsia="ja-JP"/>
        </w:rPr>
        <w:t xml:space="preserve"> of tanks or ponds</w:t>
      </w:r>
    </w:p>
    <w:p w14:paraId="64631B6C" w14:textId="6EFCCF8E" w:rsidR="00ED0614" w:rsidRDefault="00162F1F" w:rsidP="00162F1F">
      <w:pPr>
        <w:pStyle w:val="ListBullet"/>
        <w:rPr>
          <w:lang w:eastAsia="ja-JP"/>
        </w:rPr>
      </w:pPr>
      <w:r>
        <w:rPr>
          <w:lang w:eastAsia="ja-JP"/>
        </w:rPr>
        <w:t>fish swimming with a spiralling, corkscrew motion</w:t>
      </w:r>
      <w:r w:rsidR="004A5DDC">
        <w:rPr>
          <w:lang w:eastAsia="ja-JP"/>
        </w:rPr>
        <w:t>.</w:t>
      </w:r>
    </w:p>
    <w:p w14:paraId="7418287E" w14:textId="77777777" w:rsidR="00CD0FA5" w:rsidRDefault="00DF2031" w:rsidP="004A5DDC">
      <w:pPr>
        <w:keepNext/>
        <w:keepLines/>
        <w:rPr>
          <w:lang w:eastAsia="ja-JP"/>
        </w:rPr>
      </w:pPr>
      <w:r>
        <w:rPr>
          <w:lang w:eastAsia="ja-JP"/>
        </w:rPr>
        <w:t xml:space="preserve">Gross </w:t>
      </w:r>
      <w:r w:rsidRPr="00DF2031">
        <w:t>pathological</w:t>
      </w:r>
      <w:r>
        <w:rPr>
          <w:lang w:eastAsia="ja-JP"/>
        </w:rPr>
        <w:t xml:space="preserve"> signs </w:t>
      </w:r>
      <w:r w:rsidR="00CD0FA5">
        <w:rPr>
          <w:lang w:eastAsia="ja-JP"/>
        </w:rPr>
        <w:t>are:</w:t>
      </w:r>
    </w:p>
    <w:p w14:paraId="21AE7A09" w14:textId="77777777" w:rsidR="00162F1F" w:rsidRDefault="00162F1F" w:rsidP="00162F1F">
      <w:pPr>
        <w:pStyle w:val="ListBullet"/>
        <w:rPr>
          <w:lang w:eastAsia="ja-JP"/>
        </w:rPr>
      </w:pPr>
      <w:r>
        <w:rPr>
          <w:lang w:eastAsia="ja-JP"/>
        </w:rPr>
        <w:t>long, thin, whitish trailing faecal casts</w:t>
      </w:r>
    </w:p>
    <w:p w14:paraId="3D8C730D" w14:textId="77777777" w:rsidR="00162F1F" w:rsidRDefault="00162F1F" w:rsidP="00162F1F">
      <w:pPr>
        <w:pStyle w:val="ListBullet"/>
        <w:rPr>
          <w:lang w:eastAsia="ja-JP"/>
        </w:rPr>
      </w:pPr>
      <w:r>
        <w:rPr>
          <w:lang w:eastAsia="ja-JP"/>
        </w:rPr>
        <w:t>swollen abdomen</w:t>
      </w:r>
    </w:p>
    <w:p w14:paraId="50269403" w14:textId="77777777" w:rsidR="00162F1F" w:rsidRDefault="00162F1F" w:rsidP="00162F1F">
      <w:pPr>
        <w:pStyle w:val="ListBullet"/>
        <w:rPr>
          <w:lang w:eastAsia="ja-JP"/>
        </w:rPr>
      </w:pPr>
      <w:r>
        <w:rPr>
          <w:lang w:eastAsia="ja-JP"/>
        </w:rPr>
        <w:lastRenderedPageBreak/>
        <w:t>darkening body colour</w:t>
      </w:r>
    </w:p>
    <w:p w14:paraId="73090C35" w14:textId="56168216" w:rsidR="00162F1F" w:rsidRDefault="00545011" w:rsidP="00162F1F">
      <w:pPr>
        <w:pStyle w:val="ListBullet"/>
        <w:rPr>
          <w:lang w:eastAsia="ja-JP"/>
        </w:rPr>
      </w:pPr>
      <w:r>
        <w:rPr>
          <w:lang w:eastAsia="ja-JP"/>
        </w:rPr>
        <w:t xml:space="preserve">typically pale </w:t>
      </w:r>
      <w:r w:rsidR="00162F1F">
        <w:rPr>
          <w:lang w:eastAsia="ja-JP"/>
        </w:rPr>
        <w:t xml:space="preserve">gills </w:t>
      </w:r>
    </w:p>
    <w:p w14:paraId="3D263448" w14:textId="77777777" w:rsidR="00162F1F" w:rsidRDefault="00162F1F" w:rsidP="00162F1F">
      <w:pPr>
        <w:pStyle w:val="ListBullet"/>
        <w:rPr>
          <w:lang w:eastAsia="ja-JP"/>
        </w:rPr>
      </w:pPr>
      <w:r>
        <w:rPr>
          <w:lang w:eastAsia="ja-JP"/>
        </w:rPr>
        <w:t>exophthalmos (popeye)</w:t>
      </w:r>
    </w:p>
    <w:p w14:paraId="7DB07EB3" w14:textId="5724E0F2" w:rsidR="00162F1F" w:rsidRDefault="00162F1F" w:rsidP="00162F1F">
      <w:pPr>
        <w:pStyle w:val="ListBullet"/>
        <w:rPr>
          <w:lang w:eastAsia="ja-JP"/>
        </w:rPr>
      </w:pPr>
      <w:r>
        <w:rPr>
          <w:lang w:eastAsia="ja-JP"/>
        </w:rPr>
        <w:t>lesions and ulcers in pancreas, oesophagus and stomach</w:t>
      </w:r>
    </w:p>
    <w:p w14:paraId="76F9A358" w14:textId="0426FA17" w:rsidR="00162F1F" w:rsidRDefault="00162F1F" w:rsidP="00162F1F">
      <w:pPr>
        <w:pStyle w:val="ListBullet"/>
        <w:rPr>
          <w:lang w:eastAsia="ja-JP"/>
        </w:rPr>
      </w:pPr>
      <w:r>
        <w:rPr>
          <w:lang w:eastAsia="ja-JP"/>
        </w:rPr>
        <w:t>haemorrhages sometimes present in ventral areas, including the ventral fins</w:t>
      </w:r>
    </w:p>
    <w:p w14:paraId="61FC4CCB" w14:textId="77777777" w:rsidR="00162F1F" w:rsidRDefault="00162F1F" w:rsidP="00162F1F">
      <w:pPr>
        <w:pStyle w:val="ListBullet"/>
        <w:rPr>
          <w:lang w:eastAsia="ja-JP"/>
        </w:rPr>
      </w:pPr>
      <w:r>
        <w:rPr>
          <w:lang w:eastAsia="ja-JP"/>
        </w:rPr>
        <w:t>abnormally pale spleen, kidney, liver and heart of fry</w:t>
      </w:r>
    </w:p>
    <w:p w14:paraId="06EC2B36" w14:textId="271B0241" w:rsidR="00ED0614" w:rsidRDefault="00162F1F" w:rsidP="00162F1F">
      <w:pPr>
        <w:pStyle w:val="ListBullet"/>
        <w:rPr>
          <w:lang w:eastAsia="ja-JP"/>
        </w:rPr>
      </w:pPr>
      <w:r>
        <w:rPr>
          <w:lang w:eastAsia="ja-JP"/>
        </w:rPr>
        <w:t>intestines empty or filled with clear mucus</w:t>
      </w:r>
      <w:r w:rsidR="002521EC">
        <w:rPr>
          <w:lang w:eastAsia="ja-JP"/>
        </w:rPr>
        <w:t>.</w:t>
      </w:r>
    </w:p>
    <w:p w14:paraId="2D426F0A" w14:textId="77777777" w:rsidR="00ED0614" w:rsidRDefault="00E260DC">
      <w:pPr>
        <w:rPr>
          <w:lang w:eastAsia="ja-JP"/>
        </w:rPr>
      </w:pPr>
      <w:r>
        <w:rPr>
          <w:lang w:eastAsia="ja-JP"/>
        </w:rPr>
        <w:t>Microscopic pathological signs are:</w:t>
      </w:r>
    </w:p>
    <w:p w14:paraId="6FF04D2B" w14:textId="77777777" w:rsidR="00162F1F" w:rsidRPr="00162F1F" w:rsidRDefault="00162F1F" w:rsidP="00162F1F">
      <w:pPr>
        <w:pStyle w:val="ListBullet"/>
        <w:rPr>
          <w:lang w:val="en-US"/>
        </w:rPr>
      </w:pPr>
      <w:r w:rsidRPr="00162F1F">
        <w:rPr>
          <w:lang w:val="en-US"/>
        </w:rPr>
        <w:t>extensive and/or severe necrosis of acinar pancreatic cells</w:t>
      </w:r>
    </w:p>
    <w:p w14:paraId="70CD4CA0" w14:textId="3CD677FC" w:rsidR="00162F1F" w:rsidRPr="00162F1F" w:rsidRDefault="00162F1F" w:rsidP="00162F1F">
      <w:pPr>
        <w:pStyle w:val="ListBullet"/>
        <w:rPr>
          <w:lang w:val="en-US"/>
        </w:rPr>
      </w:pPr>
      <w:r w:rsidRPr="00162F1F">
        <w:rPr>
          <w:lang w:val="en-US"/>
        </w:rPr>
        <w:t>focal or generalised necrosis of liver</w:t>
      </w:r>
    </w:p>
    <w:p w14:paraId="68AAA3DA" w14:textId="61E5ECD4" w:rsidR="00ED0614" w:rsidRDefault="00162F1F" w:rsidP="00162F1F">
      <w:pPr>
        <w:pStyle w:val="ListBullet"/>
        <w:rPr>
          <w:lang w:val="en-US"/>
        </w:rPr>
      </w:pPr>
      <w:r w:rsidRPr="00162F1F">
        <w:rPr>
          <w:lang w:val="en-US"/>
        </w:rPr>
        <w:t>sloughing of intestinal mucosa with characteristic McKnight cells in the lumen (eosinophilic and hyaline epithelial cells</w:t>
      </w:r>
      <w:r w:rsidR="00E260DC">
        <w:rPr>
          <w:lang w:val="en-US"/>
        </w:rPr>
        <w:t>.</w:t>
      </w:r>
    </w:p>
    <w:p w14:paraId="755CDE80" w14:textId="77777777" w:rsidR="00ED0614" w:rsidRDefault="00E260DC">
      <w:pPr>
        <w:pStyle w:val="Heading2"/>
      </w:pPr>
      <w:r>
        <w:t>Disease agent</w:t>
      </w:r>
    </w:p>
    <w:p w14:paraId="54C7B5E3" w14:textId="38D39DC3" w:rsidR="00CB11B9" w:rsidRPr="00CB11B9" w:rsidRDefault="002C7D16" w:rsidP="00876983">
      <w:r>
        <w:t>IPN</w:t>
      </w:r>
      <w:r w:rsidR="00162F1F" w:rsidRPr="00162F1F">
        <w:t xml:space="preserve"> is caused by infection with infectious pancreatic necrosis virus (IPNV), a double stranded RNA virus classified within the genus </w:t>
      </w:r>
      <w:r w:rsidR="00162F1F" w:rsidRPr="00162F1F">
        <w:rPr>
          <w:rStyle w:val="Emphasis"/>
        </w:rPr>
        <w:t>Aquabirnavirus</w:t>
      </w:r>
      <w:r w:rsidR="00162F1F" w:rsidRPr="00162F1F">
        <w:t xml:space="preserve"> (family </w:t>
      </w:r>
      <w:r w:rsidR="00162F1F" w:rsidRPr="00162F1F">
        <w:rPr>
          <w:rStyle w:val="Emphasis"/>
        </w:rPr>
        <w:t>Birnaviridae</w:t>
      </w:r>
      <w:r w:rsidR="00162F1F" w:rsidRPr="00162F1F">
        <w:t>). Several genogroups have been identified and are described by their different hosts and geographical origins. The most frequently found and highly virulent strain</w:t>
      </w:r>
      <w:r w:rsidR="00530301">
        <w:t xml:space="preserve"> of IPNV</w:t>
      </w:r>
      <w:r w:rsidR="00162F1F" w:rsidRPr="00162F1F">
        <w:t xml:space="preserve"> is the Sp</w:t>
      </w:r>
      <w:r w:rsidR="00C81331">
        <w:t> </w:t>
      </w:r>
      <w:r w:rsidR="00162F1F" w:rsidRPr="00162F1F">
        <w:t xml:space="preserve">serotype in </w:t>
      </w:r>
      <w:r w:rsidR="00437287">
        <w:t>g</w:t>
      </w:r>
      <w:r w:rsidR="00162F1F" w:rsidRPr="00162F1F">
        <w:t>enogroup</w:t>
      </w:r>
      <w:r w:rsidR="00C81331">
        <w:t> </w:t>
      </w:r>
      <w:r w:rsidR="00162F1F" w:rsidRPr="00162F1F">
        <w:t>5.</w:t>
      </w:r>
    </w:p>
    <w:p w14:paraId="10B41ACC" w14:textId="77777777" w:rsidR="00ED0614" w:rsidRDefault="00E260DC" w:rsidP="00270423">
      <w:pPr>
        <w:pStyle w:val="Heading2"/>
        <w:keepLines/>
      </w:pPr>
      <w:r>
        <w:t>Host range</w:t>
      </w:r>
    </w:p>
    <w:p w14:paraId="7CCED3A8" w14:textId="36E83968" w:rsidR="00162F1F" w:rsidRPr="00162F1F" w:rsidRDefault="00162F1F" w:rsidP="00162F1F">
      <w:pPr>
        <w:rPr>
          <w:lang w:eastAsia="ja-JP"/>
        </w:rPr>
      </w:pPr>
      <w:r w:rsidRPr="00162F1F">
        <w:rPr>
          <w:lang w:eastAsia="ja-JP"/>
        </w:rPr>
        <w:t>A wide range of marine and freshwater fish species are susceptible to IPNV</w:t>
      </w:r>
      <w:r w:rsidR="00437287">
        <w:rPr>
          <w:lang w:eastAsia="ja-JP"/>
        </w:rPr>
        <w:t>.</w:t>
      </w:r>
      <w:r w:rsidR="000A39DA">
        <w:rPr>
          <w:lang w:eastAsia="ja-JP"/>
        </w:rPr>
        <w:t xml:space="preserve"> T</w:t>
      </w:r>
      <w:r w:rsidRPr="00162F1F">
        <w:rPr>
          <w:lang w:eastAsia="ja-JP"/>
        </w:rPr>
        <w:t>he disease agent can be spread naturally by mechanical vectors such as piscivorous birds</w:t>
      </w:r>
      <w:r w:rsidR="000A39DA">
        <w:rPr>
          <w:lang w:eastAsia="ja-JP"/>
        </w:rPr>
        <w:t xml:space="preserve"> (including </w:t>
      </w:r>
      <w:r w:rsidR="000A39DA" w:rsidRPr="00162F1F">
        <w:rPr>
          <w:lang w:eastAsia="ja-JP"/>
        </w:rPr>
        <w:t>passage through the bird digestive system</w:t>
      </w:r>
      <w:r w:rsidR="000A39DA">
        <w:rPr>
          <w:lang w:eastAsia="ja-JP"/>
        </w:rPr>
        <w:t>)</w:t>
      </w:r>
      <w:r w:rsidRPr="00162F1F">
        <w:rPr>
          <w:lang w:eastAsia="ja-JP"/>
        </w:rPr>
        <w:t xml:space="preserve">, blood feeding parasites and filter feeding molluscs </w:t>
      </w:r>
      <w:r w:rsidR="00052B5F">
        <w:rPr>
          <w:lang w:eastAsia="ja-JP"/>
        </w:rPr>
        <w:t>(</w:t>
      </w:r>
      <w:r w:rsidRPr="00162F1F">
        <w:rPr>
          <w:lang w:eastAsia="ja-JP"/>
        </w:rPr>
        <w:t xml:space="preserve">such as common European scallop </w:t>
      </w:r>
      <w:r w:rsidRPr="00162F1F">
        <w:rPr>
          <w:rStyle w:val="Emphasis"/>
          <w:lang w:eastAsia="ja-JP"/>
        </w:rPr>
        <w:t>Pecten maximus</w:t>
      </w:r>
      <w:r w:rsidRPr="00162F1F">
        <w:rPr>
          <w:lang w:eastAsia="ja-JP"/>
        </w:rPr>
        <w:t>).</w:t>
      </w:r>
    </w:p>
    <w:p w14:paraId="63E14290" w14:textId="668C7C0A" w:rsidR="00ED0614" w:rsidRDefault="00E260DC">
      <w:pPr>
        <w:pStyle w:val="Caption"/>
      </w:pPr>
      <w:r>
        <w:t xml:space="preserve">Table </w:t>
      </w:r>
      <w:r>
        <w:rPr>
          <w:noProof/>
        </w:rPr>
        <w:fldChar w:fldCharType="begin"/>
      </w:r>
      <w:r>
        <w:rPr>
          <w:noProof/>
        </w:rPr>
        <w:instrText xml:space="preserve"> SEQ Table \* ARABIC </w:instrText>
      </w:r>
      <w:r>
        <w:rPr>
          <w:noProof/>
        </w:rPr>
        <w:fldChar w:fldCharType="separate"/>
      </w:r>
      <w:r w:rsidR="004309B7">
        <w:rPr>
          <w:noProof/>
        </w:rPr>
        <w:t>1</w:t>
      </w:r>
      <w:r>
        <w:rPr>
          <w:noProof/>
        </w:rPr>
        <w:fldChar w:fldCharType="end"/>
      </w:r>
      <w:r>
        <w:t xml:space="preserve"> </w:t>
      </w:r>
      <w:r w:rsidR="00162F1F" w:rsidRPr="00162F1F">
        <w:t>Fish species likely to be severely affected by IPN</w:t>
      </w:r>
      <w:r w:rsidR="00052B5F">
        <w:t>V</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ED0614" w14:paraId="7F099F95" w14:textId="77777777">
        <w:trPr>
          <w:cantSplit/>
          <w:trHeight w:val="300"/>
          <w:tblHeader/>
        </w:trPr>
        <w:tc>
          <w:tcPr>
            <w:tcW w:w="2500" w:type="pct"/>
            <w:tcBorders>
              <w:top w:val="single" w:sz="4" w:space="0" w:color="auto"/>
              <w:bottom w:val="single" w:sz="4" w:space="0" w:color="auto"/>
            </w:tcBorders>
            <w:noWrap/>
          </w:tcPr>
          <w:p w14:paraId="53C37EB4" w14:textId="77777777" w:rsidR="00ED0614" w:rsidRDefault="00E260DC">
            <w:pPr>
              <w:pStyle w:val="TableHeading"/>
            </w:pPr>
            <w:r>
              <w:t>Common name</w:t>
            </w:r>
          </w:p>
        </w:tc>
        <w:tc>
          <w:tcPr>
            <w:tcW w:w="2500" w:type="pct"/>
            <w:tcBorders>
              <w:top w:val="single" w:sz="4" w:space="0" w:color="auto"/>
              <w:bottom w:val="single" w:sz="4" w:space="0" w:color="auto"/>
            </w:tcBorders>
            <w:noWrap/>
          </w:tcPr>
          <w:p w14:paraId="0DE0AAEB" w14:textId="77777777" w:rsidR="00ED0614" w:rsidRDefault="00E260DC">
            <w:pPr>
              <w:pStyle w:val="TableHeading"/>
            </w:pPr>
            <w:r>
              <w:t>Scientific name</w:t>
            </w:r>
          </w:p>
        </w:tc>
      </w:tr>
      <w:tr w:rsidR="00162F1F" w14:paraId="3B818FD2" w14:textId="77777777">
        <w:trPr>
          <w:cantSplit/>
          <w:trHeight w:val="315"/>
        </w:trPr>
        <w:tc>
          <w:tcPr>
            <w:tcW w:w="2500" w:type="pct"/>
            <w:tcBorders>
              <w:top w:val="single" w:sz="4" w:space="0" w:color="auto"/>
            </w:tcBorders>
            <w:noWrap/>
          </w:tcPr>
          <w:p w14:paraId="2F3C0965" w14:textId="0F3D161D" w:rsidR="00162F1F" w:rsidRDefault="00162F1F" w:rsidP="00162F1F">
            <w:pPr>
              <w:pStyle w:val="TableText"/>
              <w:tabs>
                <w:tab w:val="left" w:pos="1640"/>
              </w:tabs>
            </w:pPr>
            <w:r w:rsidRPr="00175660">
              <w:t>American eel</w:t>
            </w:r>
            <w:r w:rsidRPr="00162F1F">
              <w:rPr>
                <w:vertAlign w:val="superscript"/>
              </w:rPr>
              <w:t>a</w:t>
            </w:r>
          </w:p>
        </w:tc>
        <w:tc>
          <w:tcPr>
            <w:tcW w:w="2500" w:type="pct"/>
            <w:tcBorders>
              <w:top w:val="single" w:sz="4" w:space="0" w:color="auto"/>
            </w:tcBorders>
            <w:noWrap/>
          </w:tcPr>
          <w:p w14:paraId="2D4141AF" w14:textId="12928D0C" w:rsidR="00162F1F" w:rsidRPr="00162F1F" w:rsidRDefault="00162F1F" w:rsidP="00162F1F">
            <w:pPr>
              <w:pStyle w:val="TableText"/>
              <w:rPr>
                <w:rStyle w:val="Emphasis"/>
              </w:rPr>
            </w:pPr>
            <w:r w:rsidRPr="00162F1F">
              <w:rPr>
                <w:rStyle w:val="Emphasis"/>
              </w:rPr>
              <w:t>Anguilla rostrata</w:t>
            </w:r>
          </w:p>
        </w:tc>
      </w:tr>
      <w:tr w:rsidR="00162F1F" w14:paraId="163A359F" w14:textId="77777777">
        <w:trPr>
          <w:cantSplit/>
          <w:trHeight w:val="315"/>
        </w:trPr>
        <w:tc>
          <w:tcPr>
            <w:tcW w:w="2500" w:type="pct"/>
            <w:noWrap/>
          </w:tcPr>
          <w:p w14:paraId="74773C6F" w14:textId="10E9262E" w:rsidR="00162F1F" w:rsidRDefault="00162F1F" w:rsidP="00162F1F">
            <w:pPr>
              <w:pStyle w:val="TableText"/>
            </w:pPr>
            <w:r w:rsidRPr="00175660">
              <w:t>Atlantic cod</w:t>
            </w:r>
          </w:p>
        </w:tc>
        <w:tc>
          <w:tcPr>
            <w:tcW w:w="2500" w:type="pct"/>
            <w:noWrap/>
          </w:tcPr>
          <w:p w14:paraId="1D5663AA" w14:textId="1CA9B7FF" w:rsidR="00162F1F" w:rsidRPr="00162F1F" w:rsidRDefault="00162F1F" w:rsidP="00162F1F">
            <w:pPr>
              <w:pStyle w:val="TableText"/>
              <w:rPr>
                <w:rStyle w:val="Emphasis"/>
                <w:rFonts w:eastAsia="SimSun"/>
              </w:rPr>
            </w:pPr>
            <w:r w:rsidRPr="00162F1F">
              <w:rPr>
                <w:rStyle w:val="Emphasis"/>
              </w:rPr>
              <w:t>Gadus morhua</w:t>
            </w:r>
          </w:p>
        </w:tc>
      </w:tr>
      <w:tr w:rsidR="00162F1F" w14:paraId="5C3B7FD0" w14:textId="77777777">
        <w:trPr>
          <w:cantSplit/>
          <w:trHeight w:val="315"/>
        </w:trPr>
        <w:tc>
          <w:tcPr>
            <w:tcW w:w="2500" w:type="pct"/>
            <w:noWrap/>
          </w:tcPr>
          <w:p w14:paraId="5227C577" w14:textId="612C40C4" w:rsidR="00162F1F" w:rsidRDefault="00162F1F" w:rsidP="00162F1F">
            <w:pPr>
              <w:pStyle w:val="TableText"/>
            </w:pPr>
            <w:r w:rsidRPr="00175660">
              <w:t>Atlantic halibut</w:t>
            </w:r>
          </w:p>
        </w:tc>
        <w:tc>
          <w:tcPr>
            <w:tcW w:w="2500" w:type="pct"/>
            <w:noWrap/>
          </w:tcPr>
          <w:p w14:paraId="5ACF429E" w14:textId="78576472" w:rsidR="00162F1F" w:rsidRPr="00162F1F" w:rsidRDefault="00162F1F" w:rsidP="00162F1F">
            <w:pPr>
              <w:pStyle w:val="TableText"/>
              <w:rPr>
                <w:rStyle w:val="Emphasis"/>
                <w:rFonts w:eastAsia="SimSun"/>
              </w:rPr>
            </w:pPr>
            <w:r w:rsidRPr="00162F1F">
              <w:rPr>
                <w:rStyle w:val="Emphasis"/>
              </w:rPr>
              <w:t>Hippoglossus hippoglossus</w:t>
            </w:r>
          </w:p>
        </w:tc>
      </w:tr>
      <w:tr w:rsidR="00162F1F" w14:paraId="42EB7617" w14:textId="77777777">
        <w:trPr>
          <w:cantSplit/>
          <w:trHeight w:val="315"/>
        </w:trPr>
        <w:tc>
          <w:tcPr>
            <w:tcW w:w="2500" w:type="pct"/>
            <w:noWrap/>
          </w:tcPr>
          <w:p w14:paraId="71A33549" w14:textId="7506A68E" w:rsidR="00162F1F" w:rsidRDefault="00162F1F" w:rsidP="00162F1F">
            <w:pPr>
              <w:pStyle w:val="TableText"/>
            </w:pPr>
            <w:r w:rsidRPr="00175660">
              <w:t>Atlantic salmon</w:t>
            </w:r>
            <w:r w:rsidRPr="00162F1F">
              <w:rPr>
                <w:vertAlign w:val="superscript"/>
              </w:rPr>
              <w:t>a</w:t>
            </w:r>
          </w:p>
        </w:tc>
        <w:tc>
          <w:tcPr>
            <w:tcW w:w="2500" w:type="pct"/>
            <w:noWrap/>
          </w:tcPr>
          <w:p w14:paraId="1D4032D9" w14:textId="2CF11A30" w:rsidR="00162F1F" w:rsidRPr="00162F1F" w:rsidRDefault="00162F1F" w:rsidP="00162F1F">
            <w:pPr>
              <w:pStyle w:val="TableText"/>
              <w:rPr>
                <w:rStyle w:val="Emphasis"/>
                <w:rFonts w:eastAsia="SimSun"/>
              </w:rPr>
            </w:pPr>
            <w:r w:rsidRPr="00162F1F">
              <w:rPr>
                <w:rStyle w:val="Emphasis"/>
              </w:rPr>
              <w:t>Salmo salar</w:t>
            </w:r>
          </w:p>
        </w:tc>
      </w:tr>
      <w:tr w:rsidR="00162F1F" w14:paraId="2B6394AD" w14:textId="77777777">
        <w:trPr>
          <w:cantSplit/>
          <w:trHeight w:val="315"/>
        </w:trPr>
        <w:tc>
          <w:tcPr>
            <w:tcW w:w="2500" w:type="pct"/>
            <w:noWrap/>
          </w:tcPr>
          <w:p w14:paraId="5E1E203A" w14:textId="3350C84C" w:rsidR="00162F1F" w:rsidRDefault="00162F1F" w:rsidP="00162F1F">
            <w:pPr>
              <w:pStyle w:val="TableText"/>
            </w:pPr>
            <w:r w:rsidRPr="00175660">
              <w:t>Brook trout</w:t>
            </w:r>
            <w:r w:rsidRPr="00162F1F">
              <w:rPr>
                <w:vertAlign w:val="superscript"/>
              </w:rPr>
              <w:t>a</w:t>
            </w:r>
          </w:p>
        </w:tc>
        <w:tc>
          <w:tcPr>
            <w:tcW w:w="2500" w:type="pct"/>
            <w:noWrap/>
          </w:tcPr>
          <w:p w14:paraId="44C74309" w14:textId="6463CBFA" w:rsidR="00162F1F" w:rsidRPr="00162F1F" w:rsidRDefault="00162F1F" w:rsidP="00162F1F">
            <w:pPr>
              <w:pStyle w:val="TableText"/>
              <w:rPr>
                <w:rStyle w:val="Emphasis"/>
              </w:rPr>
            </w:pPr>
            <w:r w:rsidRPr="00162F1F">
              <w:rPr>
                <w:rStyle w:val="Emphasis"/>
              </w:rPr>
              <w:t>Salvelinus fontinalis</w:t>
            </w:r>
          </w:p>
        </w:tc>
      </w:tr>
      <w:tr w:rsidR="00162F1F" w14:paraId="6920FABC" w14:textId="77777777">
        <w:trPr>
          <w:cantSplit/>
          <w:trHeight w:val="315"/>
        </w:trPr>
        <w:tc>
          <w:tcPr>
            <w:tcW w:w="2500" w:type="pct"/>
            <w:noWrap/>
          </w:tcPr>
          <w:p w14:paraId="264B739C" w14:textId="32DB5545" w:rsidR="00162F1F" w:rsidRDefault="00162F1F" w:rsidP="00162F1F">
            <w:pPr>
              <w:pStyle w:val="TableText"/>
            </w:pPr>
            <w:r w:rsidRPr="00175660">
              <w:t>Brown trout</w:t>
            </w:r>
            <w:r w:rsidRPr="00162F1F">
              <w:rPr>
                <w:vertAlign w:val="superscript"/>
              </w:rPr>
              <w:t>a</w:t>
            </w:r>
          </w:p>
        </w:tc>
        <w:tc>
          <w:tcPr>
            <w:tcW w:w="2500" w:type="pct"/>
            <w:noWrap/>
          </w:tcPr>
          <w:p w14:paraId="379EFB71" w14:textId="7AC7D04B" w:rsidR="00162F1F" w:rsidRPr="00162F1F" w:rsidRDefault="00162F1F" w:rsidP="00162F1F">
            <w:pPr>
              <w:pStyle w:val="TableText"/>
              <w:rPr>
                <w:rStyle w:val="Emphasis"/>
              </w:rPr>
            </w:pPr>
            <w:r w:rsidRPr="00162F1F">
              <w:rPr>
                <w:rStyle w:val="Emphasis"/>
              </w:rPr>
              <w:t>Salmo trutta</w:t>
            </w:r>
          </w:p>
        </w:tc>
      </w:tr>
      <w:tr w:rsidR="00162F1F" w14:paraId="0D6ED91A" w14:textId="77777777">
        <w:trPr>
          <w:cantSplit/>
          <w:trHeight w:val="315"/>
        </w:trPr>
        <w:tc>
          <w:tcPr>
            <w:tcW w:w="2500" w:type="pct"/>
            <w:noWrap/>
          </w:tcPr>
          <w:p w14:paraId="3198F7CB" w14:textId="28161EF8" w:rsidR="00162F1F" w:rsidRPr="002F7844" w:rsidRDefault="00162F1F" w:rsidP="00162F1F">
            <w:pPr>
              <w:pStyle w:val="TableText"/>
            </w:pPr>
            <w:r w:rsidRPr="00175660">
              <w:t>Coho salmon</w:t>
            </w:r>
          </w:p>
        </w:tc>
        <w:tc>
          <w:tcPr>
            <w:tcW w:w="2500" w:type="pct"/>
            <w:noWrap/>
          </w:tcPr>
          <w:p w14:paraId="5466F917" w14:textId="18656698" w:rsidR="00162F1F" w:rsidRPr="00162F1F" w:rsidRDefault="00162F1F" w:rsidP="00162F1F">
            <w:pPr>
              <w:pStyle w:val="TableText"/>
              <w:rPr>
                <w:rStyle w:val="Emphasis"/>
              </w:rPr>
            </w:pPr>
            <w:r w:rsidRPr="00162F1F">
              <w:rPr>
                <w:rStyle w:val="Emphasis"/>
              </w:rPr>
              <w:t>Oncorhynchus kisutch</w:t>
            </w:r>
          </w:p>
        </w:tc>
      </w:tr>
      <w:tr w:rsidR="00162F1F" w14:paraId="50940242" w14:textId="77777777">
        <w:trPr>
          <w:cantSplit/>
          <w:trHeight w:val="315"/>
        </w:trPr>
        <w:tc>
          <w:tcPr>
            <w:tcW w:w="2500" w:type="pct"/>
            <w:noWrap/>
          </w:tcPr>
          <w:p w14:paraId="708B6394" w14:textId="2706CD3F" w:rsidR="00162F1F" w:rsidRPr="002F7844" w:rsidRDefault="00162F1F" w:rsidP="00162F1F">
            <w:pPr>
              <w:pStyle w:val="TableText"/>
            </w:pPr>
            <w:r w:rsidRPr="00175660">
              <w:t>Eels</w:t>
            </w:r>
            <w:r w:rsidRPr="00162F1F">
              <w:rPr>
                <w:vertAlign w:val="superscript"/>
              </w:rPr>
              <w:t>a</w:t>
            </w:r>
          </w:p>
        </w:tc>
        <w:tc>
          <w:tcPr>
            <w:tcW w:w="2500" w:type="pct"/>
            <w:noWrap/>
          </w:tcPr>
          <w:p w14:paraId="2E781A41" w14:textId="17A02FD1" w:rsidR="00162F1F" w:rsidRPr="00162F1F" w:rsidRDefault="00162F1F" w:rsidP="00162F1F">
            <w:pPr>
              <w:pStyle w:val="TableText"/>
              <w:rPr>
                <w:rStyle w:val="Emphasis"/>
                <w:i w:val="0"/>
                <w:iCs w:val="0"/>
              </w:rPr>
            </w:pPr>
            <w:r w:rsidRPr="00162F1F">
              <w:rPr>
                <w:rStyle w:val="Emphasis"/>
              </w:rPr>
              <w:t>Anguillidae</w:t>
            </w:r>
            <w:r w:rsidRPr="00175660">
              <w:t>, all species</w:t>
            </w:r>
          </w:p>
        </w:tc>
      </w:tr>
      <w:tr w:rsidR="00162F1F" w14:paraId="66CAA922" w14:textId="77777777">
        <w:trPr>
          <w:cantSplit/>
          <w:trHeight w:val="315"/>
        </w:trPr>
        <w:tc>
          <w:tcPr>
            <w:tcW w:w="2500" w:type="pct"/>
            <w:noWrap/>
          </w:tcPr>
          <w:p w14:paraId="78778F6F" w14:textId="65CE1C61" w:rsidR="00162F1F" w:rsidRPr="003958F7" w:rsidRDefault="00162F1F" w:rsidP="00162F1F">
            <w:pPr>
              <w:pStyle w:val="TableText"/>
            </w:pPr>
            <w:r w:rsidRPr="00175660">
              <w:t>European eel</w:t>
            </w:r>
          </w:p>
        </w:tc>
        <w:tc>
          <w:tcPr>
            <w:tcW w:w="2500" w:type="pct"/>
            <w:noWrap/>
          </w:tcPr>
          <w:p w14:paraId="1DC6983A" w14:textId="0303BAA1" w:rsidR="00162F1F" w:rsidRPr="00162F1F" w:rsidRDefault="00162F1F" w:rsidP="00162F1F">
            <w:pPr>
              <w:pStyle w:val="TableText"/>
              <w:rPr>
                <w:rStyle w:val="Emphasis"/>
              </w:rPr>
            </w:pPr>
            <w:r w:rsidRPr="00162F1F">
              <w:rPr>
                <w:rStyle w:val="Emphasis"/>
              </w:rPr>
              <w:t>Anguilla anguilla</w:t>
            </w:r>
          </w:p>
        </w:tc>
      </w:tr>
      <w:tr w:rsidR="00162F1F" w14:paraId="63E84C66" w14:textId="77777777">
        <w:trPr>
          <w:cantSplit/>
          <w:trHeight w:val="315"/>
        </w:trPr>
        <w:tc>
          <w:tcPr>
            <w:tcW w:w="2500" w:type="pct"/>
            <w:noWrap/>
          </w:tcPr>
          <w:p w14:paraId="07C762CF" w14:textId="54993597" w:rsidR="00162F1F" w:rsidRPr="003958F7" w:rsidRDefault="00162F1F" w:rsidP="00162F1F">
            <w:pPr>
              <w:pStyle w:val="TableText"/>
            </w:pPr>
            <w:r w:rsidRPr="00175660">
              <w:t>Japanese eel</w:t>
            </w:r>
          </w:p>
        </w:tc>
        <w:tc>
          <w:tcPr>
            <w:tcW w:w="2500" w:type="pct"/>
            <w:noWrap/>
          </w:tcPr>
          <w:p w14:paraId="0726506E" w14:textId="52276415" w:rsidR="00162F1F" w:rsidRPr="00162F1F" w:rsidRDefault="00162F1F" w:rsidP="00162F1F">
            <w:pPr>
              <w:pStyle w:val="TableText"/>
              <w:rPr>
                <w:rStyle w:val="Emphasis"/>
              </w:rPr>
            </w:pPr>
            <w:r w:rsidRPr="00162F1F">
              <w:rPr>
                <w:rStyle w:val="Emphasis"/>
              </w:rPr>
              <w:t>Anguilla japonica</w:t>
            </w:r>
          </w:p>
        </w:tc>
      </w:tr>
      <w:tr w:rsidR="00162F1F" w14:paraId="7F282BDD" w14:textId="77777777">
        <w:trPr>
          <w:cantSplit/>
          <w:trHeight w:val="315"/>
        </w:trPr>
        <w:tc>
          <w:tcPr>
            <w:tcW w:w="2500" w:type="pct"/>
            <w:noWrap/>
          </w:tcPr>
          <w:p w14:paraId="61C7C6FC" w14:textId="7FEEE6C1" w:rsidR="00162F1F" w:rsidRPr="003958F7" w:rsidRDefault="00162F1F" w:rsidP="00162F1F">
            <w:pPr>
              <w:pStyle w:val="TableText"/>
            </w:pPr>
            <w:r w:rsidRPr="00175660">
              <w:t>Pacific salmon</w:t>
            </w:r>
          </w:p>
        </w:tc>
        <w:tc>
          <w:tcPr>
            <w:tcW w:w="2500" w:type="pct"/>
            <w:noWrap/>
          </w:tcPr>
          <w:p w14:paraId="48299AE5" w14:textId="20BED01A" w:rsidR="00162F1F" w:rsidRPr="00162F1F" w:rsidRDefault="00162F1F" w:rsidP="00162F1F">
            <w:pPr>
              <w:pStyle w:val="TableText"/>
              <w:rPr>
                <w:rStyle w:val="Emphasis"/>
                <w:i w:val="0"/>
                <w:iCs w:val="0"/>
              </w:rPr>
            </w:pPr>
            <w:r w:rsidRPr="00162F1F">
              <w:rPr>
                <w:rStyle w:val="Emphasis"/>
              </w:rPr>
              <w:t>Oncorhynchus</w:t>
            </w:r>
            <w:r w:rsidRPr="00175660">
              <w:t xml:space="preserve"> spp.</w:t>
            </w:r>
          </w:p>
        </w:tc>
      </w:tr>
      <w:tr w:rsidR="00162F1F" w14:paraId="034214E8" w14:textId="77777777">
        <w:trPr>
          <w:cantSplit/>
          <w:trHeight w:val="315"/>
        </w:trPr>
        <w:tc>
          <w:tcPr>
            <w:tcW w:w="2500" w:type="pct"/>
            <w:noWrap/>
          </w:tcPr>
          <w:p w14:paraId="4327B3F9" w14:textId="58D762D3" w:rsidR="00162F1F" w:rsidRPr="003958F7" w:rsidRDefault="00162F1F" w:rsidP="00162F1F">
            <w:pPr>
              <w:pStyle w:val="TableText"/>
            </w:pPr>
            <w:r w:rsidRPr="00175660">
              <w:t>Rainbow trout</w:t>
            </w:r>
            <w:r w:rsidRPr="00162F1F">
              <w:rPr>
                <w:vertAlign w:val="superscript"/>
              </w:rPr>
              <w:t>a</w:t>
            </w:r>
          </w:p>
        </w:tc>
        <w:tc>
          <w:tcPr>
            <w:tcW w:w="2500" w:type="pct"/>
            <w:noWrap/>
          </w:tcPr>
          <w:p w14:paraId="65302681" w14:textId="40BC24FC" w:rsidR="00162F1F" w:rsidRPr="00162F1F" w:rsidRDefault="00162F1F" w:rsidP="00162F1F">
            <w:pPr>
              <w:pStyle w:val="TableText"/>
              <w:rPr>
                <w:rStyle w:val="Emphasis"/>
              </w:rPr>
            </w:pPr>
            <w:r w:rsidRPr="00162F1F">
              <w:rPr>
                <w:rStyle w:val="Emphasis"/>
              </w:rPr>
              <w:t>Oncorhynchus mykiss</w:t>
            </w:r>
          </w:p>
        </w:tc>
      </w:tr>
      <w:tr w:rsidR="00162F1F" w14:paraId="5589139C" w14:textId="77777777">
        <w:trPr>
          <w:cantSplit/>
          <w:trHeight w:val="315"/>
        </w:trPr>
        <w:tc>
          <w:tcPr>
            <w:tcW w:w="2500" w:type="pct"/>
            <w:noWrap/>
          </w:tcPr>
          <w:p w14:paraId="1928CD4B" w14:textId="153B9E99" w:rsidR="00162F1F" w:rsidRPr="003958F7" w:rsidRDefault="00162F1F" w:rsidP="00162F1F">
            <w:pPr>
              <w:pStyle w:val="TableText"/>
            </w:pPr>
            <w:r w:rsidRPr="00175660">
              <w:lastRenderedPageBreak/>
              <w:t>Shortfin eel</w:t>
            </w:r>
          </w:p>
        </w:tc>
        <w:tc>
          <w:tcPr>
            <w:tcW w:w="2500" w:type="pct"/>
            <w:noWrap/>
          </w:tcPr>
          <w:p w14:paraId="4D5874E3" w14:textId="53D9EAEB" w:rsidR="00162F1F" w:rsidRPr="00162F1F" w:rsidRDefault="00162F1F" w:rsidP="00162F1F">
            <w:pPr>
              <w:pStyle w:val="TableText"/>
              <w:rPr>
                <w:rStyle w:val="Emphasis"/>
              </w:rPr>
            </w:pPr>
            <w:r w:rsidRPr="00162F1F">
              <w:rPr>
                <w:rStyle w:val="Emphasis"/>
              </w:rPr>
              <w:t>Anguilla australis</w:t>
            </w:r>
          </w:p>
        </w:tc>
      </w:tr>
      <w:tr w:rsidR="00162F1F" w14:paraId="13CD95F7" w14:textId="77777777">
        <w:trPr>
          <w:cantSplit/>
          <w:trHeight w:val="315"/>
        </w:trPr>
        <w:tc>
          <w:tcPr>
            <w:tcW w:w="2500" w:type="pct"/>
            <w:noWrap/>
          </w:tcPr>
          <w:p w14:paraId="06C23E23" w14:textId="6FF3C1DC" w:rsidR="00162F1F" w:rsidRPr="003958F7" w:rsidRDefault="00162F1F" w:rsidP="00162F1F">
            <w:pPr>
              <w:pStyle w:val="TableText"/>
            </w:pPr>
            <w:r w:rsidRPr="00175660">
              <w:t>Turbot</w:t>
            </w:r>
          </w:p>
        </w:tc>
        <w:tc>
          <w:tcPr>
            <w:tcW w:w="2500" w:type="pct"/>
            <w:noWrap/>
          </w:tcPr>
          <w:p w14:paraId="64D67EDB" w14:textId="25244473" w:rsidR="00162F1F" w:rsidRPr="00162F1F" w:rsidRDefault="00162F1F" w:rsidP="00162F1F">
            <w:pPr>
              <w:pStyle w:val="TableText"/>
              <w:rPr>
                <w:rStyle w:val="Emphasis"/>
              </w:rPr>
            </w:pPr>
            <w:r w:rsidRPr="00162F1F">
              <w:rPr>
                <w:rStyle w:val="Emphasis"/>
              </w:rPr>
              <w:t>Scophthalmus maximus</w:t>
            </w:r>
          </w:p>
        </w:tc>
      </w:tr>
      <w:tr w:rsidR="00162F1F" w14:paraId="4253058B" w14:textId="77777777">
        <w:trPr>
          <w:cantSplit/>
          <w:trHeight w:val="315"/>
        </w:trPr>
        <w:tc>
          <w:tcPr>
            <w:tcW w:w="2500" w:type="pct"/>
            <w:noWrap/>
          </w:tcPr>
          <w:p w14:paraId="50FEE89D" w14:textId="16061948" w:rsidR="00162F1F" w:rsidRPr="003958F7" w:rsidRDefault="00162F1F" w:rsidP="00162F1F">
            <w:pPr>
              <w:pStyle w:val="TableText"/>
            </w:pPr>
            <w:r w:rsidRPr="00175660">
              <w:t>Wrasses</w:t>
            </w:r>
          </w:p>
        </w:tc>
        <w:tc>
          <w:tcPr>
            <w:tcW w:w="2500" w:type="pct"/>
            <w:noWrap/>
          </w:tcPr>
          <w:p w14:paraId="5E2EBE9A" w14:textId="64FAFA2C" w:rsidR="00162F1F" w:rsidRPr="00162F1F" w:rsidRDefault="00162F1F" w:rsidP="00162F1F">
            <w:pPr>
              <w:pStyle w:val="TableText"/>
              <w:rPr>
                <w:rStyle w:val="Emphasis"/>
                <w:i w:val="0"/>
                <w:iCs w:val="0"/>
              </w:rPr>
            </w:pPr>
            <w:r w:rsidRPr="00162F1F">
              <w:rPr>
                <w:rStyle w:val="Emphasis"/>
              </w:rPr>
              <w:t>Labridae</w:t>
            </w:r>
            <w:r w:rsidRPr="00175660">
              <w:t>, all species</w:t>
            </w:r>
          </w:p>
        </w:tc>
      </w:tr>
    </w:tbl>
    <w:p w14:paraId="233F7A2B" w14:textId="6CF27444" w:rsidR="00DF2031" w:rsidRDefault="00DF2031" w:rsidP="00DF2031">
      <w:pPr>
        <w:pStyle w:val="FigureTableNoteSource"/>
      </w:pPr>
      <w:r w:rsidRPr="00DF2031">
        <w:rPr>
          <w:rStyle w:val="Strong"/>
        </w:rPr>
        <w:t>a</w:t>
      </w:r>
      <w:r w:rsidRPr="00DF2031">
        <w:t xml:space="preserve"> Naturally susceptible</w:t>
      </w:r>
      <w:r>
        <w:t>. Note:</w:t>
      </w:r>
      <w:r w:rsidRPr="00DF2031">
        <w:t xml:space="preserve"> </w:t>
      </w:r>
      <w:r>
        <w:t>O</w:t>
      </w:r>
      <w:r w:rsidRPr="00DF2031">
        <w:t xml:space="preserve">ther species </w:t>
      </w:r>
      <w:r w:rsidR="00162F1F">
        <w:t xml:space="preserve">likely to be susceptible or </w:t>
      </w:r>
      <w:r w:rsidRPr="00DF2031">
        <w:t>have been shown to be experimentally susceptible</w:t>
      </w:r>
      <w:r>
        <w:t>.</w:t>
      </w:r>
    </w:p>
    <w:p w14:paraId="38E29C17" w14:textId="1BFA6385" w:rsidR="007F73EC" w:rsidRDefault="007F73EC" w:rsidP="007F73EC">
      <w:pPr>
        <w:pStyle w:val="Caption"/>
      </w:pPr>
      <w:r>
        <w:t xml:space="preserve">Table </w:t>
      </w:r>
      <w:r>
        <w:rPr>
          <w:noProof/>
        </w:rPr>
        <w:fldChar w:fldCharType="begin"/>
      </w:r>
      <w:r>
        <w:rPr>
          <w:noProof/>
        </w:rPr>
        <w:instrText xml:space="preserve"> SEQ Table \* ARABIC </w:instrText>
      </w:r>
      <w:r>
        <w:rPr>
          <w:noProof/>
        </w:rPr>
        <w:fldChar w:fldCharType="separate"/>
      </w:r>
      <w:r w:rsidR="004309B7">
        <w:rPr>
          <w:noProof/>
        </w:rPr>
        <w:t>2</w:t>
      </w:r>
      <w:r>
        <w:rPr>
          <w:noProof/>
        </w:rPr>
        <w:fldChar w:fldCharType="end"/>
      </w:r>
      <w:r>
        <w:t xml:space="preserve"> Non-fish carriers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537"/>
        <w:gridCol w:w="4533"/>
      </w:tblGrid>
      <w:tr w:rsidR="007F73EC" w14:paraId="297654F6" w14:textId="77777777" w:rsidTr="00437287">
        <w:trPr>
          <w:cantSplit/>
          <w:trHeight w:val="300"/>
          <w:tblHeader/>
        </w:trPr>
        <w:tc>
          <w:tcPr>
            <w:tcW w:w="2501"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499"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162F1F" w14:paraId="4BDA0795" w14:textId="77777777" w:rsidTr="00437287">
        <w:trPr>
          <w:cantSplit/>
          <w:trHeight w:val="315"/>
        </w:trPr>
        <w:tc>
          <w:tcPr>
            <w:tcW w:w="2501" w:type="pct"/>
            <w:tcBorders>
              <w:top w:val="single" w:sz="4" w:space="0" w:color="auto"/>
            </w:tcBorders>
            <w:noWrap/>
          </w:tcPr>
          <w:p w14:paraId="3BA63A75" w14:textId="2ABE62FB" w:rsidR="00162F1F" w:rsidRDefault="00162F1F" w:rsidP="00162F1F">
            <w:pPr>
              <w:pStyle w:val="TableText"/>
              <w:tabs>
                <w:tab w:val="left" w:pos="1640"/>
              </w:tabs>
            </w:pPr>
            <w:r w:rsidRPr="00D318ED">
              <w:t>Common European scallop</w:t>
            </w:r>
          </w:p>
        </w:tc>
        <w:tc>
          <w:tcPr>
            <w:tcW w:w="2499" w:type="pct"/>
            <w:tcBorders>
              <w:top w:val="single" w:sz="4" w:space="0" w:color="auto"/>
            </w:tcBorders>
            <w:noWrap/>
          </w:tcPr>
          <w:p w14:paraId="731D7337" w14:textId="35D0A5A1" w:rsidR="00162F1F" w:rsidRPr="00162F1F" w:rsidRDefault="00162F1F" w:rsidP="00162F1F">
            <w:pPr>
              <w:pStyle w:val="TableText"/>
              <w:rPr>
                <w:rStyle w:val="Emphasis"/>
              </w:rPr>
            </w:pPr>
            <w:r w:rsidRPr="00162F1F">
              <w:rPr>
                <w:rStyle w:val="Emphasis"/>
              </w:rPr>
              <w:t>Pecten maximus</w:t>
            </w:r>
          </w:p>
        </w:tc>
      </w:tr>
      <w:tr w:rsidR="00162F1F" w14:paraId="77097DE5" w14:textId="77777777" w:rsidTr="00437287">
        <w:trPr>
          <w:cantSplit/>
          <w:trHeight w:val="315"/>
        </w:trPr>
        <w:tc>
          <w:tcPr>
            <w:tcW w:w="2501" w:type="pct"/>
            <w:noWrap/>
          </w:tcPr>
          <w:p w14:paraId="0661A9B0" w14:textId="582A5F80" w:rsidR="00162F1F" w:rsidRDefault="00162F1F" w:rsidP="00162F1F">
            <w:pPr>
              <w:pStyle w:val="TableText"/>
            </w:pPr>
            <w:r w:rsidRPr="00D318ED">
              <w:t>European flat oyster</w:t>
            </w:r>
          </w:p>
        </w:tc>
        <w:tc>
          <w:tcPr>
            <w:tcW w:w="2499" w:type="pct"/>
            <w:noWrap/>
          </w:tcPr>
          <w:p w14:paraId="6BB76E25" w14:textId="1A628E20" w:rsidR="00162F1F" w:rsidRPr="00162F1F" w:rsidRDefault="00162F1F" w:rsidP="00162F1F">
            <w:pPr>
              <w:pStyle w:val="TableText"/>
              <w:rPr>
                <w:rStyle w:val="Emphasis"/>
                <w:rFonts w:eastAsia="SimSun"/>
              </w:rPr>
            </w:pPr>
            <w:r w:rsidRPr="00162F1F">
              <w:rPr>
                <w:rStyle w:val="Emphasis"/>
              </w:rPr>
              <w:t>Ostrea edulis</w:t>
            </w:r>
          </w:p>
        </w:tc>
      </w:tr>
      <w:tr w:rsidR="00162F1F" w14:paraId="77064B71" w14:textId="77777777" w:rsidTr="00437287">
        <w:trPr>
          <w:cantSplit/>
          <w:trHeight w:val="315"/>
        </w:trPr>
        <w:tc>
          <w:tcPr>
            <w:tcW w:w="2501" w:type="pct"/>
            <w:noWrap/>
          </w:tcPr>
          <w:p w14:paraId="422FAF28" w14:textId="74DC5F5B" w:rsidR="00162F1F" w:rsidRDefault="00162F1F" w:rsidP="00162F1F">
            <w:pPr>
              <w:pStyle w:val="TableText"/>
            </w:pPr>
            <w:r w:rsidRPr="00D318ED">
              <w:t>Fish louse</w:t>
            </w:r>
          </w:p>
        </w:tc>
        <w:tc>
          <w:tcPr>
            <w:tcW w:w="2499" w:type="pct"/>
            <w:noWrap/>
          </w:tcPr>
          <w:p w14:paraId="3A5F59D6" w14:textId="3C2569D4" w:rsidR="00162F1F" w:rsidRPr="00162F1F" w:rsidRDefault="00162F1F" w:rsidP="00162F1F">
            <w:pPr>
              <w:pStyle w:val="TableText"/>
              <w:rPr>
                <w:rStyle w:val="Emphasis"/>
                <w:rFonts w:eastAsia="SimSun"/>
              </w:rPr>
            </w:pPr>
            <w:r w:rsidRPr="00162F1F">
              <w:rPr>
                <w:rStyle w:val="Emphasis"/>
              </w:rPr>
              <w:t>Argulus foliaceus</w:t>
            </w:r>
          </w:p>
        </w:tc>
      </w:tr>
      <w:tr w:rsidR="00162F1F" w14:paraId="20CC33C9" w14:textId="77777777" w:rsidTr="00437287">
        <w:trPr>
          <w:cantSplit/>
          <w:trHeight w:val="315"/>
        </w:trPr>
        <w:tc>
          <w:tcPr>
            <w:tcW w:w="2501" w:type="pct"/>
            <w:noWrap/>
          </w:tcPr>
          <w:p w14:paraId="4789330C" w14:textId="48795D34" w:rsidR="00162F1F" w:rsidRDefault="00162F1F" w:rsidP="00162F1F">
            <w:pPr>
              <w:pStyle w:val="TableText"/>
            </w:pPr>
            <w:r w:rsidRPr="00D318ED">
              <w:t>Molluscs</w:t>
            </w:r>
          </w:p>
        </w:tc>
        <w:tc>
          <w:tcPr>
            <w:tcW w:w="2499" w:type="pct"/>
            <w:noWrap/>
          </w:tcPr>
          <w:p w14:paraId="75783D15" w14:textId="68970937" w:rsidR="00162F1F" w:rsidRPr="007F73EC" w:rsidRDefault="00162F1F" w:rsidP="00162F1F">
            <w:pPr>
              <w:pStyle w:val="TableText"/>
              <w:rPr>
                <w:rStyle w:val="Emphasis"/>
                <w:rFonts w:eastAsia="SimSun"/>
                <w:i w:val="0"/>
                <w:iCs w:val="0"/>
              </w:rPr>
            </w:pPr>
            <w:r w:rsidRPr="00D318ED">
              <w:t>Various genera and species</w:t>
            </w:r>
          </w:p>
        </w:tc>
      </w:tr>
      <w:tr w:rsidR="00162F1F" w14:paraId="74B9AFFF" w14:textId="77777777" w:rsidTr="00437287">
        <w:trPr>
          <w:cantSplit/>
          <w:trHeight w:val="315"/>
        </w:trPr>
        <w:tc>
          <w:tcPr>
            <w:tcW w:w="2501" w:type="pct"/>
            <w:noWrap/>
          </w:tcPr>
          <w:p w14:paraId="79609FD7" w14:textId="0549704E" w:rsidR="00162F1F" w:rsidRPr="00505B06" w:rsidRDefault="00162F1F" w:rsidP="00162F1F">
            <w:pPr>
              <w:pStyle w:val="TableText"/>
            </w:pPr>
            <w:r w:rsidRPr="00D318ED">
              <w:t>Piscivorous birds</w:t>
            </w:r>
          </w:p>
        </w:tc>
        <w:tc>
          <w:tcPr>
            <w:tcW w:w="2499" w:type="pct"/>
            <w:noWrap/>
          </w:tcPr>
          <w:p w14:paraId="0AE0FF95" w14:textId="6D661455" w:rsidR="00162F1F" w:rsidRPr="00505B06" w:rsidRDefault="00162F1F" w:rsidP="00162F1F">
            <w:pPr>
              <w:pStyle w:val="TableText"/>
            </w:pPr>
            <w:r w:rsidRPr="00D318ED">
              <w:t>Various genera and species</w:t>
            </w:r>
          </w:p>
        </w:tc>
      </w:tr>
      <w:tr w:rsidR="00162F1F" w14:paraId="7A3E2C3E" w14:textId="77777777" w:rsidTr="00437287">
        <w:trPr>
          <w:cantSplit/>
          <w:trHeight w:val="315"/>
        </w:trPr>
        <w:tc>
          <w:tcPr>
            <w:tcW w:w="2501" w:type="pct"/>
            <w:noWrap/>
          </w:tcPr>
          <w:p w14:paraId="7A53F6F7" w14:textId="7A4A7260" w:rsidR="00162F1F" w:rsidRPr="00505B06" w:rsidRDefault="00162F1F" w:rsidP="00162F1F">
            <w:pPr>
              <w:pStyle w:val="TableText"/>
            </w:pPr>
            <w:r>
              <w:t>Salmon louse</w:t>
            </w:r>
          </w:p>
        </w:tc>
        <w:tc>
          <w:tcPr>
            <w:tcW w:w="2499" w:type="pct"/>
            <w:noWrap/>
          </w:tcPr>
          <w:p w14:paraId="02365A98" w14:textId="2C63379C" w:rsidR="00162F1F" w:rsidRPr="00505B06" w:rsidRDefault="00162F1F" w:rsidP="00162F1F">
            <w:pPr>
              <w:pStyle w:val="TableText"/>
            </w:pPr>
            <w:r w:rsidRPr="00162F1F">
              <w:rPr>
                <w:rStyle w:val="Emphasis"/>
              </w:rPr>
              <w:t>Lepeophtheirus salmonis</w:t>
            </w:r>
            <w:r w:rsidRPr="00D318ED">
              <w:t xml:space="preserve"> and </w:t>
            </w:r>
            <w:r w:rsidRPr="00162F1F">
              <w:rPr>
                <w:rStyle w:val="Emphasis"/>
              </w:rPr>
              <w:t xml:space="preserve">Caligus </w:t>
            </w:r>
            <w:r w:rsidR="00C81331" w:rsidRPr="00C81331">
              <w:rPr>
                <w:rStyle w:val="Emphasis"/>
              </w:rPr>
              <w:t>coryphaenae</w:t>
            </w:r>
          </w:p>
        </w:tc>
      </w:tr>
    </w:tbl>
    <w:p w14:paraId="07189146" w14:textId="63014475" w:rsidR="00ED0614" w:rsidRDefault="00E260DC">
      <w:pPr>
        <w:pStyle w:val="Heading2"/>
      </w:pPr>
      <w:r>
        <w:t>Presence in Australia</w:t>
      </w:r>
    </w:p>
    <w:p w14:paraId="12DFE40E" w14:textId="277F361A" w:rsidR="00FD7D78" w:rsidRDefault="004B703A" w:rsidP="005E0C71">
      <w:r w:rsidRPr="004B703A">
        <w:t>Exotic disease—not recorded in Australia.</w:t>
      </w:r>
    </w:p>
    <w:p w14:paraId="6E0370E0" w14:textId="75592C84" w:rsidR="00107501" w:rsidRDefault="00162F1F" w:rsidP="005E0C71">
      <w:r w:rsidRPr="00162F1F">
        <w:t>Other aquabirnaviruses</w:t>
      </w:r>
      <w:r w:rsidR="00107501">
        <w:t>, distinct from IPNV, are present in Australia</w:t>
      </w:r>
      <w:r w:rsidR="006D5835">
        <w:t xml:space="preserve"> and New Zealand.</w:t>
      </w:r>
    </w:p>
    <w:p w14:paraId="11C14FD6" w14:textId="73E74AD4" w:rsidR="006D5835" w:rsidRDefault="006D5835" w:rsidP="005E0C71">
      <w:pPr>
        <w:pStyle w:val="ListParagraph"/>
        <w:numPr>
          <w:ilvl w:val="0"/>
          <w:numId w:val="34"/>
        </w:numPr>
      </w:pPr>
      <w:r w:rsidRPr="00162F1F">
        <w:t>Tasmanian aquabirnavirus</w:t>
      </w:r>
      <w:r>
        <w:t xml:space="preserve"> </w:t>
      </w:r>
      <w:r w:rsidRPr="00162F1F">
        <w:t>in farmed Atlantic salmon and rainbow trout</w:t>
      </w:r>
      <w:r>
        <w:t>.</w:t>
      </w:r>
    </w:p>
    <w:p w14:paraId="7D7E19A7" w14:textId="0B2E9012" w:rsidR="006D5835" w:rsidRDefault="006D5835" w:rsidP="005E0C71">
      <w:pPr>
        <w:pStyle w:val="ListParagraph"/>
        <w:numPr>
          <w:ilvl w:val="0"/>
          <w:numId w:val="34"/>
        </w:numPr>
      </w:pPr>
      <w:r w:rsidRPr="00162F1F">
        <w:t>Victorian trout aquabirnavirus</w:t>
      </w:r>
      <w:r>
        <w:t xml:space="preserve"> in </w:t>
      </w:r>
      <w:r w:rsidRPr="00162F1F">
        <w:t>farmed rainbow trout</w:t>
      </w:r>
      <w:r>
        <w:t>.</w:t>
      </w:r>
    </w:p>
    <w:p w14:paraId="59FB90F8" w14:textId="1459A921" w:rsidR="006D5835" w:rsidRDefault="006D5835" w:rsidP="005E0C71">
      <w:pPr>
        <w:pStyle w:val="ListParagraph"/>
        <w:numPr>
          <w:ilvl w:val="0"/>
          <w:numId w:val="34"/>
        </w:numPr>
      </w:pPr>
      <w:r>
        <w:t>N</w:t>
      </w:r>
      <w:r w:rsidRPr="00162F1F">
        <w:t>ew Zealand birnavirus</w:t>
      </w:r>
      <w:r w:rsidR="00530301">
        <w:t xml:space="preserve"> </w:t>
      </w:r>
      <w:r>
        <w:t xml:space="preserve">in </w:t>
      </w:r>
      <w:r w:rsidRPr="00162F1F">
        <w:t>diseased turbot and asymptomatic sea-run chinook salmon</w:t>
      </w:r>
      <w:r>
        <w:t>.</w:t>
      </w:r>
    </w:p>
    <w:p w14:paraId="55B0F228" w14:textId="04BF6437"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4309B7">
        <w:rPr>
          <w:noProof/>
        </w:rPr>
        <w:t>1</w:t>
      </w:r>
      <w:r>
        <w:rPr>
          <w:noProof/>
        </w:rPr>
        <w:fldChar w:fldCharType="end"/>
      </w:r>
      <w:r>
        <w:t xml:space="preserve"> Presence </w:t>
      </w:r>
      <w:r w:rsidR="004B703A" w:rsidRPr="004B703A">
        <w:t xml:space="preserve">of </w:t>
      </w:r>
      <w:r w:rsidR="007F73EC">
        <w:t>IHN</w:t>
      </w:r>
      <w:r>
        <w:t>, by jurisdiction</w:t>
      </w:r>
    </w:p>
    <w:p w14:paraId="0046BA22" w14:textId="77777777" w:rsidR="00ED0614" w:rsidRDefault="00E260DC">
      <w:r>
        <w:rPr>
          <w:noProof/>
          <w:lang w:eastAsia="en-AU"/>
        </w:rPr>
        <w:drawing>
          <wp:inline distT="0" distB="0" distL="0" distR="0" wp14:anchorId="1C3B5809" wp14:editId="7EAC54EB">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print">
                      <a:extLst>
                        <a:ext uri="{28A0092B-C50C-407E-A947-70E740481C1C}">
                          <a14:useLocalDpi xmlns:a14="http://schemas.microsoft.com/office/drawing/2010/main"/>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5C6CCD">
      <w:pPr>
        <w:pStyle w:val="Heading2"/>
        <w:keepLines/>
        <w:pageBreakBefore/>
      </w:pPr>
      <w:r>
        <w:lastRenderedPageBreak/>
        <w:t>Epidemiology</w:t>
      </w:r>
    </w:p>
    <w:p w14:paraId="46D0598D" w14:textId="2CE69E72" w:rsidR="00162F1F" w:rsidRDefault="00162F1F" w:rsidP="00162F1F">
      <w:pPr>
        <w:pStyle w:val="ListBullet"/>
      </w:pPr>
      <w:r>
        <w:t>IPN</w:t>
      </w:r>
      <w:r w:rsidR="00150862">
        <w:t>V</w:t>
      </w:r>
      <w:r>
        <w:t xml:space="preserve"> is highly contagious and fish that survive infection are presumed to become carriers. Asymptomatic carrier fish represent a risk for introduction of disease to healthy stocks.</w:t>
      </w:r>
    </w:p>
    <w:p w14:paraId="420858E7" w14:textId="4E807E97" w:rsidR="00162F1F" w:rsidRDefault="00162F1F" w:rsidP="00162F1F">
      <w:pPr>
        <w:pStyle w:val="ListBullet"/>
      </w:pPr>
      <w:r>
        <w:t xml:space="preserve">Viral transmission can occur horizontally </w:t>
      </w:r>
      <w:r w:rsidR="00150862">
        <w:t>(</w:t>
      </w:r>
      <w:r>
        <w:t>the virus enters fish through the gills or gastrointestinal tract</w:t>
      </w:r>
      <w:r w:rsidR="00150862">
        <w:t>)</w:t>
      </w:r>
      <w:r>
        <w:t xml:space="preserve"> and vertically </w:t>
      </w:r>
      <w:r w:rsidR="00150862">
        <w:t>(</w:t>
      </w:r>
      <w:r>
        <w:t>transmitted via eggs of infected carrier broodfish</w:t>
      </w:r>
      <w:r w:rsidR="00150862">
        <w:t>)</w:t>
      </w:r>
      <w:r>
        <w:t>.</w:t>
      </w:r>
    </w:p>
    <w:p w14:paraId="55477839" w14:textId="404E78F6" w:rsidR="00162F1F" w:rsidRDefault="00162F1F" w:rsidP="00162F1F">
      <w:pPr>
        <w:pStyle w:val="ListBullet"/>
      </w:pPr>
      <w:r>
        <w:t>IPN</w:t>
      </w:r>
      <w:r w:rsidR="00150862">
        <w:t>V</w:t>
      </w:r>
      <w:r>
        <w:t xml:space="preserve"> is shed in faeces, urine, spawning fluids and external mucus. Spawning favours the transmission of IPN virus with increased levels of virus excreted in spawning fluids.</w:t>
      </w:r>
    </w:p>
    <w:p w14:paraId="31DC0889" w14:textId="512F19AD" w:rsidR="00162F1F" w:rsidRDefault="00162F1F" w:rsidP="00162F1F">
      <w:pPr>
        <w:pStyle w:val="ListBullet"/>
      </w:pPr>
      <w:r>
        <w:t>Outbreaks of disease are most likely to occur when fish are stressed. Factors raising physiological stress levels include first feeding, high stocking densities, fluctuations in water temperature and salinity and management practices requiring handling of fish. Outbreaks are known to occur at water temperatures as low as</w:t>
      </w:r>
      <w:r w:rsidR="00150862">
        <w:t> </w:t>
      </w:r>
      <w:r>
        <w:t>4°C and as high as</w:t>
      </w:r>
      <w:r w:rsidR="00150862">
        <w:t> </w:t>
      </w:r>
      <w:r>
        <w:t>18°C.</w:t>
      </w:r>
    </w:p>
    <w:p w14:paraId="614043D6" w14:textId="64A919C1" w:rsidR="00162F1F" w:rsidRDefault="00162F1F" w:rsidP="00162F1F">
      <w:pPr>
        <w:pStyle w:val="ListBullet"/>
      </w:pPr>
      <w:r>
        <w:t>The disease can cause high mortalities (70%) in young trout, with cumulative mortalities of</w:t>
      </w:r>
      <w:r w:rsidR="00150862">
        <w:t> </w:t>
      </w:r>
      <w:r>
        <w:t>10% to</w:t>
      </w:r>
      <w:r w:rsidR="00150862">
        <w:t> </w:t>
      </w:r>
      <w:r>
        <w:t>90%.</w:t>
      </w:r>
    </w:p>
    <w:p w14:paraId="7977614C" w14:textId="464DE644" w:rsidR="00162F1F" w:rsidRDefault="00162F1F" w:rsidP="00162F1F">
      <w:pPr>
        <w:pStyle w:val="ListBullet"/>
      </w:pPr>
      <w:r>
        <w:t>The highest mortality rates usually occur in freshwater hatcheries in fry less than 6</w:t>
      </w:r>
      <w:r w:rsidR="00150862">
        <w:t> </w:t>
      </w:r>
      <w:r>
        <w:t>months of age. However, IPN is known to affect rainbow trout and post-smolt Atlantic salmon after transfer from freshwater to seawater.</w:t>
      </w:r>
    </w:p>
    <w:p w14:paraId="73DCAAC6" w14:textId="61E070FB" w:rsidR="00162F1F" w:rsidRDefault="00162F1F" w:rsidP="00162F1F">
      <w:pPr>
        <w:pStyle w:val="ListBullet"/>
      </w:pPr>
      <w:r>
        <w:t>IPN</w:t>
      </w:r>
      <w:r w:rsidR="00150862">
        <w:t>V</w:t>
      </w:r>
      <w:r>
        <w:t xml:space="preserve"> can survive in both fresh</w:t>
      </w:r>
      <w:r w:rsidR="000A39DA">
        <w:t>water</w:t>
      </w:r>
      <w:r>
        <w:t xml:space="preserve"> and saltwater environments. It is quite stable and resists destruction by disinfection, enabling it to persist in a range of environmental conditions on equipment such as nets and containers.</w:t>
      </w:r>
    </w:p>
    <w:p w14:paraId="45CF7725" w14:textId="7A5B449E" w:rsidR="00ED0614" w:rsidRDefault="00162F1F" w:rsidP="00162F1F">
      <w:pPr>
        <w:pStyle w:val="ListBullet"/>
      </w:pPr>
      <w:r>
        <w:t>Virus may be spread and healthy stocks exposed via contaminated transport water, infected eggs and blood feeding parasites. Piscivorous birds and molluscs are also known vectors of IPN</w:t>
      </w:r>
      <w:r w:rsidR="00150862">
        <w:t>V</w:t>
      </w:r>
      <w:r>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1" w:name="_Similar_diseases"/>
      <w:bookmarkEnd w:id="1"/>
      <w:r>
        <w:t>Similar diseases</w:t>
      </w:r>
    </w:p>
    <w:p w14:paraId="3085BBD7" w14:textId="4922E6CD" w:rsidR="00ED0614" w:rsidRDefault="00162F1F">
      <w:r w:rsidRPr="00162F1F">
        <w:t>Infection with HPR-deleted or HPR0 infectious salmon anaemia virus, infection with salmonid alphavirus (SAV), infectious haematopoietic necrosis (IHN)</w:t>
      </w:r>
      <w:r w:rsidR="00150862">
        <w:t xml:space="preserve"> and</w:t>
      </w:r>
      <w:r w:rsidRPr="00162F1F">
        <w:t xml:space="preserve"> viral haemorrhagic septicaemia (VHS)</w:t>
      </w:r>
      <w:r w:rsidR="006E5A89">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lastRenderedPageBreak/>
        <w:t>Emergency disease hotline</w:t>
      </w:r>
    </w:p>
    <w:p w14:paraId="4FF13930" w14:textId="77777777" w:rsidR="00ED0614" w:rsidRDefault="00E260DC" w:rsidP="00270423">
      <w:pPr>
        <w:keepNext/>
      </w:pPr>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6B39C243" w14:textId="77777777"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0BAF3D15" w14:textId="2B1901B3" w:rsidR="00162F1F" w:rsidRDefault="00162F1F" w:rsidP="004B703A">
      <w:r w:rsidRPr="00162F1F">
        <w:t>C</w:t>
      </w:r>
      <w:r>
        <w:t xml:space="preserve">ABI Invasive </w:t>
      </w:r>
      <w:r w:rsidR="00052B5F">
        <w:t>S</w:t>
      </w:r>
      <w:r>
        <w:t xml:space="preserve">pecies </w:t>
      </w:r>
      <w:r w:rsidR="00052B5F">
        <w:t>C</w:t>
      </w:r>
      <w:r>
        <w:t>ompendium</w:t>
      </w:r>
      <w:r w:rsidR="00052B5F">
        <w:t xml:space="preserve"> </w:t>
      </w:r>
      <w:hyperlink r:id="rId13" w:history="1">
        <w:r w:rsidR="00052B5F" w:rsidRPr="00052B5F">
          <w:rPr>
            <w:rStyle w:val="Hyperlink"/>
          </w:rPr>
          <w:t>Infectious Pancreatic Necrosis</w:t>
        </w:r>
      </w:hyperlink>
    </w:p>
    <w:p w14:paraId="08ECC6F2" w14:textId="7962F6AE" w:rsidR="007F73EC" w:rsidRDefault="007F73EC" w:rsidP="004B703A">
      <w:r w:rsidRPr="007F73EC">
        <w:t xml:space="preserve">CEFAS </w:t>
      </w:r>
      <w:r>
        <w:t>I</w:t>
      </w:r>
      <w:r w:rsidRPr="007F73EC">
        <w:t>nternational Database on Aquatic Animal Diseases</w:t>
      </w:r>
      <w:r w:rsidR="00052B5F">
        <w:t xml:space="preserve"> </w:t>
      </w:r>
      <w:hyperlink r:id="rId14" w:history="1">
        <w:r w:rsidR="00052B5F" w:rsidRPr="00052B5F">
          <w:rPr>
            <w:rStyle w:val="Hyperlink"/>
          </w:rPr>
          <w:t>I</w:t>
        </w:r>
        <w:r w:rsidR="00052B5F">
          <w:rPr>
            <w:rStyle w:val="Hyperlink"/>
          </w:rPr>
          <w:t>nfectious Pancreatic Necrosi</w:t>
        </w:r>
        <w:r w:rsidR="00052B5F" w:rsidRPr="00052B5F">
          <w:rPr>
            <w:rStyle w:val="Hyperlink"/>
          </w:rPr>
          <w:t>s</w:t>
        </w:r>
      </w:hyperlink>
    </w:p>
    <w:p w14:paraId="651B3923" w14:textId="649E7C6D" w:rsidR="004B703A" w:rsidRDefault="004B703A" w:rsidP="004B703A">
      <w:r>
        <w:t>Th</w:t>
      </w:r>
      <w:r w:rsidR="00B6781D">
        <w:t>ese</w:t>
      </w:r>
      <w:r>
        <w:t xml:space="preserve"> hyperlink</w:t>
      </w:r>
      <w:r w:rsidR="00B6781D">
        <w:t>s</w:t>
      </w:r>
      <w:r>
        <w:t xml:space="preserve"> w</w:t>
      </w:r>
      <w:r w:rsidR="00B6781D">
        <w:t xml:space="preserve">ere </w:t>
      </w:r>
      <w:r>
        <w:t>correct at the time of publication.</w:t>
      </w:r>
    </w:p>
    <w:p w14:paraId="1AF792C8" w14:textId="77777777" w:rsidR="00ED0614" w:rsidRDefault="00E260DC">
      <w:pPr>
        <w:pStyle w:val="Heading2"/>
        <w:ind w:left="0" w:firstLine="0"/>
      </w:pPr>
      <w:r>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5" w:history="1">
        <w:r>
          <w:rPr>
            <w:rStyle w:val="Hyperlink"/>
          </w:rPr>
          <w:t>AAH@agriculture.gov.au</w:t>
        </w:r>
      </w:hyperlink>
      <w:r>
        <w:cr/>
        <w:t xml:space="preserve">Website </w:t>
      </w:r>
      <w:hyperlink r:id="rId16" w:history="1">
        <w:r>
          <w:rPr>
            <w:rStyle w:val="Hyperlink"/>
          </w:rPr>
          <w:t>agriculture.gov.au/pests-diseases-weeds/aquatic</w:t>
        </w:r>
      </w:hyperlink>
    </w:p>
    <w:p w14:paraId="16C0A9CE" w14:textId="21AFBB3F" w:rsidR="00ED0614" w:rsidRDefault="00E260DC">
      <w:pPr>
        <w:pStyle w:val="Normalsmall"/>
      </w:pPr>
      <w:r>
        <w:t>© Commonwealth of Australia 20</w:t>
      </w:r>
      <w:r w:rsidR="004309B7">
        <w:t>20</w:t>
      </w:r>
      <w:bookmarkStart w:id="2" w:name="_GoBack"/>
      <w:bookmarkEnd w:id="2"/>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7"/>
      <w:footerReference w:type="default" r:id="rId18"/>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4D2DD2DC" w:rsidR="00ED0614" w:rsidRDefault="004309B7">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545011">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753CA67D" w:rsidR="00ED0614" w:rsidRPr="00CB11B9" w:rsidRDefault="00162F1F" w:rsidP="00CB11B9">
    <w:pPr>
      <w:pStyle w:val="Header"/>
    </w:pPr>
    <w:r w:rsidRPr="00162F1F">
      <w:t>Infectious pancreatic necrosis (IPN)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028808CD">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4F4265C"/>
    <w:multiLevelType w:val="hybridMultilevel"/>
    <w:tmpl w:val="81307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8C10A1"/>
    <w:multiLevelType w:val="multilevel"/>
    <w:tmpl w:val="BE78A4F8"/>
    <w:numStyleLink w:val="Numberlist"/>
  </w:abstractNum>
  <w:abstractNum w:abstractNumId="30"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num>
  <w:num w:numId="20">
    <w:abstractNumId w:val="0"/>
  </w:num>
  <w:num w:numId="21">
    <w:abstractNumId w:val="16"/>
  </w:num>
  <w:num w:numId="22">
    <w:abstractNumId w:val="21"/>
  </w:num>
  <w:num w:numId="23">
    <w:abstractNumId w:val="29"/>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22"/>
  </w:num>
  <w:num w:numId="29">
    <w:abstractNumId w:val="24"/>
  </w:num>
  <w:num w:numId="30">
    <w:abstractNumId w:val="11"/>
  </w:num>
  <w:num w:numId="31">
    <w:abstractNumId w:val="7"/>
  </w:num>
  <w:num w:numId="32">
    <w:abstractNumId w:val="9"/>
  </w:num>
  <w:num w:numId="33">
    <w:abstractNumId w:val="10"/>
  </w:num>
  <w:num w:numId="3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50C3A"/>
    <w:rsid w:val="00052B5F"/>
    <w:rsid w:val="000760A8"/>
    <w:rsid w:val="000A39DA"/>
    <w:rsid w:val="000B2163"/>
    <w:rsid w:val="000C051E"/>
    <w:rsid w:val="000D05F1"/>
    <w:rsid w:val="000D38F7"/>
    <w:rsid w:val="000E0DC0"/>
    <w:rsid w:val="00107501"/>
    <w:rsid w:val="001413A7"/>
    <w:rsid w:val="001474D1"/>
    <w:rsid w:val="00150862"/>
    <w:rsid w:val="00162F1F"/>
    <w:rsid w:val="001726AA"/>
    <w:rsid w:val="001A7824"/>
    <w:rsid w:val="001E366B"/>
    <w:rsid w:val="001E6330"/>
    <w:rsid w:val="001F30EF"/>
    <w:rsid w:val="002521EC"/>
    <w:rsid w:val="00266BD4"/>
    <w:rsid w:val="00270423"/>
    <w:rsid w:val="00274A52"/>
    <w:rsid w:val="002827A3"/>
    <w:rsid w:val="002C7D16"/>
    <w:rsid w:val="003C1061"/>
    <w:rsid w:val="003F4E8E"/>
    <w:rsid w:val="00422C3A"/>
    <w:rsid w:val="004309B7"/>
    <w:rsid w:val="00437287"/>
    <w:rsid w:val="0045639F"/>
    <w:rsid w:val="0045792C"/>
    <w:rsid w:val="004A104B"/>
    <w:rsid w:val="004A5DDC"/>
    <w:rsid w:val="004B703A"/>
    <w:rsid w:val="004E3720"/>
    <w:rsid w:val="00530301"/>
    <w:rsid w:val="005312B5"/>
    <w:rsid w:val="00545011"/>
    <w:rsid w:val="00547050"/>
    <w:rsid w:val="00583281"/>
    <w:rsid w:val="00583B3C"/>
    <w:rsid w:val="0058542D"/>
    <w:rsid w:val="005A359A"/>
    <w:rsid w:val="005B0B25"/>
    <w:rsid w:val="005B5670"/>
    <w:rsid w:val="005C17C2"/>
    <w:rsid w:val="005C6CCD"/>
    <w:rsid w:val="005E0C71"/>
    <w:rsid w:val="005E698C"/>
    <w:rsid w:val="00633AE3"/>
    <w:rsid w:val="006649F0"/>
    <w:rsid w:val="006D51D3"/>
    <w:rsid w:val="006D5835"/>
    <w:rsid w:val="006E3E02"/>
    <w:rsid w:val="006E5A89"/>
    <w:rsid w:val="00742002"/>
    <w:rsid w:val="00756677"/>
    <w:rsid w:val="007757E1"/>
    <w:rsid w:val="00793DD5"/>
    <w:rsid w:val="007A0952"/>
    <w:rsid w:val="007B72EC"/>
    <w:rsid w:val="007D5853"/>
    <w:rsid w:val="007E3043"/>
    <w:rsid w:val="007F1EDC"/>
    <w:rsid w:val="007F6D99"/>
    <w:rsid w:val="007F73EC"/>
    <w:rsid w:val="00844BA3"/>
    <w:rsid w:val="0085325A"/>
    <w:rsid w:val="00853ED4"/>
    <w:rsid w:val="00876983"/>
    <w:rsid w:val="00880A10"/>
    <w:rsid w:val="008B4009"/>
    <w:rsid w:val="0095639C"/>
    <w:rsid w:val="009A09FC"/>
    <w:rsid w:val="009B5DE8"/>
    <w:rsid w:val="009C7070"/>
    <w:rsid w:val="009D5B38"/>
    <w:rsid w:val="009E53A8"/>
    <w:rsid w:val="00A83382"/>
    <w:rsid w:val="00A93B2B"/>
    <w:rsid w:val="00A94C32"/>
    <w:rsid w:val="00B6781D"/>
    <w:rsid w:val="00B93085"/>
    <w:rsid w:val="00BD1EBF"/>
    <w:rsid w:val="00BE5CB5"/>
    <w:rsid w:val="00C10318"/>
    <w:rsid w:val="00C36630"/>
    <w:rsid w:val="00C47800"/>
    <w:rsid w:val="00C605BC"/>
    <w:rsid w:val="00C81331"/>
    <w:rsid w:val="00CB11B9"/>
    <w:rsid w:val="00CC02C5"/>
    <w:rsid w:val="00CD0FA5"/>
    <w:rsid w:val="00D05FC1"/>
    <w:rsid w:val="00D1126F"/>
    <w:rsid w:val="00D12B64"/>
    <w:rsid w:val="00D467E7"/>
    <w:rsid w:val="00D97694"/>
    <w:rsid w:val="00DD2B02"/>
    <w:rsid w:val="00DD769F"/>
    <w:rsid w:val="00DD7F2B"/>
    <w:rsid w:val="00DF2031"/>
    <w:rsid w:val="00E14C08"/>
    <w:rsid w:val="00E260DC"/>
    <w:rsid w:val="00E263C9"/>
    <w:rsid w:val="00E84766"/>
    <w:rsid w:val="00EC7BDF"/>
    <w:rsid w:val="00ED0614"/>
    <w:rsid w:val="00F03FC2"/>
    <w:rsid w:val="00F06A73"/>
    <w:rsid w:val="00F2215F"/>
    <w:rsid w:val="00F554F1"/>
    <w:rsid w:val="00F72EFE"/>
    <w:rsid w:val="00FD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bi.org/isc/datasheet/7927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iculture.gov.au/pests-diseases-weeds/aquat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AH@agriculture.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fas.co.uk/international-database-on-aquatic-animal-diseases/disease-data/?id=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55987-58F1-44B9-BA7C-2FCFF788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8</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Infectious pancreatic necrosis (IPN)</vt:lpstr>
    </vt:vector>
  </TitlesOfParts>
  <Company>Department of Agriculture Fisheries &amp; Forestry</Company>
  <LinksUpToDate>false</LinksUpToDate>
  <CharactersWithSpaces>7623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Infectious pancreatic necrosis (IPN)</dc:title>
  <dc:creator>Department of Agriculture</dc:creator>
  <cp:lastModifiedBy>Caldwell, Louise</cp:lastModifiedBy>
  <cp:revision>10</cp:revision>
  <cp:lastPrinted>2020-03-11T06:09:00Z</cp:lastPrinted>
  <dcterms:created xsi:type="dcterms:W3CDTF">2019-09-06T05:24:00Z</dcterms:created>
  <dcterms:modified xsi:type="dcterms:W3CDTF">2020-03-11T06:09:00Z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