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9985CC4" w14:textId="77777777" w:rsidR="00BE72CD" w:rsidRDefault="00BE72CD" w:rsidP="00BE72CD">
      <w:pPr>
        <w:rPr>
          <w:lang w:eastAsia="ja-JP"/>
        </w:rPr>
      </w:pPr>
    </w:p>
    <w:p w14:paraId="052B9802" w14:textId="200DEC6B" w:rsidR="00BE72CD" w:rsidRPr="00043236" w:rsidRDefault="00BE72CD" w:rsidP="00BE72CD">
      <w:pPr>
        <w:jc w:val="right"/>
      </w:pPr>
      <w:r>
        <w:t xml:space="preserve"> </w:t>
      </w:r>
      <w:r w:rsidRPr="00043236">
        <w:t xml:space="preserve"> </w:t>
      </w:r>
      <w:r w:rsidR="0021411A">
        <w:t>21 February</w:t>
      </w:r>
      <w:r w:rsidR="00464D35" w:rsidRPr="0021411A">
        <w:t xml:space="preserve"> </w:t>
      </w:r>
      <w:r w:rsidR="009A2896" w:rsidRPr="0021411A">
        <w:t>202</w:t>
      </w:r>
      <w:r w:rsidR="007319DF" w:rsidRPr="0021411A">
        <w:t>2</w:t>
      </w:r>
    </w:p>
    <w:p w14:paraId="74733F2B" w14:textId="6A6D1279" w:rsidR="00BE72CD" w:rsidRPr="00B24169" w:rsidRDefault="00BE72CD" w:rsidP="008F2912">
      <w:pPr>
        <w:rPr>
          <w:b/>
          <w:sz w:val="24"/>
        </w:rPr>
      </w:pPr>
      <w:r w:rsidRPr="00B24169">
        <w:rPr>
          <w:b/>
          <w:sz w:val="24"/>
        </w:rPr>
        <w:t>A</w:t>
      </w:r>
      <w:r>
        <w:rPr>
          <w:b/>
          <w:sz w:val="24"/>
        </w:rPr>
        <w:t>NNOUNCEMENT INFORMATION PAPER</w:t>
      </w:r>
      <w:r w:rsidRPr="00B24169">
        <w:rPr>
          <w:b/>
          <w:sz w:val="24"/>
        </w:rPr>
        <w:t xml:space="preserve"> – </w:t>
      </w:r>
      <w:r w:rsidRPr="005A2082">
        <w:rPr>
          <w:b/>
          <w:caps/>
          <w:sz w:val="24"/>
        </w:rPr>
        <w:t xml:space="preserve">Commencement of a review of biosecurity import requirements </w:t>
      </w:r>
      <w:r>
        <w:rPr>
          <w:b/>
          <w:caps/>
          <w:sz w:val="24"/>
        </w:rPr>
        <w:t>FOR</w:t>
      </w:r>
      <w:r w:rsidRPr="00ED3FDA">
        <w:rPr>
          <w:b/>
          <w:caps/>
          <w:sz w:val="24"/>
        </w:rPr>
        <w:t xml:space="preserve"> </w:t>
      </w:r>
      <w:r>
        <w:rPr>
          <w:b/>
          <w:caps/>
          <w:sz w:val="24"/>
        </w:rPr>
        <w:t xml:space="preserve">fresh </w:t>
      </w:r>
      <w:r w:rsidR="00464D35">
        <w:rPr>
          <w:b/>
          <w:caps/>
          <w:sz w:val="24"/>
        </w:rPr>
        <w:t>dragon</w:t>
      </w:r>
      <w:r w:rsidRPr="00ED3FDA">
        <w:rPr>
          <w:b/>
          <w:caps/>
          <w:sz w:val="24"/>
        </w:rPr>
        <w:t xml:space="preserve"> FRUIT</w:t>
      </w:r>
      <w:r>
        <w:rPr>
          <w:b/>
          <w:caps/>
          <w:sz w:val="24"/>
        </w:rPr>
        <w:t xml:space="preserve"> </w:t>
      </w:r>
      <w:r w:rsidRPr="00ED3FDA">
        <w:rPr>
          <w:b/>
          <w:caps/>
          <w:sz w:val="24"/>
        </w:rPr>
        <w:t xml:space="preserve">FROM </w:t>
      </w:r>
      <w:r w:rsidR="00464D35">
        <w:rPr>
          <w:b/>
          <w:caps/>
          <w:sz w:val="24"/>
        </w:rPr>
        <w:t>the philippines</w:t>
      </w:r>
    </w:p>
    <w:p w14:paraId="044B488A" w14:textId="2FC3C18D" w:rsidR="00BE72CD" w:rsidRPr="0028331B" w:rsidRDefault="00BE72CD" w:rsidP="008F2912">
      <w:pPr>
        <w:spacing w:after="200"/>
      </w:pPr>
      <w:r w:rsidRPr="00190B9C">
        <w:rPr>
          <w:rFonts w:ascii="Calibri" w:eastAsia="Calibri" w:hAnsi="Calibri"/>
          <w:bCs/>
        </w:rPr>
        <w:t xml:space="preserve">The commencement of this </w:t>
      </w:r>
      <w:r>
        <w:rPr>
          <w:rFonts w:ascii="Calibri" w:eastAsia="Calibri" w:hAnsi="Calibri"/>
          <w:bCs/>
        </w:rPr>
        <w:t>risk analysis</w:t>
      </w:r>
      <w:r w:rsidRPr="00190B9C">
        <w:rPr>
          <w:rFonts w:ascii="Calibri" w:eastAsia="Calibri" w:hAnsi="Calibri"/>
          <w:bCs/>
        </w:rPr>
        <w:t xml:space="preserve"> is in response to </w:t>
      </w:r>
      <w:r>
        <w:rPr>
          <w:rFonts w:ascii="Calibri" w:eastAsia="Calibri" w:hAnsi="Calibri"/>
          <w:bCs/>
        </w:rPr>
        <w:t>a market access request for</w:t>
      </w:r>
      <w:r w:rsidRPr="00ED3FDA">
        <w:rPr>
          <w:rFonts w:ascii="Calibri" w:eastAsia="Calibri" w:hAnsi="Calibri"/>
          <w:bCs/>
        </w:rPr>
        <w:t xml:space="preserve"> </w:t>
      </w:r>
      <w:r>
        <w:rPr>
          <w:rFonts w:ascii="Calibri" w:eastAsia="Calibri" w:hAnsi="Calibri"/>
          <w:bCs/>
        </w:rPr>
        <w:t xml:space="preserve">fresh </w:t>
      </w:r>
      <w:r w:rsidR="00464D35">
        <w:t>dragon fruit</w:t>
      </w:r>
      <w:r>
        <w:rPr>
          <w:rFonts w:ascii="Calibri" w:eastAsia="Calibri" w:hAnsi="Calibri"/>
          <w:bCs/>
        </w:rPr>
        <w:t xml:space="preserve"> from </w:t>
      </w:r>
      <w:r w:rsidR="00620514">
        <w:rPr>
          <w:rFonts w:ascii="Calibri" w:eastAsia="Calibri" w:hAnsi="Calibri"/>
          <w:bCs/>
        </w:rPr>
        <w:t>the Philippines</w:t>
      </w:r>
      <w:r w:rsidRPr="00190B9C">
        <w:rPr>
          <w:rFonts w:ascii="Calibri" w:eastAsia="Calibri" w:hAnsi="Calibri"/>
          <w:bCs/>
        </w:rPr>
        <w:t>.</w:t>
      </w:r>
    </w:p>
    <w:p w14:paraId="572A899C" w14:textId="02E505E3" w:rsidR="00BE72CD" w:rsidRDefault="00BE72CD" w:rsidP="008F2912">
      <w:r>
        <w:t>There are two types of risk analyses used by the department:</w:t>
      </w:r>
    </w:p>
    <w:p w14:paraId="15EDF759" w14:textId="10C1CFFA" w:rsidR="00BE72CD" w:rsidRDefault="00BE72CD" w:rsidP="008F2912">
      <w:pPr>
        <w:pStyle w:val="ListParagraph"/>
        <w:numPr>
          <w:ilvl w:val="0"/>
          <w:numId w:val="19"/>
        </w:numPr>
        <w:spacing w:after="160" w:line="259" w:lineRule="auto"/>
        <w:ind w:left="714" w:hanging="357"/>
      </w:pPr>
      <w:r>
        <w:t xml:space="preserve">a Biosecurity Import Risk Analysis (BIRA) which is conducted through a regulated process provided for in the </w:t>
      </w:r>
      <w:hyperlink r:id="rId8" w:history="1">
        <w:r w:rsidRPr="00B020DC">
          <w:rPr>
            <w:rStyle w:val="Hyperlink"/>
            <w:i/>
          </w:rPr>
          <w:t>Biosecurity Act 2015</w:t>
        </w:r>
      </w:hyperlink>
      <w:r>
        <w:t xml:space="preserve"> and the </w:t>
      </w:r>
      <w:hyperlink r:id="rId9" w:history="1">
        <w:r w:rsidRPr="002415E6">
          <w:rPr>
            <w:rStyle w:val="Hyperlink"/>
            <w:i/>
          </w:rPr>
          <w:t>Biosecurity Regulation 2016</w:t>
        </w:r>
      </w:hyperlink>
    </w:p>
    <w:p w14:paraId="6536C45B" w14:textId="16DF6EB3" w:rsidR="00BE72CD" w:rsidRPr="00B020DC" w:rsidRDefault="00BE72CD" w:rsidP="008F2912">
      <w:pPr>
        <w:pStyle w:val="ListParagraph"/>
        <w:numPr>
          <w:ilvl w:val="0"/>
          <w:numId w:val="19"/>
        </w:numPr>
        <w:spacing w:after="160" w:line="259" w:lineRule="auto"/>
        <w:contextualSpacing/>
      </w:pPr>
      <w:r w:rsidRPr="00B020DC">
        <w:t>a review of biosecurity import requirements</w:t>
      </w:r>
      <w:r w:rsidR="002A2CF0">
        <w:t xml:space="preserve"> for the purposes of Section 174 of the Biosecurity Act</w:t>
      </w:r>
      <w:r w:rsidRPr="00B020DC">
        <w:t>.</w:t>
      </w:r>
    </w:p>
    <w:p w14:paraId="43313900" w14:textId="513375F3" w:rsidR="009A2896" w:rsidRDefault="009A2896" w:rsidP="008F2912">
      <w:pPr>
        <w:spacing w:before="120" w:after="120"/>
        <w:rPr>
          <w:rFonts w:ascii="Calibri" w:eastAsia="Calibri" w:hAnsi="Calibri"/>
          <w:bCs/>
        </w:rPr>
      </w:pPr>
      <w:bookmarkStart w:id="0" w:name="_Hlk59452634"/>
      <w:r>
        <w:rPr>
          <w:rFonts w:ascii="Calibri" w:eastAsia="Calibri" w:hAnsi="Calibri"/>
        </w:rPr>
        <w:t xml:space="preserve">A preliminary assessment of the pests associated with </w:t>
      </w:r>
      <w:r w:rsidR="00464D35">
        <w:rPr>
          <w:rFonts w:ascii="Calibri" w:eastAsia="Calibri" w:hAnsi="Calibri"/>
        </w:rPr>
        <w:t>dragon fruit</w:t>
      </w:r>
      <w:r>
        <w:rPr>
          <w:rFonts w:ascii="Calibri" w:eastAsia="Calibri" w:hAnsi="Calibri"/>
        </w:rPr>
        <w:t xml:space="preserve"> from </w:t>
      </w:r>
      <w:r w:rsidR="00620514">
        <w:rPr>
          <w:rFonts w:ascii="Calibri" w:eastAsia="Calibri" w:hAnsi="Calibri"/>
        </w:rPr>
        <w:t>the Philippines</w:t>
      </w:r>
      <w:r>
        <w:rPr>
          <w:rFonts w:ascii="Calibri" w:eastAsia="Calibri" w:hAnsi="Calibri"/>
        </w:rPr>
        <w:t xml:space="preserve"> has identified that the potential pests of biosecurity concern are the same as, or </w:t>
      </w:r>
      <w:r w:rsidR="007B4521">
        <w:rPr>
          <w:rFonts w:ascii="Calibri" w:eastAsia="Calibri" w:hAnsi="Calibri"/>
        </w:rPr>
        <w:t xml:space="preserve">of the same pest groups, as those </w:t>
      </w:r>
      <w:r>
        <w:rPr>
          <w:rFonts w:ascii="Calibri" w:eastAsia="Calibri" w:hAnsi="Calibri"/>
        </w:rPr>
        <w:t xml:space="preserve">pests that have been assessed previously by Australia </w:t>
      </w:r>
      <w:r w:rsidR="0078290B" w:rsidRPr="00855178">
        <w:t xml:space="preserve">on </w:t>
      </w:r>
      <w:r w:rsidR="0078290B">
        <w:t>dragon fruit from Indonesia and Vietnam, and/or other horticultural commodities from various countries</w:t>
      </w:r>
      <w:r>
        <w:rPr>
          <w:rFonts w:ascii="Calibri" w:eastAsia="Calibri" w:hAnsi="Calibri"/>
        </w:rPr>
        <w:t xml:space="preserve">, and </w:t>
      </w:r>
      <w:r w:rsidR="007B4521">
        <w:rPr>
          <w:rFonts w:ascii="Calibri" w:eastAsia="Calibri" w:hAnsi="Calibri"/>
        </w:rPr>
        <w:t>are</w:t>
      </w:r>
      <w:r w:rsidR="006742A4">
        <w:rPr>
          <w:rFonts w:ascii="Calibri" w:eastAsia="Calibri" w:hAnsi="Calibri"/>
        </w:rPr>
        <w:t xml:space="preserve"> not</w:t>
      </w:r>
      <w:r w:rsidR="007B4521">
        <w:rPr>
          <w:rFonts w:ascii="Calibri" w:eastAsia="Calibri" w:hAnsi="Calibri"/>
        </w:rPr>
        <w:t xml:space="preserve"> expected to </w:t>
      </w:r>
      <w:r>
        <w:rPr>
          <w:rFonts w:ascii="Calibri" w:eastAsia="Calibri" w:hAnsi="Calibri"/>
        </w:rPr>
        <w:t xml:space="preserve">pose </w:t>
      </w:r>
      <w:r w:rsidR="000016C2">
        <w:rPr>
          <w:rFonts w:ascii="Calibri" w:eastAsia="Calibri" w:hAnsi="Calibri"/>
        </w:rPr>
        <w:t xml:space="preserve">significantly </w:t>
      </w:r>
      <w:r>
        <w:rPr>
          <w:rFonts w:ascii="Calibri" w:eastAsia="Calibri" w:hAnsi="Calibri"/>
        </w:rPr>
        <w:t>different biosecurity risks. These pests include</w:t>
      </w:r>
      <w:r w:rsidRPr="00D35C12">
        <w:t xml:space="preserve"> </w:t>
      </w:r>
      <w:r w:rsidRPr="00D35C12">
        <w:rPr>
          <w:rFonts w:ascii="Calibri" w:eastAsia="Calibri" w:hAnsi="Calibri"/>
        </w:rPr>
        <w:t xml:space="preserve">fruit flies, </w:t>
      </w:r>
      <w:proofErr w:type="gramStart"/>
      <w:r w:rsidRPr="00D35C12">
        <w:rPr>
          <w:rFonts w:ascii="Calibri" w:eastAsia="Calibri" w:hAnsi="Calibri"/>
        </w:rPr>
        <w:t>thrips</w:t>
      </w:r>
      <w:proofErr w:type="gramEnd"/>
      <w:r w:rsidR="00464D35">
        <w:rPr>
          <w:rFonts w:ascii="Calibri" w:eastAsia="Calibri" w:hAnsi="Calibri"/>
        </w:rPr>
        <w:t xml:space="preserve"> and</w:t>
      </w:r>
      <w:r w:rsidRPr="00D35C12">
        <w:rPr>
          <w:rFonts w:ascii="Calibri" w:eastAsia="Calibri" w:hAnsi="Calibri"/>
        </w:rPr>
        <w:t xml:space="preserve"> mealybug</w:t>
      </w:r>
      <w:r>
        <w:rPr>
          <w:rFonts w:ascii="Calibri" w:eastAsia="Calibri" w:hAnsi="Calibri"/>
        </w:rPr>
        <w:t>s.</w:t>
      </w:r>
      <w:r w:rsidR="007B4521">
        <w:rPr>
          <w:rFonts w:ascii="Calibri" w:eastAsia="Calibri" w:hAnsi="Calibri"/>
        </w:rPr>
        <w:t xml:space="preserve"> </w:t>
      </w:r>
    </w:p>
    <w:p w14:paraId="52648E50" w14:textId="1D806151" w:rsidR="009A2896" w:rsidRPr="00E4739E" w:rsidRDefault="009A2896" w:rsidP="008F2912">
      <w:pPr>
        <w:spacing w:before="120" w:after="120"/>
        <w:rPr>
          <w:rFonts w:ascii="Calibri" w:eastAsia="Calibri" w:hAnsi="Calibri"/>
          <w:bCs/>
        </w:rPr>
      </w:pPr>
      <w:r>
        <w:rPr>
          <w:rFonts w:ascii="Calibri" w:eastAsia="Calibri" w:hAnsi="Calibri"/>
        </w:rPr>
        <w:t xml:space="preserve">Given the similar pests of concern, and that there are appropriate risk management measures already established for these pests or pest groups, the risk analysis for </w:t>
      </w:r>
      <w:r w:rsidR="00464D35">
        <w:rPr>
          <w:rFonts w:ascii="Calibri" w:eastAsia="Calibri" w:hAnsi="Calibri"/>
        </w:rPr>
        <w:t>dragon</w:t>
      </w:r>
      <w:r>
        <w:rPr>
          <w:rFonts w:ascii="Calibri" w:eastAsia="Calibri" w:hAnsi="Calibri"/>
        </w:rPr>
        <w:t xml:space="preserve"> fruit from </w:t>
      </w:r>
      <w:r w:rsidR="00464D35">
        <w:rPr>
          <w:rFonts w:ascii="Calibri" w:eastAsia="Calibri" w:hAnsi="Calibri"/>
        </w:rPr>
        <w:t>the Philippines</w:t>
      </w:r>
      <w:r>
        <w:rPr>
          <w:rFonts w:ascii="Calibri" w:eastAsia="Calibri" w:hAnsi="Calibri"/>
        </w:rPr>
        <w:t xml:space="preserve"> will be progressed as a review of biosecurity import requirements</w:t>
      </w:r>
      <w:r w:rsidR="000F5CD8">
        <w:rPr>
          <w:rFonts w:ascii="Calibri" w:eastAsia="Calibri" w:hAnsi="Calibri"/>
        </w:rPr>
        <w:t xml:space="preserve"> and not a</w:t>
      </w:r>
      <w:r w:rsidR="000E03C4">
        <w:rPr>
          <w:rFonts w:ascii="Calibri" w:eastAsia="Calibri" w:hAnsi="Calibri"/>
        </w:rPr>
        <w:t xml:space="preserve"> BIRA</w:t>
      </w:r>
      <w:r>
        <w:rPr>
          <w:rFonts w:ascii="Calibri" w:eastAsia="Calibri" w:hAnsi="Calibri"/>
        </w:rPr>
        <w:t xml:space="preserve">, consistent with the </w:t>
      </w:r>
      <w:hyperlink r:id="rId10" w:history="1">
        <w:r w:rsidR="000F5CD8" w:rsidRPr="00A10B07">
          <w:rPr>
            <w:rStyle w:val="Hyperlink"/>
            <w:rFonts w:ascii="Calibri" w:eastAsia="Calibri" w:hAnsi="Calibri"/>
            <w:i/>
            <w:iCs/>
          </w:rPr>
          <w:t>Biosecurity Act 2015</w:t>
        </w:r>
      </w:hyperlink>
      <w:r w:rsidR="000F5CD8">
        <w:rPr>
          <w:rFonts w:ascii="Calibri" w:eastAsia="Calibri" w:hAnsi="Calibri"/>
        </w:rPr>
        <w:t xml:space="preserve"> and </w:t>
      </w:r>
      <w:bookmarkEnd w:id="0"/>
      <w:r w:rsidR="00A62DDD">
        <w:fldChar w:fldCharType="begin"/>
      </w:r>
      <w:r w:rsidR="00A62DDD">
        <w:instrText>HYPERLINK "https://www.awe.gov.au/biosecurity-trade/policy/risk-analysis/guidelines"</w:instrText>
      </w:r>
      <w:r w:rsidR="00A62DDD">
        <w:fldChar w:fldCharType="separate"/>
      </w:r>
      <w:r w:rsidR="00A62DDD" w:rsidRPr="00AF0796">
        <w:rPr>
          <w:rStyle w:val="Hyperlink"/>
          <w:rFonts w:ascii="Calibri" w:eastAsia="Calibri" w:hAnsi="Calibri"/>
        </w:rPr>
        <w:t>Biosecurity Import Risk Analysis Guidelines 2016</w:t>
      </w:r>
      <w:r w:rsidR="00A62DDD">
        <w:rPr>
          <w:rStyle w:val="Hyperlink"/>
          <w:rFonts w:ascii="Calibri" w:eastAsia="Calibri" w:hAnsi="Calibri"/>
        </w:rPr>
        <w:fldChar w:fldCharType="end"/>
      </w:r>
      <w:r w:rsidR="00A62DDD">
        <w:rPr>
          <w:rStyle w:val="Hyperlink"/>
          <w:rFonts w:ascii="Calibri" w:eastAsia="Calibri" w:hAnsi="Calibri"/>
        </w:rPr>
        <w:t>.</w:t>
      </w:r>
    </w:p>
    <w:p w14:paraId="70D3EA6D" w14:textId="36E09DF0" w:rsidR="00BE72CD" w:rsidRDefault="00464D35" w:rsidP="008F2912">
      <w:pPr>
        <w:keepNext/>
        <w:rPr>
          <w:rStyle w:val="Strong"/>
        </w:rPr>
      </w:pPr>
      <w:r>
        <w:rPr>
          <w:rStyle w:val="Strong"/>
        </w:rPr>
        <w:t>Dragon fruit</w:t>
      </w:r>
    </w:p>
    <w:p w14:paraId="41E77695" w14:textId="29D636F4" w:rsidR="00DE74B7" w:rsidRDefault="00464D35" w:rsidP="008F2912">
      <w:pPr>
        <w:spacing w:after="200"/>
        <w:rPr>
          <w:rStyle w:val="Strong"/>
          <w:b w:val="0"/>
        </w:rPr>
      </w:pPr>
      <w:r>
        <w:rPr>
          <w:rStyle w:val="Strong"/>
          <w:b w:val="0"/>
        </w:rPr>
        <w:t>Dragon fruit</w:t>
      </w:r>
      <w:r w:rsidR="00CB6497">
        <w:rPr>
          <w:rStyle w:val="Strong"/>
          <w:b w:val="0"/>
        </w:rPr>
        <w:t xml:space="preserve"> </w:t>
      </w:r>
      <w:r w:rsidR="00DE74B7">
        <w:rPr>
          <w:rStyle w:val="Strong"/>
          <w:b w:val="0"/>
        </w:rPr>
        <w:t xml:space="preserve">is a flowering plant in the </w:t>
      </w:r>
      <w:r>
        <w:rPr>
          <w:rStyle w:val="Strong"/>
          <w:b w:val="0"/>
        </w:rPr>
        <w:t>cacti</w:t>
      </w:r>
      <w:r w:rsidR="00DE74B7">
        <w:rPr>
          <w:rStyle w:val="Strong"/>
          <w:b w:val="0"/>
        </w:rPr>
        <w:t xml:space="preserve"> family (</w:t>
      </w:r>
      <w:proofErr w:type="spellStart"/>
      <w:r w:rsidRPr="00464D35">
        <w:rPr>
          <w:rStyle w:val="Strong"/>
          <w:b w:val="0"/>
        </w:rPr>
        <w:t>Cactaceae</w:t>
      </w:r>
      <w:proofErr w:type="spellEnd"/>
      <w:r w:rsidR="00DE74B7">
        <w:rPr>
          <w:rStyle w:val="Strong"/>
          <w:b w:val="0"/>
        </w:rPr>
        <w:t>)</w:t>
      </w:r>
      <w:r w:rsidR="00B8774D">
        <w:rPr>
          <w:rStyle w:val="Strong"/>
          <w:b w:val="0"/>
        </w:rPr>
        <w:t xml:space="preserve">. </w:t>
      </w:r>
      <w:r w:rsidR="00CB6497">
        <w:rPr>
          <w:rStyle w:val="Strong"/>
          <w:b w:val="0"/>
        </w:rPr>
        <w:t xml:space="preserve">Dragon fruit is also referred to as pitaya or pitahaya. In the Philippines, it is locally </w:t>
      </w:r>
      <w:r w:rsidR="00F818A1">
        <w:rPr>
          <w:rStyle w:val="Strong"/>
          <w:b w:val="0"/>
        </w:rPr>
        <w:t>known</w:t>
      </w:r>
      <w:r w:rsidR="00CB6497">
        <w:rPr>
          <w:rStyle w:val="Strong"/>
          <w:b w:val="0"/>
        </w:rPr>
        <w:t xml:space="preserve"> </w:t>
      </w:r>
      <w:r w:rsidR="00F818A1">
        <w:rPr>
          <w:rStyle w:val="Strong"/>
          <w:b w:val="0"/>
        </w:rPr>
        <w:t>a</w:t>
      </w:r>
      <w:r w:rsidR="00CB6497">
        <w:rPr>
          <w:rStyle w:val="Strong"/>
          <w:b w:val="0"/>
        </w:rPr>
        <w:t xml:space="preserve">s </w:t>
      </w:r>
      <w:proofErr w:type="spellStart"/>
      <w:r w:rsidR="00CB6497">
        <w:rPr>
          <w:rStyle w:val="Strong"/>
          <w:b w:val="0"/>
        </w:rPr>
        <w:t>saniata</w:t>
      </w:r>
      <w:proofErr w:type="spellEnd"/>
      <w:r w:rsidR="00CB6497">
        <w:rPr>
          <w:rStyle w:val="Strong"/>
          <w:b w:val="0"/>
        </w:rPr>
        <w:t xml:space="preserve">, which means light and wealth. </w:t>
      </w:r>
      <w:r>
        <w:t xml:space="preserve">The fruit has become popular because of its </w:t>
      </w:r>
      <w:r w:rsidR="00245FDD">
        <w:t>purported</w:t>
      </w:r>
      <w:r>
        <w:t xml:space="preserve"> health benefits </w:t>
      </w:r>
      <w:r w:rsidR="00DE74B7">
        <w:rPr>
          <w:rStyle w:val="Strong"/>
          <w:b w:val="0"/>
        </w:rPr>
        <w:t xml:space="preserve">and is cultivated </w:t>
      </w:r>
      <w:r>
        <w:rPr>
          <w:rStyle w:val="Strong"/>
          <w:b w:val="0"/>
        </w:rPr>
        <w:t>on a commercial scale in many</w:t>
      </w:r>
      <w:r w:rsidR="00DE74B7">
        <w:rPr>
          <w:rStyle w:val="Strong"/>
          <w:b w:val="0"/>
        </w:rPr>
        <w:t xml:space="preserve"> tropical</w:t>
      </w:r>
      <w:r>
        <w:rPr>
          <w:rStyle w:val="Strong"/>
          <w:b w:val="0"/>
        </w:rPr>
        <w:t xml:space="preserve"> </w:t>
      </w:r>
      <w:r w:rsidR="00DE74B7">
        <w:rPr>
          <w:rStyle w:val="Strong"/>
          <w:b w:val="0"/>
        </w:rPr>
        <w:t xml:space="preserve">regions around the world. </w:t>
      </w:r>
    </w:p>
    <w:p w14:paraId="6BE91166" w14:textId="77777777" w:rsidR="003E0E59" w:rsidRPr="00C54E7B" w:rsidRDefault="003E0E59" w:rsidP="008F2912">
      <w:pPr>
        <w:spacing w:after="200"/>
        <w:rPr>
          <w:rStyle w:val="Strong"/>
        </w:rPr>
      </w:pPr>
      <w:r w:rsidRPr="00C54E7B">
        <w:rPr>
          <w:rStyle w:val="Strong"/>
        </w:rPr>
        <w:t xml:space="preserve">Commodity to be assessed </w:t>
      </w:r>
    </w:p>
    <w:p w14:paraId="674D755B" w14:textId="77777777" w:rsidR="003E0E59" w:rsidRPr="00BE72CD" w:rsidRDefault="003E0E59" w:rsidP="008F2912">
      <w:pPr>
        <w:spacing w:after="200"/>
        <w:rPr>
          <w:rStyle w:val="Strong"/>
          <w:b w:val="0"/>
        </w:rPr>
      </w:pPr>
      <w:r w:rsidRPr="00BE72CD">
        <w:rPr>
          <w:rStyle w:val="Strong"/>
          <w:b w:val="0"/>
        </w:rPr>
        <w:t>The risk analysis will cover</w:t>
      </w:r>
      <w:r>
        <w:rPr>
          <w:rStyle w:val="Strong"/>
          <w:b w:val="0"/>
        </w:rPr>
        <w:t xml:space="preserve"> several species/varieties of </w:t>
      </w:r>
      <w:r w:rsidRPr="00BE72CD">
        <w:rPr>
          <w:rStyle w:val="Strong"/>
          <w:b w:val="0"/>
        </w:rPr>
        <w:t xml:space="preserve">fresh </w:t>
      </w:r>
      <w:r>
        <w:rPr>
          <w:rStyle w:val="Strong"/>
          <w:b w:val="0"/>
        </w:rPr>
        <w:t>dragon fruit (</w:t>
      </w:r>
      <w:proofErr w:type="spellStart"/>
      <w:r w:rsidRPr="005717FA">
        <w:rPr>
          <w:rStyle w:val="Strong"/>
          <w:b w:val="0"/>
          <w:i/>
          <w:iCs/>
        </w:rPr>
        <w:t>Selenicereus</w:t>
      </w:r>
      <w:proofErr w:type="spellEnd"/>
      <w:r>
        <w:rPr>
          <w:rStyle w:val="Strong"/>
          <w:b w:val="0"/>
        </w:rPr>
        <w:t xml:space="preserve"> spp.) identified by the Philippines as being commercially produced</w:t>
      </w:r>
      <w:r w:rsidRPr="00BE72CD">
        <w:rPr>
          <w:rStyle w:val="Strong"/>
          <w:b w:val="0"/>
        </w:rPr>
        <w:t xml:space="preserve"> for human consumption. </w:t>
      </w:r>
      <w:r>
        <w:rPr>
          <w:rStyle w:val="Strong"/>
          <w:b w:val="0"/>
        </w:rPr>
        <w:t>All edible dragon fruit were previously classified in the genus</w:t>
      </w:r>
      <w:r w:rsidRPr="00140395">
        <w:rPr>
          <w:rStyle w:val="Strong"/>
          <w:b w:val="0"/>
          <w:i/>
          <w:iCs/>
        </w:rPr>
        <w:t xml:space="preserve"> </w:t>
      </w:r>
      <w:proofErr w:type="spellStart"/>
      <w:proofErr w:type="gramStart"/>
      <w:r w:rsidRPr="00140395">
        <w:rPr>
          <w:rStyle w:val="Strong"/>
          <w:b w:val="0"/>
          <w:i/>
          <w:iCs/>
        </w:rPr>
        <w:t>Hylocer</w:t>
      </w:r>
      <w:r>
        <w:rPr>
          <w:rStyle w:val="Strong"/>
          <w:b w:val="0"/>
          <w:i/>
          <w:iCs/>
        </w:rPr>
        <w:t>eu</w:t>
      </w:r>
      <w:r w:rsidRPr="00140395">
        <w:rPr>
          <w:rStyle w:val="Strong"/>
          <w:b w:val="0"/>
          <w:i/>
          <w:iCs/>
        </w:rPr>
        <w:t>s</w:t>
      </w:r>
      <w:proofErr w:type="spellEnd"/>
      <w:r>
        <w:rPr>
          <w:rStyle w:val="Strong"/>
          <w:b w:val="0"/>
        </w:rPr>
        <w:t>,</w:t>
      </w:r>
      <w:proofErr w:type="gramEnd"/>
      <w:r>
        <w:rPr>
          <w:rStyle w:val="Strong"/>
          <w:b w:val="0"/>
        </w:rPr>
        <w:t xml:space="preserve"> however, recent DNA analysis has revised these species to be part of the broader flowering cacti </w:t>
      </w:r>
      <w:proofErr w:type="spellStart"/>
      <w:r w:rsidRPr="00140395">
        <w:rPr>
          <w:rStyle w:val="Strong"/>
          <w:b w:val="0"/>
          <w:i/>
          <w:iCs/>
        </w:rPr>
        <w:t>Selenicereus</w:t>
      </w:r>
      <w:proofErr w:type="spellEnd"/>
      <w:r>
        <w:rPr>
          <w:rStyle w:val="Strong"/>
          <w:b w:val="0"/>
        </w:rPr>
        <w:t xml:space="preserve"> genus.</w:t>
      </w:r>
    </w:p>
    <w:p w14:paraId="219C1547" w14:textId="77777777" w:rsidR="003E0E59" w:rsidRDefault="003E0E59" w:rsidP="008F2912">
      <w:pPr>
        <w:spacing w:after="200"/>
      </w:pPr>
      <w:r>
        <w:t>Different dragon</w:t>
      </w:r>
      <w:r w:rsidRPr="00000B62">
        <w:t xml:space="preserve"> fruit </w:t>
      </w:r>
      <w:r>
        <w:t xml:space="preserve">varieties vary in skin and flesh colour. The three species most commonly cultivated are </w:t>
      </w:r>
      <w:proofErr w:type="spellStart"/>
      <w:r>
        <w:rPr>
          <w:i/>
          <w:iCs/>
        </w:rPr>
        <w:t>Selenicereus</w:t>
      </w:r>
      <w:proofErr w:type="spellEnd"/>
      <w:r>
        <w:rPr>
          <w:i/>
          <w:iCs/>
        </w:rPr>
        <w:t xml:space="preserve"> </w:t>
      </w:r>
      <w:proofErr w:type="spellStart"/>
      <w:r>
        <w:rPr>
          <w:i/>
          <w:iCs/>
        </w:rPr>
        <w:t>undatus</w:t>
      </w:r>
      <w:proofErr w:type="spellEnd"/>
      <w:r>
        <w:rPr>
          <w:i/>
          <w:iCs/>
        </w:rPr>
        <w:t xml:space="preserve"> </w:t>
      </w:r>
      <w:r>
        <w:t xml:space="preserve">(red skin and white flesh), </w:t>
      </w:r>
      <w:proofErr w:type="spellStart"/>
      <w:r>
        <w:rPr>
          <w:i/>
          <w:iCs/>
        </w:rPr>
        <w:t>Selenicereus</w:t>
      </w:r>
      <w:proofErr w:type="spellEnd"/>
      <w:r>
        <w:rPr>
          <w:i/>
          <w:iCs/>
        </w:rPr>
        <w:t xml:space="preserve"> </w:t>
      </w:r>
      <w:proofErr w:type="spellStart"/>
      <w:r>
        <w:rPr>
          <w:i/>
          <w:iCs/>
        </w:rPr>
        <w:t>costaricensis</w:t>
      </w:r>
      <w:proofErr w:type="spellEnd"/>
      <w:r>
        <w:rPr>
          <w:i/>
          <w:iCs/>
        </w:rPr>
        <w:t xml:space="preserve"> </w:t>
      </w:r>
      <w:r>
        <w:t xml:space="preserve">(red skin and red flesh) and </w:t>
      </w:r>
      <w:proofErr w:type="spellStart"/>
      <w:r>
        <w:rPr>
          <w:i/>
          <w:iCs/>
        </w:rPr>
        <w:t>Selenicereus</w:t>
      </w:r>
      <w:proofErr w:type="spellEnd"/>
      <w:r>
        <w:rPr>
          <w:i/>
          <w:iCs/>
        </w:rPr>
        <w:t xml:space="preserve"> </w:t>
      </w:r>
      <w:proofErr w:type="spellStart"/>
      <w:r>
        <w:rPr>
          <w:i/>
          <w:iCs/>
        </w:rPr>
        <w:t>megalanthus</w:t>
      </w:r>
      <w:proofErr w:type="spellEnd"/>
      <w:r>
        <w:rPr>
          <w:i/>
          <w:iCs/>
        </w:rPr>
        <w:t xml:space="preserve"> </w:t>
      </w:r>
      <w:r>
        <w:t>(yellow skin and white flesh)</w:t>
      </w:r>
      <w:r w:rsidRPr="00000B62">
        <w:t xml:space="preserve">. </w:t>
      </w:r>
      <w:r>
        <w:t xml:space="preserve">The fruits can be eaten raw or processed for use in ice cream, wine, confectionary, beverages, cosmetics or used in various recipes. </w:t>
      </w:r>
    </w:p>
    <w:p w14:paraId="21640B36" w14:textId="77777777" w:rsidR="009D29C3" w:rsidRDefault="009D29C3" w:rsidP="008F2912">
      <w:pPr>
        <w:spacing w:after="200"/>
        <w:rPr>
          <w:rStyle w:val="Strong"/>
          <w:b w:val="0"/>
        </w:rPr>
      </w:pPr>
    </w:p>
    <w:p w14:paraId="46163029" w14:textId="65826504" w:rsidR="00E012A3" w:rsidRPr="003B1F8A" w:rsidRDefault="009D29C3" w:rsidP="008F2912">
      <w:pPr>
        <w:spacing w:after="200"/>
        <w:rPr>
          <w:bCs/>
          <w:noProof/>
        </w:rPr>
      </w:pPr>
      <w:r w:rsidRPr="003B1F8A">
        <w:rPr>
          <w:bCs/>
          <w:noProof/>
          <w:sz w:val="24"/>
          <w:szCs w:val="24"/>
        </w:rPr>
        <w:lastRenderedPageBreak/>
        <w:drawing>
          <wp:anchor distT="0" distB="0" distL="114300" distR="114300" simplePos="0" relativeHeight="251658240" behindDoc="1" locked="0" layoutInCell="1" allowOverlap="1" wp14:anchorId="2A828801" wp14:editId="1FA7DE77">
            <wp:simplePos x="0" y="0"/>
            <wp:positionH relativeFrom="column">
              <wp:posOffset>-584735</wp:posOffset>
            </wp:positionH>
            <wp:positionV relativeFrom="paragraph">
              <wp:posOffset>278130</wp:posOffset>
            </wp:positionV>
            <wp:extent cx="3513221" cy="2869037"/>
            <wp:effectExtent l="0" t="0" r="0" b="7620"/>
            <wp:wrapTight wrapText="bothSides">
              <wp:wrapPolygon edited="0">
                <wp:start x="0" y="0"/>
                <wp:lineTo x="0" y="21514"/>
                <wp:lineTo x="21436" y="21514"/>
                <wp:lineTo x="21436" y="0"/>
                <wp:lineTo x="0" y="0"/>
              </wp:wrapPolygon>
            </wp:wrapTight>
            <wp:docPr id="1" name="Picture 1" descr="A close-up of some fru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some frui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13221" cy="2869037"/>
                    </a:xfrm>
                    <a:prstGeom prst="rect">
                      <a:avLst/>
                    </a:prstGeom>
                  </pic:spPr>
                </pic:pic>
              </a:graphicData>
            </a:graphic>
            <wp14:sizeRelH relativeFrom="margin">
              <wp14:pctWidth>0</wp14:pctWidth>
            </wp14:sizeRelH>
            <wp14:sizeRelV relativeFrom="margin">
              <wp14:pctHeight>0</wp14:pctHeight>
            </wp14:sizeRelV>
          </wp:anchor>
        </w:drawing>
      </w:r>
      <w:r w:rsidR="00140395" w:rsidRPr="003B1F8A">
        <w:rPr>
          <w:b/>
          <w:noProof/>
        </w:rPr>
        <w:t>Figure 1:</w:t>
      </w:r>
      <w:r w:rsidR="00140395" w:rsidRPr="003B1F8A">
        <w:rPr>
          <w:bCs/>
          <w:noProof/>
        </w:rPr>
        <w:t xml:space="preserve"> Cross-section</w:t>
      </w:r>
      <w:r w:rsidRPr="003B1F8A">
        <w:rPr>
          <w:bCs/>
          <w:noProof/>
        </w:rPr>
        <w:t>s</w:t>
      </w:r>
      <w:r w:rsidR="00140395" w:rsidRPr="003B1F8A">
        <w:rPr>
          <w:bCs/>
          <w:noProof/>
        </w:rPr>
        <w:t xml:space="preserve"> of dragon fruit</w:t>
      </w:r>
      <w:r w:rsidR="00381803" w:rsidRPr="003B1F8A">
        <w:rPr>
          <w:bCs/>
          <w:noProof/>
        </w:rPr>
        <w:t xml:space="preserve"> varieties</w:t>
      </w:r>
    </w:p>
    <w:p w14:paraId="3A9CD1BF" w14:textId="318B2F4C" w:rsidR="009D29C3" w:rsidRDefault="009D29C3" w:rsidP="008F2912">
      <w:pPr>
        <w:spacing w:after="200"/>
        <w:rPr>
          <w:rStyle w:val="Strong"/>
          <w:b w:val="0"/>
          <w:sz w:val="16"/>
          <w:szCs w:val="16"/>
        </w:rPr>
      </w:pPr>
    </w:p>
    <w:p w14:paraId="5C4A2813" w14:textId="43A23ED7" w:rsidR="009D29C3" w:rsidRDefault="009D29C3" w:rsidP="008F2912">
      <w:pPr>
        <w:spacing w:after="200"/>
        <w:rPr>
          <w:rStyle w:val="Strong"/>
          <w:b w:val="0"/>
          <w:sz w:val="16"/>
          <w:szCs w:val="16"/>
        </w:rPr>
      </w:pPr>
      <w:r>
        <w:rPr>
          <w:bCs/>
          <w:noProof/>
          <w:sz w:val="16"/>
          <w:szCs w:val="16"/>
        </w:rPr>
        <w:drawing>
          <wp:anchor distT="0" distB="0" distL="114300" distR="114300" simplePos="0" relativeHeight="251659264" behindDoc="1" locked="0" layoutInCell="1" allowOverlap="1" wp14:anchorId="318C1889" wp14:editId="2451635E">
            <wp:simplePos x="0" y="0"/>
            <wp:positionH relativeFrom="page">
              <wp:posOffset>3966444</wp:posOffset>
            </wp:positionH>
            <wp:positionV relativeFrom="paragraph">
              <wp:posOffset>121786</wp:posOffset>
            </wp:positionV>
            <wp:extent cx="3344091" cy="2223298"/>
            <wp:effectExtent l="0" t="0" r="8890" b="5715"/>
            <wp:wrapTight wrapText="bothSides">
              <wp:wrapPolygon edited="0">
                <wp:start x="0" y="0"/>
                <wp:lineTo x="0" y="21470"/>
                <wp:lineTo x="21534" y="21470"/>
                <wp:lineTo x="21534" y="0"/>
                <wp:lineTo x="0" y="0"/>
              </wp:wrapPolygon>
            </wp:wrapTight>
            <wp:docPr id="6" name="Picture 6" descr="A plate of fru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late of fruit&#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44091" cy="2223298"/>
                    </a:xfrm>
                    <a:prstGeom prst="rect">
                      <a:avLst/>
                    </a:prstGeom>
                  </pic:spPr>
                </pic:pic>
              </a:graphicData>
            </a:graphic>
          </wp:anchor>
        </w:drawing>
      </w:r>
    </w:p>
    <w:p w14:paraId="6A9B696A" w14:textId="7137D61B" w:rsidR="00425385" w:rsidRDefault="00425385" w:rsidP="008F2912">
      <w:pPr>
        <w:spacing w:after="200"/>
        <w:rPr>
          <w:rStyle w:val="Strong"/>
          <w:b w:val="0"/>
          <w:sz w:val="16"/>
          <w:szCs w:val="16"/>
        </w:rPr>
      </w:pPr>
      <w:r>
        <w:rPr>
          <w:rStyle w:val="Strong"/>
          <w:b w:val="0"/>
          <w:sz w:val="16"/>
          <w:szCs w:val="16"/>
        </w:rPr>
        <w:t>Source: wikipedia.org</w:t>
      </w:r>
    </w:p>
    <w:p w14:paraId="061DC226" w14:textId="77777777" w:rsidR="00F93737" w:rsidRDefault="00F93737" w:rsidP="008F2912">
      <w:pPr>
        <w:spacing w:after="200"/>
        <w:rPr>
          <w:rStyle w:val="Strong"/>
          <w:b w:val="0"/>
          <w:sz w:val="16"/>
          <w:szCs w:val="16"/>
        </w:rPr>
      </w:pPr>
    </w:p>
    <w:p w14:paraId="61FACBF5" w14:textId="41568F49" w:rsidR="00BE72CD" w:rsidRPr="00432EB0" w:rsidRDefault="00911DA9" w:rsidP="008F2912">
      <w:pPr>
        <w:keepNext/>
        <w:rPr>
          <w:rStyle w:val="Strong"/>
        </w:rPr>
      </w:pPr>
      <w:r>
        <w:rPr>
          <w:rStyle w:val="Strong"/>
        </w:rPr>
        <w:t>Dragon fruit</w:t>
      </w:r>
      <w:r w:rsidR="00BE72CD">
        <w:rPr>
          <w:rStyle w:val="Strong"/>
        </w:rPr>
        <w:t xml:space="preserve"> industry</w:t>
      </w:r>
      <w:r w:rsidR="00BE72CD" w:rsidRPr="00432EB0">
        <w:rPr>
          <w:rStyle w:val="Strong"/>
        </w:rPr>
        <w:t xml:space="preserve"> in </w:t>
      </w:r>
      <w:r w:rsidR="00CE2507">
        <w:rPr>
          <w:rStyle w:val="Strong"/>
        </w:rPr>
        <w:t>the Philippines</w:t>
      </w:r>
    </w:p>
    <w:p w14:paraId="18C3CE66" w14:textId="74D434A2" w:rsidR="00CE2507" w:rsidRDefault="00CE2507" w:rsidP="008F2912">
      <w:pPr>
        <w:pStyle w:val="ListNumber"/>
        <w:numPr>
          <w:ilvl w:val="0"/>
          <w:numId w:val="0"/>
        </w:numPr>
        <w:spacing w:after="200"/>
      </w:pPr>
      <w:bookmarkStart w:id="1" w:name="_Hlk61443123"/>
      <w:bookmarkStart w:id="2" w:name="_Ref492995990"/>
      <w:bookmarkStart w:id="3" w:name="_Toc492913596"/>
      <w:r>
        <w:t xml:space="preserve">The Philippines’ dragon fruit industry is a growing industry, </w:t>
      </w:r>
      <w:r w:rsidR="00245FDD">
        <w:t xml:space="preserve">with production </w:t>
      </w:r>
      <w:r>
        <w:t>increasing from 256 to 1462 tonnes between 2012 and 2017.</w:t>
      </w:r>
      <w:r w:rsidR="00EE465F">
        <w:t xml:space="preserve"> The number of commercial growers across the Philippines is gradually increasing. </w:t>
      </w:r>
    </w:p>
    <w:p w14:paraId="2AD1EACF" w14:textId="3278E4A9" w:rsidR="00CE2507" w:rsidRDefault="00CE2507" w:rsidP="008F2912">
      <w:pPr>
        <w:pStyle w:val="ListNumber"/>
        <w:numPr>
          <w:ilvl w:val="0"/>
          <w:numId w:val="0"/>
        </w:numPr>
        <w:spacing w:after="200"/>
      </w:pPr>
      <w:bookmarkStart w:id="4" w:name="_Hlk89252890"/>
      <w:bookmarkEnd w:id="1"/>
      <w:r>
        <w:t xml:space="preserve">The </w:t>
      </w:r>
      <w:r w:rsidRPr="0061190E">
        <w:t>production</w:t>
      </w:r>
      <w:r>
        <w:t xml:space="preserve"> period for dragon fruit is</w:t>
      </w:r>
      <w:r w:rsidRPr="0061190E">
        <w:t xml:space="preserve"> between </w:t>
      </w:r>
      <w:r>
        <w:t>May</w:t>
      </w:r>
      <w:r w:rsidRPr="0061190E">
        <w:t xml:space="preserve"> and </w:t>
      </w:r>
      <w:r w:rsidR="001750E6">
        <w:t xml:space="preserve">October, although it can extend into </w:t>
      </w:r>
      <w:r>
        <w:t>December</w:t>
      </w:r>
      <w:r w:rsidR="001750E6">
        <w:t>.</w:t>
      </w:r>
      <w:r w:rsidR="001750E6" w:rsidRPr="001750E6">
        <w:t xml:space="preserve"> </w:t>
      </w:r>
      <w:r w:rsidR="00AD460D">
        <w:t>The Philippines have indicated that y</w:t>
      </w:r>
      <w:r w:rsidR="001750E6">
        <w:t>ear-round production may also be possible with investment in technology to extend the growing season.</w:t>
      </w:r>
    </w:p>
    <w:bookmarkEnd w:id="4"/>
    <w:p w14:paraId="5229D32D" w14:textId="49A7ABBC" w:rsidR="00CE2507" w:rsidRDefault="0017588C" w:rsidP="008F2912">
      <w:pPr>
        <w:pStyle w:val="ListNumber"/>
        <w:numPr>
          <w:ilvl w:val="0"/>
          <w:numId w:val="0"/>
        </w:numPr>
        <w:spacing w:after="200"/>
      </w:pPr>
      <w:r>
        <w:t>Currently, t</w:t>
      </w:r>
      <w:r w:rsidR="00CE2507">
        <w:t>he Philippines</w:t>
      </w:r>
      <w:r w:rsidR="00CE2507" w:rsidRPr="0061190E">
        <w:t xml:space="preserve"> exports </w:t>
      </w:r>
      <w:r w:rsidR="00CE2507">
        <w:t xml:space="preserve">dragon fruit </w:t>
      </w:r>
      <w:r w:rsidR="00CE2507" w:rsidRPr="0061190E">
        <w:t xml:space="preserve">to </w:t>
      </w:r>
      <w:r w:rsidR="00EE465F">
        <w:t>a small number of</w:t>
      </w:r>
      <w:r w:rsidR="00EE465F" w:rsidRPr="0061190E">
        <w:t xml:space="preserve"> </w:t>
      </w:r>
      <w:r w:rsidR="00CE2507" w:rsidRPr="0061190E">
        <w:t xml:space="preserve">international </w:t>
      </w:r>
      <w:r w:rsidR="00CE2507">
        <w:t>markets</w:t>
      </w:r>
      <w:r w:rsidR="00CB6497">
        <w:t xml:space="preserve">, </w:t>
      </w:r>
      <w:r w:rsidR="00EE465F">
        <w:t xml:space="preserve">with most fruit exported to </w:t>
      </w:r>
      <w:r w:rsidR="00CB6497">
        <w:t>Japan</w:t>
      </w:r>
      <w:r w:rsidR="00CE2507">
        <w:t xml:space="preserve">. </w:t>
      </w:r>
      <w:r w:rsidR="004F653E">
        <w:t>However, there is a focus to expand production with the intention to increase supply to the global market.</w:t>
      </w:r>
    </w:p>
    <w:p w14:paraId="435AB582" w14:textId="40742B81" w:rsidR="00BE72CD" w:rsidRPr="00BE72CD" w:rsidRDefault="00BE72CD" w:rsidP="008F2912">
      <w:pPr>
        <w:pStyle w:val="Caption"/>
        <w:rPr>
          <w:rFonts w:asciiTheme="majorHAnsi" w:hAnsiTheme="majorHAnsi"/>
          <w:sz w:val="22"/>
          <w:szCs w:val="22"/>
        </w:rPr>
      </w:pPr>
      <w:r w:rsidRPr="00BE72CD">
        <w:rPr>
          <w:rFonts w:asciiTheme="majorHAnsi" w:hAnsiTheme="majorHAnsi"/>
          <w:sz w:val="22"/>
          <w:szCs w:val="22"/>
        </w:rPr>
        <w:t>Table</w:t>
      </w:r>
      <w:bookmarkEnd w:id="2"/>
      <w:r w:rsidRPr="00BE72CD">
        <w:rPr>
          <w:rFonts w:asciiTheme="majorHAnsi" w:hAnsiTheme="majorHAnsi"/>
          <w:sz w:val="22"/>
          <w:szCs w:val="22"/>
        </w:rPr>
        <w:t xml:space="preserve"> 1: </w:t>
      </w:r>
      <w:r w:rsidR="00CE2507">
        <w:rPr>
          <w:rFonts w:asciiTheme="majorHAnsi" w:hAnsiTheme="majorHAnsi"/>
          <w:sz w:val="22"/>
          <w:szCs w:val="22"/>
        </w:rPr>
        <w:t xml:space="preserve">Top five dragon fruit </w:t>
      </w:r>
      <w:r w:rsidR="004F653E">
        <w:rPr>
          <w:rFonts w:asciiTheme="majorHAnsi" w:hAnsiTheme="majorHAnsi"/>
          <w:sz w:val="22"/>
          <w:szCs w:val="22"/>
        </w:rPr>
        <w:t xml:space="preserve">production </w:t>
      </w:r>
      <w:r w:rsidR="00CE2507">
        <w:rPr>
          <w:rFonts w:asciiTheme="majorHAnsi" w:hAnsiTheme="majorHAnsi"/>
          <w:sz w:val="22"/>
          <w:szCs w:val="22"/>
        </w:rPr>
        <w:t xml:space="preserve">regions in the Philippines </w:t>
      </w:r>
      <w:bookmarkEnd w:id="3"/>
      <w:r w:rsidR="00AD460D">
        <w:rPr>
          <w:rFonts w:asciiTheme="majorHAnsi" w:hAnsiTheme="majorHAnsi"/>
          <w:sz w:val="22"/>
          <w:szCs w:val="22"/>
        </w:rPr>
        <w:t>(</w:t>
      </w:r>
      <w:r w:rsidR="00CE2507">
        <w:rPr>
          <w:rFonts w:asciiTheme="majorHAnsi" w:hAnsiTheme="majorHAnsi"/>
          <w:sz w:val="22"/>
          <w:szCs w:val="22"/>
        </w:rPr>
        <w:t>2017</w:t>
      </w:r>
      <w:r w:rsidR="00AD460D">
        <w:rPr>
          <w:rFonts w:asciiTheme="majorHAnsi" w:hAnsiTheme="majorHAnsi"/>
          <w:sz w:val="22"/>
          <w:szCs w:val="22"/>
        </w:rPr>
        <w:t>)</w:t>
      </w:r>
    </w:p>
    <w:tbl>
      <w:tblPr>
        <w:tblStyle w:val="TableGrid"/>
        <w:tblW w:w="4241" w:type="pct"/>
        <w:tblBorders>
          <w:left w:val="none" w:sz="0" w:space="0" w:color="auto"/>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3545"/>
        <w:gridCol w:w="4111"/>
      </w:tblGrid>
      <w:tr w:rsidR="00CE2507" w:rsidRPr="00163557" w14:paraId="00B5470B" w14:textId="77777777" w:rsidTr="007B63E0">
        <w:trPr>
          <w:cantSplit/>
          <w:tblHeader/>
        </w:trPr>
        <w:tc>
          <w:tcPr>
            <w:tcW w:w="2315" w:type="pct"/>
          </w:tcPr>
          <w:p w14:paraId="09F223C8" w14:textId="02D61B98" w:rsidR="00CE2507" w:rsidRPr="00163557" w:rsidRDefault="00CE2507" w:rsidP="008F2912">
            <w:pPr>
              <w:pStyle w:val="TableHeading"/>
              <w:rPr>
                <w:sz w:val="22"/>
              </w:rPr>
            </w:pPr>
            <w:r>
              <w:rPr>
                <w:sz w:val="22"/>
              </w:rPr>
              <w:t>Region</w:t>
            </w:r>
          </w:p>
        </w:tc>
        <w:tc>
          <w:tcPr>
            <w:tcW w:w="2685" w:type="pct"/>
          </w:tcPr>
          <w:p w14:paraId="7F371F36" w14:textId="48359124" w:rsidR="00CE2507" w:rsidRPr="00163557" w:rsidRDefault="00CE2507" w:rsidP="008F2912">
            <w:pPr>
              <w:pStyle w:val="TableHeading"/>
              <w:jc w:val="center"/>
              <w:rPr>
                <w:sz w:val="22"/>
              </w:rPr>
            </w:pPr>
            <w:r w:rsidRPr="00163557">
              <w:rPr>
                <w:sz w:val="22"/>
              </w:rPr>
              <w:t>Production</w:t>
            </w:r>
            <w:r>
              <w:rPr>
                <w:sz w:val="22"/>
              </w:rPr>
              <w:t xml:space="preserve"> (tonnes)</w:t>
            </w:r>
          </w:p>
        </w:tc>
      </w:tr>
      <w:tr w:rsidR="00CE2507" w:rsidRPr="00163557" w14:paraId="4E53F54B" w14:textId="77777777" w:rsidTr="007B63E0">
        <w:trPr>
          <w:cantSplit/>
          <w:tblHeader/>
        </w:trPr>
        <w:tc>
          <w:tcPr>
            <w:tcW w:w="2315" w:type="pct"/>
          </w:tcPr>
          <w:p w14:paraId="45731E2E" w14:textId="333BDB4D" w:rsidR="00CE2507" w:rsidRPr="00163557" w:rsidRDefault="00CE2507" w:rsidP="008F2912">
            <w:pPr>
              <w:pStyle w:val="Pa14"/>
              <w:spacing w:line="259" w:lineRule="auto"/>
              <w:rPr>
                <w:rFonts w:asciiTheme="minorHAnsi" w:hAnsiTheme="minorHAnsi" w:cs="Times New Roman"/>
                <w:color w:val="000000"/>
                <w:sz w:val="22"/>
                <w:szCs w:val="22"/>
              </w:rPr>
            </w:pPr>
            <w:proofErr w:type="spellStart"/>
            <w:r>
              <w:rPr>
                <w:rFonts w:asciiTheme="minorHAnsi" w:hAnsiTheme="minorHAnsi" w:cs="Times New Roman"/>
                <w:color w:val="000000"/>
                <w:sz w:val="22"/>
                <w:szCs w:val="22"/>
              </w:rPr>
              <w:t>Ilocos</w:t>
            </w:r>
            <w:proofErr w:type="spellEnd"/>
            <w:r>
              <w:rPr>
                <w:rFonts w:asciiTheme="minorHAnsi" w:hAnsiTheme="minorHAnsi" w:cs="Times New Roman"/>
                <w:color w:val="000000"/>
                <w:sz w:val="22"/>
                <w:szCs w:val="22"/>
              </w:rPr>
              <w:t xml:space="preserve"> </w:t>
            </w:r>
          </w:p>
        </w:tc>
        <w:tc>
          <w:tcPr>
            <w:tcW w:w="2685" w:type="pct"/>
          </w:tcPr>
          <w:p w14:paraId="4355D187" w14:textId="7ACCC978" w:rsidR="00CE2507" w:rsidRPr="00163557" w:rsidRDefault="00CE2507" w:rsidP="008F2912">
            <w:pPr>
              <w:pStyle w:val="Pa131"/>
              <w:spacing w:line="259" w:lineRule="auto"/>
              <w:jc w:val="center"/>
              <w:rPr>
                <w:rFonts w:asciiTheme="minorHAnsi" w:hAnsiTheme="minorHAnsi" w:cs="Times New Roman"/>
                <w:color w:val="000000"/>
                <w:sz w:val="22"/>
                <w:szCs w:val="22"/>
              </w:rPr>
            </w:pPr>
            <w:r>
              <w:rPr>
                <w:rFonts w:asciiTheme="minorHAnsi" w:hAnsiTheme="minorHAnsi" w:cs="Times New Roman"/>
                <w:color w:val="000000"/>
                <w:sz w:val="22"/>
                <w:szCs w:val="22"/>
              </w:rPr>
              <w:t>507</w:t>
            </w:r>
          </w:p>
        </w:tc>
      </w:tr>
      <w:tr w:rsidR="00CE2507" w:rsidRPr="00163557" w14:paraId="635E7036" w14:textId="77777777" w:rsidTr="007B63E0">
        <w:trPr>
          <w:cantSplit/>
          <w:tblHeader/>
        </w:trPr>
        <w:tc>
          <w:tcPr>
            <w:tcW w:w="2315" w:type="pct"/>
          </w:tcPr>
          <w:p w14:paraId="05F62281" w14:textId="69E00BDB" w:rsidR="00CE2507" w:rsidRPr="00163557" w:rsidRDefault="00CE2507" w:rsidP="008F2912">
            <w:pPr>
              <w:pStyle w:val="Pa14"/>
              <w:spacing w:line="259" w:lineRule="auto"/>
              <w:rPr>
                <w:rFonts w:asciiTheme="minorHAnsi" w:hAnsiTheme="minorHAnsi" w:cs="Times New Roman"/>
                <w:color w:val="000000"/>
                <w:sz w:val="22"/>
                <w:szCs w:val="22"/>
              </w:rPr>
            </w:pPr>
            <w:r>
              <w:rPr>
                <w:rFonts w:asciiTheme="minorHAnsi" w:hAnsiTheme="minorHAnsi" w:cs="Times New Roman"/>
                <w:color w:val="000000"/>
                <w:sz w:val="22"/>
                <w:szCs w:val="22"/>
              </w:rPr>
              <w:t>Cagayan Valley</w:t>
            </w:r>
            <w:r w:rsidRPr="00163557">
              <w:rPr>
                <w:rFonts w:asciiTheme="minorHAnsi" w:hAnsiTheme="minorHAnsi" w:cs="Times New Roman"/>
                <w:color w:val="000000"/>
                <w:sz w:val="22"/>
                <w:szCs w:val="22"/>
              </w:rPr>
              <w:t xml:space="preserve"> </w:t>
            </w:r>
          </w:p>
        </w:tc>
        <w:tc>
          <w:tcPr>
            <w:tcW w:w="2685" w:type="pct"/>
          </w:tcPr>
          <w:p w14:paraId="7A7B32F2" w14:textId="24AD0561" w:rsidR="00CE2507" w:rsidRPr="00163557" w:rsidRDefault="00CE2507" w:rsidP="008F2912">
            <w:pPr>
              <w:pStyle w:val="Pa131"/>
              <w:spacing w:line="259" w:lineRule="auto"/>
              <w:jc w:val="center"/>
              <w:rPr>
                <w:rFonts w:asciiTheme="minorHAnsi" w:hAnsiTheme="minorHAnsi" w:cs="Times New Roman"/>
                <w:color w:val="000000"/>
                <w:sz w:val="22"/>
                <w:szCs w:val="22"/>
              </w:rPr>
            </w:pPr>
            <w:r>
              <w:rPr>
                <w:rFonts w:asciiTheme="minorHAnsi" w:hAnsiTheme="minorHAnsi" w:cs="Times New Roman"/>
                <w:color w:val="000000"/>
                <w:sz w:val="22"/>
                <w:szCs w:val="22"/>
              </w:rPr>
              <w:t>364</w:t>
            </w:r>
          </w:p>
        </w:tc>
      </w:tr>
      <w:tr w:rsidR="00CE2507" w:rsidRPr="00163557" w14:paraId="1E5E25BA" w14:textId="77777777" w:rsidTr="007B63E0">
        <w:trPr>
          <w:cantSplit/>
          <w:tblHeader/>
        </w:trPr>
        <w:tc>
          <w:tcPr>
            <w:tcW w:w="2315" w:type="pct"/>
          </w:tcPr>
          <w:p w14:paraId="3903C306" w14:textId="21FD0ACC" w:rsidR="00CE2507" w:rsidRPr="00163557" w:rsidRDefault="007B63E0" w:rsidP="008F2912">
            <w:pPr>
              <w:pStyle w:val="Pa14"/>
              <w:spacing w:line="259" w:lineRule="auto"/>
              <w:rPr>
                <w:rFonts w:asciiTheme="minorHAnsi" w:hAnsiTheme="minorHAnsi" w:cs="Times New Roman"/>
                <w:color w:val="000000"/>
                <w:sz w:val="22"/>
                <w:szCs w:val="22"/>
              </w:rPr>
            </w:pPr>
            <w:proofErr w:type="spellStart"/>
            <w:r>
              <w:rPr>
                <w:rFonts w:asciiTheme="minorHAnsi" w:hAnsiTheme="minorHAnsi" w:cs="Times New Roman"/>
                <w:color w:val="000000"/>
                <w:sz w:val="22"/>
                <w:szCs w:val="22"/>
              </w:rPr>
              <w:t>Calabarzon</w:t>
            </w:r>
            <w:proofErr w:type="spellEnd"/>
            <w:r w:rsidR="00CE2507" w:rsidRPr="00163557">
              <w:rPr>
                <w:rFonts w:asciiTheme="minorHAnsi" w:hAnsiTheme="minorHAnsi" w:cs="Times New Roman"/>
                <w:color w:val="000000"/>
                <w:sz w:val="22"/>
                <w:szCs w:val="22"/>
              </w:rPr>
              <w:t xml:space="preserve"> </w:t>
            </w:r>
          </w:p>
        </w:tc>
        <w:tc>
          <w:tcPr>
            <w:tcW w:w="2685" w:type="pct"/>
          </w:tcPr>
          <w:p w14:paraId="026601C2" w14:textId="2924B4DE" w:rsidR="00CE2507" w:rsidRPr="00163557" w:rsidRDefault="007B63E0" w:rsidP="008F2912">
            <w:pPr>
              <w:pStyle w:val="Pa131"/>
              <w:spacing w:line="259" w:lineRule="auto"/>
              <w:jc w:val="center"/>
              <w:rPr>
                <w:rFonts w:asciiTheme="minorHAnsi" w:hAnsiTheme="minorHAnsi" w:cs="Times New Roman"/>
                <w:color w:val="000000"/>
                <w:sz w:val="22"/>
                <w:szCs w:val="22"/>
              </w:rPr>
            </w:pPr>
            <w:r>
              <w:rPr>
                <w:rFonts w:asciiTheme="minorHAnsi" w:hAnsiTheme="minorHAnsi" w:cs="Times New Roman"/>
                <w:color w:val="000000"/>
                <w:sz w:val="22"/>
                <w:szCs w:val="22"/>
              </w:rPr>
              <w:t>205</w:t>
            </w:r>
          </w:p>
        </w:tc>
      </w:tr>
      <w:tr w:rsidR="00CE2507" w:rsidRPr="00163557" w14:paraId="376F20FD" w14:textId="77777777" w:rsidTr="007B63E0">
        <w:trPr>
          <w:cantSplit/>
          <w:tblHeader/>
        </w:trPr>
        <w:tc>
          <w:tcPr>
            <w:tcW w:w="2315" w:type="pct"/>
          </w:tcPr>
          <w:p w14:paraId="1CDA1788" w14:textId="6FB5D4F9" w:rsidR="00CE2507" w:rsidRPr="00163557" w:rsidRDefault="007B63E0" w:rsidP="008F2912">
            <w:pPr>
              <w:pStyle w:val="Pa14"/>
              <w:spacing w:line="259" w:lineRule="auto"/>
              <w:rPr>
                <w:rFonts w:asciiTheme="minorHAnsi" w:hAnsiTheme="minorHAnsi" w:cs="Times New Roman"/>
                <w:color w:val="000000"/>
                <w:sz w:val="22"/>
                <w:szCs w:val="22"/>
              </w:rPr>
            </w:pPr>
            <w:r>
              <w:rPr>
                <w:rFonts w:asciiTheme="minorHAnsi" w:hAnsiTheme="minorHAnsi" w:cs="Times New Roman"/>
                <w:color w:val="000000"/>
                <w:sz w:val="22"/>
                <w:szCs w:val="22"/>
              </w:rPr>
              <w:t>Central Luzon</w:t>
            </w:r>
            <w:r w:rsidR="00CE2507" w:rsidRPr="00163557">
              <w:rPr>
                <w:rFonts w:asciiTheme="minorHAnsi" w:hAnsiTheme="minorHAnsi" w:cs="Times New Roman"/>
                <w:color w:val="000000"/>
                <w:sz w:val="22"/>
                <w:szCs w:val="22"/>
              </w:rPr>
              <w:t xml:space="preserve"> </w:t>
            </w:r>
          </w:p>
        </w:tc>
        <w:tc>
          <w:tcPr>
            <w:tcW w:w="2685" w:type="pct"/>
          </w:tcPr>
          <w:p w14:paraId="35E89A2B" w14:textId="16143E47" w:rsidR="00CE2507" w:rsidRPr="00163557" w:rsidRDefault="007B63E0" w:rsidP="008F2912">
            <w:pPr>
              <w:pStyle w:val="Pa131"/>
              <w:spacing w:line="259" w:lineRule="auto"/>
              <w:jc w:val="center"/>
              <w:rPr>
                <w:rFonts w:asciiTheme="minorHAnsi" w:hAnsiTheme="minorHAnsi" w:cs="Times New Roman"/>
                <w:color w:val="000000"/>
                <w:sz w:val="22"/>
                <w:szCs w:val="22"/>
              </w:rPr>
            </w:pPr>
            <w:r>
              <w:rPr>
                <w:rFonts w:asciiTheme="minorHAnsi" w:hAnsiTheme="minorHAnsi" w:cs="Times New Roman"/>
                <w:color w:val="000000"/>
                <w:sz w:val="22"/>
                <w:szCs w:val="22"/>
              </w:rPr>
              <w:t>199</w:t>
            </w:r>
          </w:p>
        </w:tc>
      </w:tr>
      <w:tr w:rsidR="00CE2507" w:rsidRPr="00163557" w14:paraId="46E045D1" w14:textId="77777777" w:rsidTr="007B63E0">
        <w:trPr>
          <w:cantSplit/>
          <w:tblHeader/>
        </w:trPr>
        <w:tc>
          <w:tcPr>
            <w:tcW w:w="2315" w:type="pct"/>
          </w:tcPr>
          <w:p w14:paraId="3D515AAF" w14:textId="7C9B0B9B" w:rsidR="00CE2507" w:rsidRPr="00163557" w:rsidRDefault="007B63E0" w:rsidP="008F2912">
            <w:pPr>
              <w:pStyle w:val="Pa14"/>
              <w:spacing w:line="259" w:lineRule="auto"/>
              <w:rPr>
                <w:rFonts w:asciiTheme="minorHAnsi" w:hAnsiTheme="minorHAnsi" w:cs="Times New Roman"/>
                <w:color w:val="000000"/>
                <w:sz w:val="22"/>
                <w:szCs w:val="22"/>
              </w:rPr>
            </w:pPr>
            <w:r>
              <w:rPr>
                <w:rFonts w:asciiTheme="minorHAnsi" w:hAnsiTheme="minorHAnsi" w:cs="Times New Roman"/>
                <w:color w:val="000000"/>
                <w:sz w:val="22"/>
                <w:szCs w:val="22"/>
              </w:rPr>
              <w:t>Central Visayas</w:t>
            </w:r>
          </w:p>
        </w:tc>
        <w:tc>
          <w:tcPr>
            <w:tcW w:w="2685" w:type="pct"/>
          </w:tcPr>
          <w:p w14:paraId="1E5891DB" w14:textId="3A16C543" w:rsidR="00CE2507" w:rsidRPr="00163557" w:rsidRDefault="007B63E0" w:rsidP="008F2912">
            <w:pPr>
              <w:pStyle w:val="Pa131"/>
              <w:spacing w:line="259" w:lineRule="auto"/>
              <w:jc w:val="center"/>
              <w:rPr>
                <w:rFonts w:asciiTheme="minorHAnsi" w:hAnsiTheme="minorHAnsi" w:cs="Times New Roman"/>
                <w:color w:val="000000"/>
                <w:sz w:val="22"/>
                <w:szCs w:val="22"/>
              </w:rPr>
            </w:pPr>
            <w:r>
              <w:rPr>
                <w:rFonts w:asciiTheme="minorHAnsi" w:hAnsiTheme="minorHAnsi" w:cs="Times New Roman"/>
                <w:color w:val="000000"/>
                <w:sz w:val="22"/>
                <w:szCs w:val="22"/>
              </w:rPr>
              <w:t>105</w:t>
            </w:r>
          </w:p>
        </w:tc>
      </w:tr>
    </w:tbl>
    <w:p w14:paraId="68F6066E" w14:textId="3EFFE852" w:rsidR="00BE72CD" w:rsidRPr="007D048E" w:rsidRDefault="003051B4" w:rsidP="008F2912">
      <w:pPr>
        <w:autoSpaceDE w:val="0"/>
        <w:autoSpaceDN w:val="0"/>
        <w:adjustRightInd w:val="0"/>
        <w:spacing w:after="200"/>
        <w:rPr>
          <w:sz w:val="18"/>
        </w:rPr>
      </w:pPr>
      <w:r w:rsidRPr="003051B4">
        <w:rPr>
          <w:sz w:val="18"/>
        </w:rPr>
        <w:t>Source:</w:t>
      </w:r>
      <w:r w:rsidR="007B63E0">
        <w:rPr>
          <w:sz w:val="18"/>
        </w:rPr>
        <w:t xml:space="preserve"> Philippine Statistic Authority (PSA)</w:t>
      </w:r>
      <w:r w:rsidR="00BE72CD" w:rsidRPr="007D048E">
        <w:rPr>
          <w:sz w:val="18"/>
        </w:rPr>
        <w:t xml:space="preserve">. </w:t>
      </w:r>
    </w:p>
    <w:p w14:paraId="5585BB95" w14:textId="3EF73A09" w:rsidR="00BE72CD" w:rsidRPr="00432EB0" w:rsidRDefault="00BE72CD" w:rsidP="008F2912">
      <w:pPr>
        <w:keepNext/>
        <w:rPr>
          <w:rStyle w:val="Strong"/>
        </w:rPr>
      </w:pPr>
      <w:r>
        <w:rPr>
          <w:rStyle w:val="Strong"/>
        </w:rPr>
        <w:lastRenderedPageBreak/>
        <w:t xml:space="preserve">Australian </w:t>
      </w:r>
      <w:r w:rsidR="007B63E0">
        <w:rPr>
          <w:rStyle w:val="Strong"/>
        </w:rPr>
        <w:t>dragon fruit</w:t>
      </w:r>
      <w:r>
        <w:rPr>
          <w:rStyle w:val="Strong"/>
        </w:rPr>
        <w:t xml:space="preserve"> imports</w:t>
      </w:r>
    </w:p>
    <w:p w14:paraId="52E1E710" w14:textId="509E36C5" w:rsidR="0050298E" w:rsidRDefault="0050298E" w:rsidP="008F2912">
      <w:pPr>
        <w:pStyle w:val="ListNumber"/>
        <w:numPr>
          <w:ilvl w:val="0"/>
          <w:numId w:val="0"/>
        </w:numPr>
        <w:spacing w:after="200"/>
      </w:pPr>
      <w:r w:rsidRPr="0050298E">
        <w:t>Australia has import policies in place for fresh dragon fruit from Vietnam and Indonesia. All imports must meet Australia’s biosecurity import conditions. While imports from Vietnam have commenced, the import conditions for Indonesia are yet to be finalised.</w:t>
      </w:r>
    </w:p>
    <w:p w14:paraId="6D770C93" w14:textId="7EFAFDED" w:rsidR="007B63E0" w:rsidRPr="00601118" w:rsidRDefault="004F653E" w:rsidP="008F2912">
      <w:pPr>
        <w:pStyle w:val="ListNumber"/>
        <w:numPr>
          <w:ilvl w:val="0"/>
          <w:numId w:val="0"/>
        </w:numPr>
        <w:spacing w:after="200"/>
      </w:pPr>
      <w:r>
        <w:t xml:space="preserve">The risk analysis for dragon fruit from Vietnam was published in </w:t>
      </w:r>
      <w:r w:rsidR="005536E7">
        <w:t>2017</w:t>
      </w:r>
      <w:r>
        <w:t xml:space="preserve"> and trade commenced </w:t>
      </w:r>
      <w:r w:rsidR="005536E7">
        <w:t xml:space="preserve">the </w:t>
      </w:r>
      <w:r w:rsidR="0017588C">
        <w:t>same year</w:t>
      </w:r>
      <w:r>
        <w:t xml:space="preserve">. </w:t>
      </w:r>
      <w:r w:rsidR="007B63E0" w:rsidRPr="00601118">
        <w:t xml:space="preserve">Between </w:t>
      </w:r>
      <w:r w:rsidR="007B63E0">
        <w:t>2017</w:t>
      </w:r>
      <w:r w:rsidR="007B63E0" w:rsidRPr="00601118">
        <w:t xml:space="preserve"> and </w:t>
      </w:r>
      <w:r w:rsidR="007B63E0">
        <w:t>2020</w:t>
      </w:r>
      <w:r w:rsidR="007B63E0" w:rsidRPr="00601118">
        <w:t xml:space="preserve">, Australia imported </w:t>
      </w:r>
      <w:r w:rsidR="007B63E0">
        <w:t>approximately 1,584</w:t>
      </w:r>
      <w:r w:rsidR="007B63E0" w:rsidRPr="00601118">
        <w:t xml:space="preserve"> tonnes of </w:t>
      </w:r>
      <w:r w:rsidR="007B63E0">
        <w:t>dragon fruit</w:t>
      </w:r>
      <w:r w:rsidR="007B63E0" w:rsidRPr="00601118">
        <w:t xml:space="preserve"> from </w:t>
      </w:r>
      <w:r w:rsidR="007B63E0">
        <w:t>Vietnam</w:t>
      </w:r>
      <w:r w:rsidR="007B63E0" w:rsidRPr="00601118">
        <w:t xml:space="preserve">. </w:t>
      </w:r>
    </w:p>
    <w:p w14:paraId="17D56F53" w14:textId="63682F79" w:rsidR="00BE72CD" w:rsidRPr="00A21D53" w:rsidRDefault="007B63E0" w:rsidP="008F2912">
      <w:pPr>
        <w:keepNext/>
        <w:rPr>
          <w:rStyle w:val="Strong"/>
        </w:rPr>
      </w:pPr>
      <w:r>
        <w:rPr>
          <w:rStyle w:val="Strong"/>
        </w:rPr>
        <w:t>Dragon fruit</w:t>
      </w:r>
      <w:r w:rsidR="00BE72CD" w:rsidRPr="00A21D53">
        <w:rPr>
          <w:rStyle w:val="Strong"/>
        </w:rPr>
        <w:t xml:space="preserve"> industry in Australia</w:t>
      </w:r>
    </w:p>
    <w:p w14:paraId="4A4C311E" w14:textId="057977DC" w:rsidR="007B63E0" w:rsidRDefault="00475E56" w:rsidP="008F2912">
      <w:pPr>
        <w:pStyle w:val="TPs1"/>
        <w:numPr>
          <w:ilvl w:val="0"/>
          <w:numId w:val="0"/>
        </w:numPr>
        <w:spacing w:line="259" w:lineRule="auto"/>
      </w:pPr>
      <w:r>
        <w:t xml:space="preserve">In 2017 </w:t>
      </w:r>
      <w:r w:rsidR="00F407D2">
        <w:t xml:space="preserve">Australian dragon fruit </w:t>
      </w:r>
      <w:r w:rsidR="00F407D2" w:rsidRPr="0061190E">
        <w:t>produc</w:t>
      </w:r>
      <w:r>
        <w:t>tion was estimated to be</w:t>
      </w:r>
      <w:r w:rsidR="00F407D2" w:rsidRPr="0061190E">
        <w:t xml:space="preserve"> </w:t>
      </w:r>
      <w:r w:rsidR="00F407D2">
        <w:t>approximately 740</w:t>
      </w:r>
      <w:r w:rsidR="00F407D2" w:rsidRPr="0061190E">
        <w:t xml:space="preserve"> tonnes per annum</w:t>
      </w:r>
      <w:r w:rsidR="00F407D2">
        <w:t xml:space="preserve">. </w:t>
      </w:r>
      <w:r w:rsidR="007B63E0">
        <w:t>Most of Australia’s dragon fruit is grown in the Northern Territory and Far North Queensland</w:t>
      </w:r>
      <w:r w:rsidR="0091232D">
        <w:t>, with</w:t>
      </w:r>
      <w:r w:rsidR="006C49AB" w:rsidRPr="006C49AB">
        <w:t xml:space="preserve"> </w:t>
      </w:r>
      <w:r w:rsidR="006C49AB">
        <w:t>smaller-scale production</w:t>
      </w:r>
      <w:r w:rsidR="00B43B90">
        <w:t xml:space="preserve"> occurring</w:t>
      </w:r>
      <w:r w:rsidR="006C49AB">
        <w:t xml:space="preserve"> in northern New South Wales and Western Australia</w:t>
      </w:r>
      <w:r w:rsidR="007B63E0">
        <w:t xml:space="preserve">. </w:t>
      </w:r>
      <w:r w:rsidR="009237FF">
        <w:t xml:space="preserve">The </w:t>
      </w:r>
      <w:r w:rsidR="007B63E0">
        <w:t>Australian</w:t>
      </w:r>
      <w:r w:rsidR="009237FF">
        <w:t>-</w:t>
      </w:r>
      <w:r w:rsidR="007B63E0">
        <w:t>grown dragon fruit production period is between October and April.</w:t>
      </w:r>
    </w:p>
    <w:p w14:paraId="1B826E91" w14:textId="74584C13" w:rsidR="00631F0D" w:rsidRDefault="007B63E0" w:rsidP="008F2912">
      <w:pPr>
        <w:pStyle w:val="TPs1"/>
        <w:numPr>
          <w:ilvl w:val="0"/>
          <w:numId w:val="0"/>
        </w:numPr>
        <w:spacing w:line="259" w:lineRule="auto"/>
      </w:pPr>
      <w:r>
        <w:t>The Australian dragon fruit industry is focussed on domestic supply mainly to major city markets</w:t>
      </w:r>
      <w:r w:rsidR="003650A2">
        <w:t>.</w:t>
      </w:r>
    </w:p>
    <w:p w14:paraId="4CF0C2C4" w14:textId="6D5C505C" w:rsidR="00BE72CD" w:rsidRPr="00A21D53" w:rsidRDefault="00BE72CD" w:rsidP="008F2912">
      <w:pPr>
        <w:keepNext/>
        <w:rPr>
          <w:rStyle w:val="Strong"/>
        </w:rPr>
      </w:pPr>
      <w:r w:rsidRPr="00A21D53">
        <w:rPr>
          <w:rStyle w:val="Strong"/>
        </w:rPr>
        <w:t xml:space="preserve">Trade between Australia and </w:t>
      </w:r>
      <w:r w:rsidR="00620514">
        <w:rPr>
          <w:rStyle w:val="Strong"/>
        </w:rPr>
        <w:t>the Philippines</w:t>
      </w:r>
    </w:p>
    <w:p w14:paraId="4E4053A6" w14:textId="38B613EB" w:rsidR="00EC3F01" w:rsidRDefault="007B63E0" w:rsidP="008F2912">
      <w:r>
        <w:t>T</w:t>
      </w:r>
      <w:r>
        <w:rPr>
          <w:lang w:val="en"/>
        </w:rPr>
        <w:t>he Philippines</w:t>
      </w:r>
      <w:r w:rsidRPr="00BD1404">
        <w:rPr>
          <w:lang w:val="en"/>
        </w:rPr>
        <w:t xml:space="preserve"> is a </w:t>
      </w:r>
      <w:r>
        <w:rPr>
          <w:lang w:val="en"/>
        </w:rPr>
        <w:t>comprehensive trading partner with a longstanding agricultural trade relationship, supported by the ASEAN Australian New Zealand Free Trade Agreement. In</w:t>
      </w:r>
      <w:r w:rsidRPr="00BD1404">
        <w:rPr>
          <w:lang w:val="en"/>
        </w:rPr>
        <w:t xml:space="preserve"> 2019</w:t>
      </w:r>
      <w:r w:rsidRPr="00E11596">
        <w:t>–</w:t>
      </w:r>
      <w:r w:rsidRPr="00BD1404">
        <w:rPr>
          <w:lang w:val="en"/>
        </w:rPr>
        <w:t>20</w:t>
      </w:r>
      <w:r>
        <w:rPr>
          <w:lang w:val="en"/>
        </w:rPr>
        <w:t xml:space="preserve"> </w:t>
      </w:r>
      <w:r w:rsidRPr="00BD1404">
        <w:rPr>
          <w:lang w:val="en"/>
        </w:rPr>
        <w:t>two-way goods and services</w:t>
      </w:r>
      <w:r>
        <w:rPr>
          <w:lang w:val="en"/>
        </w:rPr>
        <w:t xml:space="preserve"> trade</w:t>
      </w:r>
      <w:r w:rsidRPr="00BD1404">
        <w:rPr>
          <w:lang w:val="en"/>
        </w:rPr>
        <w:t xml:space="preserve"> </w:t>
      </w:r>
      <w:r w:rsidR="003650A2" w:rsidRPr="00BD1404">
        <w:rPr>
          <w:lang w:val="en"/>
        </w:rPr>
        <w:t>tota</w:t>
      </w:r>
      <w:r w:rsidR="003650A2">
        <w:rPr>
          <w:lang w:val="en"/>
        </w:rPr>
        <w:t>led</w:t>
      </w:r>
      <w:r w:rsidRPr="00BD1404">
        <w:rPr>
          <w:lang w:val="en"/>
        </w:rPr>
        <w:t xml:space="preserve"> $5.1 billion</w:t>
      </w:r>
      <w:r w:rsidR="00EC3F01" w:rsidRPr="00AB6A76">
        <w:t>.</w:t>
      </w:r>
    </w:p>
    <w:p w14:paraId="25C12BCA" w14:textId="4BC3FE95" w:rsidR="00BE72CD" w:rsidRPr="00A21D53" w:rsidRDefault="00BE72CD" w:rsidP="008F2912">
      <w:pPr>
        <w:keepNext/>
        <w:rPr>
          <w:rStyle w:val="Strong"/>
        </w:rPr>
      </w:pPr>
      <w:r w:rsidRPr="00A21D53">
        <w:rPr>
          <w:rStyle w:val="Strong"/>
        </w:rPr>
        <w:t xml:space="preserve">Preliminary assessment of </w:t>
      </w:r>
      <w:r w:rsidR="00620514">
        <w:rPr>
          <w:rStyle w:val="Strong"/>
        </w:rPr>
        <w:t>Philippine</w:t>
      </w:r>
      <w:r w:rsidRPr="00A21D53">
        <w:rPr>
          <w:rStyle w:val="Strong"/>
        </w:rPr>
        <w:t xml:space="preserve"> </w:t>
      </w:r>
      <w:r w:rsidR="00620514">
        <w:rPr>
          <w:rStyle w:val="Strong"/>
        </w:rPr>
        <w:t>dragon</w:t>
      </w:r>
      <w:r w:rsidRPr="00A21D53">
        <w:rPr>
          <w:rStyle w:val="Strong"/>
        </w:rPr>
        <w:t xml:space="preserve"> fruit</w:t>
      </w:r>
    </w:p>
    <w:p w14:paraId="37CEBC92" w14:textId="5E5AC6F1" w:rsidR="00EC3F01" w:rsidRDefault="007B63E0" w:rsidP="008F2912">
      <w:pPr>
        <w:pStyle w:val="ListNumber"/>
        <w:numPr>
          <w:ilvl w:val="0"/>
          <w:numId w:val="0"/>
        </w:numPr>
        <w:spacing w:after="200"/>
      </w:pPr>
      <w:bookmarkStart w:id="5" w:name="_Hlk88052722"/>
      <w:r w:rsidRPr="007B63E0">
        <w:t xml:space="preserve">A preliminary assessment of the pests associated with dragon fruit from the Philippines has identified </w:t>
      </w:r>
      <w:r w:rsidR="00B8774D">
        <w:t xml:space="preserve">(to date) </w:t>
      </w:r>
      <w:r w:rsidRPr="007B63E0">
        <w:t xml:space="preserve">12 pest species </w:t>
      </w:r>
      <w:r w:rsidR="00B8774D">
        <w:t xml:space="preserve">of potential </w:t>
      </w:r>
      <w:r w:rsidR="00F818A1">
        <w:t>biosecurity</w:t>
      </w:r>
      <w:r w:rsidR="00B8774D">
        <w:t xml:space="preserve"> concern </w:t>
      </w:r>
      <w:r w:rsidRPr="007B63E0">
        <w:t xml:space="preserve">likely to require further </w:t>
      </w:r>
      <w:r w:rsidR="00F818A1">
        <w:t>consideration</w:t>
      </w:r>
      <w:r w:rsidRPr="007B63E0">
        <w:t xml:space="preserve">. These </w:t>
      </w:r>
      <w:r w:rsidR="009237FF">
        <w:t xml:space="preserve">are </w:t>
      </w:r>
      <w:r w:rsidRPr="007B63E0">
        <w:t>2 fruit flies, 4 thrips and 6 mealybugs</w:t>
      </w:r>
      <w:r w:rsidRPr="0029782E">
        <w:t>.</w:t>
      </w:r>
      <w:r w:rsidR="00817AA9" w:rsidRPr="0029782E">
        <w:rPr>
          <w:rFonts w:cs="Arial"/>
        </w:rPr>
        <w:t xml:space="preserve"> Further assessment of these potential pests will determine </w:t>
      </w:r>
      <w:r w:rsidR="00B51B02" w:rsidRPr="0029782E">
        <w:rPr>
          <w:rFonts w:cs="Arial"/>
        </w:rPr>
        <w:t xml:space="preserve">the </w:t>
      </w:r>
      <w:r w:rsidR="00817AA9" w:rsidRPr="0029782E">
        <w:rPr>
          <w:rFonts w:cs="Arial"/>
        </w:rPr>
        <w:t xml:space="preserve">risk management measures </w:t>
      </w:r>
      <w:r w:rsidR="00B51B02" w:rsidRPr="0029782E">
        <w:rPr>
          <w:rFonts w:cs="Arial"/>
        </w:rPr>
        <w:t xml:space="preserve">required </w:t>
      </w:r>
      <w:r w:rsidR="00817AA9" w:rsidRPr="0029782E">
        <w:rPr>
          <w:rFonts w:cs="Arial"/>
        </w:rPr>
        <w:t>to achieve Australia’s appropriate level of protection.</w:t>
      </w:r>
    </w:p>
    <w:bookmarkEnd w:id="5"/>
    <w:p w14:paraId="539D55AD" w14:textId="77777777" w:rsidR="00BE72CD" w:rsidRPr="00A21D53" w:rsidRDefault="00BE72CD" w:rsidP="008F2912">
      <w:pPr>
        <w:keepNext/>
        <w:rPr>
          <w:rStyle w:val="Strong"/>
        </w:rPr>
      </w:pPr>
      <w:r w:rsidRPr="00A21D53">
        <w:rPr>
          <w:rStyle w:val="Strong"/>
        </w:rPr>
        <w:t>Next steps</w:t>
      </w:r>
    </w:p>
    <w:p w14:paraId="55ECB8FE" w14:textId="11F03390" w:rsidR="00BE72CD" w:rsidRDefault="00BE72CD" w:rsidP="008F2912">
      <w:pPr>
        <w:spacing w:after="200"/>
      </w:pPr>
      <w:r>
        <w:t xml:space="preserve">A draft report of this review of biosecurity import requirements is expected to be published on </w:t>
      </w:r>
      <w:r w:rsidR="00817AA9">
        <w:t>our</w:t>
      </w:r>
      <w:r>
        <w:t xml:space="preserve"> website</w:t>
      </w:r>
      <w:r w:rsidR="00817AA9">
        <w:t xml:space="preserve"> by the end of 202</w:t>
      </w:r>
      <w:r w:rsidR="007B63E0">
        <w:t>2</w:t>
      </w:r>
      <w:r w:rsidR="00817AA9">
        <w:t xml:space="preserve">. </w:t>
      </w:r>
      <w:r w:rsidR="00817AA9" w:rsidRPr="003D6BAB">
        <w:t xml:space="preserve">Stakeholders will have an opportunity to submit comments on the draft report </w:t>
      </w:r>
      <w:r w:rsidR="002A2CF0">
        <w:t xml:space="preserve">during a </w:t>
      </w:r>
      <w:r w:rsidR="00364F80">
        <w:t xml:space="preserve">60-calendar </w:t>
      </w:r>
      <w:r w:rsidR="002A2CF0">
        <w:t>day consultation period</w:t>
      </w:r>
      <w:r w:rsidR="00817AA9" w:rsidRPr="003D6BAB">
        <w:t>.</w:t>
      </w:r>
      <w:r w:rsidRPr="003D6BAB">
        <w:t xml:space="preserve"> </w:t>
      </w:r>
    </w:p>
    <w:p w14:paraId="7581DEBB" w14:textId="7792B955" w:rsidR="00BE72CD" w:rsidRDefault="002A2CF0" w:rsidP="008F2912">
      <w:r>
        <w:t>We will consider a</w:t>
      </w:r>
      <w:r w:rsidR="00BE72CD">
        <w:t xml:space="preserve">ll </w:t>
      </w:r>
      <w:r w:rsidR="00817AA9">
        <w:t xml:space="preserve">stakeholder </w:t>
      </w:r>
      <w:r w:rsidR="00BE72CD">
        <w:t xml:space="preserve">comments </w:t>
      </w:r>
      <w:r>
        <w:t>in the preparation of</w:t>
      </w:r>
      <w:r w:rsidR="00BE72CD">
        <w:t xml:space="preserve"> the final report.</w:t>
      </w:r>
    </w:p>
    <w:p w14:paraId="124AB2CF" w14:textId="4D4EBFEB" w:rsidR="00BE72CD" w:rsidRDefault="00BE72CD" w:rsidP="008F2912">
      <w:r>
        <w:t xml:space="preserve">The recommendations in the final report will reflect the completion of the risk analysis for fresh </w:t>
      </w:r>
      <w:r w:rsidR="007B63E0">
        <w:t>dragon</w:t>
      </w:r>
      <w:r>
        <w:t xml:space="preserve"> fruit from </w:t>
      </w:r>
      <w:r w:rsidR="007B63E0">
        <w:t>the Philippines</w:t>
      </w:r>
      <w:r>
        <w:t>. The recommended measures will have been assessed as scientifically sound and appropriate to manage any potential risks to Australia’s biosecurity presented by the import</w:t>
      </w:r>
      <w:r w:rsidR="000E2824">
        <w:t>ation</w:t>
      </w:r>
      <w:r>
        <w:t xml:space="preserve"> of fresh </w:t>
      </w:r>
      <w:r w:rsidR="007B63E0">
        <w:t>dragon</w:t>
      </w:r>
      <w:r>
        <w:t xml:space="preserve"> fruit from </w:t>
      </w:r>
      <w:r w:rsidR="007B63E0">
        <w:t>the Philippines</w:t>
      </w:r>
      <w:r>
        <w:t xml:space="preserve">. </w:t>
      </w:r>
    </w:p>
    <w:p w14:paraId="56BA60E0" w14:textId="4C40FC90" w:rsidR="00BE72CD" w:rsidRDefault="00BE72CD" w:rsidP="008F2912">
      <w:pPr>
        <w:pStyle w:val="ListParagraph"/>
        <w:spacing w:line="259" w:lineRule="auto"/>
        <w:ind w:left="0"/>
      </w:pPr>
      <w:r w:rsidRPr="00A460FA">
        <w:t xml:space="preserve">If you </w:t>
      </w:r>
      <w:r>
        <w:t>would like</w:t>
      </w:r>
      <w:r w:rsidRPr="00A460FA">
        <w:t xml:space="preserve"> to know more about this </w:t>
      </w:r>
      <w:r>
        <w:t>risk analysis</w:t>
      </w:r>
      <w:r w:rsidRPr="00A460FA">
        <w:t xml:space="preserve"> or the risk analysis review </w:t>
      </w:r>
      <w:proofErr w:type="gramStart"/>
      <w:r w:rsidRPr="00A460FA">
        <w:t>process</w:t>
      </w:r>
      <w:proofErr w:type="gramEnd"/>
      <w:r w:rsidRPr="00A460FA">
        <w:t xml:space="preserve"> please email </w:t>
      </w:r>
      <w:hyperlink r:id="rId13" w:history="1">
        <w:r w:rsidR="008B0FBD">
          <w:rPr>
            <w:rStyle w:val="Hyperlink"/>
          </w:rPr>
          <w:t>plantstakeholders@awe.gov.au</w:t>
        </w:r>
      </w:hyperlink>
      <w:r>
        <w:t xml:space="preserve"> </w:t>
      </w:r>
      <w:r w:rsidRPr="00A460FA">
        <w:t xml:space="preserve">or phone </w:t>
      </w:r>
      <w:r w:rsidR="008B0FBD" w:rsidRPr="008B0FBD">
        <w:t>+61 2 6272 5094</w:t>
      </w:r>
      <w:r w:rsidR="008B0FBD">
        <w:t>.</w:t>
      </w:r>
    </w:p>
    <w:p w14:paraId="47235BA0" w14:textId="77777777" w:rsidR="00BE72CD" w:rsidRDefault="00BE72CD" w:rsidP="00BE72CD">
      <w:pPr>
        <w:spacing w:after="200"/>
      </w:pPr>
    </w:p>
    <w:p w14:paraId="327ED255" w14:textId="77777777" w:rsidR="00905F94" w:rsidRPr="00BE72CD" w:rsidRDefault="00905F94" w:rsidP="00BE72CD">
      <w:pPr>
        <w:tabs>
          <w:tab w:val="left" w:pos="1267"/>
        </w:tabs>
        <w:rPr>
          <w:lang w:eastAsia="ja-JP"/>
        </w:rPr>
      </w:pPr>
    </w:p>
    <w:sectPr w:rsidR="00905F94" w:rsidRPr="00BE72CD">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58E03" w14:textId="77777777" w:rsidR="004D1402" w:rsidRDefault="004D1402">
      <w:r>
        <w:separator/>
      </w:r>
    </w:p>
  </w:endnote>
  <w:endnote w:type="continuationSeparator" w:id="0">
    <w:p w14:paraId="2309286E" w14:textId="77777777" w:rsidR="004D1402" w:rsidRDefault="004D1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arrow-Bold">
    <w:altName w:val="Arial"/>
    <w:panose1 w:val="00000000000000000000"/>
    <w:charset w:val="00"/>
    <w:family w:val="swiss"/>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262646"/>
      <w:docPartObj>
        <w:docPartGallery w:val="Page Numbers (Bottom of Page)"/>
        <w:docPartUnique/>
      </w:docPartObj>
    </w:sdtPr>
    <w:sdtEndPr>
      <w:rPr>
        <w:noProof/>
      </w:rPr>
    </w:sdtEndPr>
    <w:sdtContent>
      <w:p w14:paraId="3E7A1FA7" w14:textId="77777777" w:rsidR="00C6669A" w:rsidRDefault="00C6669A" w:rsidP="00C6669A">
        <w:pPr>
          <w:pStyle w:val="Footer"/>
          <w:jc w:val="right"/>
        </w:pPr>
        <w:r>
          <w:tab/>
        </w:r>
        <w:r>
          <w:fldChar w:fldCharType="begin"/>
        </w:r>
        <w:r>
          <w:instrText xml:space="preserve"> PAGE   \* MERGEFORMAT </w:instrText>
        </w:r>
        <w:r>
          <w:fldChar w:fldCharType="separate"/>
        </w:r>
        <w:r w:rsidR="00A1317C">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66C49" w14:textId="77777777" w:rsidR="004D1402" w:rsidRDefault="004D1402">
      <w:r>
        <w:separator/>
      </w:r>
    </w:p>
  </w:footnote>
  <w:footnote w:type="continuationSeparator" w:id="0">
    <w:p w14:paraId="604411A1" w14:textId="77777777" w:rsidR="004D1402" w:rsidRDefault="004D1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EF5D4" w14:textId="2D383BB7" w:rsidR="00BE72CD" w:rsidRDefault="009A2896">
    <w:pPr>
      <w:pStyle w:val="Header"/>
    </w:pPr>
    <w:r>
      <w:rPr>
        <w:noProof/>
      </w:rPr>
      <w:drawing>
        <wp:inline distT="0" distB="0" distL="0" distR="0" wp14:anchorId="5B7BD1A9" wp14:editId="38272147">
          <wp:extent cx="2571750" cy="774504"/>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2588375" cy="779511"/>
                  </a:xfrm>
                  <a:prstGeom prst="rect">
                    <a:avLst/>
                  </a:prstGeom>
                </pic:spPr>
              </pic:pic>
            </a:graphicData>
          </a:graphic>
        </wp:inline>
      </w:drawing>
    </w:r>
  </w:p>
  <w:p w14:paraId="6157B9BD" w14:textId="77777777" w:rsidR="002A2CF0" w:rsidRDefault="002A2C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8"/>
    <w:multiLevelType w:val="singleLevel"/>
    <w:tmpl w:val="C0D65B0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24192F"/>
    <w:multiLevelType w:val="hybridMultilevel"/>
    <w:tmpl w:val="A8625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5F2FDD"/>
    <w:multiLevelType w:val="hybridMultilevel"/>
    <w:tmpl w:val="3BF23FAA"/>
    <w:lvl w:ilvl="0" w:tplc="E1E6B0BE">
      <w:start w:val="1"/>
      <w:numFmt w:val="bullet"/>
      <w:pStyle w:val="TPs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0"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1" w15:restartNumberingAfterBreak="0">
    <w:nsid w:val="2A913599"/>
    <w:multiLevelType w:val="multilevel"/>
    <w:tmpl w:val="02AA8FA0"/>
    <w:numStyleLink w:val="ListBullets"/>
  </w:abstractNum>
  <w:abstractNum w:abstractNumId="12" w15:restartNumberingAfterBreak="0">
    <w:nsid w:val="2F2425AB"/>
    <w:multiLevelType w:val="multilevel"/>
    <w:tmpl w:val="BC8603C0"/>
    <w:numStyleLink w:val="ListNumbers"/>
  </w:abstractNum>
  <w:abstractNum w:abstractNumId="13" w15:restartNumberingAfterBreak="0">
    <w:nsid w:val="46DD5C12"/>
    <w:multiLevelType w:val="multilevel"/>
    <w:tmpl w:val="20F2356A"/>
    <w:numStyleLink w:val="Appendix"/>
  </w:abstractNum>
  <w:abstractNum w:abstractNumId="14"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6"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7"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5456429"/>
    <w:multiLevelType w:val="multilevel"/>
    <w:tmpl w:val="0DACEF86"/>
    <w:lvl w:ilvl="0">
      <w:start w:val="1"/>
      <w:numFmt w:val="decimal"/>
      <w:lvlText w:val="%1."/>
      <w:lvlJc w:val="left"/>
      <w:pPr>
        <w:ind w:left="511" w:hanging="369"/>
      </w:pPr>
      <w:rPr>
        <w:rFonts w:ascii="Calibri" w:hAnsi="Calibri" w:hint="default"/>
        <w:sz w:val="22"/>
        <w:szCs w:val="22"/>
      </w:rPr>
    </w:lvl>
    <w:lvl w:ilvl="1">
      <w:start w:val="1"/>
      <w:numFmt w:val="lowerLetter"/>
      <w:lvlText w:val="%2."/>
      <w:lvlJc w:val="left"/>
      <w:pPr>
        <w:ind w:left="937" w:hanging="369"/>
      </w:pPr>
      <w:rPr>
        <w:rFonts w:hint="default"/>
      </w:rPr>
    </w:lvl>
    <w:lvl w:ilvl="2">
      <w:start w:val="1"/>
      <w:numFmt w:val="lowerLetter"/>
      <w:lvlText w:val="%3."/>
      <w:lvlJc w:val="left"/>
      <w:pPr>
        <w:ind w:left="1107" w:hanging="369"/>
      </w:pPr>
      <w:rPr>
        <w:rFonts w:ascii="Calibri" w:eastAsia="Calibri" w:hAnsi="Calibri" w:cs="Times New Roman"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9"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14"/>
  </w:num>
  <w:num w:numId="3">
    <w:abstractNumId w:val="8"/>
  </w:num>
  <w:num w:numId="4">
    <w:abstractNumId w:val="9"/>
  </w:num>
  <w:num w:numId="5">
    <w:abstractNumId w:val="3"/>
  </w:num>
  <w:num w:numId="6">
    <w:abstractNumId w:val="11"/>
  </w:num>
  <w:num w:numId="7">
    <w:abstractNumId w:val="19"/>
  </w:num>
  <w:num w:numId="8">
    <w:abstractNumId w:val="12"/>
  </w:num>
  <w:num w:numId="9">
    <w:abstractNumId w:val="16"/>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7"/>
  </w:num>
  <w:num w:numId="14">
    <w:abstractNumId w:val="2"/>
  </w:num>
  <w:num w:numId="15">
    <w:abstractNumId w:val="1"/>
  </w:num>
  <w:num w:numId="16">
    <w:abstractNumId w:val="0"/>
  </w:num>
  <w:num w:numId="17">
    <w:abstractNumId w:val="5"/>
  </w:num>
  <w:num w:numId="18">
    <w:abstractNumId w:val="7"/>
  </w:num>
  <w:num w:numId="19">
    <w:abstractNumId w:val="6"/>
  </w:num>
  <w:num w:numId="20">
    <w:abstractNumId w:val="18"/>
  </w:num>
  <w:num w:numId="2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FF3"/>
    <w:rsid w:val="00000B62"/>
    <w:rsid w:val="000016C2"/>
    <w:rsid w:val="00003565"/>
    <w:rsid w:val="00006D8C"/>
    <w:rsid w:val="0003177E"/>
    <w:rsid w:val="000D0DC9"/>
    <w:rsid w:val="000E03C4"/>
    <w:rsid w:val="000E2824"/>
    <w:rsid w:val="000F5CD8"/>
    <w:rsid w:val="00125BE6"/>
    <w:rsid w:val="00140395"/>
    <w:rsid w:val="001656BC"/>
    <w:rsid w:val="001750E6"/>
    <w:rsid w:val="0017588C"/>
    <w:rsid w:val="001F087A"/>
    <w:rsid w:val="0021411A"/>
    <w:rsid w:val="00245FDD"/>
    <w:rsid w:val="0029782E"/>
    <w:rsid w:val="002A2CF0"/>
    <w:rsid w:val="002B5592"/>
    <w:rsid w:val="002C2278"/>
    <w:rsid w:val="002E734C"/>
    <w:rsid w:val="003046A8"/>
    <w:rsid w:val="003051B4"/>
    <w:rsid w:val="00357E8A"/>
    <w:rsid w:val="00364F80"/>
    <w:rsid w:val="003650A2"/>
    <w:rsid w:val="003767C7"/>
    <w:rsid w:val="00381803"/>
    <w:rsid w:val="003B1F8A"/>
    <w:rsid w:val="003E0E59"/>
    <w:rsid w:val="00425385"/>
    <w:rsid w:val="00461807"/>
    <w:rsid w:val="00464D35"/>
    <w:rsid w:val="00475E56"/>
    <w:rsid w:val="004D1402"/>
    <w:rsid w:val="004E4480"/>
    <w:rsid w:val="004F653E"/>
    <w:rsid w:val="0050298E"/>
    <w:rsid w:val="0054747E"/>
    <w:rsid w:val="005536E7"/>
    <w:rsid w:val="005717FA"/>
    <w:rsid w:val="0058028E"/>
    <w:rsid w:val="005F3C46"/>
    <w:rsid w:val="006016D1"/>
    <w:rsid w:val="00620514"/>
    <w:rsid w:val="00626E31"/>
    <w:rsid w:val="00631F0D"/>
    <w:rsid w:val="006742A4"/>
    <w:rsid w:val="00683FF3"/>
    <w:rsid w:val="006C49AB"/>
    <w:rsid w:val="00717ADC"/>
    <w:rsid w:val="007319DF"/>
    <w:rsid w:val="0078290B"/>
    <w:rsid w:val="00784506"/>
    <w:rsid w:val="007B4521"/>
    <w:rsid w:val="007B63E0"/>
    <w:rsid w:val="00817AA9"/>
    <w:rsid w:val="008B0FBD"/>
    <w:rsid w:val="008F2912"/>
    <w:rsid w:val="00905F94"/>
    <w:rsid w:val="00911DA9"/>
    <w:rsid w:val="0091232D"/>
    <w:rsid w:val="009237FF"/>
    <w:rsid w:val="009A2896"/>
    <w:rsid w:val="009D29C3"/>
    <w:rsid w:val="00A0286B"/>
    <w:rsid w:val="00A10B07"/>
    <w:rsid w:val="00A1317C"/>
    <w:rsid w:val="00A3623F"/>
    <w:rsid w:val="00A62DDD"/>
    <w:rsid w:val="00A63D88"/>
    <w:rsid w:val="00AA4B88"/>
    <w:rsid w:val="00AD460D"/>
    <w:rsid w:val="00B020DC"/>
    <w:rsid w:val="00B23478"/>
    <w:rsid w:val="00B264EE"/>
    <w:rsid w:val="00B43B90"/>
    <w:rsid w:val="00B51B02"/>
    <w:rsid w:val="00B57188"/>
    <w:rsid w:val="00B81CF1"/>
    <w:rsid w:val="00B8774D"/>
    <w:rsid w:val="00BE72CD"/>
    <w:rsid w:val="00C6669A"/>
    <w:rsid w:val="00CB6497"/>
    <w:rsid w:val="00CE2507"/>
    <w:rsid w:val="00D711F3"/>
    <w:rsid w:val="00D86C95"/>
    <w:rsid w:val="00DE74B7"/>
    <w:rsid w:val="00E012A3"/>
    <w:rsid w:val="00E3214D"/>
    <w:rsid w:val="00E32E16"/>
    <w:rsid w:val="00E67FF1"/>
    <w:rsid w:val="00EB2149"/>
    <w:rsid w:val="00EC3F01"/>
    <w:rsid w:val="00EE16D2"/>
    <w:rsid w:val="00EE465F"/>
    <w:rsid w:val="00F070D0"/>
    <w:rsid w:val="00F10CCC"/>
    <w:rsid w:val="00F407D2"/>
    <w:rsid w:val="00F54437"/>
    <w:rsid w:val="00F818A1"/>
    <w:rsid w:val="00F868CE"/>
    <w:rsid w:val="00F93737"/>
    <w:rsid w:val="00FB4B55"/>
    <w:rsid w:val="00FC5EAC"/>
    <w:rsid w:val="00FD3636"/>
    <w:rsid w:val="00FE023B"/>
  </w:rsids>
  <m:mathPr>
    <m:mathFont m:val="Cambria Math"/>
    <m:brkBin m:val="before"/>
    <m:brkBinSub m:val="--"/>
    <m:smallFrac m:val="0"/>
    <m:dispDef/>
    <m:lMargin m:val="0"/>
    <m:rMargin m:val="0"/>
    <m:defJc m:val="centerGroup"/>
    <m:wrapIndent m:val="1440"/>
    <m:intLim m:val="subSup"/>
    <m:naryLim m:val="undOvr"/>
  </m:mathPr>
  <w:themeFontLang w:val="en-AU" w:bidi="ta-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6C7B3"/>
  <w15:chartTrackingRefBased/>
  <w15:docId w15:val="{28F12BB6-0752-4E39-997F-FF909E05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2CD"/>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link w:val="CaptionChar"/>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22"/>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3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72CD"/>
    <w:pPr>
      <w:spacing w:after="0" w:line="240" w:lineRule="auto"/>
      <w:ind w:left="720"/>
    </w:pPr>
    <w:rPr>
      <w:rFonts w:ascii="Calibri" w:hAnsi="Calibri" w:cs="Times New Roman"/>
    </w:rPr>
  </w:style>
  <w:style w:type="paragraph" w:customStyle="1" w:styleId="TPs1">
    <w:name w:val="TPs1"/>
    <w:basedOn w:val="ListParagraph"/>
    <w:link w:val="TPs1Char"/>
    <w:qFormat/>
    <w:rsid w:val="00BE72CD"/>
    <w:pPr>
      <w:numPr>
        <w:numId w:val="18"/>
      </w:numPr>
      <w:spacing w:after="200" w:line="276" w:lineRule="auto"/>
    </w:pPr>
    <w:rPr>
      <w:rFonts w:asciiTheme="minorHAnsi" w:hAnsiTheme="minorHAnsi" w:cstheme="minorBidi"/>
    </w:rPr>
  </w:style>
  <w:style w:type="character" w:customStyle="1" w:styleId="TPs1Char">
    <w:name w:val="TPs1 Char"/>
    <w:basedOn w:val="DefaultParagraphFont"/>
    <w:link w:val="TPs1"/>
    <w:rsid w:val="00BE72CD"/>
    <w:rPr>
      <w:rFonts w:asciiTheme="minorHAnsi" w:eastAsiaTheme="minorHAnsi" w:hAnsiTheme="minorHAnsi" w:cstheme="minorBidi"/>
      <w:sz w:val="22"/>
      <w:szCs w:val="22"/>
      <w:lang w:eastAsia="en-US"/>
    </w:rPr>
  </w:style>
  <w:style w:type="character" w:customStyle="1" w:styleId="CaptionChar">
    <w:name w:val="Caption Char"/>
    <w:basedOn w:val="DefaultParagraphFont"/>
    <w:link w:val="Caption"/>
    <w:uiPriority w:val="12"/>
    <w:rsid w:val="00BE72CD"/>
    <w:rPr>
      <w:b/>
      <w:bCs/>
      <w:sz w:val="24"/>
      <w:szCs w:val="18"/>
      <w:lang w:eastAsia="en-US"/>
    </w:rPr>
  </w:style>
  <w:style w:type="paragraph" w:customStyle="1" w:styleId="Pa131">
    <w:name w:val="Pa13+1"/>
    <w:basedOn w:val="Normal"/>
    <w:next w:val="Normal"/>
    <w:uiPriority w:val="99"/>
    <w:rsid w:val="00BE72CD"/>
    <w:pPr>
      <w:autoSpaceDE w:val="0"/>
      <w:autoSpaceDN w:val="0"/>
      <w:adjustRightInd w:val="0"/>
      <w:spacing w:after="0" w:line="161" w:lineRule="atLeast"/>
    </w:pPr>
    <w:rPr>
      <w:rFonts w:ascii="Helvetica-Narrow-Bold" w:eastAsia="Times New Roman" w:hAnsi="Helvetica-Narrow-Bold" w:cs="Mangal"/>
      <w:sz w:val="24"/>
      <w:szCs w:val="24"/>
      <w:lang w:val="en-US"/>
    </w:rPr>
  </w:style>
  <w:style w:type="paragraph" w:customStyle="1" w:styleId="Pa14">
    <w:name w:val="Pa14"/>
    <w:basedOn w:val="Normal"/>
    <w:next w:val="Normal"/>
    <w:uiPriority w:val="99"/>
    <w:rsid w:val="00BE72CD"/>
    <w:pPr>
      <w:autoSpaceDE w:val="0"/>
      <w:autoSpaceDN w:val="0"/>
      <w:adjustRightInd w:val="0"/>
      <w:spacing w:after="0" w:line="161" w:lineRule="atLeast"/>
    </w:pPr>
    <w:rPr>
      <w:rFonts w:ascii="Helvetica-Narrow-Bold" w:eastAsia="Times New Roman" w:hAnsi="Helvetica-Narrow-Bold" w:cs="Mangal"/>
      <w:sz w:val="24"/>
      <w:szCs w:val="24"/>
      <w:lang w:val="en-US"/>
    </w:rPr>
  </w:style>
  <w:style w:type="table" w:customStyle="1" w:styleId="TableGrid1">
    <w:name w:val="Table Grid1"/>
    <w:basedOn w:val="TableNormal"/>
    <w:next w:val="TableGrid"/>
    <w:uiPriority w:val="39"/>
    <w:rsid w:val="00BE72CD"/>
    <w:rPr>
      <w:rFonts w:ascii="Calibri" w:hAnsi="Calibri" w:cs="Lath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F6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we.gov.au/biosecurity-trade/policy/legislation/biosecurity-legislation" TargetMode="External"/><Relationship Id="rId13" Type="http://schemas.openxmlformats.org/officeDocument/2006/relationships/hyperlink" Target="mailto:plantstakeholders@awe.gov.au"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we.gov.au/biosecurity-trade/policy/legislation/biosecurity-legislation"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legislation.gov.au/Details/F2016L00756"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501A0086-68BB-4698-A92A-A2F19724BA4C}">
  <ds:schemaRefs>
    <ds:schemaRef ds:uri="http://schemas.openxmlformats.org/officeDocument/2006/bibliography"/>
  </ds:schemaRefs>
</ds:datastoreItem>
</file>

<file path=customXml/itemProps2.xml><?xml version="1.0" encoding="utf-8"?>
<ds:datastoreItem xmlns:ds="http://schemas.openxmlformats.org/officeDocument/2006/customXml" ds:itemID="{47A3BD34-DEED-41EC-ADF3-285C70451644}"/>
</file>

<file path=customXml/itemProps3.xml><?xml version="1.0" encoding="utf-8"?>
<ds:datastoreItem xmlns:ds="http://schemas.openxmlformats.org/officeDocument/2006/customXml" ds:itemID="{3BF8570C-8F3B-450D-B76D-DE1D4076A1F3}"/>
</file>

<file path=customXml/itemProps4.xml><?xml version="1.0" encoding="utf-8"?>
<ds:datastoreItem xmlns:ds="http://schemas.openxmlformats.org/officeDocument/2006/customXml" ds:itemID="{06B3C5F3-0956-41AC-AE3E-47E3E3683930}"/>
</file>

<file path=docProps/app.xml><?xml version="1.0" encoding="utf-8"?>
<Properties xmlns="http://schemas.openxmlformats.org/officeDocument/2006/extended-properties" xmlns:vt="http://schemas.openxmlformats.org/officeDocument/2006/docPropsVTypes">
  <Template>Normal.dotm</Template>
  <TotalTime>17</TotalTime>
  <Pages>3</Pages>
  <Words>1002</Words>
  <Characters>5717</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Default Word template</vt:lpstr>
    </vt:vector>
  </TitlesOfParts>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Water and the Environment</dc:title>
  <dc:subject/>
  <dc:creator>Department of Agriculture, Water and the Environment</dc:creator>
  <cp:keywords/>
  <dc:description/>
  <cp:lastPrinted>2018-07-30T05:21:00Z</cp:lastPrinted>
  <dcterms:created xsi:type="dcterms:W3CDTF">2022-01-31T07:01:00Z</dcterms:created>
  <dcterms:modified xsi:type="dcterms:W3CDTF">2022-02-03T22:32:00Z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