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A4" w:rsidRPr="00703118" w:rsidRDefault="00A113A4">
      <w:pPr>
        <w:rPr>
          <w:rFonts w:asciiTheme="majorHAnsi" w:hAnsiTheme="majorHAnsi"/>
          <w:sz w:val="20"/>
          <w:szCs w:val="20"/>
        </w:rPr>
      </w:pPr>
    </w:p>
    <w:p w:rsidR="00767E67" w:rsidRPr="00703118" w:rsidRDefault="00767E67">
      <w:pPr>
        <w:rPr>
          <w:rFonts w:asciiTheme="majorHAnsi" w:hAnsiTheme="majorHAnsi"/>
          <w:sz w:val="20"/>
          <w:szCs w:val="20"/>
        </w:rPr>
      </w:pPr>
      <w:r w:rsidRPr="00703118">
        <w:rPr>
          <w:rFonts w:asciiTheme="majorHAnsi" w:hAnsiTheme="majorHAnsi"/>
          <w:noProof/>
          <w:sz w:val="20"/>
          <w:szCs w:val="20"/>
        </w:rPr>
        <w:drawing>
          <wp:inline distT="0" distB="0" distL="0" distR="0">
            <wp:extent cx="2141950" cy="1085850"/>
            <wp:effectExtent l="19050" t="0" r="0" b="0"/>
            <wp:docPr id="2" name="Picture 0" descr="Caring for our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oc-pos-small.gif"/>
                    <pic:cNvPicPr/>
                  </pic:nvPicPr>
                  <pic:blipFill>
                    <a:blip r:embed="rId6" cstate="print"/>
                    <a:stretch>
                      <a:fillRect/>
                    </a:stretch>
                  </pic:blipFill>
                  <pic:spPr>
                    <a:xfrm>
                      <a:off x="0" y="0"/>
                      <a:ext cx="2146641" cy="1088228"/>
                    </a:xfrm>
                    <a:prstGeom prst="rect">
                      <a:avLst/>
                    </a:prstGeom>
                  </pic:spPr>
                </pic:pic>
              </a:graphicData>
            </a:graphic>
          </wp:inline>
        </w:drawing>
      </w:r>
    </w:p>
    <w:p w:rsidR="00767E67" w:rsidRPr="00703118" w:rsidRDefault="00767E67">
      <w:pPr>
        <w:rPr>
          <w:rFonts w:asciiTheme="majorHAnsi" w:hAnsiTheme="majorHAnsi"/>
          <w:sz w:val="20"/>
          <w:szCs w:val="20"/>
        </w:rPr>
      </w:pPr>
    </w:p>
    <w:p w:rsidR="00767E67" w:rsidRPr="00703118" w:rsidRDefault="00767E67" w:rsidP="00767E67">
      <w:pPr>
        <w:rPr>
          <w:rFonts w:asciiTheme="majorHAnsi" w:hAnsiTheme="majorHAnsi" w:cs="Arial"/>
          <w:b/>
        </w:rPr>
      </w:pPr>
      <w:bookmarkStart w:id="0" w:name="OLE_LINK1"/>
      <w:bookmarkStart w:id="1" w:name="OLE_LINK2"/>
      <w:bookmarkStart w:id="2" w:name="OLE_LINK5"/>
      <w:r w:rsidRPr="00703118">
        <w:rPr>
          <w:rFonts w:asciiTheme="majorHAnsi" w:hAnsiTheme="majorHAnsi" w:cs="Arial"/>
          <w:b/>
        </w:rPr>
        <w:t>Innovation Grants</w:t>
      </w:r>
    </w:p>
    <w:bookmarkEnd w:id="0"/>
    <w:bookmarkEnd w:id="1"/>
    <w:bookmarkEnd w:id="2"/>
    <w:p w:rsidR="00767E67" w:rsidRPr="00703118" w:rsidRDefault="00767E67" w:rsidP="00767E67">
      <w:pPr>
        <w:rPr>
          <w:rFonts w:asciiTheme="majorHAnsi" w:hAnsiTheme="majorHAnsi" w:cs="Arial"/>
        </w:rPr>
      </w:pPr>
    </w:p>
    <w:p w:rsidR="00767E67" w:rsidRPr="00703118" w:rsidRDefault="000469E4" w:rsidP="00767E67">
      <w:pPr>
        <w:rPr>
          <w:rFonts w:asciiTheme="majorHAnsi" w:hAnsiTheme="majorHAnsi" w:cs="Arial"/>
          <w:b/>
        </w:rPr>
      </w:pPr>
      <w:bookmarkStart w:id="3" w:name="OLE_LINK3"/>
      <w:bookmarkStart w:id="4" w:name="OLE_LINK4"/>
      <w:bookmarkStart w:id="5" w:name="OLE_LINK6"/>
      <w:bookmarkStart w:id="6" w:name="OLE_LINK7"/>
      <w:r>
        <w:rPr>
          <w:rFonts w:asciiTheme="majorHAnsi" w:hAnsiTheme="majorHAnsi" w:cs="Arial"/>
          <w:b/>
        </w:rPr>
        <w:t>2013-2014 s</w:t>
      </w:r>
      <w:r w:rsidR="00767E67" w:rsidRPr="00703118">
        <w:rPr>
          <w:rFonts w:asciiTheme="majorHAnsi" w:hAnsiTheme="majorHAnsi" w:cs="Arial"/>
          <w:b/>
        </w:rPr>
        <w:t>uccessful projects</w:t>
      </w:r>
      <w:bookmarkEnd w:id="3"/>
      <w:bookmarkEnd w:id="4"/>
    </w:p>
    <w:bookmarkEnd w:id="5"/>
    <w:bookmarkEnd w:id="6"/>
    <w:p w:rsidR="00767E67" w:rsidRDefault="00767E67" w:rsidP="00767E67">
      <w:pPr>
        <w:rPr>
          <w:rFonts w:asciiTheme="majorHAnsi" w:hAnsiTheme="majorHAnsi" w:cs="Arial"/>
          <w:b/>
        </w:rPr>
      </w:pPr>
    </w:p>
    <w:p w:rsidR="001E6B81" w:rsidRPr="00703118" w:rsidRDefault="001E6B81" w:rsidP="00767E67">
      <w:pPr>
        <w:rPr>
          <w:rFonts w:asciiTheme="majorHAnsi" w:hAnsiTheme="majorHAnsi" w:cs="Arial"/>
          <w:b/>
        </w:rPr>
      </w:pPr>
    </w:p>
    <w:p w:rsidR="00767E67" w:rsidRPr="00703118" w:rsidRDefault="00767E67" w:rsidP="00767E67">
      <w:pPr>
        <w:tabs>
          <w:tab w:val="left" w:pos="778"/>
          <w:tab w:val="left" w:pos="3613"/>
          <w:tab w:val="left" w:pos="6448"/>
        </w:tabs>
        <w:rPr>
          <w:rFonts w:asciiTheme="majorHAnsi" w:hAnsiTheme="majorHAnsi" w:cs="Calibri"/>
          <w:b/>
          <w:color w:val="000000"/>
        </w:rPr>
      </w:pPr>
      <w:r w:rsidRPr="00703118">
        <w:rPr>
          <w:rFonts w:asciiTheme="majorHAnsi" w:hAnsiTheme="majorHAnsi" w:cs="Calibri"/>
          <w:b/>
          <w:color w:val="000000"/>
        </w:rPr>
        <w:t>National</w:t>
      </w:r>
    </w:p>
    <w:tbl>
      <w:tblPr>
        <w:tblW w:w="154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2126"/>
        <w:gridCol w:w="3745"/>
        <w:gridCol w:w="6856"/>
        <w:gridCol w:w="1701"/>
      </w:tblGrid>
      <w:tr w:rsidR="00767E67" w:rsidRPr="00703118" w:rsidTr="001E6B81">
        <w:trPr>
          <w:trHeight w:val="290"/>
        </w:trPr>
        <w:tc>
          <w:tcPr>
            <w:tcW w:w="943" w:type="dxa"/>
            <w:shd w:val="clear" w:color="auto" w:fill="auto"/>
            <w:noWrap/>
            <w:hideMark/>
          </w:tcPr>
          <w:p w:rsidR="00767E67" w:rsidRPr="00703118" w:rsidRDefault="00767E67" w:rsidP="00767E67">
            <w:pPr>
              <w:rPr>
                <w:rFonts w:asciiTheme="majorHAnsi" w:hAnsiTheme="majorHAnsi"/>
                <w:sz w:val="20"/>
                <w:szCs w:val="20"/>
              </w:rPr>
            </w:pPr>
            <w:r w:rsidRPr="00703118">
              <w:rPr>
                <w:rFonts w:asciiTheme="majorHAnsi" w:hAnsiTheme="majorHAnsi" w:cs="Calibri"/>
                <w:b/>
                <w:bCs/>
                <w:color w:val="000000"/>
                <w:sz w:val="20"/>
                <w:szCs w:val="20"/>
              </w:rPr>
              <w:t>State</w:t>
            </w:r>
          </w:p>
        </w:tc>
        <w:tc>
          <w:tcPr>
            <w:tcW w:w="2126" w:type="dxa"/>
            <w:shd w:val="clear" w:color="auto" w:fill="auto"/>
            <w:noWrap/>
            <w:hideMark/>
          </w:tcPr>
          <w:p w:rsidR="00767E67" w:rsidRPr="00703118" w:rsidRDefault="00767E67" w:rsidP="00767E67">
            <w:pPr>
              <w:rPr>
                <w:rFonts w:asciiTheme="majorHAnsi" w:hAnsiTheme="majorHAnsi"/>
                <w:sz w:val="20"/>
                <w:szCs w:val="20"/>
              </w:rPr>
            </w:pPr>
            <w:r w:rsidRPr="00703118">
              <w:rPr>
                <w:rFonts w:asciiTheme="majorHAnsi" w:hAnsiTheme="majorHAnsi" w:cs="Calibri"/>
                <w:b/>
                <w:bCs/>
                <w:color w:val="000000"/>
                <w:sz w:val="20"/>
                <w:szCs w:val="20"/>
              </w:rPr>
              <w:t>Recipient</w:t>
            </w:r>
          </w:p>
        </w:tc>
        <w:tc>
          <w:tcPr>
            <w:tcW w:w="3745" w:type="dxa"/>
            <w:shd w:val="clear" w:color="auto" w:fill="auto"/>
            <w:noWrap/>
            <w:hideMark/>
          </w:tcPr>
          <w:p w:rsidR="00767E67" w:rsidRPr="00703118" w:rsidRDefault="00767E67" w:rsidP="00767E67">
            <w:pPr>
              <w:rPr>
                <w:rFonts w:asciiTheme="majorHAnsi" w:hAnsiTheme="majorHAnsi"/>
                <w:sz w:val="20"/>
                <w:szCs w:val="20"/>
              </w:rPr>
            </w:pPr>
            <w:r w:rsidRPr="002A7E35">
              <w:rPr>
                <w:rFonts w:asciiTheme="majorHAnsi" w:hAnsiTheme="majorHAnsi" w:cs="Calibri"/>
                <w:b/>
                <w:bCs/>
                <w:color w:val="000000"/>
                <w:sz w:val="20"/>
                <w:szCs w:val="20"/>
              </w:rPr>
              <w:t>Project Title</w:t>
            </w:r>
          </w:p>
        </w:tc>
        <w:tc>
          <w:tcPr>
            <w:tcW w:w="6912" w:type="dxa"/>
          </w:tcPr>
          <w:p w:rsidR="00767E67" w:rsidRPr="00703118" w:rsidRDefault="00767E67" w:rsidP="00767E67">
            <w:pPr>
              <w:rPr>
                <w:rFonts w:asciiTheme="majorHAnsi" w:hAnsiTheme="majorHAnsi"/>
                <w:sz w:val="20"/>
                <w:szCs w:val="20"/>
              </w:rPr>
            </w:pPr>
            <w:r w:rsidRPr="002A7E35">
              <w:rPr>
                <w:rFonts w:asciiTheme="majorHAnsi" w:hAnsiTheme="majorHAnsi" w:cs="Calibri"/>
                <w:b/>
                <w:bCs/>
                <w:color w:val="000000"/>
                <w:sz w:val="20"/>
                <w:szCs w:val="20"/>
              </w:rPr>
              <w:t>Project Description</w:t>
            </w:r>
          </w:p>
        </w:tc>
        <w:tc>
          <w:tcPr>
            <w:tcW w:w="1701" w:type="dxa"/>
            <w:shd w:val="clear" w:color="auto" w:fill="auto"/>
            <w:noWrap/>
            <w:vAlign w:val="center"/>
            <w:hideMark/>
          </w:tcPr>
          <w:p w:rsidR="00767E67" w:rsidRPr="00703118" w:rsidRDefault="00767E67" w:rsidP="001E6B81">
            <w:pPr>
              <w:jc w:val="center"/>
              <w:rPr>
                <w:rFonts w:asciiTheme="majorHAnsi" w:hAnsiTheme="majorHAnsi"/>
                <w:sz w:val="20"/>
                <w:szCs w:val="20"/>
              </w:rPr>
            </w:pPr>
            <w:r w:rsidRPr="00703118">
              <w:rPr>
                <w:rFonts w:asciiTheme="majorHAnsi" w:hAnsiTheme="majorHAnsi" w:cs="Calibri"/>
                <w:b/>
                <w:bCs/>
                <w:color w:val="000000"/>
                <w:sz w:val="20"/>
                <w:szCs w:val="20"/>
              </w:rPr>
              <w:t xml:space="preserve">Funding </w:t>
            </w:r>
            <w:r w:rsidRPr="00703118">
              <w:rPr>
                <w:rFonts w:asciiTheme="majorHAnsi" w:hAnsiTheme="majorHAnsi" w:cs="Calibri"/>
                <w:b/>
                <w:bCs/>
                <w:color w:val="000000"/>
                <w:sz w:val="20"/>
                <w:szCs w:val="20"/>
              </w:rPr>
              <w:br/>
            </w:r>
            <w:r w:rsidRPr="002A7E35">
              <w:rPr>
                <w:rFonts w:asciiTheme="majorHAnsi" w:hAnsiTheme="majorHAnsi" w:cs="Calibri"/>
                <w:b/>
                <w:bCs/>
                <w:color w:val="000000"/>
                <w:sz w:val="20"/>
                <w:szCs w:val="20"/>
              </w:rPr>
              <w:t>GST Inc</w:t>
            </w:r>
          </w:p>
        </w:tc>
      </w:tr>
      <w:tr w:rsidR="00767E67" w:rsidRPr="00703118" w:rsidTr="001E6B81">
        <w:trPr>
          <w:trHeight w:val="290"/>
        </w:trPr>
        <w:tc>
          <w:tcPr>
            <w:tcW w:w="943" w:type="dxa"/>
            <w:shd w:val="clear" w:color="auto" w:fill="auto"/>
            <w:noWrap/>
            <w:vAlign w:val="center"/>
            <w:hideMark/>
          </w:tcPr>
          <w:p w:rsidR="00767E67" w:rsidRPr="00703118" w:rsidRDefault="00767E67" w:rsidP="001E6B81">
            <w:pPr>
              <w:rPr>
                <w:rFonts w:asciiTheme="majorHAnsi" w:hAnsiTheme="majorHAnsi"/>
                <w:b/>
                <w:sz w:val="20"/>
                <w:szCs w:val="20"/>
              </w:rPr>
            </w:pPr>
            <w:r w:rsidRPr="00703118">
              <w:rPr>
                <w:rFonts w:asciiTheme="majorHAnsi" w:hAnsiTheme="majorHAnsi"/>
                <w:b/>
                <w:sz w:val="20"/>
                <w:szCs w:val="20"/>
              </w:rPr>
              <w:t>National</w:t>
            </w:r>
          </w:p>
        </w:tc>
        <w:tc>
          <w:tcPr>
            <w:tcW w:w="2126" w:type="dxa"/>
            <w:shd w:val="clear" w:color="auto" w:fill="auto"/>
            <w:noWrap/>
            <w:vAlign w:val="center"/>
            <w:hideMark/>
          </w:tcPr>
          <w:p w:rsidR="00767E67" w:rsidRPr="00703118" w:rsidRDefault="00767E67" w:rsidP="001E6B81">
            <w:pPr>
              <w:rPr>
                <w:rFonts w:asciiTheme="majorHAnsi" w:hAnsiTheme="majorHAnsi"/>
                <w:sz w:val="20"/>
                <w:szCs w:val="20"/>
              </w:rPr>
            </w:pPr>
            <w:r w:rsidRPr="002A7E35">
              <w:rPr>
                <w:rFonts w:asciiTheme="majorHAnsi" w:hAnsiTheme="majorHAnsi" w:cs="Calibri"/>
                <w:color w:val="000000"/>
                <w:sz w:val="20"/>
                <w:szCs w:val="20"/>
              </w:rPr>
              <w:t>Dairy Australia Limited</w:t>
            </w:r>
          </w:p>
        </w:tc>
        <w:tc>
          <w:tcPr>
            <w:tcW w:w="3745" w:type="dxa"/>
            <w:shd w:val="clear" w:color="auto" w:fill="auto"/>
            <w:noWrap/>
            <w:vAlign w:val="center"/>
            <w:hideMark/>
          </w:tcPr>
          <w:p w:rsidR="00767E67" w:rsidRPr="00703118" w:rsidRDefault="00767E67" w:rsidP="001E6B81">
            <w:pPr>
              <w:rPr>
                <w:rFonts w:asciiTheme="majorHAnsi" w:hAnsiTheme="majorHAnsi"/>
                <w:sz w:val="20"/>
                <w:szCs w:val="20"/>
              </w:rPr>
            </w:pPr>
            <w:r w:rsidRPr="00703118">
              <w:rPr>
                <w:rFonts w:asciiTheme="majorHAnsi" w:hAnsiTheme="majorHAnsi"/>
                <w:sz w:val="20"/>
                <w:szCs w:val="20"/>
              </w:rPr>
              <w:t>Dairy industry responding to market signals to promote sustainable practices</w:t>
            </w:r>
          </w:p>
        </w:tc>
        <w:tc>
          <w:tcPr>
            <w:tcW w:w="6912" w:type="dxa"/>
            <w:vAlign w:val="center"/>
          </w:tcPr>
          <w:p w:rsidR="00767E67" w:rsidRPr="00703118" w:rsidRDefault="00767E67" w:rsidP="001E6B81">
            <w:pPr>
              <w:rPr>
                <w:rFonts w:asciiTheme="majorHAnsi" w:hAnsiTheme="majorHAnsi"/>
                <w:sz w:val="20"/>
                <w:szCs w:val="20"/>
              </w:rPr>
            </w:pPr>
            <w:r w:rsidRPr="00703118">
              <w:rPr>
                <w:rFonts w:asciiTheme="majorHAnsi" w:hAnsiTheme="majorHAnsi"/>
                <w:sz w:val="20"/>
                <w:szCs w:val="20"/>
              </w:rPr>
              <w:t>This project will deliver a pre-competitive soil and fertiliser information and reporting platform that links real time fertiliser application with industry best practice fertiliser and soil management advice (Fert$mart). The outputs from this platform will enable the Australian dairy industry to demonstrate progress against industry sustainability targets whilst adding value to farmer decision making.</w:t>
            </w:r>
          </w:p>
        </w:tc>
        <w:tc>
          <w:tcPr>
            <w:tcW w:w="1701" w:type="dxa"/>
            <w:shd w:val="clear" w:color="auto" w:fill="auto"/>
            <w:noWrap/>
            <w:vAlign w:val="center"/>
            <w:hideMark/>
          </w:tcPr>
          <w:p w:rsidR="00767E67" w:rsidRPr="00703118" w:rsidRDefault="001E6B81" w:rsidP="001E6B81">
            <w:pPr>
              <w:jc w:val="center"/>
              <w:rPr>
                <w:rFonts w:asciiTheme="majorHAnsi" w:hAnsiTheme="majorHAnsi"/>
                <w:sz w:val="20"/>
                <w:szCs w:val="20"/>
              </w:rPr>
            </w:pPr>
            <w:r>
              <w:rPr>
                <w:rFonts w:asciiTheme="majorHAnsi" w:hAnsiTheme="majorHAnsi"/>
                <w:sz w:val="20"/>
                <w:szCs w:val="20"/>
              </w:rPr>
              <w:t>$</w:t>
            </w:r>
            <w:r w:rsidR="00767E67" w:rsidRPr="00703118">
              <w:rPr>
                <w:rFonts w:asciiTheme="majorHAnsi" w:hAnsiTheme="majorHAnsi"/>
                <w:sz w:val="20"/>
                <w:szCs w:val="20"/>
              </w:rPr>
              <w:t>341</w:t>
            </w:r>
            <w:r>
              <w:rPr>
                <w:rFonts w:asciiTheme="majorHAnsi" w:hAnsiTheme="majorHAnsi"/>
                <w:sz w:val="20"/>
                <w:szCs w:val="20"/>
              </w:rPr>
              <w:t xml:space="preserve"> </w:t>
            </w:r>
            <w:r w:rsidR="00767E67" w:rsidRPr="00703118">
              <w:rPr>
                <w:rFonts w:asciiTheme="majorHAnsi" w:hAnsiTheme="majorHAnsi"/>
                <w:sz w:val="20"/>
                <w:szCs w:val="20"/>
              </w:rPr>
              <w:t>000</w:t>
            </w:r>
          </w:p>
        </w:tc>
      </w:tr>
      <w:tr w:rsidR="00767E67" w:rsidRPr="00703118" w:rsidTr="001E6B81">
        <w:trPr>
          <w:trHeight w:val="290"/>
        </w:trPr>
        <w:tc>
          <w:tcPr>
            <w:tcW w:w="943" w:type="dxa"/>
            <w:shd w:val="clear" w:color="auto" w:fill="auto"/>
            <w:noWrap/>
            <w:vAlign w:val="center"/>
          </w:tcPr>
          <w:p w:rsidR="00767E67" w:rsidRPr="00703118" w:rsidRDefault="00767E67" w:rsidP="001E6B81">
            <w:pPr>
              <w:rPr>
                <w:rFonts w:asciiTheme="majorHAnsi" w:hAnsiTheme="majorHAnsi"/>
                <w:b/>
                <w:sz w:val="20"/>
                <w:szCs w:val="20"/>
              </w:rPr>
            </w:pPr>
            <w:r w:rsidRPr="00703118">
              <w:rPr>
                <w:rFonts w:asciiTheme="majorHAnsi" w:hAnsiTheme="majorHAnsi"/>
                <w:b/>
                <w:sz w:val="20"/>
                <w:szCs w:val="20"/>
              </w:rPr>
              <w:t>National</w:t>
            </w:r>
          </w:p>
        </w:tc>
        <w:tc>
          <w:tcPr>
            <w:tcW w:w="2126" w:type="dxa"/>
            <w:shd w:val="clear" w:color="auto" w:fill="auto"/>
            <w:noWrap/>
            <w:vAlign w:val="center"/>
          </w:tcPr>
          <w:p w:rsidR="00767E67" w:rsidRPr="00703118" w:rsidRDefault="00767E67" w:rsidP="001E6B81">
            <w:pPr>
              <w:rPr>
                <w:rFonts w:asciiTheme="majorHAnsi" w:hAnsiTheme="majorHAnsi"/>
                <w:sz w:val="20"/>
                <w:szCs w:val="20"/>
              </w:rPr>
            </w:pPr>
            <w:r w:rsidRPr="002A7E35">
              <w:rPr>
                <w:rFonts w:asciiTheme="majorHAnsi" w:hAnsiTheme="majorHAnsi" w:cs="Calibri"/>
                <w:color w:val="000000"/>
                <w:sz w:val="20"/>
                <w:szCs w:val="20"/>
              </w:rPr>
              <w:t>South West NRM Ltd</w:t>
            </w:r>
          </w:p>
        </w:tc>
        <w:tc>
          <w:tcPr>
            <w:tcW w:w="3745" w:type="dxa"/>
            <w:shd w:val="clear" w:color="auto" w:fill="auto"/>
            <w:noWrap/>
            <w:vAlign w:val="center"/>
          </w:tcPr>
          <w:p w:rsidR="00767E67" w:rsidRPr="00703118" w:rsidRDefault="00767E67" w:rsidP="001E6B81">
            <w:pPr>
              <w:rPr>
                <w:rFonts w:asciiTheme="majorHAnsi" w:hAnsiTheme="majorHAnsi"/>
                <w:sz w:val="20"/>
                <w:szCs w:val="20"/>
              </w:rPr>
            </w:pPr>
            <w:r w:rsidRPr="00703118">
              <w:rPr>
                <w:rFonts w:asciiTheme="majorHAnsi" w:hAnsiTheme="majorHAnsi"/>
                <w:sz w:val="20"/>
                <w:szCs w:val="20"/>
              </w:rPr>
              <w:t>Stage 1 - NRM Spatial Hub - underpinning better management decisions in the Rangelands</w:t>
            </w:r>
          </w:p>
        </w:tc>
        <w:tc>
          <w:tcPr>
            <w:tcW w:w="6912" w:type="dxa"/>
            <w:vAlign w:val="center"/>
          </w:tcPr>
          <w:p w:rsidR="00767E67" w:rsidRPr="00703118" w:rsidRDefault="00767E67" w:rsidP="001E6B81">
            <w:pPr>
              <w:rPr>
                <w:rFonts w:asciiTheme="majorHAnsi" w:hAnsiTheme="majorHAnsi"/>
                <w:sz w:val="20"/>
                <w:szCs w:val="20"/>
              </w:rPr>
            </w:pPr>
            <w:r w:rsidRPr="00703118">
              <w:rPr>
                <w:rFonts w:asciiTheme="majorHAnsi" w:hAnsiTheme="majorHAnsi"/>
                <w:sz w:val="20"/>
                <w:szCs w:val="20"/>
              </w:rPr>
              <w:t>The NRM Spatial Hub (The Hub) is a central element of the 15 year blueprint of the Australian Rangelands Initiative. The Hub aims to address soil loss through wind erosion, sustainable production &amp; native vegetation management in 12 regions across the rangelands. The initiative will work with land owners and managers and NRM bodies to implement and demonstrate next-generation spatial information systems, tools, data, and skills, and assist land managers to achieve sustainable production &amp; ecosystem services outcomes. With the support of extension and technical specialists, the Hub will establish super-sites of over 50,000 sq km in each region where best practice on-line digital farm planning will be demonstrated that incorporates world-leading time-series remote sensing of ground cover that will overcome barriers to long-term monitoring.</w:t>
            </w:r>
          </w:p>
        </w:tc>
        <w:tc>
          <w:tcPr>
            <w:tcW w:w="1701" w:type="dxa"/>
            <w:shd w:val="clear" w:color="auto" w:fill="auto"/>
            <w:noWrap/>
            <w:vAlign w:val="center"/>
          </w:tcPr>
          <w:p w:rsidR="00767E67" w:rsidRPr="00703118" w:rsidRDefault="001E6B81" w:rsidP="001E6B81">
            <w:pPr>
              <w:jc w:val="center"/>
              <w:rPr>
                <w:rFonts w:asciiTheme="majorHAnsi" w:hAnsiTheme="majorHAnsi"/>
                <w:sz w:val="20"/>
                <w:szCs w:val="20"/>
              </w:rPr>
            </w:pPr>
            <w:r>
              <w:rPr>
                <w:rFonts w:asciiTheme="majorHAnsi" w:hAnsiTheme="majorHAnsi"/>
                <w:sz w:val="20"/>
                <w:szCs w:val="20"/>
              </w:rPr>
              <w:t>$</w:t>
            </w:r>
            <w:r w:rsidR="00767E67" w:rsidRPr="00703118">
              <w:rPr>
                <w:rFonts w:asciiTheme="majorHAnsi" w:hAnsiTheme="majorHAnsi"/>
                <w:sz w:val="20"/>
                <w:szCs w:val="20"/>
              </w:rPr>
              <w:t>1</w:t>
            </w:r>
            <w:r>
              <w:rPr>
                <w:rFonts w:asciiTheme="majorHAnsi" w:hAnsiTheme="majorHAnsi"/>
                <w:sz w:val="20"/>
                <w:szCs w:val="20"/>
              </w:rPr>
              <w:t xml:space="preserve"> </w:t>
            </w:r>
            <w:r w:rsidR="00767E67" w:rsidRPr="00703118">
              <w:rPr>
                <w:rFonts w:asciiTheme="majorHAnsi" w:hAnsiTheme="majorHAnsi"/>
                <w:sz w:val="20"/>
                <w:szCs w:val="20"/>
              </w:rPr>
              <w:t>650</w:t>
            </w:r>
            <w:r>
              <w:rPr>
                <w:rFonts w:asciiTheme="majorHAnsi" w:hAnsiTheme="majorHAnsi"/>
                <w:sz w:val="20"/>
                <w:szCs w:val="20"/>
              </w:rPr>
              <w:t xml:space="preserve"> </w:t>
            </w:r>
            <w:r w:rsidR="00767E67" w:rsidRPr="00703118">
              <w:rPr>
                <w:rFonts w:asciiTheme="majorHAnsi" w:hAnsiTheme="majorHAnsi"/>
                <w:sz w:val="20"/>
                <w:szCs w:val="20"/>
              </w:rPr>
              <w:t>000</w:t>
            </w:r>
          </w:p>
        </w:tc>
      </w:tr>
      <w:tr w:rsidR="00767E67" w:rsidRPr="00703118" w:rsidTr="001E6B81">
        <w:trPr>
          <w:trHeight w:val="290"/>
        </w:trPr>
        <w:tc>
          <w:tcPr>
            <w:tcW w:w="943" w:type="dxa"/>
            <w:shd w:val="clear" w:color="auto" w:fill="auto"/>
            <w:noWrap/>
            <w:vAlign w:val="center"/>
          </w:tcPr>
          <w:p w:rsidR="00767E67" w:rsidRPr="00703118" w:rsidRDefault="00767E67" w:rsidP="001E6B81">
            <w:pPr>
              <w:rPr>
                <w:rFonts w:asciiTheme="majorHAnsi" w:hAnsiTheme="majorHAnsi"/>
                <w:b/>
                <w:sz w:val="20"/>
                <w:szCs w:val="20"/>
              </w:rPr>
            </w:pPr>
            <w:r w:rsidRPr="00703118">
              <w:rPr>
                <w:rFonts w:asciiTheme="majorHAnsi" w:hAnsiTheme="majorHAnsi"/>
                <w:b/>
                <w:sz w:val="20"/>
                <w:szCs w:val="20"/>
              </w:rPr>
              <w:t>National</w:t>
            </w:r>
          </w:p>
        </w:tc>
        <w:tc>
          <w:tcPr>
            <w:tcW w:w="2126" w:type="dxa"/>
            <w:shd w:val="clear" w:color="auto" w:fill="auto"/>
            <w:noWrap/>
            <w:vAlign w:val="center"/>
          </w:tcPr>
          <w:p w:rsidR="00767E67" w:rsidRPr="00703118" w:rsidRDefault="00767E67" w:rsidP="001E6B81">
            <w:pPr>
              <w:rPr>
                <w:rFonts w:asciiTheme="majorHAnsi" w:hAnsiTheme="majorHAnsi"/>
                <w:sz w:val="20"/>
                <w:szCs w:val="20"/>
              </w:rPr>
            </w:pPr>
            <w:r w:rsidRPr="002A7E35">
              <w:rPr>
                <w:rFonts w:asciiTheme="majorHAnsi" w:hAnsiTheme="majorHAnsi" w:cs="Calibri"/>
                <w:color w:val="000000"/>
                <w:sz w:val="20"/>
                <w:szCs w:val="20"/>
              </w:rPr>
              <w:t>Australian Agroforestry Foundation</w:t>
            </w:r>
          </w:p>
        </w:tc>
        <w:tc>
          <w:tcPr>
            <w:tcW w:w="3745" w:type="dxa"/>
            <w:shd w:val="clear" w:color="auto" w:fill="auto"/>
            <w:noWrap/>
            <w:vAlign w:val="center"/>
          </w:tcPr>
          <w:p w:rsidR="00767E67" w:rsidRPr="00703118" w:rsidRDefault="00767E67" w:rsidP="001E6B81">
            <w:pPr>
              <w:rPr>
                <w:rFonts w:asciiTheme="majorHAnsi" w:hAnsiTheme="majorHAnsi"/>
                <w:sz w:val="20"/>
                <w:szCs w:val="20"/>
              </w:rPr>
            </w:pPr>
            <w:r w:rsidRPr="00703118">
              <w:rPr>
                <w:rFonts w:asciiTheme="majorHAnsi" w:hAnsiTheme="majorHAnsi"/>
                <w:sz w:val="20"/>
                <w:szCs w:val="20"/>
              </w:rPr>
              <w:t>Master TreeGrower &amp; Peer Group Mentoring: farm trees for conservation and profit</w:t>
            </w:r>
          </w:p>
        </w:tc>
        <w:tc>
          <w:tcPr>
            <w:tcW w:w="6912" w:type="dxa"/>
            <w:vAlign w:val="center"/>
          </w:tcPr>
          <w:p w:rsidR="00767E67" w:rsidRPr="00703118" w:rsidRDefault="00767E67" w:rsidP="001E6B81">
            <w:pPr>
              <w:rPr>
                <w:rFonts w:asciiTheme="majorHAnsi" w:hAnsiTheme="majorHAnsi"/>
                <w:sz w:val="20"/>
                <w:szCs w:val="20"/>
              </w:rPr>
            </w:pPr>
            <w:r w:rsidRPr="00703118">
              <w:rPr>
                <w:rFonts w:asciiTheme="majorHAnsi" w:hAnsiTheme="majorHAnsi"/>
                <w:sz w:val="20"/>
                <w:szCs w:val="20"/>
              </w:rPr>
              <w:t>Using the innovative extension models developed and trialled over 20 years, this project will stimulate investment in revegetation and tree management on farms. Practical science-based knowledge, developing credible information networks and providing guidance that farmers trust - can result in more trees being planted and managed on farms leading to reduced land degradation, improved off-site water quality, increased carbon sequestration and the prospect of increased and more diversified farm income from the sale of native foods, timber, biofuels, tree seed, flowers, honey, essential oils and environmental services.</w:t>
            </w:r>
          </w:p>
        </w:tc>
        <w:tc>
          <w:tcPr>
            <w:tcW w:w="1701" w:type="dxa"/>
            <w:shd w:val="clear" w:color="auto" w:fill="auto"/>
            <w:noWrap/>
            <w:vAlign w:val="center"/>
          </w:tcPr>
          <w:p w:rsidR="00767E67" w:rsidRPr="00703118" w:rsidRDefault="001E6B81" w:rsidP="001E6B81">
            <w:pPr>
              <w:jc w:val="center"/>
              <w:rPr>
                <w:rFonts w:asciiTheme="majorHAnsi" w:hAnsiTheme="majorHAnsi"/>
                <w:sz w:val="20"/>
                <w:szCs w:val="20"/>
              </w:rPr>
            </w:pPr>
            <w:r>
              <w:rPr>
                <w:rFonts w:asciiTheme="majorHAnsi" w:hAnsiTheme="majorHAnsi"/>
                <w:sz w:val="20"/>
                <w:szCs w:val="20"/>
              </w:rPr>
              <w:t>$</w:t>
            </w:r>
            <w:r w:rsidR="00767E67" w:rsidRPr="00703118">
              <w:rPr>
                <w:rFonts w:asciiTheme="majorHAnsi" w:hAnsiTheme="majorHAnsi"/>
                <w:sz w:val="20"/>
                <w:szCs w:val="20"/>
              </w:rPr>
              <w:t>770</w:t>
            </w:r>
            <w:r>
              <w:rPr>
                <w:rFonts w:asciiTheme="majorHAnsi" w:hAnsiTheme="majorHAnsi"/>
                <w:sz w:val="20"/>
                <w:szCs w:val="20"/>
              </w:rPr>
              <w:t xml:space="preserve"> </w:t>
            </w:r>
            <w:r w:rsidR="00767E67" w:rsidRPr="00703118">
              <w:rPr>
                <w:rFonts w:asciiTheme="majorHAnsi" w:hAnsiTheme="majorHAnsi"/>
                <w:sz w:val="20"/>
                <w:szCs w:val="20"/>
              </w:rPr>
              <w:t>000</w:t>
            </w:r>
          </w:p>
          <w:p w:rsidR="00767E67" w:rsidRPr="00703118" w:rsidRDefault="00767E67" w:rsidP="001E6B81">
            <w:pPr>
              <w:jc w:val="center"/>
              <w:rPr>
                <w:rFonts w:asciiTheme="majorHAnsi" w:hAnsiTheme="majorHAnsi"/>
                <w:sz w:val="20"/>
                <w:szCs w:val="20"/>
              </w:rPr>
            </w:pPr>
          </w:p>
        </w:tc>
      </w:tr>
      <w:tr w:rsidR="00767E67" w:rsidRPr="00703118" w:rsidTr="001E6B81">
        <w:trPr>
          <w:trHeight w:val="290"/>
        </w:trPr>
        <w:tc>
          <w:tcPr>
            <w:tcW w:w="943" w:type="dxa"/>
            <w:shd w:val="clear" w:color="auto" w:fill="auto"/>
            <w:noWrap/>
            <w:vAlign w:val="center"/>
          </w:tcPr>
          <w:p w:rsidR="00767E67" w:rsidRPr="00703118" w:rsidRDefault="00767E67" w:rsidP="001E6B81">
            <w:pPr>
              <w:rPr>
                <w:rFonts w:asciiTheme="majorHAnsi" w:hAnsiTheme="majorHAnsi"/>
                <w:b/>
                <w:sz w:val="20"/>
                <w:szCs w:val="20"/>
              </w:rPr>
            </w:pPr>
            <w:r w:rsidRPr="00703118">
              <w:rPr>
                <w:rFonts w:asciiTheme="majorHAnsi" w:hAnsiTheme="majorHAnsi"/>
                <w:b/>
                <w:sz w:val="20"/>
                <w:szCs w:val="20"/>
              </w:rPr>
              <w:lastRenderedPageBreak/>
              <w:t>National</w:t>
            </w:r>
          </w:p>
        </w:tc>
        <w:tc>
          <w:tcPr>
            <w:tcW w:w="2126" w:type="dxa"/>
            <w:shd w:val="clear" w:color="auto" w:fill="auto"/>
            <w:noWrap/>
            <w:vAlign w:val="center"/>
          </w:tcPr>
          <w:p w:rsidR="00767E67" w:rsidRPr="00703118" w:rsidRDefault="00767E67" w:rsidP="001E6B81">
            <w:pPr>
              <w:rPr>
                <w:rFonts w:asciiTheme="majorHAnsi" w:hAnsiTheme="majorHAnsi"/>
                <w:sz w:val="20"/>
                <w:szCs w:val="20"/>
              </w:rPr>
            </w:pPr>
            <w:r w:rsidRPr="002A7E35">
              <w:rPr>
                <w:rFonts w:asciiTheme="majorHAnsi" w:hAnsiTheme="majorHAnsi" w:cs="Calibri"/>
                <w:color w:val="000000"/>
                <w:sz w:val="20"/>
                <w:szCs w:val="20"/>
              </w:rPr>
              <w:t>Plant Health Australia Limited</w:t>
            </w:r>
          </w:p>
        </w:tc>
        <w:tc>
          <w:tcPr>
            <w:tcW w:w="3745" w:type="dxa"/>
            <w:shd w:val="clear" w:color="auto" w:fill="auto"/>
            <w:noWrap/>
            <w:vAlign w:val="center"/>
          </w:tcPr>
          <w:p w:rsidR="00767E67" w:rsidRPr="00703118" w:rsidRDefault="00767E67" w:rsidP="001E6B81">
            <w:pPr>
              <w:rPr>
                <w:rFonts w:asciiTheme="majorHAnsi" w:hAnsiTheme="majorHAnsi"/>
                <w:sz w:val="20"/>
                <w:szCs w:val="20"/>
              </w:rPr>
            </w:pPr>
            <w:r w:rsidRPr="00703118">
              <w:rPr>
                <w:rFonts w:asciiTheme="majorHAnsi" w:hAnsiTheme="majorHAnsi"/>
                <w:sz w:val="20"/>
                <w:szCs w:val="20"/>
              </w:rPr>
              <w:t>National Surveillance System for Weeds and Plant Pests: Virtual Coordination Centre</w:t>
            </w:r>
          </w:p>
        </w:tc>
        <w:tc>
          <w:tcPr>
            <w:tcW w:w="6912" w:type="dxa"/>
            <w:vAlign w:val="center"/>
          </w:tcPr>
          <w:p w:rsidR="00767E67" w:rsidRPr="00703118" w:rsidRDefault="00767E67" w:rsidP="001E6B81">
            <w:pPr>
              <w:rPr>
                <w:rFonts w:asciiTheme="majorHAnsi" w:hAnsiTheme="majorHAnsi"/>
                <w:sz w:val="20"/>
                <w:szCs w:val="20"/>
              </w:rPr>
            </w:pPr>
            <w:r w:rsidRPr="00703118">
              <w:rPr>
                <w:rFonts w:asciiTheme="majorHAnsi" w:hAnsiTheme="majorHAnsi"/>
                <w:sz w:val="20"/>
                <w:szCs w:val="20"/>
              </w:rPr>
              <w:t xml:space="preserve">Making use of Plant Health Australia's (PHA) extensive existing government, industry, supply chain and community network, this project aims to deliver a Virtual Coordination Centre that will enable community groups, regional bodies, agricultural industries, and jurisdictions to contribute to, and access real time surveillance information on weeds and plant pests.  It will link existing mechanisms, and promote the establishment of new field tools. The innovation will allow stakeholders to contribute to </w:t>
            </w:r>
            <w:r w:rsidR="001E6B81" w:rsidRPr="00703118">
              <w:rPr>
                <w:rFonts w:asciiTheme="majorHAnsi" w:hAnsiTheme="majorHAnsi"/>
                <w:sz w:val="20"/>
                <w:szCs w:val="20"/>
              </w:rPr>
              <w:t>and</w:t>
            </w:r>
            <w:r w:rsidRPr="00703118">
              <w:rPr>
                <w:rFonts w:asciiTheme="majorHAnsi" w:hAnsiTheme="majorHAnsi"/>
                <w:sz w:val="20"/>
                <w:szCs w:val="20"/>
              </w:rPr>
              <w:t xml:space="preserve"> access information via a seamless national weed and pest surveillance system.</w:t>
            </w:r>
          </w:p>
        </w:tc>
        <w:tc>
          <w:tcPr>
            <w:tcW w:w="1701" w:type="dxa"/>
            <w:shd w:val="clear" w:color="auto" w:fill="auto"/>
            <w:noWrap/>
            <w:vAlign w:val="center"/>
          </w:tcPr>
          <w:p w:rsidR="00767E67" w:rsidRPr="00703118" w:rsidRDefault="001E6B81" w:rsidP="001E6B81">
            <w:pPr>
              <w:jc w:val="center"/>
              <w:rPr>
                <w:rFonts w:asciiTheme="majorHAnsi" w:hAnsiTheme="majorHAnsi"/>
                <w:sz w:val="20"/>
                <w:szCs w:val="20"/>
              </w:rPr>
            </w:pPr>
            <w:r>
              <w:rPr>
                <w:rFonts w:asciiTheme="majorHAnsi" w:hAnsiTheme="majorHAnsi"/>
                <w:sz w:val="20"/>
                <w:szCs w:val="20"/>
              </w:rPr>
              <w:t>$</w:t>
            </w:r>
            <w:r w:rsidR="00767E67" w:rsidRPr="00703118">
              <w:rPr>
                <w:rFonts w:asciiTheme="majorHAnsi" w:hAnsiTheme="majorHAnsi"/>
                <w:sz w:val="20"/>
                <w:szCs w:val="20"/>
              </w:rPr>
              <w:t>935</w:t>
            </w:r>
            <w:r>
              <w:rPr>
                <w:rFonts w:asciiTheme="majorHAnsi" w:hAnsiTheme="majorHAnsi"/>
                <w:sz w:val="20"/>
                <w:szCs w:val="20"/>
              </w:rPr>
              <w:t xml:space="preserve"> </w:t>
            </w:r>
            <w:r w:rsidR="00767E67" w:rsidRPr="00703118">
              <w:rPr>
                <w:rFonts w:asciiTheme="majorHAnsi" w:hAnsiTheme="majorHAnsi"/>
                <w:sz w:val="20"/>
                <w:szCs w:val="20"/>
              </w:rPr>
              <w:t>000</w:t>
            </w:r>
          </w:p>
        </w:tc>
      </w:tr>
    </w:tbl>
    <w:p w:rsidR="00767E67" w:rsidRDefault="00767E67">
      <w:pPr>
        <w:rPr>
          <w:rFonts w:asciiTheme="majorHAnsi" w:hAnsiTheme="majorHAnsi"/>
          <w:sz w:val="20"/>
          <w:szCs w:val="20"/>
        </w:rPr>
      </w:pPr>
    </w:p>
    <w:p w:rsidR="001E6B81" w:rsidRPr="00703118" w:rsidRDefault="001E6B81">
      <w:pPr>
        <w:rPr>
          <w:rFonts w:asciiTheme="majorHAnsi" w:hAnsiTheme="majorHAnsi"/>
          <w:sz w:val="20"/>
          <w:szCs w:val="20"/>
        </w:rPr>
      </w:pPr>
    </w:p>
    <w:p w:rsidR="00767E67" w:rsidRPr="00703118" w:rsidRDefault="00767E67" w:rsidP="00767E67">
      <w:pPr>
        <w:tabs>
          <w:tab w:val="left" w:pos="778"/>
          <w:tab w:val="left" w:pos="3613"/>
          <w:tab w:val="left" w:pos="6448"/>
        </w:tabs>
        <w:rPr>
          <w:rFonts w:asciiTheme="majorHAnsi" w:hAnsiTheme="majorHAnsi" w:cs="Calibri"/>
          <w:b/>
          <w:color w:val="000000"/>
        </w:rPr>
      </w:pPr>
      <w:r w:rsidRPr="00703118">
        <w:rPr>
          <w:rFonts w:asciiTheme="majorHAnsi" w:hAnsiTheme="majorHAnsi" w:cs="Calibri"/>
          <w:b/>
          <w:color w:val="000000"/>
        </w:rPr>
        <w:t>NSW</w:t>
      </w:r>
    </w:p>
    <w:tbl>
      <w:tblPr>
        <w:tblW w:w="154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126"/>
        <w:gridCol w:w="3745"/>
        <w:gridCol w:w="6912"/>
        <w:gridCol w:w="1701"/>
      </w:tblGrid>
      <w:tr w:rsidR="00767E67" w:rsidRPr="00703118" w:rsidTr="00703118">
        <w:trPr>
          <w:trHeight w:val="290"/>
        </w:trPr>
        <w:tc>
          <w:tcPr>
            <w:tcW w:w="943" w:type="dxa"/>
            <w:shd w:val="clear" w:color="auto" w:fill="auto"/>
            <w:noWrap/>
            <w:hideMark/>
          </w:tcPr>
          <w:p w:rsidR="00767E67" w:rsidRPr="00703118" w:rsidRDefault="00767E67" w:rsidP="00A40755">
            <w:pPr>
              <w:rPr>
                <w:rFonts w:asciiTheme="majorHAnsi" w:hAnsiTheme="majorHAnsi"/>
                <w:sz w:val="20"/>
                <w:szCs w:val="20"/>
              </w:rPr>
            </w:pPr>
            <w:r w:rsidRPr="00703118">
              <w:rPr>
                <w:rFonts w:asciiTheme="majorHAnsi" w:hAnsiTheme="majorHAnsi" w:cs="Calibri"/>
                <w:b/>
                <w:bCs/>
                <w:color w:val="000000"/>
                <w:sz w:val="20"/>
                <w:szCs w:val="20"/>
              </w:rPr>
              <w:t>State</w:t>
            </w:r>
          </w:p>
        </w:tc>
        <w:tc>
          <w:tcPr>
            <w:tcW w:w="2126" w:type="dxa"/>
            <w:shd w:val="clear" w:color="auto" w:fill="auto"/>
            <w:noWrap/>
            <w:hideMark/>
          </w:tcPr>
          <w:p w:rsidR="00767E67" w:rsidRPr="00703118" w:rsidRDefault="00767E67" w:rsidP="00A40755">
            <w:pPr>
              <w:rPr>
                <w:rFonts w:asciiTheme="majorHAnsi" w:hAnsiTheme="majorHAnsi"/>
                <w:sz w:val="20"/>
                <w:szCs w:val="20"/>
              </w:rPr>
            </w:pPr>
            <w:r w:rsidRPr="00703118">
              <w:rPr>
                <w:rFonts w:asciiTheme="majorHAnsi" w:hAnsiTheme="majorHAnsi" w:cs="Calibri"/>
                <w:b/>
                <w:bCs/>
                <w:color w:val="000000"/>
                <w:sz w:val="20"/>
                <w:szCs w:val="20"/>
              </w:rPr>
              <w:t>Recipient</w:t>
            </w:r>
          </w:p>
        </w:tc>
        <w:tc>
          <w:tcPr>
            <w:tcW w:w="3745" w:type="dxa"/>
            <w:shd w:val="clear" w:color="auto" w:fill="auto"/>
            <w:noWrap/>
            <w:hideMark/>
          </w:tcPr>
          <w:p w:rsidR="00767E67" w:rsidRPr="00703118" w:rsidRDefault="00767E67" w:rsidP="00A40755">
            <w:pPr>
              <w:rPr>
                <w:rFonts w:asciiTheme="majorHAnsi" w:hAnsiTheme="majorHAnsi"/>
                <w:sz w:val="20"/>
                <w:szCs w:val="20"/>
              </w:rPr>
            </w:pPr>
            <w:r w:rsidRPr="002A7E35">
              <w:rPr>
                <w:rFonts w:asciiTheme="majorHAnsi" w:hAnsiTheme="majorHAnsi" w:cs="Calibri"/>
                <w:b/>
                <w:bCs/>
                <w:color w:val="000000"/>
                <w:sz w:val="20"/>
                <w:szCs w:val="20"/>
              </w:rPr>
              <w:t>Project Title</w:t>
            </w:r>
          </w:p>
        </w:tc>
        <w:tc>
          <w:tcPr>
            <w:tcW w:w="6912" w:type="dxa"/>
          </w:tcPr>
          <w:p w:rsidR="00767E67" w:rsidRPr="00703118" w:rsidRDefault="00767E67" w:rsidP="00A40755">
            <w:pPr>
              <w:rPr>
                <w:rFonts w:asciiTheme="majorHAnsi" w:hAnsiTheme="majorHAnsi"/>
                <w:sz w:val="20"/>
                <w:szCs w:val="20"/>
              </w:rPr>
            </w:pPr>
            <w:r w:rsidRPr="002A7E35">
              <w:rPr>
                <w:rFonts w:asciiTheme="majorHAnsi" w:hAnsiTheme="majorHAnsi" w:cs="Calibri"/>
                <w:b/>
                <w:bCs/>
                <w:color w:val="000000"/>
                <w:sz w:val="20"/>
                <w:szCs w:val="20"/>
              </w:rPr>
              <w:t>Project Description</w:t>
            </w:r>
          </w:p>
        </w:tc>
        <w:tc>
          <w:tcPr>
            <w:tcW w:w="1701" w:type="dxa"/>
            <w:shd w:val="clear" w:color="auto" w:fill="auto"/>
            <w:noWrap/>
            <w:hideMark/>
          </w:tcPr>
          <w:p w:rsidR="00767E67" w:rsidRPr="00703118" w:rsidRDefault="00767E67" w:rsidP="00703118">
            <w:pPr>
              <w:jc w:val="center"/>
              <w:rPr>
                <w:rFonts w:asciiTheme="majorHAnsi" w:hAnsiTheme="majorHAnsi"/>
                <w:sz w:val="20"/>
                <w:szCs w:val="20"/>
              </w:rPr>
            </w:pPr>
            <w:r w:rsidRPr="00703118">
              <w:rPr>
                <w:rFonts w:asciiTheme="majorHAnsi" w:hAnsiTheme="majorHAnsi" w:cs="Calibri"/>
                <w:b/>
                <w:bCs/>
                <w:color w:val="000000"/>
                <w:sz w:val="20"/>
                <w:szCs w:val="20"/>
              </w:rPr>
              <w:t xml:space="preserve">Funding </w:t>
            </w:r>
            <w:r w:rsidRPr="00703118">
              <w:rPr>
                <w:rFonts w:asciiTheme="majorHAnsi" w:hAnsiTheme="majorHAnsi" w:cs="Calibri"/>
                <w:b/>
                <w:bCs/>
                <w:color w:val="000000"/>
                <w:sz w:val="20"/>
                <w:szCs w:val="20"/>
              </w:rPr>
              <w:br/>
            </w:r>
            <w:r w:rsidRPr="002A7E35">
              <w:rPr>
                <w:rFonts w:asciiTheme="majorHAnsi" w:hAnsiTheme="majorHAnsi" w:cs="Calibri"/>
                <w:b/>
                <w:bCs/>
                <w:color w:val="000000"/>
                <w:sz w:val="20"/>
                <w:szCs w:val="20"/>
              </w:rPr>
              <w:t>GST Inc</w:t>
            </w:r>
          </w:p>
        </w:tc>
      </w:tr>
      <w:tr w:rsidR="00767E67" w:rsidRPr="00703118" w:rsidTr="001E6B81">
        <w:trPr>
          <w:trHeight w:val="290"/>
        </w:trPr>
        <w:tc>
          <w:tcPr>
            <w:tcW w:w="943" w:type="dxa"/>
            <w:shd w:val="clear" w:color="auto" w:fill="auto"/>
            <w:noWrap/>
            <w:vAlign w:val="center"/>
            <w:hideMark/>
          </w:tcPr>
          <w:p w:rsidR="00767E67" w:rsidRPr="00703118" w:rsidRDefault="00767E67" w:rsidP="001E6B81">
            <w:pPr>
              <w:rPr>
                <w:rFonts w:asciiTheme="majorHAnsi" w:hAnsiTheme="majorHAnsi"/>
                <w:b/>
                <w:sz w:val="20"/>
                <w:szCs w:val="20"/>
              </w:rPr>
            </w:pPr>
            <w:r w:rsidRPr="00703118">
              <w:rPr>
                <w:rFonts w:asciiTheme="majorHAnsi" w:hAnsiTheme="majorHAnsi"/>
                <w:b/>
                <w:sz w:val="20"/>
                <w:szCs w:val="20"/>
              </w:rPr>
              <w:t>NSW</w:t>
            </w:r>
          </w:p>
        </w:tc>
        <w:tc>
          <w:tcPr>
            <w:tcW w:w="2126" w:type="dxa"/>
            <w:shd w:val="clear" w:color="auto" w:fill="auto"/>
            <w:noWrap/>
            <w:vAlign w:val="center"/>
            <w:hideMark/>
          </w:tcPr>
          <w:p w:rsidR="00767E67" w:rsidRPr="00703118" w:rsidRDefault="00767E67" w:rsidP="001E6B81">
            <w:pPr>
              <w:rPr>
                <w:rFonts w:asciiTheme="majorHAnsi" w:hAnsiTheme="majorHAnsi"/>
                <w:sz w:val="20"/>
                <w:szCs w:val="20"/>
              </w:rPr>
            </w:pPr>
            <w:r w:rsidRPr="00703118">
              <w:rPr>
                <w:rFonts w:asciiTheme="majorHAnsi" w:hAnsiTheme="majorHAnsi"/>
                <w:sz w:val="20"/>
                <w:szCs w:val="20"/>
              </w:rPr>
              <w:t>Applied Horticultural Research Pty Ltd</w:t>
            </w:r>
          </w:p>
        </w:tc>
        <w:tc>
          <w:tcPr>
            <w:tcW w:w="3745" w:type="dxa"/>
            <w:shd w:val="clear" w:color="auto" w:fill="auto"/>
            <w:noWrap/>
            <w:vAlign w:val="center"/>
            <w:hideMark/>
          </w:tcPr>
          <w:p w:rsidR="00767E67" w:rsidRPr="00703118" w:rsidRDefault="00767E67" w:rsidP="001E6B81">
            <w:pPr>
              <w:rPr>
                <w:rFonts w:asciiTheme="majorHAnsi" w:hAnsiTheme="majorHAnsi"/>
                <w:sz w:val="20"/>
                <w:szCs w:val="20"/>
              </w:rPr>
            </w:pPr>
            <w:r w:rsidRPr="00767E67">
              <w:rPr>
                <w:rFonts w:asciiTheme="majorHAnsi" w:hAnsiTheme="majorHAnsi" w:cs="Calibri"/>
                <w:color w:val="000000"/>
                <w:sz w:val="20"/>
                <w:szCs w:val="20"/>
              </w:rPr>
              <w:t>Demonstrating the benefits of no-till permanent bed vegetable production</w:t>
            </w:r>
          </w:p>
        </w:tc>
        <w:tc>
          <w:tcPr>
            <w:tcW w:w="6912" w:type="dxa"/>
            <w:vAlign w:val="center"/>
          </w:tcPr>
          <w:p w:rsidR="00767E67" w:rsidRPr="00703118" w:rsidRDefault="00767E67" w:rsidP="001E6B81">
            <w:pPr>
              <w:rPr>
                <w:rFonts w:asciiTheme="majorHAnsi" w:hAnsiTheme="majorHAnsi"/>
                <w:sz w:val="20"/>
                <w:szCs w:val="20"/>
              </w:rPr>
            </w:pPr>
            <w:r w:rsidRPr="00767E67">
              <w:rPr>
                <w:rFonts w:asciiTheme="majorHAnsi" w:hAnsiTheme="majorHAnsi" w:cs="Calibri"/>
                <w:color w:val="000000"/>
                <w:sz w:val="20"/>
                <w:szCs w:val="20"/>
              </w:rPr>
              <w:t xml:space="preserve">This project aims to improve the adoption of no-till production practices among vegetable growers. Only around 15% of growers currently use reduced till / controlled traffic methods, resulting in loss of soil carbon, poor soil structure and build-up of soil-borne diseases. The project will encourage adoption by showcasing properties where farmers have already implemented no-till in Nth Qld, SE Qld and Tasmania. On-farm demonstration sites will be developed in two major growing areas (NSW &amp; Victoria) where no adoption has yet occurred. Four crops will be grown at each demonstration site using no-till and conventional systems. Communication will occur through field days, farm walks, media coverage, fact sheets, and a </w:t>
            </w:r>
            <w:r w:rsidRPr="00703118">
              <w:rPr>
                <w:rFonts w:asciiTheme="majorHAnsi" w:hAnsiTheme="majorHAnsi" w:cs="Calibri"/>
                <w:color w:val="000000"/>
                <w:sz w:val="20"/>
                <w:szCs w:val="20"/>
              </w:rPr>
              <w:t>short video.</w:t>
            </w:r>
          </w:p>
        </w:tc>
        <w:tc>
          <w:tcPr>
            <w:tcW w:w="1701" w:type="dxa"/>
            <w:shd w:val="clear" w:color="auto" w:fill="auto"/>
            <w:noWrap/>
            <w:hideMark/>
          </w:tcPr>
          <w:p w:rsidR="00767E67" w:rsidRPr="001E6B81" w:rsidRDefault="001E6B81" w:rsidP="00703118">
            <w:pPr>
              <w:jc w:val="center"/>
              <w:rPr>
                <w:rFonts w:asciiTheme="majorHAnsi" w:hAnsiTheme="majorHAnsi"/>
                <w:sz w:val="20"/>
                <w:szCs w:val="20"/>
              </w:rPr>
            </w:pPr>
            <w:r>
              <w:rPr>
                <w:rFonts w:asciiTheme="majorHAnsi" w:hAnsiTheme="majorHAnsi"/>
                <w:sz w:val="20"/>
                <w:szCs w:val="20"/>
              </w:rPr>
              <w:t xml:space="preserve">$601 </w:t>
            </w:r>
            <w:r w:rsidR="00767E67" w:rsidRPr="001E6B81">
              <w:rPr>
                <w:rFonts w:asciiTheme="majorHAnsi" w:hAnsiTheme="majorHAnsi"/>
                <w:sz w:val="20"/>
                <w:szCs w:val="20"/>
              </w:rPr>
              <w:t>150</w:t>
            </w:r>
          </w:p>
          <w:p w:rsidR="00767E67" w:rsidRPr="00703118" w:rsidRDefault="00767E67" w:rsidP="00703118">
            <w:pPr>
              <w:jc w:val="center"/>
              <w:rPr>
                <w:rFonts w:asciiTheme="majorHAnsi" w:hAnsiTheme="majorHAnsi"/>
                <w:sz w:val="20"/>
                <w:szCs w:val="20"/>
              </w:rPr>
            </w:pPr>
          </w:p>
        </w:tc>
      </w:tr>
      <w:tr w:rsidR="00767E67" w:rsidRPr="00703118" w:rsidTr="001E6B81">
        <w:trPr>
          <w:trHeight w:val="290"/>
        </w:trPr>
        <w:tc>
          <w:tcPr>
            <w:tcW w:w="943" w:type="dxa"/>
            <w:shd w:val="clear" w:color="auto" w:fill="auto"/>
            <w:noWrap/>
            <w:vAlign w:val="center"/>
            <w:hideMark/>
          </w:tcPr>
          <w:p w:rsidR="00767E67" w:rsidRPr="00703118" w:rsidRDefault="00703118" w:rsidP="001E6B81">
            <w:pPr>
              <w:rPr>
                <w:rFonts w:asciiTheme="majorHAnsi" w:hAnsiTheme="majorHAnsi"/>
                <w:sz w:val="20"/>
                <w:szCs w:val="20"/>
              </w:rPr>
            </w:pPr>
            <w:r w:rsidRPr="00703118">
              <w:rPr>
                <w:rFonts w:asciiTheme="majorHAnsi" w:hAnsiTheme="majorHAnsi"/>
                <w:b/>
                <w:sz w:val="20"/>
                <w:szCs w:val="20"/>
              </w:rPr>
              <w:t>NSW</w:t>
            </w:r>
          </w:p>
        </w:tc>
        <w:tc>
          <w:tcPr>
            <w:tcW w:w="2126" w:type="dxa"/>
            <w:shd w:val="clear" w:color="auto" w:fill="auto"/>
            <w:noWrap/>
            <w:vAlign w:val="center"/>
            <w:hideMark/>
          </w:tcPr>
          <w:p w:rsidR="00767E67" w:rsidRPr="00703118" w:rsidRDefault="00767E67" w:rsidP="001E6B81">
            <w:pPr>
              <w:rPr>
                <w:rFonts w:asciiTheme="majorHAnsi" w:hAnsiTheme="majorHAnsi"/>
                <w:sz w:val="20"/>
                <w:szCs w:val="20"/>
              </w:rPr>
            </w:pPr>
            <w:r w:rsidRPr="00703118">
              <w:rPr>
                <w:rFonts w:asciiTheme="majorHAnsi" w:hAnsiTheme="majorHAnsi"/>
                <w:sz w:val="20"/>
                <w:szCs w:val="20"/>
              </w:rPr>
              <w:t>South East Trawl Fishing Industry Association Limited</w:t>
            </w:r>
          </w:p>
        </w:tc>
        <w:tc>
          <w:tcPr>
            <w:tcW w:w="3745" w:type="dxa"/>
            <w:shd w:val="clear" w:color="auto" w:fill="auto"/>
            <w:noWrap/>
            <w:vAlign w:val="center"/>
            <w:hideMark/>
          </w:tcPr>
          <w:p w:rsidR="00767E67" w:rsidRPr="00703118" w:rsidRDefault="00767E67" w:rsidP="001E6B81">
            <w:pPr>
              <w:rPr>
                <w:rFonts w:asciiTheme="majorHAnsi" w:hAnsiTheme="majorHAnsi" w:cs="Calibri"/>
                <w:color w:val="000000"/>
                <w:sz w:val="20"/>
                <w:szCs w:val="20"/>
              </w:rPr>
            </w:pPr>
            <w:r w:rsidRPr="00703118">
              <w:rPr>
                <w:rFonts w:asciiTheme="majorHAnsi" w:hAnsiTheme="majorHAnsi" w:cs="Calibri"/>
                <w:color w:val="000000"/>
                <w:sz w:val="20"/>
                <w:szCs w:val="20"/>
              </w:rPr>
              <w:t>Mitigation of Seabird Interactions in the trawl sectors of the Southern and Eastern Scalefish and Shark Fishery (SESSF)</w:t>
            </w:r>
          </w:p>
          <w:p w:rsidR="00767E67" w:rsidRPr="00703118" w:rsidRDefault="00767E67" w:rsidP="001E6B81">
            <w:pPr>
              <w:rPr>
                <w:rFonts w:asciiTheme="majorHAnsi" w:hAnsiTheme="majorHAnsi" w:cs="Calibri"/>
                <w:sz w:val="20"/>
                <w:szCs w:val="20"/>
              </w:rPr>
            </w:pPr>
          </w:p>
        </w:tc>
        <w:tc>
          <w:tcPr>
            <w:tcW w:w="6912" w:type="dxa"/>
            <w:vAlign w:val="center"/>
          </w:tcPr>
          <w:p w:rsidR="00767E67" w:rsidRPr="00703118" w:rsidRDefault="00767E67" w:rsidP="001E6B81">
            <w:pPr>
              <w:rPr>
                <w:rFonts w:asciiTheme="majorHAnsi" w:hAnsiTheme="majorHAnsi" w:cs="Calibri"/>
                <w:color w:val="000000"/>
                <w:sz w:val="20"/>
                <w:szCs w:val="20"/>
              </w:rPr>
            </w:pPr>
            <w:r w:rsidRPr="00703118">
              <w:rPr>
                <w:rFonts w:asciiTheme="majorHAnsi" w:hAnsiTheme="majorHAnsi" w:cs="Calibri"/>
                <w:color w:val="000000"/>
                <w:sz w:val="20"/>
                <w:szCs w:val="20"/>
              </w:rPr>
              <w:t xml:space="preserve">Seabirds sometimes get caught under the wires of trawl fishing vessels as they feed on discarded offal and fish scraps.  These interactions are difficult for the skipper and crew to observe while they are working but are often recorded by scientific observers.  This project aims to </w:t>
            </w:r>
            <w:r w:rsidR="001E6B81" w:rsidRPr="00703118">
              <w:rPr>
                <w:rFonts w:asciiTheme="majorHAnsi" w:hAnsiTheme="majorHAnsi" w:cs="Calibri"/>
                <w:color w:val="000000"/>
                <w:sz w:val="20"/>
                <w:szCs w:val="20"/>
              </w:rPr>
              <w:t>minimise</w:t>
            </w:r>
            <w:r w:rsidRPr="00703118">
              <w:rPr>
                <w:rFonts w:asciiTheme="majorHAnsi" w:hAnsiTheme="majorHAnsi" w:cs="Calibri"/>
                <w:color w:val="000000"/>
                <w:sz w:val="20"/>
                <w:szCs w:val="20"/>
              </w:rPr>
              <w:t xml:space="preserve"> interactions with Threatened, Endangered and Protected (TEP) seabird species  by trialling and proving innovative mitigation measures to reduce interactions; educating young skippers in best practice international mitigation techniques creating young industry champions committed to reducing interactions with TEP seabirds in the long term; promoting those techniques through port visits and industry workshops; and,</w:t>
            </w:r>
            <w:r w:rsidRPr="00703118">
              <w:rPr>
                <w:rFonts w:asciiTheme="majorHAnsi" w:hAnsiTheme="majorHAnsi" w:cs="Calibri"/>
                <w:color w:val="000000"/>
                <w:sz w:val="20"/>
                <w:szCs w:val="20"/>
              </w:rPr>
              <w:cr/>
              <w:t xml:space="preserve"> build social license with the general public by communicating this </w:t>
            </w:r>
            <w:r w:rsidR="001E6B81" w:rsidRPr="00703118">
              <w:rPr>
                <w:rFonts w:asciiTheme="majorHAnsi" w:hAnsiTheme="majorHAnsi" w:cs="Calibri"/>
                <w:color w:val="000000"/>
                <w:sz w:val="20"/>
                <w:szCs w:val="20"/>
              </w:rPr>
              <w:t>work</w:t>
            </w:r>
            <w:r w:rsidRPr="00703118">
              <w:rPr>
                <w:rFonts w:asciiTheme="majorHAnsi" w:hAnsiTheme="majorHAnsi" w:cs="Calibri"/>
                <w:color w:val="000000"/>
                <w:sz w:val="20"/>
                <w:szCs w:val="20"/>
              </w:rPr>
              <w:t>.</w:t>
            </w:r>
          </w:p>
        </w:tc>
        <w:tc>
          <w:tcPr>
            <w:tcW w:w="1701" w:type="dxa"/>
            <w:shd w:val="clear" w:color="auto" w:fill="auto"/>
            <w:noWrap/>
            <w:hideMark/>
          </w:tcPr>
          <w:p w:rsidR="00767E67" w:rsidRPr="001E6B81" w:rsidRDefault="001E6B81" w:rsidP="00703118">
            <w:pPr>
              <w:jc w:val="center"/>
              <w:rPr>
                <w:rFonts w:asciiTheme="majorHAnsi" w:hAnsiTheme="majorHAnsi"/>
                <w:sz w:val="20"/>
                <w:szCs w:val="20"/>
              </w:rPr>
            </w:pPr>
            <w:r>
              <w:rPr>
                <w:rFonts w:asciiTheme="majorHAnsi" w:hAnsiTheme="majorHAnsi"/>
                <w:sz w:val="20"/>
                <w:szCs w:val="20"/>
              </w:rPr>
              <w:t>$</w:t>
            </w:r>
            <w:r w:rsidR="00767E67" w:rsidRPr="001E6B81">
              <w:rPr>
                <w:rFonts w:asciiTheme="majorHAnsi" w:hAnsiTheme="majorHAnsi"/>
                <w:sz w:val="20"/>
                <w:szCs w:val="20"/>
              </w:rPr>
              <w:t>356</w:t>
            </w:r>
            <w:r>
              <w:rPr>
                <w:rFonts w:asciiTheme="majorHAnsi" w:hAnsiTheme="majorHAnsi"/>
                <w:sz w:val="20"/>
                <w:szCs w:val="20"/>
              </w:rPr>
              <w:t xml:space="preserve"> </w:t>
            </w:r>
            <w:r w:rsidR="00767E67" w:rsidRPr="001E6B81">
              <w:rPr>
                <w:rFonts w:asciiTheme="majorHAnsi" w:hAnsiTheme="majorHAnsi"/>
                <w:sz w:val="20"/>
                <w:szCs w:val="20"/>
              </w:rPr>
              <w:t>840</w:t>
            </w:r>
          </w:p>
        </w:tc>
      </w:tr>
      <w:tr w:rsidR="00267DC8" w:rsidRPr="00703118" w:rsidTr="001E6B81">
        <w:trPr>
          <w:trHeight w:val="290"/>
        </w:trPr>
        <w:tc>
          <w:tcPr>
            <w:tcW w:w="943" w:type="dxa"/>
            <w:shd w:val="clear" w:color="auto" w:fill="auto"/>
            <w:noWrap/>
            <w:vAlign w:val="center"/>
            <w:hideMark/>
          </w:tcPr>
          <w:p w:rsidR="00267DC8" w:rsidRPr="00703118" w:rsidRDefault="00703118" w:rsidP="001E6B81">
            <w:pPr>
              <w:rPr>
                <w:rFonts w:asciiTheme="majorHAnsi" w:hAnsiTheme="majorHAnsi"/>
                <w:sz w:val="20"/>
                <w:szCs w:val="20"/>
              </w:rPr>
            </w:pPr>
            <w:r w:rsidRPr="00703118">
              <w:rPr>
                <w:rFonts w:asciiTheme="majorHAnsi" w:hAnsiTheme="majorHAnsi"/>
                <w:b/>
                <w:sz w:val="20"/>
                <w:szCs w:val="20"/>
              </w:rPr>
              <w:t>NSW</w:t>
            </w:r>
          </w:p>
        </w:tc>
        <w:tc>
          <w:tcPr>
            <w:tcW w:w="2126" w:type="dxa"/>
            <w:shd w:val="clear" w:color="auto" w:fill="auto"/>
            <w:noWrap/>
            <w:vAlign w:val="center"/>
            <w:hideMark/>
          </w:tcPr>
          <w:p w:rsidR="00267DC8" w:rsidRPr="00703118" w:rsidRDefault="00267DC8" w:rsidP="001E6B81">
            <w:pPr>
              <w:rPr>
                <w:rFonts w:asciiTheme="majorHAnsi" w:hAnsiTheme="majorHAnsi"/>
                <w:sz w:val="20"/>
                <w:szCs w:val="20"/>
              </w:rPr>
            </w:pPr>
            <w:r w:rsidRPr="00267DC8">
              <w:rPr>
                <w:rFonts w:asciiTheme="majorHAnsi" w:hAnsiTheme="majorHAnsi" w:cs="Calibri"/>
                <w:color w:val="000000"/>
                <w:sz w:val="20"/>
                <w:szCs w:val="20"/>
              </w:rPr>
              <w:t>Commonwealth Scientific and Industrial Research Organisation</w:t>
            </w:r>
          </w:p>
        </w:tc>
        <w:tc>
          <w:tcPr>
            <w:tcW w:w="3745" w:type="dxa"/>
            <w:shd w:val="clear" w:color="auto" w:fill="auto"/>
            <w:noWrap/>
            <w:vAlign w:val="center"/>
            <w:hideMark/>
          </w:tcPr>
          <w:p w:rsidR="00267DC8" w:rsidRPr="00703118" w:rsidRDefault="00267DC8" w:rsidP="001E6B81">
            <w:pPr>
              <w:rPr>
                <w:rFonts w:asciiTheme="majorHAnsi" w:hAnsiTheme="majorHAnsi" w:cs="Calibri"/>
                <w:color w:val="000000"/>
                <w:sz w:val="20"/>
                <w:szCs w:val="20"/>
              </w:rPr>
            </w:pPr>
            <w:r w:rsidRPr="00267DC8">
              <w:rPr>
                <w:rFonts w:asciiTheme="majorHAnsi" w:hAnsiTheme="majorHAnsi" w:cs="Calibri"/>
                <w:color w:val="000000"/>
                <w:sz w:val="20"/>
                <w:szCs w:val="20"/>
              </w:rPr>
              <w:t>AusAgLCI - enabling continual improvement of sustainability by life cycle impact assessment</w:t>
            </w:r>
          </w:p>
        </w:tc>
        <w:tc>
          <w:tcPr>
            <w:tcW w:w="6912" w:type="dxa"/>
            <w:vAlign w:val="center"/>
          </w:tcPr>
          <w:p w:rsidR="00267DC8" w:rsidRPr="00703118" w:rsidRDefault="00267DC8" w:rsidP="001E6B81">
            <w:pPr>
              <w:rPr>
                <w:rFonts w:asciiTheme="majorHAnsi" w:hAnsiTheme="majorHAnsi" w:cs="Calibri"/>
                <w:color w:val="000000"/>
                <w:sz w:val="20"/>
                <w:szCs w:val="20"/>
              </w:rPr>
            </w:pPr>
            <w:r w:rsidRPr="00703118">
              <w:rPr>
                <w:rFonts w:asciiTheme="majorHAnsi" w:hAnsiTheme="majorHAnsi" w:cs="Calibri"/>
                <w:color w:val="000000"/>
                <w:sz w:val="20"/>
                <w:szCs w:val="20"/>
              </w:rPr>
              <w:t>Life Cycle Assessment (LCA) is increasingly being used to ascertain the environmental impact of products, e.g. carbon footprint. Country specific Life Cycle Inventory (LCI) is essential for Australian agriculture to undertake LCA, as differences in management and regional climate and soils significantly affect results. The goal of this project is to build on the pilot AusAgLCI initiative to provide a comprehensive inventory to ensure Australian primary producers can demonstrate sustainable production, in a system where environmental assessment is used to aid and drive improvement. This will assist producers to meet marketing requirements, to benchmark their production in global markets and it will support an assessment framework that can be consistently applied across industry sectors.</w:t>
            </w:r>
          </w:p>
        </w:tc>
        <w:tc>
          <w:tcPr>
            <w:tcW w:w="1701" w:type="dxa"/>
            <w:shd w:val="clear" w:color="auto" w:fill="auto"/>
            <w:noWrap/>
            <w:hideMark/>
          </w:tcPr>
          <w:p w:rsidR="00267DC8" w:rsidRPr="001E6B81" w:rsidRDefault="001E6B81" w:rsidP="00703118">
            <w:pPr>
              <w:jc w:val="center"/>
              <w:rPr>
                <w:rFonts w:asciiTheme="majorHAnsi" w:hAnsiTheme="majorHAnsi"/>
                <w:sz w:val="20"/>
                <w:szCs w:val="20"/>
              </w:rPr>
            </w:pPr>
            <w:r>
              <w:rPr>
                <w:rFonts w:asciiTheme="majorHAnsi" w:hAnsiTheme="majorHAnsi"/>
                <w:sz w:val="20"/>
                <w:szCs w:val="20"/>
              </w:rPr>
              <w:t>$</w:t>
            </w:r>
            <w:r w:rsidR="00267DC8" w:rsidRPr="001E6B81">
              <w:rPr>
                <w:rFonts w:asciiTheme="majorHAnsi" w:hAnsiTheme="majorHAnsi"/>
                <w:sz w:val="20"/>
                <w:szCs w:val="20"/>
              </w:rPr>
              <w:t>579</w:t>
            </w:r>
            <w:r>
              <w:rPr>
                <w:rFonts w:asciiTheme="majorHAnsi" w:hAnsiTheme="majorHAnsi"/>
                <w:sz w:val="20"/>
                <w:szCs w:val="20"/>
              </w:rPr>
              <w:t xml:space="preserve"> </w:t>
            </w:r>
            <w:r w:rsidR="00267DC8" w:rsidRPr="001E6B81">
              <w:rPr>
                <w:rFonts w:asciiTheme="majorHAnsi" w:hAnsiTheme="majorHAnsi"/>
                <w:sz w:val="20"/>
                <w:szCs w:val="20"/>
              </w:rPr>
              <w:t>500</w:t>
            </w:r>
          </w:p>
        </w:tc>
      </w:tr>
      <w:tr w:rsidR="00267DC8" w:rsidRPr="00703118" w:rsidTr="001E6B81">
        <w:trPr>
          <w:trHeight w:val="290"/>
        </w:trPr>
        <w:tc>
          <w:tcPr>
            <w:tcW w:w="943" w:type="dxa"/>
            <w:shd w:val="clear" w:color="auto" w:fill="auto"/>
            <w:noWrap/>
            <w:vAlign w:val="center"/>
            <w:hideMark/>
          </w:tcPr>
          <w:p w:rsidR="00267DC8" w:rsidRPr="00703118" w:rsidRDefault="00703118" w:rsidP="001E6B81">
            <w:pPr>
              <w:rPr>
                <w:rFonts w:asciiTheme="majorHAnsi" w:hAnsiTheme="majorHAnsi"/>
                <w:sz w:val="20"/>
                <w:szCs w:val="20"/>
              </w:rPr>
            </w:pPr>
            <w:r w:rsidRPr="00703118">
              <w:rPr>
                <w:rFonts w:asciiTheme="majorHAnsi" w:hAnsiTheme="majorHAnsi"/>
                <w:b/>
                <w:sz w:val="20"/>
                <w:szCs w:val="20"/>
              </w:rPr>
              <w:lastRenderedPageBreak/>
              <w:t>NSW</w:t>
            </w:r>
          </w:p>
        </w:tc>
        <w:tc>
          <w:tcPr>
            <w:tcW w:w="2126" w:type="dxa"/>
            <w:shd w:val="clear" w:color="auto" w:fill="auto"/>
            <w:noWrap/>
            <w:vAlign w:val="center"/>
            <w:hideMark/>
          </w:tcPr>
          <w:p w:rsidR="00267DC8" w:rsidRPr="00703118" w:rsidRDefault="00267DC8" w:rsidP="001E6B81">
            <w:pPr>
              <w:rPr>
                <w:rFonts w:asciiTheme="majorHAnsi" w:hAnsiTheme="majorHAnsi" w:cs="Calibri"/>
                <w:color w:val="000000"/>
                <w:sz w:val="20"/>
                <w:szCs w:val="20"/>
              </w:rPr>
            </w:pPr>
            <w:r w:rsidRPr="00703118">
              <w:rPr>
                <w:rFonts w:asciiTheme="majorHAnsi" w:hAnsiTheme="majorHAnsi" w:cs="Calibri"/>
                <w:color w:val="000000"/>
                <w:sz w:val="20"/>
                <w:szCs w:val="20"/>
              </w:rPr>
              <w:t>Department of Trade &amp; Investment Regional Infrastructure and Services</w:t>
            </w:r>
          </w:p>
        </w:tc>
        <w:tc>
          <w:tcPr>
            <w:tcW w:w="3745" w:type="dxa"/>
            <w:shd w:val="clear" w:color="auto" w:fill="auto"/>
            <w:noWrap/>
            <w:vAlign w:val="center"/>
            <w:hideMark/>
          </w:tcPr>
          <w:p w:rsidR="00267DC8" w:rsidRPr="00703118" w:rsidRDefault="00267DC8" w:rsidP="001E6B81">
            <w:pPr>
              <w:rPr>
                <w:rFonts w:asciiTheme="majorHAnsi" w:hAnsiTheme="majorHAnsi" w:cs="Calibri"/>
                <w:color w:val="000000"/>
                <w:sz w:val="20"/>
                <w:szCs w:val="20"/>
              </w:rPr>
            </w:pPr>
            <w:r w:rsidRPr="00703118">
              <w:rPr>
                <w:rFonts w:asciiTheme="majorHAnsi" w:hAnsiTheme="majorHAnsi" w:cs="Calibri"/>
                <w:color w:val="000000"/>
                <w:sz w:val="20"/>
                <w:szCs w:val="20"/>
              </w:rPr>
              <w:t>The practical application of state-of-the-art un-manned aerial vehicles and imaging technology to on-farm property management of invasive weeds and pests</w:t>
            </w:r>
          </w:p>
        </w:tc>
        <w:tc>
          <w:tcPr>
            <w:tcW w:w="6912" w:type="dxa"/>
            <w:vAlign w:val="center"/>
          </w:tcPr>
          <w:p w:rsidR="00267DC8" w:rsidRPr="00703118" w:rsidRDefault="00267DC8" w:rsidP="001E6B81">
            <w:pPr>
              <w:rPr>
                <w:rFonts w:asciiTheme="majorHAnsi" w:hAnsiTheme="majorHAnsi" w:cs="Calibri"/>
                <w:color w:val="000000"/>
                <w:sz w:val="20"/>
                <w:szCs w:val="20"/>
              </w:rPr>
            </w:pPr>
            <w:r w:rsidRPr="00703118">
              <w:rPr>
                <w:rFonts w:asciiTheme="majorHAnsi" w:hAnsiTheme="majorHAnsi" w:cs="Calibri"/>
                <w:color w:val="000000"/>
                <w:sz w:val="20"/>
                <w:szCs w:val="20"/>
              </w:rPr>
              <w:t xml:space="preserve">This project aims to improve the regional detection of existing and new incursions of invasive species, using ground-breaking, innovative imaging technology. Un-manned aerial vehicles will be used in conjunction with high resolution satellite imagery to pinpoint the locations of priority invasive species. This methodology has been tested extensively and is now available for field application. Results of the field work will be condensed into user-friendly reports that will be available for land managers to use in management and control programs. An extension program will be used to disseminate the results of the field work to a wider audience. This innovative method significantly reduces the time between detection and mapping, allowing a quick response to new incursions or previously unidentified invasive species populations.   </w:t>
            </w:r>
          </w:p>
        </w:tc>
        <w:tc>
          <w:tcPr>
            <w:tcW w:w="1701" w:type="dxa"/>
            <w:shd w:val="clear" w:color="auto" w:fill="auto"/>
            <w:noWrap/>
            <w:hideMark/>
          </w:tcPr>
          <w:p w:rsidR="00267DC8" w:rsidRPr="001E6B81" w:rsidRDefault="001E6B81" w:rsidP="00703118">
            <w:pPr>
              <w:jc w:val="center"/>
              <w:rPr>
                <w:rFonts w:asciiTheme="majorHAnsi" w:hAnsiTheme="majorHAnsi"/>
                <w:sz w:val="20"/>
                <w:szCs w:val="20"/>
              </w:rPr>
            </w:pPr>
            <w:r>
              <w:rPr>
                <w:rFonts w:asciiTheme="majorHAnsi" w:hAnsiTheme="majorHAnsi"/>
                <w:sz w:val="20"/>
                <w:szCs w:val="20"/>
              </w:rPr>
              <w:t>$</w:t>
            </w:r>
            <w:r w:rsidR="00267DC8" w:rsidRPr="001E6B81">
              <w:rPr>
                <w:rFonts w:asciiTheme="majorHAnsi" w:hAnsiTheme="majorHAnsi"/>
                <w:sz w:val="20"/>
                <w:szCs w:val="20"/>
              </w:rPr>
              <w:t>700</w:t>
            </w:r>
            <w:r>
              <w:rPr>
                <w:rFonts w:asciiTheme="majorHAnsi" w:hAnsiTheme="majorHAnsi"/>
                <w:sz w:val="20"/>
                <w:szCs w:val="20"/>
              </w:rPr>
              <w:t xml:space="preserve"> </w:t>
            </w:r>
            <w:r w:rsidR="00267DC8" w:rsidRPr="001E6B81">
              <w:rPr>
                <w:rFonts w:asciiTheme="majorHAnsi" w:hAnsiTheme="majorHAnsi"/>
                <w:sz w:val="20"/>
                <w:szCs w:val="20"/>
              </w:rPr>
              <w:t>000</w:t>
            </w:r>
          </w:p>
        </w:tc>
      </w:tr>
      <w:tr w:rsidR="00267DC8" w:rsidRPr="00703118" w:rsidTr="001E6B81">
        <w:trPr>
          <w:trHeight w:val="290"/>
        </w:trPr>
        <w:tc>
          <w:tcPr>
            <w:tcW w:w="943" w:type="dxa"/>
            <w:shd w:val="clear" w:color="auto" w:fill="auto"/>
            <w:noWrap/>
            <w:vAlign w:val="center"/>
            <w:hideMark/>
          </w:tcPr>
          <w:p w:rsidR="00267DC8" w:rsidRPr="00703118" w:rsidRDefault="00703118" w:rsidP="001E6B81">
            <w:pPr>
              <w:rPr>
                <w:rFonts w:asciiTheme="majorHAnsi" w:hAnsiTheme="majorHAnsi"/>
                <w:sz w:val="20"/>
                <w:szCs w:val="20"/>
              </w:rPr>
            </w:pPr>
            <w:r w:rsidRPr="00703118">
              <w:rPr>
                <w:rFonts w:asciiTheme="majorHAnsi" w:hAnsiTheme="majorHAnsi"/>
                <w:b/>
                <w:sz w:val="20"/>
                <w:szCs w:val="20"/>
              </w:rPr>
              <w:t>NSW</w:t>
            </w:r>
          </w:p>
        </w:tc>
        <w:tc>
          <w:tcPr>
            <w:tcW w:w="2126" w:type="dxa"/>
            <w:shd w:val="clear" w:color="auto" w:fill="auto"/>
            <w:noWrap/>
            <w:vAlign w:val="center"/>
            <w:hideMark/>
          </w:tcPr>
          <w:p w:rsidR="00267DC8" w:rsidRPr="00703118" w:rsidRDefault="00616272" w:rsidP="001E6B81">
            <w:pPr>
              <w:rPr>
                <w:rFonts w:asciiTheme="majorHAnsi" w:hAnsiTheme="majorHAnsi" w:cs="Calibri"/>
                <w:color w:val="000000"/>
                <w:sz w:val="20"/>
                <w:szCs w:val="20"/>
              </w:rPr>
            </w:pPr>
            <w:r w:rsidRPr="00703118">
              <w:rPr>
                <w:rFonts w:asciiTheme="majorHAnsi" w:hAnsiTheme="majorHAnsi" w:cs="Calibri"/>
                <w:color w:val="000000"/>
                <w:sz w:val="20"/>
                <w:szCs w:val="20"/>
              </w:rPr>
              <w:t>CANFA Conservation Agriculture &amp; No-till Farming Association Inc</w:t>
            </w:r>
          </w:p>
        </w:tc>
        <w:tc>
          <w:tcPr>
            <w:tcW w:w="3745" w:type="dxa"/>
            <w:shd w:val="clear" w:color="auto" w:fill="auto"/>
            <w:noWrap/>
            <w:vAlign w:val="center"/>
            <w:hideMark/>
          </w:tcPr>
          <w:p w:rsidR="00267DC8" w:rsidRPr="00703118" w:rsidRDefault="00616272" w:rsidP="001E6B81">
            <w:pPr>
              <w:rPr>
                <w:rFonts w:asciiTheme="majorHAnsi" w:hAnsiTheme="majorHAnsi" w:cs="Calibri"/>
                <w:sz w:val="20"/>
                <w:szCs w:val="20"/>
              </w:rPr>
            </w:pPr>
            <w:r w:rsidRPr="00703118">
              <w:rPr>
                <w:rFonts w:asciiTheme="majorHAnsi" w:hAnsiTheme="majorHAnsi" w:cs="Calibri"/>
                <w:color w:val="000000"/>
                <w:sz w:val="20"/>
                <w:szCs w:val="20"/>
              </w:rPr>
              <w:t>Advanced seeding systems for enhanced erosion and weed control in broadacre cropping</w:t>
            </w:r>
          </w:p>
        </w:tc>
        <w:tc>
          <w:tcPr>
            <w:tcW w:w="6912" w:type="dxa"/>
            <w:vAlign w:val="center"/>
          </w:tcPr>
          <w:p w:rsidR="00267DC8" w:rsidRPr="00703118" w:rsidRDefault="00616272" w:rsidP="001E6B81">
            <w:pPr>
              <w:rPr>
                <w:rFonts w:asciiTheme="majorHAnsi" w:hAnsiTheme="majorHAnsi" w:cs="Calibri"/>
                <w:sz w:val="20"/>
                <w:szCs w:val="20"/>
              </w:rPr>
            </w:pPr>
            <w:r w:rsidRPr="00703118">
              <w:rPr>
                <w:rFonts w:asciiTheme="majorHAnsi" w:hAnsiTheme="majorHAnsi" w:cs="Calibri"/>
                <w:color w:val="000000"/>
                <w:sz w:val="20"/>
                <w:szCs w:val="20"/>
              </w:rPr>
              <w:t xml:space="preserve">Major economic and sustainability issues continue to creep into our leading no-till farming systems, namely herbicide resistance, growing dependency on artificial fertilisers, need for strategic tillage and stubble burning and climate variability. This project aims to use new technologies from the USA and Argentina at a number of sites in NSW and South Australia, under broadacre dryland situations to trial and demonstrate their relative performance against currently used Australian seeding systems. Implementation pathways will be developed for these promising technologies with Australian importers and manufacturers and agricultural advisors to aid farmer adoption. </w:t>
            </w:r>
          </w:p>
        </w:tc>
        <w:tc>
          <w:tcPr>
            <w:tcW w:w="1701" w:type="dxa"/>
            <w:shd w:val="clear" w:color="auto" w:fill="auto"/>
            <w:noWrap/>
            <w:hideMark/>
          </w:tcPr>
          <w:p w:rsidR="00267DC8" w:rsidRPr="001E6B81" w:rsidRDefault="001E6B81" w:rsidP="00703118">
            <w:pPr>
              <w:jc w:val="center"/>
              <w:rPr>
                <w:rFonts w:asciiTheme="majorHAnsi" w:hAnsiTheme="majorHAnsi"/>
                <w:sz w:val="20"/>
                <w:szCs w:val="20"/>
              </w:rPr>
            </w:pPr>
            <w:r>
              <w:rPr>
                <w:rFonts w:asciiTheme="majorHAnsi" w:hAnsiTheme="majorHAnsi"/>
                <w:sz w:val="20"/>
                <w:szCs w:val="20"/>
              </w:rPr>
              <w:t>$</w:t>
            </w:r>
            <w:r w:rsidR="00616272" w:rsidRPr="001E6B81">
              <w:rPr>
                <w:rFonts w:asciiTheme="majorHAnsi" w:hAnsiTheme="majorHAnsi"/>
                <w:sz w:val="20"/>
                <w:szCs w:val="20"/>
              </w:rPr>
              <w:t>855</w:t>
            </w:r>
            <w:r>
              <w:rPr>
                <w:rFonts w:asciiTheme="majorHAnsi" w:hAnsiTheme="majorHAnsi"/>
                <w:sz w:val="20"/>
                <w:szCs w:val="20"/>
              </w:rPr>
              <w:t xml:space="preserve"> </w:t>
            </w:r>
            <w:r w:rsidR="00616272" w:rsidRPr="001E6B81">
              <w:rPr>
                <w:rFonts w:asciiTheme="majorHAnsi" w:hAnsiTheme="majorHAnsi"/>
                <w:sz w:val="20"/>
                <w:szCs w:val="20"/>
              </w:rPr>
              <w:t>140</w:t>
            </w:r>
          </w:p>
        </w:tc>
      </w:tr>
      <w:tr w:rsidR="00267DC8" w:rsidRPr="00703118" w:rsidTr="001E6B81">
        <w:trPr>
          <w:trHeight w:val="290"/>
        </w:trPr>
        <w:tc>
          <w:tcPr>
            <w:tcW w:w="943" w:type="dxa"/>
            <w:shd w:val="clear" w:color="auto" w:fill="auto"/>
            <w:noWrap/>
            <w:vAlign w:val="center"/>
            <w:hideMark/>
          </w:tcPr>
          <w:p w:rsidR="00267DC8" w:rsidRPr="00703118" w:rsidRDefault="00703118" w:rsidP="001E6B81">
            <w:pPr>
              <w:rPr>
                <w:rFonts w:asciiTheme="majorHAnsi" w:hAnsiTheme="majorHAnsi"/>
                <w:sz w:val="20"/>
                <w:szCs w:val="20"/>
              </w:rPr>
            </w:pPr>
            <w:r w:rsidRPr="00703118">
              <w:rPr>
                <w:rFonts w:asciiTheme="majorHAnsi" w:hAnsiTheme="majorHAnsi"/>
                <w:b/>
                <w:sz w:val="20"/>
                <w:szCs w:val="20"/>
              </w:rPr>
              <w:t>NSW</w:t>
            </w:r>
          </w:p>
        </w:tc>
        <w:tc>
          <w:tcPr>
            <w:tcW w:w="2126" w:type="dxa"/>
            <w:shd w:val="clear" w:color="auto" w:fill="auto"/>
            <w:noWrap/>
            <w:vAlign w:val="center"/>
            <w:hideMark/>
          </w:tcPr>
          <w:p w:rsidR="00267DC8" w:rsidRPr="00703118" w:rsidRDefault="00616272" w:rsidP="001E6B81">
            <w:pPr>
              <w:rPr>
                <w:rFonts w:asciiTheme="majorHAnsi" w:hAnsiTheme="majorHAnsi" w:cs="Calibri"/>
                <w:color w:val="000000"/>
                <w:sz w:val="20"/>
                <w:szCs w:val="20"/>
              </w:rPr>
            </w:pPr>
            <w:r w:rsidRPr="00703118">
              <w:rPr>
                <w:rFonts w:asciiTheme="majorHAnsi" w:hAnsiTheme="majorHAnsi" w:cs="Calibri"/>
                <w:color w:val="000000"/>
                <w:sz w:val="20"/>
                <w:szCs w:val="20"/>
              </w:rPr>
              <w:t>Conservation Farmers Inc</w:t>
            </w:r>
          </w:p>
        </w:tc>
        <w:tc>
          <w:tcPr>
            <w:tcW w:w="3745" w:type="dxa"/>
            <w:shd w:val="clear" w:color="auto" w:fill="auto"/>
            <w:noWrap/>
            <w:vAlign w:val="center"/>
            <w:hideMark/>
          </w:tcPr>
          <w:p w:rsidR="00267DC8" w:rsidRPr="00703118" w:rsidRDefault="00616272" w:rsidP="001E6B81">
            <w:pPr>
              <w:rPr>
                <w:rFonts w:asciiTheme="majorHAnsi" w:hAnsiTheme="majorHAnsi" w:cs="Calibri"/>
                <w:color w:val="000000"/>
                <w:sz w:val="20"/>
                <w:szCs w:val="20"/>
              </w:rPr>
            </w:pPr>
            <w:r w:rsidRPr="00703118">
              <w:rPr>
                <w:rFonts w:asciiTheme="majorHAnsi" w:hAnsiTheme="majorHAnsi" w:cs="Calibri"/>
                <w:color w:val="000000"/>
                <w:sz w:val="20"/>
                <w:szCs w:val="20"/>
              </w:rPr>
              <w:t>Reviving soil health using summer legumes as green manure or grain crops</w:t>
            </w:r>
          </w:p>
        </w:tc>
        <w:tc>
          <w:tcPr>
            <w:tcW w:w="6912" w:type="dxa"/>
            <w:vAlign w:val="center"/>
          </w:tcPr>
          <w:p w:rsidR="00267DC8" w:rsidRPr="00703118" w:rsidRDefault="00616272" w:rsidP="001E6B81">
            <w:pPr>
              <w:rPr>
                <w:rFonts w:asciiTheme="majorHAnsi" w:hAnsiTheme="majorHAnsi" w:cs="Calibri"/>
                <w:color w:val="000000"/>
                <w:sz w:val="20"/>
                <w:szCs w:val="20"/>
              </w:rPr>
            </w:pPr>
            <w:r w:rsidRPr="00703118">
              <w:rPr>
                <w:rFonts w:asciiTheme="majorHAnsi" w:hAnsiTheme="majorHAnsi" w:cs="Calibri"/>
                <w:color w:val="000000"/>
                <w:sz w:val="20"/>
                <w:szCs w:val="20"/>
              </w:rPr>
              <w:t xml:space="preserve">The project will quantify the benefits and trade-offs of introducing a range of  tested and untested summer legumes as green manures and grain crops, in terms of nitrogen inputs, soil biology, carbon cycling, the incidence of herbicide resistant weeds and pathogens, profits and risks. The expected outcome is farmers increasing the use of legumes in their rotations and reducing their dependence on mineral fertilisers. Activities will include on-farm demonstration trials, field days, and the </w:t>
            </w:r>
            <w:r w:rsidR="001E6B81" w:rsidRPr="00703118">
              <w:rPr>
                <w:rFonts w:asciiTheme="majorHAnsi" w:hAnsiTheme="majorHAnsi" w:cs="Calibri"/>
                <w:color w:val="000000"/>
                <w:sz w:val="20"/>
                <w:szCs w:val="20"/>
              </w:rPr>
              <w:t>trialling</w:t>
            </w:r>
            <w:r w:rsidRPr="00703118">
              <w:rPr>
                <w:rFonts w:asciiTheme="majorHAnsi" w:hAnsiTheme="majorHAnsi" w:cs="Calibri"/>
                <w:color w:val="000000"/>
                <w:sz w:val="20"/>
                <w:szCs w:val="20"/>
              </w:rPr>
              <w:t xml:space="preserve"> of innovative Information Communication Technologies tools for farmers.</w:t>
            </w:r>
          </w:p>
        </w:tc>
        <w:tc>
          <w:tcPr>
            <w:tcW w:w="1701" w:type="dxa"/>
            <w:shd w:val="clear" w:color="auto" w:fill="auto"/>
            <w:noWrap/>
            <w:hideMark/>
          </w:tcPr>
          <w:p w:rsidR="00616272" w:rsidRPr="001E6B81" w:rsidRDefault="001E6B81" w:rsidP="00703118">
            <w:pPr>
              <w:jc w:val="center"/>
              <w:rPr>
                <w:rFonts w:asciiTheme="majorHAnsi" w:hAnsiTheme="majorHAnsi"/>
                <w:sz w:val="20"/>
                <w:szCs w:val="20"/>
              </w:rPr>
            </w:pPr>
            <w:r>
              <w:rPr>
                <w:rFonts w:asciiTheme="majorHAnsi" w:hAnsiTheme="majorHAnsi"/>
                <w:sz w:val="20"/>
                <w:szCs w:val="20"/>
              </w:rPr>
              <w:t>$</w:t>
            </w:r>
            <w:r w:rsidR="00616272" w:rsidRPr="001E6B81">
              <w:rPr>
                <w:rFonts w:asciiTheme="majorHAnsi" w:hAnsiTheme="majorHAnsi"/>
                <w:sz w:val="20"/>
                <w:szCs w:val="20"/>
              </w:rPr>
              <w:t>481</w:t>
            </w:r>
            <w:r>
              <w:rPr>
                <w:rFonts w:asciiTheme="majorHAnsi" w:hAnsiTheme="majorHAnsi"/>
                <w:sz w:val="20"/>
                <w:szCs w:val="20"/>
              </w:rPr>
              <w:t xml:space="preserve"> </w:t>
            </w:r>
            <w:r w:rsidR="00616272" w:rsidRPr="001E6B81">
              <w:rPr>
                <w:rFonts w:asciiTheme="majorHAnsi" w:hAnsiTheme="majorHAnsi"/>
                <w:sz w:val="20"/>
                <w:szCs w:val="20"/>
              </w:rPr>
              <w:t>250</w:t>
            </w:r>
          </w:p>
          <w:p w:rsidR="00267DC8" w:rsidRPr="001E6B81" w:rsidRDefault="00267DC8" w:rsidP="00703118">
            <w:pPr>
              <w:jc w:val="center"/>
              <w:rPr>
                <w:rFonts w:asciiTheme="majorHAnsi" w:hAnsiTheme="majorHAnsi"/>
                <w:sz w:val="20"/>
                <w:szCs w:val="20"/>
              </w:rPr>
            </w:pPr>
          </w:p>
        </w:tc>
      </w:tr>
      <w:tr w:rsidR="00616272" w:rsidRPr="00703118" w:rsidTr="001E6B81">
        <w:trPr>
          <w:trHeight w:val="290"/>
        </w:trPr>
        <w:tc>
          <w:tcPr>
            <w:tcW w:w="943" w:type="dxa"/>
            <w:shd w:val="clear" w:color="auto" w:fill="auto"/>
            <w:noWrap/>
            <w:vAlign w:val="center"/>
            <w:hideMark/>
          </w:tcPr>
          <w:p w:rsidR="00616272" w:rsidRPr="00703118" w:rsidRDefault="00703118" w:rsidP="001E6B81">
            <w:pPr>
              <w:rPr>
                <w:rFonts w:asciiTheme="majorHAnsi" w:hAnsiTheme="majorHAnsi"/>
                <w:sz w:val="20"/>
                <w:szCs w:val="20"/>
              </w:rPr>
            </w:pPr>
            <w:r w:rsidRPr="00703118">
              <w:rPr>
                <w:rFonts w:asciiTheme="majorHAnsi" w:hAnsiTheme="majorHAnsi"/>
                <w:b/>
                <w:sz w:val="20"/>
                <w:szCs w:val="20"/>
              </w:rPr>
              <w:t>NSW</w:t>
            </w:r>
          </w:p>
        </w:tc>
        <w:tc>
          <w:tcPr>
            <w:tcW w:w="2126" w:type="dxa"/>
            <w:shd w:val="clear" w:color="auto" w:fill="auto"/>
            <w:noWrap/>
            <w:vAlign w:val="center"/>
            <w:hideMark/>
          </w:tcPr>
          <w:p w:rsidR="00616272" w:rsidRPr="00703118" w:rsidRDefault="00616272" w:rsidP="001E6B81">
            <w:pPr>
              <w:rPr>
                <w:rFonts w:asciiTheme="majorHAnsi" w:hAnsiTheme="majorHAnsi" w:cs="Calibri"/>
                <w:color w:val="000000"/>
                <w:sz w:val="20"/>
                <w:szCs w:val="20"/>
              </w:rPr>
            </w:pPr>
            <w:r w:rsidRPr="00703118">
              <w:rPr>
                <w:rFonts w:asciiTheme="majorHAnsi" w:hAnsiTheme="majorHAnsi" w:cs="Calibri"/>
                <w:color w:val="000000"/>
                <w:sz w:val="20"/>
                <w:szCs w:val="20"/>
              </w:rPr>
              <w:t>Cotton Australia Limited</w:t>
            </w:r>
          </w:p>
        </w:tc>
        <w:tc>
          <w:tcPr>
            <w:tcW w:w="3745" w:type="dxa"/>
            <w:shd w:val="clear" w:color="auto" w:fill="auto"/>
            <w:noWrap/>
            <w:vAlign w:val="center"/>
            <w:hideMark/>
          </w:tcPr>
          <w:p w:rsidR="00616272" w:rsidRPr="00703118" w:rsidRDefault="00616272" w:rsidP="001E6B81">
            <w:pPr>
              <w:rPr>
                <w:rFonts w:asciiTheme="majorHAnsi" w:hAnsiTheme="majorHAnsi" w:cs="Calibri"/>
                <w:color w:val="000000"/>
                <w:sz w:val="20"/>
                <w:szCs w:val="20"/>
              </w:rPr>
            </w:pPr>
            <w:r w:rsidRPr="00703118">
              <w:rPr>
                <w:rFonts w:asciiTheme="majorHAnsi" w:hAnsiTheme="majorHAnsi" w:cs="Calibri"/>
                <w:color w:val="000000"/>
                <w:sz w:val="20"/>
                <w:szCs w:val="20"/>
              </w:rPr>
              <w:t>Sustainable Australian Cotton Production Supplying International Markets</w:t>
            </w:r>
          </w:p>
        </w:tc>
        <w:tc>
          <w:tcPr>
            <w:tcW w:w="6912" w:type="dxa"/>
            <w:vAlign w:val="center"/>
          </w:tcPr>
          <w:p w:rsidR="00616272" w:rsidRPr="00703118" w:rsidRDefault="00616272" w:rsidP="001E6B81">
            <w:pPr>
              <w:rPr>
                <w:rFonts w:asciiTheme="majorHAnsi" w:hAnsiTheme="majorHAnsi" w:cs="Calibri"/>
                <w:color w:val="000000"/>
                <w:sz w:val="20"/>
                <w:szCs w:val="20"/>
              </w:rPr>
            </w:pPr>
            <w:r w:rsidRPr="00703118">
              <w:rPr>
                <w:rFonts w:asciiTheme="majorHAnsi" w:hAnsiTheme="majorHAnsi" w:cs="Calibri"/>
                <w:color w:val="000000"/>
                <w:sz w:val="20"/>
                <w:szCs w:val="20"/>
              </w:rPr>
              <w:t xml:space="preserve">By 2029, the Australian cotton industry aims to be producer and supplier of the most environmentally and socially responsible cotton on the globe. The industry's assurance mechanism is myBMP, an online best practise management system for growers to improve on-farm production and natural resource management. </w:t>
            </w:r>
            <w:r w:rsidRPr="00703118">
              <w:rPr>
                <w:rFonts w:asciiTheme="majorHAnsi" w:hAnsiTheme="majorHAnsi" w:cs="Calibri"/>
                <w:color w:val="000000"/>
                <w:sz w:val="20"/>
                <w:szCs w:val="20"/>
              </w:rPr>
              <w:cr/>
            </w:r>
            <w:r w:rsidRPr="00703118">
              <w:rPr>
                <w:rFonts w:asciiTheme="majorHAnsi" w:hAnsiTheme="majorHAnsi" w:cs="Calibri"/>
                <w:color w:val="000000"/>
                <w:sz w:val="20"/>
                <w:szCs w:val="20"/>
              </w:rPr>
              <w:cr/>
              <w:t>This project will modernise the myBMP platform and enable farm-level reporting on key environmental performance indicators on cotton farms e.g. fertiliser, pesticide and water use and habitat conservation.  The new platform will allow for integrated reporting to three critical audiences: growers, industry and international markets. This will satisfy international markets' sustainability requirements and provide a critical feedback loop for recognition and reward for grower participation in myBMP and continued environmental improvement on farm and as an industry</w:t>
            </w:r>
          </w:p>
        </w:tc>
        <w:tc>
          <w:tcPr>
            <w:tcW w:w="1701" w:type="dxa"/>
            <w:shd w:val="clear" w:color="auto" w:fill="auto"/>
            <w:noWrap/>
            <w:hideMark/>
          </w:tcPr>
          <w:p w:rsidR="00616272" w:rsidRPr="001E6B81" w:rsidRDefault="001E6B81" w:rsidP="00703118">
            <w:pPr>
              <w:jc w:val="center"/>
              <w:rPr>
                <w:rFonts w:asciiTheme="majorHAnsi" w:hAnsiTheme="majorHAnsi"/>
                <w:sz w:val="20"/>
                <w:szCs w:val="20"/>
              </w:rPr>
            </w:pPr>
            <w:r>
              <w:rPr>
                <w:rFonts w:asciiTheme="majorHAnsi" w:hAnsiTheme="majorHAnsi"/>
                <w:sz w:val="20"/>
                <w:szCs w:val="20"/>
              </w:rPr>
              <w:t>$</w:t>
            </w:r>
            <w:r w:rsidR="00616272" w:rsidRPr="001E6B81">
              <w:rPr>
                <w:rFonts w:asciiTheme="majorHAnsi" w:hAnsiTheme="majorHAnsi"/>
                <w:sz w:val="20"/>
                <w:szCs w:val="20"/>
              </w:rPr>
              <w:t>422</w:t>
            </w:r>
            <w:r>
              <w:rPr>
                <w:rFonts w:asciiTheme="majorHAnsi" w:hAnsiTheme="majorHAnsi"/>
                <w:sz w:val="20"/>
                <w:szCs w:val="20"/>
              </w:rPr>
              <w:t xml:space="preserve"> </w:t>
            </w:r>
            <w:r w:rsidR="00616272" w:rsidRPr="001E6B81">
              <w:rPr>
                <w:rFonts w:asciiTheme="majorHAnsi" w:hAnsiTheme="majorHAnsi"/>
                <w:sz w:val="20"/>
                <w:szCs w:val="20"/>
              </w:rPr>
              <w:t>400</w:t>
            </w:r>
          </w:p>
        </w:tc>
      </w:tr>
    </w:tbl>
    <w:p w:rsidR="00767E67" w:rsidRPr="00703118" w:rsidRDefault="00767E67">
      <w:pPr>
        <w:rPr>
          <w:rFonts w:asciiTheme="majorHAnsi" w:hAnsiTheme="majorHAnsi"/>
          <w:sz w:val="20"/>
          <w:szCs w:val="20"/>
        </w:rPr>
      </w:pPr>
    </w:p>
    <w:p w:rsidR="00616272" w:rsidRPr="00703118" w:rsidRDefault="00616272">
      <w:pPr>
        <w:rPr>
          <w:rFonts w:asciiTheme="majorHAnsi" w:hAnsiTheme="majorHAnsi"/>
          <w:sz w:val="20"/>
          <w:szCs w:val="20"/>
        </w:rPr>
      </w:pPr>
    </w:p>
    <w:p w:rsidR="001E6B81" w:rsidRDefault="001E6B81">
      <w:pPr>
        <w:rPr>
          <w:rFonts w:asciiTheme="majorHAnsi" w:hAnsiTheme="majorHAnsi" w:cs="Calibri"/>
          <w:b/>
          <w:color w:val="000000"/>
        </w:rPr>
      </w:pPr>
      <w:r>
        <w:rPr>
          <w:rFonts w:asciiTheme="majorHAnsi" w:hAnsiTheme="majorHAnsi" w:cs="Calibri"/>
          <w:b/>
          <w:color w:val="000000"/>
        </w:rPr>
        <w:br w:type="page"/>
      </w:r>
    </w:p>
    <w:p w:rsidR="001E6B81" w:rsidRDefault="001E6B81" w:rsidP="00616272">
      <w:pPr>
        <w:tabs>
          <w:tab w:val="left" w:pos="778"/>
          <w:tab w:val="left" w:pos="3613"/>
          <w:tab w:val="left" w:pos="6448"/>
        </w:tabs>
        <w:rPr>
          <w:rFonts w:asciiTheme="majorHAnsi" w:hAnsiTheme="majorHAnsi" w:cs="Calibri"/>
          <w:b/>
          <w:color w:val="000000"/>
        </w:rPr>
      </w:pPr>
    </w:p>
    <w:p w:rsidR="00616272" w:rsidRPr="00703118" w:rsidRDefault="00616272" w:rsidP="00616272">
      <w:pPr>
        <w:tabs>
          <w:tab w:val="left" w:pos="778"/>
          <w:tab w:val="left" w:pos="3613"/>
          <w:tab w:val="left" w:pos="6448"/>
        </w:tabs>
        <w:rPr>
          <w:rFonts w:asciiTheme="majorHAnsi" w:hAnsiTheme="majorHAnsi" w:cs="Calibri"/>
          <w:b/>
          <w:color w:val="000000"/>
        </w:rPr>
      </w:pPr>
      <w:r w:rsidRPr="00703118">
        <w:rPr>
          <w:rFonts w:asciiTheme="majorHAnsi" w:hAnsiTheme="majorHAnsi" w:cs="Calibri"/>
          <w:b/>
          <w:color w:val="000000"/>
        </w:rPr>
        <w:t>NT</w:t>
      </w:r>
    </w:p>
    <w:tbl>
      <w:tblPr>
        <w:tblW w:w="154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126"/>
        <w:gridCol w:w="3745"/>
        <w:gridCol w:w="6912"/>
        <w:gridCol w:w="1701"/>
      </w:tblGrid>
      <w:tr w:rsidR="00616272" w:rsidRPr="00703118" w:rsidTr="00A40755">
        <w:trPr>
          <w:trHeight w:val="290"/>
        </w:trPr>
        <w:tc>
          <w:tcPr>
            <w:tcW w:w="943" w:type="dxa"/>
            <w:shd w:val="clear" w:color="auto" w:fill="auto"/>
            <w:noWrap/>
            <w:hideMark/>
          </w:tcPr>
          <w:p w:rsidR="00616272" w:rsidRPr="00703118" w:rsidRDefault="00616272" w:rsidP="00A40755">
            <w:pPr>
              <w:rPr>
                <w:rFonts w:asciiTheme="majorHAnsi" w:hAnsiTheme="majorHAnsi"/>
                <w:sz w:val="20"/>
                <w:szCs w:val="20"/>
              </w:rPr>
            </w:pPr>
            <w:r w:rsidRPr="00703118">
              <w:rPr>
                <w:rFonts w:asciiTheme="majorHAnsi" w:hAnsiTheme="majorHAnsi" w:cs="Calibri"/>
                <w:b/>
                <w:bCs/>
                <w:color w:val="000000"/>
                <w:sz w:val="20"/>
                <w:szCs w:val="20"/>
              </w:rPr>
              <w:t>State</w:t>
            </w:r>
          </w:p>
        </w:tc>
        <w:tc>
          <w:tcPr>
            <w:tcW w:w="2126" w:type="dxa"/>
            <w:shd w:val="clear" w:color="auto" w:fill="auto"/>
            <w:noWrap/>
            <w:hideMark/>
          </w:tcPr>
          <w:p w:rsidR="00616272" w:rsidRPr="00703118" w:rsidRDefault="00616272" w:rsidP="00A40755">
            <w:pPr>
              <w:rPr>
                <w:rFonts w:asciiTheme="majorHAnsi" w:hAnsiTheme="majorHAnsi"/>
                <w:sz w:val="20"/>
                <w:szCs w:val="20"/>
              </w:rPr>
            </w:pPr>
            <w:r w:rsidRPr="00703118">
              <w:rPr>
                <w:rFonts w:asciiTheme="majorHAnsi" w:hAnsiTheme="majorHAnsi" w:cs="Calibri"/>
                <w:b/>
                <w:bCs/>
                <w:color w:val="000000"/>
                <w:sz w:val="20"/>
                <w:szCs w:val="20"/>
              </w:rPr>
              <w:t>Recipient</w:t>
            </w:r>
          </w:p>
        </w:tc>
        <w:tc>
          <w:tcPr>
            <w:tcW w:w="3745" w:type="dxa"/>
            <w:shd w:val="clear" w:color="auto" w:fill="auto"/>
            <w:noWrap/>
            <w:hideMark/>
          </w:tcPr>
          <w:p w:rsidR="00616272" w:rsidRPr="00703118" w:rsidRDefault="00616272" w:rsidP="00A40755">
            <w:pPr>
              <w:rPr>
                <w:rFonts w:asciiTheme="majorHAnsi" w:hAnsiTheme="majorHAnsi"/>
                <w:sz w:val="20"/>
                <w:szCs w:val="20"/>
              </w:rPr>
            </w:pPr>
            <w:r w:rsidRPr="002A7E35">
              <w:rPr>
                <w:rFonts w:asciiTheme="majorHAnsi" w:hAnsiTheme="majorHAnsi" w:cs="Calibri"/>
                <w:b/>
                <w:bCs/>
                <w:color w:val="000000"/>
                <w:sz w:val="20"/>
                <w:szCs w:val="20"/>
              </w:rPr>
              <w:t>Project Title</w:t>
            </w:r>
          </w:p>
        </w:tc>
        <w:tc>
          <w:tcPr>
            <w:tcW w:w="6912" w:type="dxa"/>
          </w:tcPr>
          <w:p w:rsidR="00616272" w:rsidRPr="00703118" w:rsidRDefault="00616272" w:rsidP="00A40755">
            <w:pPr>
              <w:rPr>
                <w:rFonts w:asciiTheme="majorHAnsi" w:hAnsiTheme="majorHAnsi"/>
                <w:sz w:val="20"/>
                <w:szCs w:val="20"/>
              </w:rPr>
            </w:pPr>
            <w:r w:rsidRPr="002A7E35">
              <w:rPr>
                <w:rFonts w:asciiTheme="majorHAnsi" w:hAnsiTheme="majorHAnsi" w:cs="Calibri"/>
                <w:b/>
                <w:bCs/>
                <w:color w:val="000000"/>
                <w:sz w:val="20"/>
                <w:szCs w:val="20"/>
              </w:rPr>
              <w:t>Project Description</w:t>
            </w:r>
          </w:p>
        </w:tc>
        <w:tc>
          <w:tcPr>
            <w:tcW w:w="1701" w:type="dxa"/>
            <w:shd w:val="clear" w:color="auto" w:fill="auto"/>
            <w:noWrap/>
            <w:hideMark/>
          </w:tcPr>
          <w:p w:rsidR="00616272" w:rsidRPr="00703118" w:rsidRDefault="00616272" w:rsidP="001E6B81">
            <w:pPr>
              <w:jc w:val="center"/>
              <w:rPr>
                <w:rFonts w:asciiTheme="majorHAnsi" w:hAnsiTheme="majorHAnsi"/>
                <w:sz w:val="20"/>
                <w:szCs w:val="20"/>
              </w:rPr>
            </w:pPr>
            <w:r w:rsidRPr="00703118">
              <w:rPr>
                <w:rFonts w:asciiTheme="majorHAnsi" w:hAnsiTheme="majorHAnsi" w:cs="Calibri"/>
                <w:b/>
                <w:bCs/>
                <w:color w:val="000000"/>
                <w:sz w:val="20"/>
                <w:szCs w:val="20"/>
              </w:rPr>
              <w:t xml:space="preserve">Funding </w:t>
            </w:r>
            <w:r w:rsidRPr="00703118">
              <w:rPr>
                <w:rFonts w:asciiTheme="majorHAnsi" w:hAnsiTheme="majorHAnsi" w:cs="Calibri"/>
                <w:b/>
                <w:bCs/>
                <w:color w:val="000000"/>
                <w:sz w:val="20"/>
                <w:szCs w:val="20"/>
              </w:rPr>
              <w:br/>
            </w:r>
            <w:r w:rsidRPr="002A7E35">
              <w:rPr>
                <w:rFonts w:asciiTheme="majorHAnsi" w:hAnsiTheme="majorHAnsi" w:cs="Calibri"/>
                <w:b/>
                <w:bCs/>
                <w:color w:val="000000"/>
                <w:sz w:val="20"/>
                <w:szCs w:val="20"/>
              </w:rPr>
              <w:t>GST Inc</w:t>
            </w:r>
          </w:p>
        </w:tc>
      </w:tr>
      <w:tr w:rsidR="00616272" w:rsidRPr="00703118" w:rsidTr="001E6B81">
        <w:trPr>
          <w:trHeight w:val="290"/>
        </w:trPr>
        <w:tc>
          <w:tcPr>
            <w:tcW w:w="943" w:type="dxa"/>
            <w:shd w:val="clear" w:color="auto" w:fill="auto"/>
            <w:noWrap/>
            <w:vAlign w:val="center"/>
            <w:hideMark/>
          </w:tcPr>
          <w:p w:rsidR="00616272" w:rsidRPr="00703118" w:rsidRDefault="00703118" w:rsidP="001E6B81">
            <w:pPr>
              <w:rPr>
                <w:rFonts w:asciiTheme="majorHAnsi" w:hAnsiTheme="majorHAnsi"/>
                <w:b/>
                <w:sz w:val="20"/>
                <w:szCs w:val="20"/>
              </w:rPr>
            </w:pPr>
            <w:r w:rsidRPr="00703118">
              <w:rPr>
                <w:rFonts w:asciiTheme="majorHAnsi" w:hAnsiTheme="majorHAnsi"/>
                <w:b/>
                <w:sz w:val="20"/>
                <w:szCs w:val="20"/>
              </w:rPr>
              <w:t>NT</w:t>
            </w:r>
          </w:p>
        </w:tc>
        <w:tc>
          <w:tcPr>
            <w:tcW w:w="2126" w:type="dxa"/>
            <w:shd w:val="clear" w:color="auto" w:fill="auto"/>
            <w:noWrap/>
            <w:vAlign w:val="center"/>
            <w:hideMark/>
          </w:tcPr>
          <w:p w:rsidR="00616272" w:rsidRPr="00703118" w:rsidRDefault="00616272" w:rsidP="001E6B81">
            <w:pPr>
              <w:rPr>
                <w:rFonts w:asciiTheme="majorHAnsi" w:hAnsiTheme="majorHAnsi"/>
                <w:sz w:val="20"/>
                <w:szCs w:val="20"/>
              </w:rPr>
            </w:pPr>
            <w:r w:rsidRPr="00703118">
              <w:rPr>
                <w:rFonts w:asciiTheme="majorHAnsi" w:hAnsiTheme="majorHAnsi"/>
                <w:sz w:val="20"/>
                <w:szCs w:val="20"/>
              </w:rPr>
              <w:t>Barkly Landcare and Conservation Association</w:t>
            </w:r>
          </w:p>
        </w:tc>
        <w:tc>
          <w:tcPr>
            <w:tcW w:w="3745" w:type="dxa"/>
            <w:shd w:val="clear" w:color="auto" w:fill="auto"/>
            <w:noWrap/>
            <w:vAlign w:val="center"/>
            <w:hideMark/>
          </w:tcPr>
          <w:p w:rsidR="00616272" w:rsidRPr="00703118" w:rsidRDefault="00616272" w:rsidP="001E6B81">
            <w:pPr>
              <w:rPr>
                <w:rFonts w:asciiTheme="majorHAnsi" w:hAnsiTheme="majorHAnsi"/>
                <w:sz w:val="20"/>
                <w:szCs w:val="20"/>
              </w:rPr>
            </w:pPr>
            <w:r w:rsidRPr="00703118">
              <w:rPr>
                <w:rFonts w:asciiTheme="majorHAnsi" w:hAnsiTheme="majorHAnsi"/>
                <w:sz w:val="20"/>
                <w:szCs w:val="20"/>
              </w:rPr>
              <w:t>Adaptive Grazing for Sustainable Production Gains: Beetaloo Pilot Phase 2</w:t>
            </w:r>
          </w:p>
        </w:tc>
        <w:tc>
          <w:tcPr>
            <w:tcW w:w="6912" w:type="dxa"/>
            <w:vAlign w:val="center"/>
          </w:tcPr>
          <w:p w:rsidR="00616272" w:rsidRPr="00703118" w:rsidRDefault="00616272" w:rsidP="001E6B81">
            <w:pPr>
              <w:rPr>
                <w:rFonts w:asciiTheme="majorHAnsi" w:hAnsiTheme="majorHAnsi"/>
                <w:sz w:val="20"/>
                <w:szCs w:val="20"/>
              </w:rPr>
            </w:pPr>
            <w:r w:rsidRPr="00703118">
              <w:rPr>
                <w:rFonts w:asciiTheme="majorHAnsi" w:hAnsiTheme="majorHAnsi"/>
                <w:sz w:val="20"/>
                <w:szCs w:val="20"/>
              </w:rPr>
              <w:t>The Barkly Tablelands is a vast native grassland in Australia's beef producing heartlands. This project will quantify the potential for sustainably intensifying production through innovative grazing principles that give greater control of stock distributions, grazing pressure and pasture utilisation. The project will facilitate broad adoption of management practices that have been shown to increase herd productivity, improve land condition and contribute to soil carbon sequestration, and maintain biodiversity values within a productive native pasture ecosystem</w:t>
            </w:r>
          </w:p>
          <w:p w:rsidR="00616272" w:rsidRPr="00703118" w:rsidRDefault="00616272" w:rsidP="001E6B81">
            <w:pPr>
              <w:rPr>
                <w:rFonts w:asciiTheme="majorHAnsi" w:hAnsiTheme="majorHAnsi"/>
                <w:sz w:val="20"/>
                <w:szCs w:val="20"/>
              </w:rPr>
            </w:pPr>
          </w:p>
        </w:tc>
        <w:tc>
          <w:tcPr>
            <w:tcW w:w="1701" w:type="dxa"/>
            <w:shd w:val="clear" w:color="auto" w:fill="auto"/>
            <w:noWrap/>
            <w:vAlign w:val="center"/>
            <w:hideMark/>
          </w:tcPr>
          <w:p w:rsidR="00616272" w:rsidRPr="00703118" w:rsidRDefault="001E6B81" w:rsidP="001E6B81">
            <w:pPr>
              <w:jc w:val="center"/>
              <w:rPr>
                <w:rFonts w:asciiTheme="majorHAnsi" w:hAnsiTheme="majorHAnsi"/>
                <w:sz w:val="20"/>
                <w:szCs w:val="20"/>
              </w:rPr>
            </w:pPr>
            <w:r>
              <w:rPr>
                <w:rFonts w:asciiTheme="majorHAnsi" w:hAnsiTheme="majorHAnsi"/>
                <w:sz w:val="20"/>
                <w:szCs w:val="20"/>
              </w:rPr>
              <w:t>$</w:t>
            </w:r>
            <w:r w:rsidR="00616272" w:rsidRPr="00703118">
              <w:rPr>
                <w:rFonts w:asciiTheme="majorHAnsi" w:hAnsiTheme="majorHAnsi"/>
                <w:sz w:val="20"/>
                <w:szCs w:val="20"/>
              </w:rPr>
              <w:t>402</w:t>
            </w:r>
            <w:r>
              <w:rPr>
                <w:rFonts w:asciiTheme="majorHAnsi" w:hAnsiTheme="majorHAnsi"/>
                <w:sz w:val="20"/>
                <w:szCs w:val="20"/>
              </w:rPr>
              <w:t xml:space="preserve"> </w:t>
            </w:r>
            <w:r w:rsidR="00616272" w:rsidRPr="00703118">
              <w:rPr>
                <w:rFonts w:asciiTheme="majorHAnsi" w:hAnsiTheme="majorHAnsi"/>
                <w:sz w:val="20"/>
                <w:szCs w:val="20"/>
              </w:rPr>
              <w:t>820</w:t>
            </w:r>
          </w:p>
        </w:tc>
      </w:tr>
    </w:tbl>
    <w:p w:rsidR="00616272" w:rsidRPr="00703118" w:rsidRDefault="00616272">
      <w:pPr>
        <w:rPr>
          <w:rFonts w:asciiTheme="majorHAnsi" w:hAnsiTheme="majorHAnsi"/>
          <w:sz w:val="20"/>
          <w:szCs w:val="20"/>
        </w:rPr>
      </w:pPr>
    </w:p>
    <w:p w:rsidR="00616272" w:rsidRPr="00703118" w:rsidRDefault="00616272">
      <w:pPr>
        <w:rPr>
          <w:rFonts w:asciiTheme="majorHAnsi" w:hAnsiTheme="majorHAnsi"/>
          <w:sz w:val="20"/>
          <w:szCs w:val="20"/>
        </w:rPr>
      </w:pPr>
    </w:p>
    <w:p w:rsidR="00616272" w:rsidRPr="00703118" w:rsidRDefault="00616272" w:rsidP="00616272">
      <w:pPr>
        <w:tabs>
          <w:tab w:val="left" w:pos="778"/>
          <w:tab w:val="left" w:pos="3613"/>
          <w:tab w:val="left" w:pos="6448"/>
        </w:tabs>
        <w:rPr>
          <w:rFonts w:asciiTheme="majorHAnsi" w:hAnsiTheme="majorHAnsi" w:cs="Calibri"/>
          <w:b/>
          <w:color w:val="000000"/>
        </w:rPr>
      </w:pPr>
      <w:r w:rsidRPr="00703118">
        <w:rPr>
          <w:rFonts w:asciiTheme="majorHAnsi" w:hAnsiTheme="majorHAnsi" w:cs="Calibri"/>
          <w:b/>
          <w:color w:val="000000"/>
        </w:rPr>
        <w:t>QLD</w:t>
      </w:r>
    </w:p>
    <w:tbl>
      <w:tblPr>
        <w:tblW w:w="154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126"/>
        <w:gridCol w:w="3745"/>
        <w:gridCol w:w="6912"/>
        <w:gridCol w:w="1701"/>
      </w:tblGrid>
      <w:tr w:rsidR="00616272" w:rsidRPr="00703118" w:rsidTr="00A40755">
        <w:trPr>
          <w:trHeight w:val="290"/>
        </w:trPr>
        <w:tc>
          <w:tcPr>
            <w:tcW w:w="943" w:type="dxa"/>
            <w:shd w:val="clear" w:color="auto" w:fill="auto"/>
            <w:noWrap/>
            <w:hideMark/>
          </w:tcPr>
          <w:p w:rsidR="00616272" w:rsidRPr="00703118" w:rsidRDefault="00616272" w:rsidP="00A40755">
            <w:pPr>
              <w:rPr>
                <w:rFonts w:asciiTheme="majorHAnsi" w:hAnsiTheme="majorHAnsi"/>
                <w:sz w:val="20"/>
                <w:szCs w:val="20"/>
              </w:rPr>
            </w:pPr>
            <w:r w:rsidRPr="00703118">
              <w:rPr>
                <w:rFonts w:asciiTheme="majorHAnsi" w:hAnsiTheme="majorHAnsi" w:cs="Calibri"/>
                <w:b/>
                <w:bCs/>
                <w:color w:val="000000"/>
                <w:sz w:val="20"/>
                <w:szCs w:val="20"/>
              </w:rPr>
              <w:t>State</w:t>
            </w:r>
          </w:p>
        </w:tc>
        <w:tc>
          <w:tcPr>
            <w:tcW w:w="2126" w:type="dxa"/>
            <w:shd w:val="clear" w:color="auto" w:fill="auto"/>
            <w:noWrap/>
            <w:hideMark/>
          </w:tcPr>
          <w:p w:rsidR="00616272" w:rsidRPr="00703118" w:rsidRDefault="00616272" w:rsidP="00A40755">
            <w:pPr>
              <w:rPr>
                <w:rFonts w:asciiTheme="majorHAnsi" w:hAnsiTheme="majorHAnsi"/>
                <w:sz w:val="20"/>
                <w:szCs w:val="20"/>
              </w:rPr>
            </w:pPr>
            <w:r w:rsidRPr="00703118">
              <w:rPr>
                <w:rFonts w:asciiTheme="majorHAnsi" w:hAnsiTheme="majorHAnsi" w:cs="Calibri"/>
                <w:b/>
                <w:bCs/>
                <w:color w:val="000000"/>
                <w:sz w:val="20"/>
                <w:szCs w:val="20"/>
              </w:rPr>
              <w:t>Recipient</w:t>
            </w:r>
          </w:p>
        </w:tc>
        <w:tc>
          <w:tcPr>
            <w:tcW w:w="3745" w:type="dxa"/>
            <w:shd w:val="clear" w:color="auto" w:fill="auto"/>
            <w:noWrap/>
            <w:hideMark/>
          </w:tcPr>
          <w:p w:rsidR="00616272" w:rsidRPr="00703118" w:rsidRDefault="00616272" w:rsidP="00A40755">
            <w:pPr>
              <w:rPr>
                <w:rFonts w:asciiTheme="majorHAnsi" w:hAnsiTheme="majorHAnsi"/>
                <w:sz w:val="20"/>
                <w:szCs w:val="20"/>
              </w:rPr>
            </w:pPr>
            <w:r w:rsidRPr="002A7E35">
              <w:rPr>
                <w:rFonts w:asciiTheme="majorHAnsi" w:hAnsiTheme="majorHAnsi" w:cs="Calibri"/>
                <w:b/>
                <w:bCs/>
                <w:color w:val="000000"/>
                <w:sz w:val="20"/>
                <w:szCs w:val="20"/>
              </w:rPr>
              <w:t>Project Title</w:t>
            </w:r>
          </w:p>
        </w:tc>
        <w:tc>
          <w:tcPr>
            <w:tcW w:w="6912" w:type="dxa"/>
          </w:tcPr>
          <w:p w:rsidR="00616272" w:rsidRPr="00703118" w:rsidRDefault="00616272" w:rsidP="00A40755">
            <w:pPr>
              <w:rPr>
                <w:rFonts w:asciiTheme="majorHAnsi" w:hAnsiTheme="majorHAnsi"/>
                <w:sz w:val="20"/>
                <w:szCs w:val="20"/>
              </w:rPr>
            </w:pPr>
            <w:r w:rsidRPr="002A7E35">
              <w:rPr>
                <w:rFonts w:asciiTheme="majorHAnsi" w:hAnsiTheme="majorHAnsi" w:cs="Calibri"/>
                <w:b/>
                <w:bCs/>
                <w:color w:val="000000"/>
                <w:sz w:val="20"/>
                <w:szCs w:val="20"/>
              </w:rPr>
              <w:t>Project Description</w:t>
            </w:r>
          </w:p>
        </w:tc>
        <w:tc>
          <w:tcPr>
            <w:tcW w:w="1701" w:type="dxa"/>
            <w:shd w:val="clear" w:color="auto" w:fill="auto"/>
            <w:noWrap/>
            <w:hideMark/>
          </w:tcPr>
          <w:p w:rsidR="00616272" w:rsidRPr="00703118" w:rsidRDefault="00616272" w:rsidP="00A40755">
            <w:pPr>
              <w:rPr>
                <w:rFonts w:asciiTheme="majorHAnsi" w:hAnsiTheme="majorHAnsi"/>
                <w:sz w:val="20"/>
                <w:szCs w:val="20"/>
              </w:rPr>
            </w:pPr>
            <w:r w:rsidRPr="00703118">
              <w:rPr>
                <w:rFonts w:asciiTheme="majorHAnsi" w:hAnsiTheme="majorHAnsi" w:cs="Calibri"/>
                <w:b/>
                <w:bCs/>
                <w:color w:val="000000"/>
                <w:sz w:val="20"/>
                <w:szCs w:val="20"/>
              </w:rPr>
              <w:t xml:space="preserve">Funding </w:t>
            </w:r>
            <w:r w:rsidRPr="00703118">
              <w:rPr>
                <w:rFonts w:asciiTheme="majorHAnsi" w:hAnsiTheme="majorHAnsi" w:cs="Calibri"/>
                <w:b/>
                <w:bCs/>
                <w:color w:val="000000"/>
                <w:sz w:val="20"/>
                <w:szCs w:val="20"/>
              </w:rPr>
              <w:br/>
            </w:r>
            <w:r w:rsidRPr="002A7E35">
              <w:rPr>
                <w:rFonts w:asciiTheme="majorHAnsi" w:hAnsiTheme="majorHAnsi" w:cs="Calibri"/>
                <w:b/>
                <w:bCs/>
                <w:color w:val="000000"/>
                <w:sz w:val="20"/>
                <w:szCs w:val="20"/>
              </w:rPr>
              <w:t>GST Inc</w:t>
            </w:r>
          </w:p>
        </w:tc>
      </w:tr>
      <w:tr w:rsidR="00616272" w:rsidRPr="00703118" w:rsidTr="001E6B81">
        <w:trPr>
          <w:trHeight w:val="290"/>
        </w:trPr>
        <w:tc>
          <w:tcPr>
            <w:tcW w:w="943" w:type="dxa"/>
            <w:shd w:val="clear" w:color="auto" w:fill="auto"/>
            <w:noWrap/>
            <w:vAlign w:val="center"/>
            <w:hideMark/>
          </w:tcPr>
          <w:p w:rsidR="00616272" w:rsidRPr="00703118" w:rsidRDefault="00703118" w:rsidP="001E6B81">
            <w:pPr>
              <w:rPr>
                <w:rFonts w:asciiTheme="majorHAnsi" w:hAnsiTheme="majorHAnsi"/>
                <w:b/>
                <w:sz w:val="20"/>
                <w:szCs w:val="20"/>
              </w:rPr>
            </w:pPr>
            <w:r w:rsidRPr="00703118">
              <w:rPr>
                <w:rFonts w:asciiTheme="majorHAnsi" w:hAnsiTheme="majorHAnsi"/>
                <w:b/>
                <w:sz w:val="20"/>
                <w:szCs w:val="20"/>
              </w:rPr>
              <w:t>QLD</w:t>
            </w:r>
          </w:p>
        </w:tc>
        <w:tc>
          <w:tcPr>
            <w:tcW w:w="2126" w:type="dxa"/>
            <w:shd w:val="clear" w:color="auto" w:fill="auto"/>
            <w:noWrap/>
            <w:vAlign w:val="center"/>
            <w:hideMark/>
          </w:tcPr>
          <w:p w:rsidR="00616272" w:rsidRPr="00703118" w:rsidRDefault="00703118" w:rsidP="001E6B81">
            <w:pPr>
              <w:rPr>
                <w:rFonts w:asciiTheme="majorHAnsi" w:hAnsiTheme="majorHAnsi"/>
                <w:sz w:val="20"/>
                <w:szCs w:val="20"/>
              </w:rPr>
            </w:pPr>
            <w:r w:rsidRPr="00703118">
              <w:rPr>
                <w:rFonts w:asciiTheme="majorHAnsi" w:hAnsiTheme="majorHAnsi"/>
                <w:sz w:val="20"/>
                <w:szCs w:val="20"/>
              </w:rPr>
              <w:t>Department of Agriculture Fisheries and Forestry</w:t>
            </w:r>
          </w:p>
        </w:tc>
        <w:tc>
          <w:tcPr>
            <w:tcW w:w="3745" w:type="dxa"/>
            <w:shd w:val="clear" w:color="auto" w:fill="auto"/>
            <w:noWrap/>
            <w:vAlign w:val="center"/>
            <w:hideMark/>
          </w:tcPr>
          <w:p w:rsidR="00616272" w:rsidRPr="00703118" w:rsidRDefault="00703118" w:rsidP="001E6B81">
            <w:pPr>
              <w:rPr>
                <w:rFonts w:asciiTheme="majorHAnsi" w:hAnsiTheme="majorHAnsi"/>
                <w:sz w:val="20"/>
                <w:szCs w:val="20"/>
              </w:rPr>
            </w:pPr>
            <w:r w:rsidRPr="00703118">
              <w:rPr>
                <w:rFonts w:asciiTheme="majorHAnsi" w:hAnsiTheme="majorHAnsi"/>
                <w:sz w:val="20"/>
                <w:szCs w:val="20"/>
              </w:rPr>
              <w:t>Adoption of variable rate technology in Queenslands intensive vegetable production systems</w:t>
            </w:r>
          </w:p>
        </w:tc>
        <w:tc>
          <w:tcPr>
            <w:tcW w:w="6912" w:type="dxa"/>
            <w:vAlign w:val="center"/>
          </w:tcPr>
          <w:p w:rsidR="00616272" w:rsidRPr="00703118" w:rsidRDefault="00703118" w:rsidP="001E6B81">
            <w:pPr>
              <w:rPr>
                <w:rFonts w:asciiTheme="majorHAnsi" w:hAnsiTheme="majorHAnsi"/>
                <w:sz w:val="20"/>
                <w:szCs w:val="20"/>
              </w:rPr>
            </w:pPr>
            <w:r w:rsidRPr="00703118">
              <w:rPr>
                <w:rFonts w:asciiTheme="majorHAnsi" w:hAnsiTheme="majorHAnsi"/>
                <w:sz w:val="20"/>
                <w:szCs w:val="20"/>
              </w:rPr>
              <w:t xml:space="preserve">The project will address soil condition and water quality in key Qld vegetable growing areas through trialling of innovative variable rate (VR) technology. Imagery obtained through crop sensing technology will be used to identify spatial variability on </w:t>
            </w:r>
            <w:r w:rsidR="001E6B81" w:rsidRPr="00703118">
              <w:rPr>
                <w:rFonts w:asciiTheme="majorHAnsi" w:hAnsiTheme="majorHAnsi"/>
                <w:sz w:val="20"/>
                <w:szCs w:val="20"/>
              </w:rPr>
              <w:t>commercial</w:t>
            </w:r>
            <w:r w:rsidRPr="00703118">
              <w:rPr>
                <w:rFonts w:asciiTheme="majorHAnsi" w:hAnsiTheme="majorHAnsi"/>
                <w:sz w:val="20"/>
                <w:szCs w:val="20"/>
              </w:rPr>
              <w:t xml:space="preserve"> demonstration sites. VR applications will provide different rates of nutrient application according to different requirements across a field for more efficient and effective nutrient use and reduced risk of off-site losses. A co-ordinated, state wide extension program will improve producer knowledge and skills and natural resource management (NRM) abilities, as well as regional engagement and participation in NRM activities through partnerships with grower associations and groups.</w:t>
            </w:r>
          </w:p>
        </w:tc>
        <w:tc>
          <w:tcPr>
            <w:tcW w:w="1701" w:type="dxa"/>
            <w:shd w:val="clear" w:color="auto" w:fill="auto"/>
            <w:noWrap/>
            <w:vAlign w:val="center"/>
            <w:hideMark/>
          </w:tcPr>
          <w:p w:rsidR="00616272" w:rsidRPr="00703118" w:rsidRDefault="001E6B81" w:rsidP="001E6B81">
            <w:pPr>
              <w:jc w:val="center"/>
              <w:rPr>
                <w:rFonts w:asciiTheme="majorHAnsi" w:hAnsiTheme="majorHAnsi"/>
                <w:sz w:val="20"/>
                <w:szCs w:val="20"/>
              </w:rPr>
            </w:pPr>
            <w:r>
              <w:rPr>
                <w:rFonts w:asciiTheme="majorHAnsi" w:hAnsiTheme="majorHAnsi"/>
                <w:sz w:val="20"/>
                <w:szCs w:val="20"/>
              </w:rPr>
              <w:t>$</w:t>
            </w:r>
            <w:r w:rsidR="00703118" w:rsidRPr="00703118">
              <w:rPr>
                <w:rFonts w:asciiTheme="majorHAnsi" w:hAnsiTheme="majorHAnsi"/>
                <w:sz w:val="20"/>
                <w:szCs w:val="20"/>
              </w:rPr>
              <w:t>1</w:t>
            </w:r>
            <w:r>
              <w:rPr>
                <w:rFonts w:asciiTheme="majorHAnsi" w:hAnsiTheme="majorHAnsi"/>
                <w:sz w:val="20"/>
                <w:szCs w:val="20"/>
              </w:rPr>
              <w:t xml:space="preserve"> </w:t>
            </w:r>
            <w:r w:rsidR="00703118" w:rsidRPr="00703118">
              <w:rPr>
                <w:rFonts w:asciiTheme="majorHAnsi" w:hAnsiTheme="majorHAnsi"/>
                <w:sz w:val="20"/>
                <w:szCs w:val="20"/>
              </w:rPr>
              <w:t>144</w:t>
            </w:r>
            <w:r>
              <w:rPr>
                <w:rFonts w:asciiTheme="majorHAnsi" w:hAnsiTheme="majorHAnsi"/>
                <w:sz w:val="20"/>
                <w:szCs w:val="20"/>
              </w:rPr>
              <w:t xml:space="preserve"> </w:t>
            </w:r>
            <w:r w:rsidR="00703118" w:rsidRPr="00703118">
              <w:rPr>
                <w:rFonts w:asciiTheme="majorHAnsi" w:hAnsiTheme="majorHAnsi"/>
                <w:sz w:val="20"/>
                <w:szCs w:val="20"/>
              </w:rPr>
              <w:t>400</w:t>
            </w:r>
          </w:p>
        </w:tc>
      </w:tr>
      <w:tr w:rsidR="00703118" w:rsidRPr="00703118" w:rsidTr="001E6B81">
        <w:trPr>
          <w:trHeight w:val="290"/>
        </w:trPr>
        <w:tc>
          <w:tcPr>
            <w:tcW w:w="943" w:type="dxa"/>
            <w:shd w:val="clear" w:color="auto" w:fill="auto"/>
            <w:noWrap/>
            <w:vAlign w:val="center"/>
            <w:hideMark/>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QLD</w:t>
            </w:r>
          </w:p>
        </w:tc>
        <w:tc>
          <w:tcPr>
            <w:tcW w:w="2126" w:type="dxa"/>
            <w:shd w:val="clear" w:color="auto" w:fill="auto"/>
            <w:noWrap/>
            <w:vAlign w:val="center"/>
            <w:hideMark/>
          </w:tcPr>
          <w:p w:rsidR="00703118" w:rsidRPr="00703118" w:rsidRDefault="00703118" w:rsidP="001E6B81">
            <w:pPr>
              <w:rPr>
                <w:rFonts w:asciiTheme="majorHAnsi" w:hAnsiTheme="majorHAnsi"/>
                <w:sz w:val="20"/>
                <w:szCs w:val="20"/>
              </w:rPr>
            </w:pPr>
            <w:r w:rsidRPr="00703118">
              <w:rPr>
                <w:rFonts w:asciiTheme="majorHAnsi" w:hAnsiTheme="majorHAnsi"/>
                <w:sz w:val="20"/>
                <w:szCs w:val="20"/>
              </w:rPr>
              <w:t>Department of Agriculture Fisheries and Forestry</w:t>
            </w:r>
          </w:p>
        </w:tc>
        <w:tc>
          <w:tcPr>
            <w:tcW w:w="3745" w:type="dxa"/>
            <w:shd w:val="clear" w:color="auto" w:fill="auto"/>
            <w:noWrap/>
            <w:vAlign w:val="center"/>
            <w:hideMark/>
          </w:tcPr>
          <w:p w:rsidR="00703118" w:rsidRPr="00703118" w:rsidRDefault="00703118" w:rsidP="001E6B81">
            <w:pPr>
              <w:rPr>
                <w:rFonts w:asciiTheme="majorHAnsi" w:hAnsiTheme="majorHAnsi"/>
                <w:sz w:val="20"/>
                <w:szCs w:val="20"/>
              </w:rPr>
            </w:pPr>
            <w:r w:rsidRPr="00703118">
              <w:rPr>
                <w:rFonts w:asciiTheme="majorHAnsi" w:hAnsiTheme="majorHAnsi"/>
                <w:sz w:val="20"/>
                <w:szCs w:val="20"/>
              </w:rPr>
              <w:t>Polybridge: Bridging a path for industrialisation of polychaete-assisted sand filters</w:t>
            </w:r>
          </w:p>
        </w:tc>
        <w:tc>
          <w:tcPr>
            <w:tcW w:w="6912" w:type="dxa"/>
            <w:vAlign w:val="center"/>
          </w:tcPr>
          <w:p w:rsidR="00703118" w:rsidRPr="00703118" w:rsidRDefault="00703118" w:rsidP="001E6B81">
            <w:pPr>
              <w:rPr>
                <w:rFonts w:asciiTheme="majorHAnsi" w:hAnsiTheme="majorHAnsi"/>
                <w:sz w:val="20"/>
                <w:szCs w:val="20"/>
              </w:rPr>
            </w:pPr>
            <w:r w:rsidRPr="00703118">
              <w:rPr>
                <w:rFonts w:asciiTheme="majorHAnsi" w:hAnsiTheme="majorHAnsi"/>
                <w:sz w:val="20"/>
                <w:szCs w:val="20"/>
              </w:rPr>
              <w:t>The project will assist the aquaculture industry meet the Queensland requirements for nutrient discharge through uptake of polychaete-assisted sand filters (PASF), a novel wastewater treatment system. It will also produce a valuable broodstock feed ingredient (marine worms) as a by-product. A newly constructed PASF facility at the Bribie Island Research Centre (BIRC) will demonstrate its ability to convert farm effluent into a valuable second product in commercial-scale prawn production. The project will engage with industry, publicise its sustainability benefits, and stimulate uptake by bridging gaps between researchers, regulators and commercial interests.</w:t>
            </w:r>
          </w:p>
        </w:tc>
        <w:tc>
          <w:tcPr>
            <w:tcW w:w="1701" w:type="dxa"/>
            <w:shd w:val="clear" w:color="auto" w:fill="auto"/>
            <w:noWrap/>
            <w:vAlign w:val="center"/>
            <w:hideMark/>
          </w:tcPr>
          <w:p w:rsidR="00703118" w:rsidRPr="00703118" w:rsidRDefault="001E6B81" w:rsidP="001E6B81">
            <w:pPr>
              <w:jc w:val="center"/>
              <w:rPr>
                <w:rFonts w:asciiTheme="majorHAnsi" w:hAnsiTheme="majorHAnsi"/>
                <w:sz w:val="20"/>
                <w:szCs w:val="20"/>
              </w:rPr>
            </w:pPr>
            <w:r>
              <w:rPr>
                <w:rFonts w:asciiTheme="majorHAnsi" w:hAnsiTheme="majorHAnsi"/>
                <w:sz w:val="20"/>
                <w:szCs w:val="20"/>
              </w:rPr>
              <w:t>$</w:t>
            </w:r>
            <w:r w:rsidR="00703118" w:rsidRPr="00703118">
              <w:rPr>
                <w:rFonts w:asciiTheme="majorHAnsi" w:hAnsiTheme="majorHAnsi"/>
                <w:sz w:val="20"/>
                <w:szCs w:val="20"/>
              </w:rPr>
              <w:t>279</w:t>
            </w:r>
            <w:r>
              <w:rPr>
                <w:rFonts w:asciiTheme="majorHAnsi" w:hAnsiTheme="majorHAnsi"/>
                <w:sz w:val="20"/>
                <w:szCs w:val="20"/>
              </w:rPr>
              <w:t xml:space="preserve"> </w:t>
            </w:r>
            <w:r w:rsidR="00703118" w:rsidRPr="00703118">
              <w:rPr>
                <w:rFonts w:asciiTheme="majorHAnsi" w:hAnsiTheme="majorHAnsi"/>
                <w:sz w:val="20"/>
                <w:szCs w:val="20"/>
              </w:rPr>
              <w:t>400</w:t>
            </w:r>
          </w:p>
        </w:tc>
      </w:tr>
    </w:tbl>
    <w:p w:rsidR="00616272" w:rsidRPr="00703118" w:rsidRDefault="00616272">
      <w:pPr>
        <w:rPr>
          <w:rFonts w:asciiTheme="majorHAnsi" w:hAnsiTheme="majorHAnsi"/>
          <w:sz w:val="20"/>
          <w:szCs w:val="20"/>
        </w:rPr>
      </w:pPr>
    </w:p>
    <w:p w:rsidR="00616272" w:rsidRPr="00703118" w:rsidRDefault="00616272">
      <w:pPr>
        <w:rPr>
          <w:rFonts w:asciiTheme="majorHAnsi" w:hAnsiTheme="majorHAnsi"/>
          <w:sz w:val="20"/>
          <w:szCs w:val="20"/>
        </w:rPr>
      </w:pPr>
    </w:p>
    <w:p w:rsidR="001E6B81" w:rsidRDefault="001E6B81">
      <w:pPr>
        <w:rPr>
          <w:rFonts w:asciiTheme="majorHAnsi" w:hAnsiTheme="majorHAnsi" w:cs="Calibri"/>
          <w:b/>
          <w:color w:val="000000"/>
        </w:rPr>
      </w:pPr>
      <w:r>
        <w:rPr>
          <w:rFonts w:asciiTheme="majorHAnsi" w:hAnsiTheme="majorHAnsi" w:cs="Calibri"/>
          <w:b/>
          <w:color w:val="000000"/>
        </w:rPr>
        <w:br w:type="page"/>
      </w:r>
    </w:p>
    <w:p w:rsidR="00616272" w:rsidRPr="00703118" w:rsidRDefault="00616272" w:rsidP="00616272">
      <w:pPr>
        <w:tabs>
          <w:tab w:val="left" w:pos="778"/>
          <w:tab w:val="left" w:pos="3613"/>
          <w:tab w:val="left" w:pos="6448"/>
        </w:tabs>
        <w:rPr>
          <w:rFonts w:asciiTheme="majorHAnsi" w:hAnsiTheme="majorHAnsi" w:cs="Calibri"/>
          <w:b/>
          <w:color w:val="000000"/>
        </w:rPr>
      </w:pPr>
      <w:r w:rsidRPr="00703118">
        <w:rPr>
          <w:rFonts w:asciiTheme="majorHAnsi" w:hAnsiTheme="majorHAnsi" w:cs="Calibri"/>
          <w:b/>
          <w:color w:val="000000"/>
        </w:rPr>
        <w:t>SA</w:t>
      </w:r>
    </w:p>
    <w:tbl>
      <w:tblPr>
        <w:tblW w:w="154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126"/>
        <w:gridCol w:w="3745"/>
        <w:gridCol w:w="6912"/>
        <w:gridCol w:w="1701"/>
      </w:tblGrid>
      <w:tr w:rsidR="00616272" w:rsidRPr="00703118" w:rsidTr="001E6B81">
        <w:trPr>
          <w:trHeight w:val="290"/>
        </w:trPr>
        <w:tc>
          <w:tcPr>
            <w:tcW w:w="943"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703118">
              <w:rPr>
                <w:rFonts w:asciiTheme="majorHAnsi" w:hAnsiTheme="majorHAnsi" w:cs="Calibri"/>
                <w:b/>
                <w:bCs/>
                <w:color w:val="000000"/>
                <w:sz w:val="20"/>
                <w:szCs w:val="20"/>
              </w:rPr>
              <w:t>State</w:t>
            </w:r>
          </w:p>
        </w:tc>
        <w:tc>
          <w:tcPr>
            <w:tcW w:w="2126"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703118">
              <w:rPr>
                <w:rFonts w:asciiTheme="majorHAnsi" w:hAnsiTheme="majorHAnsi" w:cs="Calibri"/>
                <w:b/>
                <w:bCs/>
                <w:color w:val="000000"/>
                <w:sz w:val="20"/>
                <w:szCs w:val="20"/>
              </w:rPr>
              <w:t>Recipient</w:t>
            </w:r>
          </w:p>
        </w:tc>
        <w:tc>
          <w:tcPr>
            <w:tcW w:w="3745"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2A7E35">
              <w:rPr>
                <w:rFonts w:asciiTheme="majorHAnsi" w:hAnsiTheme="majorHAnsi" w:cs="Calibri"/>
                <w:b/>
                <w:bCs/>
                <w:color w:val="000000"/>
                <w:sz w:val="20"/>
                <w:szCs w:val="20"/>
              </w:rPr>
              <w:t>Project Title</w:t>
            </w:r>
          </w:p>
        </w:tc>
        <w:tc>
          <w:tcPr>
            <w:tcW w:w="6912" w:type="dxa"/>
            <w:vAlign w:val="center"/>
          </w:tcPr>
          <w:p w:rsidR="00616272" w:rsidRPr="00703118" w:rsidRDefault="00616272" w:rsidP="001E6B81">
            <w:pPr>
              <w:jc w:val="center"/>
              <w:rPr>
                <w:rFonts w:asciiTheme="majorHAnsi" w:hAnsiTheme="majorHAnsi"/>
                <w:sz w:val="20"/>
                <w:szCs w:val="20"/>
              </w:rPr>
            </w:pPr>
            <w:r w:rsidRPr="002A7E35">
              <w:rPr>
                <w:rFonts w:asciiTheme="majorHAnsi" w:hAnsiTheme="majorHAnsi" w:cs="Calibri"/>
                <w:b/>
                <w:bCs/>
                <w:color w:val="000000"/>
                <w:sz w:val="20"/>
                <w:szCs w:val="20"/>
              </w:rPr>
              <w:t>Project Description</w:t>
            </w:r>
          </w:p>
        </w:tc>
        <w:tc>
          <w:tcPr>
            <w:tcW w:w="1701"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703118">
              <w:rPr>
                <w:rFonts w:asciiTheme="majorHAnsi" w:hAnsiTheme="majorHAnsi" w:cs="Calibri"/>
                <w:b/>
                <w:bCs/>
                <w:color w:val="000000"/>
                <w:sz w:val="20"/>
                <w:szCs w:val="20"/>
              </w:rPr>
              <w:t xml:space="preserve">Funding </w:t>
            </w:r>
            <w:r w:rsidRPr="00703118">
              <w:rPr>
                <w:rFonts w:asciiTheme="majorHAnsi" w:hAnsiTheme="majorHAnsi" w:cs="Calibri"/>
                <w:b/>
                <w:bCs/>
                <w:color w:val="000000"/>
                <w:sz w:val="20"/>
                <w:szCs w:val="20"/>
              </w:rPr>
              <w:br/>
            </w:r>
            <w:r w:rsidRPr="002A7E35">
              <w:rPr>
                <w:rFonts w:asciiTheme="majorHAnsi" w:hAnsiTheme="majorHAnsi" w:cs="Calibri"/>
                <w:b/>
                <w:bCs/>
                <w:color w:val="000000"/>
                <w:sz w:val="20"/>
                <w:szCs w:val="20"/>
              </w:rPr>
              <w:t>GST Inc</w:t>
            </w:r>
          </w:p>
        </w:tc>
      </w:tr>
      <w:tr w:rsidR="00703118" w:rsidRPr="00703118" w:rsidTr="001E6B81">
        <w:trPr>
          <w:trHeight w:val="290"/>
        </w:trPr>
        <w:tc>
          <w:tcPr>
            <w:tcW w:w="943" w:type="dxa"/>
            <w:shd w:val="clear" w:color="auto" w:fill="auto"/>
            <w:noWrap/>
            <w:vAlign w:val="center"/>
            <w:hideMark/>
          </w:tcPr>
          <w:p w:rsidR="00703118" w:rsidRPr="00703118" w:rsidRDefault="00703118" w:rsidP="001E6B81">
            <w:pPr>
              <w:rPr>
                <w:rFonts w:asciiTheme="majorHAnsi" w:hAnsiTheme="majorHAnsi"/>
                <w:b/>
                <w:sz w:val="20"/>
                <w:szCs w:val="20"/>
              </w:rPr>
            </w:pPr>
            <w:r w:rsidRPr="00703118">
              <w:rPr>
                <w:rFonts w:asciiTheme="majorHAnsi" w:hAnsiTheme="majorHAnsi"/>
                <w:b/>
                <w:sz w:val="20"/>
                <w:szCs w:val="20"/>
              </w:rPr>
              <w:t>SA</w:t>
            </w:r>
          </w:p>
        </w:tc>
        <w:tc>
          <w:tcPr>
            <w:tcW w:w="2126" w:type="dxa"/>
            <w:shd w:val="clear" w:color="auto" w:fill="auto"/>
            <w:noWrap/>
            <w:vAlign w:val="center"/>
            <w:hideMark/>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Potatoes South Australia Incorporated</w:t>
            </w:r>
          </w:p>
        </w:tc>
        <w:tc>
          <w:tcPr>
            <w:tcW w:w="3745" w:type="dxa"/>
            <w:shd w:val="clear" w:color="auto" w:fill="auto"/>
            <w:noWrap/>
            <w:vAlign w:val="center"/>
            <w:hideMark/>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Innovative nutrient management for the Australian potato industry</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This project will determine a more efficient method of soil testing in the commercial potato growing industry to enable accurate prediction of soil phosphorus status and availability, to reduce the risk of environmental pollution due to over fertilising, causing eutrophication and poor soil health. Farm walks will be held at trial sites annually. Regular project updates and face-to-face meetings will be held with industry groups, local potato growers, advisors and NRM staff. At the completion of the project a simple 'app' will be developed to enable growers to insert their test results and target yield potential to determine soil P requirements.</w:t>
            </w:r>
          </w:p>
        </w:tc>
        <w:tc>
          <w:tcPr>
            <w:tcW w:w="1701" w:type="dxa"/>
            <w:shd w:val="clear" w:color="auto" w:fill="auto"/>
            <w:noWrap/>
            <w:vAlign w:val="center"/>
            <w:hideMark/>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w:t>
            </w:r>
            <w:r w:rsidR="00703118" w:rsidRPr="00703118">
              <w:rPr>
                <w:rFonts w:asciiTheme="majorHAnsi" w:hAnsiTheme="majorHAnsi" w:cs="Calibri"/>
                <w:color w:val="000000"/>
                <w:sz w:val="20"/>
                <w:szCs w:val="20"/>
              </w:rPr>
              <w:t>450</w:t>
            </w:r>
            <w:r>
              <w:rPr>
                <w:rFonts w:asciiTheme="majorHAnsi" w:hAnsiTheme="majorHAnsi" w:cs="Calibri"/>
                <w:color w:val="000000"/>
                <w:sz w:val="20"/>
                <w:szCs w:val="20"/>
              </w:rPr>
              <w:t xml:space="preserve"> </w:t>
            </w:r>
            <w:r w:rsidR="00703118" w:rsidRPr="00703118">
              <w:rPr>
                <w:rFonts w:asciiTheme="majorHAnsi" w:hAnsiTheme="majorHAnsi" w:cs="Calibri"/>
                <w:color w:val="000000"/>
                <w:sz w:val="20"/>
                <w:szCs w:val="20"/>
              </w:rPr>
              <w:t>780</w:t>
            </w:r>
          </w:p>
        </w:tc>
      </w:tr>
      <w:tr w:rsidR="00703118" w:rsidRPr="00703118" w:rsidTr="001E6B81">
        <w:trPr>
          <w:trHeight w:val="290"/>
        </w:trPr>
        <w:tc>
          <w:tcPr>
            <w:tcW w:w="943" w:type="dxa"/>
            <w:shd w:val="clear" w:color="auto" w:fill="auto"/>
            <w:noWrap/>
            <w:vAlign w:val="center"/>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SA</w:t>
            </w:r>
          </w:p>
        </w:tc>
        <w:tc>
          <w:tcPr>
            <w:tcW w:w="2126"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Conservation Agriculture Australia Incorporated</w:t>
            </w:r>
          </w:p>
        </w:tc>
        <w:tc>
          <w:tcPr>
            <w:tcW w:w="3745"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Water-Jet Seeding for stubble retention, erosion control and soil carbon conservation</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Seeding with Ultra-High-Pressure Water-Jets offers the opportunity to retain optimum soil cover, even when stubbles become wet and ropey, opening the window for precise and timely sowing with minimal soil disturbance, reducing the risk of erosion from wind and water while conserving soil carbon.</w:t>
            </w:r>
            <w:r w:rsidRPr="00703118">
              <w:rPr>
                <w:rFonts w:asciiTheme="majorHAnsi" w:hAnsiTheme="majorHAnsi" w:cs="Calibri"/>
                <w:color w:val="000000"/>
                <w:sz w:val="20"/>
                <w:szCs w:val="20"/>
              </w:rPr>
              <w:br/>
              <w:t xml:space="preserve"> This project will deliver field days that demonstrate and evaluate specific water-jet designs for no-till and zero-till practices. The project will provide confidence and extension materials to farmers and commercial seeder manufacturers that can develop and supply product lines with water-jet components.</w:t>
            </w:r>
          </w:p>
        </w:tc>
        <w:tc>
          <w:tcPr>
            <w:tcW w:w="1701" w:type="dxa"/>
            <w:shd w:val="clear" w:color="auto" w:fill="auto"/>
            <w:noWrap/>
            <w:vAlign w:val="center"/>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$326 </w:t>
            </w:r>
            <w:r w:rsidR="00703118" w:rsidRPr="00703118">
              <w:rPr>
                <w:rFonts w:asciiTheme="majorHAnsi" w:hAnsiTheme="majorHAnsi" w:cs="Calibri"/>
                <w:color w:val="000000"/>
                <w:sz w:val="20"/>
                <w:szCs w:val="20"/>
              </w:rPr>
              <w:t>700</w:t>
            </w:r>
          </w:p>
        </w:tc>
      </w:tr>
      <w:tr w:rsidR="00703118" w:rsidRPr="00703118" w:rsidTr="001E6B81">
        <w:trPr>
          <w:trHeight w:val="290"/>
        </w:trPr>
        <w:tc>
          <w:tcPr>
            <w:tcW w:w="943" w:type="dxa"/>
            <w:shd w:val="clear" w:color="auto" w:fill="auto"/>
            <w:noWrap/>
            <w:vAlign w:val="center"/>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SA</w:t>
            </w:r>
          </w:p>
        </w:tc>
        <w:tc>
          <w:tcPr>
            <w:tcW w:w="2126"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HortEx Alliance</w:t>
            </w:r>
          </w:p>
        </w:tc>
        <w:tc>
          <w:tcPr>
            <w:tcW w:w="3745"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Future Pathways for Sustainable Horticulture</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This project aims to increase the adoption within the Virginia Horticulture Area, South Australia, of a range of innovative grower practices that will improve the sustainable use of natural resources and increase capacity to adapt to changing climatic conditions. Through a farm scale approach the project will focus on the industry inputs and practices through complete crop cycles by utilising a website based "virtual demonstration farm" concept that is linked to seasonal activities arranged around practical, hands on, training experiences through field days at a number of demonstration farms.</w:t>
            </w:r>
          </w:p>
        </w:tc>
        <w:tc>
          <w:tcPr>
            <w:tcW w:w="1701" w:type="dxa"/>
            <w:shd w:val="clear" w:color="auto" w:fill="auto"/>
            <w:noWrap/>
            <w:vAlign w:val="center"/>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$525 </w:t>
            </w:r>
            <w:r w:rsidR="00703118" w:rsidRPr="00703118">
              <w:rPr>
                <w:rFonts w:asciiTheme="majorHAnsi" w:hAnsiTheme="majorHAnsi" w:cs="Calibri"/>
                <w:color w:val="000000"/>
                <w:sz w:val="20"/>
                <w:szCs w:val="20"/>
              </w:rPr>
              <w:t>910</w:t>
            </w:r>
          </w:p>
        </w:tc>
      </w:tr>
      <w:tr w:rsidR="00703118" w:rsidRPr="00703118" w:rsidTr="001E6B81">
        <w:trPr>
          <w:trHeight w:val="290"/>
        </w:trPr>
        <w:tc>
          <w:tcPr>
            <w:tcW w:w="943" w:type="dxa"/>
            <w:shd w:val="clear" w:color="auto" w:fill="auto"/>
            <w:noWrap/>
            <w:vAlign w:val="center"/>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SA</w:t>
            </w:r>
          </w:p>
        </w:tc>
        <w:tc>
          <w:tcPr>
            <w:tcW w:w="2126"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South Australian Murray-Darling Basin Natural Resources Management Board</w:t>
            </w:r>
          </w:p>
        </w:tc>
        <w:tc>
          <w:tcPr>
            <w:tcW w:w="3745"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Marginal to Mainstream - rejuvenating productive grass pastures in the Murraylands</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 xml:space="preserve">This project will bring new innovative and tested methods of grazing and native grass understorey management to an area where there is little or no adoption of these practices and little capacity within the farming community to begin the process of grass recovery. </w:t>
            </w:r>
            <w:r w:rsidRPr="00703118">
              <w:rPr>
                <w:rFonts w:asciiTheme="majorHAnsi" w:hAnsiTheme="majorHAnsi" w:cs="Calibri"/>
                <w:color w:val="000000"/>
                <w:sz w:val="20"/>
                <w:szCs w:val="20"/>
              </w:rPr>
              <w:br/>
            </w:r>
            <w:r w:rsidRPr="00703118">
              <w:rPr>
                <w:rFonts w:asciiTheme="majorHAnsi" w:hAnsiTheme="majorHAnsi" w:cs="Calibri"/>
                <w:color w:val="000000"/>
                <w:sz w:val="20"/>
                <w:szCs w:val="20"/>
              </w:rPr>
              <w:br/>
              <w:t>Beginning with demonstration sites on 10,000 hectares, this project aims to showcase feasible &amp; repeatable native grass woodland management methods for farmers that will improve the productivity and natural resource base of over 170,000 hectares of declining grazing country. All results will be documented for regional guidelines and communicated widely.</w:t>
            </w:r>
          </w:p>
        </w:tc>
        <w:tc>
          <w:tcPr>
            <w:tcW w:w="1701" w:type="dxa"/>
            <w:shd w:val="clear" w:color="auto" w:fill="auto"/>
            <w:noWrap/>
            <w:vAlign w:val="center"/>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$962 </w:t>
            </w:r>
            <w:r w:rsidR="00703118" w:rsidRPr="00703118">
              <w:rPr>
                <w:rFonts w:asciiTheme="majorHAnsi" w:hAnsiTheme="majorHAnsi" w:cs="Calibri"/>
                <w:color w:val="000000"/>
                <w:sz w:val="20"/>
                <w:szCs w:val="20"/>
              </w:rPr>
              <w:t>000</w:t>
            </w:r>
          </w:p>
        </w:tc>
      </w:tr>
      <w:tr w:rsidR="00703118" w:rsidRPr="00703118" w:rsidTr="001E6B81">
        <w:trPr>
          <w:trHeight w:val="290"/>
        </w:trPr>
        <w:tc>
          <w:tcPr>
            <w:tcW w:w="943" w:type="dxa"/>
            <w:shd w:val="clear" w:color="auto" w:fill="auto"/>
            <w:noWrap/>
            <w:vAlign w:val="center"/>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SA</w:t>
            </w:r>
          </w:p>
        </w:tc>
        <w:tc>
          <w:tcPr>
            <w:tcW w:w="2126"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The Agricultural Bureau of South Australia Incorporated</w:t>
            </w:r>
          </w:p>
        </w:tc>
        <w:tc>
          <w:tcPr>
            <w:tcW w:w="3745"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Innovative and cost-effective solutions to the treatment of acid soils in SA</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Soil acidification affects 1.9 million hectares of agricultural land in South Australia, degrading the soil and affecting plant growth. Liming rates are only at one third the required amount to balance acidification. This project provides innovative and cost-effective solutions to encourage farmers to lime their paddocks. This includes soil pH mapping identifying only those areas that require lime; identifying other lime sources and developing a soil acidity audit decision making tool. Working with farmer groups will allow farmers to make better informed decisions on liming which will reduce costs and maintain soil health.</w:t>
            </w:r>
          </w:p>
        </w:tc>
        <w:tc>
          <w:tcPr>
            <w:tcW w:w="1701" w:type="dxa"/>
            <w:shd w:val="clear" w:color="auto" w:fill="auto"/>
            <w:noWrap/>
            <w:vAlign w:val="center"/>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$455 </w:t>
            </w:r>
            <w:r w:rsidR="00703118" w:rsidRPr="00703118">
              <w:rPr>
                <w:rFonts w:asciiTheme="majorHAnsi" w:hAnsiTheme="majorHAnsi" w:cs="Calibri"/>
                <w:color w:val="000000"/>
                <w:sz w:val="20"/>
                <w:szCs w:val="20"/>
              </w:rPr>
              <w:t>400</w:t>
            </w:r>
          </w:p>
        </w:tc>
      </w:tr>
      <w:tr w:rsidR="00703118" w:rsidRPr="00703118" w:rsidTr="001E6B81">
        <w:trPr>
          <w:trHeight w:val="290"/>
        </w:trPr>
        <w:tc>
          <w:tcPr>
            <w:tcW w:w="943" w:type="dxa"/>
            <w:shd w:val="clear" w:color="auto" w:fill="auto"/>
            <w:noWrap/>
            <w:vAlign w:val="center"/>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SA</w:t>
            </w:r>
          </w:p>
        </w:tc>
        <w:tc>
          <w:tcPr>
            <w:tcW w:w="2126"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South Australian Murray-Darling Basin Natural Resources Management Board</w:t>
            </w:r>
          </w:p>
        </w:tc>
        <w:tc>
          <w:tcPr>
            <w:tcW w:w="3745"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Sustainable Farming - Building capacity &amp; working together for productive resource management</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 xml:space="preserve">This project will provide a clear point of support for Primary Producers through two components: 1. The adaption and development of key apps and web tools for information provision and management and 2. the creation a base of champion farm enterprises, linked South Australia Murray Darling Basin NRM Board District Officers, who are fully informed of the variety of sustainable farming practises, best practise guides, industry standards and show casing management across 100 farms and a minimum of 20,000 hectares. </w:t>
            </w:r>
            <w:r w:rsidRPr="00703118">
              <w:rPr>
                <w:rFonts w:asciiTheme="majorHAnsi" w:hAnsiTheme="majorHAnsi" w:cs="Calibri"/>
                <w:color w:val="000000"/>
                <w:sz w:val="20"/>
                <w:szCs w:val="20"/>
              </w:rPr>
              <w:br/>
            </w:r>
            <w:r w:rsidRPr="00703118">
              <w:rPr>
                <w:rFonts w:asciiTheme="majorHAnsi" w:hAnsiTheme="majorHAnsi" w:cs="Calibri"/>
                <w:color w:val="000000"/>
                <w:sz w:val="20"/>
                <w:szCs w:val="20"/>
              </w:rPr>
              <w:br/>
              <w:t>These activities will greatly improve farm planning, management, accountability and long term productivity, which in turn will improve the natural resource base. We will undertake discovery, collation, and adaption to mobile platforms of innovative information to support production across a wide range of agricultural enterprises and across the entire SAMDB.</w:t>
            </w:r>
          </w:p>
        </w:tc>
        <w:tc>
          <w:tcPr>
            <w:tcW w:w="1701" w:type="dxa"/>
            <w:shd w:val="clear" w:color="auto" w:fill="auto"/>
            <w:noWrap/>
            <w:vAlign w:val="center"/>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$876 </w:t>
            </w:r>
            <w:r w:rsidR="00703118" w:rsidRPr="00703118">
              <w:rPr>
                <w:rFonts w:asciiTheme="majorHAnsi" w:hAnsiTheme="majorHAnsi" w:cs="Calibri"/>
                <w:color w:val="000000"/>
                <w:sz w:val="20"/>
                <w:szCs w:val="20"/>
              </w:rPr>
              <w:t>000</w:t>
            </w:r>
          </w:p>
        </w:tc>
      </w:tr>
      <w:tr w:rsidR="00703118" w:rsidRPr="00703118" w:rsidTr="001E6B81">
        <w:trPr>
          <w:trHeight w:val="290"/>
        </w:trPr>
        <w:tc>
          <w:tcPr>
            <w:tcW w:w="943" w:type="dxa"/>
            <w:shd w:val="clear" w:color="auto" w:fill="auto"/>
            <w:noWrap/>
            <w:vAlign w:val="center"/>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SA</w:t>
            </w:r>
          </w:p>
        </w:tc>
        <w:tc>
          <w:tcPr>
            <w:tcW w:w="2126"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South Australian No-Till Farmers Association Inc</w:t>
            </w:r>
          </w:p>
        </w:tc>
        <w:tc>
          <w:tcPr>
            <w:tcW w:w="3745"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Demonstrating innovative farmer methods for reduced erosion risks, improved phosphate use efficiency and soil carbon accumulation</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This project will promote a variety of innovative practices in conjunction with leading farmers that are willing to share cutting edge concepts with the wider farming community.  The demonstrations will highlight the mechanisms and benefits of practices that have achieved a proof of concept and could be widely adopted to increase permanent soil cover during traditional fallow periods, increase crop canopy cover following seeding, increase crop canopy weed competition, improve phosphate-use-efficiency and increase soil carbon accumulation.</w:t>
            </w:r>
          </w:p>
        </w:tc>
        <w:tc>
          <w:tcPr>
            <w:tcW w:w="1701" w:type="dxa"/>
            <w:shd w:val="clear" w:color="auto" w:fill="auto"/>
            <w:noWrap/>
            <w:vAlign w:val="center"/>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$319 </w:t>
            </w:r>
            <w:r w:rsidR="00703118" w:rsidRPr="00703118">
              <w:rPr>
                <w:rFonts w:asciiTheme="majorHAnsi" w:hAnsiTheme="majorHAnsi" w:cs="Calibri"/>
                <w:color w:val="000000"/>
                <w:sz w:val="20"/>
                <w:szCs w:val="20"/>
              </w:rPr>
              <w:t>000</w:t>
            </w:r>
          </w:p>
        </w:tc>
      </w:tr>
      <w:tr w:rsidR="00703118" w:rsidRPr="00703118" w:rsidTr="001E6B81">
        <w:trPr>
          <w:trHeight w:val="290"/>
        </w:trPr>
        <w:tc>
          <w:tcPr>
            <w:tcW w:w="943" w:type="dxa"/>
            <w:shd w:val="clear" w:color="auto" w:fill="auto"/>
            <w:noWrap/>
            <w:vAlign w:val="center"/>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SA</w:t>
            </w:r>
          </w:p>
        </w:tc>
        <w:tc>
          <w:tcPr>
            <w:tcW w:w="2126"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The University of Adelaide</w:t>
            </w:r>
          </w:p>
        </w:tc>
        <w:tc>
          <w:tcPr>
            <w:tcW w:w="3745"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Improving environmental health by encouraging entomovectoring in horticultural crops to reduce spray drift and fungicide use</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 xml:space="preserve">This project aims to improve soil health and surface and groundwater quality in and around vineyards and cherry orchards in South Australia by reducing the number of fungicide sprays, spray drift and off-target </w:t>
            </w:r>
            <w:r w:rsidR="001E6B81" w:rsidRPr="00703118">
              <w:rPr>
                <w:rFonts w:asciiTheme="majorHAnsi" w:hAnsiTheme="majorHAnsi" w:cs="Calibri"/>
                <w:color w:val="000000"/>
                <w:sz w:val="20"/>
                <w:szCs w:val="20"/>
              </w:rPr>
              <w:t>sprays through</w:t>
            </w:r>
            <w:r w:rsidRPr="00703118">
              <w:rPr>
                <w:rFonts w:asciiTheme="majorHAnsi" w:hAnsiTheme="majorHAnsi" w:cs="Calibri"/>
                <w:color w:val="000000"/>
                <w:sz w:val="20"/>
                <w:szCs w:val="20"/>
              </w:rPr>
              <w:t xml:space="preserve"> the promotion of the use of honeybees for the targeted delivery of environmentally friendly antifungal agents to cherry and grape flowers for the control of brown rot in cherries and Botrytis bunch rot grapes.</w:t>
            </w:r>
          </w:p>
        </w:tc>
        <w:tc>
          <w:tcPr>
            <w:tcW w:w="1701" w:type="dxa"/>
            <w:shd w:val="clear" w:color="auto" w:fill="auto"/>
            <w:noWrap/>
            <w:vAlign w:val="center"/>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$690 </w:t>
            </w:r>
            <w:r w:rsidR="00703118" w:rsidRPr="00703118">
              <w:rPr>
                <w:rFonts w:asciiTheme="majorHAnsi" w:hAnsiTheme="majorHAnsi" w:cs="Calibri"/>
                <w:color w:val="000000"/>
                <w:sz w:val="20"/>
                <w:szCs w:val="20"/>
              </w:rPr>
              <w:t>800</w:t>
            </w:r>
          </w:p>
        </w:tc>
      </w:tr>
    </w:tbl>
    <w:p w:rsidR="00616272" w:rsidRPr="00703118" w:rsidRDefault="00616272">
      <w:pPr>
        <w:rPr>
          <w:rFonts w:asciiTheme="majorHAnsi" w:hAnsiTheme="majorHAnsi"/>
          <w:sz w:val="20"/>
          <w:szCs w:val="20"/>
        </w:rPr>
      </w:pPr>
    </w:p>
    <w:p w:rsidR="00703118" w:rsidRDefault="00703118">
      <w:pPr>
        <w:rPr>
          <w:rFonts w:asciiTheme="majorHAnsi" w:hAnsiTheme="majorHAnsi"/>
          <w:sz w:val="20"/>
          <w:szCs w:val="20"/>
        </w:rPr>
      </w:pPr>
    </w:p>
    <w:p w:rsidR="00703118" w:rsidRDefault="00703118">
      <w:pPr>
        <w:rPr>
          <w:rFonts w:asciiTheme="majorHAnsi" w:hAnsiTheme="majorHAnsi"/>
          <w:sz w:val="20"/>
          <w:szCs w:val="20"/>
        </w:rPr>
      </w:pPr>
    </w:p>
    <w:p w:rsidR="00703118" w:rsidRDefault="00703118">
      <w:pPr>
        <w:rPr>
          <w:rFonts w:asciiTheme="majorHAnsi" w:hAnsiTheme="majorHAnsi"/>
          <w:sz w:val="20"/>
          <w:szCs w:val="20"/>
        </w:rPr>
      </w:pPr>
    </w:p>
    <w:p w:rsidR="00703118" w:rsidRDefault="00703118">
      <w:pPr>
        <w:rPr>
          <w:rFonts w:asciiTheme="majorHAnsi" w:hAnsiTheme="majorHAnsi"/>
          <w:sz w:val="20"/>
          <w:szCs w:val="20"/>
        </w:rPr>
      </w:pPr>
    </w:p>
    <w:p w:rsidR="00703118" w:rsidRPr="00703118" w:rsidRDefault="00703118">
      <w:pPr>
        <w:rPr>
          <w:rFonts w:asciiTheme="majorHAnsi" w:hAnsiTheme="majorHAnsi"/>
          <w:sz w:val="20"/>
          <w:szCs w:val="20"/>
        </w:rPr>
      </w:pPr>
    </w:p>
    <w:p w:rsidR="001E6B81" w:rsidRDefault="001E6B81">
      <w:pPr>
        <w:rPr>
          <w:rFonts w:asciiTheme="majorHAnsi" w:hAnsiTheme="majorHAnsi" w:cs="Calibri"/>
          <w:b/>
          <w:color w:val="000000"/>
        </w:rPr>
      </w:pPr>
      <w:r>
        <w:rPr>
          <w:rFonts w:asciiTheme="majorHAnsi" w:hAnsiTheme="majorHAnsi" w:cs="Calibri"/>
          <w:b/>
          <w:color w:val="000000"/>
        </w:rPr>
        <w:br w:type="page"/>
      </w:r>
    </w:p>
    <w:p w:rsidR="00616272" w:rsidRPr="00703118" w:rsidRDefault="00616272" w:rsidP="00616272">
      <w:pPr>
        <w:tabs>
          <w:tab w:val="left" w:pos="778"/>
          <w:tab w:val="left" w:pos="3613"/>
          <w:tab w:val="left" w:pos="6448"/>
        </w:tabs>
        <w:rPr>
          <w:rFonts w:asciiTheme="majorHAnsi" w:hAnsiTheme="majorHAnsi" w:cs="Calibri"/>
          <w:b/>
          <w:color w:val="000000"/>
        </w:rPr>
      </w:pPr>
      <w:r w:rsidRPr="00703118">
        <w:rPr>
          <w:rFonts w:asciiTheme="majorHAnsi" w:hAnsiTheme="majorHAnsi" w:cs="Calibri"/>
          <w:b/>
          <w:color w:val="000000"/>
        </w:rPr>
        <w:t>TAS</w:t>
      </w:r>
    </w:p>
    <w:tbl>
      <w:tblPr>
        <w:tblW w:w="154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126"/>
        <w:gridCol w:w="3745"/>
        <w:gridCol w:w="6912"/>
        <w:gridCol w:w="1701"/>
      </w:tblGrid>
      <w:tr w:rsidR="00616272" w:rsidRPr="00703118" w:rsidTr="001E6B81">
        <w:trPr>
          <w:trHeight w:val="290"/>
        </w:trPr>
        <w:tc>
          <w:tcPr>
            <w:tcW w:w="943"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703118">
              <w:rPr>
                <w:rFonts w:asciiTheme="majorHAnsi" w:hAnsiTheme="majorHAnsi" w:cs="Calibri"/>
                <w:b/>
                <w:bCs/>
                <w:color w:val="000000"/>
                <w:sz w:val="20"/>
                <w:szCs w:val="20"/>
              </w:rPr>
              <w:t>State</w:t>
            </w:r>
          </w:p>
        </w:tc>
        <w:tc>
          <w:tcPr>
            <w:tcW w:w="2126"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703118">
              <w:rPr>
                <w:rFonts w:asciiTheme="majorHAnsi" w:hAnsiTheme="majorHAnsi" w:cs="Calibri"/>
                <w:b/>
                <w:bCs/>
                <w:color w:val="000000"/>
                <w:sz w:val="20"/>
                <w:szCs w:val="20"/>
              </w:rPr>
              <w:t>Recipient</w:t>
            </w:r>
          </w:p>
        </w:tc>
        <w:tc>
          <w:tcPr>
            <w:tcW w:w="3745"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2A7E35">
              <w:rPr>
                <w:rFonts w:asciiTheme="majorHAnsi" w:hAnsiTheme="majorHAnsi" w:cs="Calibri"/>
                <w:b/>
                <w:bCs/>
                <w:color w:val="000000"/>
                <w:sz w:val="20"/>
                <w:szCs w:val="20"/>
              </w:rPr>
              <w:t>Project Title</w:t>
            </w:r>
          </w:p>
        </w:tc>
        <w:tc>
          <w:tcPr>
            <w:tcW w:w="6912" w:type="dxa"/>
            <w:vAlign w:val="center"/>
          </w:tcPr>
          <w:p w:rsidR="00616272" w:rsidRPr="00703118" w:rsidRDefault="00616272" w:rsidP="001E6B81">
            <w:pPr>
              <w:jc w:val="center"/>
              <w:rPr>
                <w:rFonts w:asciiTheme="majorHAnsi" w:hAnsiTheme="majorHAnsi"/>
                <w:sz w:val="20"/>
                <w:szCs w:val="20"/>
              </w:rPr>
            </w:pPr>
            <w:r w:rsidRPr="002A7E35">
              <w:rPr>
                <w:rFonts w:asciiTheme="majorHAnsi" w:hAnsiTheme="majorHAnsi" w:cs="Calibri"/>
                <w:b/>
                <w:bCs/>
                <w:color w:val="000000"/>
                <w:sz w:val="20"/>
                <w:szCs w:val="20"/>
              </w:rPr>
              <w:t>Project Description</w:t>
            </w:r>
          </w:p>
        </w:tc>
        <w:tc>
          <w:tcPr>
            <w:tcW w:w="1701"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703118">
              <w:rPr>
                <w:rFonts w:asciiTheme="majorHAnsi" w:hAnsiTheme="majorHAnsi" w:cs="Calibri"/>
                <w:b/>
                <w:bCs/>
                <w:color w:val="000000"/>
                <w:sz w:val="20"/>
                <w:szCs w:val="20"/>
              </w:rPr>
              <w:t xml:space="preserve">Funding </w:t>
            </w:r>
            <w:r w:rsidRPr="00703118">
              <w:rPr>
                <w:rFonts w:asciiTheme="majorHAnsi" w:hAnsiTheme="majorHAnsi" w:cs="Calibri"/>
                <w:b/>
                <w:bCs/>
                <w:color w:val="000000"/>
                <w:sz w:val="20"/>
                <w:szCs w:val="20"/>
              </w:rPr>
              <w:br/>
            </w:r>
            <w:r w:rsidRPr="002A7E35">
              <w:rPr>
                <w:rFonts w:asciiTheme="majorHAnsi" w:hAnsiTheme="majorHAnsi" w:cs="Calibri"/>
                <w:b/>
                <w:bCs/>
                <w:color w:val="000000"/>
                <w:sz w:val="20"/>
                <w:szCs w:val="20"/>
              </w:rPr>
              <w:t>GST Inc</w:t>
            </w:r>
          </w:p>
        </w:tc>
      </w:tr>
      <w:tr w:rsidR="00616272" w:rsidRPr="00703118" w:rsidTr="001E6B81">
        <w:trPr>
          <w:trHeight w:val="290"/>
        </w:trPr>
        <w:tc>
          <w:tcPr>
            <w:tcW w:w="943" w:type="dxa"/>
            <w:shd w:val="clear" w:color="auto" w:fill="auto"/>
            <w:noWrap/>
            <w:vAlign w:val="center"/>
            <w:hideMark/>
          </w:tcPr>
          <w:p w:rsidR="00616272" w:rsidRPr="00703118" w:rsidRDefault="00703118" w:rsidP="001E6B81">
            <w:pPr>
              <w:rPr>
                <w:rFonts w:asciiTheme="majorHAnsi" w:hAnsiTheme="majorHAnsi"/>
                <w:b/>
                <w:sz w:val="20"/>
                <w:szCs w:val="20"/>
              </w:rPr>
            </w:pPr>
            <w:r w:rsidRPr="00703118">
              <w:rPr>
                <w:rFonts w:asciiTheme="majorHAnsi" w:hAnsiTheme="majorHAnsi"/>
                <w:b/>
                <w:sz w:val="20"/>
                <w:szCs w:val="20"/>
              </w:rPr>
              <w:t>TAS</w:t>
            </w:r>
          </w:p>
        </w:tc>
        <w:tc>
          <w:tcPr>
            <w:tcW w:w="2126" w:type="dxa"/>
            <w:shd w:val="clear" w:color="auto" w:fill="auto"/>
            <w:noWrap/>
            <w:vAlign w:val="center"/>
            <w:hideMark/>
          </w:tcPr>
          <w:p w:rsidR="00616272" w:rsidRPr="00703118" w:rsidRDefault="00703118" w:rsidP="001E6B81">
            <w:pPr>
              <w:rPr>
                <w:rFonts w:asciiTheme="majorHAnsi" w:hAnsiTheme="majorHAnsi"/>
                <w:sz w:val="20"/>
                <w:szCs w:val="20"/>
              </w:rPr>
            </w:pPr>
            <w:r w:rsidRPr="00703118">
              <w:rPr>
                <w:rFonts w:asciiTheme="majorHAnsi" w:hAnsiTheme="majorHAnsi"/>
                <w:sz w:val="20"/>
                <w:szCs w:val="20"/>
              </w:rPr>
              <w:t>Tasmanian Agricultural Productivity Group Limited</w:t>
            </w:r>
          </w:p>
        </w:tc>
        <w:tc>
          <w:tcPr>
            <w:tcW w:w="3745" w:type="dxa"/>
            <w:shd w:val="clear" w:color="auto" w:fill="auto"/>
            <w:noWrap/>
            <w:vAlign w:val="center"/>
            <w:hideMark/>
          </w:tcPr>
          <w:p w:rsidR="00616272" w:rsidRPr="00703118" w:rsidRDefault="00703118" w:rsidP="001E6B81">
            <w:pPr>
              <w:rPr>
                <w:rFonts w:asciiTheme="majorHAnsi" w:hAnsiTheme="majorHAnsi"/>
                <w:sz w:val="20"/>
                <w:szCs w:val="20"/>
              </w:rPr>
            </w:pPr>
            <w:r w:rsidRPr="00703118">
              <w:rPr>
                <w:rFonts w:asciiTheme="majorHAnsi" w:hAnsiTheme="majorHAnsi"/>
                <w:sz w:val="20"/>
                <w:szCs w:val="20"/>
              </w:rPr>
              <w:t>Sustaining vegetable production with controlled traffic and sub-soil manuring</w:t>
            </w:r>
          </w:p>
        </w:tc>
        <w:tc>
          <w:tcPr>
            <w:tcW w:w="6912" w:type="dxa"/>
            <w:vAlign w:val="center"/>
          </w:tcPr>
          <w:p w:rsidR="00616272" w:rsidRPr="00703118" w:rsidRDefault="00703118" w:rsidP="001E6B81">
            <w:pPr>
              <w:rPr>
                <w:rFonts w:asciiTheme="majorHAnsi" w:hAnsiTheme="majorHAnsi"/>
                <w:sz w:val="20"/>
                <w:szCs w:val="20"/>
              </w:rPr>
            </w:pPr>
            <w:r w:rsidRPr="00703118">
              <w:rPr>
                <w:rFonts w:asciiTheme="majorHAnsi" w:hAnsiTheme="majorHAnsi"/>
                <w:sz w:val="20"/>
                <w:szCs w:val="20"/>
              </w:rPr>
              <w:t>The project aims to reduce the negative impacts of traffic and tillage on soil health and structure, and improve productivity, through adoption of controlled traffic farming and sub-soil manuring in the Tasmanian vegetable industry. The project will work with fresh market and processing companies and growers to plan and establish large field sites to demonstrate the economic and environmental benefits of controlled traffic, combined with sub-soil manuring where appropriate, such as on duplex soils. Measurable benefits in soil sustainability and enterprise productivity will be obtained. Business relationships between companies and growers will provide ready-made conduits for knowledge flow and enhance opportunities for increased adoption.</w:t>
            </w:r>
          </w:p>
        </w:tc>
        <w:tc>
          <w:tcPr>
            <w:tcW w:w="1701" w:type="dxa"/>
            <w:shd w:val="clear" w:color="auto" w:fill="auto"/>
            <w:noWrap/>
            <w:vAlign w:val="center"/>
            <w:hideMark/>
          </w:tcPr>
          <w:p w:rsidR="00616272" w:rsidRPr="00703118" w:rsidRDefault="00703118" w:rsidP="001E6B81">
            <w:pPr>
              <w:jc w:val="center"/>
              <w:rPr>
                <w:rFonts w:asciiTheme="majorHAnsi" w:hAnsiTheme="majorHAnsi"/>
                <w:sz w:val="20"/>
                <w:szCs w:val="20"/>
              </w:rPr>
            </w:pPr>
            <w:r>
              <w:rPr>
                <w:rFonts w:asciiTheme="majorHAnsi" w:hAnsiTheme="majorHAnsi"/>
                <w:sz w:val="20"/>
                <w:szCs w:val="20"/>
              </w:rPr>
              <w:t>$</w:t>
            </w:r>
            <w:r w:rsidRPr="00703118">
              <w:rPr>
                <w:rFonts w:asciiTheme="majorHAnsi" w:hAnsiTheme="majorHAnsi"/>
                <w:sz w:val="20"/>
                <w:szCs w:val="20"/>
              </w:rPr>
              <w:t>1</w:t>
            </w:r>
            <w:r>
              <w:rPr>
                <w:rFonts w:asciiTheme="majorHAnsi" w:hAnsiTheme="majorHAnsi"/>
                <w:sz w:val="20"/>
                <w:szCs w:val="20"/>
              </w:rPr>
              <w:t xml:space="preserve"> </w:t>
            </w:r>
            <w:r w:rsidRPr="00703118">
              <w:rPr>
                <w:rFonts w:asciiTheme="majorHAnsi" w:hAnsiTheme="majorHAnsi"/>
                <w:sz w:val="20"/>
                <w:szCs w:val="20"/>
              </w:rPr>
              <w:t>034</w:t>
            </w:r>
            <w:r>
              <w:rPr>
                <w:rFonts w:asciiTheme="majorHAnsi" w:hAnsiTheme="majorHAnsi"/>
                <w:sz w:val="20"/>
                <w:szCs w:val="20"/>
              </w:rPr>
              <w:t xml:space="preserve"> </w:t>
            </w:r>
            <w:r w:rsidRPr="00703118">
              <w:rPr>
                <w:rFonts w:asciiTheme="majorHAnsi" w:hAnsiTheme="majorHAnsi"/>
                <w:sz w:val="20"/>
                <w:szCs w:val="20"/>
              </w:rPr>
              <w:t>000</w:t>
            </w:r>
          </w:p>
        </w:tc>
      </w:tr>
    </w:tbl>
    <w:p w:rsidR="00616272" w:rsidRPr="00703118" w:rsidRDefault="00616272">
      <w:pPr>
        <w:rPr>
          <w:rFonts w:asciiTheme="majorHAnsi" w:hAnsiTheme="majorHAnsi"/>
          <w:sz w:val="20"/>
          <w:szCs w:val="20"/>
        </w:rPr>
      </w:pPr>
    </w:p>
    <w:p w:rsidR="00616272" w:rsidRPr="00703118" w:rsidRDefault="00616272" w:rsidP="00616272">
      <w:pPr>
        <w:tabs>
          <w:tab w:val="left" w:pos="778"/>
          <w:tab w:val="left" w:pos="3613"/>
          <w:tab w:val="left" w:pos="6448"/>
        </w:tabs>
        <w:rPr>
          <w:rFonts w:asciiTheme="majorHAnsi" w:hAnsiTheme="majorHAnsi" w:cs="Calibri"/>
          <w:b/>
          <w:color w:val="000000"/>
        </w:rPr>
      </w:pPr>
      <w:r w:rsidRPr="00703118">
        <w:rPr>
          <w:rFonts w:asciiTheme="majorHAnsi" w:hAnsiTheme="majorHAnsi" w:cs="Calibri"/>
          <w:b/>
          <w:color w:val="000000"/>
        </w:rPr>
        <w:t>VIC</w:t>
      </w:r>
    </w:p>
    <w:tbl>
      <w:tblPr>
        <w:tblW w:w="154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126"/>
        <w:gridCol w:w="3745"/>
        <w:gridCol w:w="6912"/>
        <w:gridCol w:w="1701"/>
      </w:tblGrid>
      <w:tr w:rsidR="00616272" w:rsidRPr="00703118" w:rsidTr="001E6B81">
        <w:trPr>
          <w:trHeight w:val="290"/>
        </w:trPr>
        <w:tc>
          <w:tcPr>
            <w:tcW w:w="943"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703118">
              <w:rPr>
                <w:rFonts w:asciiTheme="majorHAnsi" w:hAnsiTheme="majorHAnsi" w:cs="Calibri"/>
                <w:b/>
                <w:bCs/>
                <w:color w:val="000000"/>
                <w:sz w:val="20"/>
                <w:szCs w:val="20"/>
              </w:rPr>
              <w:t>State</w:t>
            </w:r>
          </w:p>
        </w:tc>
        <w:tc>
          <w:tcPr>
            <w:tcW w:w="2126"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703118">
              <w:rPr>
                <w:rFonts w:asciiTheme="majorHAnsi" w:hAnsiTheme="majorHAnsi" w:cs="Calibri"/>
                <w:b/>
                <w:bCs/>
                <w:color w:val="000000"/>
                <w:sz w:val="20"/>
                <w:szCs w:val="20"/>
              </w:rPr>
              <w:t>Recipient</w:t>
            </w:r>
          </w:p>
        </w:tc>
        <w:tc>
          <w:tcPr>
            <w:tcW w:w="3745"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2A7E35">
              <w:rPr>
                <w:rFonts w:asciiTheme="majorHAnsi" w:hAnsiTheme="majorHAnsi" w:cs="Calibri"/>
                <w:b/>
                <w:bCs/>
                <w:color w:val="000000"/>
                <w:sz w:val="20"/>
                <w:szCs w:val="20"/>
              </w:rPr>
              <w:t>Project Title</w:t>
            </w:r>
          </w:p>
        </w:tc>
        <w:tc>
          <w:tcPr>
            <w:tcW w:w="6912" w:type="dxa"/>
            <w:vAlign w:val="center"/>
          </w:tcPr>
          <w:p w:rsidR="00616272" w:rsidRPr="00703118" w:rsidRDefault="00616272" w:rsidP="001E6B81">
            <w:pPr>
              <w:jc w:val="center"/>
              <w:rPr>
                <w:rFonts w:asciiTheme="majorHAnsi" w:hAnsiTheme="majorHAnsi"/>
                <w:sz w:val="20"/>
                <w:szCs w:val="20"/>
              </w:rPr>
            </w:pPr>
            <w:r w:rsidRPr="002A7E35">
              <w:rPr>
                <w:rFonts w:asciiTheme="majorHAnsi" w:hAnsiTheme="majorHAnsi" w:cs="Calibri"/>
                <w:b/>
                <w:bCs/>
                <w:color w:val="000000"/>
                <w:sz w:val="20"/>
                <w:szCs w:val="20"/>
              </w:rPr>
              <w:t>Project Description</w:t>
            </w:r>
          </w:p>
        </w:tc>
        <w:tc>
          <w:tcPr>
            <w:tcW w:w="1701"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703118">
              <w:rPr>
                <w:rFonts w:asciiTheme="majorHAnsi" w:hAnsiTheme="majorHAnsi" w:cs="Calibri"/>
                <w:b/>
                <w:bCs/>
                <w:color w:val="000000"/>
                <w:sz w:val="20"/>
                <w:szCs w:val="20"/>
              </w:rPr>
              <w:t xml:space="preserve">Funding </w:t>
            </w:r>
            <w:r w:rsidRPr="00703118">
              <w:rPr>
                <w:rFonts w:asciiTheme="majorHAnsi" w:hAnsiTheme="majorHAnsi" w:cs="Calibri"/>
                <w:b/>
                <w:bCs/>
                <w:color w:val="000000"/>
                <w:sz w:val="20"/>
                <w:szCs w:val="20"/>
              </w:rPr>
              <w:br/>
            </w:r>
            <w:r w:rsidRPr="002A7E35">
              <w:rPr>
                <w:rFonts w:asciiTheme="majorHAnsi" w:hAnsiTheme="majorHAnsi" w:cs="Calibri"/>
                <w:b/>
                <w:bCs/>
                <w:color w:val="000000"/>
                <w:sz w:val="20"/>
                <w:szCs w:val="20"/>
              </w:rPr>
              <w:t>GST Inc</w:t>
            </w:r>
          </w:p>
        </w:tc>
      </w:tr>
      <w:tr w:rsidR="00703118" w:rsidRPr="00703118" w:rsidTr="001E6B81">
        <w:trPr>
          <w:trHeight w:val="290"/>
        </w:trPr>
        <w:tc>
          <w:tcPr>
            <w:tcW w:w="943" w:type="dxa"/>
            <w:shd w:val="clear" w:color="auto" w:fill="auto"/>
            <w:noWrap/>
            <w:vAlign w:val="center"/>
            <w:hideMark/>
          </w:tcPr>
          <w:p w:rsidR="00703118" w:rsidRPr="00703118" w:rsidRDefault="00703118" w:rsidP="001E6B81">
            <w:pPr>
              <w:rPr>
                <w:rFonts w:asciiTheme="majorHAnsi" w:hAnsiTheme="majorHAnsi"/>
                <w:b/>
                <w:sz w:val="20"/>
                <w:szCs w:val="20"/>
              </w:rPr>
            </w:pPr>
            <w:r w:rsidRPr="00703118">
              <w:rPr>
                <w:rFonts w:asciiTheme="majorHAnsi" w:hAnsiTheme="majorHAnsi"/>
                <w:b/>
                <w:sz w:val="20"/>
                <w:szCs w:val="20"/>
              </w:rPr>
              <w:t>VIC</w:t>
            </w:r>
          </w:p>
        </w:tc>
        <w:tc>
          <w:tcPr>
            <w:tcW w:w="2126" w:type="dxa"/>
            <w:shd w:val="clear" w:color="auto" w:fill="auto"/>
            <w:noWrap/>
            <w:vAlign w:val="center"/>
            <w:hideMark/>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Department of Environment and Primary Industries</w:t>
            </w:r>
          </w:p>
        </w:tc>
        <w:tc>
          <w:tcPr>
            <w:tcW w:w="3745" w:type="dxa"/>
            <w:shd w:val="clear" w:color="auto" w:fill="auto"/>
            <w:noWrap/>
            <w:vAlign w:val="center"/>
            <w:hideMark/>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Innovations in cropping systems - a step-change towards sustainable soil management</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This project aims to address declining soil condition and severe subsoil constraints on Victorian cropping farms by undertaking demonstrations of Controlled Traffic Farming (CTF) and Subsoil Manuring (SM). Priority issues addressed by this proposal include: wind erosion, nutrient management, soil acidification, improving soil health and biological function, providing information on new technologies, and partnership development. Project outcomes will increase adoption of innovative and sustainable practices to improve natural resource management and increase production through a more engaged, aware and motivated farming community.</w:t>
            </w:r>
          </w:p>
        </w:tc>
        <w:tc>
          <w:tcPr>
            <w:tcW w:w="1701" w:type="dxa"/>
            <w:shd w:val="clear" w:color="auto" w:fill="auto"/>
            <w:noWrap/>
            <w:vAlign w:val="center"/>
            <w:hideMark/>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$694 </w:t>
            </w:r>
            <w:r w:rsidR="00703118" w:rsidRPr="00703118">
              <w:rPr>
                <w:rFonts w:asciiTheme="majorHAnsi" w:hAnsiTheme="majorHAnsi" w:cs="Calibri"/>
                <w:color w:val="000000"/>
                <w:sz w:val="20"/>
                <w:szCs w:val="20"/>
              </w:rPr>
              <w:t>000</w:t>
            </w:r>
          </w:p>
        </w:tc>
      </w:tr>
      <w:tr w:rsidR="00703118" w:rsidRPr="00703118" w:rsidTr="001E6B81">
        <w:trPr>
          <w:trHeight w:val="290"/>
        </w:trPr>
        <w:tc>
          <w:tcPr>
            <w:tcW w:w="943" w:type="dxa"/>
            <w:shd w:val="clear" w:color="auto" w:fill="auto"/>
            <w:noWrap/>
            <w:vAlign w:val="center"/>
            <w:hideMark/>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VIC</w:t>
            </w:r>
          </w:p>
        </w:tc>
        <w:tc>
          <w:tcPr>
            <w:tcW w:w="2126" w:type="dxa"/>
            <w:shd w:val="clear" w:color="auto" w:fill="auto"/>
            <w:noWrap/>
            <w:vAlign w:val="center"/>
            <w:hideMark/>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Mallee Catchment Management Authority</w:t>
            </w:r>
          </w:p>
        </w:tc>
        <w:tc>
          <w:tcPr>
            <w:tcW w:w="3745" w:type="dxa"/>
            <w:shd w:val="clear" w:color="auto" w:fill="auto"/>
            <w:noWrap/>
            <w:vAlign w:val="center"/>
            <w:hideMark/>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Alternate fodder crops for dryland grazing systems - winning the war on erosion</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This project will focus on maintaining groundcover in the mixed grazing industry of the Victorian Mallee to reduce soil and nutrient loss through wind erosion. It will establish 5 trial sites to demonstrate innovative practices, such as using native shrubs as an alternative grazing option and grazing stubble over summer, and account for the impact of predicted climate change on grazing management. The Mallee CMA, farming systems groups and regional government agencies will deliver the project in partnership.</w:t>
            </w:r>
          </w:p>
        </w:tc>
        <w:tc>
          <w:tcPr>
            <w:tcW w:w="1701" w:type="dxa"/>
            <w:shd w:val="clear" w:color="auto" w:fill="auto"/>
            <w:noWrap/>
            <w:vAlign w:val="center"/>
            <w:hideMark/>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$618 </w:t>
            </w:r>
            <w:r w:rsidR="00703118" w:rsidRPr="00703118">
              <w:rPr>
                <w:rFonts w:asciiTheme="majorHAnsi" w:hAnsiTheme="majorHAnsi" w:cs="Calibri"/>
                <w:color w:val="000000"/>
                <w:sz w:val="20"/>
                <w:szCs w:val="20"/>
              </w:rPr>
              <w:t>000</w:t>
            </w:r>
          </w:p>
        </w:tc>
      </w:tr>
      <w:tr w:rsidR="00703118" w:rsidRPr="00703118" w:rsidTr="001E6B81">
        <w:trPr>
          <w:trHeight w:val="290"/>
        </w:trPr>
        <w:tc>
          <w:tcPr>
            <w:tcW w:w="943" w:type="dxa"/>
            <w:shd w:val="clear" w:color="auto" w:fill="auto"/>
            <w:noWrap/>
            <w:vAlign w:val="center"/>
            <w:hideMark/>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VIC</w:t>
            </w:r>
          </w:p>
        </w:tc>
        <w:tc>
          <w:tcPr>
            <w:tcW w:w="2126" w:type="dxa"/>
            <w:shd w:val="clear" w:color="auto" w:fill="auto"/>
            <w:noWrap/>
            <w:vAlign w:val="center"/>
            <w:hideMark/>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Birchip Cropping Group Inc</w:t>
            </w:r>
          </w:p>
        </w:tc>
        <w:tc>
          <w:tcPr>
            <w:tcW w:w="3745" w:type="dxa"/>
            <w:shd w:val="clear" w:color="auto" w:fill="auto"/>
            <w:noWrap/>
            <w:vAlign w:val="center"/>
            <w:hideMark/>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Enhancing the farm resource base and profitability through better risk management</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The project is targeted at improving land stewardship on broad-acre farms throughout the sheep-wheat zone in southern Australia (from WA to Vic). Linking state-of-the-art biophysical models with farm business advisory services to create an integrated farm business/management decision support framework will provide farmers and their advisers with easily accessible know-how and skills to assess risk and make better tactical and strategic land management decisions. Using the framework farmers will be better placed to farm according to the capacity of the land and seasonal conditions. A unique feature of the approach is that the longer term natural resource management consequences of management strategies will be highlighted in the context of farm profits.</w:t>
            </w:r>
          </w:p>
        </w:tc>
        <w:tc>
          <w:tcPr>
            <w:tcW w:w="1701" w:type="dxa"/>
            <w:shd w:val="clear" w:color="auto" w:fill="auto"/>
            <w:noWrap/>
            <w:vAlign w:val="center"/>
            <w:hideMark/>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$1 308 </w:t>
            </w:r>
            <w:r w:rsidR="00703118" w:rsidRPr="00703118">
              <w:rPr>
                <w:rFonts w:asciiTheme="majorHAnsi" w:hAnsiTheme="majorHAnsi" w:cs="Calibri"/>
                <w:color w:val="000000"/>
                <w:sz w:val="20"/>
                <w:szCs w:val="20"/>
              </w:rPr>
              <w:t>670</w:t>
            </w:r>
          </w:p>
        </w:tc>
      </w:tr>
      <w:tr w:rsidR="00703118" w:rsidRPr="00703118" w:rsidTr="001E6B81">
        <w:trPr>
          <w:trHeight w:val="290"/>
        </w:trPr>
        <w:tc>
          <w:tcPr>
            <w:tcW w:w="943" w:type="dxa"/>
            <w:shd w:val="clear" w:color="auto" w:fill="auto"/>
            <w:noWrap/>
            <w:vAlign w:val="center"/>
            <w:hideMark/>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VIC</w:t>
            </w:r>
          </w:p>
        </w:tc>
        <w:tc>
          <w:tcPr>
            <w:tcW w:w="2126" w:type="dxa"/>
            <w:shd w:val="clear" w:color="auto" w:fill="auto"/>
            <w:noWrap/>
            <w:vAlign w:val="center"/>
            <w:hideMark/>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Southern Farming Systems Ltd</w:t>
            </w:r>
          </w:p>
        </w:tc>
        <w:tc>
          <w:tcPr>
            <w:tcW w:w="3745" w:type="dxa"/>
            <w:shd w:val="clear" w:color="auto" w:fill="auto"/>
            <w:noWrap/>
            <w:vAlign w:val="center"/>
            <w:hideMark/>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To solve the commercial constraints preventing adoption of subsoil amelioration in South West Vic</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 xml:space="preserve">This project will solve the commercial constraints preventing adoption of subsoil amelioration in South West Victoria. Improved subsoil conditions will dramatically enhance crop and pasture productivity, enhance the soil resource, enable increased levels of soil carbon to be stored and use organic materials (from dairy effluent, green material, food waste) that are currently seen as a waste stream. </w:t>
            </w:r>
            <w:r w:rsidRPr="00703118">
              <w:rPr>
                <w:rFonts w:asciiTheme="majorHAnsi" w:hAnsiTheme="majorHAnsi" w:cs="Calibri"/>
                <w:color w:val="000000"/>
                <w:sz w:val="20"/>
                <w:szCs w:val="20"/>
              </w:rPr>
              <w:br/>
            </w:r>
            <w:r w:rsidRPr="00703118">
              <w:rPr>
                <w:rFonts w:asciiTheme="majorHAnsi" w:hAnsiTheme="majorHAnsi" w:cs="Calibri"/>
                <w:color w:val="000000"/>
                <w:sz w:val="20"/>
                <w:szCs w:val="20"/>
              </w:rPr>
              <w:br/>
              <w:t xml:space="preserve">The project will refine developmental trial equipment to farm application, enabling paddock scale farm subsoil manuring, develop </w:t>
            </w:r>
            <w:r w:rsidR="001E6B81" w:rsidRPr="00703118">
              <w:rPr>
                <w:rFonts w:asciiTheme="majorHAnsi" w:hAnsiTheme="majorHAnsi" w:cs="Calibri"/>
                <w:color w:val="000000"/>
                <w:sz w:val="20"/>
                <w:szCs w:val="20"/>
              </w:rPr>
              <w:t>processes</w:t>
            </w:r>
            <w:r w:rsidRPr="00703118">
              <w:rPr>
                <w:rFonts w:asciiTheme="majorHAnsi" w:hAnsiTheme="majorHAnsi" w:cs="Calibri"/>
                <w:color w:val="000000"/>
                <w:sz w:val="20"/>
                <w:szCs w:val="20"/>
              </w:rPr>
              <w:t xml:space="preserve"> to create consistent, high volume but low cost soil amendments and present the business case for commercialisation by private enterprise. Paddock scale demonstrations will provide farmer case studies.</w:t>
            </w:r>
          </w:p>
        </w:tc>
        <w:tc>
          <w:tcPr>
            <w:tcW w:w="1701" w:type="dxa"/>
            <w:shd w:val="clear" w:color="auto" w:fill="auto"/>
            <w:noWrap/>
            <w:vAlign w:val="center"/>
            <w:hideMark/>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$515 </w:t>
            </w:r>
            <w:r w:rsidR="00703118" w:rsidRPr="00703118">
              <w:rPr>
                <w:rFonts w:asciiTheme="majorHAnsi" w:hAnsiTheme="majorHAnsi" w:cs="Calibri"/>
                <w:color w:val="000000"/>
                <w:sz w:val="20"/>
                <w:szCs w:val="20"/>
              </w:rPr>
              <w:t>900</w:t>
            </w:r>
          </w:p>
        </w:tc>
      </w:tr>
    </w:tbl>
    <w:p w:rsidR="00616272" w:rsidRPr="00703118" w:rsidRDefault="00616272">
      <w:pPr>
        <w:rPr>
          <w:rFonts w:asciiTheme="majorHAnsi" w:hAnsiTheme="majorHAnsi"/>
          <w:sz w:val="20"/>
          <w:szCs w:val="20"/>
        </w:rPr>
      </w:pPr>
    </w:p>
    <w:p w:rsidR="00616272" w:rsidRPr="00703118" w:rsidRDefault="00616272">
      <w:pPr>
        <w:rPr>
          <w:rFonts w:asciiTheme="majorHAnsi" w:hAnsiTheme="majorHAnsi"/>
          <w:sz w:val="20"/>
          <w:szCs w:val="20"/>
        </w:rPr>
      </w:pPr>
    </w:p>
    <w:p w:rsidR="00616272" w:rsidRPr="00703118" w:rsidRDefault="00616272" w:rsidP="00616272">
      <w:pPr>
        <w:tabs>
          <w:tab w:val="left" w:pos="778"/>
          <w:tab w:val="left" w:pos="3613"/>
          <w:tab w:val="left" w:pos="6448"/>
        </w:tabs>
        <w:rPr>
          <w:rFonts w:asciiTheme="majorHAnsi" w:hAnsiTheme="majorHAnsi" w:cs="Calibri"/>
          <w:b/>
          <w:color w:val="000000"/>
        </w:rPr>
      </w:pPr>
      <w:r w:rsidRPr="00703118">
        <w:rPr>
          <w:rFonts w:asciiTheme="majorHAnsi" w:hAnsiTheme="majorHAnsi" w:cs="Calibri"/>
          <w:b/>
          <w:color w:val="000000"/>
        </w:rPr>
        <w:t>WA</w:t>
      </w:r>
    </w:p>
    <w:tbl>
      <w:tblPr>
        <w:tblW w:w="154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126"/>
        <w:gridCol w:w="3745"/>
        <w:gridCol w:w="6912"/>
        <w:gridCol w:w="1701"/>
      </w:tblGrid>
      <w:tr w:rsidR="00616272" w:rsidRPr="00703118" w:rsidTr="001E6B81">
        <w:trPr>
          <w:trHeight w:val="290"/>
        </w:trPr>
        <w:tc>
          <w:tcPr>
            <w:tcW w:w="943"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703118">
              <w:rPr>
                <w:rFonts w:asciiTheme="majorHAnsi" w:hAnsiTheme="majorHAnsi" w:cs="Calibri"/>
                <w:b/>
                <w:bCs/>
                <w:color w:val="000000"/>
                <w:sz w:val="20"/>
                <w:szCs w:val="20"/>
              </w:rPr>
              <w:t>State</w:t>
            </w:r>
          </w:p>
        </w:tc>
        <w:tc>
          <w:tcPr>
            <w:tcW w:w="2126"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703118">
              <w:rPr>
                <w:rFonts w:asciiTheme="majorHAnsi" w:hAnsiTheme="majorHAnsi" w:cs="Calibri"/>
                <w:b/>
                <w:bCs/>
                <w:color w:val="000000"/>
                <w:sz w:val="20"/>
                <w:szCs w:val="20"/>
              </w:rPr>
              <w:t>Recipient</w:t>
            </w:r>
          </w:p>
        </w:tc>
        <w:tc>
          <w:tcPr>
            <w:tcW w:w="3745"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2A7E35">
              <w:rPr>
                <w:rFonts w:asciiTheme="majorHAnsi" w:hAnsiTheme="majorHAnsi" w:cs="Calibri"/>
                <w:b/>
                <w:bCs/>
                <w:color w:val="000000"/>
                <w:sz w:val="20"/>
                <w:szCs w:val="20"/>
              </w:rPr>
              <w:t>Project Title</w:t>
            </w:r>
          </w:p>
        </w:tc>
        <w:tc>
          <w:tcPr>
            <w:tcW w:w="6912" w:type="dxa"/>
            <w:vAlign w:val="center"/>
          </w:tcPr>
          <w:p w:rsidR="00616272" w:rsidRPr="00703118" w:rsidRDefault="00616272" w:rsidP="001E6B81">
            <w:pPr>
              <w:jc w:val="center"/>
              <w:rPr>
                <w:rFonts w:asciiTheme="majorHAnsi" w:hAnsiTheme="majorHAnsi"/>
                <w:sz w:val="20"/>
                <w:szCs w:val="20"/>
              </w:rPr>
            </w:pPr>
            <w:r w:rsidRPr="002A7E35">
              <w:rPr>
                <w:rFonts w:asciiTheme="majorHAnsi" w:hAnsiTheme="majorHAnsi" w:cs="Calibri"/>
                <w:b/>
                <w:bCs/>
                <w:color w:val="000000"/>
                <w:sz w:val="20"/>
                <w:szCs w:val="20"/>
              </w:rPr>
              <w:t>Project Description</w:t>
            </w:r>
          </w:p>
        </w:tc>
        <w:tc>
          <w:tcPr>
            <w:tcW w:w="1701" w:type="dxa"/>
            <w:shd w:val="clear" w:color="auto" w:fill="auto"/>
            <w:noWrap/>
            <w:vAlign w:val="center"/>
            <w:hideMark/>
          </w:tcPr>
          <w:p w:rsidR="00616272" w:rsidRPr="00703118" w:rsidRDefault="00616272" w:rsidP="001E6B81">
            <w:pPr>
              <w:jc w:val="center"/>
              <w:rPr>
                <w:rFonts w:asciiTheme="majorHAnsi" w:hAnsiTheme="majorHAnsi"/>
                <w:sz w:val="20"/>
                <w:szCs w:val="20"/>
              </w:rPr>
            </w:pPr>
            <w:r w:rsidRPr="00703118">
              <w:rPr>
                <w:rFonts w:asciiTheme="majorHAnsi" w:hAnsiTheme="majorHAnsi" w:cs="Calibri"/>
                <w:b/>
                <w:bCs/>
                <w:color w:val="000000"/>
                <w:sz w:val="20"/>
                <w:szCs w:val="20"/>
              </w:rPr>
              <w:t xml:space="preserve">Funding </w:t>
            </w:r>
            <w:r w:rsidRPr="00703118">
              <w:rPr>
                <w:rFonts w:asciiTheme="majorHAnsi" w:hAnsiTheme="majorHAnsi" w:cs="Calibri"/>
                <w:b/>
                <w:bCs/>
                <w:color w:val="000000"/>
                <w:sz w:val="20"/>
                <w:szCs w:val="20"/>
              </w:rPr>
              <w:br/>
            </w:r>
            <w:r w:rsidRPr="002A7E35">
              <w:rPr>
                <w:rFonts w:asciiTheme="majorHAnsi" w:hAnsiTheme="majorHAnsi" w:cs="Calibri"/>
                <w:b/>
                <w:bCs/>
                <w:color w:val="000000"/>
                <w:sz w:val="20"/>
                <w:szCs w:val="20"/>
              </w:rPr>
              <w:t>GST Inc</w:t>
            </w:r>
          </w:p>
        </w:tc>
      </w:tr>
      <w:tr w:rsidR="00703118" w:rsidRPr="00703118" w:rsidTr="001E6B81">
        <w:trPr>
          <w:trHeight w:val="290"/>
        </w:trPr>
        <w:tc>
          <w:tcPr>
            <w:tcW w:w="943" w:type="dxa"/>
            <w:shd w:val="clear" w:color="auto" w:fill="auto"/>
            <w:noWrap/>
            <w:vAlign w:val="center"/>
            <w:hideMark/>
          </w:tcPr>
          <w:p w:rsidR="00703118" w:rsidRPr="00703118" w:rsidRDefault="00703118" w:rsidP="001E6B81">
            <w:pPr>
              <w:rPr>
                <w:rFonts w:asciiTheme="majorHAnsi" w:hAnsiTheme="majorHAnsi"/>
                <w:b/>
                <w:sz w:val="20"/>
                <w:szCs w:val="20"/>
              </w:rPr>
            </w:pPr>
            <w:r w:rsidRPr="00703118">
              <w:rPr>
                <w:rFonts w:asciiTheme="majorHAnsi" w:hAnsiTheme="majorHAnsi"/>
                <w:b/>
                <w:sz w:val="20"/>
                <w:szCs w:val="20"/>
              </w:rPr>
              <w:t>WA</w:t>
            </w:r>
          </w:p>
        </w:tc>
        <w:tc>
          <w:tcPr>
            <w:tcW w:w="2126" w:type="dxa"/>
            <w:shd w:val="clear" w:color="auto" w:fill="auto"/>
            <w:noWrap/>
            <w:vAlign w:val="center"/>
            <w:hideMark/>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Northern Agricultural Catchments Council Incorporated</w:t>
            </w:r>
          </w:p>
        </w:tc>
        <w:tc>
          <w:tcPr>
            <w:tcW w:w="3745" w:type="dxa"/>
            <w:shd w:val="clear" w:color="auto" w:fill="auto"/>
            <w:noWrap/>
            <w:vAlign w:val="center"/>
            <w:hideMark/>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Demonstrating principles of ameliorating sub surface pH to improve soil health</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 xml:space="preserve">Soils with pH below 5 in the plant rooting zone impacts potential biomass, wind and water erosion, soil biota and diversity and production. This project will demonstrate long term improvements from incorporation of lime to depths below 10cm using innovative methodologies.  On completion, 183 growers and 135 regional leaders and influencers in the Northern Agricultural Region (NAR) will have improved knowledge and skills to implement practice change towards liming for subsoil pH correction. </w:t>
            </w:r>
          </w:p>
        </w:tc>
        <w:tc>
          <w:tcPr>
            <w:tcW w:w="1701" w:type="dxa"/>
            <w:shd w:val="clear" w:color="auto" w:fill="auto"/>
            <w:noWrap/>
            <w:vAlign w:val="center"/>
            <w:hideMark/>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$650 </w:t>
            </w:r>
            <w:r w:rsidR="00703118" w:rsidRPr="00703118">
              <w:rPr>
                <w:rFonts w:asciiTheme="majorHAnsi" w:hAnsiTheme="majorHAnsi" w:cs="Calibri"/>
                <w:color w:val="000000"/>
                <w:sz w:val="20"/>
                <w:szCs w:val="20"/>
              </w:rPr>
              <w:t>650</w:t>
            </w:r>
          </w:p>
        </w:tc>
      </w:tr>
      <w:tr w:rsidR="00703118" w:rsidRPr="00703118" w:rsidTr="001E6B81">
        <w:trPr>
          <w:trHeight w:val="290"/>
        </w:trPr>
        <w:tc>
          <w:tcPr>
            <w:tcW w:w="943" w:type="dxa"/>
            <w:shd w:val="clear" w:color="auto" w:fill="auto"/>
            <w:noWrap/>
            <w:vAlign w:val="center"/>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WA</w:t>
            </w:r>
          </w:p>
        </w:tc>
        <w:tc>
          <w:tcPr>
            <w:tcW w:w="2126"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Western Australian Agriculture Authority</w:t>
            </w:r>
          </w:p>
        </w:tc>
        <w:tc>
          <w:tcPr>
            <w:tcW w:w="3745"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 xml:space="preserve">Increasing sustainable Agriculture practice uptake in the </w:t>
            </w:r>
            <w:r w:rsidR="001E6B81" w:rsidRPr="00703118">
              <w:rPr>
                <w:rFonts w:asciiTheme="majorHAnsi" w:hAnsiTheme="majorHAnsi" w:cs="Calibri"/>
                <w:color w:val="000000"/>
                <w:sz w:val="20"/>
                <w:szCs w:val="20"/>
              </w:rPr>
              <w:t>Indigenous</w:t>
            </w:r>
            <w:r w:rsidRPr="00703118">
              <w:rPr>
                <w:rFonts w:asciiTheme="majorHAnsi" w:hAnsiTheme="majorHAnsi" w:cs="Calibri"/>
                <w:color w:val="000000"/>
                <w:sz w:val="20"/>
                <w:szCs w:val="20"/>
              </w:rPr>
              <w:t xml:space="preserve"> Landholder Estate</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 xml:space="preserve">Indigenous Land Managers are not engaged in sustainable agriculture practices as properties purchased are unprofitable and severely degraded. Isolation from mainstream support has directly impacted on Corporations ability to achieve sustainable agricultural outcomes. </w:t>
            </w:r>
            <w:r w:rsidRPr="00703118">
              <w:rPr>
                <w:rFonts w:asciiTheme="majorHAnsi" w:hAnsiTheme="majorHAnsi" w:cs="Calibri"/>
                <w:color w:val="000000"/>
                <w:sz w:val="20"/>
                <w:szCs w:val="20"/>
              </w:rPr>
              <w:br/>
              <w:t xml:space="preserve">The project will increase uptake of sustainable agriculture practice by Indigenous land managers by integrating community engagement with scientific analysis of Indigenous properties, and combining traditional &amp; scientific knowledge to better plan sustainable agriculture enterprises on their property. </w:t>
            </w:r>
            <w:r w:rsidRPr="00703118">
              <w:rPr>
                <w:rFonts w:asciiTheme="majorHAnsi" w:hAnsiTheme="majorHAnsi" w:cs="Calibri"/>
                <w:color w:val="000000"/>
                <w:sz w:val="20"/>
                <w:szCs w:val="20"/>
              </w:rPr>
              <w:br/>
              <w:t>A pilot project has shown landholder participation in farm planning has increased knowledge and skills increasing productivity and environmental sustainability.</w:t>
            </w:r>
          </w:p>
        </w:tc>
        <w:tc>
          <w:tcPr>
            <w:tcW w:w="1701" w:type="dxa"/>
            <w:shd w:val="clear" w:color="auto" w:fill="auto"/>
            <w:noWrap/>
            <w:vAlign w:val="center"/>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$604 </w:t>
            </w:r>
            <w:r w:rsidR="00703118" w:rsidRPr="00703118">
              <w:rPr>
                <w:rFonts w:asciiTheme="majorHAnsi" w:hAnsiTheme="majorHAnsi" w:cs="Calibri"/>
                <w:color w:val="000000"/>
                <w:sz w:val="20"/>
                <w:szCs w:val="20"/>
              </w:rPr>
              <w:t>100</w:t>
            </w:r>
          </w:p>
        </w:tc>
      </w:tr>
      <w:tr w:rsidR="00703118" w:rsidRPr="00703118" w:rsidTr="001E6B81">
        <w:trPr>
          <w:trHeight w:val="290"/>
        </w:trPr>
        <w:tc>
          <w:tcPr>
            <w:tcW w:w="943" w:type="dxa"/>
            <w:shd w:val="clear" w:color="auto" w:fill="auto"/>
            <w:noWrap/>
            <w:vAlign w:val="center"/>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WA</w:t>
            </w:r>
          </w:p>
        </w:tc>
        <w:tc>
          <w:tcPr>
            <w:tcW w:w="2126"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Rangelands NRM Co-ordinating Group (Inc.)</w:t>
            </w:r>
          </w:p>
        </w:tc>
        <w:tc>
          <w:tcPr>
            <w:tcW w:w="3745"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Cattle responses to EcoFire as a management tool - demonstrating the benefits</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 xml:space="preserve">In the WA Kimberley fire is used by pastoralists and Indigenous people to manage the landscape, but wildfires have the greatest impact on the economic and environmental outcomes of the region. However, managing wildfires with the EcoFire program has positive effects on the environment and on cattle productivity. </w:t>
            </w:r>
            <w:r w:rsidRPr="00703118">
              <w:rPr>
                <w:rFonts w:asciiTheme="majorHAnsi" w:hAnsiTheme="majorHAnsi" w:cs="Calibri"/>
                <w:color w:val="000000"/>
                <w:sz w:val="20"/>
                <w:szCs w:val="20"/>
              </w:rPr>
              <w:br/>
            </w:r>
            <w:r w:rsidRPr="00703118">
              <w:rPr>
                <w:rFonts w:asciiTheme="majorHAnsi" w:hAnsiTheme="majorHAnsi" w:cs="Calibri"/>
                <w:color w:val="000000"/>
                <w:sz w:val="20"/>
                <w:szCs w:val="20"/>
              </w:rPr>
              <w:br/>
              <w:t>Using remote sensing technologies (satellite images and GPS-collars) this project will demonstrate to pastoralists how cattle respond to EcoFire management and utilise burnt and unburnt areas.</w:t>
            </w:r>
            <w:r w:rsidRPr="00703118">
              <w:rPr>
                <w:rFonts w:asciiTheme="majorHAnsi" w:hAnsiTheme="majorHAnsi" w:cs="Calibri"/>
                <w:color w:val="000000"/>
                <w:sz w:val="20"/>
                <w:szCs w:val="20"/>
              </w:rPr>
              <w:br/>
            </w:r>
            <w:r w:rsidRPr="00703118">
              <w:rPr>
                <w:rFonts w:asciiTheme="majorHAnsi" w:hAnsiTheme="majorHAnsi" w:cs="Calibri"/>
                <w:color w:val="000000"/>
                <w:sz w:val="20"/>
                <w:szCs w:val="20"/>
              </w:rPr>
              <w:br/>
              <w:t xml:space="preserve"> By pastoralists understanding how cattle interact with the environment under EcoFire this project will develop more sustainable grazing practices which maximize productivity and minimise environmental impacts such as erosion and over-grazing.</w:t>
            </w:r>
          </w:p>
        </w:tc>
        <w:tc>
          <w:tcPr>
            <w:tcW w:w="1701" w:type="dxa"/>
            <w:shd w:val="clear" w:color="auto" w:fill="auto"/>
            <w:noWrap/>
            <w:vAlign w:val="center"/>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w:t>
            </w:r>
            <w:r w:rsidR="00703118" w:rsidRPr="00703118">
              <w:rPr>
                <w:rFonts w:asciiTheme="majorHAnsi" w:hAnsiTheme="majorHAnsi" w:cs="Calibri"/>
                <w:color w:val="000000"/>
                <w:sz w:val="20"/>
                <w:szCs w:val="20"/>
              </w:rPr>
              <w:t>818</w:t>
            </w:r>
            <w:r>
              <w:rPr>
                <w:rFonts w:asciiTheme="majorHAnsi" w:hAnsiTheme="majorHAnsi" w:cs="Calibri"/>
                <w:color w:val="000000"/>
                <w:sz w:val="20"/>
                <w:szCs w:val="20"/>
              </w:rPr>
              <w:t xml:space="preserve"> </w:t>
            </w:r>
            <w:r w:rsidR="00703118" w:rsidRPr="00703118">
              <w:rPr>
                <w:rFonts w:asciiTheme="majorHAnsi" w:hAnsiTheme="majorHAnsi" w:cs="Calibri"/>
                <w:color w:val="000000"/>
                <w:sz w:val="20"/>
                <w:szCs w:val="20"/>
              </w:rPr>
              <w:t>290</w:t>
            </w:r>
          </w:p>
        </w:tc>
      </w:tr>
      <w:tr w:rsidR="00703118" w:rsidRPr="00703118" w:rsidTr="001E6B81">
        <w:trPr>
          <w:trHeight w:val="290"/>
        </w:trPr>
        <w:tc>
          <w:tcPr>
            <w:tcW w:w="943" w:type="dxa"/>
            <w:shd w:val="clear" w:color="auto" w:fill="auto"/>
            <w:noWrap/>
            <w:vAlign w:val="center"/>
          </w:tcPr>
          <w:p w:rsidR="00703118" w:rsidRPr="00703118" w:rsidRDefault="00703118" w:rsidP="001E6B81">
            <w:pPr>
              <w:rPr>
                <w:rFonts w:asciiTheme="majorHAnsi" w:hAnsiTheme="majorHAnsi"/>
                <w:sz w:val="20"/>
                <w:szCs w:val="20"/>
              </w:rPr>
            </w:pPr>
            <w:r w:rsidRPr="00703118">
              <w:rPr>
                <w:rFonts w:asciiTheme="majorHAnsi" w:hAnsiTheme="majorHAnsi"/>
                <w:b/>
                <w:sz w:val="20"/>
                <w:szCs w:val="20"/>
              </w:rPr>
              <w:t>WA</w:t>
            </w:r>
          </w:p>
        </w:tc>
        <w:tc>
          <w:tcPr>
            <w:tcW w:w="2126"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Rangelands NRM Co-ordinating Group (Inc.)</w:t>
            </w:r>
          </w:p>
        </w:tc>
        <w:tc>
          <w:tcPr>
            <w:tcW w:w="3745" w:type="dxa"/>
            <w:shd w:val="clear" w:color="auto" w:fill="auto"/>
            <w:noWrap/>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Managing feed supply and groundcover in rangelands through nutritional shepherding</w:t>
            </w:r>
          </w:p>
        </w:tc>
        <w:tc>
          <w:tcPr>
            <w:tcW w:w="6912" w:type="dxa"/>
            <w:vAlign w:val="center"/>
          </w:tcPr>
          <w:p w:rsidR="00703118" w:rsidRPr="00703118" w:rsidRDefault="00703118" w:rsidP="001E6B81">
            <w:pPr>
              <w:rPr>
                <w:rFonts w:asciiTheme="majorHAnsi" w:hAnsiTheme="majorHAnsi" w:cs="Calibri"/>
                <w:color w:val="000000"/>
                <w:sz w:val="20"/>
                <w:szCs w:val="20"/>
              </w:rPr>
            </w:pPr>
            <w:r w:rsidRPr="00703118">
              <w:rPr>
                <w:rFonts w:asciiTheme="majorHAnsi" w:hAnsiTheme="majorHAnsi" w:cs="Calibri"/>
                <w:color w:val="000000"/>
                <w:sz w:val="20"/>
                <w:szCs w:val="20"/>
              </w:rPr>
              <w:t>The project will provide and test new low-cost techniques for the management of grazing pressure in the rangelands. Current issues with uneven grazing pressure lead to patch grazing - areas of overgrazing and low groundcover mixed with undergrazing and high groundcover within the same paddock. This project will apply nutritional shepherding to manage movement and grazing behaviour within large paddocks. Nutritional shepherding has been applied successfully in the USA and provides nutritional rewards in a coordinated arrangement around the landscape. These rewards will be linked with sensory cues (</w:t>
            </w:r>
            <w:r w:rsidR="001E6B81" w:rsidRPr="00703118">
              <w:rPr>
                <w:rFonts w:asciiTheme="majorHAnsi" w:hAnsiTheme="majorHAnsi" w:cs="Calibri"/>
                <w:color w:val="000000"/>
                <w:sz w:val="20"/>
                <w:szCs w:val="20"/>
              </w:rPr>
              <w:t>e.g.</w:t>
            </w:r>
            <w:r w:rsidRPr="00703118">
              <w:rPr>
                <w:rFonts w:asciiTheme="majorHAnsi" w:hAnsiTheme="majorHAnsi" w:cs="Calibri"/>
                <w:color w:val="000000"/>
                <w:sz w:val="20"/>
                <w:szCs w:val="20"/>
              </w:rPr>
              <w:t xml:space="preserve"> remote audio signals and visual guides) to induce long-term behavioural change. The outcomes will be increased groundcover and livestock productivity in the rangelands. </w:t>
            </w:r>
          </w:p>
        </w:tc>
        <w:tc>
          <w:tcPr>
            <w:tcW w:w="1701" w:type="dxa"/>
            <w:shd w:val="clear" w:color="auto" w:fill="auto"/>
            <w:noWrap/>
            <w:vAlign w:val="center"/>
          </w:tcPr>
          <w:p w:rsidR="00703118" w:rsidRPr="00703118" w:rsidRDefault="001E6B81" w:rsidP="001E6B81">
            <w:pPr>
              <w:jc w:val="center"/>
              <w:rPr>
                <w:rFonts w:asciiTheme="majorHAnsi" w:hAnsiTheme="majorHAnsi" w:cs="Calibri"/>
                <w:color w:val="000000"/>
                <w:sz w:val="20"/>
                <w:szCs w:val="20"/>
              </w:rPr>
            </w:pPr>
            <w:r>
              <w:rPr>
                <w:rFonts w:asciiTheme="majorHAnsi" w:hAnsiTheme="majorHAnsi" w:cs="Calibri"/>
                <w:color w:val="000000"/>
                <w:sz w:val="20"/>
                <w:szCs w:val="20"/>
              </w:rPr>
              <w:t xml:space="preserve">$925 </w:t>
            </w:r>
            <w:r w:rsidR="00703118" w:rsidRPr="00703118">
              <w:rPr>
                <w:rFonts w:asciiTheme="majorHAnsi" w:hAnsiTheme="majorHAnsi" w:cs="Calibri"/>
                <w:color w:val="000000"/>
                <w:sz w:val="20"/>
                <w:szCs w:val="20"/>
              </w:rPr>
              <w:t>320</w:t>
            </w:r>
          </w:p>
        </w:tc>
      </w:tr>
    </w:tbl>
    <w:p w:rsidR="00616272" w:rsidRPr="00703118" w:rsidRDefault="00616272">
      <w:pPr>
        <w:rPr>
          <w:rFonts w:asciiTheme="majorHAnsi" w:hAnsiTheme="majorHAnsi"/>
          <w:sz w:val="20"/>
          <w:szCs w:val="20"/>
        </w:rPr>
      </w:pPr>
    </w:p>
    <w:p w:rsidR="00703118" w:rsidRPr="00703118" w:rsidRDefault="00703118">
      <w:pPr>
        <w:rPr>
          <w:rFonts w:asciiTheme="majorHAnsi" w:hAnsiTheme="majorHAnsi"/>
          <w:sz w:val="20"/>
          <w:szCs w:val="20"/>
        </w:rPr>
      </w:pPr>
    </w:p>
    <w:p w:rsidR="00703118" w:rsidRPr="00703118" w:rsidRDefault="00703118">
      <w:pPr>
        <w:rPr>
          <w:rFonts w:asciiTheme="majorHAnsi" w:hAnsiTheme="majorHAnsi"/>
          <w:sz w:val="20"/>
          <w:szCs w:val="20"/>
        </w:rPr>
      </w:pPr>
    </w:p>
    <w:sectPr w:rsidR="00703118" w:rsidRPr="00703118" w:rsidSect="001E6B81">
      <w:type w:val="continuous"/>
      <w:pgSz w:w="16840" w:h="11907" w:orient="landscape" w:code="9"/>
      <w:pgMar w:top="426" w:right="680" w:bottom="709" w:left="851"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67" w:rsidRDefault="00767E67" w:rsidP="00767E67">
      <w:r>
        <w:separator/>
      </w:r>
    </w:p>
  </w:endnote>
  <w:endnote w:type="continuationSeparator" w:id="0">
    <w:p w:rsidR="00767E67" w:rsidRDefault="00767E67" w:rsidP="00767E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67" w:rsidRDefault="00767E67" w:rsidP="00767E67">
      <w:r>
        <w:separator/>
      </w:r>
    </w:p>
  </w:footnote>
  <w:footnote w:type="continuationSeparator" w:id="0">
    <w:p w:rsidR="00767E67" w:rsidRDefault="00767E67" w:rsidP="00767E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2A7E35"/>
    <w:rsid w:val="00000FA3"/>
    <w:rsid w:val="00002545"/>
    <w:rsid w:val="000135DB"/>
    <w:rsid w:val="000208D9"/>
    <w:rsid w:val="000227DA"/>
    <w:rsid w:val="00023502"/>
    <w:rsid w:val="00027072"/>
    <w:rsid w:val="00027B66"/>
    <w:rsid w:val="00030B38"/>
    <w:rsid w:val="00037EF5"/>
    <w:rsid w:val="000453DC"/>
    <w:rsid w:val="000469E4"/>
    <w:rsid w:val="00051A1A"/>
    <w:rsid w:val="00053982"/>
    <w:rsid w:val="00061E1C"/>
    <w:rsid w:val="00065FC9"/>
    <w:rsid w:val="0007143E"/>
    <w:rsid w:val="000844A1"/>
    <w:rsid w:val="000852E3"/>
    <w:rsid w:val="0009699A"/>
    <w:rsid w:val="000A219E"/>
    <w:rsid w:val="000A4DF1"/>
    <w:rsid w:val="000A6E6F"/>
    <w:rsid w:val="000B48E8"/>
    <w:rsid w:val="000B668B"/>
    <w:rsid w:val="000C0BC1"/>
    <w:rsid w:val="000C57F9"/>
    <w:rsid w:val="000D6DA5"/>
    <w:rsid w:val="000D6E76"/>
    <w:rsid w:val="000E3774"/>
    <w:rsid w:val="001008DB"/>
    <w:rsid w:val="00100E4E"/>
    <w:rsid w:val="001020BA"/>
    <w:rsid w:val="001038BB"/>
    <w:rsid w:val="001058B2"/>
    <w:rsid w:val="00126F24"/>
    <w:rsid w:val="00137EC2"/>
    <w:rsid w:val="00140B60"/>
    <w:rsid w:val="0015192A"/>
    <w:rsid w:val="00151E08"/>
    <w:rsid w:val="00154CBB"/>
    <w:rsid w:val="00157314"/>
    <w:rsid w:val="001608EA"/>
    <w:rsid w:val="00171678"/>
    <w:rsid w:val="00171E70"/>
    <w:rsid w:val="00174125"/>
    <w:rsid w:val="001A0897"/>
    <w:rsid w:val="001A4130"/>
    <w:rsid w:val="001A6C7E"/>
    <w:rsid w:val="001C0B7B"/>
    <w:rsid w:val="001C0E45"/>
    <w:rsid w:val="001C2432"/>
    <w:rsid w:val="001C2C70"/>
    <w:rsid w:val="001C655D"/>
    <w:rsid w:val="001C7ED4"/>
    <w:rsid w:val="001D5E4A"/>
    <w:rsid w:val="001E6B81"/>
    <w:rsid w:val="001E7374"/>
    <w:rsid w:val="001F1FEA"/>
    <w:rsid w:val="001F2C52"/>
    <w:rsid w:val="001F506F"/>
    <w:rsid w:val="001F5FE1"/>
    <w:rsid w:val="002077BB"/>
    <w:rsid w:val="0022136A"/>
    <w:rsid w:val="00225C92"/>
    <w:rsid w:val="00231A70"/>
    <w:rsid w:val="00232480"/>
    <w:rsid w:val="00233711"/>
    <w:rsid w:val="0023389B"/>
    <w:rsid w:val="00233E19"/>
    <w:rsid w:val="00235F78"/>
    <w:rsid w:val="00241CD8"/>
    <w:rsid w:val="00241E86"/>
    <w:rsid w:val="00242A51"/>
    <w:rsid w:val="002440B0"/>
    <w:rsid w:val="0025002F"/>
    <w:rsid w:val="00250298"/>
    <w:rsid w:val="00252074"/>
    <w:rsid w:val="0025396D"/>
    <w:rsid w:val="002552FD"/>
    <w:rsid w:val="00264119"/>
    <w:rsid w:val="00267DC8"/>
    <w:rsid w:val="00271F76"/>
    <w:rsid w:val="0027242E"/>
    <w:rsid w:val="002740C6"/>
    <w:rsid w:val="00281BE5"/>
    <w:rsid w:val="00281DF3"/>
    <w:rsid w:val="00284873"/>
    <w:rsid w:val="0028700E"/>
    <w:rsid w:val="00287CEC"/>
    <w:rsid w:val="00290BB8"/>
    <w:rsid w:val="00291F8D"/>
    <w:rsid w:val="00297CE3"/>
    <w:rsid w:val="002A0A86"/>
    <w:rsid w:val="002A33BB"/>
    <w:rsid w:val="002A6A1F"/>
    <w:rsid w:val="002A7E35"/>
    <w:rsid w:val="002B2B89"/>
    <w:rsid w:val="002B605C"/>
    <w:rsid w:val="002B6AEE"/>
    <w:rsid w:val="002B762C"/>
    <w:rsid w:val="002C25DB"/>
    <w:rsid w:val="002C6ACB"/>
    <w:rsid w:val="002E159F"/>
    <w:rsid w:val="002E4D65"/>
    <w:rsid w:val="002E74A9"/>
    <w:rsid w:val="002E7781"/>
    <w:rsid w:val="002F0C28"/>
    <w:rsid w:val="002F31A9"/>
    <w:rsid w:val="00304BFF"/>
    <w:rsid w:val="00314CFF"/>
    <w:rsid w:val="00315000"/>
    <w:rsid w:val="003158C9"/>
    <w:rsid w:val="0031753A"/>
    <w:rsid w:val="00321FD7"/>
    <w:rsid w:val="0032689B"/>
    <w:rsid w:val="00330DB6"/>
    <w:rsid w:val="0033311C"/>
    <w:rsid w:val="00335AF8"/>
    <w:rsid w:val="00335CB4"/>
    <w:rsid w:val="00341B59"/>
    <w:rsid w:val="00347AA6"/>
    <w:rsid w:val="00352033"/>
    <w:rsid w:val="0035668E"/>
    <w:rsid w:val="00357B5B"/>
    <w:rsid w:val="00382A95"/>
    <w:rsid w:val="00386D8A"/>
    <w:rsid w:val="003912C3"/>
    <w:rsid w:val="00392A20"/>
    <w:rsid w:val="003962E2"/>
    <w:rsid w:val="003B0239"/>
    <w:rsid w:val="003B1AD5"/>
    <w:rsid w:val="003B20A3"/>
    <w:rsid w:val="003B7392"/>
    <w:rsid w:val="003D1250"/>
    <w:rsid w:val="003D73EA"/>
    <w:rsid w:val="003D7D44"/>
    <w:rsid w:val="003E3020"/>
    <w:rsid w:val="003E7A85"/>
    <w:rsid w:val="003F1101"/>
    <w:rsid w:val="003F67F7"/>
    <w:rsid w:val="00403988"/>
    <w:rsid w:val="00407F73"/>
    <w:rsid w:val="004109F2"/>
    <w:rsid w:val="00412B89"/>
    <w:rsid w:val="0041349B"/>
    <w:rsid w:val="00413A4A"/>
    <w:rsid w:val="004231BE"/>
    <w:rsid w:val="00423C55"/>
    <w:rsid w:val="00440C59"/>
    <w:rsid w:val="00441ECA"/>
    <w:rsid w:val="0044315E"/>
    <w:rsid w:val="00443634"/>
    <w:rsid w:val="00470FC9"/>
    <w:rsid w:val="00473288"/>
    <w:rsid w:val="00475890"/>
    <w:rsid w:val="00483A4C"/>
    <w:rsid w:val="004A6046"/>
    <w:rsid w:val="004C5CE8"/>
    <w:rsid w:val="004C5DDF"/>
    <w:rsid w:val="004E29AF"/>
    <w:rsid w:val="004E7578"/>
    <w:rsid w:val="004F4965"/>
    <w:rsid w:val="0050072F"/>
    <w:rsid w:val="00501C6C"/>
    <w:rsid w:val="00504E0D"/>
    <w:rsid w:val="0050514F"/>
    <w:rsid w:val="00516EC5"/>
    <w:rsid w:val="00524286"/>
    <w:rsid w:val="00526490"/>
    <w:rsid w:val="00531A7F"/>
    <w:rsid w:val="00534F8C"/>
    <w:rsid w:val="00540751"/>
    <w:rsid w:val="005442D4"/>
    <w:rsid w:val="00544A71"/>
    <w:rsid w:val="00547368"/>
    <w:rsid w:val="00550DE6"/>
    <w:rsid w:val="00552F0F"/>
    <w:rsid w:val="00556414"/>
    <w:rsid w:val="00560CCC"/>
    <w:rsid w:val="00562D69"/>
    <w:rsid w:val="00564D99"/>
    <w:rsid w:val="005704B3"/>
    <w:rsid w:val="00571B1B"/>
    <w:rsid w:val="00575135"/>
    <w:rsid w:val="00577BC6"/>
    <w:rsid w:val="00580652"/>
    <w:rsid w:val="00583C85"/>
    <w:rsid w:val="0059212E"/>
    <w:rsid w:val="00597448"/>
    <w:rsid w:val="005A12BB"/>
    <w:rsid w:val="005A20A6"/>
    <w:rsid w:val="005A3695"/>
    <w:rsid w:val="005A5177"/>
    <w:rsid w:val="005A725B"/>
    <w:rsid w:val="005A780F"/>
    <w:rsid w:val="005B014E"/>
    <w:rsid w:val="005B2616"/>
    <w:rsid w:val="005B37F7"/>
    <w:rsid w:val="005C696D"/>
    <w:rsid w:val="005D65FA"/>
    <w:rsid w:val="005E191C"/>
    <w:rsid w:val="005E6EF5"/>
    <w:rsid w:val="005F050D"/>
    <w:rsid w:val="005F1C0F"/>
    <w:rsid w:val="00604074"/>
    <w:rsid w:val="00607393"/>
    <w:rsid w:val="00610D5A"/>
    <w:rsid w:val="00614C81"/>
    <w:rsid w:val="006160B6"/>
    <w:rsid w:val="00616272"/>
    <w:rsid w:val="00635CF9"/>
    <w:rsid w:val="00642F62"/>
    <w:rsid w:val="00645428"/>
    <w:rsid w:val="00647B61"/>
    <w:rsid w:val="00647F8F"/>
    <w:rsid w:val="00664E72"/>
    <w:rsid w:val="00665FC4"/>
    <w:rsid w:val="0067101A"/>
    <w:rsid w:val="00674F0B"/>
    <w:rsid w:val="00677C54"/>
    <w:rsid w:val="00683D1F"/>
    <w:rsid w:val="00685667"/>
    <w:rsid w:val="006A2811"/>
    <w:rsid w:val="006A6792"/>
    <w:rsid w:val="006A6989"/>
    <w:rsid w:val="006B76CD"/>
    <w:rsid w:val="006C01DC"/>
    <w:rsid w:val="006C2242"/>
    <w:rsid w:val="006D36C0"/>
    <w:rsid w:val="006D6C0C"/>
    <w:rsid w:val="006F1882"/>
    <w:rsid w:val="006F3AD8"/>
    <w:rsid w:val="00703118"/>
    <w:rsid w:val="00705F50"/>
    <w:rsid w:val="007127CB"/>
    <w:rsid w:val="00721648"/>
    <w:rsid w:val="00736D64"/>
    <w:rsid w:val="00737D40"/>
    <w:rsid w:val="007439BA"/>
    <w:rsid w:val="0074401A"/>
    <w:rsid w:val="0075357D"/>
    <w:rsid w:val="00754B0E"/>
    <w:rsid w:val="00764A7A"/>
    <w:rsid w:val="00767E67"/>
    <w:rsid w:val="00772A7E"/>
    <w:rsid w:val="0077480C"/>
    <w:rsid w:val="00783E6A"/>
    <w:rsid w:val="007855A4"/>
    <w:rsid w:val="00786F64"/>
    <w:rsid w:val="00791590"/>
    <w:rsid w:val="00792046"/>
    <w:rsid w:val="007A7D37"/>
    <w:rsid w:val="007B60E7"/>
    <w:rsid w:val="007B7204"/>
    <w:rsid w:val="007C1894"/>
    <w:rsid w:val="007C5BDD"/>
    <w:rsid w:val="007C6707"/>
    <w:rsid w:val="007D034A"/>
    <w:rsid w:val="007E140F"/>
    <w:rsid w:val="007E461C"/>
    <w:rsid w:val="007F4B95"/>
    <w:rsid w:val="007F4DD1"/>
    <w:rsid w:val="007F6B63"/>
    <w:rsid w:val="007F6C6C"/>
    <w:rsid w:val="00802BCA"/>
    <w:rsid w:val="00803A9F"/>
    <w:rsid w:val="00804A35"/>
    <w:rsid w:val="008058C8"/>
    <w:rsid w:val="008062D3"/>
    <w:rsid w:val="00823537"/>
    <w:rsid w:val="00823B93"/>
    <w:rsid w:val="0083354B"/>
    <w:rsid w:val="00836E0F"/>
    <w:rsid w:val="008404DF"/>
    <w:rsid w:val="0084198E"/>
    <w:rsid w:val="0084384E"/>
    <w:rsid w:val="0084591A"/>
    <w:rsid w:val="00852016"/>
    <w:rsid w:val="00855DFB"/>
    <w:rsid w:val="00856952"/>
    <w:rsid w:val="008615DF"/>
    <w:rsid w:val="0086693F"/>
    <w:rsid w:val="00872067"/>
    <w:rsid w:val="008812E0"/>
    <w:rsid w:val="00890DF0"/>
    <w:rsid w:val="008969AF"/>
    <w:rsid w:val="008A1210"/>
    <w:rsid w:val="008A682F"/>
    <w:rsid w:val="008B66C8"/>
    <w:rsid w:val="008C1D1B"/>
    <w:rsid w:val="008D05A5"/>
    <w:rsid w:val="008D6F89"/>
    <w:rsid w:val="008F5D81"/>
    <w:rsid w:val="009000D4"/>
    <w:rsid w:val="009046FB"/>
    <w:rsid w:val="009048D5"/>
    <w:rsid w:val="00913CB1"/>
    <w:rsid w:val="0091480F"/>
    <w:rsid w:val="0091624F"/>
    <w:rsid w:val="00920543"/>
    <w:rsid w:val="009324E7"/>
    <w:rsid w:val="00937909"/>
    <w:rsid w:val="00945560"/>
    <w:rsid w:val="0094622F"/>
    <w:rsid w:val="00954FE8"/>
    <w:rsid w:val="0096015F"/>
    <w:rsid w:val="00973128"/>
    <w:rsid w:val="009762C0"/>
    <w:rsid w:val="009846B3"/>
    <w:rsid w:val="00990E71"/>
    <w:rsid w:val="00997C5E"/>
    <w:rsid w:val="009A4885"/>
    <w:rsid w:val="009B21B1"/>
    <w:rsid w:val="009B2C15"/>
    <w:rsid w:val="009B3E60"/>
    <w:rsid w:val="009B3EFC"/>
    <w:rsid w:val="009B7944"/>
    <w:rsid w:val="009C501B"/>
    <w:rsid w:val="009D0EC5"/>
    <w:rsid w:val="009E2C3E"/>
    <w:rsid w:val="009E3B8B"/>
    <w:rsid w:val="00A059A2"/>
    <w:rsid w:val="00A06E2E"/>
    <w:rsid w:val="00A113A4"/>
    <w:rsid w:val="00A274CC"/>
    <w:rsid w:val="00A371E9"/>
    <w:rsid w:val="00A37FC7"/>
    <w:rsid w:val="00A41F28"/>
    <w:rsid w:val="00A420BA"/>
    <w:rsid w:val="00A55C1A"/>
    <w:rsid w:val="00A5781D"/>
    <w:rsid w:val="00A61DCA"/>
    <w:rsid w:val="00A66351"/>
    <w:rsid w:val="00A7186D"/>
    <w:rsid w:val="00A81679"/>
    <w:rsid w:val="00A87B88"/>
    <w:rsid w:val="00A91497"/>
    <w:rsid w:val="00A97EF1"/>
    <w:rsid w:val="00AA18B4"/>
    <w:rsid w:val="00AA1E96"/>
    <w:rsid w:val="00AA2D25"/>
    <w:rsid w:val="00AB1626"/>
    <w:rsid w:val="00AB235B"/>
    <w:rsid w:val="00AC2C18"/>
    <w:rsid w:val="00AC4A97"/>
    <w:rsid w:val="00AC70A4"/>
    <w:rsid w:val="00AD5D7B"/>
    <w:rsid w:val="00AD6437"/>
    <w:rsid w:val="00AE3384"/>
    <w:rsid w:val="00AE6EFD"/>
    <w:rsid w:val="00AF57A7"/>
    <w:rsid w:val="00B03B56"/>
    <w:rsid w:val="00B05693"/>
    <w:rsid w:val="00B07619"/>
    <w:rsid w:val="00B07824"/>
    <w:rsid w:val="00B14929"/>
    <w:rsid w:val="00B16098"/>
    <w:rsid w:val="00B17CBB"/>
    <w:rsid w:val="00B2037F"/>
    <w:rsid w:val="00B21EF5"/>
    <w:rsid w:val="00B35B3B"/>
    <w:rsid w:val="00B50D91"/>
    <w:rsid w:val="00B55265"/>
    <w:rsid w:val="00B56AE6"/>
    <w:rsid w:val="00B633C2"/>
    <w:rsid w:val="00B63F80"/>
    <w:rsid w:val="00B70782"/>
    <w:rsid w:val="00B72700"/>
    <w:rsid w:val="00B74383"/>
    <w:rsid w:val="00B749A3"/>
    <w:rsid w:val="00B802F0"/>
    <w:rsid w:val="00B832CB"/>
    <w:rsid w:val="00B85137"/>
    <w:rsid w:val="00B8769C"/>
    <w:rsid w:val="00B91183"/>
    <w:rsid w:val="00BA0BDE"/>
    <w:rsid w:val="00BA3727"/>
    <w:rsid w:val="00BB3582"/>
    <w:rsid w:val="00BC46E3"/>
    <w:rsid w:val="00BC7BC6"/>
    <w:rsid w:val="00BD2BF8"/>
    <w:rsid w:val="00BD7A43"/>
    <w:rsid w:val="00BE2300"/>
    <w:rsid w:val="00BF0945"/>
    <w:rsid w:val="00C04534"/>
    <w:rsid w:val="00C222A3"/>
    <w:rsid w:val="00C25376"/>
    <w:rsid w:val="00C335F7"/>
    <w:rsid w:val="00C33C78"/>
    <w:rsid w:val="00C36CDD"/>
    <w:rsid w:val="00C434D2"/>
    <w:rsid w:val="00C4707E"/>
    <w:rsid w:val="00C531E6"/>
    <w:rsid w:val="00C54BBA"/>
    <w:rsid w:val="00C56699"/>
    <w:rsid w:val="00C640C6"/>
    <w:rsid w:val="00C65EFD"/>
    <w:rsid w:val="00C6662F"/>
    <w:rsid w:val="00C71A1E"/>
    <w:rsid w:val="00C77C3D"/>
    <w:rsid w:val="00C82745"/>
    <w:rsid w:val="00C870B9"/>
    <w:rsid w:val="00C901C2"/>
    <w:rsid w:val="00C94B9B"/>
    <w:rsid w:val="00C967D8"/>
    <w:rsid w:val="00CA233A"/>
    <w:rsid w:val="00CA2C18"/>
    <w:rsid w:val="00CA5211"/>
    <w:rsid w:val="00CA7547"/>
    <w:rsid w:val="00CB3E06"/>
    <w:rsid w:val="00CB57CB"/>
    <w:rsid w:val="00CB6C1C"/>
    <w:rsid w:val="00CC6DE2"/>
    <w:rsid w:val="00CC7DC8"/>
    <w:rsid w:val="00CE228C"/>
    <w:rsid w:val="00CE6D61"/>
    <w:rsid w:val="00CF4DF1"/>
    <w:rsid w:val="00D01F1C"/>
    <w:rsid w:val="00D02557"/>
    <w:rsid w:val="00D06A4C"/>
    <w:rsid w:val="00D109FD"/>
    <w:rsid w:val="00D128DF"/>
    <w:rsid w:val="00D1530A"/>
    <w:rsid w:val="00D15CD0"/>
    <w:rsid w:val="00D20E1A"/>
    <w:rsid w:val="00D217B8"/>
    <w:rsid w:val="00D32281"/>
    <w:rsid w:val="00D3380D"/>
    <w:rsid w:val="00D347E9"/>
    <w:rsid w:val="00D35D29"/>
    <w:rsid w:val="00D3752B"/>
    <w:rsid w:val="00D44F37"/>
    <w:rsid w:val="00D45B2E"/>
    <w:rsid w:val="00D46332"/>
    <w:rsid w:val="00D54437"/>
    <w:rsid w:val="00D57418"/>
    <w:rsid w:val="00D57EF7"/>
    <w:rsid w:val="00D62CCB"/>
    <w:rsid w:val="00D737A7"/>
    <w:rsid w:val="00D73E30"/>
    <w:rsid w:val="00D74C67"/>
    <w:rsid w:val="00D80145"/>
    <w:rsid w:val="00D8091F"/>
    <w:rsid w:val="00D843FE"/>
    <w:rsid w:val="00D90D1B"/>
    <w:rsid w:val="00DA47BD"/>
    <w:rsid w:val="00DB3D24"/>
    <w:rsid w:val="00DB6526"/>
    <w:rsid w:val="00DB7E29"/>
    <w:rsid w:val="00DC0D50"/>
    <w:rsid w:val="00DC3CFB"/>
    <w:rsid w:val="00DD05F6"/>
    <w:rsid w:val="00DD077B"/>
    <w:rsid w:val="00DD686D"/>
    <w:rsid w:val="00DE1384"/>
    <w:rsid w:val="00DE4141"/>
    <w:rsid w:val="00DE5419"/>
    <w:rsid w:val="00DE5EBA"/>
    <w:rsid w:val="00DF1207"/>
    <w:rsid w:val="00E02CC6"/>
    <w:rsid w:val="00E031EA"/>
    <w:rsid w:val="00E03753"/>
    <w:rsid w:val="00E1115F"/>
    <w:rsid w:val="00E11A3F"/>
    <w:rsid w:val="00E12BA3"/>
    <w:rsid w:val="00E15C5B"/>
    <w:rsid w:val="00E22201"/>
    <w:rsid w:val="00E238DF"/>
    <w:rsid w:val="00E32912"/>
    <w:rsid w:val="00E36C00"/>
    <w:rsid w:val="00E414B8"/>
    <w:rsid w:val="00E42AF8"/>
    <w:rsid w:val="00E47706"/>
    <w:rsid w:val="00E47B3C"/>
    <w:rsid w:val="00E56C40"/>
    <w:rsid w:val="00E56D96"/>
    <w:rsid w:val="00E717C6"/>
    <w:rsid w:val="00E8031E"/>
    <w:rsid w:val="00E81081"/>
    <w:rsid w:val="00E842AF"/>
    <w:rsid w:val="00E97959"/>
    <w:rsid w:val="00EA5834"/>
    <w:rsid w:val="00EA5C25"/>
    <w:rsid w:val="00EA694C"/>
    <w:rsid w:val="00EB0749"/>
    <w:rsid w:val="00EB2C62"/>
    <w:rsid w:val="00EB49AF"/>
    <w:rsid w:val="00EB64C8"/>
    <w:rsid w:val="00EC7AB0"/>
    <w:rsid w:val="00EC7B6D"/>
    <w:rsid w:val="00EE25FD"/>
    <w:rsid w:val="00EE78CA"/>
    <w:rsid w:val="00EF00C5"/>
    <w:rsid w:val="00EF72ED"/>
    <w:rsid w:val="00F12290"/>
    <w:rsid w:val="00F13F4C"/>
    <w:rsid w:val="00F15C84"/>
    <w:rsid w:val="00F310B1"/>
    <w:rsid w:val="00F32604"/>
    <w:rsid w:val="00F46957"/>
    <w:rsid w:val="00F47C86"/>
    <w:rsid w:val="00F65679"/>
    <w:rsid w:val="00F677EA"/>
    <w:rsid w:val="00F726DE"/>
    <w:rsid w:val="00F74222"/>
    <w:rsid w:val="00F80498"/>
    <w:rsid w:val="00F81A1B"/>
    <w:rsid w:val="00F8401D"/>
    <w:rsid w:val="00F84A2E"/>
    <w:rsid w:val="00F9681F"/>
    <w:rsid w:val="00F97E6F"/>
    <w:rsid w:val="00FA31EA"/>
    <w:rsid w:val="00FA7B6F"/>
    <w:rsid w:val="00FA7C5D"/>
    <w:rsid w:val="00FB23A5"/>
    <w:rsid w:val="00FB5608"/>
    <w:rsid w:val="00FB7791"/>
    <w:rsid w:val="00FB79D8"/>
    <w:rsid w:val="00FC01E5"/>
    <w:rsid w:val="00FD4F2D"/>
    <w:rsid w:val="00FE013B"/>
    <w:rsid w:val="00FE0395"/>
    <w:rsid w:val="00FE30C7"/>
    <w:rsid w:val="00FE3487"/>
    <w:rsid w:val="00FE40B5"/>
    <w:rsid w:val="00FE434C"/>
    <w:rsid w:val="00FF1774"/>
    <w:rsid w:val="00FF6B89"/>
    <w:rsid w:val="00FF7A1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E6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67E67"/>
    <w:pPr>
      <w:tabs>
        <w:tab w:val="center" w:pos="4513"/>
        <w:tab w:val="right" w:pos="9026"/>
      </w:tabs>
    </w:pPr>
  </w:style>
  <w:style w:type="character" w:customStyle="1" w:styleId="HeaderChar">
    <w:name w:val="Header Char"/>
    <w:basedOn w:val="DefaultParagraphFont"/>
    <w:link w:val="Header"/>
    <w:rsid w:val="00767E67"/>
    <w:rPr>
      <w:sz w:val="24"/>
    </w:rPr>
  </w:style>
  <w:style w:type="paragraph" w:styleId="Footer">
    <w:name w:val="footer"/>
    <w:basedOn w:val="Normal"/>
    <w:link w:val="FooterChar"/>
    <w:rsid w:val="00767E67"/>
    <w:pPr>
      <w:tabs>
        <w:tab w:val="center" w:pos="4513"/>
        <w:tab w:val="right" w:pos="9026"/>
      </w:tabs>
    </w:pPr>
  </w:style>
  <w:style w:type="character" w:customStyle="1" w:styleId="FooterChar">
    <w:name w:val="Footer Char"/>
    <w:basedOn w:val="DefaultParagraphFont"/>
    <w:link w:val="Footer"/>
    <w:rsid w:val="00767E67"/>
    <w:rPr>
      <w:sz w:val="24"/>
    </w:rPr>
  </w:style>
  <w:style w:type="paragraph" w:styleId="BalloonText">
    <w:name w:val="Balloon Text"/>
    <w:basedOn w:val="Normal"/>
    <w:link w:val="BalloonTextChar"/>
    <w:rsid w:val="00767E67"/>
    <w:rPr>
      <w:rFonts w:ascii="Tahoma" w:hAnsi="Tahoma" w:cs="Tahoma"/>
      <w:sz w:val="16"/>
      <w:szCs w:val="16"/>
    </w:rPr>
  </w:style>
  <w:style w:type="character" w:customStyle="1" w:styleId="BalloonTextChar">
    <w:name w:val="Balloon Text Char"/>
    <w:basedOn w:val="DefaultParagraphFont"/>
    <w:link w:val="BalloonText"/>
    <w:rsid w:val="00767E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258920">
      <w:bodyDiv w:val="1"/>
      <w:marLeft w:val="0"/>
      <w:marRight w:val="0"/>
      <w:marTop w:val="0"/>
      <w:marBottom w:val="0"/>
      <w:divBdr>
        <w:top w:val="none" w:sz="0" w:space="0" w:color="auto"/>
        <w:left w:val="none" w:sz="0" w:space="0" w:color="auto"/>
        <w:bottom w:val="none" w:sz="0" w:space="0" w:color="auto"/>
        <w:right w:val="none" w:sz="0" w:space="0" w:color="auto"/>
      </w:divBdr>
    </w:div>
    <w:div w:id="323976018">
      <w:bodyDiv w:val="1"/>
      <w:marLeft w:val="0"/>
      <w:marRight w:val="0"/>
      <w:marTop w:val="0"/>
      <w:marBottom w:val="0"/>
      <w:divBdr>
        <w:top w:val="none" w:sz="0" w:space="0" w:color="auto"/>
        <w:left w:val="none" w:sz="0" w:space="0" w:color="auto"/>
        <w:bottom w:val="none" w:sz="0" w:space="0" w:color="auto"/>
        <w:right w:val="none" w:sz="0" w:space="0" w:color="auto"/>
      </w:divBdr>
    </w:div>
    <w:div w:id="608588261">
      <w:bodyDiv w:val="1"/>
      <w:marLeft w:val="0"/>
      <w:marRight w:val="0"/>
      <w:marTop w:val="0"/>
      <w:marBottom w:val="0"/>
      <w:divBdr>
        <w:top w:val="none" w:sz="0" w:space="0" w:color="auto"/>
        <w:left w:val="none" w:sz="0" w:space="0" w:color="auto"/>
        <w:bottom w:val="none" w:sz="0" w:space="0" w:color="auto"/>
        <w:right w:val="none" w:sz="0" w:space="0" w:color="auto"/>
      </w:divBdr>
    </w:div>
    <w:div w:id="797525815">
      <w:bodyDiv w:val="1"/>
      <w:marLeft w:val="0"/>
      <w:marRight w:val="0"/>
      <w:marTop w:val="0"/>
      <w:marBottom w:val="0"/>
      <w:divBdr>
        <w:top w:val="none" w:sz="0" w:space="0" w:color="auto"/>
        <w:left w:val="none" w:sz="0" w:space="0" w:color="auto"/>
        <w:bottom w:val="none" w:sz="0" w:space="0" w:color="auto"/>
        <w:right w:val="none" w:sz="0" w:space="0" w:color="auto"/>
      </w:divBdr>
    </w:div>
    <w:div w:id="1039210767">
      <w:bodyDiv w:val="1"/>
      <w:marLeft w:val="0"/>
      <w:marRight w:val="0"/>
      <w:marTop w:val="0"/>
      <w:marBottom w:val="0"/>
      <w:divBdr>
        <w:top w:val="none" w:sz="0" w:space="0" w:color="auto"/>
        <w:left w:val="none" w:sz="0" w:space="0" w:color="auto"/>
        <w:bottom w:val="none" w:sz="0" w:space="0" w:color="auto"/>
        <w:right w:val="none" w:sz="0" w:space="0" w:color="auto"/>
      </w:divBdr>
    </w:div>
    <w:div w:id="1400399686">
      <w:bodyDiv w:val="1"/>
      <w:marLeft w:val="0"/>
      <w:marRight w:val="0"/>
      <w:marTop w:val="0"/>
      <w:marBottom w:val="0"/>
      <w:divBdr>
        <w:top w:val="none" w:sz="0" w:space="0" w:color="auto"/>
        <w:left w:val="none" w:sz="0" w:space="0" w:color="auto"/>
        <w:bottom w:val="none" w:sz="0" w:space="0" w:color="auto"/>
        <w:right w:val="none" w:sz="0" w:space="0" w:color="auto"/>
      </w:divBdr>
    </w:div>
    <w:div w:id="1560239406">
      <w:bodyDiv w:val="1"/>
      <w:marLeft w:val="0"/>
      <w:marRight w:val="0"/>
      <w:marTop w:val="0"/>
      <w:marBottom w:val="0"/>
      <w:divBdr>
        <w:top w:val="none" w:sz="0" w:space="0" w:color="auto"/>
        <w:left w:val="none" w:sz="0" w:space="0" w:color="auto"/>
        <w:bottom w:val="none" w:sz="0" w:space="0" w:color="auto"/>
        <w:right w:val="none" w:sz="0" w:space="0" w:color="auto"/>
      </w:divBdr>
    </w:div>
    <w:div w:id="17964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D524DE17-CF98-47E9-BEC6-A42E3DC930A1}"/>
</file>

<file path=customXml/itemProps2.xml><?xml version="1.0" encoding="utf-8"?>
<ds:datastoreItem xmlns:ds="http://schemas.openxmlformats.org/officeDocument/2006/customXml" ds:itemID="{389382F7-0A2C-48BE-9C35-91EB2F9683FC}"/>
</file>

<file path=customXml/itemProps3.xml><?xml version="1.0" encoding="utf-8"?>
<ds:datastoreItem xmlns:ds="http://schemas.openxmlformats.org/officeDocument/2006/customXml" ds:itemID="{4238D7DD-5D06-4191-BC8E-0016CC8E1D29}"/>
</file>

<file path=docProps/app.xml><?xml version="1.0" encoding="utf-8"?>
<Properties xmlns="http://schemas.openxmlformats.org/officeDocument/2006/extended-properties" xmlns:vt="http://schemas.openxmlformats.org/officeDocument/2006/docPropsVTypes">
  <Template>Normal</Template>
  <TotalTime>1</TotalTime>
  <Pages>9</Pages>
  <Words>3674</Words>
  <Characters>22372</Characters>
  <Application>Microsoft Office Word</Application>
  <DocSecurity>4</DocSecurity>
  <Lines>186</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Grants 2013-2014 successful projects</dc:title>
  <dc:creator>Caring for our Country</dc:creator>
  <cp:lastModifiedBy>SEWPAC</cp:lastModifiedBy>
  <cp:revision>2</cp:revision>
  <dcterms:created xsi:type="dcterms:W3CDTF">2013-08-01T05:02:00Z</dcterms:created>
  <dcterms:modified xsi:type="dcterms:W3CDTF">2013-08-01T05:02:00Z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