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8E7C" w14:textId="6D78BE73" w:rsidR="00161828" w:rsidRDefault="00161828"/>
    <w:p w14:paraId="4C2F4128" w14:textId="7C60B96D" w:rsidR="007041FF" w:rsidRPr="007041FF" w:rsidRDefault="00D721B6" w:rsidP="00F84E41">
      <w:pPr>
        <w:pStyle w:val="Heading1"/>
      </w:pPr>
      <w:r w:rsidRPr="00F84E41">
        <w:t>Insecticide</w:t>
      </w:r>
      <w:r>
        <w:t xml:space="preserve"> Spray</w:t>
      </w:r>
    </w:p>
    <w:p w14:paraId="1A65A1F9" w14:textId="68AC5EDE" w:rsidR="007041FF" w:rsidRDefault="007041FF" w:rsidP="007041FF">
      <w:pPr>
        <w:ind w:left="0" w:firstLine="0"/>
        <w:rPr>
          <w:rStyle w:val="jsgrdq"/>
        </w:rPr>
      </w:pPr>
      <w:r w:rsidRPr="007041FF">
        <w:rPr>
          <w:rStyle w:val="jsgrdq"/>
        </w:rPr>
        <w:t xml:space="preserve">Minimum requirements for </w:t>
      </w:r>
      <w:r w:rsidR="009273F0">
        <w:rPr>
          <w:rStyle w:val="jsgrdq"/>
        </w:rPr>
        <w:t>treating</w:t>
      </w:r>
      <w:r w:rsidRPr="007041FF">
        <w:rPr>
          <w:rStyle w:val="jsgrdq"/>
        </w:rPr>
        <w:t xml:space="preserve"> sea containers </w:t>
      </w:r>
      <w:r w:rsidR="00D721B6">
        <w:rPr>
          <w:rStyle w:val="jsgrdq"/>
        </w:rPr>
        <w:t xml:space="preserve">with insecticide </w:t>
      </w:r>
      <w:r w:rsidRPr="007041FF">
        <w:rPr>
          <w:rStyle w:val="jsgrdq"/>
        </w:rPr>
        <w:t>to address the risk of khapra beetle.</w:t>
      </w:r>
    </w:p>
    <w:p w14:paraId="6AD6189C" w14:textId="712AD24A" w:rsidR="007041FF" w:rsidRPr="007041FF" w:rsidRDefault="007041FF" w:rsidP="007041FF">
      <w:pPr>
        <w:ind w:left="0" w:firstLine="0"/>
        <w:rPr>
          <w:rStyle w:val="jsgrdq"/>
          <w:b/>
          <w:bCs/>
          <w:sz w:val="26"/>
          <w:szCs w:val="26"/>
        </w:rPr>
      </w:pPr>
      <w:r w:rsidRPr="007041FF">
        <w:rPr>
          <w:rStyle w:val="jsgrdq"/>
          <w:b/>
          <w:bCs/>
          <w:sz w:val="26"/>
          <w:szCs w:val="26"/>
        </w:rPr>
        <w:t>This information applies to FCL/FCX containers where…</w:t>
      </w:r>
    </w:p>
    <w:p w14:paraId="12D248F7" w14:textId="4F726D4D" w:rsidR="007041FF" w:rsidRPr="007041FF" w:rsidRDefault="00965D57" w:rsidP="007041FF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hyperlink r:id="rId10" w:anchor="list-of-highrisk-plant-products" w:history="1">
        <w:r w:rsidR="007041FF" w:rsidRPr="00965D57">
          <w:rPr>
            <w:rStyle w:val="Hyperlink"/>
          </w:rPr>
          <w:t>high-risk plant products</w:t>
        </w:r>
      </w:hyperlink>
      <w:r w:rsidR="007041FF" w:rsidRPr="416C44EB">
        <w:rPr>
          <w:rStyle w:val="jsgrdq"/>
          <w:color w:val="000000" w:themeColor="text1"/>
        </w:rPr>
        <w:t xml:space="preserve"> are packed into the sea container in a </w:t>
      </w:r>
      <w:hyperlink r:id="rId11" w:anchor="list-of-khapra-beetle-target-risk-countries" w:history="1">
        <w:r w:rsidR="007041FF" w:rsidRPr="00965D57">
          <w:rPr>
            <w:rStyle w:val="Hyperlink"/>
          </w:rPr>
          <w:t>khapra beetle target risk country</w:t>
        </w:r>
      </w:hyperlink>
      <w:r w:rsidR="007041FF" w:rsidRPr="416C44EB">
        <w:rPr>
          <w:rStyle w:val="jsgrdq"/>
          <w:color w:val="000000" w:themeColor="text1"/>
        </w:rPr>
        <w:t>.</w:t>
      </w:r>
    </w:p>
    <w:p w14:paraId="0CF879FA" w14:textId="0DE1423B" w:rsidR="007041FF" w:rsidRPr="001B6B64" w:rsidRDefault="007041FF" w:rsidP="007041FF">
      <w:pPr>
        <w:pStyle w:val="ListParagraph"/>
        <w:numPr>
          <w:ilvl w:val="0"/>
          <w:numId w:val="6"/>
        </w:numPr>
        <w:ind w:left="357" w:hanging="357"/>
        <w:contextualSpacing w:val="0"/>
        <w:rPr>
          <w:rStyle w:val="jsgrdq"/>
        </w:rPr>
      </w:pPr>
      <w:r w:rsidRPr="416C44EB">
        <w:rPr>
          <w:rStyle w:val="jsgrdq"/>
          <w:color w:val="000000" w:themeColor="text1"/>
        </w:rPr>
        <w:t xml:space="preserve">other goods are packed into the sea container in a </w:t>
      </w:r>
      <w:r w:rsidRPr="00965D57">
        <w:t>khapra beetle target risk country</w:t>
      </w:r>
      <w:r w:rsidR="005B077C" w:rsidRPr="416C44EB">
        <w:rPr>
          <w:rStyle w:val="jsgrdq"/>
          <w:color w:val="000000" w:themeColor="text1"/>
        </w:rPr>
        <w:t xml:space="preserve"> and will be unpacked in a </w:t>
      </w:r>
      <w:hyperlink r:id="rId12" w:anchor="measures-for-sea-containers-unpacked-in-a-rural-khapra-risk-postcode" w:history="1">
        <w:r w:rsidR="00D13FB8" w:rsidRPr="00965D57">
          <w:rPr>
            <w:rStyle w:val="Hyperlink"/>
          </w:rPr>
          <w:t>rural khapra risk area</w:t>
        </w:r>
      </w:hyperlink>
      <w:r w:rsidR="00D13FB8">
        <w:t xml:space="preserve"> of Australia</w:t>
      </w:r>
      <w:r w:rsidR="00AB0C78" w:rsidRPr="416C44EB">
        <w:rPr>
          <w:rStyle w:val="jsgrdq"/>
          <w:color w:val="000000" w:themeColor="text1"/>
        </w:rPr>
        <w:t>.</w:t>
      </w:r>
    </w:p>
    <w:p w14:paraId="400FFBFC" w14:textId="30ABACEF" w:rsidR="007041FF" w:rsidRPr="007041FF" w:rsidRDefault="00D721B6" w:rsidP="007041FF">
      <w:pPr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Prior to treatment</w:t>
      </w:r>
      <w:r w:rsidR="007041FF" w:rsidRPr="007041FF">
        <w:rPr>
          <w:b/>
          <w:bCs/>
          <w:sz w:val="26"/>
          <w:szCs w:val="26"/>
        </w:rPr>
        <w:t>…</w:t>
      </w:r>
    </w:p>
    <w:p w14:paraId="45071800" w14:textId="6E2C458D" w:rsidR="00D721B6" w:rsidRPr="00D721B6" w:rsidRDefault="00D721B6" w:rsidP="00D721B6">
      <w:pPr>
        <w:pStyle w:val="ListParagraph"/>
        <w:numPr>
          <w:ilvl w:val="0"/>
          <w:numId w:val="5"/>
        </w:numPr>
      </w:pPr>
      <w:r>
        <w:t>The container must be cleaned to ensure it is free from debris and soil contamination.</w:t>
      </w:r>
    </w:p>
    <w:p w14:paraId="50763B3C" w14:textId="2FD95708" w:rsidR="00D721B6" w:rsidRPr="00D721B6" w:rsidRDefault="00D721B6" w:rsidP="00D721B6">
      <w:pPr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The</w:t>
      </w:r>
      <w:r w:rsidRPr="00D721B6">
        <w:rPr>
          <w:b/>
          <w:bCs/>
          <w:sz w:val="26"/>
          <w:szCs w:val="26"/>
        </w:rPr>
        <w:t xml:space="preserve"> treatment</w:t>
      </w:r>
      <w:r>
        <w:rPr>
          <w:b/>
          <w:bCs/>
          <w:sz w:val="26"/>
          <w:szCs w:val="26"/>
        </w:rPr>
        <w:t xml:space="preserve"> must be</w:t>
      </w:r>
      <w:r w:rsidRPr="00D721B6">
        <w:rPr>
          <w:b/>
          <w:bCs/>
          <w:sz w:val="26"/>
          <w:szCs w:val="26"/>
        </w:rPr>
        <w:t>…</w:t>
      </w:r>
    </w:p>
    <w:p w14:paraId="3526A064" w14:textId="5ACE8B7D" w:rsidR="007041FF" w:rsidRDefault="00D721B6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 xml:space="preserve">Conducted </w:t>
      </w:r>
      <w:r w:rsidR="009273F0">
        <w:t>prior to packing the goods in the container</w:t>
      </w:r>
      <w:r>
        <w:t>.</w:t>
      </w:r>
    </w:p>
    <w:p w14:paraId="5C21F05D" w14:textId="32F56E04" w:rsidR="007041FF" w:rsidRDefault="00D721B6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Applied:</w:t>
      </w:r>
    </w:p>
    <w:p w14:paraId="0C8A6852" w14:textId="6D5BBCDC" w:rsidR="00D721B6" w:rsidRDefault="00D721B6" w:rsidP="00D721B6">
      <w:pPr>
        <w:pStyle w:val="ListParagraph"/>
        <w:numPr>
          <w:ilvl w:val="1"/>
          <w:numId w:val="5"/>
        </w:numPr>
        <w:contextualSpacing w:val="0"/>
      </w:pPr>
      <w:r>
        <w:t xml:space="preserve">using a suspension concentrate formulation of </w:t>
      </w:r>
      <w:proofErr w:type="gramStart"/>
      <w:r w:rsidRPr="00D721B6">
        <w:t>deltamethrin</w:t>
      </w:r>
      <w:proofErr w:type="gramEnd"/>
    </w:p>
    <w:p w14:paraId="04E3012B" w14:textId="28AF5E20" w:rsidR="00D721B6" w:rsidRDefault="00D721B6" w:rsidP="00D721B6">
      <w:pPr>
        <w:pStyle w:val="ListParagraph"/>
        <w:numPr>
          <w:ilvl w:val="1"/>
          <w:numId w:val="5"/>
        </w:numPr>
        <w:spacing w:after="240"/>
        <w:ind w:left="1077" w:hanging="357"/>
      </w:pPr>
      <w:r>
        <w:t>with a 1</w:t>
      </w:r>
      <w:r w:rsidRPr="00D721B6">
        <w:t xml:space="preserve"> </w:t>
      </w:r>
      <w:r>
        <w:t>litre spray solution with a concentration of 0.03% (or above) per 20m</w:t>
      </w:r>
      <w:r w:rsidRPr="00745734">
        <w:rPr>
          <w:vertAlign w:val="superscript"/>
        </w:rPr>
        <w:t>2</w:t>
      </w:r>
    </w:p>
    <w:p w14:paraId="1A59DF94" w14:textId="432AC076" w:rsidR="00D721B6" w:rsidRDefault="00D721B6" w:rsidP="00D721B6">
      <w:pPr>
        <w:pStyle w:val="ListParagraph"/>
        <w:numPr>
          <w:ilvl w:val="1"/>
          <w:numId w:val="5"/>
        </w:numPr>
        <w:spacing w:before="240"/>
        <w:ind w:left="1077" w:hanging="357"/>
      </w:pPr>
      <w:r>
        <w:t xml:space="preserve">as a course spray of </w:t>
      </w:r>
      <w:r w:rsidR="002007C6">
        <w:t xml:space="preserve">Applied </w:t>
      </w:r>
      <w:r w:rsidR="004F0D90">
        <w:t>350-400</w:t>
      </w:r>
      <w:r>
        <w:t xml:space="preserve"> microns</w:t>
      </w:r>
      <w:r w:rsidR="002007C6">
        <w:t>, to the point of runoff</w:t>
      </w:r>
      <w:r>
        <w:t>.</w:t>
      </w:r>
    </w:p>
    <w:p w14:paraId="4C3D26D4" w14:textId="7A742CA5" w:rsidR="007041FF" w:rsidRDefault="00D721B6" w:rsidP="007041FF">
      <w:pPr>
        <w:pStyle w:val="ListParagraph"/>
        <w:numPr>
          <w:ilvl w:val="0"/>
          <w:numId w:val="5"/>
        </w:numPr>
        <w:ind w:left="357" w:hanging="357"/>
        <w:contextualSpacing w:val="0"/>
      </w:pPr>
      <w:r>
        <w:t>Applied to the:</w:t>
      </w:r>
    </w:p>
    <w:p w14:paraId="26BA249B" w14:textId="566B8A91" w:rsidR="00D721B6" w:rsidRDefault="00D721B6" w:rsidP="00D721B6">
      <w:pPr>
        <w:pStyle w:val="ListParagraph"/>
        <w:numPr>
          <w:ilvl w:val="1"/>
          <w:numId w:val="5"/>
        </w:numPr>
        <w:contextualSpacing w:val="0"/>
      </w:pPr>
      <w:r>
        <w:t xml:space="preserve">internal &amp; external underside of the floor. </w:t>
      </w:r>
    </w:p>
    <w:p w14:paraId="55E1AC8D" w14:textId="0DEF71B6" w:rsidR="00D721B6" w:rsidRDefault="00D721B6" w:rsidP="00D721B6">
      <w:pPr>
        <w:pStyle w:val="ListParagraph"/>
        <w:numPr>
          <w:ilvl w:val="1"/>
          <w:numId w:val="5"/>
        </w:numPr>
        <w:ind w:left="1077" w:hanging="357"/>
      </w:pPr>
      <w:r>
        <w:t>internal &amp; external lower portion of the three walls and doors, up to 1m.</w:t>
      </w:r>
    </w:p>
    <w:p w14:paraId="35EA0612" w14:textId="4B652C8F" w:rsidR="00D721B6" w:rsidRDefault="00D721B6" w:rsidP="00D721B6">
      <w:pPr>
        <w:pStyle w:val="ListParagraph"/>
        <w:numPr>
          <w:ilvl w:val="1"/>
          <w:numId w:val="5"/>
        </w:numPr>
        <w:ind w:left="1077" w:hanging="357"/>
      </w:pPr>
      <w:r>
        <w:t xml:space="preserve">the door seals of the container. </w:t>
      </w:r>
    </w:p>
    <w:p w14:paraId="2D792B0B" w14:textId="1911BC3C" w:rsidR="007041FF" w:rsidRDefault="007041FF" w:rsidP="007041FF">
      <w:pPr>
        <w:ind w:left="0" w:firstLine="0"/>
        <w:rPr>
          <w:rStyle w:val="jsgrdq"/>
          <w:color w:val="000000"/>
        </w:rPr>
      </w:pPr>
      <w:r>
        <w:t xml:space="preserve">Important: </w:t>
      </w:r>
      <w:r w:rsidRPr="007041FF">
        <w:rPr>
          <w:rStyle w:val="jsgrdq"/>
          <w:color w:val="000000"/>
        </w:rPr>
        <w:t>Containers must be treated within 21 days prior to export from the target risk country.</w:t>
      </w:r>
    </w:p>
    <w:p w14:paraId="22601EED" w14:textId="4C9C3890" w:rsidR="007041FF" w:rsidRPr="007041FF" w:rsidRDefault="007041FF" w:rsidP="007041FF">
      <w:pPr>
        <w:ind w:left="0" w:firstLine="0"/>
        <w:rPr>
          <w:rStyle w:val="jsgrdq"/>
          <w:b/>
          <w:bCs/>
          <w:color w:val="000000"/>
          <w:sz w:val="26"/>
          <w:szCs w:val="26"/>
        </w:rPr>
      </w:pPr>
      <w:r w:rsidRPr="007041FF">
        <w:rPr>
          <w:rStyle w:val="jsgrdq"/>
          <w:b/>
          <w:bCs/>
          <w:color w:val="000000"/>
          <w:sz w:val="26"/>
          <w:szCs w:val="26"/>
        </w:rPr>
        <w:t>Make sure…</w:t>
      </w:r>
    </w:p>
    <w:p w14:paraId="2032D7D6" w14:textId="1E475D35" w:rsidR="007041FF" w:rsidRPr="00965D57" w:rsidRDefault="007041FF" w:rsidP="00965D57">
      <w:pPr>
        <w:ind w:left="357" w:firstLine="0"/>
      </w:pPr>
      <w:r>
        <w:rPr>
          <w:rStyle w:val="jsgrdq"/>
          <w:color w:val="000000"/>
        </w:rPr>
        <w:t xml:space="preserve">You provide a treatment </w:t>
      </w:r>
      <w:r w:rsidRPr="00965D57">
        <w:t>certificate, even if a phytosanitary certificate is provided.</w:t>
      </w:r>
    </w:p>
    <w:p w14:paraId="32CF8FC0" w14:textId="1B93254D" w:rsidR="007041FF" w:rsidRPr="00965D57" w:rsidRDefault="007041FF" w:rsidP="00965D57">
      <w:pPr>
        <w:ind w:left="357" w:firstLine="0"/>
      </w:pPr>
      <w:r w:rsidRPr="00965D57">
        <w:t xml:space="preserve">The treatment certificate meets the requirements in </w:t>
      </w:r>
      <w:hyperlink r:id="rId13" w:tgtFrame="_blank" w:history="1">
        <w:r w:rsidRPr="00965D57">
          <w:rPr>
            <w:rStyle w:val="Hyperlink"/>
          </w:rPr>
          <w:t xml:space="preserve">BICON </w:t>
        </w:r>
      </w:hyperlink>
      <w:r w:rsidRPr="00965D57">
        <w:t xml:space="preserve">and the </w:t>
      </w:r>
      <w:hyperlink r:id="rId14" w:tgtFrame="_blank" w:history="1">
        <w:r w:rsidR="006872A3" w:rsidRPr="00965D57">
          <w:rPr>
            <w:rStyle w:val="Hyperlink"/>
          </w:rPr>
          <w:t>department’s website</w:t>
        </w:r>
      </w:hyperlink>
      <w:r w:rsidRPr="00965D57">
        <w:t>.</w:t>
      </w:r>
    </w:p>
    <w:p w14:paraId="3EFF8E87" w14:textId="31D81D45" w:rsidR="007041FF" w:rsidRPr="00965D57" w:rsidRDefault="007041FF" w:rsidP="00965D57">
      <w:pPr>
        <w:ind w:left="357" w:firstLine="0"/>
      </w:pPr>
      <w:r w:rsidRPr="00965D57">
        <w:t xml:space="preserve">You use the treatment certificate </w:t>
      </w:r>
      <w:hyperlink r:id="rId15" w:tgtFrame="_blank" w:history="1">
        <w:r w:rsidRPr="00965D57">
          <w:rPr>
            <w:rStyle w:val="Hyperlink"/>
          </w:rPr>
          <w:t>template</w:t>
        </w:r>
      </w:hyperlink>
      <w:r w:rsidR="006872A3" w:rsidRPr="00965D57">
        <w:t>*</w:t>
      </w:r>
      <w:r w:rsidRPr="00965D57">
        <w:t>.</w:t>
      </w:r>
    </w:p>
    <w:p w14:paraId="4AE7BDBA" w14:textId="5084E425" w:rsidR="006872A3" w:rsidRPr="007041FF" w:rsidRDefault="006872A3" w:rsidP="006872A3">
      <w:pPr>
        <w:ind w:left="0" w:firstLine="0"/>
        <w:rPr>
          <w:rStyle w:val="jsgrdq"/>
        </w:rPr>
      </w:pPr>
      <w:r>
        <w:rPr>
          <w:rStyle w:val="jsgrdq"/>
        </w:rPr>
        <w:t>*</w:t>
      </w:r>
      <w:r w:rsidRPr="006872A3">
        <w:t xml:space="preserve"> </w:t>
      </w:r>
      <w:r w:rsidRPr="006872A3">
        <w:rPr>
          <w:rStyle w:val="jsgrdq"/>
        </w:rPr>
        <w:t>The template and an insecticide treatment methodology will be published</w:t>
      </w:r>
      <w:r>
        <w:rPr>
          <w:rStyle w:val="jsgrdq"/>
        </w:rPr>
        <w:t xml:space="preserve"> </w:t>
      </w:r>
      <w:r w:rsidRPr="006872A3">
        <w:rPr>
          <w:rStyle w:val="jsgrdq"/>
        </w:rPr>
        <w:t>on our website soon.</w:t>
      </w:r>
    </w:p>
    <w:p w14:paraId="63BF13A3" w14:textId="277E0C86" w:rsidR="007041FF" w:rsidRPr="007041FF" w:rsidRDefault="006872A3" w:rsidP="007041FF">
      <w:pPr>
        <w:ind w:left="0"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Protecting the goods post treatment</w:t>
      </w:r>
    </w:p>
    <w:p w14:paraId="1756DF23" w14:textId="40E819D0" w:rsidR="006872A3" w:rsidRDefault="006872A3" w:rsidP="006872A3">
      <w:pPr>
        <w:pStyle w:val="ListParagraph"/>
        <w:numPr>
          <w:ilvl w:val="0"/>
          <w:numId w:val="5"/>
        </w:numPr>
      </w:pPr>
      <w:r>
        <w:t>To avoid potential contamination of the products with insecticide, importers should line the interior of the sea container and bag the products.</w:t>
      </w:r>
    </w:p>
    <w:p w14:paraId="23332112" w14:textId="1F62CC13" w:rsidR="006872A3" w:rsidRDefault="006872A3" w:rsidP="006872A3">
      <w:pPr>
        <w:pStyle w:val="ListParagraph"/>
        <w:numPr>
          <w:ilvl w:val="0"/>
          <w:numId w:val="5"/>
        </w:numPr>
      </w:pPr>
      <w:r>
        <w:t>It is the importer's responsibility to ensure that imported:</w:t>
      </w:r>
    </w:p>
    <w:p w14:paraId="446202D3" w14:textId="7F7E639C" w:rsidR="006872A3" w:rsidRDefault="006872A3" w:rsidP="006872A3">
      <w:pPr>
        <w:pStyle w:val="ListParagraph"/>
        <w:numPr>
          <w:ilvl w:val="1"/>
          <w:numId w:val="5"/>
        </w:numPr>
      </w:pPr>
      <w:r>
        <w:t xml:space="preserve">food complies with the </w:t>
      </w:r>
      <w:r w:rsidRPr="006872A3">
        <w:rPr>
          <w:i/>
          <w:iCs/>
        </w:rPr>
        <w:t>Imported Food Control Act 1992</w:t>
      </w:r>
    </w:p>
    <w:p w14:paraId="1217E515" w14:textId="3B64EFE3" w:rsidR="00DB13A2" w:rsidRPr="006872A3" w:rsidRDefault="006872A3" w:rsidP="006872A3">
      <w:pPr>
        <w:pStyle w:val="ListParagraph"/>
        <w:numPr>
          <w:ilvl w:val="1"/>
          <w:numId w:val="5"/>
        </w:numPr>
      </w:pPr>
      <w:r>
        <w:t>animal and pet food comply with the</w:t>
      </w:r>
      <w:r w:rsidRPr="006872A3">
        <w:rPr>
          <w:i/>
          <w:iCs/>
        </w:rPr>
        <w:t xml:space="preserve"> Agricultural and Veterinary Chemicals Code (MRL Standard) Instrument 2019</w:t>
      </w:r>
      <w:r>
        <w:t>.</w:t>
      </w:r>
    </w:p>
    <w:p w14:paraId="6A8A1D91" w14:textId="39BC127F" w:rsidR="007041FF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  <w:r w:rsidRPr="00DB13A2"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  <w:t>Treatment providers</w:t>
      </w:r>
    </w:p>
    <w:p w14:paraId="08A880E3" w14:textId="77777777" w:rsidR="00BE5E17" w:rsidRDefault="00BE5E17" w:rsidP="00BE5E17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We strongly encourage you to use a treatment provider that is </w:t>
      </w:r>
      <w:hyperlink r:id="rId16" w:history="1">
        <w:r w:rsidRPr="009A2FBA">
          <w:rPr>
            <w:rStyle w:val="Hyperlink"/>
            <w:rFonts w:asciiTheme="minorHAnsi" w:hAnsiTheme="minorHAnsi" w:cstheme="minorHAnsi"/>
            <w:sz w:val="22"/>
            <w:szCs w:val="22"/>
          </w:rPr>
          <w:t>registered with the department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365431B" w14:textId="7531B76E" w:rsidR="00BE5E17" w:rsidRPr="00DB13A2" w:rsidRDefault="00BE5E17" w:rsidP="00BE5E17">
      <w:pPr>
        <w:pStyle w:val="04xlpa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For information on how to register, email us at: </w:t>
      </w:r>
      <w:hyperlink r:id="rId17" w:history="1">
        <w:r w:rsidR="00D13FB8" w:rsidRPr="000B0580">
          <w:rPr>
            <w:rStyle w:val="Hyperlink"/>
            <w:rFonts w:asciiTheme="minorHAnsi" w:hAnsiTheme="minorHAnsi" w:cstheme="minorHAnsi"/>
            <w:sz w:val="22"/>
            <w:szCs w:val="22"/>
          </w:rPr>
          <w:t>offshoretreatments@agriculture.gov.au</w:t>
        </w:r>
      </w:hyperlink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ECC36F5" w14:textId="5BEE6F7C" w:rsidR="00BE5E17" w:rsidRDefault="00BE5E17" w:rsidP="00BE5E17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lastRenderedPageBreak/>
        <w:t xml:space="preserve">Website: </w:t>
      </w:r>
      <w:hyperlink r:id="rId18" w:history="1">
        <w:r w:rsidR="00D13FB8" w:rsidRPr="00D13FB8">
          <w:rPr>
            <w:rStyle w:val="Hyperlink"/>
            <w:rFonts w:eastAsia="Times New Roman" w:cstheme="minorHAnsi"/>
            <w:lang w:eastAsia="en-AU"/>
          </w:rPr>
          <w:t>agriculture.gov.au/khapra-urgent-actions</w:t>
        </w:r>
      </w:hyperlink>
    </w:p>
    <w:p w14:paraId="1B6507CF" w14:textId="77777777" w:rsidR="00BE5E17" w:rsidRPr="00DB13A2" w:rsidRDefault="00BE5E17" w:rsidP="00BE5E17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t xml:space="preserve">Facebook: Australian Biosecurity </w:t>
      </w:r>
    </w:p>
    <w:p w14:paraId="62412AE4" w14:textId="77777777" w:rsidR="00DB13A2" w:rsidRPr="007041FF" w:rsidRDefault="00DB13A2" w:rsidP="007041FF">
      <w:pPr>
        <w:shd w:val="clear" w:color="auto" w:fill="FFFFFF"/>
        <w:spacing w:before="100" w:beforeAutospacing="1" w:after="100" w:afterAutospacing="1"/>
        <w:ind w:left="0" w:firstLine="0"/>
        <w:rPr>
          <w:rFonts w:eastAsia="Times New Roman" w:cstheme="minorHAnsi"/>
          <w:b/>
          <w:bCs/>
          <w:color w:val="000000"/>
          <w:sz w:val="26"/>
          <w:szCs w:val="26"/>
          <w:lang w:eastAsia="en-AU"/>
        </w:rPr>
      </w:pPr>
    </w:p>
    <w:p w14:paraId="78C9C777" w14:textId="77777777" w:rsidR="007041FF" w:rsidRPr="007041FF" w:rsidRDefault="007041FF" w:rsidP="007041FF">
      <w:pPr>
        <w:ind w:left="0" w:firstLine="0"/>
      </w:pPr>
    </w:p>
    <w:sectPr w:rsidR="007041FF" w:rsidRPr="007041FF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256ED" w14:textId="77777777" w:rsidR="004F6781" w:rsidRDefault="004F6781" w:rsidP="007041FF">
      <w:pPr>
        <w:spacing w:after="0"/>
      </w:pPr>
      <w:r>
        <w:separator/>
      </w:r>
    </w:p>
  </w:endnote>
  <w:endnote w:type="continuationSeparator" w:id="0">
    <w:p w14:paraId="7A34FA0F" w14:textId="77777777" w:rsidR="004F6781" w:rsidRDefault="004F6781" w:rsidP="007041FF">
      <w:pPr>
        <w:spacing w:after="0"/>
      </w:pPr>
      <w:r>
        <w:continuationSeparator/>
      </w:r>
    </w:p>
  </w:endnote>
  <w:endnote w:type="continuationNotice" w:id="1">
    <w:p w14:paraId="489BAC58" w14:textId="77777777" w:rsidR="004F6781" w:rsidRDefault="004F678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11845" w14:textId="77777777" w:rsidR="004F6781" w:rsidRDefault="004F6781" w:rsidP="007041FF">
      <w:pPr>
        <w:spacing w:after="0"/>
      </w:pPr>
      <w:r>
        <w:separator/>
      </w:r>
    </w:p>
  </w:footnote>
  <w:footnote w:type="continuationSeparator" w:id="0">
    <w:p w14:paraId="1E068C0D" w14:textId="77777777" w:rsidR="004F6781" w:rsidRDefault="004F6781" w:rsidP="007041FF">
      <w:pPr>
        <w:spacing w:after="0"/>
      </w:pPr>
      <w:r>
        <w:continuationSeparator/>
      </w:r>
    </w:p>
  </w:footnote>
  <w:footnote w:type="continuationNotice" w:id="1">
    <w:p w14:paraId="7C8CE207" w14:textId="77777777" w:rsidR="004F6781" w:rsidRDefault="004F6781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57C53" w14:textId="47F2BF7B" w:rsidR="007041FF" w:rsidRDefault="007041FF">
    <w:pPr>
      <w:pStyle w:val="Header"/>
    </w:pPr>
    <w:r>
      <w:rPr>
        <w:noProof/>
      </w:rPr>
      <w:drawing>
        <wp:inline distT="0" distB="0" distL="0" distR="0" wp14:anchorId="46A8B182" wp14:editId="50AE9EFE">
          <wp:extent cx="1814830" cy="447675"/>
          <wp:effectExtent l="0" t="0" r="0" b="9525"/>
          <wp:docPr id="1" name="Picture 1" descr="Logos and style guides | Australian Government Department of Foreign  Affairs and Tra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s and style guides | Australian Government Department of Foreign  Affairs and Trad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83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B52"/>
    <w:multiLevelType w:val="hybridMultilevel"/>
    <w:tmpl w:val="01046312"/>
    <w:lvl w:ilvl="0" w:tplc="0C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21130FFD"/>
    <w:multiLevelType w:val="multilevel"/>
    <w:tmpl w:val="11D43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33359"/>
    <w:multiLevelType w:val="hybridMultilevel"/>
    <w:tmpl w:val="8CAC3DA8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70D68F1"/>
    <w:multiLevelType w:val="hybridMultilevel"/>
    <w:tmpl w:val="5B3EE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451AFB"/>
    <w:multiLevelType w:val="hybridMultilevel"/>
    <w:tmpl w:val="6B70FE32"/>
    <w:lvl w:ilvl="0" w:tplc="0C09000F">
      <w:start w:val="1"/>
      <w:numFmt w:val="decimal"/>
      <w:lvlText w:val="%1."/>
      <w:lvlJc w:val="left"/>
      <w:pPr>
        <w:ind w:left="714" w:hanging="360"/>
      </w:pPr>
    </w:lvl>
    <w:lvl w:ilvl="1" w:tplc="0C090019" w:tentative="1">
      <w:start w:val="1"/>
      <w:numFmt w:val="lowerLetter"/>
      <w:lvlText w:val="%2."/>
      <w:lvlJc w:val="left"/>
      <w:pPr>
        <w:ind w:left="1434" w:hanging="360"/>
      </w:pPr>
    </w:lvl>
    <w:lvl w:ilvl="2" w:tplc="0C09001B" w:tentative="1">
      <w:start w:val="1"/>
      <w:numFmt w:val="lowerRoman"/>
      <w:lvlText w:val="%3."/>
      <w:lvlJc w:val="right"/>
      <w:pPr>
        <w:ind w:left="2154" w:hanging="180"/>
      </w:pPr>
    </w:lvl>
    <w:lvl w:ilvl="3" w:tplc="0C09000F" w:tentative="1">
      <w:start w:val="1"/>
      <w:numFmt w:val="decimal"/>
      <w:lvlText w:val="%4."/>
      <w:lvlJc w:val="left"/>
      <w:pPr>
        <w:ind w:left="2874" w:hanging="360"/>
      </w:pPr>
    </w:lvl>
    <w:lvl w:ilvl="4" w:tplc="0C090019" w:tentative="1">
      <w:start w:val="1"/>
      <w:numFmt w:val="lowerLetter"/>
      <w:lvlText w:val="%5."/>
      <w:lvlJc w:val="left"/>
      <w:pPr>
        <w:ind w:left="3594" w:hanging="360"/>
      </w:pPr>
    </w:lvl>
    <w:lvl w:ilvl="5" w:tplc="0C09001B" w:tentative="1">
      <w:start w:val="1"/>
      <w:numFmt w:val="lowerRoman"/>
      <w:lvlText w:val="%6."/>
      <w:lvlJc w:val="right"/>
      <w:pPr>
        <w:ind w:left="4314" w:hanging="180"/>
      </w:pPr>
    </w:lvl>
    <w:lvl w:ilvl="6" w:tplc="0C09000F" w:tentative="1">
      <w:start w:val="1"/>
      <w:numFmt w:val="decimal"/>
      <w:lvlText w:val="%7."/>
      <w:lvlJc w:val="left"/>
      <w:pPr>
        <w:ind w:left="5034" w:hanging="360"/>
      </w:pPr>
    </w:lvl>
    <w:lvl w:ilvl="7" w:tplc="0C090019" w:tentative="1">
      <w:start w:val="1"/>
      <w:numFmt w:val="lowerLetter"/>
      <w:lvlText w:val="%8."/>
      <w:lvlJc w:val="left"/>
      <w:pPr>
        <w:ind w:left="5754" w:hanging="360"/>
      </w:pPr>
    </w:lvl>
    <w:lvl w:ilvl="8" w:tplc="0C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5" w15:restartNumberingAfterBreak="0">
    <w:nsid w:val="598E5CFE"/>
    <w:multiLevelType w:val="hybridMultilevel"/>
    <w:tmpl w:val="A4EEE8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9445A0"/>
    <w:multiLevelType w:val="hybridMultilevel"/>
    <w:tmpl w:val="A790D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295079"/>
    <w:multiLevelType w:val="hybridMultilevel"/>
    <w:tmpl w:val="FC18C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24A98"/>
    <w:multiLevelType w:val="hybridMultilevel"/>
    <w:tmpl w:val="D926273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336016">
    <w:abstractNumId w:val="0"/>
  </w:num>
  <w:num w:numId="2" w16cid:durableId="1262227201">
    <w:abstractNumId w:val="4"/>
  </w:num>
  <w:num w:numId="3" w16cid:durableId="574827634">
    <w:abstractNumId w:val="2"/>
  </w:num>
  <w:num w:numId="4" w16cid:durableId="2053072412">
    <w:abstractNumId w:val="7"/>
  </w:num>
  <w:num w:numId="5" w16cid:durableId="1510947141">
    <w:abstractNumId w:val="6"/>
  </w:num>
  <w:num w:numId="6" w16cid:durableId="931595718">
    <w:abstractNumId w:val="8"/>
  </w:num>
  <w:num w:numId="7" w16cid:durableId="755174496">
    <w:abstractNumId w:val="5"/>
  </w:num>
  <w:num w:numId="8" w16cid:durableId="1598320831">
    <w:abstractNumId w:val="1"/>
  </w:num>
  <w:num w:numId="9" w16cid:durableId="3581637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FF"/>
    <w:rsid w:val="00091661"/>
    <w:rsid w:val="00161828"/>
    <w:rsid w:val="001B6B64"/>
    <w:rsid w:val="002007C6"/>
    <w:rsid w:val="00235100"/>
    <w:rsid w:val="002729C6"/>
    <w:rsid w:val="00303231"/>
    <w:rsid w:val="0036251F"/>
    <w:rsid w:val="003703A9"/>
    <w:rsid w:val="003D3727"/>
    <w:rsid w:val="00497941"/>
    <w:rsid w:val="004F0D90"/>
    <w:rsid w:val="004F6781"/>
    <w:rsid w:val="00531275"/>
    <w:rsid w:val="005B077C"/>
    <w:rsid w:val="00623281"/>
    <w:rsid w:val="00676DBD"/>
    <w:rsid w:val="006872A3"/>
    <w:rsid w:val="007041FF"/>
    <w:rsid w:val="007278B7"/>
    <w:rsid w:val="00745734"/>
    <w:rsid w:val="00851D6B"/>
    <w:rsid w:val="009273F0"/>
    <w:rsid w:val="00953180"/>
    <w:rsid w:val="00965D57"/>
    <w:rsid w:val="0098477D"/>
    <w:rsid w:val="009A29BB"/>
    <w:rsid w:val="00A11F1E"/>
    <w:rsid w:val="00A7239B"/>
    <w:rsid w:val="00AB0C78"/>
    <w:rsid w:val="00BB1330"/>
    <w:rsid w:val="00BE5E17"/>
    <w:rsid w:val="00C34EE5"/>
    <w:rsid w:val="00CF1399"/>
    <w:rsid w:val="00D13FB8"/>
    <w:rsid w:val="00D36758"/>
    <w:rsid w:val="00D5471A"/>
    <w:rsid w:val="00D721B6"/>
    <w:rsid w:val="00D81BF9"/>
    <w:rsid w:val="00DB13A2"/>
    <w:rsid w:val="00DB7E23"/>
    <w:rsid w:val="00E015F3"/>
    <w:rsid w:val="00F84E41"/>
    <w:rsid w:val="05DC12CA"/>
    <w:rsid w:val="2A9EFEBF"/>
    <w:rsid w:val="2BD724B9"/>
    <w:rsid w:val="416C44EB"/>
    <w:rsid w:val="7850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A31D"/>
  <w15:chartTrackingRefBased/>
  <w15:docId w15:val="{A0857759-B651-4EAC-90B1-91CFADE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4E41"/>
    <w:pPr>
      <w:ind w:left="0" w:firstLine="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041FF"/>
  </w:style>
  <w:style w:type="paragraph" w:styleId="Footer">
    <w:name w:val="footer"/>
    <w:basedOn w:val="Normal"/>
    <w:link w:val="FooterChar"/>
    <w:uiPriority w:val="99"/>
    <w:unhideWhenUsed/>
    <w:rsid w:val="007041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041FF"/>
  </w:style>
  <w:style w:type="character" w:customStyle="1" w:styleId="jsgrdq">
    <w:name w:val="jsgrdq"/>
    <w:basedOn w:val="DefaultParagraphFont"/>
    <w:rsid w:val="007041FF"/>
  </w:style>
  <w:style w:type="paragraph" w:styleId="ListParagraph">
    <w:name w:val="List Paragraph"/>
    <w:basedOn w:val="Normal"/>
    <w:uiPriority w:val="34"/>
    <w:qFormat/>
    <w:rsid w:val="007041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1F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041F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041FF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04xlpa">
    <w:name w:val="_04xlpa"/>
    <w:basedOn w:val="Normal"/>
    <w:rsid w:val="00DB13A2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273F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84E41"/>
    <w:rPr>
      <w:b/>
      <w:bCs/>
      <w:sz w:val="30"/>
      <w:szCs w:val="30"/>
    </w:rPr>
  </w:style>
  <w:style w:type="character" w:customStyle="1" w:styleId="normaltextrun">
    <w:name w:val="normaltextrun"/>
    <w:basedOn w:val="DefaultParagraphFont"/>
    <w:rsid w:val="001B6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icon.agriculture.gov.au/BiconWeb4.0/" TargetMode="External"/><Relationship Id="rId18" Type="http://schemas.openxmlformats.org/officeDocument/2006/relationships/hyperlink" Target="https://www.agriculture.gov.au/biosecurity-trade/pests-diseases-weeds/plant/khapra-beetle/urgent-action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agriculture.gov.au/biosecurity-trade/pests-diseases-weeds/plant/khapra-beetle/sea-container-measures" TargetMode="External"/><Relationship Id="rId17" Type="http://schemas.openxmlformats.org/officeDocument/2006/relationships/hyperlink" Target="mailto:offshoretreatments@agriculture.gov.a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griculture.gov.au/import/before/prepare/treatment-outside-australia/offshore-treatment-provid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griculture.gov.au/biosecurity-trade/pests-diseases-weeds/plant/khapra-beetle/urgent-action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griculture.gov.au/import/arrival/treatments/treatments-fumigants" TargetMode="External"/><Relationship Id="rId10" Type="http://schemas.openxmlformats.org/officeDocument/2006/relationships/hyperlink" Target="https://www.agriculture.gov.au/biosecurity-trade/pests-diseases-weeds/plant/khapra-beetle/plant-products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griculture.gov.au/pests-diseases-weeds/plant/khapra-beetle/sea-container-measur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2b53c995-2120-4bc0-8922-c25044d37f6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96B084-6E0D-4AA6-B425-86E5E90A0A17}">
  <ds:schemaRefs>
    <ds:schemaRef ds:uri="http://schemas.microsoft.com/office/2006/metadata/properties"/>
    <ds:schemaRef ds:uri="http://schemas.microsoft.com/office/infopath/2007/PartnerControls"/>
    <ds:schemaRef ds:uri="762d8928-0daf-4069-9c35-589ded0002d7"/>
    <ds:schemaRef ds:uri="81c01dc6-2c49-4730-b140-874c95cac377"/>
  </ds:schemaRefs>
</ds:datastoreItem>
</file>

<file path=customXml/itemProps2.xml><?xml version="1.0" encoding="utf-8"?>
<ds:datastoreItem xmlns:ds="http://schemas.openxmlformats.org/officeDocument/2006/customXml" ds:itemID="{4FF8734B-AE94-4A60-9EC6-7DEE45BAE3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65B678-5C93-448B-9030-3BA39C8621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Insecticide Spray: Minimum requirements for treating sea containers with insecticide to address the risk of khapra beetle</dc:title>
  <dc:subject/>
  <dc:creator>Department of Agriculture, Water and the Environment</dc:creator>
  <cp:keywords/>
  <dc:description/>
  <cp:lastModifiedBy>McAlpine, Alex</cp:lastModifiedBy>
  <cp:revision>3</cp:revision>
  <dcterms:created xsi:type="dcterms:W3CDTF">2021-11-14T22:36:00Z</dcterms:created>
  <dcterms:modified xsi:type="dcterms:W3CDTF">2023-07-18T22:59:00Z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0x010100C07E633937122D4C982576F433DC022C</vt:lpwstr>
  </property>
  <property fmtid="{D5CDD505-2E9C-101B-9397-08002B2CF9AE}" pid="3" name="MediaServiceImageTags">
    <vt:lpwstr/>
  </property>
</Properties>
</file>